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4A5E" w14:textId="77777777" w:rsidR="00426C8A" w:rsidRPr="00996FA3" w:rsidRDefault="00426C8A" w:rsidP="00996FA3">
      <w:pPr>
        <w:spacing w:after="0" w:line="240" w:lineRule="auto"/>
        <w:rPr>
          <w:rFonts w:ascii="Cambria" w:hAnsi="Cambria" w:cs="Calibri"/>
          <w:color w:val="000000"/>
          <w:sz w:val="20"/>
          <w:szCs w:val="20"/>
          <w:lang w:val="es-ES_tradnl"/>
        </w:rPr>
      </w:pPr>
    </w:p>
    <w:p w14:paraId="683D0680" w14:textId="3EE4EFD9" w:rsidR="00913350" w:rsidRDefault="00913350" w:rsidP="004404C6">
      <w:pPr>
        <w:spacing w:after="0" w:line="240" w:lineRule="auto"/>
        <w:ind w:left="6480" w:firstLine="720"/>
        <w:jc w:val="right"/>
        <w:rPr>
          <w:rFonts w:ascii="Cambria" w:hAnsi="Cambria" w:cs="Calibri"/>
          <w:color w:val="000000"/>
          <w:sz w:val="20"/>
          <w:szCs w:val="20"/>
          <w:lang w:val="es-ES_tradnl"/>
        </w:rPr>
      </w:pPr>
    </w:p>
    <w:p w14:paraId="6FD23FC1" w14:textId="77777777" w:rsidR="004404C6" w:rsidRPr="00996FA3" w:rsidRDefault="004404C6" w:rsidP="004404C6">
      <w:pPr>
        <w:spacing w:after="0" w:line="240" w:lineRule="auto"/>
        <w:ind w:left="6480" w:firstLine="720"/>
        <w:jc w:val="right"/>
        <w:rPr>
          <w:rFonts w:ascii="Cambria" w:hAnsi="Cambria" w:cs="Calibri"/>
          <w:color w:val="000000"/>
          <w:sz w:val="20"/>
          <w:szCs w:val="20"/>
          <w:lang w:val="es-ES_tradnl"/>
        </w:rPr>
      </w:pPr>
    </w:p>
    <w:p w14:paraId="792CAFAB" w14:textId="00EB9197" w:rsidR="00426C8A" w:rsidRPr="00996FA3" w:rsidRDefault="00426C8A" w:rsidP="00996FA3">
      <w:pPr>
        <w:spacing w:after="0" w:line="240" w:lineRule="auto"/>
        <w:ind w:left="6480" w:firstLine="720"/>
        <w:jc w:val="center"/>
        <w:rPr>
          <w:rFonts w:ascii="Cambria" w:hAnsi="Cambria" w:cs="Calibri"/>
          <w:color w:val="000000"/>
          <w:sz w:val="20"/>
          <w:szCs w:val="20"/>
          <w:lang w:val="es-ES_tradnl"/>
        </w:rPr>
      </w:pPr>
      <w:r w:rsidRPr="00996FA3">
        <w:rPr>
          <w:rFonts w:ascii="Cambria" w:hAnsi="Cambria" w:cs="Calibri"/>
          <w:color w:val="000000"/>
          <w:sz w:val="20"/>
          <w:szCs w:val="20"/>
          <w:lang w:val="es-ES_tradnl"/>
        </w:rPr>
        <w:t>6 de noviembre de 2023</w:t>
      </w:r>
    </w:p>
    <w:p w14:paraId="63D6C398" w14:textId="77777777" w:rsidR="00426C8A" w:rsidRPr="00996FA3" w:rsidRDefault="00426C8A" w:rsidP="00996FA3">
      <w:pPr>
        <w:spacing w:after="0" w:line="240" w:lineRule="auto"/>
        <w:jc w:val="right"/>
        <w:rPr>
          <w:rFonts w:ascii="Cambria" w:hAnsi="Cambria" w:cs="Calibri"/>
          <w:color w:val="000000"/>
          <w:sz w:val="20"/>
          <w:szCs w:val="20"/>
          <w:lang w:val="es-ES_tradnl"/>
        </w:rPr>
      </w:pPr>
    </w:p>
    <w:p w14:paraId="411A80AD" w14:textId="5D4D4BD3" w:rsidR="00426C8A" w:rsidRPr="00996FA3" w:rsidRDefault="00426C8A" w:rsidP="00996FA3">
      <w:pPr>
        <w:spacing w:after="0" w:line="240" w:lineRule="auto"/>
        <w:jc w:val="both"/>
        <w:rPr>
          <w:rFonts w:ascii="Cambria" w:hAnsi="Cambria" w:cs="Calibri"/>
          <w:b/>
          <w:color w:val="000000"/>
          <w:sz w:val="20"/>
          <w:szCs w:val="20"/>
          <w:lang w:val="es-ES_tradnl"/>
        </w:rPr>
      </w:pPr>
      <w:r w:rsidRPr="00996FA3">
        <w:rPr>
          <w:rFonts w:ascii="Cambria" w:hAnsi="Cambria" w:cs="Calibri"/>
          <w:b/>
          <w:color w:val="000000"/>
          <w:sz w:val="20"/>
          <w:szCs w:val="20"/>
          <w:lang w:val="es-ES_tradnl"/>
        </w:rPr>
        <w:t>REF.:</w:t>
      </w:r>
      <w:bookmarkStart w:id="0" w:name="Peticion_n"/>
      <w:bookmarkEnd w:id="0"/>
      <w:r w:rsidRPr="00996FA3">
        <w:rPr>
          <w:rFonts w:ascii="Cambria" w:hAnsi="Cambria" w:cs="Calibri"/>
          <w:b/>
          <w:color w:val="000000"/>
          <w:sz w:val="20"/>
          <w:szCs w:val="20"/>
          <w:lang w:val="es-ES_tradnl"/>
        </w:rPr>
        <w:tab/>
        <w:t>Caso Nº 1</w:t>
      </w:r>
      <w:r w:rsidR="004C78D4" w:rsidRPr="00996FA3">
        <w:rPr>
          <w:rFonts w:ascii="Cambria" w:hAnsi="Cambria" w:cs="Calibri"/>
          <w:b/>
          <w:color w:val="000000"/>
          <w:sz w:val="20"/>
          <w:szCs w:val="20"/>
          <w:lang w:val="es-ES_tradnl"/>
        </w:rPr>
        <w:t>2.362</w:t>
      </w:r>
    </w:p>
    <w:p w14:paraId="30C73A40" w14:textId="5791391C" w:rsidR="00426C8A" w:rsidRPr="00996FA3" w:rsidRDefault="004C78D4" w:rsidP="00996FA3">
      <w:pPr>
        <w:tabs>
          <w:tab w:val="left" w:pos="7165"/>
        </w:tabs>
        <w:spacing w:after="0" w:line="240" w:lineRule="auto"/>
        <w:ind w:firstLine="720"/>
        <w:jc w:val="both"/>
        <w:rPr>
          <w:rFonts w:ascii="Cambria" w:hAnsi="Cambria"/>
          <w:b/>
          <w:sz w:val="20"/>
          <w:szCs w:val="20"/>
          <w:lang w:val="es-US"/>
        </w:rPr>
      </w:pPr>
      <w:r w:rsidRPr="00996FA3">
        <w:rPr>
          <w:rFonts w:ascii="Cambria" w:hAnsi="Cambria"/>
          <w:b/>
          <w:sz w:val="20"/>
          <w:szCs w:val="20"/>
          <w:lang w:val="es-US"/>
        </w:rPr>
        <w:t>Familiares de Luis Fernando Lalinde Lalinde</w:t>
      </w:r>
      <w:r w:rsidR="00426C8A" w:rsidRPr="00996FA3">
        <w:rPr>
          <w:rFonts w:ascii="Cambria" w:hAnsi="Cambria"/>
          <w:b/>
          <w:sz w:val="20"/>
          <w:szCs w:val="20"/>
          <w:lang w:val="es-US"/>
        </w:rPr>
        <w:t xml:space="preserve"> </w:t>
      </w:r>
    </w:p>
    <w:p w14:paraId="66127513" w14:textId="73EDB607" w:rsidR="00426C8A" w:rsidRPr="00996FA3" w:rsidRDefault="00426C8A" w:rsidP="00996FA3">
      <w:pPr>
        <w:tabs>
          <w:tab w:val="left" w:pos="7165"/>
        </w:tabs>
        <w:spacing w:after="0" w:line="240" w:lineRule="auto"/>
        <w:ind w:firstLine="720"/>
        <w:jc w:val="both"/>
        <w:rPr>
          <w:rFonts w:ascii="Cambria" w:hAnsi="Cambria" w:cs="Calibri"/>
          <w:b/>
          <w:color w:val="000000"/>
          <w:sz w:val="20"/>
          <w:szCs w:val="20"/>
          <w:lang w:val="es-US"/>
        </w:rPr>
      </w:pPr>
      <w:r w:rsidRPr="00996FA3">
        <w:rPr>
          <w:rFonts w:ascii="Cambria" w:hAnsi="Cambria" w:cs="Calibri"/>
          <w:b/>
          <w:color w:val="000000"/>
          <w:sz w:val="20"/>
          <w:szCs w:val="20"/>
          <w:lang w:val="es-US"/>
        </w:rPr>
        <w:t>Co</w:t>
      </w:r>
      <w:r w:rsidR="004C78D4" w:rsidRPr="00996FA3">
        <w:rPr>
          <w:rFonts w:ascii="Cambria" w:hAnsi="Cambria" w:cs="Calibri"/>
          <w:b/>
          <w:color w:val="000000"/>
          <w:sz w:val="20"/>
          <w:szCs w:val="20"/>
          <w:lang w:val="es-US"/>
        </w:rPr>
        <w:t>lombia</w:t>
      </w:r>
    </w:p>
    <w:p w14:paraId="6D225335" w14:textId="77777777" w:rsidR="00426C8A" w:rsidRPr="00996FA3" w:rsidRDefault="00426C8A" w:rsidP="00996FA3">
      <w:pPr>
        <w:tabs>
          <w:tab w:val="left" w:pos="7165"/>
        </w:tabs>
        <w:spacing w:after="0" w:line="240" w:lineRule="auto"/>
        <w:ind w:firstLine="720"/>
        <w:jc w:val="both"/>
        <w:rPr>
          <w:rFonts w:ascii="Cambria" w:hAnsi="Cambria" w:cs="Calibri"/>
          <w:b/>
          <w:color w:val="000000"/>
          <w:sz w:val="20"/>
          <w:szCs w:val="20"/>
          <w:lang w:val="es-US"/>
        </w:rPr>
      </w:pPr>
    </w:p>
    <w:p w14:paraId="58DF1B61" w14:textId="77777777" w:rsidR="00426C8A" w:rsidRPr="00996FA3" w:rsidRDefault="00426C8A" w:rsidP="00996FA3">
      <w:pPr>
        <w:tabs>
          <w:tab w:val="left" w:pos="7165"/>
        </w:tabs>
        <w:spacing w:after="0" w:line="240" w:lineRule="auto"/>
        <w:ind w:firstLine="720"/>
        <w:jc w:val="both"/>
        <w:rPr>
          <w:rFonts w:ascii="Cambria" w:hAnsi="Cambria" w:cs="Calibri"/>
          <w:b/>
          <w:color w:val="000000"/>
          <w:sz w:val="20"/>
          <w:szCs w:val="20"/>
          <w:lang w:val="es-US"/>
        </w:rPr>
      </w:pPr>
    </w:p>
    <w:p w14:paraId="022A2D49" w14:textId="77777777" w:rsidR="00426C8A" w:rsidRPr="00996FA3" w:rsidRDefault="00426C8A" w:rsidP="00996FA3">
      <w:pPr>
        <w:spacing w:after="0" w:line="240" w:lineRule="auto"/>
        <w:jc w:val="both"/>
        <w:rPr>
          <w:rFonts w:ascii="Cambria" w:hAnsi="Cambria" w:cs="Calibri"/>
          <w:color w:val="000000"/>
          <w:sz w:val="20"/>
          <w:szCs w:val="20"/>
          <w:lang w:val="es-ES_tradnl"/>
        </w:rPr>
      </w:pPr>
      <w:r w:rsidRPr="00996FA3">
        <w:rPr>
          <w:rFonts w:ascii="Cambria" w:hAnsi="Cambria" w:cs="Calibri"/>
          <w:color w:val="000000"/>
          <w:sz w:val="20"/>
          <w:szCs w:val="20"/>
          <w:lang w:val="es-ES_tradnl"/>
        </w:rPr>
        <w:t>Señor Secretario:</w:t>
      </w:r>
    </w:p>
    <w:p w14:paraId="27180337" w14:textId="77777777" w:rsidR="00426C8A" w:rsidRPr="00996FA3" w:rsidRDefault="00426C8A" w:rsidP="00996FA3">
      <w:pPr>
        <w:spacing w:after="0" w:line="240" w:lineRule="auto"/>
        <w:jc w:val="both"/>
        <w:rPr>
          <w:rFonts w:ascii="Cambria" w:hAnsi="Cambria" w:cs="Calibri"/>
          <w:color w:val="000000"/>
          <w:sz w:val="20"/>
          <w:szCs w:val="20"/>
          <w:lang w:val="es-ES_tradnl"/>
        </w:rPr>
      </w:pPr>
    </w:p>
    <w:p w14:paraId="715AD846" w14:textId="6D8CE09A" w:rsidR="00A450B9" w:rsidRPr="00996FA3" w:rsidRDefault="00426C8A" w:rsidP="00CA14E6">
      <w:pPr>
        <w:spacing w:after="0" w:line="240" w:lineRule="auto"/>
        <w:ind w:firstLine="540"/>
        <w:jc w:val="both"/>
        <w:rPr>
          <w:rFonts w:ascii="Cambria" w:hAnsi="Cambria"/>
          <w:sz w:val="20"/>
          <w:szCs w:val="20"/>
          <w:lang w:val="es-ES"/>
        </w:rPr>
      </w:pPr>
      <w:r w:rsidRPr="00996FA3">
        <w:rPr>
          <w:rFonts w:ascii="Cambria" w:hAnsi="Cambria" w:cs="Calibri"/>
          <w:color w:val="000000"/>
          <w:sz w:val="20"/>
          <w:szCs w:val="20"/>
          <w:lang w:val="es-ES_tradnl"/>
        </w:rPr>
        <w:t xml:space="preserve">Tengo el agrado de dirigirme a usted, en nombre de la Comisión Interamericana de Derechos Humanos, con el objeto de someter a la jurisdicción de la Honorable Corte Interamericana de Derechos Humanos, el </w:t>
      </w:r>
      <w:r w:rsidR="00576D60" w:rsidRPr="00996FA3">
        <w:rPr>
          <w:rFonts w:ascii="Cambria" w:hAnsi="Cambria" w:cs="Calibri"/>
          <w:color w:val="000000"/>
          <w:sz w:val="20"/>
          <w:szCs w:val="20"/>
          <w:lang w:val="es-ES_tradnl"/>
        </w:rPr>
        <w:t>C</w:t>
      </w:r>
      <w:r w:rsidRPr="00996FA3">
        <w:rPr>
          <w:rFonts w:ascii="Cambria" w:hAnsi="Cambria" w:cs="Calibri"/>
          <w:color w:val="000000"/>
          <w:sz w:val="20"/>
          <w:szCs w:val="20"/>
          <w:lang w:val="es-ES_tradnl"/>
        </w:rPr>
        <w:t xml:space="preserve">aso </w:t>
      </w:r>
      <w:bookmarkStart w:id="1" w:name="Peticion_n1"/>
      <w:bookmarkEnd w:id="1"/>
      <w:r w:rsidRPr="00996FA3">
        <w:rPr>
          <w:rFonts w:ascii="Cambria" w:hAnsi="Cambria" w:cs="Calibri"/>
          <w:color w:val="000000"/>
          <w:sz w:val="20"/>
          <w:szCs w:val="20"/>
          <w:lang w:val="es-ES_tradnl"/>
        </w:rPr>
        <w:t>1</w:t>
      </w:r>
      <w:r w:rsidR="00D02667" w:rsidRPr="00996FA3">
        <w:rPr>
          <w:rFonts w:ascii="Cambria" w:hAnsi="Cambria" w:cs="Calibri"/>
          <w:color w:val="000000"/>
          <w:sz w:val="20"/>
          <w:szCs w:val="20"/>
          <w:lang w:val="es-ES_tradnl"/>
        </w:rPr>
        <w:t>2</w:t>
      </w:r>
      <w:r w:rsidRPr="00996FA3">
        <w:rPr>
          <w:rFonts w:ascii="Cambria" w:hAnsi="Cambria" w:cs="Calibri"/>
          <w:color w:val="000000"/>
          <w:sz w:val="20"/>
          <w:szCs w:val="20"/>
          <w:lang w:val="es-ES_tradnl"/>
        </w:rPr>
        <w:t>.</w:t>
      </w:r>
      <w:r w:rsidR="00D02667" w:rsidRPr="00996FA3">
        <w:rPr>
          <w:rFonts w:ascii="Cambria" w:hAnsi="Cambria" w:cs="Calibri"/>
          <w:color w:val="000000"/>
          <w:sz w:val="20"/>
          <w:szCs w:val="20"/>
          <w:lang w:val="es-ES_tradnl"/>
        </w:rPr>
        <w:t>362</w:t>
      </w:r>
      <w:r w:rsidRPr="00996FA3">
        <w:rPr>
          <w:rFonts w:ascii="Cambria" w:hAnsi="Cambria" w:cs="Calibri"/>
          <w:color w:val="000000"/>
          <w:sz w:val="20"/>
          <w:szCs w:val="20"/>
          <w:lang w:val="es-ES_tradnl"/>
        </w:rPr>
        <w:t xml:space="preserve"> – </w:t>
      </w:r>
      <w:r w:rsidR="00D02667" w:rsidRPr="00996FA3">
        <w:rPr>
          <w:rFonts w:ascii="Cambria" w:hAnsi="Cambria" w:cs="Calibri"/>
          <w:color w:val="000000"/>
          <w:sz w:val="20"/>
          <w:szCs w:val="20"/>
          <w:lang w:val="es-ES_tradnl"/>
        </w:rPr>
        <w:t xml:space="preserve">Familiares de Luis Fernando Lalinde Lalinde </w:t>
      </w:r>
      <w:r w:rsidRPr="00996FA3">
        <w:rPr>
          <w:rFonts w:ascii="Cambria" w:hAnsi="Cambria" w:cs="Calibri"/>
          <w:color w:val="000000"/>
          <w:sz w:val="20"/>
          <w:szCs w:val="20"/>
          <w:lang w:val="es-ES_tradnl"/>
        </w:rPr>
        <w:t xml:space="preserve">de la República de Colombia (en adelante “el Estado de Colombia”, “Estado colombiano” o “Colombia”). El caso se </w:t>
      </w:r>
      <w:r w:rsidRPr="00996FA3">
        <w:rPr>
          <w:rFonts w:ascii="Cambria" w:eastAsia="Arial Unicode MS" w:hAnsi="Cambria"/>
          <w:color w:val="000000"/>
          <w:sz w:val="20"/>
          <w:szCs w:val="20"/>
          <w:bdr w:val="nil"/>
          <w:lang w:val="es-ES_tradnl"/>
        </w:rPr>
        <w:t xml:space="preserve">refiere a la responsabilidad internacional del Estado colombiano por </w:t>
      </w:r>
      <w:r w:rsidR="004918B3" w:rsidRPr="00996FA3">
        <w:rPr>
          <w:rFonts w:ascii="Cambria" w:eastAsia="Arial Unicode MS" w:hAnsi="Cambria"/>
          <w:color w:val="000000"/>
          <w:sz w:val="20"/>
          <w:szCs w:val="20"/>
          <w:bdr w:val="nil"/>
          <w:lang w:val="es-ES_tradnl"/>
        </w:rPr>
        <w:t xml:space="preserve">violaciones al derecho </w:t>
      </w:r>
      <w:r w:rsidR="004918B3" w:rsidRPr="00996FA3">
        <w:rPr>
          <w:rFonts w:ascii="Cambria" w:hAnsi="Cambria"/>
          <w:sz w:val="20"/>
          <w:szCs w:val="20"/>
          <w:lang w:val="es-ES"/>
        </w:rPr>
        <w:t>a las garantías judiciales y protección judicial</w:t>
      </w:r>
      <w:r w:rsidR="00821738" w:rsidRPr="00996FA3">
        <w:rPr>
          <w:rFonts w:ascii="Cambria" w:hAnsi="Cambria"/>
          <w:sz w:val="20"/>
          <w:szCs w:val="20"/>
          <w:lang w:val="es-ES"/>
        </w:rPr>
        <w:t xml:space="preserve"> por </w:t>
      </w:r>
      <w:r w:rsidR="004918B3" w:rsidRPr="00996FA3">
        <w:rPr>
          <w:rFonts w:ascii="Cambria" w:hAnsi="Cambria"/>
          <w:sz w:val="20"/>
          <w:szCs w:val="20"/>
          <w:lang w:val="es-ES"/>
        </w:rPr>
        <w:t xml:space="preserve">la situación de impunidad frente </w:t>
      </w:r>
      <w:r w:rsidR="00CA14E6">
        <w:rPr>
          <w:rFonts w:ascii="Cambria" w:hAnsi="Cambria"/>
          <w:sz w:val="20"/>
          <w:szCs w:val="20"/>
          <w:lang w:val="es-ES"/>
        </w:rPr>
        <w:t xml:space="preserve">a la </w:t>
      </w:r>
      <w:r w:rsidR="00D020A7" w:rsidRPr="00996FA3">
        <w:rPr>
          <w:rFonts w:ascii="Cambria" w:hAnsi="Cambria"/>
          <w:sz w:val="20"/>
          <w:szCs w:val="20"/>
          <w:lang w:val="es-ES"/>
        </w:rPr>
        <w:t xml:space="preserve">detención y posterior muerte de Luis Fernando Lalinde </w:t>
      </w:r>
      <w:r w:rsidR="004918B3" w:rsidRPr="00996FA3">
        <w:rPr>
          <w:rFonts w:ascii="Cambria" w:hAnsi="Cambria"/>
          <w:sz w:val="20"/>
          <w:szCs w:val="20"/>
          <w:lang w:val="es-ES"/>
        </w:rPr>
        <w:t>por parte de agentes públicos en 1984, en perjuicio de sus familiares.</w:t>
      </w:r>
    </w:p>
    <w:p w14:paraId="261E9B05" w14:textId="77777777" w:rsidR="00A450B9" w:rsidRPr="00996FA3" w:rsidRDefault="00A450B9" w:rsidP="00996FA3">
      <w:pPr>
        <w:spacing w:after="0" w:line="240" w:lineRule="auto"/>
        <w:jc w:val="both"/>
        <w:rPr>
          <w:rFonts w:ascii="Cambria" w:hAnsi="Cambria"/>
          <w:sz w:val="20"/>
          <w:szCs w:val="20"/>
          <w:lang w:val="es-ES"/>
        </w:rPr>
      </w:pPr>
    </w:p>
    <w:p w14:paraId="31593595" w14:textId="6F07907E" w:rsidR="00CD4032" w:rsidRPr="00996FA3" w:rsidRDefault="00A450B9" w:rsidP="00CA14E6">
      <w:pPr>
        <w:spacing w:after="0" w:line="240" w:lineRule="auto"/>
        <w:ind w:firstLine="540"/>
        <w:jc w:val="both"/>
        <w:rPr>
          <w:rFonts w:ascii="Cambria" w:hAnsi="Cambria"/>
          <w:sz w:val="20"/>
          <w:szCs w:val="20"/>
          <w:lang w:val="es-CO"/>
        </w:rPr>
      </w:pPr>
      <w:r w:rsidRPr="00996FA3">
        <w:rPr>
          <w:rFonts w:ascii="Cambria" w:hAnsi="Cambria"/>
          <w:sz w:val="20"/>
          <w:szCs w:val="20"/>
          <w:lang w:val="es-ES"/>
        </w:rPr>
        <w:t>E</w:t>
      </w:r>
      <w:r w:rsidR="00860E78" w:rsidRPr="00996FA3">
        <w:rPr>
          <w:rFonts w:ascii="Cambria" w:hAnsi="Cambria"/>
          <w:sz w:val="20"/>
          <w:szCs w:val="20"/>
          <w:lang w:val="es-ES_tradnl"/>
        </w:rPr>
        <w:t>n la época de los hechos Luis Fernando Lalinde era un estudiante en la universidad de Antioquia y militante del Partido Comunista Colombiano. Su familia estaba compuesta por su madre Fabiola Lalinde de Lalinde, sus hermanos Jorge Iván y Mauricio, y su hermana Adriana Lalinde Lalinde.</w:t>
      </w:r>
      <w:r w:rsidRPr="00996FA3">
        <w:rPr>
          <w:rFonts w:ascii="Cambria" w:hAnsi="Cambria"/>
          <w:sz w:val="20"/>
          <w:szCs w:val="20"/>
          <w:lang w:val="es-ES"/>
        </w:rPr>
        <w:t xml:space="preserve"> </w:t>
      </w:r>
      <w:r w:rsidR="005C56B0" w:rsidRPr="00996FA3">
        <w:rPr>
          <w:rFonts w:ascii="Cambria" w:hAnsi="Cambria"/>
          <w:sz w:val="20"/>
          <w:szCs w:val="20"/>
          <w:lang w:val="es-ES"/>
        </w:rPr>
        <w:t>E</w:t>
      </w:r>
      <w:r w:rsidR="00860E78" w:rsidRPr="00996FA3">
        <w:rPr>
          <w:rFonts w:ascii="Cambria" w:hAnsi="Cambria"/>
          <w:sz w:val="20"/>
          <w:szCs w:val="20"/>
          <w:lang w:val="es-CO"/>
        </w:rPr>
        <w:t xml:space="preserve">l </w:t>
      </w:r>
      <w:r w:rsidR="00860E78" w:rsidRPr="00996FA3">
        <w:rPr>
          <w:rFonts w:ascii="Cambria" w:eastAsia="Times New Roman" w:hAnsi="Cambria"/>
          <w:sz w:val="20"/>
          <w:szCs w:val="20"/>
          <w:lang w:val="es-CO"/>
        </w:rPr>
        <w:t>señor</w:t>
      </w:r>
      <w:r w:rsidR="00860E78" w:rsidRPr="00996FA3">
        <w:rPr>
          <w:rFonts w:ascii="Cambria" w:hAnsi="Cambria"/>
          <w:sz w:val="20"/>
          <w:szCs w:val="20"/>
          <w:lang w:val="es-CO"/>
        </w:rPr>
        <w:t xml:space="preserve"> Lalinde, fue detenido el 3 de octubre de 1984, en la Vereda "Verdún", del municipio de El Jardín en Antioquia, por efectivos del Batallón de Infantería Ayacucho.</w:t>
      </w:r>
      <w:r w:rsidR="00CD4032" w:rsidRPr="00996FA3">
        <w:rPr>
          <w:rFonts w:ascii="Cambria" w:hAnsi="Cambria"/>
          <w:sz w:val="20"/>
          <w:szCs w:val="20"/>
          <w:lang w:val="es-CO"/>
        </w:rPr>
        <w:t xml:space="preserve"> L</w:t>
      </w:r>
      <w:r w:rsidR="00860E78" w:rsidRPr="00996FA3">
        <w:rPr>
          <w:rFonts w:ascii="Cambria" w:hAnsi="Cambria"/>
          <w:sz w:val="20"/>
          <w:szCs w:val="20"/>
          <w:lang w:val="es-CO"/>
        </w:rPr>
        <w:t>a detención se habría hecho mediante la ayuda de una persona encapuchada, quien supuestamente era un guerrillero colaborador del Ejército.</w:t>
      </w:r>
      <w:r w:rsidR="000A466A" w:rsidRPr="00996FA3">
        <w:rPr>
          <w:rFonts w:ascii="Cambria" w:hAnsi="Cambria"/>
          <w:sz w:val="20"/>
          <w:szCs w:val="20"/>
          <w:lang w:val="es-CO"/>
        </w:rPr>
        <w:t xml:space="preserve"> </w:t>
      </w:r>
      <w:r w:rsidR="00860E78" w:rsidRPr="00996FA3">
        <w:rPr>
          <w:rFonts w:ascii="Cambria" w:hAnsi="Cambria"/>
          <w:sz w:val="20"/>
          <w:szCs w:val="20"/>
          <w:lang w:val="es-CO"/>
        </w:rPr>
        <w:t>Diversos testimonios de habitantes de dicha vereda señalaron que el señor Lalinde fue detenido, torturado y llevado en un camión del ejército con rumbo desconocido. El señor Lalinde fue asesinado por miembros del Ejército y sus restos fueron enterrados sin haberse identificado a la fecha</w:t>
      </w:r>
      <w:r w:rsidR="00CD4032" w:rsidRPr="00996FA3">
        <w:rPr>
          <w:rFonts w:ascii="Cambria" w:hAnsi="Cambria"/>
          <w:sz w:val="20"/>
          <w:szCs w:val="20"/>
          <w:lang w:val="es-CO"/>
        </w:rPr>
        <w:t xml:space="preserve">. </w:t>
      </w:r>
    </w:p>
    <w:p w14:paraId="5DFB3B06" w14:textId="77777777" w:rsidR="000A4401" w:rsidRPr="00996FA3" w:rsidRDefault="000A4401" w:rsidP="00996FA3">
      <w:pPr>
        <w:spacing w:after="0" w:line="240" w:lineRule="auto"/>
        <w:jc w:val="both"/>
        <w:rPr>
          <w:rFonts w:ascii="Cambria" w:eastAsia="Times New Roman" w:hAnsi="Cambria"/>
          <w:color w:val="000000"/>
          <w:sz w:val="20"/>
          <w:szCs w:val="20"/>
          <w:lang w:val="es-ES"/>
        </w:rPr>
      </w:pPr>
    </w:p>
    <w:p w14:paraId="4B8BEE93" w14:textId="6C3926CC" w:rsidR="00E40FBE" w:rsidRDefault="009F1484" w:rsidP="00996FA3">
      <w:pPr>
        <w:tabs>
          <w:tab w:val="left" w:pos="540"/>
        </w:tabs>
        <w:spacing w:after="0" w:line="240" w:lineRule="auto"/>
        <w:jc w:val="both"/>
        <w:rPr>
          <w:rFonts w:ascii="Cambria" w:hAnsi="Cambria"/>
          <w:sz w:val="20"/>
          <w:szCs w:val="20"/>
          <w:lang w:val="es-CO"/>
        </w:rPr>
      </w:pPr>
      <w:r w:rsidRPr="00996FA3">
        <w:rPr>
          <w:rFonts w:ascii="Cambria" w:hAnsi="Cambria"/>
          <w:sz w:val="20"/>
          <w:szCs w:val="20"/>
          <w:lang w:val="es-CO"/>
        </w:rPr>
        <w:tab/>
      </w:r>
      <w:r w:rsidR="001C32A1" w:rsidRPr="00996FA3">
        <w:rPr>
          <w:rFonts w:ascii="Cambria" w:hAnsi="Cambria"/>
          <w:sz w:val="20"/>
          <w:szCs w:val="20"/>
          <w:lang w:val="es-CO"/>
        </w:rPr>
        <w:t>Por dichos hechos s</w:t>
      </w:r>
      <w:r w:rsidR="00E40FBE" w:rsidRPr="00996FA3">
        <w:rPr>
          <w:rFonts w:ascii="Cambria" w:hAnsi="Cambria"/>
          <w:sz w:val="20"/>
          <w:szCs w:val="20"/>
          <w:lang w:val="es-CO"/>
        </w:rPr>
        <w:t>e inició una investigación tanto en la jurisdicción penal militar como en la jurisdicción penal</w:t>
      </w:r>
      <w:r w:rsidR="001C32A1" w:rsidRPr="00996FA3">
        <w:rPr>
          <w:rFonts w:ascii="Cambria" w:hAnsi="Cambria"/>
          <w:sz w:val="20"/>
          <w:szCs w:val="20"/>
          <w:lang w:val="es-CO"/>
        </w:rPr>
        <w:t xml:space="preserve"> </w:t>
      </w:r>
      <w:r w:rsidR="00E40FBE" w:rsidRPr="00996FA3">
        <w:rPr>
          <w:rFonts w:ascii="Cambria" w:hAnsi="Cambria"/>
          <w:sz w:val="20"/>
          <w:szCs w:val="20"/>
          <w:lang w:val="es-CO"/>
        </w:rPr>
        <w:t>ordinaria.</w:t>
      </w:r>
      <w:r w:rsidRPr="00996FA3">
        <w:rPr>
          <w:rFonts w:ascii="Cambria" w:hAnsi="Cambria"/>
          <w:sz w:val="20"/>
          <w:szCs w:val="20"/>
          <w:lang w:val="es-CO"/>
        </w:rPr>
        <w:t xml:space="preserve"> </w:t>
      </w:r>
      <w:r w:rsidR="00E40FBE" w:rsidRPr="00996FA3">
        <w:rPr>
          <w:rFonts w:ascii="Cambria" w:hAnsi="Cambria"/>
          <w:sz w:val="20"/>
          <w:szCs w:val="20"/>
          <w:lang w:val="es-CO"/>
        </w:rPr>
        <w:t>El 15 de diciembre de 1984 se inició la investigación por parte del Juez de Instrucción Criminal de Andes, Departamento de Antioquia.</w:t>
      </w:r>
      <w:r w:rsidR="00A25F97" w:rsidRPr="00996FA3">
        <w:rPr>
          <w:rFonts w:ascii="Cambria" w:hAnsi="Cambria"/>
          <w:sz w:val="20"/>
          <w:szCs w:val="20"/>
          <w:lang w:val="es-CO"/>
        </w:rPr>
        <w:t xml:space="preserve"> </w:t>
      </w:r>
      <w:r w:rsidR="00E40FBE" w:rsidRPr="00996FA3">
        <w:rPr>
          <w:rFonts w:ascii="Cambria" w:hAnsi="Cambria"/>
          <w:sz w:val="20"/>
          <w:szCs w:val="20"/>
          <w:lang w:val="es-CO"/>
        </w:rPr>
        <w:t xml:space="preserve">El 19 de julio de 1985 la Procuraduría Delegada para las Fuerzas Militares decidió archivar lo actuado en razón a </w:t>
      </w:r>
      <w:r w:rsidR="00BB6A84" w:rsidRPr="00996FA3">
        <w:rPr>
          <w:rFonts w:ascii="Cambria" w:hAnsi="Cambria"/>
          <w:sz w:val="20"/>
          <w:szCs w:val="20"/>
          <w:lang w:val="es-CO"/>
        </w:rPr>
        <w:t>que,</w:t>
      </w:r>
      <w:r w:rsidR="00E40FBE" w:rsidRPr="00996FA3">
        <w:rPr>
          <w:rFonts w:ascii="Cambria" w:hAnsi="Cambria"/>
          <w:sz w:val="20"/>
          <w:szCs w:val="20"/>
          <w:lang w:val="es-CO"/>
        </w:rPr>
        <w:t xml:space="preserve"> en ese momento, no se poseía prueba de que el caso investigado hubiera sido consumado por el Ejército Nacional.</w:t>
      </w:r>
    </w:p>
    <w:p w14:paraId="41C6B3BC" w14:textId="77777777" w:rsidR="00436965" w:rsidRPr="00996FA3" w:rsidRDefault="00436965" w:rsidP="00996FA3">
      <w:pPr>
        <w:tabs>
          <w:tab w:val="left" w:pos="540"/>
        </w:tabs>
        <w:spacing w:after="0" w:line="240" w:lineRule="auto"/>
        <w:jc w:val="both"/>
        <w:rPr>
          <w:rFonts w:ascii="Cambria" w:hAnsi="Cambria"/>
          <w:sz w:val="20"/>
          <w:szCs w:val="20"/>
          <w:lang w:val="es-CO"/>
        </w:rPr>
      </w:pPr>
    </w:p>
    <w:p w14:paraId="5296B2C5" w14:textId="118FC099" w:rsidR="00F61EEE" w:rsidRDefault="009F1484" w:rsidP="00996FA3">
      <w:pPr>
        <w:tabs>
          <w:tab w:val="left" w:pos="540"/>
        </w:tabs>
        <w:spacing w:after="0" w:line="240" w:lineRule="auto"/>
        <w:jc w:val="both"/>
        <w:rPr>
          <w:rFonts w:ascii="Cambria" w:hAnsi="Cambria"/>
          <w:sz w:val="20"/>
          <w:szCs w:val="20"/>
          <w:lang w:val="es-ES_tradnl"/>
        </w:rPr>
      </w:pPr>
      <w:r w:rsidRPr="00996FA3">
        <w:rPr>
          <w:rFonts w:ascii="Cambria" w:hAnsi="Cambria"/>
          <w:sz w:val="20"/>
          <w:szCs w:val="20"/>
          <w:lang w:val="es-CO"/>
        </w:rPr>
        <w:tab/>
      </w:r>
      <w:r w:rsidR="00E40FBE" w:rsidRPr="00996FA3">
        <w:rPr>
          <w:rFonts w:ascii="Cambria" w:hAnsi="Cambria"/>
          <w:sz w:val="20"/>
          <w:szCs w:val="20"/>
          <w:lang w:val="es-CO"/>
        </w:rPr>
        <w:t xml:space="preserve">Mediante oficio de octubre de 1985, el Procurador Delegado para las Fuerzas Militares informó que </w:t>
      </w:r>
      <w:r w:rsidR="00E40FBE" w:rsidRPr="00996FA3">
        <w:rPr>
          <w:rFonts w:ascii="Cambria" w:hAnsi="Cambria"/>
          <w:sz w:val="20"/>
          <w:szCs w:val="20"/>
          <w:shd w:val="clear" w:color="auto" w:fill="FFFFFF"/>
          <w:lang w:val="es-CO"/>
        </w:rPr>
        <w:t xml:space="preserve">se </w:t>
      </w:r>
      <w:r w:rsidR="00E40FBE" w:rsidRPr="00996FA3">
        <w:rPr>
          <w:rFonts w:ascii="Cambria" w:hAnsi="Cambria"/>
          <w:sz w:val="20"/>
          <w:szCs w:val="20"/>
          <w:lang w:val="es-CO"/>
        </w:rPr>
        <w:t>realizaron gestiones a efectos de evidenciar si el señor Lalinde fue capturado por unidades de las Fuerzas Militares y qué paradero tuvo</w:t>
      </w:r>
      <w:r w:rsidR="00731A38" w:rsidRPr="00996FA3">
        <w:rPr>
          <w:rFonts w:ascii="Cambria" w:hAnsi="Cambria"/>
          <w:sz w:val="20"/>
          <w:szCs w:val="20"/>
          <w:lang w:val="es-CO"/>
        </w:rPr>
        <w:t xml:space="preserve">, e </w:t>
      </w:r>
      <w:r w:rsidR="00731A38" w:rsidRPr="00996FA3">
        <w:rPr>
          <w:rFonts w:ascii="Cambria" w:hAnsi="Cambria"/>
          <w:sz w:val="20"/>
          <w:szCs w:val="20"/>
          <w:shd w:val="clear" w:color="auto" w:fill="FFFFFF"/>
          <w:lang w:val="es-CO"/>
        </w:rPr>
        <w:t>i</w:t>
      </w:r>
      <w:r w:rsidR="00E40FBE" w:rsidRPr="00996FA3">
        <w:rPr>
          <w:rFonts w:ascii="Cambria" w:hAnsi="Cambria"/>
          <w:sz w:val="20"/>
          <w:szCs w:val="20"/>
          <w:shd w:val="clear" w:color="auto" w:fill="FFFFFF"/>
          <w:lang w:val="es-CO"/>
        </w:rPr>
        <w:t>ndicó que se</w:t>
      </w:r>
      <w:r w:rsidR="00E40FBE" w:rsidRPr="00996FA3">
        <w:rPr>
          <w:rFonts w:ascii="Cambria" w:hAnsi="Cambria"/>
          <w:sz w:val="20"/>
          <w:szCs w:val="20"/>
          <w:lang w:val="es-CO"/>
        </w:rPr>
        <w:t xml:space="preserve"> llegó a la conclusión que tal persona en ningún momento fue capturada por miembros de las Fuerzas Militares</w:t>
      </w:r>
      <w:r w:rsidR="00731A38" w:rsidRPr="00996FA3">
        <w:rPr>
          <w:rFonts w:ascii="Cambria" w:hAnsi="Cambria"/>
          <w:sz w:val="20"/>
          <w:szCs w:val="20"/>
          <w:lang w:val="es-CO"/>
        </w:rPr>
        <w:t xml:space="preserve"> y </w:t>
      </w:r>
      <w:r w:rsidR="00E40FBE" w:rsidRPr="00996FA3">
        <w:rPr>
          <w:rFonts w:ascii="Cambria" w:hAnsi="Cambria"/>
          <w:sz w:val="20"/>
          <w:szCs w:val="20"/>
          <w:lang w:val="es-CO"/>
        </w:rPr>
        <w:t>que existía la duda de si el presunto guerrillero apodado con el alias "Jacinto" corresponde al señor Lalinde, quien habría “muerto en combate” con una patrulla militar el 4 de octubre de 1984.</w:t>
      </w:r>
      <w:r w:rsidR="005100B9" w:rsidRPr="00996FA3">
        <w:rPr>
          <w:rFonts w:ascii="Cambria" w:hAnsi="Cambria"/>
          <w:sz w:val="20"/>
          <w:szCs w:val="20"/>
          <w:lang w:val="es-CO"/>
        </w:rPr>
        <w:t xml:space="preserve"> El Procurador</w:t>
      </w:r>
      <w:r w:rsidR="00E40FBE" w:rsidRPr="00996FA3">
        <w:rPr>
          <w:rFonts w:ascii="Cambria" w:hAnsi="Cambria"/>
          <w:sz w:val="20"/>
          <w:szCs w:val="20"/>
          <w:lang w:val="es-CO"/>
        </w:rPr>
        <w:t xml:space="preserve"> </w:t>
      </w:r>
      <w:r w:rsidR="005100B9" w:rsidRPr="00996FA3">
        <w:rPr>
          <w:rFonts w:ascii="Cambria" w:hAnsi="Cambria"/>
          <w:sz w:val="20"/>
          <w:szCs w:val="20"/>
          <w:lang w:val="es-CO"/>
        </w:rPr>
        <w:t>a</w:t>
      </w:r>
      <w:r w:rsidR="00E40FBE" w:rsidRPr="00996FA3">
        <w:rPr>
          <w:rFonts w:ascii="Cambria" w:hAnsi="Cambria"/>
          <w:sz w:val="20"/>
          <w:szCs w:val="20"/>
          <w:lang w:val="es-CO"/>
        </w:rPr>
        <w:t xml:space="preserve">ñadió que las autoridades competentes realizaron </w:t>
      </w:r>
      <w:r w:rsidR="005100B9" w:rsidRPr="00996FA3">
        <w:rPr>
          <w:rFonts w:ascii="Cambria" w:hAnsi="Cambria"/>
          <w:sz w:val="20"/>
          <w:szCs w:val="20"/>
          <w:lang w:val="es-CO"/>
        </w:rPr>
        <w:t xml:space="preserve">la </w:t>
      </w:r>
      <w:r w:rsidR="00E40FBE" w:rsidRPr="00996FA3">
        <w:rPr>
          <w:rFonts w:ascii="Cambria" w:hAnsi="Cambria"/>
          <w:sz w:val="20"/>
          <w:szCs w:val="20"/>
          <w:lang w:val="es-CO"/>
        </w:rPr>
        <w:t xml:space="preserve">exhumación del cadáver de alias "Jacinto", para tratar de corroborar si se trataba del señor Lalinde, pero que “por ausencia de los pulpejos de los dedos de las manos, ello fue imposible”. </w:t>
      </w:r>
      <w:r w:rsidR="005100B9" w:rsidRPr="00996FA3">
        <w:rPr>
          <w:rFonts w:ascii="Cambria" w:hAnsi="Cambria"/>
          <w:sz w:val="20"/>
          <w:szCs w:val="20"/>
          <w:lang w:val="es-ES_tradnl"/>
        </w:rPr>
        <w:t>E</w:t>
      </w:r>
      <w:r w:rsidR="00E40FBE" w:rsidRPr="00996FA3">
        <w:rPr>
          <w:rFonts w:ascii="Cambria" w:hAnsi="Cambria"/>
          <w:sz w:val="20"/>
          <w:szCs w:val="20"/>
          <w:lang w:val="es-ES_tradnl"/>
        </w:rPr>
        <w:t xml:space="preserve">n la diligencia de exhumación realizada en el marco de la jurisdicción penal militar se impidió la participación de Fabiola Lalinde. </w:t>
      </w:r>
    </w:p>
    <w:p w14:paraId="73B92CE0" w14:textId="77777777" w:rsidR="00436965" w:rsidRDefault="00436965" w:rsidP="00996FA3">
      <w:pPr>
        <w:tabs>
          <w:tab w:val="left" w:pos="540"/>
        </w:tabs>
        <w:spacing w:after="0" w:line="240" w:lineRule="auto"/>
        <w:jc w:val="both"/>
        <w:rPr>
          <w:rFonts w:ascii="Cambria" w:hAnsi="Cambria"/>
          <w:sz w:val="20"/>
          <w:szCs w:val="20"/>
          <w:lang w:val="es-ES_tradnl"/>
        </w:rPr>
      </w:pPr>
    </w:p>
    <w:p w14:paraId="49D23FC1" w14:textId="28EB39E6" w:rsidR="00436965" w:rsidRDefault="00436965" w:rsidP="00996FA3">
      <w:pPr>
        <w:tabs>
          <w:tab w:val="left" w:pos="540"/>
        </w:tabs>
        <w:spacing w:after="0" w:line="240" w:lineRule="auto"/>
        <w:jc w:val="both"/>
        <w:rPr>
          <w:rFonts w:ascii="Cambria" w:hAnsi="Cambria"/>
          <w:sz w:val="20"/>
          <w:szCs w:val="20"/>
          <w:lang w:val="es-ES_tradnl"/>
        </w:rPr>
      </w:pPr>
    </w:p>
    <w:p w14:paraId="6318ED24" w14:textId="77777777" w:rsidR="004404C6" w:rsidRPr="00996FA3" w:rsidRDefault="004404C6" w:rsidP="00996FA3">
      <w:pPr>
        <w:tabs>
          <w:tab w:val="left" w:pos="540"/>
        </w:tabs>
        <w:spacing w:after="0" w:line="240" w:lineRule="auto"/>
        <w:jc w:val="both"/>
        <w:rPr>
          <w:rFonts w:ascii="Cambria" w:hAnsi="Cambria"/>
          <w:sz w:val="20"/>
          <w:szCs w:val="20"/>
          <w:lang w:val="es-ES_tradnl"/>
        </w:rPr>
      </w:pPr>
    </w:p>
    <w:p w14:paraId="6EBFEBAD" w14:textId="77777777" w:rsidR="00F61EEE" w:rsidRPr="00996FA3" w:rsidRDefault="00F61EEE" w:rsidP="00996FA3">
      <w:pPr>
        <w:spacing w:after="0" w:line="240" w:lineRule="auto"/>
        <w:jc w:val="both"/>
        <w:rPr>
          <w:rFonts w:ascii="Cambria" w:hAnsi="Cambria" w:cs="Calibri"/>
          <w:color w:val="000000"/>
          <w:sz w:val="20"/>
          <w:szCs w:val="20"/>
          <w:lang w:val="es-ES_tradnl"/>
        </w:rPr>
      </w:pPr>
      <w:r w:rsidRPr="00996FA3">
        <w:rPr>
          <w:rFonts w:ascii="Cambria" w:hAnsi="Cambria" w:cs="Calibri"/>
          <w:color w:val="000000"/>
          <w:sz w:val="20"/>
          <w:szCs w:val="20"/>
          <w:lang w:val="es-ES_tradnl"/>
        </w:rPr>
        <w:t>Señor</w:t>
      </w:r>
    </w:p>
    <w:p w14:paraId="53C144C8" w14:textId="77777777" w:rsidR="00F61EEE" w:rsidRPr="00996FA3" w:rsidRDefault="00F61EEE" w:rsidP="00996FA3">
      <w:pPr>
        <w:spacing w:after="0" w:line="240" w:lineRule="auto"/>
        <w:jc w:val="both"/>
        <w:rPr>
          <w:rFonts w:ascii="Cambria" w:hAnsi="Cambria" w:cs="Calibri"/>
          <w:color w:val="000000"/>
          <w:sz w:val="20"/>
          <w:szCs w:val="20"/>
          <w:lang w:val="es-ES_tradnl"/>
        </w:rPr>
      </w:pPr>
      <w:r w:rsidRPr="00996FA3">
        <w:rPr>
          <w:rFonts w:ascii="Cambria" w:hAnsi="Cambria" w:cs="Calibri"/>
          <w:color w:val="000000"/>
          <w:sz w:val="20"/>
          <w:szCs w:val="20"/>
          <w:lang w:val="es-ES_tradnl"/>
        </w:rPr>
        <w:t>Pablo Saavedra Alessandri</w:t>
      </w:r>
    </w:p>
    <w:p w14:paraId="38788D17" w14:textId="77777777" w:rsidR="00F61EEE" w:rsidRPr="00996FA3" w:rsidRDefault="00F61EEE" w:rsidP="00996FA3">
      <w:pPr>
        <w:spacing w:after="0" w:line="240" w:lineRule="auto"/>
        <w:jc w:val="both"/>
        <w:rPr>
          <w:rFonts w:ascii="Cambria" w:hAnsi="Cambria" w:cs="Calibri"/>
          <w:color w:val="000000"/>
          <w:sz w:val="20"/>
          <w:szCs w:val="20"/>
          <w:lang w:val="es-ES_tradnl"/>
        </w:rPr>
      </w:pPr>
      <w:r w:rsidRPr="00996FA3">
        <w:rPr>
          <w:rFonts w:ascii="Cambria" w:hAnsi="Cambria" w:cs="Calibri"/>
          <w:color w:val="000000"/>
          <w:sz w:val="20"/>
          <w:szCs w:val="20"/>
          <w:lang w:val="es-ES_tradnl"/>
        </w:rPr>
        <w:t>Secretario</w:t>
      </w:r>
    </w:p>
    <w:p w14:paraId="03C97C6F" w14:textId="77777777" w:rsidR="00F61EEE" w:rsidRPr="00996FA3" w:rsidRDefault="00F61EEE" w:rsidP="00996FA3">
      <w:pPr>
        <w:spacing w:after="0" w:line="240" w:lineRule="auto"/>
        <w:jc w:val="both"/>
        <w:rPr>
          <w:rFonts w:ascii="Cambria" w:hAnsi="Cambria" w:cs="Calibri"/>
          <w:color w:val="000000"/>
          <w:sz w:val="20"/>
          <w:szCs w:val="20"/>
          <w:lang w:val="es-ES_tradnl"/>
        </w:rPr>
      </w:pPr>
      <w:r w:rsidRPr="00996FA3">
        <w:rPr>
          <w:rFonts w:ascii="Cambria" w:hAnsi="Cambria" w:cs="Calibri"/>
          <w:color w:val="000000"/>
          <w:sz w:val="20"/>
          <w:szCs w:val="20"/>
          <w:lang w:val="es-ES_tradnl"/>
        </w:rPr>
        <w:t>Corte Interamericana de Derechos Humanos</w:t>
      </w:r>
    </w:p>
    <w:p w14:paraId="63B74FF7" w14:textId="77777777" w:rsidR="00F61EEE" w:rsidRPr="00996FA3" w:rsidRDefault="00F61EEE" w:rsidP="00996FA3">
      <w:pPr>
        <w:spacing w:after="0" w:line="240" w:lineRule="auto"/>
        <w:jc w:val="both"/>
        <w:rPr>
          <w:rStyle w:val="Emphasis"/>
          <w:rFonts w:ascii="Cambria" w:hAnsi="Cambria"/>
          <w:b/>
          <w:bCs/>
          <w:i w:val="0"/>
          <w:iCs w:val="0"/>
          <w:sz w:val="20"/>
          <w:szCs w:val="20"/>
          <w:lang w:val="es-ES"/>
        </w:rPr>
      </w:pPr>
      <w:r w:rsidRPr="00996FA3">
        <w:rPr>
          <w:rFonts w:ascii="Cambria" w:hAnsi="Cambria" w:cs="Calibri"/>
          <w:color w:val="000000"/>
          <w:sz w:val="20"/>
          <w:szCs w:val="20"/>
          <w:lang w:val="es-ES_tradnl"/>
        </w:rPr>
        <w:t>San José, Costa Rica</w:t>
      </w:r>
    </w:p>
    <w:p w14:paraId="0A83A5ED" w14:textId="4E4E6DF2" w:rsidR="00F61EEE" w:rsidRDefault="00F61EEE" w:rsidP="00996FA3">
      <w:pPr>
        <w:pStyle w:val="parrafos"/>
        <w:tabs>
          <w:tab w:val="left" w:pos="360"/>
        </w:tabs>
        <w:rPr>
          <w:lang w:val="es-ES_tradnl" w:eastAsia="es-ES"/>
        </w:rPr>
      </w:pPr>
    </w:p>
    <w:p w14:paraId="31DCBE06" w14:textId="77777777" w:rsidR="004404C6" w:rsidRPr="00996FA3" w:rsidRDefault="004404C6" w:rsidP="00996FA3">
      <w:pPr>
        <w:pStyle w:val="parrafos"/>
        <w:tabs>
          <w:tab w:val="left" w:pos="360"/>
        </w:tabs>
        <w:rPr>
          <w:lang w:val="es-ES_tradnl" w:eastAsia="es-ES"/>
        </w:rPr>
      </w:pPr>
    </w:p>
    <w:p w14:paraId="2C09D851" w14:textId="7000158B" w:rsidR="009C10F0" w:rsidRDefault="002F505F" w:rsidP="00996FA3">
      <w:pPr>
        <w:tabs>
          <w:tab w:val="left" w:pos="540"/>
        </w:tabs>
        <w:spacing w:after="0" w:line="240" w:lineRule="auto"/>
        <w:jc w:val="both"/>
        <w:rPr>
          <w:rFonts w:ascii="Cambria" w:hAnsi="Cambria"/>
          <w:sz w:val="20"/>
          <w:szCs w:val="20"/>
          <w:lang w:val="es-ES_tradnl"/>
        </w:rPr>
      </w:pPr>
      <w:r w:rsidRPr="00996FA3">
        <w:rPr>
          <w:rFonts w:ascii="Cambria" w:hAnsi="Cambria"/>
          <w:sz w:val="20"/>
          <w:szCs w:val="20"/>
          <w:lang w:val="es-ES_tradnl"/>
        </w:rPr>
        <w:tab/>
      </w:r>
      <w:r w:rsidR="00CF35FB">
        <w:rPr>
          <w:rFonts w:ascii="Cambria" w:hAnsi="Cambria"/>
          <w:sz w:val="20"/>
          <w:szCs w:val="20"/>
          <w:lang w:val="es-ES_tradnl"/>
        </w:rPr>
        <w:t xml:space="preserve">El </w:t>
      </w:r>
      <w:r w:rsidR="00E40FBE" w:rsidRPr="00996FA3">
        <w:rPr>
          <w:rFonts w:ascii="Cambria" w:hAnsi="Cambria"/>
          <w:sz w:val="20"/>
          <w:szCs w:val="20"/>
          <w:lang w:val="es-ES_tradnl"/>
        </w:rPr>
        <w:t>29 de junio de 1990 el Juzgado Tercero de Instrucción Criminal</w:t>
      </w:r>
      <w:r w:rsidR="00CF35FB">
        <w:rPr>
          <w:rFonts w:ascii="Cambria" w:hAnsi="Cambria"/>
          <w:sz w:val="20"/>
          <w:szCs w:val="20"/>
          <w:lang w:val="es-ES_tradnl"/>
        </w:rPr>
        <w:t xml:space="preserve"> emitió una resolución en la que </w:t>
      </w:r>
      <w:r w:rsidR="00E40FBE" w:rsidRPr="00996FA3">
        <w:rPr>
          <w:rFonts w:ascii="Cambria" w:hAnsi="Cambria"/>
          <w:sz w:val="20"/>
          <w:szCs w:val="20"/>
          <w:lang w:val="es-ES_tradnl"/>
        </w:rPr>
        <w:t>señaló que se podía afirmar que alias “Jacinto” y el señor Lalinde eran la misma persona</w:t>
      </w:r>
      <w:r w:rsidR="008901BD" w:rsidRPr="00996FA3">
        <w:rPr>
          <w:rFonts w:ascii="Cambria" w:hAnsi="Cambria"/>
          <w:sz w:val="20"/>
          <w:szCs w:val="20"/>
          <w:lang w:val="es-ES_tradnl"/>
        </w:rPr>
        <w:t xml:space="preserve"> por lo cual se remitió el caso a la Justicia Penal Militar. </w:t>
      </w:r>
      <w:r w:rsidR="00C15131" w:rsidRPr="00996FA3">
        <w:rPr>
          <w:rFonts w:ascii="Cambria" w:hAnsi="Cambria"/>
          <w:sz w:val="20"/>
          <w:szCs w:val="20"/>
          <w:lang w:val="es-ES_tradnl"/>
        </w:rPr>
        <w:t>Las diligencias realizadas ante la jurisdicción penal militar estuvieron relacionadas con la toma de declaraciones a militares a efectos de confirmar la relación entre el señor Lalinde y alias “Jacinto”.</w:t>
      </w:r>
    </w:p>
    <w:p w14:paraId="262209B6" w14:textId="77777777" w:rsidR="00CF35FB" w:rsidRPr="00996FA3" w:rsidRDefault="00CF35FB" w:rsidP="00996FA3">
      <w:pPr>
        <w:tabs>
          <w:tab w:val="left" w:pos="540"/>
        </w:tabs>
        <w:spacing w:after="0" w:line="240" w:lineRule="auto"/>
        <w:jc w:val="both"/>
        <w:rPr>
          <w:rFonts w:ascii="Cambria" w:hAnsi="Cambria"/>
          <w:sz w:val="20"/>
          <w:szCs w:val="20"/>
          <w:lang w:val="es-CO"/>
        </w:rPr>
      </w:pPr>
    </w:p>
    <w:p w14:paraId="2E9155DA" w14:textId="393420F3" w:rsidR="00E40FBE" w:rsidRPr="00996FA3" w:rsidRDefault="00C30B38" w:rsidP="00996FA3">
      <w:pPr>
        <w:tabs>
          <w:tab w:val="left" w:pos="540"/>
        </w:tabs>
        <w:spacing w:after="0" w:line="240" w:lineRule="auto"/>
        <w:jc w:val="both"/>
        <w:rPr>
          <w:rFonts w:ascii="Cambria" w:hAnsi="Cambria"/>
          <w:sz w:val="20"/>
          <w:szCs w:val="20"/>
          <w:lang w:val="es-ES_tradnl"/>
        </w:rPr>
      </w:pPr>
      <w:r w:rsidRPr="00996FA3">
        <w:rPr>
          <w:rFonts w:ascii="Cambria" w:hAnsi="Cambria"/>
          <w:sz w:val="20"/>
          <w:szCs w:val="20"/>
          <w:lang w:val="es-ES_tradnl"/>
        </w:rPr>
        <w:tab/>
      </w:r>
      <w:r w:rsidR="009C10F0" w:rsidRPr="00996FA3">
        <w:rPr>
          <w:rFonts w:ascii="Cambria" w:hAnsi="Cambria"/>
          <w:sz w:val="20"/>
          <w:szCs w:val="20"/>
          <w:lang w:val="es-ES_tradnl"/>
        </w:rPr>
        <w:t>E</w:t>
      </w:r>
      <w:r w:rsidR="00E40FBE" w:rsidRPr="00996FA3">
        <w:rPr>
          <w:rFonts w:ascii="Cambria" w:hAnsi="Cambria"/>
          <w:sz w:val="20"/>
          <w:szCs w:val="20"/>
          <w:lang w:val="es-ES_tradnl"/>
        </w:rPr>
        <w:t>n 1992 el Juez 121 de Instrucción Penal Militar realizó una serie de diligencias de exhumación en diversas zonas donde habría ocurrido los hechos, y se encontraron restos óseos</w:t>
      </w:r>
      <w:r w:rsidRPr="00996FA3">
        <w:rPr>
          <w:rFonts w:ascii="Cambria" w:hAnsi="Cambria"/>
          <w:sz w:val="20"/>
          <w:szCs w:val="20"/>
          <w:lang w:val="es-ES_tradnl"/>
        </w:rPr>
        <w:t xml:space="preserve"> de los cuales </w:t>
      </w:r>
      <w:r w:rsidR="00E40FBE" w:rsidRPr="00996FA3">
        <w:rPr>
          <w:rFonts w:ascii="Cambria" w:hAnsi="Cambria"/>
          <w:sz w:val="20"/>
          <w:szCs w:val="20"/>
          <w:lang w:val="es-ES_tradnl"/>
        </w:rPr>
        <w:t xml:space="preserve">se realizó un examen de ADN pero que no generaba coincidencias con las del señor Lalinde. </w:t>
      </w:r>
      <w:r w:rsidRPr="00996FA3">
        <w:rPr>
          <w:rFonts w:ascii="Cambria" w:hAnsi="Cambria"/>
          <w:sz w:val="20"/>
          <w:szCs w:val="20"/>
          <w:lang w:val="es-ES_tradnl"/>
        </w:rPr>
        <w:t xml:space="preserve">Posteriormente, </w:t>
      </w:r>
      <w:r w:rsidR="00E40FBE" w:rsidRPr="00996FA3">
        <w:rPr>
          <w:rFonts w:ascii="Cambria" w:hAnsi="Cambria"/>
          <w:sz w:val="20"/>
          <w:szCs w:val="20"/>
          <w:lang w:val="es-ES_tradnl"/>
        </w:rPr>
        <w:t>se realizó un examen en Estados Unidos, el cual concluyó que sí se trataba de los restos del señor Lalinde</w:t>
      </w:r>
      <w:r w:rsidRPr="00996FA3">
        <w:rPr>
          <w:rFonts w:ascii="Cambria" w:hAnsi="Cambria"/>
          <w:sz w:val="20"/>
          <w:szCs w:val="20"/>
          <w:lang w:val="es-ES_tradnl"/>
        </w:rPr>
        <w:t xml:space="preserve"> por lo cual, </w:t>
      </w:r>
      <w:r w:rsidR="00E40FBE" w:rsidRPr="00996FA3">
        <w:rPr>
          <w:rFonts w:ascii="Cambria" w:hAnsi="Cambria"/>
          <w:sz w:val="20"/>
          <w:szCs w:val="20"/>
          <w:lang w:val="es-ES_tradnl"/>
        </w:rPr>
        <w:t>en 1996 se entregaron a Fabiola Lalinde 69 huesos identificados como del señor Lalinde.</w:t>
      </w:r>
    </w:p>
    <w:p w14:paraId="100F5295" w14:textId="77777777" w:rsidR="000906F6" w:rsidRPr="00996FA3" w:rsidRDefault="000906F6" w:rsidP="00996FA3">
      <w:pPr>
        <w:tabs>
          <w:tab w:val="left" w:pos="360"/>
        </w:tabs>
        <w:spacing w:after="0" w:line="240" w:lineRule="auto"/>
        <w:jc w:val="both"/>
        <w:rPr>
          <w:rFonts w:ascii="Cambria" w:hAnsi="Cambria"/>
          <w:sz w:val="20"/>
          <w:szCs w:val="20"/>
          <w:lang w:val="es-ES_tradnl"/>
        </w:rPr>
      </w:pPr>
    </w:p>
    <w:p w14:paraId="13D10E90" w14:textId="52C7C75C" w:rsidR="00E40FBE" w:rsidRPr="00996FA3" w:rsidRDefault="00C30B38" w:rsidP="00996FA3">
      <w:pPr>
        <w:tabs>
          <w:tab w:val="left" w:pos="360"/>
        </w:tabs>
        <w:spacing w:after="0" w:line="240" w:lineRule="auto"/>
        <w:jc w:val="both"/>
        <w:rPr>
          <w:rFonts w:ascii="Cambria" w:hAnsi="Cambria"/>
          <w:sz w:val="20"/>
          <w:szCs w:val="20"/>
          <w:lang w:val="es-US"/>
        </w:rPr>
      </w:pPr>
      <w:r w:rsidRPr="00996FA3">
        <w:rPr>
          <w:rFonts w:ascii="Cambria" w:hAnsi="Cambria"/>
          <w:sz w:val="20"/>
          <w:szCs w:val="20"/>
          <w:lang w:val="es-ES_tradnl"/>
        </w:rPr>
        <w:tab/>
      </w:r>
      <w:r w:rsidR="003208A0" w:rsidRPr="00996FA3">
        <w:rPr>
          <w:rFonts w:ascii="Cambria" w:hAnsi="Cambria"/>
          <w:sz w:val="20"/>
          <w:szCs w:val="20"/>
          <w:lang w:val="es-ES_tradnl"/>
        </w:rPr>
        <w:t xml:space="preserve">    </w:t>
      </w:r>
      <w:r w:rsidR="000906F6" w:rsidRPr="00996FA3">
        <w:rPr>
          <w:rFonts w:ascii="Cambria" w:hAnsi="Cambria"/>
          <w:sz w:val="20"/>
          <w:szCs w:val="20"/>
          <w:lang w:val="es-ES_tradnl"/>
        </w:rPr>
        <w:t>I</w:t>
      </w:r>
      <w:r w:rsidR="00E40FBE" w:rsidRPr="00996FA3">
        <w:rPr>
          <w:rFonts w:ascii="Cambria" w:hAnsi="Cambria"/>
          <w:sz w:val="20"/>
          <w:szCs w:val="20"/>
          <w:lang w:val="es-US"/>
        </w:rPr>
        <w:t xml:space="preserve">nicialmente fueron vinculados por la muerte del señor Lalinde el Capitán Jairo Enrique Piñeros Segura y el Subteniente Samuel Jaime Soto. </w:t>
      </w:r>
      <w:r w:rsidR="000906F6" w:rsidRPr="00996FA3">
        <w:rPr>
          <w:rFonts w:ascii="Cambria" w:hAnsi="Cambria"/>
          <w:sz w:val="20"/>
          <w:szCs w:val="20"/>
          <w:lang w:val="es-US"/>
        </w:rPr>
        <w:t xml:space="preserve">Sin embargo, </w:t>
      </w:r>
      <w:r w:rsidR="00E40FBE" w:rsidRPr="00996FA3">
        <w:rPr>
          <w:rFonts w:ascii="Cambria" w:hAnsi="Cambria"/>
          <w:sz w:val="20"/>
          <w:szCs w:val="20"/>
          <w:lang w:val="es-MX"/>
        </w:rPr>
        <w:t>el 19 de marzo de 1993 el Juzgado 121 de Instrucción Penal Militar se abstuvo de imponer medida de aseguramiento en contra de dichas personas</w:t>
      </w:r>
      <w:r w:rsidR="005821EF">
        <w:rPr>
          <w:rFonts w:ascii="Cambria" w:hAnsi="Cambria"/>
          <w:sz w:val="20"/>
          <w:szCs w:val="20"/>
          <w:lang w:val="es-MX"/>
        </w:rPr>
        <w:t xml:space="preserve"> y e</w:t>
      </w:r>
      <w:r w:rsidR="003208A0" w:rsidRPr="00996FA3">
        <w:rPr>
          <w:rFonts w:ascii="Cambria" w:hAnsi="Cambria"/>
          <w:sz w:val="20"/>
          <w:szCs w:val="20"/>
          <w:lang w:val="es-MX"/>
        </w:rPr>
        <w:t>n octubre de 1996 y en marzo de 1998 s</w:t>
      </w:r>
      <w:r w:rsidR="00E40FBE" w:rsidRPr="00996FA3">
        <w:rPr>
          <w:rFonts w:ascii="Cambria" w:hAnsi="Cambria"/>
          <w:sz w:val="20"/>
          <w:szCs w:val="20"/>
          <w:lang w:val="es-ES_tradnl"/>
        </w:rPr>
        <w:t>e emitieron resoluciones para cesar el proceso</w:t>
      </w:r>
      <w:r w:rsidR="00E40FBE" w:rsidRPr="00996FA3">
        <w:rPr>
          <w:rFonts w:ascii="Cambria" w:hAnsi="Cambria"/>
          <w:sz w:val="20"/>
          <w:szCs w:val="20"/>
          <w:lang w:val="es-US"/>
        </w:rPr>
        <w:t xml:space="preserve">. </w:t>
      </w:r>
      <w:r w:rsidR="00631211" w:rsidRPr="00996FA3">
        <w:rPr>
          <w:rFonts w:ascii="Cambria" w:hAnsi="Cambria"/>
          <w:sz w:val="20"/>
          <w:szCs w:val="20"/>
          <w:lang w:val="es-US"/>
        </w:rPr>
        <w:t>L</w:t>
      </w:r>
      <w:r w:rsidR="00E40FBE" w:rsidRPr="00996FA3">
        <w:rPr>
          <w:rFonts w:ascii="Cambria" w:hAnsi="Cambria"/>
          <w:sz w:val="20"/>
          <w:szCs w:val="20"/>
          <w:lang w:val="es-US"/>
        </w:rPr>
        <w:t>a decisión de cerrar el proceso ante la jurisdicción penal militar fue confirmad</w:t>
      </w:r>
      <w:r w:rsidR="00F62666">
        <w:rPr>
          <w:rFonts w:ascii="Cambria" w:hAnsi="Cambria"/>
          <w:sz w:val="20"/>
          <w:szCs w:val="20"/>
          <w:lang w:val="es-US"/>
        </w:rPr>
        <w:t>a</w:t>
      </w:r>
      <w:r w:rsidR="00E40FBE" w:rsidRPr="00996FA3">
        <w:rPr>
          <w:rFonts w:ascii="Cambria" w:hAnsi="Cambria"/>
          <w:sz w:val="20"/>
          <w:szCs w:val="20"/>
          <w:lang w:val="es-US"/>
        </w:rPr>
        <w:t xml:space="preserve"> el 6 de abril de 1999 mediante sentencia del Tribunal Superior Militar. </w:t>
      </w:r>
      <w:r w:rsidR="00CB1765" w:rsidRPr="00996FA3">
        <w:rPr>
          <w:rFonts w:ascii="Cambria" w:hAnsi="Cambria"/>
          <w:sz w:val="20"/>
          <w:szCs w:val="20"/>
          <w:lang w:val="es-US"/>
        </w:rPr>
        <w:t>L</w:t>
      </w:r>
      <w:r w:rsidR="00E40FBE" w:rsidRPr="00996FA3">
        <w:rPr>
          <w:rFonts w:ascii="Cambria" w:hAnsi="Cambria"/>
          <w:sz w:val="20"/>
          <w:szCs w:val="20"/>
          <w:lang w:val="es-ES"/>
        </w:rPr>
        <w:t xml:space="preserve">a Procuradora Judicial Penal II de Bogotá impugnó la sentencia </w:t>
      </w:r>
      <w:r w:rsidR="00E40FBE" w:rsidRPr="00996FA3">
        <w:rPr>
          <w:rFonts w:ascii="Cambria" w:hAnsi="Cambria"/>
          <w:sz w:val="20"/>
          <w:szCs w:val="20"/>
          <w:lang w:val="es-US"/>
        </w:rPr>
        <w:t xml:space="preserve">y solicitó el traslado de la investigación a la jurisdicción penal ordinaria. </w:t>
      </w:r>
      <w:r w:rsidR="00124DC2" w:rsidRPr="00996FA3">
        <w:rPr>
          <w:rFonts w:ascii="Cambria" w:hAnsi="Cambria"/>
          <w:sz w:val="20"/>
          <w:szCs w:val="20"/>
          <w:lang w:val="es-US"/>
        </w:rPr>
        <w:t>D</w:t>
      </w:r>
      <w:r w:rsidR="00E40FBE" w:rsidRPr="00996FA3">
        <w:rPr>
          <w:rFonts w:ascii="Cambria" w:hAnsi="Cambria"/>
          <w:sz w:val="20"/>
          <w:szCs w:val="20"/>
          <w:lang w:val="es-US"/>
        </w:rPr>
        <w:t xml:space="preserve">icha solicitud fue rechazada y en 2012 se presentó una </w:t>
      </w:r>
      <w:r w:rsidR="00E40FBE" w:rsidRPr="00996FA3">
        <w:rPr>
          <w:rFonts w:ascii="Cambria" w:hAnsi="Cambria"/>
          <w:sz w:val="20"/>
          <w:szCs w:val="20"/>
          <w:lang w:val="es-ES"/>
        </w:rPr>
        <w:t>acción de revisión ante la Corte Suprema de Justicia, la cual emitió una resolución en 2014 ordenando a las autoridades militares que remitan e</w:t>
      </w:r>
      <w:r w:rsidR="002845F6">
        <w:rPr>
          <w:rFonts w:ascii="Cambria" w:hAnsi="Cambria"/>
          <w:sz w:val="20"/>
          <w:szCs w:val="20"/>
          <w:lang w:val="es-ES"/>
        </w:rPr>
        <w:t>l</w:t>
      </w:r>
      <w:r w:rsidR="00E40FBE" w:rsidRPr="00996FA3">
        <w:rPr>
          <w:rFonts w:ascii="Cambria" w:hAnsi="Cambria"/>
          <w:sz w:val="20"/>
          <w:szCs w:val="20"/>
          <w:lang w:val="es-ES"/>
        </w:rPr>
        <w:t xml:space="preserve"> expediente a la Fiscalía General de la Nación.</w:t>
      </w:r>
    </w:p>
    <w:p w14:paraId="108E3795" w14:textId="77777777" w:rsidR="00C7025F" w:rsidRPr="00996FA3" w:rsidRDefault="00C7025F" w:rsidP="00996FA3">
      <w:pPr>
        <w:tabs>
          <w:tab w:val="left" w:pos="360"/>
        </w:tabs>
        <w:spacing w:after="0" w:line="240" w:lineRule="auto"/>
        <w:jc w:val="both"/>
        <w:rPr>
          <w:rFonts w:ascii="Cambria" w:hAnsi="Cambria"/>
          <w:sz w:val="20"/>
          <w:szCs w:val="20"/>
          <w:lang w:val="es-ES"/>
        </w:rPr>
      </w:pPr>
    </w:p>
    <w:p w14:paraId="68C4DBF8" w14:textId="5FB43A55" w:rsidR="00E40FBE" w:rsidRPr="00996FA3" w:rsidRDefault="00631211" w:rsidP="00996FA3">
      <w:pPr>
        <w:tabs>
          <w:tab w:val="left" w:pos="360"/>
        </w:tabs>
        <w:spacing w:after="0" w:line="240" w:lineRule="auto"/>
        <w:jc w:val="both"/>
        <w:rPr>
          <w:rFonts w:ascii="Cambria" w:hAnsi="Cambria"/>
          <w:sz w:val="20"/>
          <w:szCs w:val="20"/>
          <w:lang w:val="es-ES"/>
        </w:rPr>
      </w:pPr>
      <w:r w:rsidRPr="00996FA3">
        <w:rPr>
          <w:rFonts w:ascii="Cambria" w:hAnsi="Cambria"/>
          <w:sz w:val="20"/>
          <w:szCs w:val="20"/>
          <w:lang w:val="es-ES"/>
        </w:rPr>
        <w:tab/>
      </w:r>
      <w:r w:rsidR="000428D6" w:rsidRPr="00996FA3">
        <w:rPr>
          <w:rFonts w:ascii="Cambria" w:hAnsi="Cambria"/>
          <w:sz w:val="20"/>
          <w:szCs w:val="20"/>
          <w:lang w:val="es-ES"/>
        </w:rPr>
        <w:t xml:space="preserve">    </w:t>
      </w:r>
      <w:r w:rsidR="00C7025F" w:rsidRPr="00996FA3">
        <w:rPr>
          <w:rFonts w:ascii="Cambria" w:hAnsi="Cambria"/>
          <w:sz w:val="20"/>
          <w:szCs w:val="20"/>
          <w:lang w:val="es-ES"/>
        </w:rPr>
        <w:t>E</w:t>
      </w:r>
      <w:r w:rsidR="00E40FBE" w:rsidRPr="00996FA3">
        <w:rPr>
          <w:rFonts w:ascii="Cambria" w:hAnsi="Cambria"/>
          <w:sz w:val="20"/>
          <w:szCs w:val="20"/>
          <w:lang w:val="es-ES"/>
        </w:rPr>
        <w:t xml:space="preserve">n 2015 se asignó la investigación a la Fiscalía 120 de la Dirección de Fiscalías </w:t>
      </w:r>
      <w:r w:rsidR="00E40FBE" w:rsidRPr="00996FA3">
        <w:rPr>
          <w:rFonts w:ascii="Cambria" w:hAnsi="Cambria"/>
          <w:sz w:val="20"/>
          <w:szCs w:val="20"/>
          <w:lang w:val="es-US"/>
        </w:rPr>
        <w:t>Nacionales</w:t>
      </w:r>
      <w:r w:rsidR="00E40FBE" w:rsidRPr="00996FA3">
        <w:rPr>
          <w:rFonts w:ascii="Cambria" w:hAnsi="Cambria"/>
          <w:sz w:val="20"/>
          <w:szCs w:val="20"/>
          <w:lang w:val="es-ES"/>
        </w:rPr>
        <w:t xml:space="preserve"> Especializadas de Derechos Humanos y Derecho Internacional Humanitario</w:t>
      </w:r>
      <w:r w:rsidR="00C7025F" w:rsidRPr="00996FA3">
        <w:rPr>
          <w:rFonts w:ascii="Cambria" w:hAnsi="Cambria"/>
          <w:sz w:val="20"/>
          <w:szCs w:val="20"/>
          <w:lang w:val="es-ES"/>
        </w:rPr>
        <w:t xml:space="preserve"> y </w:t>
      </w:r>
      <w:r w:rsidR="00E40FBE" w:rsidRPr="00996FA3">
        <w:rPr>
          <w:rFonts w:ascii="Cambria" w:hAnsi="Cambria"/>
          <w:sz w:val="20"/>
          <w:szCs w:val="20"/>
          <w:lang w:val="es-ES"/>
        </w:rPr>
        <w:t xml:space="preserve">ese mismo año se expidió una resolución para la práctica de pruebas con el fin de impulsar la investigación, solicitando actualizar datos biográficos, obtener hojas de vida, cédulas de los miembros del ejército que participaron en los hechos, así como ubicar la investigación disciplinaria en contra del Capitán Jairo Enrique Piñeros Segura y el Subteniente Samuel Jaime Soto. </w:t>
      </w:r>
      <w:r w:rsidR="004435A3" w:rsidRPr="00996FA3">
        <w:rPr>
          <w:rFonts w:ascii="Cambria" w:hAnsi="Cambria"/>
          <w:sz w:val="20"/>
          <w:szCs w:val="20"/>
          <w:lang w:val="es-ES"/>
        </w:rPr>
        <w:t>De acuerdo con lo</w:t>
      </w:r>
      <w:r w:rsidR="000428D6" w:rsidRPr="00996FA3">
        <w:rPr>
          <w:rFonts w:ascii="Cambria" w:hAnsi="Cambria"/>
          <w:sz w:val="20"/>
          <w:szCs w:val="20"/>
          <w:lang w:val="es-ES"/>
        </w:rPr>
        <w:t xml:space="preserve"> </w:t>
      </w:r>
      <w:r w:rsidR="004435A3" w:rsidRPr="00996FA3">
        <w:rPr>
          <w:rFonts w:ascii="Cambria" w:hAnsi="Cambria"/>
          <w:sz w:val="20"/>
          <w:szCs w:val="20"/>
          <w:lang w:val="es-ES"/>
        </w:rPr>
        <w:t xml:space="preserve">informado por la parte peticionaria, </w:t>
      </w:r>
      <w:r w:rsidR="00E40FBE" w:rsidRPr="00996FA3">
        <w:rPr>
          <w:rFonts w:ascii="Cambria" w:hAnsi="Cambria"/>
          <w:sz w:val="20"/>
          <w:szCs w:val="20"/>
          <w:lang w:val="es-ES"/>
        </w:rPr>
        <w:t>la investigación no ha</w:t>
      </w:r>
      <w:r w:rsidR="004435A3" w:rsidRPr="00996FA3">
        <w:rPr>
          <w:rFonts w:ascii="Cambria" w:hAnsi="Cambria"/>
          <w:sz w:val="20"/>
          <w:szCs w:val="20"/>
          <w:lang w:val="es-ES"/>
        </w:rPr>
        <w:t>bía</w:t>
      </w:r>
      <w:r w:rsidR="00E40FBE" w:rsidRPr="00996FA3">
        <w:rPr>
          <w:rFonts w:ascii="Cambria" w:hAnsi="Cambria"/>
          <w:sz w:val="20"/>
          <w:szCs w:val="20"/>
          <w:lang w:val="es-ES"/>
        </w:rPr>
        <w:t xml:space="preserve"> avanzado y no se ha</w:t>
      </w:r>
      <w:r w:rsidR="004435A3" w:rsidRPr="00996FA3">
        <w:rPr>
          <w:rFonts w:ascii="Cambria" w:hAnsi="Cambria"/>
          <w:sz w:val="20"/>
          <w:szCs w:val="20"/>
          <w:lang w:val="es-ES"/>
        </w:rPr>
        <w:t>bía</w:t>
      </w:r>
      <w:r w:rsidR="00E40FBE" w:rsidRPr="00996FA3">
        <w:rPr>
          <w:rFonts w:ascii="Cambria" w:hAnsi="Cambria"/>
          <w:sz w:val="20"/>
          <w:szCs w:val="20"/>
          <w:lang w:val="es-ES"/>
        </w:rPr>
        <w:t xml:space="preserve"> llamado a juicio a ninguna persona. </w:t>
      </w:r>
      <w:r w:rsidR="004435A3" w:rsidRPr="00996FA3">
        <w:rPr>
          <w:rFonts w:ascii="Cambria" w:hAnsi="Cambria"/>
          <w:sz w:val="20"/>
          <w:szCs w:val="20"/>
          <w:lang w:val="es-ES"/>
        </w:rPr>
        <w:t xml:space="preserve">Aunado a esto, </w:t>
      </w:r>
      <w:r w:rsidR="00E40FBE" w:rsidRPr="00996FA3">
        <w:rPr>
          <w:rFonts w:ascii="Cambria" w:hAnsi="Cambria"/>
          <w:sz w:val="20"/>
          <w:szCs w:val="20"/>
          <w:lang w:val="es-ES"/>
        </w:rPr>
        <w:t xml:space="preserve">a pesar de existir otros militares involucrados en los hechos, no se </w:t>
      </w:r>
      <w:r w:rsidR="00941DD7" w:rsidRPr="00996FA3">
        <w:rPr>
          <w:rFonts w:ascii="Cambria" w:hAnsi="Cambria"/>
          <w:sz w:val="20"/>
          <w:szCs w:val="20"/>
          <w:lang w:val="es-ES"/>
        </w:rPr>
        <w:t xml:space="preserve">realizó </w:t>
      </w:r>
      <w:r w:rsidR="00E40FBE" w:rsidRPr="00996FA3">
        <w:rPr>
          <w:rFonts w:ascii="Cambria" w:hAnsi="Cambria"/>
          <w:sz w:val="20"/>
          <w:szCs w:val="20"/>
          <w:lang w:val="es-ES"/>
        </w:rPr>
        <w:t>ninguna diligencia para sindicarlos en el proceso.</w:t>
      </w:r>
    </w:p>
    <w:p w14:paraId="3FC39F92" w14:textId="77777777" w:rsidR="00941DD7" w:rsidRPr="00996FA3" w:rsidRDefault="00941DD7" w:rsidP="00996FA3">
      <w:pPr>
        <w:tabs>
          <w:tab w:val="left" w:pos="360"/>
        </w:tabs>
        <w:spacing w:after="0" w:line="240" w:lineRule="auto"/>
        <w:jc w:val="both"/>
        <w:rPr>
          <w:rFonts w:ascii="Cambria" w:hAnsi="Cambria"/>
          <w:sz w:val="20"/>
          <w:szCs w:val="20"/>
          <w:lang w:val="es-ES"/>
        </w:rPr>
      </w:pPr>
    </w:p>
    <w:p w14:paraId="3E799A5B" w14:textId="19E8FD03" w:rsidR="00941DD7" w:rsidRPr="00996FA3" w:rsidRDefault="00941DD7" w:rsidP="00D720CC">
      <w:pPr>
        <w:tabs>
          <w:tab w:val="left" w:pos="540"/>
        </w:tabs>
        <w:spacing w:after="0" w:line="240" w:lineRule="auto"/>
        <w:jc w:val="both"/>
        <w:rPr>
          <w:rFonts w:ascii="Cambria" w:hAnsi="Cambria"/>
          <w:sz w:val="20"/>
          <w:szCs w:val="20"/>
          <w:lang w:val="es-ES"/>
        </w:rPr>
      </w:pPr>
      <w:r w:rsidRPr="00996FA3">
        <w:rPr>
          <w:rFonts w:ascii="Cambria" w:hAnsi="Cambria"/>
          <w:sz w:val="20"/>
          <w:szCs w:val="20"/>
          <w:lang w:val="es-ES"/>
        </w:rPr>
        <w:tab/>
      </w:r>
      <w:r w:rsidR="00D720CC">
        <w:rPr>
          <w:rFonts w:ascii="Cambria" w:hAnsi="Cambria"/>
          <w:sz w:val="20"/>
          <w:szCs w:val="20"/>
          <w:lang w:val="es-ES"/>
        </w:rPr>
        <w:t>Por otra parte, l</w:t>
      </w:r>
      <w:r w:rsidR="00E47347" w:rsidRPr="00996FA3">
        <w:rPr>
          <w:rFonts w:ascii="Cambria" w:hAnsi="Cambria"/>
          <w:sz w:val="20"/>
          <w:szCs w:val="20"/>
          <w:lang w:val="es-ES"/>
        </w:rPr>
        <w:t>a señora Lalin</w:t>
      </w:r>
      <w:r w:rsidR="00C2729C" w:rsidRPr="00996FA3">
        <w:rPr>
          <w:rFonts w:ascii="Cambria" w:hAnsi="Cambria"/>
          <w:sz w:val="20"/>
          <w:szCs w:val="20"/>
          <w:lang w:val="es-ES"/>
        </w:rPr>
        <w:t>d</w:t>
      </w:r>
      <w:r w:rsidR="00E47347" w:rsidRPr="00996FA3">
        <w:rPr>
          <w:rFonts w:ascii="Cambria" w:hAnsi="Cambria"/>
          <w:sz w:val="20"/>
          <w:szCs w:val="20"/>
          <w:lang w:val="es-ES"/>
        </w:rPr>
        <w:t xml:space="preserve">e </w:t>
      </w:r>
      <w:r w:rsidR="00C2729C" w:rsidRPr="00996FA3">
        <w:rPr>
          <w:rFonts w:ascii="Cambria" w:hAnsi="Cambria"/>
          <w:sz w:val="20"/>
          <w:szCs w:val="20"/>
          <w:lang w:val="es-ES"/>
        </w:rPr>
        <w:t xml:space="preserve">inició un procedimiento ante la jurisdicción contencioso-administrativa </w:t>
      </w:r>
      <w:r w:rsidR="00C809E8" w:rsidRPr="00996FA3">
        <w:rPr>
          <w:rFonts w:ascii="Cambria" w:hAnsi="Cambria"/>
          <w:sz w:val="20"/>
          <w:szCs w:val="20"/>
          <w:lang w:val="es-ES"/>
        </w:rPr>
        <w:t xml:space="preserve">por motivo de una decisión del </w:t>
      </w:r>
      <w:r w:rsidR="00BB755F" w:rsidRPr="00996FA3">
        <w:rPr>
          <w:rFonts w:ascii="Cambria" w:hAnsi="Cambria"/>
          <w:sz w:val="20"/>
          <w:szCs w:val="20"/>
          <w:lang w:val="es-ES"/>
        </w:rPr>
        <w:t xml:space="preserve">11 de septiembre de 1996 </w:t>
      </w:r>
      <w:r w:rsidR="00C809E8" w:rsidRPr="00996FA3">
        <w:rPr>
          <w:rFonts w:ascii="Cambria" w:hAnsi="Cambria"/>
          <w:sz w:val="20"/>
          <w:szCs w:val="20"/>
          <w:lang w:val="es-ES"/>
        </w:rPr>
        <w:t xml:space="preserve">en la cual </w:t>
      </w:r>
      <w:r w:rsidR="00BB755F" w:rsidRPr="00996FA3">
        <w:rPr>
          <w:rFonts w:ascii="Cambria" w:hAnsi="Cambria"/>
          <w:sz w:val="20"/>
          <w:szCs w:val="20"/>
          <w:lang w:val="es-ES"/>
        </w:rPr>
        <w:t xml:space="preserve">el Comité de Ministros rechazó </w:t>
      </w:r>
      <w:r w:rsidR="00C809E8" w:rsidRPr="00996FA3">
        <w:rPr>
          <w:rFonts w:ascii="Cambria" w:hAnsi="Cambria"/>
          <w:sz w:val="20"/>
          <w:szCs w:val="20"/>
          <w:lang w:val="es-ES"/>
        </w:rPr>
        <w:t>su</w:t>
      </w:r>
      <w:r w:rsidR="00BB755F" w:rsidRPr="00996FA3">
        <w:rPr>
          <w:rFonts w:ascii="Cambria" w:hAnsi="Cambria"/>
          <w:sz w:val="20"/>
          <w:szCs w:val="20"/>
          <w:lang w:val="es-ES"/>
        </w:rPr>
        <w:t xml:space="preserve"> solicitud de indemnización por la detención y muerte d</w:t>
      </w:r>
      <w:r w:rsidR="00D720CC">
        <w:rPr>
          <w:rFonts w:ascii="Cambria" w:hAnsi="Cambria"/>
          <w:sz w:val="20"/>
          <w:szCs w:val="20"/>
          <w:lang w:val="es-ES"/>
        </w:rPr>
        <w:t>el señor Lalinde</w:t>
      </w:r>
      <w:r w:rsidR="00BB755F" w:rsidRPr="00996FA3">
        <w:rPr>
          <w:rFonts w:ascii="Cambria" w:hAnsi="Cambria"/>
          <w:sz w:val="20"/>
          <w:szCs w:val="20"/>
          <w:lang w:val="es-ES"/>
        </w:rPr>
        <w:t xml:space="preserve">. </w:t>
      </w:r>
      <w:r w:rsidR="00055319" w:rsidRPr="00996FA3">
        <w:rPr>
          <w:rFonts w:ascii="Cambria" w:hAnsi="Cambria"/>
          <w:sz w:val="20"/>
          <w:szCs w:val="20"/>
          <w:lang w:val="es-ES"/>
        </w:rPr>
        <w:t>Como resultado de dicho proceso, se obtuv</w:t>
      </w:r>
      <w:r w:rsidR="00D720CC">
        <w:rPr>
          <w:rFonts w:ascii="Cambria" w:hAnsi="Cambria"/>
          <w:sz w:val="20"/>
          <w:szCs w:val="20"/>
          <w:lang w:val="es-ES"/>
        </w:rPr>
        <w:t>ieron</w:t>
      </w:r>
      <w:r w:rsidR="00996FA3" w:rsidRPr="00996FA3">
        <w:rPr>
          <w:rFonts w:ascii="Cambria" w:hAnsi="Cambria"/>
          <w:sz w:val="20"/>
          <w:szCs w:val="20"/>
          <w:lang w:val="es-ES"/>
        </w:rPr>
        <w:t xml:space="preserve"> dos resoluciones</w:t>
      </w:r>
      <w:r w:rsidR="00D720CC">
        <w:rPr>
          <w:rFonts w:ascii="Cambria" w:hAnsi="Cambria"/>
          <w:sz w:val="20"/>
          <w:szCs w:val="20"/>
          <w:lang w:val="es-ES"/>
        </w:rPr>
        <w:t>, d</w:t>
      </w:r>
      <w:r w:rsidR="00F97035" w:rsidRPr="00996FA3">
        <w:rPr>
          <w:rFonts w:ascii="Cambria" w:hAnsi="Cambria"/>
          <w:sz w:val="20"/>
          <w:szCs w:val="20"/>
          <w:lang w:val="es-ES"/>
        </w:rPr>
        <w:t xml:space="preserve">el 21 de noviembre de 2000 </w:t>
      </w:r>
      <w:r w:rsidR="005D1166" w:rsidRPr="00996FA3">
        <w:rPr>
          <w:rFonts w:ascii="Cambria" w:hAnsi="Cambria"/>
          <w:sz w:val="20"/>
          <w:szCs w:val="20"/>
          <w:lang w:val="es-ES"/>
        </w:rPr>
        <w:t>y</w:t>
      </w:r>
      <w:r w:rsidR="00996FA3" w:rsidRPr="00996FA3">
        <w:rPr>
          <w:rFonts w:ascii="Cambria" w:hAnsi="Cambria"/>
          <w:sz w:val="20"/>
          <w:szCs w:val="20"/>
          <w:lang w:val="es-ES"/>
        </w:rPr>
        <w:t xml:space="preserve"> </w:t>
      </w:r>
      <w:r w:rsidR="00D720CC">
        <w:rPr>
          <w:rFonts w:ascii="Cambria" w:hAnsi="Cambria"/>
          <w:sz w:val="20"/>
          <w:szCs w:val="20"/>
          <w:lang w:val="es-ES"/>
        </w:rPr>
        <w:t>d</w:t>
      </w:r>
      <w:r w:rsidR="005D1166" w:rsidRPr="00996FA3">
        <w:rPr>
          <w:rFonts w:ascii="Cambria" w:hAnsi="Cambria"/>
          <w:sz w:val="20"/>
          <w:szCs w:val="20"/>
          <w:lang w:val="es-ES"/>
        </w:rPr>
        <w:t>e</w:t>
      </w:r>
      <w:r w:rsidR="00065776" w:rsidRPr="00996FA3">
        <w:rPr>
          <w:rFonts w:ascii="Cambria" w:hAnsi="Cambria"/>
          <w:sz w:val="20"/>
          <w:szCs w:val="20"/>
          <w:lang w:val="es-ES"/>
        </w:rPr>
        <w:t>l 14 de junio de 2016</w:t>
      </w:r>
      <w:r w:rsidR="005D1166" w:rsidRPr="00996FA3">
        <w:rPr>
          <w:rFonts w:ascii="Cambria" w:hAnsi="Cambria"/>
          <w:sz w:val="20"/>
          <w:szCs w:val="20"/>
          <w:lang w:val="es-ES"/>
        </w:rPr>
        <w:t xml:space="preserve">, </w:t>
      </w:r>
      <w:r w:rsidR="00996FA3" w:rsidRPr="00996FA3">
        <w:rPr>
          <w:rFonts w:ascii="Cambria" w:hAnsi="Cambria"/>
          <w:sz w:val="20"/>
          <w:szCs w:val="20"/>
          <w:lang w:val="es-ES"/>
        </w:rPr>
        <w:t>en las cuales se reconoc</w:t>
      </w:r>
      <w:r w:rsidR="00D720CC">
        <w:rPr>
          <w:rFonts w:ascii="Cambria" w:hAnsi="Cambria"/>
          <w:sz w:val="20"/>
          <w:szCs w:val="20"/>
          <w:lang w:val="es-ES"/>
        </w:rPr>
        <w:t>ió</w:t>
      </w:r>
      <w:r w:rsidR="00996FA3" w:rsidRPr="00996FA3">
        <w:rPr>
          <w:rFonts w:ascii="Cambria" w:hAnsi="Cambria"/>
          <w:sz w:val="20"/>
          <w:szCs w:val="20"/>
          <w:lang w:val="es-ES"/>
        </w:rPr>
        <w:t xml:space="preserve"> el pago por concepto de perjuicios morales y </w:t>
      </w:r>
      <w:r w:rsidR="00065776" w:rsidRPr="00996FA3">
        <w:rPr>
          <w:rFonts w:ascii="Cambria" w:hAnsi="Cambria"/>
          <w:sz w:val="20"/>
          <w:szCs w:val="20"/>
          <w:lang w:val="es-ES"/>
        </w:rPr>
        <w:t>por concepto de daño emergente y lucro cesante por la muerte de</w:t>
      </w:r>
      <w:r w:rsidR="00996FA3" w:rsidRPr="00996FA3">
        <w:rPr>
          <w:rFonts w:ascii="Cambria" w:hAnsi="Cambria"/>
          <w:sz w:val="20"/>
          <w:szCs w:val="20"/>
          <w:lang w:val="es-ES"/>
        </w:rPr>
        <w:t>l señor Lalinde</w:t>
      </w:r>
      <w:r w:rsidR="00065776" w:rsidRPr="00996FA3">
        <w:rPr>
          <w:rFonts w:ascii="Cambria" w:hAnsi="Cambria"/>
          <w:sz w:val="20"/>
          <w:szCs w:val="20"/>
          <w:lang w:val="es-ES"/>
        </w:rPr>
        <w:t xml:space="preserve">. </w:t>
      </w:r>
    </w:p>
    <w:p w14:paraId="780E9D63" w14:textId="77777777" w:rsidR="00996FA3" w:rsidRPr="00996FA3" w:rsidRDefault="00996FA3" w:rsidP="00996FA3">
      <w:pPr>
        <w:tabs>
          <w:tab w:val="left" w:pos="360"/>
        </w:tabs>
        <w:spacing w:after="0" w:line="240" w:lineRule="auto"/>
        <w:jc w:val="both"/>
        <w:rPr>
          <w:rFonts w:ascii="Cambria" w:hAnsi="Cambria"/>
          <w:sz w:val="20"/>
          <w:szCs w:val="20"/>
          <w:lang w:val="es-ES"/>
        </w:rPr>
      </w:pPr>
    </w:p>
    <w:p w14:paraId="79CF4725" w14:textId="40C9DB38" w:rsidR="000104D9" w:rsidRPr="00996FA3" w:rsidRDefault="004404C6" w:rsidP="004404C6">
      <w:pPr>
        <w:tabs>
          <w:tab w:val="left" w:pos="0"/>
          <w:tab w:val="left" w:pos="540"/>
        </w:tabs>
        <w:spacing w:after="0" w:line="240" w:lineRule="auto"/>
        <w:jc w:val="both"/>
        <w:rPr>
          <w:rFonts w:ascii="Cambria" w:hAnsi="Cambria"/>
          <w:sz w:val="20"/>
          <w:szCs w:val="20"/>
          <w:lang w:val="es-PE"/>
        </w:rPr>
      </w:pPr>
      <w:r>
        <w:rPr>
          <w:rFonts w:ascii="Cambria" w:hAnsi="Cambria"/>
          <w:sz w:val="20"/>
          <w:szCs w:val="20"/>
          <w:lang w:val="es-ES"/>
        </w:rPr>
        <w:tab/>
      </w:r>
      <w:r w:rsidR="00426C8A" w:rsidRPr="00996FA3">
        <w:rPr>
          <w:rFonts w:ascii="Cambria" w:hAnsi="Cambria"/>
          <w:sz w:val="20"/>
          <w:szCs w:val="20"/>
          <w:lang w:val="es-ES"/>
        </w:rPr>
        <w:t xml:space="preserve">En su </w:t>
      </w:r>
      <w:r w:rsidR="004918B3" w:rsidRPr="00996FA3">
        <w:rPr>
          <w:rFonts w:ascii="Cambria" w:hAnsi="Cambria"/>
          <w:sz w:val="20"/>
          <w:szCs w:val="20"/>
          <w:lang w:val="es-ES"/>
        </w:rPr>
        <w:t>I</w:t>
      </w:r>
      <w:r w:rsidR="00426C8A" w:rsidRPr="00996FA3">
        <w:rPr>
          <w:rFonts w:ascii="Cambria" w:hAnsi="Cambria"/>
          <w:sz w:val="20"/>
          <w:szCs w:val="20"/>
          <w:lang w:val="es-ES"/>
        </w:rPr>
        <w:t xml:space="preserve">nforme de </w:t>
      </w:r>
      <w:r w:rsidR="004918B3" w:rsidRPr="00996FA3">
        <w:rPr>
          <w:rFonts w:ascii="Cambria" w:hAnsi="Cambria"/>
          <w:sz w:val="20"/>
          <w:szCs w:val="20"/>
          <w:lang w:val="es-ES"/>
        </w:rPr>
        <w:t>F</w:t>
      </w:r>
      <w:r w:rsidR="00426C8A" w:rsidRPr="00996FA3">
        <w:rPr>
          <w:rFonts w:ascii="Cambria" w:hAnsi="Cambria"/>
          <w:sz w:val="20"/>
          <w:szCs w:val="20"/>
          <w:lang w:val="es-ES"/>
        </w:rPr>
        <w:t>ondo</w:t>
      </w:r>
      <w:r w:rsidR="00D91DE8" w:rsidRPr="00996FA3">
        <w:rPr>
          <w:rFonts w:ascii="Cambria" w:hAnsi="Cambria"/>
          <w:sz w:val="20"/>
          <w:szCs w:val="20"/>
          <w:lang w:val="es-ES"/>
        </w:rPr>
        <w:t xml:space="preserve"> No. 292/21</w:t>
      </w:r>
      <w:r w:rsidR="00426C8A" w:rsidRPr="00996FA3">
        <w:rPr>
          <w:rFonts w:ascii="Cambria" w:hAnsi="Cambria"/>
          <w:sz w:val="20"/>
          <w:szCs w:val="20"/>
          <w:lang w:val="es-ES"/>
        </w:rPr>
        <w:t xml:space="preserve"> la C</w:t>
      </w:r>
      <w:r w:rsidR="00D92B20" w:rsidRPr="00996FA3">
        <w:rPr>
          <w:rFonts w:ascii="Cambria" w:hAnsi="Cambria"/>
          <w:sz w:val="20"/>
          <w:szCs w:val="20"/>
          <w:lang w:val="es-ES"/>
        </w:rPr>
        <w:t>omisión</w:t>
      </w:r>
      <w:r w:rsidR="00426C8A" w:rsidRPr="00996FA3">
        <w:rPr>
          <w:rFonts w:ascii="Cambria" w:hAnsi="Cambria"/>
          <w:sz w:val="20"/>
          <w:szCs w:val="20"/>
          <w:lang w:val="es-ES"/>
        </w:rPr>
        <w:t xml:space="preserve"> </w:t>
      </w:r>
      <w:r w:rsidR="00197939" w:rsidRPr="00996FA3">
        <w:rPr>
          <w:rFonts w:ascii="Cambria" w:hAnsi="Cambria"/>
          <w:sz w:val="20"/>
          <w:szCs w:val="20"/>
          <w:lang w:val="es-ES"/>
        </w:rPr>
        <w:t xml:space="preserve">observó </w:t>
      </w:r>
      <w:r w:rsidR="00F6547C" w:rsidRPr="00996FA3">
        <w:rPr>
          <w:rFonts w:ascii="Cambria" w:hAnsi="Cambria"/>
          <w:sz w:val="20"/>
          <w:szCs w:val="20"/>
          <w:lang w:val="es-ES"/>
        </w:rPr>
        <w:t>que,</w:t>
      </w:r>
      <w:r w:rsidR="00197939" w:rsidRPr="00996FA3">
        <w:rPr>
          <w:rFonts w:ascii="Cambria" w:hAnsi="Cambria"/>
          <w:sz w:val="20"/>
          <w:szCs w:val="20"/>
          <w:lang w:val="es-ES"/>
        </w:rPr>
        <w:t xml:space="preserve"> </w:t>
      </w:r>
      <w:r w:rsidR="00F95EEE" w:rsidRPr="00996FA3">
        <w:rPr>
          <w:rFonts w:ascii="Cambria" w:hAnsi="Cambria"/>
          <w:sz w:val="20"/>
          <w:szCs w:val="20"/>
          <w:lang w:val="es-PE"/>
        </w:rPr>
        <w:t>si bien luego de los hechos se abrieron investigaciones tanto en la jurisdicción penal ordinaria como en la jurisdicción penal militar, esta última realizó prácticamente todas las diligencias iniciale</w:t>
      </w:r>
      <w:r w:rsidR="00197939" w:rsidRPr="00996FA3">
        <w:rPr>
          <w:rFonts w:ascii="Cambria" w:hAnsi="Cambria"/>
          <w:sz w:val="20"/>
          <w:szCs w:val="20"/>
          <w:lang w:val="es-PE"/>
        </w:rPr>
        <w:t xml:space="preserve">s y que </w:t>
      </w:r>
      <w:r w:rsidR="00F95EEE" w:rsidRPr="00996FA3">
        <w:rPr>
          <w:rFonts w:ascii="Cambria" w:hAnsi="Cambria"/>
          <w:sz w:val="20"/>
          <w:szCs w:val="20"/>
          <w:lang w:val="es-PE"/>
        </w:rPr>
        <w:t>en 1990 se pasó por completo toda la investigación a la jurisdicción penal militar.</w:t>
      </w:r>
      <w:r w:rsidR="00D720CC">
        <w:rPr>
          <w:rFonts w:ascii="Cambria" w:hAnsi="Cambria"/>
          <w:sz w:val="20"/>
          <w:szCs w:val="20"/>
          <w:lang w:val="es-PE"/>
        </w:rPr>
        <w:t xml:space="preserve"> </w:t>
      </w:r>
      <w:r w:rsidR="000104D9" w:rsidRPr="00996FA3">
        <w:rPr>
          <w:rFonts w:ascii="Cambria" w:hAnsi="Cambria"/>
          <w:sz w:val="20"/>
          <w:szCs w:val="20"/>
          <w:lang w:val="es-PE"/>
        </w:rPr>
        <w:t xml:space="preserve">Con respecto al fuero militar, </w:t>
      </w:r>
      <w:r w:rsidR="000104D9" w:rsidRPr="00996FA3">
        <w:rPr>
          <w:rFonts w:ascii="Cambria" w:hAnsi="Cambria"/>
          <w:sz w:val="20"/>
          <w:szCs w:val="20"/>
          <w:lang w:val="es-ES_tradnl"/>
        </w:rPr>
        <w:t>la</w:t>
      </w:r>
      <w:r w:rsidR="000104D9" w:rsidRPr="00996FA3">
        <w:rPr>
          <w:rFonts w:ascii="Cambria" w:hAnsi="Cambria"/>
          <w:sz w:val="20"/>
          <w:szCs w:val="20"/>
          <w:lang w:val="es-ES"/>
        </w:rPr>
        <w:t xml:space="preserve"> Comisión resaltó que, tratándose de violaciones de derechos humanos y puntualmente de violaciones de los derechos a la vida e integridad personal, los hechos no pueden ser considerados en forma alguna</w:t>
      </w:r>
      <w:r w:rsidR="00F9293D">
        <w:rPr>
          <w:rFonts w:ascii="Cambria" w:hAnsi="Cambria"/>
          <w:sz w:val="20"/>
          <w:szCs w:val="20"/>
          <w:lang w:val="es-ES"/>
        </w:rPr>
        <w:t xml:space="preserve"> </w:t>
      </w:r>
      <w:r w:rsidR="000104D9" w:rsidRPr="00996FA3">
        <w:rPr>
          <w:rFonts w:ascii="Cambria" w:hAnsi="Cambria"/>
          <w:sz w:val="20"/>
          <w:szCs w:val="20"/>
          <w:lang w:val="es-ES"/>
        </w:rPr>
        <w:t>delitos de función y, por lo tanto, la investigación debió adelantarse en el fuero ordinario.</w:t>
      </w:r>
      <w:r w:rsidR="00897C24">
        <w:rPr>
          <w:rFonts w:ascii="Cambria" w:hAnsi="Cambria"/>
          <w:sz w:val="20"/>
          <w:szCs w:val="20"/>
          <w:lang w:val="es-PE"/>
        </w:rPr>
        <w:t xml:space="preserve"> </w:t>
      </w:r>
      <w:r w:rsidR="000104D9" w:rsidRPr="00996FA3">
        <w:rPr>
          <w:rFonts w:ascii="Cambria" w:hAnsi="Cambria"/>
          <w:sz w:val="20"/>
          <w:szCs w:val="20"/>
          <w:lang w:val="es-CL"/>
        </w:rPr>
        <w:t>En virtud de</w:t>
      </w:r>
      <w:r w:rsidR="00897C24">
        <w:rPr>
          <w:rFonts w:ascii="Cambria" w:hAnsi="Cambria"/>
          <w:sz w:val="20"/>
          <w:szCs w:val="20"/>
          <w:lang w:val="es-CL"/>
        </w:rPr>
        <w:t xml:space="preserve"> esto</w:t>
      </w:r>
      <w:r w:rsidR="000104D9" w:rsidRPr="00996FA3">
        <w:rPr>
          <w:rFonts w:ascii="Cambria" w:hAnsi="Cambria"/>
          <w:sz w:val="20"/>
          <w:szCs w:val="20"/>
          <w:lang w:val="es-CL"/>
        </w:rPr>
        <w:t>, la Comisión concluy</w:t>
      </w:r>
      <w:r w:rsidR="00501567" w:rsidRPr="00996FA3">
        <w:rPr>
          <w:rFonts w:ascii="Cambria" w:hAnsi="Cambria"/>
          <w:sz w:val="20"/>
          <w:szCs w:val="20"/>
          <w:lang w:val="es-CL"/>
        </w:rPr>
        <w:t>ó</w:t>
      </w:r>
      <w:r w:rsidR="000104D9" w:rsidRPr="00996FA3">
        <w:rPr>
          <w:rFonts w:ascii="Cambria" w:hAnsi="Cambria"/>
          <w:sz w:val="20"/>
          <w:szCs w:val="20"/>
          <w:lang w:val="es-CL"/>
        </w:rPr>
        <w:t xml:space="preserve"> que</w:t>
      </w:r>
      <w:r w:rsidR="005375E2" w:rsidRPr="00996FA3">
        <w:rPr>
          <w:rFonts w:ascii="Cambria" w:hAnsi="Cambria"/>
          <w:sz w:val="20"/>
          <w:szCs w:val="20"/>
          <w:lang w:val="es-CL"/>
        </w:rPr>
        <w:t xml:space="preserve">, </w:t>
      </w:r>
      <w:r w:rsidR="000104D9" w:rsidRPr="00996FA3">
        <w:rPr>
          <w:rFonts w:ascii="Cambria" w:hAnsi="Cambria"/>
          <w:sz w:val="20"/>
          <w:szCs w:val="20"/>
          <w:lang w:val="es-CL"/>
        </w:rPr>
        <w:t>al aplicar la jurisdicción penal militar</w:t>
      </w:r>
      <w:r w:rsidR="00B13F42" w:rsidRPr="00996FA3">
        <w:rPr>
          <w:rFonts w:ascii="Cambria" w:hAnsi="Cambria"/>
          <w:sz w:val="20"/>
          <w:szCs w:val="20"/>
          <w:lang w:val="es-CL"/>
        </w:rPr>
        <w:t xml:space="preserve">, </w:t>
      </w:r>
      <w:r w:rsidR="000104D9" w:rsidRPr="00996FA3">
        <w:rPr>
          <w:rFonts w:ascii="Cambria" w:hAnsi="Cambria"/>
          <w:sz w:val="20"/>
          <w:szCs w:val="20"/>
          <w:lang w:val="es-CL"/>
        </w:rPr>
        <w:t>el Estado colombiano violó los derechos a las garantías judiciales y protección judicial, específicamente el derecho a contar con una autoridad competente, independiente e imparcial, así como a contar con un recurso judicial adecuado y efectivo</w:t>
      </w:r>
      <w:r w:rsidR="005375E2" w:rsidRPr="00996FA3">
        <w:rPr>
          <w:rFonts w:ascii="Cambria" w:hAnsi="Cambria"/>
          <w:sz w:val="20"/>
          <w:szCs w:val="20"/>
          <w:lang w:val="es-CL"/>
        </w:rPr>
        <w:t xml:space="preserve">. </w:t>
      </w:r>
    </w:p>
    <w:p w14:paraId="1FAF0321" w14:textId="0170C198" w:rsidR="00B13F42" w:rsidRDefault="00B13F42" w:rsidP="00996FA3">
      <w:pPr>
        <w:pStyle w:val="parrafos"/>
        <w:tabs>
          <w:tab w:val="left" w:pos="360"/>
        </w:tabs>
        <w:rPr>
          <w:lang w:val="es-PE"/>
        </w:rPr>
      </w:pPr>
    </w:p>
    <w:p w14:paraId="5DBF9DC3" w14:textId="1B142EDD" w:rsidR="004404C6" w:rsidRDefault="004404C6" w:rsidP="00996FA3">
      <w:pPr>
        <w:pStyle w:val="parrafos"/>
        <w:tabs>
          <w:tab w:val="left" w:pos="360"/>
        </w:tabs>
        <w:rPr>
          <w:lang w:val="es-PE"/>
        </w:rPr>
      </w:pPr>
    </w:p>
    <w:p w14:paraId="70569E3D" w14:textId="46016EB7" w:rsidR="004404C6" w:rsidRDefault="004404C6" w:rsidP="00996FA3">
      <w:pPr>
        <w:pStyle w:val="parrafos"/>
        <w:tabs>
          <w:tab w:val="left" w:pos="360"/>
        </w:tabs>
        <w:rPr>
          <w:lang w:val="es-PE"/>
        </w:rPr>
      </w:pPr>
    </w:p>
    <w:p w14:paraId="40013354" w14:textId="091AF6FC" w:rsidR="004404C6" w:rsidRDefault="004404C6" w:rsidP="00996FA3">
      <w:pPr>
        <w:pStyle w:val="parrafos"/>
        <w:tabs>
          <w:tab w:val="left" w:pos="360"/>
        </w:tabs>
        <w:rPr>
          <w:lang w:val="es-PE"/>
        </w:rPr>
      </w:pPr>
    </w:p>
    <w:p w14:paraId="6A81D060" w14:textId="77777777" w:rsidR="004404C6" w:rsidRPr="00996FA3" w:rsidRDefault="004404C6" w:rsidP="00996FA3">
      <w:pPr>
        <w:pStyle w:val="parrafos"/>
        <w:tabs>
          <w:tab w:val="left" w:pos="360"/>
        </w:tabs>
        <w:rPr>
          <w:lang w:val="es-PE"/>
        </w:rPr>
      </w:pPr>
    </w:p>
    <w:p w14:paraId="2F35049B" w14:textId="41D0C72D" w:rsidR="005C571D" w:rsidRPr="00996FA3" w:rsidRDefault="00996FA3" w:rsidP="004404C6">
      <w:pPr>
        <w:pStyle w:val="parrafos"/>
        <w:tabs>
          <w:tab w:val="left" w:pos="540"/>
        </w:tabs>
        <w:rPr>
          <w:lang w:val="es-US"/>
        </w:rPr>
      </w:pPr>
      <w:r w:rsidRPr="00996FA3">
        <w:rPr>
          <w:lang w:val="es-PE"/>
        </w:rPr>
        <w:tab/>
      </w:r>
      <w:r w:rsidR="0070689D" w:rsidRPr="00996FA3">
        <w:rPr>
          <w:lang w:val="es-PE"/>
        </w:rPr>
        <w:t>Con respecto a la</w:t>
      </w:r>
      <w:r w:rsidR="002079C3" w:rsidRPr="00996FA3">
        <w:rPr>
          <w:lang w:val="es-PE"/>
        </w:rPr>
        <w:t xml:space="preserve"> debida diligencia en la</w:t>
      </w:r>
      <w:r w:rsidR="0070689D" w:rsidRPr="00996FA3">
        <w:rPr>
          <w:lang w:val="es-PE"/>
        </w:rPr>
        <w:t xml:space="preserve"> investigación</w:t>
      </w:r>
      <w:r w:rsidR="009A4543" w:rsidRPr="00996FA3">
        <w:rPr>
          <w:lang w:val="es-PE"/>
        </w:rPr>
        <w:t xml:space="preserve">, la Comisión observó que </w:t>
      </w:r>
      <w:r w:rsidR="00662CCA" w:rsidRPr="00996FA3">
        <w:rPr>
          <w:rFonts w:eastAsia="Calibri"/>
          <w:color w:val="auto"/>
          <w:bdr w:val="none" w:sz="0" w:space="0" w:color="auto"/>
          <w:lang w:val="es-PE"/>
        </w:rPr>
        <w:t xml:space="preserve">no </w:t>
      </w:r>
      <w:r w:rsidR="00662CCA" w:rsidRPr="00996FA3">
        <w:rPr>
          <w:lang w:val="es-US"/>
        </w:rPr>
        <w:t>consta</w:t>
      </w:r>
      <w:r w:rsidR="009A4543" w:rsidRPr="00996FA3">
        <w:rPr>
          <w:lang w:val="es-US"/>
        </w:rPr>
        <w:t>ba</w:t>
      </w:r>
      <w:r w:rsidR="00662CCA" w:rsidRPr="00996FA3">
        <w:rPr>
          <w:lang w:val="es-US"/>
        </w:rPr>
        <w:t xml:space="preserve"> en el expediente </w:t>
      </w:r>
      <w:r w:rsidR="009A4543" w:rsidRPr="00996FA3">
        <w:rPr>
          <w:lang w:val="es-US"/>
        </w:rPr>
        <w:t>que las autoridades</w:t>
      </w:r>
      <w:r w:rsidR="00662CCA" w:rsidRPr="00996FA3">
        <w:rPr>
          <w:lang w:val="es-US"/>
        </w:rPr>
        <w:t xml:space="preserve"> haya</w:t>
      </w:r>
      <w:r w:rsidR="009A4543" w:rsidRPr="00996FA3">
        <w:rPr>
          <w:lang w:val="es-US"/>
        </w:rPr>
        <w:t>n</w:t>
      </w:r>
      <w:r w:rsidR="00662CCA" w:rsidRPr="00996FA3">
        <w:rPr>
          <w:lang w:val="es-US"/>
        </w:rPr>
        <w:t xml:space="preserve"> preservado el lugar donde el señor Lalinde fue enterrad</w:t>
      </w:r>
      <w:r w:rsidR="009A4543" w:rsidRPr="00996FA3">
        <w:rPr>
          <w:lang w:val="es-US"/>
        </w:rPr>
        <w:t xml:space="preserve">o </w:t>
      </w:r>
      <w:r w:rsidR="00662CCA" w:rsidRPr="00996FA3">
        <w:rPr>
          <w:lang w:val="es-US"/>
        </w:rPr>
        <w:t>a efectos de recoger y conservar muestras de sangre, cabello u otras pistas</w:t>
      </w:r>
      <w:r w:rsidR="009E3925" w:rsidRPr="00996FA3">
        <w:rPr>
          <w:lang w:val="es-US"/>
        </w:rPr>
        <w:t xml:space="preserve"> y</w:t>
      </w:r>
      <w:r w:rsidR="00662CCA" w:rsidRPr="00996FA3">
        <w:rPr>
          <w:lang w:val="es-US"/>
        </w:rPr>
        <w:t xml:space="preserve"> examinar el área en búsqueda de huellas de zapatos o de vehículos que pudieran servir como pistas o evidencias de lo sucedido. </w:t>
      </w:r>
      <w:r w:rsidR="009E3925" w:rsidRPr="00996FA3">
        <w:rPr>
          <w:lang w:val="es-US"/>
        </w:rPr>
        <w:t xml:space="preserve">Asimismo, consideró que </w:t>
      </w:r>
      <w:r w:rsidR="00662CCA" w:rsidRPr="00996FA3">
        <w:rPr>
          <w:lang w:val="es-US"/>
        </w:rPr>
        <w:t>todas las diligencias ante la jurisdicción penal militar estuvieron enfocadas en negar que el señor Lalinde haya sido la víctima de lo sucedido, y que la persona asesinada habría sido un guerrillero apodado con el alias “Jacinto”. A ello se suma que en las diligencias de exhumación no se permitió la presencia de su madre, Fabiola Lalinde, quien podría haber identificado a su hijo</w:t>
      </w:r>
      <w:r w:rsidR="005C571D" w:rsidRPr="00996FA3">
        <w:rPr>
          <w:lang w:val="es-US"/>
        </w:rPr>
        <w:t xml:space="preserve">, lo cual </w:t>
      </w:r>
      <w:r w:rsidR="00662CCA" w:rsidRPr="00996FA3">
        <w:rPr>
          <w:lang w:val="es-US"/>
        </w:rPr>
        <w:t xml:space="preserve">constituyó un grave obstáculo en las investigaciones iniciales.  </w:t>
      </w:r>
    </w:p>
    <w:p w14:paraId="7FAC0EA6" w14:textId="77777777" w:rsidR="005C571D" w:rsidRPr="00996FA3" w:rsidRDefault="005C571D" w:rsidP="00996FA3">
      <w:pPr>
        <w:pStyle w:val="parrafos"/>
        <w:tabs>
          <w:tab w:val="left" w:pos="360"/>
        </w:tabs>
        <w:rPr>
          <w:lang w:val="es-US"/>
        </w:rPr>
      </w:pPr>
    </w:p>
    <w:p w14:paraId="62B3638E" w14:textId="4E1A3776" w:rsidR="00662CCA" w:rsidRPr="00897C24" w:rsidRDefault="00996FA3" w:rsidP="004404C6">
      <w:pPr>
        <w:pStyle w:val="parrafos"/>
        <w:tabs>
          <w:tab w:val="left" w:pos="540"/>
        </w:tabs>
        <w:rPr>
          <w:lang w:val="es-US"/>
        </w:rPr>
      </w:pPr>
      <w:r w:rsidRPr="00996FA3">
        <w:rPr>
          <w:rFonts w:eastAsia="Calibri"/>
          <w:color w:val="auto"/>
          <w:bdr w:val="none" w:sz="0" w:space="0" w:color="auto"/>
          <w:lang w:val="es-PE"/>
        </w:rPr>
        <w:tab/>
      </w:r>
      <w:r w:rsidR="00662CCA" w:rsidRPr="00996FA3">
        <w:rPr>
          <w:rFonts w:eastAsia="Calibri"/>
          <w:color w:val="auto"/>
          <w:bdr w:val="none" w:sz="0" w:space="0" w:color="auto"/>
          <w:lang w:val="es-PE"/>
        </w:rPr>
        <w:t>La Comisión también not</w:t>
      </w:r>
      <w:r w:rsidR="005C571D" w:rsidRPr="00996FA3">
        <w:rPr>
          <w:rFonts w:eastAsia="Calibri"/>
          <w:color w:val="auto"/>
          <w:bdr w:val="none" w:sz="0" w:space="0" w:color="auto"/>
          <w:lang w:val="es-PE"/>
        </w:rPr>
        <w:t>ó</w:t>
      </w:r>
      <w:r w:rsidR="00662CCA" w:rsidRPr="00996FA3">
        <w:rPr>
          <w:rFonts w:eastAsia="Calibri"/>
          <w:color w:val="auto"/>
          <w:bdr w:val="none" w:sz="0" w:space="0" w:color="auto"/>
          <w:lang w:val="es-PE"/>
        </w:rPr>
        <w:t xml:space="preserve"> que las autoridades militares se abstuvieron de imponer medidas de aseguramiento en contra de dos agentes estatales involucrados debido a que la víctima había sido “dada de baja” en combate</w:t>
      </w:r>
      <w:r w:rsidR="006A69DF" w:rsidRPr="00996FA3">
        <w:rPr>
          <w:rFonts w:eastAsia="Calibri"/>
          <w:color w:val="auto"/>
          <w:bdr w:val="none" w:sz="0" w:space="0" w:color="auto"/>
          <w:lang w:val="es-PE"/>
        </w:rPr>
        <w:t xml:space="preserve"> y que</w:t>
      </w:r>
      <w:r w:rsidR="00897C24">
        <w:rPr>
          <w:rFonts w:eastAsia="Calibri"/>
          <w:color w:val="auto"/>
          <w:bdr w:val="none" w:sz="0" w:space="0" w:color="auto"/>
          <w:lang w:val="es-PE"/>
        </w:rPr>
        <w:t xml:space="preserve">, </w:t>
      </w:r>
      <w:r w:rsidR="00662CCA" w:rsidRPr="00996FA3">
        <w:rPr>
          <w:rFonts w:eastAsia="Calibri"/>
          <w:color w:val="auto"/>
          <w:bdr w:val="none" w:sz="0" w:space="0" w:color="auto"/>
          <w:lang w:val="es-PE"/>
        </w:rPr>
        <w:t>a pesar de los múltiples reclamamos de los familiares del señor Lalinde, las autoridades militares confirmaron en abril de 1999 que el proceso debía cerrarse por no haber identificado ninguna responsabilidad en el caso</w:t>
      </w:r>
      <w:r w:rsidR="00087A01" w:rsidRPr="00996FA3">
        <w:rPr>
          <w:rFonts w:eastAsia="Calibri"/>
          <w:color w:val="auto"/>
          <w:bdr w:val="none" w:sz="0" w:space="0" w:color="auto"/>
          <w:lang w:val="es-PE"/>
        </w:rPr>
        <w:t xml:space="preserve"> </w:t>
      </w:r>
      <w:r w:rsidR="00A20D7D">
        <w:rPr>
          <w:rFonts w:eastAsia="Calibri"/>
          <w:color w:val="auto"/>
          <w:bdr w:val="none" w:sz="0" w:space="0" w:color="auto"/>
          <w:lang w:val="es-PE"/>
        </w:rPr>
        <w:t xml:space="preserve">sin </w:t>
      </w:r>
      <w:r w:rsidR="00082F6D">
        <w:rPr>
          <w:rFonts w:eastAsia="Calibri"/>
          <w:color w:val="auto"/>
          <w:bdr w:val="none" w:sz="0" w:space="0" w:color="auto"/>
          <w:lang w:val="es-PE"/>
        </w:rPr>
        <w:t xml:space="preserve">practicar </w:t>
      </w:r>
      <w:r w:rsidR="00662CCA" w:rsidRPr="00996FA3">
        <w:rPr>
          <w:rFonts w:eastAsia="Calibri"/>
          <w:color w:val="auto"/>
          <w:bdr w:val="none" w:sz="0" w:space="0" w:color="auto"/>
          <w:lang w:val="es-PE"/>
        </w:rPr>
        <w:t>ninguna diligencia destinada a efectos de valorar otro tipo de prueba</w:t>
      </w:r>
      <w:r w:rsidR="00087A01" w:rsidRPr="00996FA3">
        <w:rPr>
          <w:rFonts w:eastAsia="Calibri"/>
          <w:color w:val="auto"/>
          <w:bdr w:val="none" w:sz="0" w:space="0" w:color="auto"/>
          <w:lang w:val="es-PE"/>
        </w:rPr>
        <w:t>.</w:t>
      </w:r>
      <w:r w:rsidR="00897C24">
        <w:rPr>
          <w:rFonts w:eastAsia="Calibri"/>
          <w:color w:val="auto"/>
          <w:bdr w:val="none" w:sz="0" w:space="0" w:color="auto"/>
          <w:lang w:val="es-PE"/>
        </w:rPr>
        <w:t xml:space="preserve"> </w:t>
      </w:r>
      <w:r w:rsidR="00F23778" w:rsidRPr="00996FA3">
        <w:rPr>
          <w:rFonts w:eastAsia="Calibri"/>
          <w:color w:val="auto"/>
          <w:bdr w:val="none" w:sz="0" w:space="0" w:color="auto"/>
          <w:lang w:val="es-PE"/>
        </w:rPr>
        <w:t>De igual manera, l</w:t>
      </w:r>
      <w:r w:rsidR="00662CCA" w:rsidRPr="00996FA3">
        <w:rPr>
          <w:rFonts w:eastAsia="Calibri"/>
          <w:color w:val="auto"/>
          <w:bdr w:val="none" w:sz="0" w:space="0" w:color="auto"/>
          <w:lang w:val="es-PE"/>
        </w:rPr>
        <w:t>a Comisión not</w:t>
      </w:r>
      <w:r w:rsidR="00F23778" w:rsidRPr="00996FA3">
        <w:rPr>
          <w:rFonts w:eastAsia="Calibri"/>
          <w:color w:val="auto"/>
          <w:bdr w:val="none" w:sz="0" w:space="0" w:color="auto"/>
          <w:lang w:val="es-PE"/>
        </w:rPr>
        <w:t>ó</w:t>
      </w:r>
      <w:r w:rsidR="00662CCA" w:rsidRPr="00996FA3">
        <w:rPr>
          <w:rFonts w:eastAsia="Calibri"/>
          <w:color w:val="auto"/>
          <w:bdr w:val="none" w:sz="0" w:space="0" w:color="auto"/>
          <w:lang w:val="es-PE"/>
        </w:rPr>
        <w:t xml:space="preserve"> que luego del cierre de la investigación ante la jurisdicción penal militar, hubo una inactividad procesal de más de una década, hasta que se abrió el caso ante la jurisdicción penal ordinaria</w:t>
      </w:r>
      <w:r w:rsidR="00F23778" w:rsidRPr="00996FA3">
        <w:rPr>
          <w:rFonts w:eastAsia="Calibri"/>
          <w:color w:val="auto"/>
          <w:bdr w:val="none" w:sz="0" w:space="0" w:color="auto"/>
          <w:lang w:val="es-PE"/>
        </w:rPr>
        <w:t>,</w:t>
      </w:r>
      <w:r w:rsidR="00662CCA" w:rsidRPr="00996FA3">
        <w:rPr>
          <w:rFonts w:eastAsia="Calibri"/>
          <w:color w:val="auto"/>
          <w:bdr w:val="none" w:sz="0" w:space="0" w:color="auto"/>
          <w:lang w:val="es-PE"/>
        </w:rPr>
        <w:t xml:space="preserve"> la</w:t>
      </w:r>
      <w:r w:rsidR="00F23778" w:rsidRPr="00996FA3">
        <w:rPr>
          <w:rFonts w:eastAsia="Calibri"/>
          <w:color w:val="auto"/>
          <w:bdr w:val="none" w:sz="0" w:space="0" w:color="auto"/>
          <w:lang w:val="es-PE"/>
        </w:rPr>
        <w:t xml:space="preserve"> cual continuaba </w:t>
      </w:r>
      <w:r w:rsidR="00662CCA" w:rsidRPr="00996FA3">
        <w:rPr>
          <w:rFonts w:eastAsia="Calibri"/>
          <w:color w:val="auto"/>
          <w:bdr w:val="none" w:sz="0" w:space="0" w:color="auto"/>
          <w:lang w:val="es-PE"/>
        </w:rPr>
        <w:t xml:space="preserve">abierta </w:t>
      </w:r>
      <w:r w:rsidR="00B05348" w:rsidRPr="00996FA3">
        <w:rPr>
          <w:rFonts w:eastAsia="Calibri"/>
          <w:color w:val="auto"/>
          <w:bdr w:val="none" w:sz="0" w:space="0" w:color="auto"/>
          <w:lang w:val="es-PE"/>
        </w:rPr>
        <w:t>sin ninguna persona procesada</w:t>
      </w:r>
      <w:r w:rsidR="00897C24">
        <w:rPr>
          <w:lang w:val="es-PE"/>
        </w:rPr>
        <w:t>. En este sentido</w:t>
      </w:r>
      <w:r w:rsidR="00662CCA" w:rsidRPr="00996FA3">
        <w:t>, la Comisión consider</w:t>
      </w:r>
      <w:r w:rsidR="00B05348" w:rsidRPr="00996FA3">
        <w:t>ó</w:t>
      </w:r>
      <w:r w:rsidR="00662CCA" w:rsidRPr="00996FA3">
        <w:t xml:space="preserve"> que </w:t>
      </w:r>
      <w:r w:rsidR="00B05348" w:rsidRPr="00996FA3">
        <w:t xml:space="preserve">el Estado incumplió </w:t>
      </w:r>
      <w:r w:rsidR="00662CCA" w:rsidRPr="00996FA3">
        <w:t xml:space="preserve">su deber de garantizar una adecuada investigación a efectos de identificar y en su caso, sancionar a todas las personas responsables de la detención, actos de tortura y posterior muerte de Luis Fernando Lalinde. </w:t>
      </w:r>
    </w:p>
    <w:p w14:paraId="31D87C85" w14:textId="77777777" w:rsidR="005604B5" w:rsidRPr="00996FA3" w:rsidRDefault="005604B5" w:rsidP="00996FA3">
      <w:pPr>
        <w:pStyle w:val="parrafos"/>
        <w:tabs>
          <w:tab w:val="left" w:pos="360"/>
        </w:tabs>
      </w:pPr>
    </w:p>
    <w:p w14:paraId="76EAF9EF" w14:textId="142CBE77" w:rsidR="00335B57" w:rsidRPr="00996FA3" w:rsidRDefault="00996FA3" w:rsidP="004404C6">
      <w:pPr>
        <w:pStyle w:val="parrafos"/>
        <w:tabs>
          <w:tab w:val="left" w:pos="540"/>
        </w:tabs>
      </w:pPr>
      <w:r w:rsidRPr="00996FA3">
        <w:tab/>
      </w:r>
      <w:r w:rsidR="00335B57" w:rsidRPr="00996FA3">
        <w:t xml:space="preserve">Adicionalmente, la Comisión constató que </w:t>
      </w:r>
      <w:r w:rsidR="00897C24">
        <w:t xml:space="preserve">transcurrieron </w:t>
      </w:r>
      <w:r w:rsidR="00335B57" w:rsidRPr="00996FA3">
        <w:t xml:space="preserve">más de 37 años de ocurridos los hechos, y que </w:t>
      </w:r>
      <w:r w:rsidR="004504F1" w:rsidRPr="00996FA3">
        <w:t xml:space="preserve">a </w:t>
      </w:r>
      <w:r w:rsidR="00335B57" w:rsidRPr="00996FA3">
        <w:t>la fecha el proceso contin</w:t>
      </w:r>
      <w:r w:rsidR="004504F1" w:rsidRPr="00996FA3">
        <w:t>uaba</w:t>
      </w:r>
      <w:r w:rsidR="00335B57" w:rsidRPr="00996FA3">
        <w:t xml:space="preserve"> abierto</w:t>
      </w:r>
      <w:r w:rsidR="00A07D81" w:rsidRPr="00996FA3">
        <w:t xml:space="preserve">, lo cual constituyó una </w:t>
      </w:r>
      <w:r w:rsidR="00335B57" w:rsidRPr="00996FA3">
        <w:t>violación del derecho a las garantías judiciales</w:t>
      </w:r>
      <w:r w:rsidR="00A07D81" w:rsidRPr="00996FA3">
        <w:t xml:space="preserve"> </w:t>
      </w:r>
      <w:r w:rsidR="00335B57" w:rsidRPr="00996FA3">
        <w:t>en perjuicio de los familiares del señor Lalinde</w:t>
      </w:r>
      <w:r w:rsidR="00A07D81" w:rsidRPr="00996FA3">
        <w:t xml:space="preserve">. </w:t>
      </w:r>
    </w:p>
    <w:p w14:paraId="4A3E5FD9" w14:textId="77777777" w:rsidR="00A07D81" w:rsidRPr="00996FA3" w:rsidRDefault="00A07D81" w:rsidP="00996FA3">
      <w:pPr>
        <w:pStyle w:val="parrafos"/>
        <w:tabs>
          <w:tab w:val="left" w:pos="360"/>
        </w:tabs>
      </w:pPr>
    </w:p>
    <w:p w14:paraId="67D8ACE6" w14:textId="3DCCF918" w:rsidR="00426C8A" w:rsidRPr="00996FA3" w:rsidRDefault="00996FA3" w:rsidP="004404C6">
      <w:pPr>
        <w:tabs>
          <w:tab w:val="left" w:pos="540"/>
        </w:tabs>
        <w:spacing w:after="0" w:line="240" w:lineRule="auto"/>
        <w:jc w:val="both"/>
        <w:rPr>
          <w:rFonts w:ascii="Cambria" w:hAnsi="Cambria"/>
          <w:sz w:val="20"/>
          <w:szCs w:val="20"/>
          <w:lang w:val="es-ES"/>
        </w:rPr>
      </w:pPr>
      <w:r w:rsidRPr="00897C24">
        <w:rPr>
          <w:rFonts w:ascii="Cambria" w:hAnsi="Cambria"/>
          <w:sz w:val="20"/>
          <w:szCs w:val="20"/>
          <w:lang w:val="es-CO"/>
        </w:rPr>
        <w:tab/>
      </w:r>
      <w:r w:rsidR="00A07D81" w:rsidRPr="00996FA3">
        <w:rPr>
          <w:rFonts w:ascii="Cambria" w:hAnsi="Cambria"/>
          <w:sz w:val="20"/>
          <w:szCs w:val="20"/>
          <w:lang w:val="es-CO"/>
        </w:rPr>
        <w:t xml:space="preserve">Finalmente, la Comisión </w:t>
      </w:r>
      <w:r w:rsidR="00E91A8C" w:rsidRPr="00996FA3">
        <w:rPr>
          <w:rFonts w:ascii="Cambria" w:hAnsi="Cambria"/>
          <w:sz w:val="20"/>
          <w:szCs w:val="20"/>
          <w:lang w:val="es-CO"/>
        </w:rPr>
        <w:t>consideró que la pérdida de un ser querido en un contexto como el descrito en el presente caso, así como la ausencia de una investigación completa y efectiva</w:t>
      </w:r>
      <w:r w:rsidR="00FE108F">
        <w:rPr>
          <w:rFonts w:ascii="Cambria" w:hAnsi="Cambria"/>
          <w:sz w:val="20"/>
          <w:szCs w:val="20"/>
          <w:lang w:val="es-CO"/>
        </w:rPr>
        <w:t xml:space="preserve">, </w:t>
      </w:r>
      <w:r w:rsidR="00E91A8C" w:rsidRPr="00996FA3">
        <w:rPr>
          <w:rFonts w:ascii="Cambria" w:hAnsi="Cambria"/>
          <w:sz w:val="20"/>
          <w:szCs w:val="20"/>
          <w:lang w:val="es-CO"/>
        </w:rPr>
        <w:t>que a su vez ocasiona sufrimiento y angustia de no conocer la verdad, constituye en sí misma una afectación a la integridad psíquica y moral de los familiares del señor Lalinde</w:t>
      </w:r>
      <w:r w:rsidR="00D86269">
        <w:rPr>
          <w:rFonts w:ascii="Cambria" w:hAnsi="Cambria"/>
          <w:sz w:val="20"/>
          <w:szCs w:val="20"/>
          <w:lang w:val="es-CO"/>
        </w:rPr>
        <w:t xml:space="preserve">. Aunado a esto, la Comisión notó que </w:t>
      </w:r>
      <w:r w:rsidRPr="00996FA3">
        <w:rPr>
          <w:rFonts w:ascii="Cambria" w:hAnsi="Cambria"/>
          <w:sz w:val="20"/>
          <w:szCs w:val="20"/>
          <w:lang w:val="es-ES"/>
        </w:rPr>
        <w:t>a partir de las acciones de justicia emprendidas por la señora Lalinde, ella y sus familiares sufrieron una serie de represalias en su contra, en particular, relacionadas con una falsa denuncia de tráfico de estupefacientes</w:t>
      </w:r>
      <w:r w:rsidR="00E91A8C" w:rsidRPr="00996FA3">
        <w:rPr>
          <w:rFonts w:ascii="Cambria" w:hAnsi="Cambria"/>
          <w:sz w:val="20"/>
          <w:szCs w:val="20"/>
          <w:lang w:val="es-CO"/>
        </w:rPr>
        <w:t xml:space="preserve">. </w:t>
      </w:r>
      <w:r w:rsidR="00E91A8C" w:rsidRPr="00D86269">
        <w:rPr>
          <w:rFonts w:ascii="Cambria" w:hAnsi="Cambria"/>
          <w:sz w:val="20"/>
          <w:szCs w:val="20"/>
          <w:lang w:val="es-CO"/>
        </w:rPr>
        <w:t>En consecuencia, la Comisión determinó que el Estado violó el derecho a la integridad psíquica y moral consagrado en perjuicio de los familiares de Luis Fernando Lalinde.</w:t>
      </w:r>
    </w:p>
    <w:p w14:paraId="5EA4B352" w14:textId="14F4B3E9" w:rsidR="00426C8A" w:rsidRPr="00996FA3" w:rsidRDefault="00426C8A" w:rsidP="00996FA3">
      <w:pPr>
        <w:pStyle w:val="parrafos"/>
        <w:tabs>
          <w:tab w:val="left" w:pos="360"/>
        </w:tabs>
        <w:rPr>
          <w:rFonts w:cs="Verdana"/>
          <w:lang w:val="es-ES_tradnl"/>
        </w:rPr>
      </w:pPr>
    </w:p>
    <w:p w14:paraId="2382CD91" w14:textId="500DEC1F" w:rsidR="00426C8A" w:rsidRPr="00996FA3" w:rsidRDefault="00996FA3" w:rsidP="004404C6">
      <w:pPr>
        <w:tabs>
          <w:tab w:val="left" w:pos="540"/>
          <w:tab w:val="left" w:pos="1440"/>
        </w:tabs>
        <w:spacing w:after="0" w:line="240" w:lineRule="auto"/>
        <w:jc w:val="both"/>
        <w:rPr>
          <w:rFonts w:ascii="Cambria" w:hAnsi="Cambria"/>
          <w:sz w:val="20"/>
          <w:szCs w:val="20"/>
          <w:lang w:val="es-ES"/>
        </w:rPr>
      </w:pPr>
      <w:r w:rsidRPr="00996FA3">
        <w:rPr>
          <w:rFonts w:ascii="Cambria" w:hAnsi="Cambria"/>
          <w:sz w:val="20"/>
          <w:szCs w:val="20"/>
          <w:lang w:val="es-ES_tradnl"/>
        </w:rPr>
        <w:tab/>
      </w:r>
      <w:r w:rsidR="00426C8A" w:rsidRPr="00996FA3">
        <w:rPr>
          <w:rFonts w:ascii="Cambria" w:hAnsi="Cambria"/>
          <w:sz w:val="20"/>
          <w:szCs w:val="20"/>
          <w:lang w:val="es-ES"/>
        </w:rPr>
        <w:t xml:space="preserve">Con base en dichas determinaciones, la Comisión concluyó que </w:t>
      </w:r>
      <w:r w:rsidR="00D86269">
        <w:rPr>
          <w:rFonts w:ascii="Cambria" w:hAnsi="Cambria"/>
          <w:sz w:val="20"/>
          <w:szCs w:val="20"/>
          <w:lang w:val="es-ES"/>
        </w:rPr>
        <w:t xml:space="preserve">el Estado colombiano es responsable por la violación </w:t>
      </w:r>
      <w:r w:rsidR="001D49AB" w:rsidRPr="00996FA3">
        <w:rPr>
          <w:rFonts w:ascii="Cambria" w:hAnsi="Cambria"/>
          <w:sz w:val="20"/>
          <w:szCs w:val="20"/>
          <w:lang w:val="es-ES"/>
        </w:rPr>
        <w:t>del derecho a la integridad personal (artículo 5.1), garantías judiciales (artículo 8.1) y protección judicial (artículo 25.1), establecidos en la Convención Americana, en relación con el artículo 1.1 del mismo instrumento, en perjuicio de Fabiola Lalinde de Lalinde, Jorge Iván Lalinde Lalinde, Mauricio Lalinde Lalinde, y Adriana Lalinde Lalinde.</w:t>
      </w:r>
    </w:p>
    <w:p w14:paraId="685687ED" w14:textId="77777777" w:rsidR="001D49AB" w:rsidRPr="00996FA3" w:rsidRDefault="001D49AB" w:rsidP="00996FA3">
      <w:pPr>
        <w:tabs>
          <w:tab w:val="left" w:pos="567"/>
          <w:tab w:val="left" w:pos="1440"/>
        </w:tabs>
        <w:spacing w:after="0" w:line="240" w:lineRule="auto"/>
        <w:ind w:firstLine="720"/>
        <w:jc w:val="both"/>
        <w:rPr>
          <w:rFonts w:ascii="Cambria" w:hAnsi="Cambria"/>
          <w:sz w:val="20"/>
          <w:szCs w:val="20"/>
          <w:lang w:val="es-ES"/>
        </w:rPr>
      </w:pPr>
    </w:p>
    <w:p w14:paraId="7BE5B2F4" w14:textId="0744213E" w:rsidR="00426C8A" w:rsidRPr="00996FA3" w:rsidRDefault="00996FA3" w:rsidP="004404C6">
      <w:pPr>
        <w:pStyle w:val="HTMLPreformatted"/>
        <w:tabs>
          <w:tab w:val="clear" w:pos="916"/>
          <w:tab w:val="left" w:pos="540"/>
        </w:tabs>
        <w:jc w:val="both"/>
        <w:rPr>
          <w:rFonts w:ascii="Cambria" w:hAnsi="Cambria" w:cs="Calibri"/>
          <w:color w:val="000000"/>
          <w:lang w:val="es-ES_tradnl"/>
        </w:rPr>
      </w:pPr>
      <w:r w:rsidRPr="00996FA3">
        <w:rPr>
          <w:rFonts w:ascii="Cambria" w:hAnsi="Cambria" w:cs="Calibri"/>
          <w:color w:val="000000"/>
          <w:lang w:val="es-ES"/>
        </w:rPr>
        <w:tab/>
      </w:r>
      <w:r w:rsidR="00426C8A" w:rsidRPr="00996FA3">
        <w:rPr>
          <w:rFonts w:ascii="Cambria" w:hAnsi="Cambria" w:cs="Calibri"/>
          <w:color w:val="000000"/>
          <w:lang w:val="es-ES_tradnl"/>
        </w:rPr>
        <w:t>El Estado de Colombia depositó el instrumento de ratificación de la Convención Americana sobre Derechos Humanos el 31 de julio de 1973 y aceptó la competencia contenciosa de la Corte Interamericana el 21 de junio de 1985</w:t>
      </w:r>
      <w:r w:rsidR="00766255" w:rsidRPr="00996FA3">
        <w:rPr>
          <w:rFonts w:ascii="Cambria" w:hAnsi="Cambria" w:cs="Calibri"/>
          <w:color w:val="000000"/>
          <w:lang w:val="es-ES_tradnl"/>
        </w:rPr>
        <w:t xml:space="preserve">. </w:t>
      </w:r>
    </w:p>
    <w:p w14:paraId="73C18E7A" w14:textId="77777777" w:rsidR="00973DAD" w:rsidRPr="00996FA3" w:rsidRDefault="00973DAD" w:rsidP="00996FA3">
      <w:pPr>
        <w:pStyle w:val="HTMLPreformatted"/>
        <w:tabs>
          <w:tab w:val="clear" w:pos="916"/>
          <w:tab w:val="left" w:pos="720"/>
        </w:tabs>
        <w:jc w:val="both"/>
        <w:rPr>
          <w:rFonts w:ascii="Cambria" w:hAnsi="Cambria" w:cs="Calibri"/>
          <w:color w:val="000000"/>
          <w:lang w:val="es-ES_tradnl"/>
        </w:rPr>
      </w:pPr>
    </w:p>
    <w:p w14:paraId="360F34D9" w14:textId="35A00FED" w:rsidR="00426C8A" w:rsidRPr="00996FA3" w:rsidRDefault="004404C6" w:rsidP="004404C6">
      <w:pPr>
        <w:tabs>
          <w:tab w:val="left" w:pos="540"/>
        </w:tabs>
        <w:spacing w:after="0" w:line="240" w:lineRule="auto"/>
        <w:ind w:firstLine="360"/>
        <w:jc w:val="both"/>
        <w:rPr>
          <w:rFonts w:ascii="Cambria" w:hAnsi="Cambria" w:cs="Calibri"/>
          <w:color w:val="000000"/>
          <w:sz w:val="20"/>
          <w:szCs w:val="20"/>
          <w:highlight w:val="yellow"/>
          <w:lang w:val="es-ES_tradnl"/>
        </w:rPr>
      </w:pPr>
      <w:r>
        <w:rPr>
          <w:rFonts w:ascii="Cambria" w:hAnsi="Cambria" w:cs="Calibri"/>
          <w:color w:val="000000"/>
          <w:sz w:val="20"/>
          <w:szCs w:val="20"/>
          <w:lang w:val="es-ES_tradnl"/>
        </w:rPr>
        <w:tab/>
      </w:r>
      <w:r w:rsidR="00426C8A" w:rsidRPr="00996FA3">
        <w:rPr>
          <w:rFonts w:ascii="Cambria" w:hAnsi="Cambria" w:cs="Calibri"/>
          <w:color w:val="000000"/>
          <w:sz w:val="20"/>
          <w:szCs w:val="20"/>
          <w:lang w:val="es-ES_tradnl"/>
        </w:rPr>
        <w:t xml:space="preserve">La Comisión ha designado al Comisionado </w:t>
      </w:r>
      <w:r w:rsidR="003C7579" w:rsidRPr="00996FA3">
        <w:rPr>
          <w:rFonts w:ascii="Cambria" w:hAnsi="Cambria" w:cs="Calibri"/>
          <w:color w:val="000000"/>
          <w:sz w:val="20"/>
          <w:szCs w:val="20"/>
          <w:lang w:val="es-ES_tradnl"/>
        </w:rPr>
        <w:t xml:space="preserve">José Luis Caballero </w:t>
      </w:r>
      <w:r w:rsidR="00440D59" w:rsidRPr="00996FA3">
        <w:rPr>
          <w:rFonts w:ascii="Cambria" w:hAnsi="Cambria" w:cs="Calibri"/>
          <w:color w:val="000000"/>
          <w:sz w:val="20"/>
          <w:szCs w:val="20"/>
          <w:lang w:val="es-ES_tradnl"/>
        </w:rPr>
        <w:t xml:space="preserve">Ochoa </w:t>
      </w:r>
      <w:r w:rsidR="00426C8A" w:rsidRPr="00996FA3">
        <w:rPr>
          <w:rFonts w:ascii="Cambria" w:hAnsi="Cambria" w:cs="Calibri"/>
          <w:color w:val="000000"/>
          <w:sz w:val="20"/>
          <w:szCs w:val="20"/>
          <w:lang w:val="es-ES_tradnl"/>
        </w:rPr>
        <w:t>y a la Secretaria Ejecutiva Tania Reneaum Panszi como su delegado y delegada. Asimismo, ha designado a Jorge Humberto Meza Flores, Secretario Ejecutivo Adjunto, y a</w:t>
      </w:r>
      <w:r w:rsidR="00FF6AF9" w:rsidRPr="00996FA3">
        <w:rPr>
          <w:rFonts w:ascii="Cambria" w:hAnsi="Cambria" w:cs="Calibri"/>
          <w:color w:val="000000"/>
          <w:sz w:val="20"/>
          <w:szCs w:val="20"/>
          <w:lang w:val="es-ES_tradnl"/>
        </w:rPr>
        <w:t xml:space="preserve"> Eri</w:t>
      </w:r>
      <w:r w:rsidR="004301C6" w:rsidRPr="00996FA3">
        <w:rPr>
          <w:rFonts w:ascii="Cambria" w:hAnsi="Cambria" w:cs="Calibri"/>
          <w:color w:val="000000"/>
          <w:sz w:val="20"/>
          <w:szCs w:val="20"/>
          <w:lang w:val="es-ES_tradnl"/>
        </w:rPr>
        <w:t>ck</w:t>
      </w:r>
      <w:r w:rsidR="00B27056">
        <w:rPr>
          <w:rFonts w:ascii="Cambria" w:hAnsi="Cambria" w:cs="Calibri"/>
          <w:color w:val="000000"/>
          <w:sz w:val="20"/>
          <w:szCs w:val="20"/>
          <w:lang w:val="es-ES_tradnl"/>
        </w:rPr>
        <w:t xml:space="preserve"> Acuña</w:t>
      </w:r>
      <w:r w:rsidR="00426C8A" w:rsidRPr="00996FA3">
        <w:rPr>
          <w:rFonts w:ascii="Cambria" w:hAnsi="Cambria" w:cs="Calibri"/>
          <w:color w:val="000000"/>
          <w:sz w:val="20"/>
          <w:szCs w:val="20"/>
          <w:lang w:val="es-ES_tradnl"/>
        </w:rPr>
        <w:t>, especialista de la Secretaría Ejecutiva de la CIDH, quienes actuarán como asesor</w:t>
      </w:r>
      <w:r w:rsidR="00B27056">
        <w:rPr>
          <w:rFonts w:ascii="Cambria" w:hAnsi="Cambria" w:cs="Calibri"/>
          <w:color w:val="000000"/>
          <w:sz w:val="20"/>
          <w:szCs w:val="20"/>
          <w:lang w:val="es-ES_tradnl"/>
        </w:rPr>
        <w:t>es</w:t>
      </w:r>
      <w:r w:rsidR="00426C8A" w:rsidRPr="00996FA3">
        <w:rPr>
          <w:rFonts w:ascii="Cambria" w:hAnsi="Cambria" w:cs="Calibri"/>
          <w:color w:val="000000"/>
          <w:sz w:val="20"/>
          <w:szCs w:val="20"/>
          <w:lang w:val="es-ES_tradnl"/>
        </w:rPr>
        <w:t xml:space="preserve"> legales.</w:t>
      </w:r>
    </w:p>
    <w:p w14:paraId="006B4C91" w14:textId="1123E0DF" w:rsidR="00426C8A" w:rsidRDefault="00426C8A" w:rsidP="00996FA3">
      <w:pPr>
        <w:spacing w:after="0" w:line="240" w:lineRule="auto"/>
        <w:jc w:val="both"/>
        <w:rPr>
          <w:rFonts w:ascii="Cambria" w:hAnsi="Cambria" w:cs="Calibri"/>
          <w:color w:val="000000"/>
          <w:sz w:val="20"/>
          <w:szCs w:val="20"/>
          <w:highlight w:val="yellow"/>
          <w:lang w:val="es-ES_tradnl"/>
        </w:rPr>
      </w:pPr>
    </w:p>
    <w:p w14:paraId="2876975E" w14:textId="6899A825" w:rsidR="004404C6" w:rsidRDefault="004404C6" w:rsidP="00996FA3">
      <w:pPr>
        <w:spacing w:after="0" w:line="240" w:lineRule="auto"/>
        <w:jc w:val="both"/>
        <w:rPr>
          <w:rFonts w:ascii="Cambria" w:hAnsi="Cambria" w:cs="Calibri"/>
          <w:color w:val="000000"/>
          <w:sz w:val="20"/>
          <w:szCs w:val="20"/>
          <w:highlight w:val="yellow"/>
          <w:lang w:val="es-ES_tradnl"/>
        </w:rPr>
      </w:pPr>
    </w:p>
    <w:p w14:paraId="69D479B7" w14:textId="174E5F5D" w:rsidR="004404C6" w:rsidRDefault="004404C6" w:rsidP="00996FA3">
      <w:pPr>
        <w:spacing w:after="0" w:line="240" w:lineRule="auto"/>
        <w:jc w:val="both"/>
        <w:rPr>
          <w:rFonts w:ascii="Cambria" w:hAnsi="Cambria" w:cs="Calibri"/>
          <w:color w:val="000000"/>
          <w:sz w:val="20"/>
          <w:szCs w:val="20"/>
          <w:highlight w:val="yellow"/>
          <w:lang w:val="es-ES_tradnl"/>
        </w:rPr>
      </w:pPr>
    </w:p>
    <w:p w14:paraId="34AD2C42" w14:textId="77777777" w:rsidR="004404C6" w:rsidRPr="00996FA3" w:rsidRDefault="004404C6" w:rsidP="00996FA3">
      <w:pPr>
        <w:spacing w:after="0" w:line="240" w:lineRule="auto"/>
        <w:jc w:val="both"/>
        <w:rPr>
          <w:rFonts w:ascii="Cambria" w:hAnsi="Cambria" w:cs="Calibri"/>
          <w:color w:val="000000"/>
          <w:sz w:val="20"/>
          <w:szCs w:val="20"/>
          <w:highlight w:val="yellow"/>
          <w:lang w:val="es-ES_tradnl"/>
        </w:rPr>
      </w:pPr>
    </w:p>
    <w:p w14:paraId="2F650116" w14:textId="588FD282" w:rsidR="00426C8A" w:rsidRPr="00996FA3" w:rsidRDefault="004404C6" w:rsidP="004404C6">
      <w:pPr>
        <w:tabs>
          <w:tab w:val="left" w:pos="540"/>
        </w:tabs>
        <w:spacing w:after="0" w:line="240" w:lineRule="auto"/>
        <w:ind w:firstLine="360"/>
        <w:jc w:val="both"/>
        <w:rPr>
          <w:rFonts w:ascii="Cambria" w:hAnsi="Cambria" w:cs="Calibri"/>
          <w:color w:val="000000"/>
          <w:sz w:val="20"/>
          <w:szCs w:val="20"/>
          <w:lang w:val="es-ES_tradnl"/>
        </w:rPr>
      </w:pPr>
      <w:r>
        <w:rPr>
          <w:rFonts w:ascii="Cambria" w:hAnsi="Cambria" w:cs="Calibri"/>
          <w:color w:val="000000"/>
          <w:sz w:val="20"/>
          <w:szCs w:val="20"/>
          <w:lang w:val="es-ES_tradnl"/>
        </w:rPr>
        <w:tab/>
      </w:r>
      <w:r w:rsidR="00426C8A" w:rsidRPr="00996FA3">
        <w:rPr>
          <w:rFonts w:ascii="Cambria" w:hAnsi="Cambria" w:cs="Calibri"/>
          <w:color w:val="000000"/>
          <w:sz w:val="20"/>
          <w:szCs w:val="20"/>
          <w:lang w:val="es-ES_tradnl"/>
        </w:rPr>
        <w:t xml:space="preserve">De conformidad con el artículo 35 del Reglamento de la Corte Interamericana, la Comisión adjunta copia del Informe de Fondo No. </w:t>
      </w:r>
      <w:r w:rsidR="00F24A0B" w:rsidRPr="00996FA3">
        <w:rPr>
          <w:rFonts w:ascii="Cambria" w:hAnsi="Cambria" w:cs="Calibri"/>
          <w:color w:val="000000"/>
          <w:sz w:val="20"/>
          <w:szCs w:val="20"/>
          <w:lang w:val="es-ES_tradnl"/>
        </w:rPr>
        <w:t>292</w:t>
      </w:r>
      <w:r w:rsidR="00426C8A" w:rsidRPr="00996FA3">
        <w:rPr>
          <w:rFonts w:ascii="Cambria" w:hAnsi="Cambria" w:cs="Calibri"/>
          <w:color w:val="000000"/>
          <w:sz w:val="20"/>
          <w:szCs w:val="20"/>
          <w:lang w:val="es-ES_tradnl"/>
        </w:rPr>
        <w:t xml:space="preserve">/21 elaborado en observancia del artículo 50 de la Convención, así como copia de la totalidad del expediente ante la Comisión Interamericana (Apéndice I) y los anexos utilizados en la elaboración del Informe de Fondo No. </w:t>
      </w:r>
      <w:r w:rsidR="00F24A0B" w:rsidRPr="00996FA3">
        <w:rPr>
          <w:rFonts w:ascii="Cambria" w:hAnsi="Cambria" w:cs="Calibri"/>
          <w:color w:val="000000"/>
          <w:sz w:val="20"/>
          <w:szCs w:val="20"/>
          <w:lang w:val="es-ES_tradnl"/>
        </w:rPr>
        <w:t>292</w:t>
      </w:r>
      <w:r w:rsidR="00426C8A" w:rsidRPr="00996FA3">
        <w:rPr>
          <w:rFonts w:ascii="Cambria" w:hAnsi="Cambria" w:cs="Calibri"/>
          <w:color w:val="000000"/>
          <w:sz w:val="20"/>
          <w:szCs w:val="20"/>
          <w:lang w:val="es-ES_tradnl"/>
        </w:rPr>
        <w:t xml:space="preserve">/21 (Anexos). </w:t>
      </w:r>
    </w:p>
    <w:p w14:paraId="50E77B7D" w14:textId="77777777" w:rsidR="00426C8A" w:rsidRPr="00996FA3" w:rsidRDefault="00426C8A" w:rsidP="00996FA3">
      <w:pPr>
        <w:spacing w:after="0" w:line="240" w:lineRule="auto"/>
        <w:ind w:firstLine="720"/>
        <w:jc w:val="both"/>
        <w:rPr>
          <w:rFonts w:ascii="Cambria" w:hAnsi="Cambria" w:cs="Calibri"/>
          <w:color w:val="000000"/>
          <w:sz w:val="20"/>
          <w:szCs w:val="20"/>
          <w:lang w:val="es-ES_tradnl"/>
        </w:rPr>
      </w:pPr>
    </w:p>
    <w:p w14:paraId="5B794F3A" w14:textId="170495CC" w:rsidR="00426C8A" w:rsidRPr="00996FA3" w:rsidRDefault="00D55100" w:rsidP="004404C6">
      <w:pPr>
        <w:tabs>
          <w:tab w:val="left" w:pos="540"/>
        </w:tabs>
        <w:spacing w:after="0" w:line="240" w:lineRule="auto"/>
        <w:jc w:val="both"/>
        <w:rPr>
          <w:rFonts w:ascii="Cambria" w:eastAsia="Times New Roman" w:hAnsi="Cambria" w:cs="Cambria"/>
          <w:sz w:val="20"/>
          <w:szCs w:val="20"/>
          <w:lang w:val="es-ES_tradnl"/>
        </w:rPr>
      </w:pPr>
      <w:r>
        <w:rPr>
          <w:rFonts w:ascii="Cambria" w:hAnsi="Cambria" w:cs="Calibri"/>
          <w:color w:val="000000"/>
          <w:sz w:val="20"/>
          <w:szCs w:val="20"/>
          <w:lang w:val="es-ES_tradnl"/>
        </w:rPr>
        <w:tab/>
      </w:r>
      <w:r w:rsidR="00426C8A" w:rsidRPr="00996FA3">
        <w:rPr>
          <w:rFonts w:ascii="Cambria" w:hAnsi="Cambria" w:cs="Calibri"/>
          <w:color w:val="000000"/>
          <w:sz w:val="20"/>
          <w:szCs w:val="20"/>
          <w:lang w:val="es-ES_tradnl"/>
        </w:rPr>
        <w:t xml:space="preserve">Dicho Informe de Fondo fue notificado al Estado el </w:t>
      </w:r>
      <w:r w:rsidR="00BC5F9B" w:rsidRPr="00996FA3">
        <w:rPr>
          <w:rFonts w:ascii="Cambria" w:hAnsi="Cambria" w:cs="Calibri"/>
          <w:color w:val="000000"/>
          <w:sz w:val="20"/>
          <w:szCs w:val="20"/>
          <w:lang w:val="es-ES_tradnl"/>
        </w:rPr>
        <w:t>6</w:t>
      </w:r>
      <w:r w:rsidR="00426C8A" w:rsidRPr="00996FA3">
        <w:rPr>
          <w:rFonts w:ascii="Cambria" w:hAnsi="Cambria" w:cs="Calibri"/>
          <w:color w:val="000000"/>
          <w:sz w:val="20"/>
          <w:szCs w:val="20"/>
          <w:lang w:val="es-ES_tradnl"/>
        </w:rPr>
        <w:t xml:space="preserve"> de </w:t>
      </w:r>
      <w:r w:rsidR="00BC5F9B" w:rsidRPr="00996FA3">
        <w:rPr>
          <w:rFonts w:ascii="Cambria" w:hAnsi="Cambria" w:cs="Calibri"/>
          <w:color w:val="000000"/>
          <w:sz w:val="20"/>
          <w:szCs w:val="20"/>
          <w:lang w:val="es-ES_tradnl"/>
        </w:rPr>
        <w:t>diciembre</w:t>
      </w:r>
      <w:r w:rsidR="00426C8A" w:rsidRPr="00996FA3">
        <w:rPr>
          <w:rFonts w:ascii="Cambria" w:hAnsi="Cambria" w:cs="Calibri"/>
          <w:color w:val="000000"/>
          <w:sz w:val="20"/>
          <w:szCs w:val="20"/>
          <w:lang w:val="es-ES_tradnl"/>
        </w:rPr>
        <w:t xml:space="preserve"> de 2021, otorgándole un plazo de dos meses para informar sobre el cumplimiento de las recomendaciones. Tras el otorgamiento por parte de la CIDH de </w:t>
      </w:r>
      <w:r w:rsidR="00182B41" w:rsidRPr="00996FA3">
        <w:rPr>
          <w:rFonts w:ascii="Cambria" w:hAnsi="Cambria" w:cs="Calibri"/>
          <w:color w:val="000000"/>
          <w:sz w:val="20"/>
          <w:szCs w:val="20"/>
          <w:lang w:val="es-ES_tradnl"/>
        </w:rPr>
        <w:t>7</w:t>
      </w:r>
      <w:r w:rsidR="00426C8A" w:rsidRPr="00996FA3">
        <w:rPr>
          <w:rFonts w:ascii="Cambria" w:hAnsi="Cambria" w:cs="Calibri"/>
          <w:color w:val="000000"/>
          <w:sz w:val="20"/>
          <w:szCs w:val="20"/>
          <w:lang w:val="es-ES_tradnl"/>
        </w:rPr>
        <w:t xml:space="preserve"> prórrogas, el </w:t>
      </w:r>
      <w:r w:rsidR="00566C80" w:rsidRPr="00996FA3">
        <w:rPr>
          <w:rFonts w:ascii="Cambria" w:hAnsi="Cambria" w:cs="Calibri"/>
          <w:color w:val="000000"/>
          <w:sz w:val="20"/>
          <w:szCs w:val="20"/>
          <w:lang w:val="es-ES_tradnl"/>
        </w:rPr>
        <w:t xml:space="preserve">23 </w:t>
      </w:r>
      <w:r w:rsidR="00426C8A" w:rsidRPr="00996FA3">
        <w:rPr>
          <w:rFonts w:ascii="Cambria" w:hAnsi="Cambria" w:cs="Calibri"/>
          <w:color w:val="000000"/>
          <w:sz w:val="20"/>
          <w:szCs w:val="20"/>
          <w:lang w:val="es-ES_tradnl"/>
        </w:rPr>
        <w:t>de octubre de 202</w:t>
      </w:r>
      <w:r w:rsidR="00566C80" w:rsidRPr="00996FA3">
        <w:rPr>
          <w:rFonts w:ascii="Cambria" w:hAnsi="Cambria" w:cs="Calibri"/>
          <w:color w:val="000000"/>
          <w:sz w:val="20"/>
          <w:szCs w:val="20"/>
          <w:lang w:val="es-ES_tradnl"/>
        </w:rPr>
        <w:t>3</w:t>
      </w:r>
      <w:r w:rsidR="00426C8A" w:rsidRPr="00996FA3">
        <w:rPr>
          <w:rFonts w:ascii="Cambria" w:hAnsi="Cambria" w:cs="Calibri"/>
          <w:color w:val="000000"/>
          <w:sz w:val="20"/>
          <w:szCs w:val="20"/>
          <w:lang w:val="es-ES_tradnl"/>
        </w:rPr>
        <w:t xml:space="preserve"> el Estado solicitó una </w:t>
      </w:r>
      <w:r w:rsidR="00A87EDE" w:rsidRPr="00996FA3">
        <w:rPr>
          <w:rFonts w:ascii="Cambria" w:hAnsi="Cambria" w:cs="Calibri"/>
          <w:color w:val="000000"/>
          <w:sz w:val="20"/>
          <w:szCs w:val="20"/>
          <w:lang w:val="es-ES_tradnl"/>
        </w:rPr>
        <w:t>octava</w:t>
      </w:r>
      <w:r w:rsidR="00426C8A" w:rsidRPr="00996FA3">
        <w:rPr>
          <w:rFonts w:ascii="Cambria" w:hAnsi="Cambria" w:cs="Calibri"/>
          <w:color w:val="000000"/>
          <w:sz w:val="20"/>
          <w:szCs w:val="20"/>
          <w:lang w:val="es-ES_tradnl"/>
        </w:rPr>
        <w:t xml:space="preserve"> prórroga. Al evaluar dicha solicitud, la Comisión observó que a </w:t>
      </w:r>
      <w:r w:rsidR="00182B41" w:rsidRPr="00996FA3">
        <w:rPr>
          <w:rFonts w:ascii="Cambria" w:hAnsi="Cambria" w:cs="Calibri"/>
          <w:color w:val="000000"/>
          <w:sz w:val="20"/>
          <w:szCs w:val="20"/>
          <w:lang w:val="es-ES_tradnl"/>
        </w:rPr>
        <w:t>casi dos años</w:t>
      </w:r>
      <w:r w:rsidR="00426C8A" w:rsidRPr="00996FA3">
        <w:rPr>
          <w:rFonts w:ascii="Cambria" w:hAnsi="Cambria" w:cs="Calibri"/>
          <w:color w:val="000000"/>
          <w:sz w:val="20"/>
          <w:szCs w:val="20"/>
          <w:lang w:val="es-ES_tradnl"/>
        </w:rPr>
        <w:t xml:space="preserve"> de notificado el informe de fondo, pese a los esfuerzos estatales, no se advertían </w:t>
      </w:r>
      <w:r w:rsidR="00426C8A" w:rsidRPr="00996FA3">
        <w:rPr>
          <w:rFonts w:ascii="Cambria" w:eastAsia="Times New Roman" w:hAnsi="Cambria" w:cs="Cambria"/>
          <w:sz w:val="20"/>
          <w:szCs w:val="20"/>
          <w:lang w:val="es-ES_tradnl"/>
        </w:rPr>
        <w:t>avances sustantivos en el cumplimiento de las recomendaciones. Asimismo, la Comisión notó que las partes no habían logrado arribar a un acuerdo de cumplimiento respecto de las medidas</w:t>
      </w:r>
      <w:r>
        <w:rPr>
          <w:rFonts w:ascii="Cambria" w:eastAsia="Times New Roman" w:hAnsi="Cambria" w:cs="Cambria"/>
          <w:sz w:val="20"/>
          <w:szCs w:val="20"/>
          <w:lang w:val="es-ES_tradnl"/>
        </w:rPr>
        <w:t xml:space="preserve"> necesarias</w:t>
      </w:r>
      <w:r w:rsidR="00426C8A" w:rsidRPr="00996FA3">
        <w:rPr>
          <w:rFonts w:ascii="Cambria" w:eastAsia="Times New Roman" w:hAnsi="Cambria" w:cs="Cambria"/>
          <w:sz w:val="20"/>
          <w:szCs w:val="20"/>
          <w:lang w:val="es-ES_tradnl"/>
        </w:rPr>
        <w:t xml:space="preserve">.  </w:t>
      </w:r>
      <w:r w:rsidR="00426C8A" w:rsidRPr="00996FA3">
        <w:rPr>
          <w:rFonts w:ascii="Cambria" w:eastAsia="Times New Roman" w:hAnsi="Cambria" w:cs="Cambria"/>
          <w:sz w:val="20"/>
          <w:szCs w:val="20"/>
          <w:lang w:val="es-CO"/>
        </w:rPr>
        <w:t>Por lo tanto</w:t>
      </w:r>
      <w:r w:rsidR="00426C8A" w:rsidRPr="00996FA3">
        <w:rPr>
          <w:rFonts w:ascii="Cambria" w:hAnsi="Cambria" w:cs="Calibri"/>
          <w:color w:val="000000"/>
          <w:sz w:val="20"/>
          <w:szCs w:val="20"/>
          <w:lang w:val="es-ES_tradnl"/>
        </w:rPr>
        <w:t>, teniendo en cuenta la necesidad de obtención de justicia y reparación para las víctimas, la Comisión decidió someter el caso a la jurisdicción de la Corte Interamericana</w:t>
      </w:r>
      <w:r w:rsidR="00426C8A" w:rsidRPr="00996FA3">
        <w:rPr>
          <w:rFonts w:ascii="Cambria" w:hAnsi="Cambria" w:cs="Calibri"/>
          <w:sz w:val="20"/>
          <w:szCs w:val="20"/>
          <w:lang w:val="es-AR"/>
        </w:rPr>
        <w:t xml:space="preserve">. </w:t>
      </w:r>
    </w:p>
    <w:p w14:paraId="57E139F0" w14:textId="77777777" w:rsidR="00426C8A" w:rsidRPr="00996FA3" w:rsidRDefault="00426C8A" w:rsidP="00996FA3">
      <w:pPr>
        <w:tabs>
          <w:tab w:val="left" w:pos="810"/>
        </w:tabs>
        <w:spacing w:after="0" w:line="240" w:lineRule="auto"/>
        <w:jc w:val="both"/>
        <w:rPr>
          <w:rFonts w:ascii="Cambria" w:hAnsi="Cambria"/>
          <w:sz w:val="20"/>
          <w:szCs w:val="20"/>
          <w:lang w:val="es-US"/>
        </w:rPr>
      </w:pPr>
    </w:p>
    <w:p w14:paraId="09A6419D" w14:textId="1BB8AE54" w:rsidR="00426C8A" w:rsidRPr="00996FA3" w:rsidRDefault="00D55100" w:rsidP="004404C6">
      <w:pPr>
        <w:tabs>
          <w:tab w:val="left" w:pos="540"/>
          <w:tab w:val="left" w:pos="1440"/>
        </w:tabs>
        <w:spacing w:after="0" w:line="240" w:lineRule="auto"/>
        <w:jc w:val="both"/>
        <w:rPr>
          <w:rFonts w:ascii="Cambria" w:hAnsi="Cambria"/>
          <w:sz w:val="20"/>
          <w:szCs w:val="20"/>
          <w:lang w:val="es-ES"/>
        </w:rPr>
      </w:pPr>
      <w:r>
        <w:rPr>
          <w:rFonts w:ascii="Cambria" w:hAnsi="Cambria" w:cs="Calibri"/>
          <w:color w:val="000000"/>
          <w:sz w:val="20"/>
          <w:szCs w:val="20"/>
          <w:lang w:val="es-ES_tradnl"/>
        </w:rPr>
        <w:tab/>
      </w:r>
      <w:r w:rsidR="00426C8A" w:rsidRPr="00996FA3">
        <w:rPr>
          <w:rFonts w:ascii="Cambria" w:hAnsi="Cambria" w:cs="Calibri"/>
          <w:color w:val="000000"/>
          <w:sz w:val="20"/>
          <w:szCs w:val="20"/>
          <w:lang w:val="es-ES_tradnl"/>
        </w:rPr>
        <w:t xml:space="preserve">En ese sentido, la Comisión solicita a la Honorable Corte que concluya y declare que el Estado de Colombia es responsable por la violación </w:t>
      </w:r>
      <w:r w:rsidR="00FD3BBF" w:rsidRPr="00996FA3">
        <w:rPr>
          <w:rFonts w:ascii="Cambria" w:hAnsi="Cambria"/>
          <w:sz w:val="20"/>
          <w:szCs w:val="20"/>
          <w:lang w:val="es-ES"/>
        </w:rPr>
        <w:t>derecho a la integridad personal (artículo 5.1), garantías judiciales (artículo 8.1) y protección judicial (artículo 25.1), establecidos en la Convención Americana, en relación con el artículo 1.1 del mismo instrumento, en perjuicio de Fabiola Lalinde de Lalinde, Jorge Iván Lalinde Lalinde, Mauricio Lalinde Lalinde, y Adriana Lalinde Lalinde.</w:t>
      </w:r>
    </w:p>
    <w:p w14:paraId="4A2FDE67" w14:textId="77777777" w:rsidR="00426C8A" w:rsidRPr="00996FA3" w:rsidRDefault="00426C8A" w:rsidP="00996FA3">
      <w:pPr>
        <w:tabs>
          <w:tab w:val="left" w:pos="810"/>
        </w:tabs>
        <w:spacing w:after="0" w:line="240" w:lineRule="auto"/>
        <w:jc w:val="both"/>
        <w:rPr>
          <w:rFonts w:ascii="Cambria" w:hAnsi="Cambria" w:cs="Calibri"/>
          <w:sz w:val="20"/>
          <w:szCs w:val="20"/>
          <w:lang w:val="es-CO"/>
        </w:rPr>
      </w:pPr>
    </w:p>
    <w:p w14:paraId="2974025E" w14:textId="53F7E7EF" w:rsidR="00426C8A" w:rsidRPr="00996FA3" w:rsidRDefault="00CF7EEF" w:rsidP="004404C6">
      <w:pPr>
        <w:pStyle w:val="ListParagraph"/>
        <w:tabs>
          <w:tab w:val="left" w:pos="540"/>
          <w:tab w:val="left" w:pos="1440"/>
        </w:tabs>
        <w:ind w:left="0"/>
        <w:jc w:val="both"/>
        <w:rPr>
          <w:rFonts w:eastAsia="Calibri" w:cs="Calibri"/>
          <w:sz w:val="20"/>
          <w:szCs w:val="20"/>
          <w:bdr w:val="none" w:sz="0" w:space="0" w:color="auto"/>
          <w:lang w:val="es-ES_tradnl" w:eastAsia="en-US"/>
        </w:rPr>
      </w:pPr>
      <w:r>
        <w:rPr>
          <w:rFonts w:eastAsia="Calibri" w:cs="Calibri"/>
          <w:sz w:val="20"/>
          <w:szCs w:val="20"/>
          <w:bdr w:val="none" w:sz="0" w:space="0" w:color="auto"/>
          <w:lang w:val="es-CO" w:eastAsia="en-US"/>
        </w:rPr>
        <w:tab/>
      </w:r>
      <w:r w:rsidR="00426C8A" w:rsidRPr="00996FA3">
        <w:rPr>
          <w:rFonts w:cs="Calibri"/>
          <w:sz w:val="20"/>
          <w:szCs w:val="20"/>
          <w:lang w:val="es-ES_tradnl"/>
        </w:rPr>
        <w:t>En consecuencia, la Comisión solicita a la Corte Interamericana que establezca las siguientes medidas de reparación:</w:t>
      </w:r>
    </w:p>
    <w:p w14:paraId="628B87AB" w14:textId="77777777" w:rsidR="00426C8A" w:rsidRPr="00996FA3" w:rsidRDefault="00426C8A" w:rsidP="00996FA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810"/>
        </w:tabs>
        <w:ind w:left="810" w:right="720"/>
        <w:jc w:val="both"/>
        <w:rPr>
          <w:rFonts w:cs="Calibri"/>
          <w:sz w:val="20"/>
          <w:szCs w:val="20"/>
          <w:lang w:val="es-ES"/>
        </w:rPr>
      </w:pPr>
    </w:p>
    <w:p w14:paraId="581CD55E" w14:textId="77777777" w:rsidR="00E140F6" w:rsidRPr="00996FA3" w:rsidRDefault="00D91D99" w:rsidP="00996FA3">
      <w:pPr>
        <w:pStyle w:val="ListParagraph"/>
        <w:numPr>
          <w:ilvl w:val="0"/>
          <w:numId w:val="25"/>
        </w:numPr>
        <w:tabs>
          <w:tab w:val="num" w:pos="720"/>
          <w:tab w:val="left" w:pos="1170"/>
        </w:tabs>
        <w:ind w:left="810" w:right="720" w:firstLine="0"/>
        <w:jc w:val="both"/>
        <w:rPr>
          <w:sz w:val="20"/>
          <w:szCs w:val="20"/>
          <w:lang w:val="es-ES_tradnl"/>
        </w:rPr>
      </w:pPr>
      <w:r w:rsidRPr="00996FA3">
        <w:rPr>
          <w:rFonts w:eastAsia="Times New Roman" w:cs="Tahoma"/>
          <w:sz w:val="20"/>
          <w:szCs w:val="20"/>
          <w:lang w:val="es-ES_tradnl"/>
        </w:rPr>
        <w:t>Reparar integralmente las violaciones de derechos humanos declaradas en el presente informe tanto en el aspecto material como moral, tomando en cuenta los pagos ya realizados a nivel interno</w:t>
      </w:r>
      <w:r w:rsidR="00426C8A" w:rsidRPr="00996FA3">
        <w:rPr>
          <w:rFonts w:eastAsia="Times New Roman" w:cs="Tahoma"/>
          <w:sz w:val="20"/>
          <w:szCs w:val="20"/>
          <w:lang w:val="es-ES_tradnl"/>
        </w:rPr>
        <w:t>.</w:t>
      </w:r>
    </w:p>
    <w:p w14:paraId="5A7B9BFD" w14:textId="77777777" w:rsidR="00E140F6" w:rsidRPr="00996FA3" w:rsidRDefault="00E140F6" w:rsidP="00996FA3">
      <w:pPr>
        <w:pStyle w:val="ListParagraph"/>
        <w:tabs>
          <w:tab w:val="left" w:pos="1170"/>
        </w:tabs>
        <w:ind w:left="810" w:right="720"/>
        <w:jc w:val="both"/>
        <w:rPr>
          <w:sz w:val="20"/>
          <w:szCs w:val="20"/>
          <w:lang w:val="es-ES_tradnl"/>
        </w:rPr>
      </w:pPr>
    </w:p>
    <w:p w14:paraId="528673D6" w14:textId="77777777" w:rsidR="001B6992" w:rsidRPr="00996FA3" w:rsidRDefault="00E140F6" w:rsidP="00996FA3">
      <w:pPr>
        <w:pStyle w:val="ListParagraph"/>
        <w:numPr>
          <w:ilvl w:val="0"/>
          <w:numId w:val="25"/>
        </w:numPr>
        <w:tabs>
          <w:tab w:val="num" w:pos="720"/>
          <w:tab w:val="left" w:pos="1170"/>
        </w:tabs>
        <w:ind w:left="810" w:right="720" w:firstLine="0"/>
        <w:jc w:val="both"/>
        <w:rPr>
          <w:sz w:val="20"/>
          <w:szCs w:val="20"/>
          <w:lang w:val="es-ES_tradnl"/>
        </w:rPr>
      </w:pPr>
      <w:r w:rsidRPr="00996FA3">
        <w:rPr>
          <w:rFonts w:eastAsia="Times New Roman" w:cs="Tahoma"/>
          <w:sz w:val="20"/>
          <w:szCs w:val="20"/>
          <w:lang w:val="es-ES_tradnl"/>
        </w:rPr>
        <w:t>Adoptar inmediatamente las medidas necesarias para asegurar que las víctimas cuenten con atención médica integral, según los estándares internacionales.</w:t>
      </w:r>
    </w:p>
    <w:p w14:paraId="0B16CD09" w14:textId="77777777" w:rsidR="001B6992" w:rsidRPr="00996FA3" w:rsidRDefault="001B6992" w:rsidP="00996FA3">
      <w:pPr>
        <w:pStyle w:val="ListParagraph"/>
        <w:rPr>
          <w:sz w:val="20"/>
          <w:szCs w:val="20"/>
          <w:lang w:val="es-CO"/>
        </w:rPr>
      </w:pPr>
    </w:p>
    <w:p w14:paraId="020B9930" w14:textId="77777777" w:rsidR="005000F2" w:rsidRPr="00996FA3" w:rsidRDefault="001B6992" w:rsidP="00996FA3">
      <w:pPr>
        <w:pStyle w:val="ListParagraph"/>
        <w:numPr>
          <w:ilvl w:val="0"/>
          <w:numId w:val="25"/>
        </w:numPr>
        <w:tabs>
          <w:tab w:val="num" w:pos="720"/>
          <w:tab w:val="left" w:pos="1170"/>
        </w:tabs>
        <w:ind w:left="810" w:right="720" w:firstLine="0"/>
        <w:jc w:val="both"/>
        <w:rPr>
          <w:sz w:val="20"/>
          <w:szCs w:val="20"/>
          <w:lang w:val="es-ES_tradnl"/>
        </w:rPr>
      </w:pPr>
      <w:r w:rsidRPr="00996FA3">
        <w:rPr>
          <w:sz w:val="20"/>
          <w:szCs w:val="20"/>
          <w:lang w:val="es-CO"/>
        </w:rPr>
        <w:t xml:space="preserve">Desarrollar y completar una investigación judicial imparcial, completa y efectiva, de manera expedita, con el objeto de establecer las circunstancias de la desaparición y muerte de </w:t>
      </w:r>
      <w:r w:rsidRPr="00996FA3">
        <w:rPr>
          <w:sz w:val="20"/>
          <w:szCs w:val="20"/>
          <w:lang w:val="es-US"/>
        </w:rPr>
        <w:t>Luis Fernando Lalinde</w:t>
      </w:r>
      <w:r w:rsidRPr="00996FA3">
        <w:rPr>
          <w:sz w:val="20"/>
          <w:szCs w:val="20"/>
          <w:lang w:val="es-CO"/>
        </w:rPr>
        <w:t xml:space="preserve">; explorar y agotar de manera exhaustiva las líneas lógicas de investigación en relación con el caso; e identificar y sancionar a todas las personas que participaron en los hechos. </w:t>
      </w:r>
    </w:p>
    <w:p w14:paraId="12007FB0" w14:textId="77777777" w:rsidR="005000F2" w:rsidRPr="00996FA3" w:rsidRDefault="005000F2" w:rsidP="00996FA3">
      <w:pPr>
        <w:pStyle w:val="ListParagraph"/>
        <w:rPr>
          <w:sz w:val="20"/>
          <w:szCs w:val="20"/>
          <w:lang w:val="es-ES_tradnl"/>
        </w:rPr>
      </w:pPr>
    </w:p>
    <w:p w14:paraId="181E7808" w14:textId="3DCD24DA" w:rsidR="005000F2" w:rsidRPr="00996FA3" w:rsidRDefault="005000F2" w:rsidP="00996FA3">
      <w:pPr>
        <w:pStyle w:val="ListParagraph"/>
        <w:numPr>
          <w:ilvl w:val="0"/>
          <w:numId w:val="25"/>
        </w:numPr>
        <w:tabs>
          <w:tab w:val="num" w:pos="720"/>
          <w:tab w:val="left" w:pos="1170"/>
        </w:tabs>
        <w:ind w:left="810" w:right="720" w:firstLine="0"/>
        <w:jc w:val="both"/>
        <w:rPr>
          <w:sz w:val="20"/>
          <w:szCs w:val="20"/>
          <w:lang w:val="es-ES_tradnl"/>
        </w:rPr>
      </w:pPr>
      <w:r w:rsidRPr="00996FA3">
        <w:rPr>
          <w:sz w:val="20"/>
          <w:szCs w:val="20"/>
          <w:lang w:val="es-ES_tradnl"/>
        </w:rPr>
        <w:t xml:space="preserve">Implementar medidas de no repetición que i) incluyan las medidas necesarias de capacitación para asegurar que las investigaciones de denuncias de desaparición cumplan con los estándares establecidos en el presente informe en lo relativo al deber de respuesta inmediata para encontrar el paradero de la persona que se denuncia como desaparecida; y ii) que la jurisdicción penal militar no sea un obstáculo para las investigaciones relacionados con violaciones de derechos humanos, de conformidad con los estándares interamericano. </w:t>
      </w:r>
    </w:p>
    <w:p w14:paraId="5F3392F6" w14:textId="2FBF375F" w:rsidR="00426C8A" w:rsidRPr="00996FA3" w:rsidRDefault="00426C8A" w:rsidP="00996FA3">
      <w:pPr>
        <w:spacing w:after="0" w:line="240" w:lineRule="auto"/>
        <w:jc w:val="both"/>
        <w:rPr>
          <w:rFonts w:ascii="Cambria" w:eastAsia="Times New Roman" w:hAnsi="Cambria" w:cs="Calibri"/>
          <w:sz w:val="20"/>
          <w:szCs w:val="20"/>
          <w:lang w:val="es-ES_tradnl"/>
        </w:rPr>
      </w:pPr>
    </w:p>
    <w:p w14:paraId="5899E266" w14:textId="7FD4EAFA" w:rsidR="00426C8A" w:rsidRPr="00996FA3" w:rsidRDefault="00426C8A" w:rsidP="00996FA3">
      <w:pPr>
        <w:pStyle w:val="ListParagraph"/>
        <w:tabs>
          <w:tab w:val="left" w:pos="630"/>
        </w:tabs>
        <w:ind w:left="0"/>
        <w:jc w:val="both"/>
        <w:rPr>
          <w:rFonts w:eastAsia="Times New Roman"/>
          <w:sz w:val="20"/>
          <w:szCs w:val="20"/>
          <w:lang w:val="es-ES"/>
        </w:rPr>
      </w:pPr>
      <w:r w:rsidRPr="00996FA3">
        <w:rPr>
          <w:rFonts w:cs="Calibri"/>
          <w:sz w:val="20"/>
          <w:szCs w:val="20"/>
          <w:lang w:val="es-ES_tradnl"/>
        </w:rPr>
        <w:tab/>
      </w:r>
      <w:r w:rsidRPr="00996FA3">
        <w:rPr>
          <w:rFonts w:eastAsia="Times New Roman" w:cs="Calibri"/>
          <w:sz w:val="20"/>
          <w:szCs w:val="20"/>
          <w:lang w:val="es-CO"/>
        </w:rPr>
        <w:t xml:space="preserve">Además de la necesidad de obtención de justicia y reparación por la falta de cumplimiento de las recomendaciones del Informe de Fondo, la Comisión considera que el caso presenta cuestiones de orden público interamericano. El mismo permitirá a la Honorable Corte continuar </w:t>
      </w:r>
      <w:r w:rsidRPr="00996FA3">
        <w:rPr>
          <w:rFonts w:eastAsia="Times New Roman"/>
          <w:sz w:val="20"/>
          <w:szCs w:val="20"/>
          <w:lang w:val="es-CO"/>
        </w:rPr>
        <w:t xml:space="preserve">desarrollando su jurisprudencia </w:t>
      </w:r>
      <w:r w:rsidRPr="00996FA3">
        <w:rPr>
          <w:rFonts w:eastAsia="Times New Roman"/>
          <w:sz w:val="20"/>
          <w:szCs w:val="20"/>
          <w:lang w:val="es-ES_tradnl" w:eastAsia="en-US"/>
        </w:rPr>
        <w:t xml:space="preserve">en </w:t>
      </w:r>
      <w:r w:rsidR="0085297F" w:rsidRPr="00996FA3">
        <w:rPr>
          <w:rFonts w:eastAsia="Times New Roman"/>
          <w:sz w:val="20"/>
          <w:szCs w:val="20"/>
          <w:lang w:val="es-ES_tradnl" w:eastAsia="en-US"/>
        </w:rPr>
        <w:t xml:space="preserve">relación con la incompatibilidad de la jurisdicción penal militar frente a graves violaciones de derechos humanos, así como el deber de diligencia y agotamiento de líneas de investigación frente a muertes violentas, especialmente cuando </w:t>
      </w:r>
      <w:r w:rsidR="00E22200">
        <w:rPr>
          <w:rFonts w:eastAsia="Times New Roman"/>
          <w:sz w:val="20"/>
          <w:szCs w:val="20"/>
          <w:lang w:val="es-ES_tradnl" w:eastAsia="en-US"/>
        </w:rPr>
        <w:t xml:space="preserve">la información </w:t>
      </w:r>
      <w:r w:rsidR="006B3839">
        <w:rPr>
          <w:rFonts w:eastAsia="Times New Roman"/>
          <w:sz w:val="20"/>
          <w:szCs w:val="20"/>
          <w:lang w:val="es-ES_tradnl" w:eastAsia="en-US"/>
        </w:rPr>
        <w:t xml:space="preserve">indica la hipótesis </w:t>
      </w:r>
      <w:r w:rsidR="007002EB">
        <w:rPr>
          <w:rFonts w:eastAsia="Times New Roman"/>
          <w:sz w:val="20"/>
          <w:szCs w:val="20"/>
          <w:lang w:val="es-ES_tradnl" w:eastAsia="en-US"/>
        </w:rPr>
        <w:t>de participación estatal</w:t>
      </w:r>
      <w:r w:rsidR="0085297F" w:rsidRPr="00996FA3">
        <w:rPr>
          <w:rFonts w:eastAsia="Times New Roman"/>
          <w:sz w:val="20"/>
          <w:szCs w:val="20"/>
          <w:lang w:val="es-ES_tradnl" w:eastAsia="en-US"/>
        </w:rPr>
        <w:t>.</w:t>
      </w:r>
      <w:r w:rsidR="009B0759" w:rsidRPr="00996FA3">
        <w:rPr>
          <w:rFonts w:eastAsia="Times New Roman"/>
          <w:sz w:val="20"/>
          <w:szCs w:val="20"/>
          <w:lang w:val="es-ES_tradnl" w:eastAsia="en-US"/>
        </w:rPr>
        <w:t xml:space="preserve"> Asimismo</w:t>
      </w:r>
      <w:r w:rsidRPr="00996FA3">
        <w:rPr>
          <w:rFonts w:eastAsia="Times New Roman"/>
          <w:sz w:val="20"/>
          <w:szCs w:val="20"/>
          <w:lang w:val="es-ES_tradnl" w:eastAsia="en-US"/>
        </w:rPr>
        <w:t xml:space="preserve">, la Corte podrá profundizar el análisis </w:t>
      </w:r>
      <w:r w:rsidR="002E427C" w:rsidRPr="00996FA3">
        <w:rPr>
          <w:rFonts w:eastAsia="Times New Roman"/>
          <w:sz w:val="20"/>
          <w:szCs w:val="20"/>
          <w:lang w:val="es-ES_tradnl" w:eastAsia="en-US"/>
        </w:rPr>
        <w:t xml:space="preserve">sobre el impacto que causa la impunidad </w:t>
      </w:r>
      <w:r w:rsidR="00913350" w:rsidRPr="00996FA3">
        <w:rPr>
          <w:rFonts w:eastAsia="Times New Roman"/>
          <w:sz w:val="20"/>
          <w:szCs w:val="20"/>
          <w:lang w:val="es-ES_tradnl" w:eastAsia="en-US"/>
        </w:rPr>
        <w:t xml:space="preserve">prolongada </w:t>
      </w:r>
      <w:r w:rsidR="002E427C" w:rsidRPr="00996FA3">
        <w:rPr>
          <w:rFonts w:eastAsia="Times New Roman"/>
          <w:sz w:val="20"/>
          <w:szCs w:val="20"/>
          <w:lang w:val="es-ES_tradnl" w:eastAsia="en-US"/>
        </w:rPr>
        <w:t xml:space="preserve">de graves violaciones </w:t>
      </w:r>
      <w:r w:rsidR="00913350" w:rsidRPr="00996FA3">
        <w:rPr>
          <w:rFonts w:eastAsia="Times New Roman"/>
          <w:sz w:val="20"/>
          <w:szCs w:val="20"/>
          <w:lang w:val="es-ES_tradnl" w:eastAsia="en-US"/>
        </w:rPr>
        <w:t xml:space="preserve">de derechos humanos en </w:t>
      </w:r>
      <w:r w:rsidR="00715020">
        <w:rPr>
          <w:rFonts w:eastAsia="Times New Roman"/>
          <w:sz w:val="20"/>
          <w:szCs w:val="20"/>
          <w:lang w:val="es-ES_tradnl" w:eastAsia="en-US"/>
        </w:rPr>
        <w:t>el derecho a la</w:t>
      </w:r>
      <w:r w:rsidR="00913350" w:rsidRPr="00996FA3">
        <w:rPr>
          <w:rFonts w:eastAsia="Times New Roman"/>
          <w:sz w:val="20"/>
          <w:szCs w:val="20"/>
          <w:lang w:val="es-ES_tradnl" w:eastAsia="en-US"/>
        </w:rPr>
        <w:t xml:space="preserve"> integridad personal de los familiares de la víctima. </w:t>
      </w:r>
    </w:p>
    <w:p w14:paraId="228F46A3" w14:textId="77777777" w:rsidR="00426C8A" w:rsidRPr="00996FA3" w:rsidRDefault="00426C8A" w:rsidP="00996FA3">
      <w:pPr>
        <w:spacing w:after="0" w:line="240" w:lineRule="auto"/>
        <w:jc w:val="both"/>
        <w:rPr>
          <w:rFonts w:ascii="Cambria" w:hAnsi="Cambria" w:cs="Calibri"/>
          <w:color w:val="000000"/>
          <w:sz w:val="20"/>
          <w:szCs w:val="20"/>
          <w:lang w:val="es-ES_tradnl"/>
        </w:rPr>
      </w:pPr>
    </w:p>
    <w:p w14:paraId="580525BB" w14:textId="77777777" w:rsidR="004404C6" w:rsidRDefault="004404C6" w:rsidP="00996FA3">
      <w:pPr>
        <w:spacing w:after="0" w:line="240" w:lineRule="auto"/>
        <w:ind w:firstLine="648"/>
        <w:jc w:val="both"/>
        <w:rPr>
          <w:rFonts w:ascii="Cambria" w:hAnsi="Cambria" w:cs="Calibri"/>
          <w:color w:val="000000"/>
          <w:sz w:val="20"/>
          <w:szCs w:val="20"/>
          <w:lang w:val="es-ES_tradnl"/>
        </w:rPr>
      </w:pPr>
    </w:p>
    <w:p w14:paraId="6D959E0C" w14:textId="72879FAA" w:rsidR="00426C8A" w:rsidRPr="00996FA3" w:rsidRDefault="00426C8A" w:rsidP="00996FA3">
      <w:pPr>
        <w:spacing w:after="0" w:line="240" w:lineRule="auto"/>
        <w:ind w:firstLine="648"/>
        <w:jc w:val="both"/>
        <w:rPr>
          <w:rFonts w:ascii="Cambria" w:hAnsi="Cambria" w:cs="Calibri"/>
          <w:color w:val="000000"/>
          <w:sz w:val="20"/>
          <w:szCs w:val="20"/>
          <w:lang w:val="es-ES_tradnl"/>
        </w:rPr>
      </w:pPr>
      <w:r w:rsidRPr="00996FA3">
        <w:rPr>
          <w:rFonts w:ascii="Cambria" w:hAnsi="Cambria" w:cs="Calibri"/>
          <w:color w:val="000000"/>
          <w:sz w:val="20"/>
          <w:szCs w:val="20"/>
          <w:lang w:val="es-ES_tradnl"/>
        </w:rPr>
        <w:t>La Comisión pone en conocimiento de la Honorable Corte la siguiente información de quienes actúan como parte peticionaria en el trámite ante la CIDH conforme a la información más reciente:</w:t>
      </w:r>
    </w:p>
    <w:p w14:paraId="1FDD3377" w14:textId="5C86E770" w:rsidR="00426C8A" w:rsidRPr="004404C6" w:rsidRDefault="00426C8A" w:rsidP="00996FA3">
      <w:pPr>
        <w:spacing w:after="0" w:line="240" w:lineRule="auto"/>
        <w:jc w:val="center"/>
        <w:rPr>
          <w:rFonts w:ascii="Cambria" w:hAnsi="Cambria" w:cs="Calibri"/>
          <w:color w:val="000000"/>
          <w:sz w:val="20"/>
          <w:szCs w:val="20"/>
          <w:lang w:val="es-ES_tradnl"/>
        </w:rPr>
      </w:pPr>
    </w:p>
    <w:p w14:paraId="72F9DF1E" w14:textId="77777777" w:rsidR="004404C6" w:rsidRPr="004404C6" w:rsidRDefault="004404C6" w:rsidP="004404C6">
      <w:pPr>
        <w:spacing w:after="0" w:line="220" w:lineRule="auto"/>
        <w:ind w:left="-105"/>
        <w:jc w:val="center"/>
        <w:rPr>
          <w:rFonts w:ascii="Cambria" w:hAnsi="Cambria"/>
          <w:sz w:val="20"/>
          <w:szCs w:val="20"/>
          <w:lang w:val="es-MX"/>
        </w:rPr>
      </w:pPr>
      <w:r w:rsidRPr="004404C6">
        <w:rPr>
          <w:rFonts w:ascii="Cambria" w:hAnsi="Cambria"/>
          <w:sz w:val="20"/>
          <w:szCs w:val="20"/>
          <w:lang w:val="es-MX"/>
        </w:rPr>
        <w:t>Comisión Colombiana de Juristas</w:t>
      </w:r>
    </w:p>
    <w:p w14:paraId="3E699159" w14:textId="1810FD9F" w:rsidR="004404C6" w:rsidRPr="004D5992" w:rsidRDefault="004D5992" w:rsidP="004404C6">
      <w:pPr>
        <w:spacing w:after="0" w:line="240" w:lineRule="auto"/>
        <w:jc w:val="center"/>
        <w:rPr>
          <w:rFonts w:ascii="Cambria" w:hAnsi="Cambria" w:cs="Calibri"/>
          <w:sz w:val="20"/>
          <w:szCs w:val="20"/>
          <w:highlight w:val="black"/>
          <w:lang w:val="es-ES_tradnl"/>
        </w:rPr>
      </w:pPr>
      <w:r w:rsidRPr="004D5992">
        <w:rPr>
          <w:rFonts w:ascii="Cambria" w:hAnsi="Cambria" w:cs="Calibri"/>
          <w:sz w:val="20"/>
          <w:szCs w:val="20"/>
          <w:highlight w:val="black"/>
          <w:lang w:val="es-ES_tradnl"/>
        </w:rPr>
        <w:t>XXXXXXXXXXXXXXXXXXXXXXXXXXXXXXXXXXXXXX</w:t>
      </w:r>
    </w:p>
    <w:p w14:paraId="27917E91" w14:textId="77777777" w:rsidR="00426C8A" w:rsidRPr="004404C6" w:rsidRDefault="00426C8A" w:rsidP="00996FA3">
      <w:pPr>
        <w:spacing w:after="0" w:line="240" w:lineRule="auto"/>
        <w:jc w:val="center"/>
        <w:rPr>
          <w:rFonts w:ascii="Cambria" w:hAnsi="Cambria" w:cs="Calibri"/>
          <w:color w:val="000000"/>
          <w:sz w:val="20"/>
          <w:szCs w:val="20"/>
          <w:lang w:val="es-ES"/>
        </w:rPr>
      </w:pPr>
    </w:p>
    <w:p w14:paraId="13B13D12" w14:textId="77777777" w:rsidR="00426C8A" w:rsidRPr="004404C6" w:rsidRDefault="00426C8A" w:rsidP="00996FA3">
      <w:pPr>
        <w:spacing w:after="0" w:line="240" w:lineRule="auto"/>
        <w:ind w:firstLine="720"/>
        <w:jc w:val="both"/>
        <w:rPr>
          <w:rFonts w:ascii="Cambria" w:hAnsi="Cambria" w:cs="Calibri"/>
          <w:color w:val="000000"/>
          <w:sz w:val="20"/>
          <w:szCs w:val="20"/>
          <w:lang w:val="es-ES_tradnl"/>
        </w:rPr>
      </w:pPr>
      <w:r w:rsidRPr="004404C6">
        <w:rPr>
          <w:rFonts w:ascii="Cambria" w:hAnsi="Cambria" w:cs="Calibri"/>
          <w:color w:val="000000"/>
          <w:sz w:val="20"/>
          <w:szCs w:val="20"/>
          <w:lang w:val="es-ES_tradnl"/>
        </w:rPr>
        <w:t>Aprovecho la oportunidad para saludar a usted muy atentamente,</w:t>
      </w:r>
    </w:p>
    <w:p w14:paraId="08A49417" w14:textId="77777777" w:rsidR="004404C6" w:rsidRPr="00132FC8" w:rsidRDefault="004404C6" w:rsidP="004404C6">
      <w:pPr>
        <w:tabs>
          <w:tab w:val="left" w:pos="-720"/>
          <w:tab w:val="left" w:pos="1380"/>
        </w:tabs>
        <w:suppressAutoHyphens/>
        <w:spacing w:after="0" w:line="240" w:lineRule="auto"/>
        <w:jc w:val="both"/>
        <w:rPr>
          <w:sz w:val="24"/>
          <w:szCs w:val="24"/>
          <w:lang w:val="es-CO"/>
        </w:rPr>
      </w:pPr>
      <w:bookmarkStart w:id="2" w:name="_Hlk128731904"/>
      <w:bookmarkStart w:id="3" w:name="_Hlk129855594"/>
      <w:bookmarkStart w:id="4" w:name="_Hlk129970904"/>
      <w:bookmarkStart w:id="5" w:name="_Hlk122115986"/>
      <w:bookmarkStart w:id="6" w:name="_Hlk118969572"/>
      <w:bookmarkStart w:id="7" w:name="_Hlk120781836"/>
      <w:bookmarkStart w:id="8" w:name="_Hlk119577459"/>
      <w:bookmarkStart w:id="9" w:name="_Hlk130997932"/>
      <w:bookmarkStart w:id="10" w:name="_Hlk131167805"/>
    </w:p>
    <w:p w14:paraId="2CD1FD50" w14:textId="09E5FB0C" w:rsidR="004404C6" w:rsidRPr="00BD3035" w:rsidRDefault="004404C6" w:rsidP="004404C6">
      <w:pPr>
        <w:tabs>
          <w:tab w:val="left" w:pos="3926"/>
        </w:tabs>
        <w:spacing w:after="0" w:line="240" w:lineRule="auto"/>
        <w:rPr>
          <w:sz w:val="24"/>
          <w:szCs w:val="24"/>
          <w:lang w:val="es-MX"/>
        </w:rPr>
      </w:pPr>
      <w:bookmarkStart w:id="11" w:name="_Hlk129896549"/>
    </w:p>
    <w:p w14:paraId="0EEFC06E" w14:textId="77777777" w:rsidR="004404C6" w:rsidRPr="00BD3035" w:rsidRDefault="004404C6" w:rsidP="004404C6">
      <w:pPr>
        <w:spacing w:after="0" w:line="240" w:lineRule="auto"/>
        <w:jc w:val="center"/>
        <w:rPr>
          <w:lang w:val="es-MX"/>
        </w:rPr>
      </w:pPr>
    </w:p>
    <w:p w14:paraId="1EB5F1B0" w14:textId="77777777" w:rsidR="004404C6" w:rsidRPr="00BD3035" w:rsidRDefault="004404C6" w:rsidP="004404C6">
      <w:pPr>
        <w:spacing w:after="0" w:line="240" w:lineRule="auto"/>
        <w:rPr>
          <w:lang w:val="es-MX"/>
        </w:rPr>
      </w:pPr>
    </w:p>
    <w:bookmarkEnd w:id="2"/>
    <w:p w14:paraId="4505A97B" w14:textId="77777777" w:rsidR="004404C6" w:rsidRPr="00BD3035" w:rsidRDefault="004404C6" w:rsidP="004404C6">
      <w:pPr>
        <w:tabs>
          <w:tab w:val="center" w:pos="5040"/>
        </w:tabs>
        <w:spacing w:after="0" w:line="240" w:lineRule="auto"/>
        <w:jc w:val="center"/>
        <w:rPr>
          <w:lang w:val="es-MX"/>
        </w:rPr>
      </w:pPr>
    </w:p>
    <w:p w14:paraId="0543A489" w14:textId="77777777" w:rsidR="004404C6" w:rsidRPr="004404C6" w:rsidRDefault="004404C6" w:rsidP="004404C6">
      <w:pPr>
        <w:spacing w:after="0" w:line="240" w:lineRule="auto"/>
        <w:jc w:val="center"/>
        <w:rPr>
          <w:rFonts w:ascii="Cambria" w:hAnsi="Cambria"/>
          <w:sz w:val="20"/>
          <w:szCs w:val="20"/>
          <w:lang w:val="es-CO"/>
        </w:rPr>
      </w:pPr>
      <w:r w:rsidRPr="004404C6">
        <w:rPr>
          <w:rFonts w:ascii="Cambria" w:hAnsi="Cambria"/>
          <w:sz w:val="20"/>
          <w:szCs w:val="20"/>
          <w:lang w:val="es-CO"/>
        </w:rPr>
        <w:t>Jorge Meza Flores</w:t>
      </w:r>
    </w:p>
    <w:p w14:paraId="0F0BCEE0" w14:textId="77777777" w:rsidR="004404C6" w:rsidRPr="004404C6" w:rsidRDefault="004404C6" w:rsidP="004404C6">
      <w:pPr>
        <w:spacing w:after="0" w:line="240" w:lineRule="auto"/>
        <w:jc w:val="center"/>
        <w:rPr>
          <w:rFonts w:ascii="Cambria" w:hAnsi="Cambria"/>
          <w:sz w:val="20"/>
          <w:szCs w:val="20"/>
          <w:lang w:val="es-CO"/>
        </w:rPr>
      </w:pPr>
      <w:r w:rsidRPr="004404C6">
        <w:rPr>
          <w:rFonts w:ascii="Cambria" w:hAnsi="Cambria"/>
          <w:sz w:val="20"/>
          <w:szCs w:val="20"/>
          <w:lang w:val="es-CO"/>
        </w:rPr>
        <w:t>Secretario Ejecutivo Adjunto</w:t>
      </w:r>
    </w:p>
    <w:bookmarkEnd w:id="3"/>
    <w:bookmarkEnd w:id="4"/>
    <w:bookmarkEnd w:id="5"/>
    <w:bookmarkEnd w:id="6"/>
    <w:bookmarkEnd w:id="7"/>
    <w:bookmarkEnd w:id="8"/>
    <w:bookmarkEnd w:id="11"/>
    <w:p w14:paraId="530C1634" w14:textId="5D908196" w:rsidR="004404C6" w:rsidRDefault="004404C6" w:rsidP="004404C6">
      <w:pPr>
        <w:tabs>
          <w:tab w:val="left" w:pos="-720"/>
        </w:tabs>
        <w:suppressAutoHyphens/>
        <w:spacing w:after="0" w:line="240" w:lineRule="auto"/>
        <w:jc w:val="both"/>
        <w:rPr>
          <w:rFonts w:ascii="Cambria" w:hAnsi="Cambria"/>
          <w:sz w:val="20"/>
          <w:szCs w:val="20"/>
          <w:lang w:val="pt-BR"/>
        </w:rPr>
      </w:pPr>
    </w:p>
    <w:p w14:paraId="0BC851A1" w14:textId="77777777" w:rsidR="004404C6" w:rsidRPr="004404C6" w:rsidRDefault="004404C6" w:rsidP="004404C6">
      <w:pPr>
        <w:tabs>
          <w:tab w:val="left" w:pos="-720"/>
        </w:tabs>
        <w:suppressAutoHyphens/>
        <w:spacing w:after="0" w:line="240" w:lineRule="auto"/>
        <w:jc w:val="both"/>
        <w:rPr>
          <w:rFonts w:ascii="Cambria" w:hAnsi="Cambria"/>
          <w:sz w:val="20"/>
          <w:szCs w:val="20"/>
          <w:lang w:val="pt-BR"/>
        </w:rPr>
      </w:pPr>
    </w:p>
    <w:bookmarkEnd w:id="9"/>
    <w:bookmarkEnd w:id="10"/>
    <w:p w14:paraId="0A8EBA78" w14:textId="5826A4E3" w:rsidR="00B51E05" w:rsidRDefault="00426C8A" w:rsidP="004404C6">
      <w:pPr>
        <w:spacing w:after="0" w:line="240" w:lineRule="auto"/>
      </w:pPr>
      <w:r w:rsidRPr="00996FA3">
        <w:rPr>
          <w:rFonts w:ascii="Cambria" w:hAnsi="Cambria"/>
          <w:sz w:val="20"/>
          <w:szCs w:val="20"/>
          <w:lang w:val="es-CO"/>
        </w:rPr>
        <w:t>Anexo</w:t>
      </w:r>
      <w:bookmarkStart w:id="12" w:name="ministro"/>
      <w:bookmarkEnd w:id="12"/>
    </w:p>
    <w:sectPr w:rsidR="00B51E05" w:rsidSect="00CA14E6">
      <w:headerReference w:type="default" r:id="rId7"/>
      <w:footerReference w:type="default" r:id="rId8"/>
      <w:headerReference w:type="first" r:id="rId9"/>
      <w:footerReference w:type="first" r:id="rId10"/>
      <w:pgSz w:w="12240" w:h="15840"/>
      <w:pgMar w:top="-1483"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9EE6" w14:textId="77777777" w:rsidR="00A17D73" w:rsidRDefault="00A17D73">
      <w:pPr>
        <w:spacing w:after="0" w:line="240" w:lineRule="auto"/>
      </w:pPr>
      <w:r>
        <w:separator/>
      </w:r>
    </w:p>
  </w:endnote>
  <w:endnote w:type="continuationSeparator" w:id="0">
    <w:p w14:paraId="63E72AE8" w14:textId="77777777" w:rsidR="00A17D73" w:rsidRDefault="00A17D73">
      <w:pPr>
        <w:spacing w:after="0" w:line="240" w:lineRule="auto"/>
      </w:pPr>
      <w:r>
        <w:continuationSeparator/>
      </w:r>
    </w:p>
  </w:endnote>
  <w:endnote w:type="continuationNotice" w:id="1">
    <w:p w14:paraId="0252FD63" w14:textId="77777777" w:rsidR="00A17D73" w:rsidRDefault="00A17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9A95" w14:textId="77777777" w:rsidR="00F9293D" w:rsidRPr="00623374" w:rsidRDefault="00B433F3">
    <w:pPr>
      <w:pStyle w:val="Footer"/>
      <w:jc w:val="center"/>
      <w:rPr>
        <w:rFonts w:ascii="Cambria" w:hAnsi="Cambria"/>
        <w:sz w:val="18"/>
        <w:szCs w:val="18"/>
      </w:rPr>
    </w:pPr>
    <w:r w:rsidRPr="00623374">
      <w:rPr>
        <w:rFonts w:ascii="Cambria" w:hAnsi="Cambria"/>
        <w:sz w:val="18"/>
        <w:szCs w:val="18"/>
      </w:rPr>
      <w:fldChar w:fldCharType="begin"/>
    </w:r>
    <w:r w:rsidRPr="00623374">
      <w:rPr>
        <w:rFonts w:ascii="Cambria" w:hAnsi="Cambria"/>
        <w:sz w:val="18"/>
        <w:szCs w:val="18"/>
      </w:rPr>
      <w:instrText xml:space="preserve"> PAGE   \* MERGEFORMAT </w:instrText>
    </w:r>
    <w:r w:rsidRPr="00623374">
      <w:rPr>
        <w:rFonts w:ascii="Cambria" w:hAnsi="Cambria"/>
        <w:sz w:val="18"/>
        <w:szCs w:val="18"/>
      </w:rPr>
      <w:fldChar w:fldCharType="separate"/>
    </w:r>
    <w:r w:rsidRPr="00623374">
      <w:rPr>
        <w:rFonts w:ascii="Cambria" w:hAnsi="Cambria"/>
        <w:noProof/>
        <w:sz w:val="18"/>
        <w:szCs w:val="18"/>
      </w:rPr>
      <w:t>4</w:t>
    </w:r>
    <w:r w:rsidRPr="00623374">
      <w:rPr>
        <w:rFonts w:ascii="Cambria" w:hAnsi="Cambria"/>
        <w:noProof/>
        <w:sz w:val="18"/>
        <w:szCs w:val="18"/>
      </w:rPr>
      <w:fldChar w:fldCharType="end"/>
    </w:r>
  </w:p>
  <w:p w14:paraId="7D4E2390" w14:textId="77777777" w:rsidR="00F9293D" w:rsidRDefault="00B433F3">
    <w:pPr>
      <w:pStyle w:val="Footer"/>
      <w:spacing w:line="360" w:lineRule="auto"/>
    </w:pPr>
    <w:r>
      <w:t>_____________________________________________________________________________________</w:t>
    </w:r>
  </w:p>
  <w:p w14:paraId="39B7388F" w14:textId="419F88B8" w:rsidR="00F9293D" w:rsidRDefault="00426C8A">
    <w:pPr>
      <w:pStyle w:val="Footer"/>
      <w:jc w:val="center"/>
    </w:pPr>
    <w:r w:rsidRPr="008A5CB5">
      <w:rPr>
        <w:noProof/>
      </w:rPr>
      <w:drawing>
        <wp:inline distT="0" distB="0" distL="0" distR="0" wp14:anchorId="2C3EEE49" wp14:editId="07E39A35">
          <wp:extent cx="5120640" cy="320040"/>
          <wp:effectExtent l="0" t="0" r="3810" b="3810"/>
          <wp:docPr id="5"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00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5D9E" w14:textId="77777777" w:rsidR="00F9293D" w:rsidRDefault="00B433F3">
    <w:pPr>
      <w:pStyle w:val="Footer"/>
      <w:spacing w:line="360" w:lineRule="auto"/>
    </w:pPr>
    <w:r>
      <w:t>_____________________________________________________________________________________</w:t>
    </w:r>
  </w:p>
  <w:p w14:paraId="14F346E0" w14:textId="58F4F6F8" w:rsidR="00F9293D" w:rsidRDefault="00426C8A">
    <w:pPr>
      <w:pStyle w:val="Footer"/>
      <w:jc w:val="center"/>
    </w:pPr>
    <w:r w:rsidRPr="008A5CB5">
      <w:rPr>
        <w:noProof/>
      </w:rPr>
      <w:drawing>
        <wp:inline distT="0" distB="0" distL="0" distR="0" wp14:anchorId="062C0AB6" wp14:editId="3B918701">
          <wp:extent cx="5120640" cy="320040"/>
          <wp:effectExtent l="0" t="0" r="3810" b="3810"/>
          <wp:docPr id="2"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4BEF" w14:textId="77777777" w:rsidR="00A17D73" w:rsidRDefault="00A17D73">
      <w:pPr>
        <w:spacing w:after="0" w:line="240" w:lineRule="auto"/>
      </w:pPr>
      <w:r>
        <w:separator/>
      </w:r>
    </w:p>
  </w:footnote>
  <w:footnote w:type="continuationSeparator" w:id="0">
    <w:p w14:paraId="6A790C8D" w14:textId="77777777" w:rsidR="00A17D73" w:rsidRDefault="00A17D73">
      <w:pPr>
        <w:spacing w:after="0" w:line="240" w:lineRule="auto"/>
      </w:pPr>
      <w:r>
        <w:continuationSeparator/>
      </w:r>
    </w:p>
  </w:footnote>
  <w:footnote w:type="continuationNotice" w:id="1">
    <w:p w14:paraId="6E531E2D" w14:textId="77777777" w:rsidR="00A17D73" w:rsidRDefault="00A17D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8BB5" w14:textId="5C32F49F" w:rsidR="00F9293D" w:rsidRPr="0058688A" w:rsidRDefault="00426C8A">
    <w:pPr>
      <w:pStyle w:val="Header"/>
      <w:jc w:val="center"/>
      <w:rPr>
        <w:lang w:val="es-ES_tradnl"/>
      </w:rPr>
    </w:pPr>
    <w:r>
      <w:rPr>
        <w:noProof/>
        <w:lang w:val="es-ES_tradnl"/>
      </w:rPr>
      <w:drawing>
        <wp:inline distT="0" distB="0" distL="0" distR="0" wp14:anchorId="40AC477A" wp14:editId="4EA6485D">
          <wp:extent cx="2286000" cy="129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9540"/>
                  </a:xfrm>
                  <a:prstGeom prst="rect">
                    <a:avLst/>
                  </a:prstGeom>
                  <a:noFill/>
                  <a:ln>
                    <a:noFill/>
                  </a:ln>
                </pic:spPr>
              </pic:pic>
            </a:graphicData>
          </a:graphic>
        </wp:inline>
      </w:drawing>
    </w:r>
  </w:p>
  <w:p w14:paraId="3733834F" w14:textId="77777777" w:rsidR="00F9293D" w:rsidRDefault="00B433F3">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64EA" w14:textId="6D7F5F81" w:rsidR="00F9293D" w:rsidRDefault="00426C8A">
    <w:pPr>
      <w:pStyle w:val="Header"/>
    </w:pPr>
    <w:r w:rsidRPr="008A5CB5">
      <w:rPr>
        <w:noProof/>
      </w:rPr>
      <w:drawing>
        <wp:inline distT="0" distB="0" distL="0" distR="0" wp14:anchorId="05482DA1" wp14:editId="40D604B5">
          <wp:extent cx="2354580" cy="457200"/>
          <wp:effectExtent l="0" t="0" r="7620" b="0"/>
          <wp:docPr id="4"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57200"/>
                  </a:xfrm>
                  <a:prstGeom prst="rect">
                    <a:avLst/>
                  </a:prstGeom>
                  <a:noFill/>
                  <a:ln>
                    <a:noFill/>
                  </a:ln>
                </pic:spPr>
              </pic:pic>
            </a:graphicData>
          </a:graphic>
        </wp:inline>
      </w:drawing>
    </w:r>
    <w:r w:rsidR="00B433F3">
      <w:tab/>
    </w:r>
    <w:r w:rsidR="00B433F3">
      <w:tab/>
    </w:r>
    <w:r w:rsidRPr="008A5CB5">
      <w:rPr>
        <w:noProof/>
      </w:rPr>
      <w:drawing>
        <wp:inline distT="0" distB="0" distL="0" distR="0" wp14:anchorId="3D0B3B6D" wp14:editId="3AC13A86">
          <wp:extent cx="1661160" cy="487680"/>
          <wp:effectExtent l="0" t="0" r="0" b="762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160" cy="487680"/>
                  </a:xfrm>
                  <a:prstGeom prst="rect">
                    <a:avLst/>
                  </a:prstGeom>
                  <a:noFill/>
                  <a:ln>
                    <a:noFill/>
                  </a:ln>
                </pic:spPr>
              </pic:pic>
            </a:graphicData>
          </a:graphic>
        </wp:inline>
      </w:drawing>
    </w:r>
  </w:p>
  <w:p w14:paraId="31AE65A9" w14:textId="7F0D5E3B" w:rsidR="00F9293D" w:rsidRDefault="004404C6">
    <w:pPr>
      <w:pStyle w:val="Header"/>
    </w:pPr>
    <w:r>
      <w:rPr>
        <w:noProof/>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10A1"/>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D56AC9"/>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A61E90"/>
    <w:multiLevelType w:val="multilevel"/>
    <w:tmpl w:val="D10C3E3A"/>
    <w:lvl w:ilvl="0">
      <w:start w:val="1"/>
      <w:numFmt w:val="decimal"/>
      <w:lvlText w:val="%1."/>
      <w:lvlJc w:val="left"/>
      <w:rPr>
        <w:rFonts w:ascii="Cambria" w:eastAsia="Cambria" w:hAnsi="Cambria" w:cs="Cambria"/>
        <w:b w:val="0"/>
        <w:color w:val="000000"/>
        <w:position w:val="0"/>
        <w:sz w:val="20"/>
        <w:szCs w:val="20"/>
        <w:u w:color="FF0000"/>
        <w:rtl w:val="0"/>
        <w:lang w:val="es-ES_tradnl"/>
      </w:rPr>
    </w:lvl>
    <w:lvl w:ilvl="1">
      <w:start w:val="1"/>
      <w:numFmt w:val="lowerLetter"/>
      <w:lvlText w:val="%2."/>
      <w:lvlJc w:val="left"/>
      <w:rPr>
        <w:rFonts w:ascii="Cambria" w:eastAsia="Cambria" w:hAnsi="Cambria" w:cs="Cambria"/>
        <w:color w:val="000000"/>
        <w:position w:val="0"/>
        <w:u w:color="000000"/>
        <w:rtl w:val="0"/>
        <w:lang w:val="es-ES_tradnl"/>
      </w:rPr>
    </w:lvl>
    <w:lvl w:ilvl="2">
      <w:start w:val="1"/>
      <w:numFmt w:val="lowerRoman"/>
      <w:lvlText w:val="%3."/>
      <w:lvlJc w:val="left"/>
      <w:rPr>
        <w:rFonts w:ascii="Cambria" w:eastAsia="Cambria" w:hAnsi="Cambria" w:cs="Cambria"/>
        <w:color w:val="000000"/>
        <w:position w:val="0"/>
        <w:u w:color="000000"/>
        <w:rtl w:val="0"/>
        <w:lang w:val="es-ES_tradnl"/>
      </w:rPr>
    </w:lvl>
    <w:lvl w:ilvl="3">
      <w:start w:val="1"/>
      <w:numFmt w:val="decimal"/>
      <w:lvlText w:val="%4."/>
      <w:lvlJc w:val="left"/>
      <w:rPr>
        <w:rFonts w:ascii="Cambria" w:eastAsia="Cambria" w:hAnsi="Cambria" w:cs="Cambria"/>
        <w:color w:val="000000"/>
        <w:position w:val="0"/>
        <w:u w:color="000000"/>
        <w:rtl w:val="0"/>
        <w:lang w:val="es-ES_tradnl"/>
      </w:rPr>
    </w:lvl>
    <w:lvl w:ilvl="4">
      <w:start w:val="1"/>
      <w:numFmt w:val="lowerLetter"/>
      <w:lvlText w:val="%5."/>
      <w:lvlJc w:val="left"/>
      <w:rPr>
        <w:rFonts w:ascii="Cambria" w:eastAsia="Cambria" w:hAnsi="Cambria" w:cs="Cambria"/>
        <w:color w:val="000000"/>
        <w:position w:val="0"/>
        <w:u w:color="000000"/>
        <w:rtl w:val="0"/>
        <w:lang w:val="es-ES_tradnl"/>
      </w:rPr>
    </w:lvl>
    <w:lvl w:ilvl="5">
      <w:start w:val="1"/>
      <w:numFmt w:val="lowerRoman"/>
      <w:lvlText w:val="%6."/>
      <w:lvlJc w:val="left"/>
      <w:rPr>
        <w:rFonts w:ascii="Cambria" w:eastAsia="Cambria" w:hAnsi="Cambria" w:cs="Cambria"/>
        <w:color w:val="000000"/>
        <w:position w:val="0"/>
        <w:u w:color="000000"/>
        <w:rtl w:val="0"/>
        <w:lang w:val="es-ES_tradnl"/>
      </w:rPr>
    </w:lvl>
    <w:lvl w:ilvl="6">
      <w:start w:val="1"/>
      <w:numFmt w:val="decimal"/>
      <w:lvlText w:val="%7."/>
      <w:lvlJc w:val="left"/>
      <w:rPr>
        <w:rFonts w:ascii="Cambria" w:eastAsia="Cambria" w:hAnsi="Cambria" w:cs="Cambria"/>
        <w:color w:val="000000"/>
        <w:position w:val="0"/>
        <w:u w:color="000000"/>
        <w:rtl w:val="0"/>
        <w:lang w:val="es-ES_tradnl"/>
      </w:rPr>
    </w:lvl>
    <w:lvl w:ilvl="7">
      <w:start w:val="1"/>
      <w:numFmt w:val="lowerLetter"/>
      <w:lvlText w:val="%8."/>
      <w:lvlJc w:val="left"/>
      <w:rPr>
        <w:rFonts w:ascii="Cambria" w:eastAsia="Cambria" w:hAnsi="Cambria" w:cs="Cambria"/>
        <w:color w:val="000000"/>
        <w:position w:val="0"/>
        <w:u w:color="000000"/>
        <w:rtl w:val="0"/>
        <w:lang w:val="es-ES_tradnl"/>
      </w:rPr>
    </w:lvl>
    <w:lvl w:ilvl="8">
      <w:start w:val="1"/>
      <w:numFmt w:val="lowerRoman"/>
      <w:lvlText w:val="%9."/>
      <w:lvlJc w:val="left"/>
      <w:rPr>
        <w:rFonts w:ascii="Cambria" w:eastAsia="Cambria" w:hAnsi="Cambria" w:cs="Cambria"/>
        <w:color w:val="000000"/>
        <w:position w:val="0"/>
        <w:u w:color="000000"/>
        <w:rtl w:val="0"/>
        <w:lang w:val="es-ES_tradnl"/>
      </w:rPr>
    </w:lvl>
  </w:abstractNum>
  <w:abstractNum w:abstractNumId="3" w15:restartNumberingAfterBreak="0">
    <w:nsid w:val="27553490"/>
    <w:multiLevelType w:val="hybridMultilevel"/>
    <w:tmpl w:val="98C2F8A2"/>
    <w:lvl w:ilvl="0" w:tplc="F788C15C">
      <w:start w:val="20"/>
      <w:numFmt w:val="decimal"/>
      <w:lvlText w:val="%1."/>
      <w:lvlJc w:val="left"/>
      <w:pPr>
        <w:ind w:left="720" w:hanging="360"/>
      </w:pPr>
      <w:rPr>
        <w:rFonts w:ascii="Cambria" w:hAnsi="Cambria"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C67FFA"/>
    <w:multiLevelType w:val="hybridMultilevel"/>
    <w:tmpl w:val="3B324E06"/>
    <w:lvl w:ilvl="0" w:tplc="5D921E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E6C6A"/>
    <w:multiLevelType w:val="hybridMultilevel"/>
    <w:tmpl w:val="3B324E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8B6462"/>
    <w:multiLevelType w:val="hybridMultilevel"/>
    <w:tmpl w:val="610EC480"/>
    <w:lvl w:ilvl="0" w:tplc="ED0447A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B48A7"/>
    <w:multiLevelType w:val="hybridMultilevel"/>
    <w:tmpl w:val="8F2605F0"/>
    <w:lvl w:ilvl="0" w:tplc="8B2C8F78">
      <w:start w:val="1"/>
      <w:numFmt w:val="decimal"/>
      <w:lvlText w:val="%1."/>
      <w:lvlJc w:val="left"/>
      <w:pPr>
        <w:ind w:left="720" w:hanging="360"/>
      </w:pPr>
      <w:rPr>
        <w:rFonts w:eastAsia="Cambria" w:cs="Cambria"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21508C"/>
    <w:multiLevelType w:val="hybridMultilevel"/>
    <w:tmpl w:val="35CC6442"/>
    <w:lvl w:ilvl="0" w:tplc="B0DC8670">
      <w:start w:val="1"/>
      <w:numFmt w:val="decimal"/>
      <w:lvlText w:val="%1."/>
      <w:lvlJc w:val="left"/>
      <w:pPr>
        <w:ind w:left="72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61D90"/>
    <w:multiLevelType w:val="hybridMultilevel"/>
    <w:tmpl w:val="88B899B8"/>
    <w:lvl w:ilvl="0" w:tplc="C7EC2450">
      <w:start w:val="1"/>
      <w:numFmt w:val="decimal"/>
      <w:lvlText w:val="%1."/>
      <w:lvlJc w:val="left"/>
      <w:pPr>
        <w:tabs>
          <w:tab w:val="num" w:pos="1080"/>
        </w:tabs>
        <w:ind w:left="1080" w:hanging="360"/>
      </w:pPr>
      <w:rPr>
        <w:rFonts w:ascii="Cambria" w:hAnsi="Cambria" w:cs="Times New Roman" w:hint="default"/>
        <w:b w:val="0"/>
        <w:i w:val="0"/>
        <w:sz w:val="20"/>
        <w:szCs w:val="20"/>
        <w:lang w:val="es-CO"/>
      </w:rPr>
    </w:lvl>
    <w:lvl w:ilvl="1" w:tplc="41189D3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B44BB"/>
    <w:multiLevelType w:val="multilevel"/>
    <w:tmpl w:val="8196F056"/>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401A6212"/>
    <w:multiLevelType w:val="hybridMultilevel"/>
    <w:tmpl w:val="0E28989A"/>
    <w:lvl w:ilvl="0" w:tplc="9A5C2456">
      <w:start w:val="204"/>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F13EE8"/>
    <w:multiLevelType w:val="hybridMultilevel"/>
    <w:tmpl w:val="933E2FCC"/>
    <w:lvl w:ilvl="0" w:tplc="73E4764C">
      <w:start w:val="1"/>
      <w:numFmt w:val="upperLetter"/>
      <w:lvlText w:val="%1."/>
      <w:lvlJc w:val="left"/>
      <w:pPr>
        <w:tabs>
          <w:tab w:val="num" w:pos="1440"/>
        </w:tabs>
        <w:ind w:left="1440" w:hanging="720"/>
      </w:pPr>
      <w:rPr>
        <w:rFonts w:hint="default"/>
      </w:rPr>
    </w:lvl>
    <w:lvl w:ilvl="1" w:tplc="099877FE">
      <w:start w:val="1"/>
      <w:numFmt w:val="decimal"/>
      <w:lvlText w:val="%2."/>
      <w:lvlJc w:val="left"/>
      <w:pPr>
        <w:tabs>
          <w:tab w:val="num" w:pos="1860"/>
        </w:tabs>
        <w:ind w:left="1860" w:hanging="420"/>
      </w:pPr>
      <w:rPr>
        <w:rFonts w:hint="default"/>
        <w:color w:val="auto"/>
      </w:rPr>
    </w:lvl>
    <w:lvl w:ilvl="2" w:tplc="04090005">
      <w:start w:val="2"/>
      <w:numFmt w:val="lowerLetter"/>
      <w:lvlText w:val="%3."/>
      <w:lvlJc w:val="left"/>
      <w:pPr>
        <w:tabs>
          <w:tab w:val="num" w:pos="3060"/>
        </w:tabs>
        <w:ind w:left="3060" w:hanging="72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3" w15:restartNumberingAfterBreak="0">
    <w:nsid w:val="4412342E"/>
    <w:multiLevelType w:val="multilevel"/>
    <w:tmpl w:val="1ADE2FB2"/>
    <w:styleLink w:val="List19"/>
    <w:lvl w:ilvl="0">
      <w:start w:val="1"/>
      <w:numFmt w:val="decimal"/>
      <w:lvlText w:val="%1."/>
      <w:lvlJc w:val="left"/>
      <w:pPr>
        <w:tabs>
          <w:tab w:val="num" w:pos="806"/>
        </w:tabs>
        <w:ind w:left="806" w:hanging="806"/>
      </w:pPr>
      <w:rPr>
        <w:rFonts w:ascii="Cambria" w:eastAsia="Cambria" w:hAnsi="Cambria" w:cs="Cambria"/>
        <w:position w:val="0"/>
        <w:sz w:val="20"/>
        <w:szCs w:val="20"/>
        <w:rtl w:val="0"/>
        <w:lang w:val="es-ES_tradnl"/>
      </w:rPr>
    </w:lvl>
    <w:lvl w:ilvl="1">
      <w:start w:val="1"/>
      <w:numFmt w:val="lowerLetter"/>
      <w:lvlText w:val="%2."/>
      <w:lvlJc w:val="left"/>
      <w:pPr>
        <w:tabs>
          <w:tab w:val="num" w:pos="1740"/>
        </w:tabs>
        <w:ind w:left="1740" w:hanging="300"/>
      </w:pPr>
      <w:rPr>
        <w:rFonts w:ascii="Cambria" w:eastAsia="Cambria" w:hAnsi="Cambria" w:cs="Cambria"/>
        <w:position w:val="0"/>
        <w:sz w:val="20"/>
        <w:szCs w:val="20"/>
        <w:rtl w:val="0"/>
        <w:lang w:val="es-ES_tradnl"/>
      </w:rPr>
    </w:lvl>
    <w:lvl w:ilvl="2">
      <w:start w:val="1"/>
      <w:numFmt w:val="lowerRoman"/>
      <w:lvlText w:val="%3."/>
      <w:lvlJc w:val="left"/>
      <w:pPr>
        <w:tabs>
          <w:tab w:val="num" w:pos="2471"/>
        </w:tabs>
        <w:ind w:left="2471" w:hanging="247"/>
      </w:pPr>
      <w:rPr>
        <w:rFonts w:ascii="Cambria" w:eastAsia="Cambria" w:hAnsi="Cambria" w:cs="Cambria"/>
        <w:position w:val="0"/>
        <w:sz w:val="20"/>
        <w:szCs w:val="20"/>
        <w:rtl w:val="0"/>
        <w:lang w:val="es-ES_tradnl"/>
      </w:rPr>
    </w:lvl>
    <w:lvl w:ilvl="3">
      <w:start w:val="1"/>
      <w:numFmt w:val="decimal"/>
      <w:lvlText w:val="%4."/>
      <w:lvlJc w:val="left"/>
      <w:pPr>
        <w:tabs>
          <w:tab w:val="num" w:pos="3180"/>
        </w:tabs>
        <w:ind w:left="3180" w:hanging="300"/>
      </w:pPr>
      <w:rPr>
        <w:rFonts w:ascii="Cambria" w:eastAsia="Cambria" w:hAnsi="Cambria" w:cs="Cambria"/>
        <w:position w:val="0"/>
        <w:sz w:val="20"/>
        <w:szCs w:val="20"/>
        <w:rtl w:val="0"/>
        <w:lang w:val="es-ES_tradnl"/>
      </w:rPr>
    </w:lvl>
    <w:lvl w:ilvl="4">
      <w:start w:val="1"/>
      <w:numFmt w:val="lowerLetter"/>
      <w:lvlText w:val="%5."/>
      <w:lvlJc w:val="left"/>
      <w:pPr>
        <w:tabs>
          <w:tab w:val="num" w:pos="3900"/>
        </w:tabs>
        <w:ind w:left="3900" w:hanging="300"/>
      </w:pPr>
      <w:rPr>
        <w:rFonts w:ascii="Cambria" w:eastAsia="Cambria" w:hAnsi="Cambria" w:cs="Cambria"/>
        <w:position w:val="0"/>
        <w:sz w:val="20"/>
        <w:szCs w:val="20"/>
        <w:rtl w:val="0"/>
        <w:lang w:val="es-ES_tradnl"/>
      </w:rPr>
    </w:lvl>
    <w:lvl w:ilvl="5">
      <w:start w:val="1"/>
      <w:numFmt w:val="lowerRoman"/>
      <w:lvlText w:val="%6."/>
      <w:lvlJc w:val="left"/>
      <w:pPr>
        <w:tabs>
          <w:tab w:val="num" w:pos="4631"/>
        </w:tabs>
        <w:ind w:left="4631" w:hanging="247"/>
      </w:pPr>
      <w:rPr>
        <w:rFonts w:ascii="Cambria" w:eastAsia="Cambria" w:hAnsi="Cambria" w:cs="Cambria"/>
        <w:position w:val="0"/>
        <w:sz w:val="20"/>
        <w:szCs w:val="20"/>
        <w:rtl w:val="0"/>
        <w:lang w:val="es-ES_tradnl"/>
      </w:rPr>
    </w:lvl>
    <w:lvl w:ilvl="6">
      <w:start w:val="1"/>
      <w:numFmt w:val="decimal"/>
      <w:lvlText w:val="%7."/>
      <w:lvlJc w:val="left"/>
      <w:pPr>
        <w:tabs>
          <w:tab w:val="num" w:pos="5340"/>
        </w:tabs>
        <w:ind w:left="5340" w:hanging="300"/>
      </w:pPr>
      <w:rPr>
        <w:rFonts w:ascii="Cambria" w:eastAsia="Cambria" w:hAnsi="Cambria" w:cs="Cambria"/>
        <w:position w:val="0"/>
        <w:sz w:val="20"/>
        <w:szCs w:val="20"/>
        <w:rtl w:val="0"/>
        <w:lang w:val="es-ES_tradnl"/>
      </w:rPr>
    </w:lvl>
    <w:lvl w:ilvl="7">
      <w:start w:val="1"/>
      <w:numFmt w:val="lowerLetter"/>
      <w:lvlText w:val="%8."/>
      <w:lvlJc w:val="left"/>
      <w:pPr>
        <w:tabs>
          <w:tab w:val="num" w:pos="6060"/>
        </w:tabs>
        <w:ind w:left="6060" w:hanging="300"/>
      </w:pPr>
      <w:rPr>
        <w:rFonts w:ascii="Cambria" w:eastAsia="Cambria" w:hAnsi="Cambria" w:cs="Cambria"/>
        <w:position w:val="0"/>
        <w:sz w:val="20"/>
        <w:szCs w:val="20"/>
        <w:rtl w:val="0"/>
        <w:lang w:val="es-ES_tradnl"/>
      </w:rPr>
    </w:lvl>
    <w:lvl w:ilvl="8">
      <w:start w:val="1"/>
      <w:numFmt w:val="lowerRoman"/>
      <w:lvlText w:val="%9."/>
      <w:lvlJc w:val="left"/>
      <w:pPr>
        <w:tabs>
          <w:tab w:val="num" w:pos="6791"/>
        </w:tabs>
        <w:ind w:left="6791" w:hanging="247"/>
      </w:pPr>
      <w:rPr>
        <w:rFonts w:ascii="Cambria" w:eastAsia="Cambria" w:hAnsi="Cambria" w:cs="Cambria"/>
        <w:position w:val="0"/>
        <w:sz w:val="20"/>
        <w:szCs w:val="20"/>
        <w:rtl w:val="0"/>
        <w:lang w:val="es-ES_tradnl"/>
      </w:rPr>
    </w:lvl>
  </w:abstractNum>
  <w:abstractNum w:abstractNumId="14" w15:restartNumberingAfterBreak="0">
    <w:nsid w:val="4991082E"/>
    <w:multiLevelType w:val="hybridMultilevel"/>
    <w:tmpl w:val="F2DC6340"/>
    <w:lvl w:ilvl="0" w:tplc="0B726994">
      <w:start w:val="1"/>
      <w:numFmt w:val="decimal"/>
      <w:lvlText w:val="%1."/>
      <w:lvlJc w:val="left"/>
      <w:pPr>
        <w:ind w:left="360" w:hanging="360"/>
      </w:pPr>
      <w:rPr>
        <w:rFonts w:ascii="Cambria" w:hAnsi="Cambria" w:hint="default"/>
        <w:b w:val="0"/>
        <w:i w:val="0"/>
        <w:color w:val="000000"/>
        <w:sz w:val="20"/>
        <w:lang w:val="es-CO"/>
      </w:rPr>
    </w:lvl>
    <w:lvl w:ilvl="1" w:tplc="240A0019" w:tentative="1">
      <w:start w:val="1"/>
      <w:numFmt w:val="lowerLetter"/>
      <w:lvlText w:val="%2."/>
      <w:lvlJc w:val="left"/>
      <w:pPr>
        <w:ind w:left="-450" w:hanging="360"/>
      </w:pPr>
    </w:lvl>
    <w:lvl w:ilvl="2" w:tplc="240A001B" w:tentative="1">
      <w:start w:val="1"/>
      <w:numFmt w:val="lowerRoman"/>
      <w:lvlText w:val="%3."/>
      <w:lvlJc w:val="right"/>
      <w:pPr>
        <w:ind w:left="270" w:hanging="180"/>
      </w:pPr>
    </w:lvl>
    <w:lvl w:ilvl="3" w:tplc="240A000F" w:tentative="1">
      <w:start w:val="1"/>
      <w:numFmt w:val="decimal"/>
      <w:lvlText w:val="%4."/>
      <w:lvlJc w:val="left"/>
      <w:pPr>
        <w:ind w:left="990" w:hanging="360"/>
      </w:pPr>
    </w:lvl>
    <w:lvl w:ilvl="4" w:tplc="240A0019" w:tentative="1">
      <w:start w:val="1"/>
      <w:numFmt w:val="lowerLetter"/>
      <w:lvlText w:val="%5."/>
      <w:lvlJc w:val="left"/>
      <w:pPr>
        <w:ind w:left="1710" w:hanging="360"/>
      </w:pPr>
    </w:lvl>
    <w:lvl w:ilvl="5" w:tplc="240A001B" w:tentative="1">
      <w:start w:val="1"/>
      <w:numFmt w:val="lowerRoman"/>
      <w:lvlText w:val="%6."/>
      <w:lvlJc w:val="right"/>
      <w:pPr>
        <w:ind w:left="2430" w:hanging="180"/>
      </w:pPr>
    </w:lvl>
    <w:lvl w:ilvl="6" w:tplc="240A000F" w:tentative="1">
      <w:start w:val="1"/>
      <w:numFmt w:val="decimal"/>
      <w:lvlText w:val="%7."/>
      <w:lvlJc w:val="left"/>
      <w:pPr>
        <w:ind w:left="3150" w:hanging="360"/>
      </w:pPr>
    </w:lvl>
    <w:lvl w:ilvl="7" w:tplc="240A0019" w:tentative="1">
      <w:start w:val="1"/>
      <w:numFmt w:val="lowerLetter"/>
      <w:lvlText w:val="%8."/>
      <w:lvlJc w:val="left"/>
      <w:pPr>
        <w:ind w:left="3870" w:hanging="360"/>
      </w:pPr>
    </w:lvl>
    <w:lvl w:ilvl="8" w:tplc="240A001B" w:tentative="1">
      <w:start w:val="1"/>
      <w:numFmt w:val="lowerRoman"/>
      <w:lvlText w:val="%9."/>
      <w:lvlJc w:val="right"/>
      <w:pPr>
        <w:ind w:left="4590" w:hanging="180"/>
      </w:pPr>
    </w:lvl>
  </w:abstractNum>
  <w:abstractNum w:abstractNumId="15" w15:restartNumberingAfterBreak="0">
    <w:nsid w:val="4DFA3B18"/>
    <w:multiLevelType w:val="multilevel"/>
    <w:tmpl w:val="8196F056"/>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7D4B9D"/>
    <w:multiLevelType w:val="hybridMultilevel"/>
    <w:tmpl w:val="88A6D808"/>
    <w:lvl w:ilvl="0" w:tplc="2C38E732">
      <w:start w:val="1"/>
      <w:numFmt w:val="decimal"/>
      <w:lvlText w:val="%1."/>
      <w:lvlJc w:val="left"/>
      <w:pPr>
        <w:ind w:left="990" w:hanging="360"/>
      </w:pPr>
      <w:rPr>
        <w:rFonts w:ascii="Cambria" w:hAnsi="Cambria" w:hint="default"/>
        <w:b w:val="0"/>
        <w:color w:val="auto"/>
        <w:sz w:val="20"/>
        <w:szCs w:val="20"/>
        <w:lang w:val="es-A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D15A8"/>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2B8097C"/>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6BE5E6A"/>
    <w:multiLevelType w:val="hybridMultilevel"/>
    <w:tmpl w:val="C9D20C7E"/>
    <w:lvl w:ilvl="0" w:tplc="B47EC36A">
      <w:start w:val="1"/>
      <w:numFmt w:val="decimal"/>
      <w:lvlText w:val="%1."/>
      <w:lvlJc w:val="left"/>
      <w:pPr>
        <w:tabs>
          <w:tab w:val="num" w:pos="720"/>
        </w:tabs>
        <w:ind w:left="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B64019"/>
    <w:multiLevelType w:val="hybridMultilevel"/>
    <w:tmpl w:val="3B324E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713749"/>
    <w:multiLevelType w:val="hybridMultilevel"/>
    <w:tmpl w:val="AF34079A"/>
    <w:lvl w:ilvl="0" w:tplc="F0ACAFF8">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460CA"/>
    <w:multiLevelType w:val="hybridMultilevel"/>
    <w:tmpl w:val="07B85AD8"/>
    <w:lvl w:ilvl="0" w:tplc="67D6E770">
      <w:start w:val="1"/>
      <w:numFmt w:val="decimal"/>
      <w:lvlText w:val="%1."/>
      <w:lvlJc w:val="left"/>
      <w:pPr>
        <w:tabs>
          <w:tab w:val="num" w:pos="720"/>
        </w:tabs>
        <w:ind w:left="720" w:hanging="360"/>
      </w:pPr>
      <w:rPr>
        <w:rFonts w:cs="Calibr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E15765F"/>
    <w:multiLevelType w:val="hybridMultilevel"/>
    <w:tmpl w:val="E19847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4B81A8D"/>
    <w:multiLevelType w:val="hybridMultilevel"/>
    <w:tmpl w:val="79AE9E34"/>
    <w:lvl w:ilvl="0" w:tplc="F7A2A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3A10CB"/>
    <w:multiLevelType w:val="multilevel"/>
    <w:tmpl w:val="8196F056"/>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7AFB3831"/>
    <w:multiLevelType w:val="hybridMultilevel"/>
    <w:tmpl w:val="1474E3CC"/>
    <w:lvl w:ilvl="0" w:tplc="5D1A316A">
      <w:start w:val="2"/>
      <w:numFmt w:val="upperLetter"/>
      <w:lvlText w:val="%1."/>
      <w:lvlJc w:val="left"/>
      <w:pPr>
        <w:tabs>
          <w:tab w:val="num" w:pos="1440"/>
        </w:tabs>
        <w:ind w:left="1440" w:hanging="720"/>
      </w:pPr>
    </w:lvl>
    <w:lvl w:ilvl="1" w:tplc="BD42056E">
      <w:start w:val="1"/>
      <w:numFmt w:val="decimal"/>
      <w:lvlText w:val="%2."/>
      <w:lvlJc w:val="left"/>
      <w:pPr>
        <w:tabs>
          <w:tab w:val="num" w:pos="1200"/>
        </w:tabs>
        <w:ind w:left="12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31690816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71187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646656">
    <w:abstractNumId w:val="21"/>
  </w:num>
  <w:num w:numId="4" w16cid:durableId="1234899868">
    <w:abstractNumId w:val="16"/>
  </w:num>
  <w:num w:numId="5" w16cid:durableId="79569103">
    <w:abstractNumId w:val="6"/>
  </w:num>
  <w:num w:numId="6" w16cid:durableId="1838418663">
    <w:abstractNumId w:val="11"/>
  </w:num>
  <w:num w:numId="7" w16cid:durableId="1809125139">
    <w:abstractNumId w:val="9"/>
  </w:num>
  <w:num w:numId="8" w16cid:durableId="1963686979">
    <w:abstractNumId w:val="3"/>
  </w:num>
  <w:num w:numId="9" w16cid:durableId="2005350993">
    <w:abstractNumId w:val="14"/>
  </w:num>
  <w:num w:numId="10" w16cid:durableId="1680034931">
    <w:abstractNumId w:val="17"/>
  </w:num>
  <w:num w:numId="11" w16cid:durableId="614285766">
    <w:abstractNumId w:val="18"/>
  </w:num>
  <w:num w:numId="12" w16cid:durableId="190581579">
    <w:abstractNumId w:val="19"/>
  </w:num>
  <w:num w:numId="13" w16cid:durableId="1826580301">
    <w:abstractNumId w:val="20"/>
  </w:num>
  <w:num w:numId="14" w16cid:durableId="1243950412">
    <w:abstractNumId w:val="1"/>
  </w:num>
  <w:num w:numId="15" w16cid:durableId="2032220134">
    <w:abstractNumId w:val="0"/>
  </w:num>
  <w:num w:numId="16" w16cid:durableId="621961585">
    <w:abstractNumId w:val="25"/>
  </w:num>
  <w:num w:numId="17" w16cid:durableId="4870643">
    <w:abstractNumId w:val="7"/>
  </w:num>
  <w:num w:numId="18" w16cid:durableId="318270556">
    <w:abstractNumId w:val="26"/>
  </w:num>
  <w:num w:numId="19" w16cid:durableId="1148280997">
    <w:abstractNumId w:val="10"/>
  </w:num>
  <w:num w:numId="20" w16cid:durableId="1432242441">
    <w:abstractNumId w:val="4"/>
  </w:num>
  <w:num w:numId="21" w16cid:durableId="513149804">
    <w:abstractNumId w:val="15"/>
  </w:num>
  <w:num w:numId="22" w16cid:durableId="1569342285">
    <w:abstractNumId w:val="27"/>
  </w:num>
  <w:num w:numId="23" w16cid:durableId="893585372">
    <w:abstractNumId w:val="22"/>
  </w:num>
  <w:num w:numId="24" w16cid:durableId="646133448">
    <w:abstractNumId w:val="5"/>
  </w:num>
  <w:num w:numId="25" w16cid:durableId="1140343857">
    <w:abstractNumId w:val="13"/>
  </w:num>
  <w:num w:numId="26" w16cid:durableId="1557856278">
    <w:abstractNumId w:val="2"/>
  </w:num>
  <w:num w:numId="27" w16cid:durableId="1938830669">
    <w:abstractNumId w:val="8"/>
  </w:num>
  <w:num w:numId="28" w16cid:durableId="413891317">
    <w:abstractNumId w:val="23"/>
  </w:num>
  <w:num w:numId="29" w16cid:durableId="7488456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8A"/>
    <w:rsid w:val="000104D9"/>
    <w:rsid w:val="0001666F"/>
    <w:rsid w:val="000428D6"/>
    <w:rsid w:val="00055319"/>
    <w:rsid w:val="00065776"/>
    <w:rsid w:val="00066BD7"/>
    <w:rsid w:val="00082F6D"/>
    <w:rsid w:val="00083527"/>
    <w:rsid w:val="00087A01"/>
    <w:rsid w:val="000906F6"/>
    <w:rsid w:val="000A4401"/>
    <w:rsid w:val="000A466A"/>
    <w:rsid w:val="000D1561"/>
    <w:rsid w:val="00124DC2"/>
    <w:rsid w:val="00132FC8"/>
    <w:rsid w:val="00182B41"/>
    <w:rsid w:val="00197939"/>
    <w:rsid w:val="001B6992"/>
    <w:rsid w:val="001C32A1"/>
    <w:rsid w:val="001D49AB"/>
    <w:rsid w:val="00201686"/>
    <w:rsid w:val="002079C3"/>
    <w:rsid w:val="00236718"/>
    <w:rsid w:val="00274AFB"/>
    <w:rsid w:val="002845F6"/>
    <w:rsid w:val="00285F89"/>
    <w:rsid w:val="002C22EC"/>
    <w:rsid w:val="002E427C"/>
    <w:rsid w:val="002F505F"/>
    <w:rsid w:val="003208A0"/>
    <w:rsid w:val="00335B57"/>
    <w:rsid w:val="003C7579"/>
    <w:rsid w:val="004070E1"/>
    <w:rsid w:val="00426C8A"/>
    <w:rsid w:val="004301C6"/>
    <w:rsid w:val="00436965"/>
    <w:rsid w:val="004404C6"/>
    <w:rsid w:val="00440D59"/>
    <w:rsid w:val="004435A3"/>
    <w:rsid w:val="004504F1"/>
    <w:rsid w:val="0048175F"/>
    <w:rsid w:val="004918B3"/>
    <w:rsid w:val="004C78D4"/>
    <w:rsid w:val="004D5992"/>
    <w:rsid w:val="004E7D20"/>
    <w:rsid w:val="004F0FCD"/>
    <w:rsid w:val="005000F2"/>
    <w:rsid w:val="00501567"/>
    <w:rsid w:val="005100B9"/>
    <w:rsid w:val="00520E9A"/>
    <w:rsid w:val="00532F7D"/>
    <w:rsid w:val="005375E2"/>
    <w:rsid w:val="005604B5"/>
    <w:rsid w:val="00566C80"/>
    <w:rsid w:val="00576D60"/>
    <w:rsid w:val="005821EF"/>
    <w:rsid w:val="005C56B0"/>
    <w:rsid w:val="005C571D"/>
    <w:rsid w:val="005D1166"/>
    <w:rsid w:val="005F2999"/>
    <w:rsid w:val="00615FBA"/>
    <w:rsid w:val="00631211"/>
    <w:rsid w:val="00653BE9"/>
    <w:rsid w:val="00662CCA"/>
    <w:rsid w:val="006A69DF"/>
    <w:rsid w:val="006B3839"/>
    <w:rsid w:val="007002EB"/>
    <w:rsid w:val="0070689D"/>
    <w:rsid w:val="00715020"/>
    <w:rsid w:val="00731A38"/>
    <w:rsid w:val="00753999"/>
    <w:rsid w:val="00766255"/>
    <w:rsid w:val="007B439E"/>
    <w:rsid w:val="00821738"/>
    <w:rsid w:val="008410F8"/>
    <w:rsid w:val="0085297F"/>
    <w:rsid w:val="00860E78"/>
    <w:rsid w:val="008901BD"/>
    <w:rsid w:val="00897C24"/>
    <w:rsid w:val="00900D85"/>
    <w:rsid w:val="00913350"/>
    <w:rsid w:val="00941DD7"/>
    <w:rsid w:val="00973DAD"/>
    <w:rsid w:val="00996FA3"/>
    <w:rsid w:val="009A4543"/>
    <w:rsid w:val="009B0759"/>
    <w:rsid w:val="009C10F0"/>
    <w:rsid w:val="009E3925"/>
    <w:rsid w:val="009F1484"/>
    <w:rsid w:val="00A07D81"/>
    <w:rsid w:val="00A17D73"/>
    <w:rsid w:val="00A20D7D"/>
    <w:rsid w:val="00A23AC5"/>
    <w:rsid w:val="00A25F97"/>
    <w:rsid w:val="00A450B9"/>
    <w:rsid w:val="00A87EDE"/>
    <w:rsid w:val="00AA0A5F"/>
    <w:rsid w:val="00B05348"/>
    <w:rsid w:val="00B13F42"/>
    <w:rsid w:val="00B27056"/>
    <w:rsid w:val="00B3568A"/>
    <w:rsid w:val="00B42DD7"/>
    <w:rsid w:val="00B433F3"/>
    <w:rsid w:val="00B51E05"/>
    <w:rsid w:val="00B602C6"/>
    <w:rsid w:val="00BB6A84"/>
    <w:rsid w:val="00BB755F"/>
    <w:rsid w:val="00BC5F9B"/>
    <w:rsid w:val="00C15131"/>
    <w:rsid w:val="00C2729C"/>
    <w:rsid w:val="00C30B38"/>
    <w:rsid w:val="00C3562E"/>
    <w:rsid w:val="00C7025F"/>
    <w:rsid w:val="00C77445"/>
    <w:rsid w:val="00C809E8"/>
    <w:rsid w:val="00CA14E6"/>
    <w:rsid w:val="00CA5688"/>
    <w:rsid w:val="00CB1765"/>
    <w:rsid w:val="00CC1DDC"/>
    <w:rsid w:val="00CD4032"/>
    <w:rsid w:val="00CF35FB"/>
    <w:rsid w:val="00CF7EEF"/>
    <w:rsid w:val="00D00989"/>
    <w:rsid w:val="00D020A7"/>
    <w:rsid w:val="00D02667"/>
    <w:rsid w:val="00D130DE"/>
    <w:rsid w:val="00D432B3"/>
    <w:rsid w:val="00D55100"/>
    <w:rsid w:val="00D720CC"/>
    <w:rsid w:val="00D86269"/>
    <w:rsid w:val="00D91D99"/>
    <w:rsid w:val="00D91DE8"/>
    <w:rsid w:val="00D92B20"/>
    <w:rsid w:val="00DB3EB7"/>
    <w:rsid w:val="00DD39DC"/>
    <w:rsid w:val="00E140F6"/>
    <w:rsid w:val="00E22200"/>
    <w:rsid w:val="00E40FBE"/>
    <w:rsid w:val="00E47347"/>
    <w:rsid w:val="00E77696"/>
    <w:rsid w:val="00E83556"/>
    <w:rsid w:val="00E8764B"/>
    <w:rsid w:val="00E91A8C"/>
    <w:rsid w:val="00F03064"/>
    <w:rsid w:val="00F23778"/>
    <w:rsid w:val="00F24A0B"/>
    <w:rsid w:val="00F61EEE"/>
    <w:rsid w:val="00F62666"/>
    <w:rsid w:val="00F64EFA"/>
    <w:rsid w:val="00F6547C"/>
    <w:rsid w:val="00F75332"/>
    <w:rsid w:val="00F9293D"/>
    <w:rsid w:val="00F95EEE"/>
    <w:rsid w:val="00F97035"/>
    <w:rsid w:val="00FA0573"/>
    <w:rsid w:val="00FD3BBF"/>
    <w:rsid w:val="00FE108F"/>
    <w:rsid w:val="00FF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CE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8A"/>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26C8A"/>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860E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C8A"/>
    <w:rPr>
      <w:rFonts w:ascii="Calibri Light" w:eastAsia="Times New Roman" w:hAnsi="Calibri Light" w:cs="Times New Roman"/>
      <w:b/>
      <w:bCs/>
      <w:kern w:val="32"/>
      <w:sz w:val="32"/>
      <w:szCs w:val="32"/>
    </w:rPr>
  </w:style>
  <w:style w:type="paragraph" w:styleId="Header">
    <w:name w:val="header"/>
    <w:aliases w:val="encabezado"/>
    <w:basedOn w:val="Normal"/>
    <w:link w:val="HeaderChar"/>
    <w:unhideWhenUsed/>
    <w:rsid w:val="00426C8A"/>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426C8A"/>
    <w:rPr>
      <w:rFonts w:ascii="Calibri" w:eastAsia="Calibri" w:hAnsi="Calibri" w:cs="Times New Roman"/>
    </w:rPr>
  </w:style>
  <w:style w:type="paragraph" w:styleId="Footer">
    <w:name w:val="footer"/>
    <w:basedOn w:val="Normal"/>
    <w:link w:val="FooterChar"/>
    <w:unhideWhenUsed/>
    <w:rsid w:val="00426C8A"/>
    <w:pPr>
      <w:tabs>
        <w:tab w:val="center" w:pos="4680"/>
        <w:tab w:val="right" w:pos="9360"/>
      </w:tabs>
      <w:spacing w:after="0" w:line="240" w:lineRule="auto"/>
    </w:pPr>
  </w:style>
  <w:style w:type="character" w:customStyle="1" w:styleId="FooterChar">
    <w:name w:val="Footer Char"/>
    <w:basedOn w:val="DefaultParagraphFont"/>
    <w:link w:val="Footer"/>
    <w:rsid w:val="00426C8A"/>
    <w:rPr>
      <w:rFonts w:ascii="Calibri" w:eastAsia="Calibri" w:hAnsi="Calibri" w:cs="Times New Roman"/>
    </w:rPr>
  </w:style>
  <w:style w:type="paragraph" w:customStyle="1" w:styleId="Default">
    <w:name w:val="Default"/>
    <w:rsid w:val="00426C8A"/>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uiPriority w:val="99"/>
    <w:rsid w:val="00426C8A"/>
    <w:rPr>
      <w:color w:val="0000FF"/>
      <w:u w:val="single"/>
    </w:rPr>
  </w:style>
  <w:style w:type="paragraph" w:styleId="BodyText">
    <w:name w:val="Body Text"/>
    <w:basedOn w:val="Normal"/>
    <w:link w:val="BodyTextChar"/>
    <w:semiHidden/>
    <w:unhideWhenUsed/>
    <w:rsid w:val="00426C8A"/>
    <w:pPr>
      <w:spacing w:after="120"/>
    </w:pPr>
  </w:style>
  <w:style w:type="character" w:customStyle="1" w:styleId="BodyTextChar">
    <w:name w:val="Body Text Char"/>
    <w:basedOn w:val="DefaultParagraphFont"/>
    <w:link w:val="BodyText"/>
    <w:semiHidden/>
    <w:rsid w:val="00426C8A"/>
    <w:rPr>
      <w:rFonts w:ascii="Calibri" w:eastAsia="Calibri" w:hAnsi="Calibri" w:cs="Times New Roman"/>
    </w:rPr>
  </w:style>
  <w:style w:type="paragraph" w:styleId="BalloonText">
    <w:name w:val="Balloon Text"/>
    <w:basedOn w:val="Normal"/>
    <w:link w:val="BalloonTextChar"/>
    <w:uiPriority w:val="99"/>
    <w:semiHidden/>
    <w:unhideWhenUsed/>
    <w:rsid w:val="00426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C8A"/>
    <w:rPr>
      <w:rFonts w:ascii="Tahoma" w:eastAsia="Calibri" w:hAnsi="Tahoma" w:cs="Tahoma"/>
      <w:sz w:val="16"/>
      <w:szCs w:val="16"/>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Grade Clara - Ênfase 31,Parragrap,D"/>
    <w:link w:val="ListParagraphChar"/>
    <w:uiPriority w:val="72"/>
    <w:qFormat/>
    <w:rsid w:val="00426C8A"/>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qFormat/>
    <w:locked/>
    <w:rsid w:val="00426C8A"/>
    <w:rPr>
      <w:rFonts w:ascii="Cambria" w:eastAsia="Cambria" w:hAnsi="Cambria" w:cs="Cambria"/>
      <w:color w:val="000000"/>
      <w:sz w:val="24"/>
      <w:szCs w:val="24"/>
      <w:u w:color="000000"/>
      <w:bdr w:val="nil"/>
      <w:lang w:eastAsia="es-ES"/>
    </w:rPr>
  </w:style>
  <w:style w:type="character" w:styleId="CommentReference">
    <w:name w:val="annotation reference"/>
    <w:uiPriority w:val="99"/>
    <w:semiHidden/>
    <w:unhideWhenUsed/>
    <w:rsid w:val="00426C8A"/>
    <w:rPr>
      <w:sz w:val="16"/>
      <w:szCs w:val="16"/>
    </w:rPr>
  </w:style>
  <w:style w:type="paragraph" w:styleId="CommentText">
    <w:name w:val="annotation text"/>
    <w:basedOn w:val="Normal"/>
    <w:link w:val="CommentTextChar"/>
    <w:uiPriority w:val="99"/>
    <w:unhideWhenUsed/>
    <w:rsid w:val="00426C8A"/>
    <w:rPr>
      <w:sz w:val="20"/>
      <w:szCs w:val="20"/>
    </w:rPr>
  </w:style>
  <w:style w:type="character" w:customStyle="1" w:styleId="CommentTextChar">
    <w:name w:val="Comment Text Char"/>
    <w:basedOn w:val="DefaultParagraphFont"/>
    <w:link w:val="CommentText"/>
    <w:uiPriority w:val="99"/>
    <w:rsid w:val="00426C8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6C8A"/>
    <w:rPr>
      <w:b/>
      <w:bCs/>
    </w:rPr>
  </w:style>
  <w:style w:type="character" w:customStyle="1" w:styleId="CommentSubjectChar">
    <w:name w:val="Comment Subject Char"/>
    <w:basedOn w:val="CommentTextChar"/>
    <w:link w:val="CommentSubject"/>
    <w:uiPriority w:val="99"/>
    <w:semiHidden/>
    <w:rsid w:val="00426C8A"/>
    <w:rPr>
      <w:rFonts w:ascii="Calibri" w:eastAsia="Calibri" w:hAnsi="Calibri" w:cs="Times New Roman"/>
      <w:b/>
      <w:bCs/>
      <w:sz w:val="20"/>
      <w:szCs w:val="20"/>
    </w:rPr>
  </w:style>
  <w:style w:type="paragraph" w:styleId="NormalWeb">
    <w:name w:val="Normal (Web)"/>
    <w:basedOn w:val="Normal"/>
    <w:uiPriority w:val="99"/>
    <w:semiHidden/>
    <w:unhideWhenUsed/>
    <w:rsid w:val="00426C8A"/>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unhideWhenUsed/>
    <w:rsid w:val="00426C8A"/>
    <w:pPr>
      <w:spacing w:after="120"/>
      <w:ind w:left="360"/>
    </w:pPr>
  </w:style>
  <w:style w:type="character" w:customStyle="1" w:styleId="BodyTextIndentChar">
    <w:name w:val="Body Text Indent Char"/>
    <w:basedOn w:val="DefaultParagraphFont"/>
    <w:link w:val="BodyTextIndent"/>
    <w:uiPriority w:val="99"/>
    <w:rsid w:val="00426C8A"/>
    <w:rPr>
      <w:rFonts w:ascii="Calibri" w:eastAsia="Calibri" w:hAnsi="Calibri" w:cs="Times New Roman"/>
    </w:rPr>
  </w:style>
  <w:style w:type="paragraph" w:customStyle="1" w:styleId="parrafos">
    <w:name w:val="parrafos"/>
    <w:basedOn w:val="Normal"/>
    <w:link w:val="parrafosChar"/>
    <w:qFormat/>
    <w:rsid w:val="00426C8A"/>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426C8A"/>
    <w:rPr>
      <w:rFonts w:ascii="Cambria" w:eastAsia="Arial Unicode MS" w:hAnsi="Cambria" w:cs="Times New Roman"/>
      <w:color w:val="000000"/>
      <w:sz w:val="20"/>
      <w:szCs w:val="20"/>
      <w:bdr w:val="nil"/>
      <w:lang w:val="es-VE"/>
    </w:rPr>
  </w:style>
  <w:style w:type="paragraph" w:styleId="TOCHeading">
    <w:name w:val="TOC Heading"/>
    <w:basedOn w:val="Heading1"/>
    <w:next w:val="Normal"/>
    <w:uiPriority w:val="39"/>
    <w:unhideWhenUsed/>
    <w:qFormat/>
    <w:rsid w:val="00426C8A"/>
    <w:pPr>
      <w:keepLines/>
      <w:spacing w:before="480" w:after="0"/>
      <w:outlineLvl w:val="9"/>
    </w:pPr>
    <w:rPr>
      <w:rFonts w:ascii="Cambria" w:eastAsia="MS Gothic" w:hAnsi="Cambria"/>
      <w:color w:val="365F91"/>
      <w:kern w:val="0"/>
      <w:sz w:val="28"/>
      <w:szCs w:val="28"/>
      <w:lang w:eastAsia="ja-JP"/>
    </w:rPr>
  </w:style>
  <w:style w:type="character" w:styleId="Strong">
    <w:name w:val="Strong"/>
    <w:uiPriority w:val="22"/>
    <w:qFormat/>
    <w:rsid w:val="00426C8A"/>
    <w:rPr>
      <w:b/>
      <w:bC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C,footnote text"/>
    <w:link w:val="FootnoteTextChar"/>
    <w:qFormat/>
    <w:rsid w:val="00426C8A"/>
    <w:pPr>
      <w:pBdr>
        <w:top w:val="nil"/>
        <w:left w:val="nil"/>
        <w:bottom w:val="nil"/>
        <w:right w:val="nil"/>
        <w:between w:val="nil"/>
        <w:bar w:val="nil"/>
      </w:pBdr>
      <w:spacing w:after="0" w:line="240" w:lineRule="auto"/>
    </w:pPr>
    <w:rPr>
      <w:rFonts w:ascii="Cambria" w:eastAsia="Calibri" w:hAnsi="Cambria" w:cs="Calibri"/>
      <w:color w:val="000000"/>
      <w:sz w:val="16"/>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qFormat/>
    <w:rsid w:val="00426C8A"/>
    <w:rPr>
      <w:rFonts w:ascii="Cambria" w:eastAsia="Calibri" w:hAnsi="Cambria" w:cs="Calibri"/>
      <w:color w:val="000000"/>
      <w:sz w:val="16"/>
      <w:szCs w:val="20"/>
      <w:u w:color="000000"/>
      <w:bdr w:val="nil"/>
      <w:lang w:eastAsia="es-E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FootnotesrefssChar1Char"/>
    <w:unhideWhenUsed/>
    <w:qFormat/>
    <w:rsid w:val="00426C8A"/>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426C8A"/>
    <w:pPr>
      <w:spacing w:after="160" w:line="240" w:lineRule="exact"/>
    </w:pPr>
    <w:rPr>
      <w:rFonts w:asciiTheme="minorHAnsi" w:eastAsiaTheme="minorHAnsi" w:hAnsiTheme="minorHAnsi" w:cstheme="minorBidi"/>
      <w:vertAlign w:val="superscript"/>
    </w:rPr>
  </w:style>
  <w:style w:type="numbering" w:customStyle="1" w:styleId="Estiloimportado1">
    <w:name w:val="Estilo importado 1"/>
    <w:rsid w:val="00426C8A"/>
  </w:style>
  <w:style w:type="paragraph" w:styleId="BodyText3">
    <w:name w:val="Body Text 3"/>
    <w:basedOn w:val="Normal"/>
    <w:link w:val="BodyText3Char"/>
    <w:uiPriority w:val="99"/>
    <w:unhideWhenUsed/>
    <w:rsid w:val="00426C8A"/>
    <w:pPr>
      <w:pBdr>
        <w:top w:val="nil"/>
        <w:left w:val="nil"/>
        <w:bottom w:val="nil"/>
        <w:right w:val="nil"/>
        <w:between w:val="nil"/>
        <w:bar w:val="nil"/>
      </w:pBdr>
      <w:spacing w:after="120" w:line="240" w:lineRule="auto"/>
    </w:pPr>
    <w:rPr>
      <w:rFonts w:ascii="Cambria" w:eastAsia="Arial Unicode MS" w:hAnsi="Cambria"/>
      <w:sz w:val="16"/>
      <w:szCs w:val="16"/>
      <w:bdr w:val="nil"/>
      <w:lang w:val="es-ES" w:eastAsia="es-ES"/>
    </w:rPr>
  </w:style>
  <w:style w:type="character" w:customStyle="1" w:styleId="BodyText3Char">
    <w:name w:val="Body Text 3 Char"/>
    <w:basedOn w:val="DefaultParagraphFont"/>
    <w:link w:val="BodyText3"/>
    <w:uiPriority w:val="99"/>
    <w:rsid w:val="00426C8A"/>
    <w:rPr>
      <w:rFonts w:ascii="Cambria" w:eastAsia="Arial Unicode MS" w:hAnsi="Cambria" w:cs="Times New Roman"/>
      <w:sz w:val="16"/>
      <w:szCs w:val="16"/>
      <w:bdr w:val="nil"/>
      <w:lang w:val="es-ES" w:eastAsia="es-ES"/>
    </w:rPr>
  </w:style>
  <w:style w:type="character" w:customStyle="1" w:styleId="cf01">
    <w:name w:val="cf01"/>
    <w:rsid w:val="00426C8A"/>
    <w:rPr>
      <w:rFonts w:ascii="Segoe UI" w:hAnsi="Segoe UI" w:cs="Segoe UI" w:hint="default"/>
      <w:sz w:val="18"/>
      <w:szCs w:val="18"/>
    </w:rPr>
  </w:style>
  <w:style w:type="paragraph" w:styleId="HTMLPreformatted">
    <w:name w:val="HTML Preformatted"/>
    <w:basedOn w:val="Normal"/>
    <w:link w:val="HTMLPreformattedChar"/>
    <w:uiPriority w:val="99"/>
    <w:unhideWhenUsed/>
    <w:rsid w:val="00426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6C8A"/>
    <w:rPr>
      <w:rFonts w:ascii="Courier New" w:eastAsia="Times New Roman" w:hAnsi="Courier New" w:cs="Courier New"/>
      <w:sz w:val="20"/>
      <w:szCs w:val="20"/>
    </w:rPr>
  </w:style>
  <w:style w:type="numbering" w:customStyle="1" w:styleId="List19">
    <w:name w:val="List 19"/>
    <w:basedOn w:val="NoList"/>
    <w:rsid w:val="00426C8A"/>
    <w:pPr>
      <w:numPr>
        <w:numId w:val="25"/>
      </w:numPr>
    </w:pPr>
  </w:style>
  <w:style w:type="paragraph" w:customStyle="1" w:styleId="Body">
    <w:name w:val="Body"/>
    <w:rsid w:val="00426C8A"/>
    <w:pPr>
      <w:pBdr>
        <w:top w:val="nil"/>
        <w:left w:val="nil"/>
        <w:bottom w:val="nil"/>
        <w:right w:val="nil"/>
        <w:between w:val="nil"/>
        <w:bar w:val="nil"/>
      </w:pBdr>
      <w:spacing w:after="0" w:line="240" w:lineRule="auto"/>
      <w:ind w:firstLine="634"/>
      <w:jc w:val="both"/>
    </w:pPr>
    <w:rPr>
      <w:rFonts w:ascii="Cambria" w:eastAsia="Cambria" w:hAnsi="Cambria" w:cs="Cambria"/>
      <w:color w:val="000000"/>
      <w:sz w:val="20"/>
      <w:szCs w:val="20"/>
      <w:u w:color="000000"/>
      <w:bdr w:val="nil"/>
      <w:lang w:val="es-CL" w:eastAsia="es-CL"/>
    </w:rPr>
  </w:style>
  <w:style w:type="character" w:styleId="Emphasis">
    <w:name w:val="Emphasis"/>
    <w:uiPriority w:val="20"/>
    <w:qFormat/>
    <w:rsid w:val="00426C8A"/>
    <w:rPr>
      <w:i/>
      <w:iCs/>
    </w:rPr>
  </w:style>
  <w:style w:type="character" w:customStyle="1" w:styleId="hps">
    <w:name w:val="hps"/>
    <w:rsid w:val="00426C8A"/>
  </w:style>
  <w:style w:type="character" w:customStyle="1" w:styleId="Ninguno">
    <w:name w:val="Ninguno"/>
    <w:qFormat/>
    <w:rsid w:val="00426C8A"/>
  </w:style>
  <w:style w:type="character" w:styleId="UnresolvedMention">
    <w:name w:val="Unresolved Mention"/>
    <w:uiPriority w:val="99"/>
    <w:semiHidden/>
    <w:unhideWhenUsed/>
    <w:rsid w:val="00426C8A"/>
    <w:rPr>
      <w:color w:val="605E5C"/>
      <w:shd w:val="clear" w:color="auto" w:fill="E1DFDD"/>
    </w:rPr>
  </w:style>
  <w:style w:type="paragraph" w:styleId="Revision">
    <w:name w:val="Revision"/>
    <w:hidden/>
    <w:uiPriority w:val="99"/>
    <w:semiHidden/>
    <w:rsid w:val="00426C8A"/>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860E7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2372</Words>
  <Characters>13521</Characters>
  <Application>Microsoft Office Word</Application>
  <DocSecurity>0</DocSecurity>
  <Lines>112</Lines>
  <Paragraphs>31</Paragraphs>
  <ScaleCrop>false</ScaleCrop>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2025-01-23T19:54:00Z</dcterms:created>
  <dcterms:modified xsi:type="dcterms:W3CDTF">2025-01-23T19:54:00Z</dcterms:modified>
</cp:coreProperties>
</file>