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48CA" w14:textId="77777777" w:rsidR="005122C2" w:rsidRDefault="005122C2" w:rsidP="005122C2">
      <w:pPr>
        <w:spacing w:after="0" w:line="240" w:lineRule="auto"/>
        <w:jc w:val="both"/>
        <w:rPr>
          <w:rFonts w:ascii="Cambria" w:hAnsi="Cambria" w:cs="Calibri"/>
          <w:b/>
          <w:color w:val="000000"/>
          <w:sz w:val="20"/>
          <w:szCs w:val="20"/>
          <w:lang w:val="es-ES"/>
        </w:rPr>
      </w:pPr>
    </w:p>
    <w:p w14:paraId="3DFB2BA6" w14:textId="406A0191" w:rsidR="005122C2" w:rsidRPr="00BD1869" w:rsidRDefault="00215480" w:rsidP="005122C2">
      <w:pPr>
        <w:spacing w:after="0" w:line="240" w:lineRule="auto"/>
        <w:jc w:val="right"/>
        <w:rPr>
          <w:rFonts w:ascii="Cambria" w:hAnsi="Cambria" w:cs="Calibri"/>
          <w:b/>
          <w:color w:val="000000"/>
          <w:sz w:val="20"/>
          <w:szCs w:val="20"/>
          <w:lang w:val="pt-BR"/>
        </w:rPr>
      </w:pPr>
      <w:r w:rsidRPr="00BD1869">
        <w:rPr>
          <w:rFonts w:ascii="Cambria" w:hAnsi="Cambria" w:cs="Calibri"/>
          <w:color w:val="000000"/>
          <w:sz w:val="20"/>
          <w:szCs w:val="20"/>
          <w:lang w:val="pt-BR"/>
        </w:rPr>
        <w:t>7</w:t>
      </w:r>
      <w:r w:rsidR="005122C2" w:rsidRPr="00BD1869">
        <w:rPr>
          <w:rFonts w:ascii="Cambria" w:hAnsi="Cambria" w:cs="Calibri"/>
          <w:color w:val="000000"/>
          <w:sz w:val="20"/>
          <w:szCs w:val="20"/>
          <w:lang w:val="pt-BR"/>
        </w:rPr>
        <w:t xml:space="preserve"> de </w:t>
      </w:r>
      <w:r w:rsidR="00DC1F0E" w:rsidRPr="00BD1869">
        <w:rPr>
          <w:rFonts w:ascii="Cambria" w:hAnsi="Cambria" w:cs="Calibri"/>
          <w:color w:val="000000"/>
          <w:sz w:val="20"/>
          <w:szCs w:val="20"/>
          <w:lang w:val="pt-BR"/>
        </w:rPr>
        <w:t>julio</w:t>
      </w:r>
      <w:r w:rsidR="005122C2" w:rsidRPr="00BD1869">
        <w:rPr>
          <w:rFonts w:ascii="Cambria" w:hAnsi="Cambria" w:cs="Calibri"/>
          <w:color w:val="000000"/>
          <w:sz w:val="20"/>
          <w:szCs w:val="20"/>
          <w:lang w:val="pt-BR"/>
        </w:rPr>
        <w:t xml:space="preserve"> de 202</w:t>
      </w:r>
      <w:r w:rsidR="00DC1F0E" w:rsidRPr="00BD1869">
        <w:rPr>
          <w:rFonts w:ascii="Cambria" w:hAnsi="Cambria" w:cs="Calibri"/>
          <w:color w:val="000000"/>
          <w:sz w:val="20"/>
          <w:szCs w:val="20"/>
          <w:lang w:val="pt-BR"/>
        </w:rPr>
        <w:t>3</w:t>
      </w:r>
    </w:p>
    <w:p w14:paraId="67C656F8" w14:textId="77777777" w:rsidR="005122C2" w:rsidRPr="00BD1869" w:rsidRDefault="005122C2" w:rsidP="005122C2">
      <w:pPr>
        <w:spacing w:after="0" w:line="240" w:lineRule="auto"/>
        <w:jc w:val="both"/>
        <w:rPr>
          <w:rFonts w:ascii="Cambria" w:hAnsi="Cambria" w:cs="Calibri"/>
          <w:b/>
          <w:color w:val="000000"/>
          <w:sz w:val="20"/>
          <w:szCs w:val="20"/>
          <w:lang w:val="pt-BR"/>
        </w:rPr>
      </w:pPr>
    </w:p>
    <w:p w14:paraId="3F0355DD" w14:textId="382AE54E" w:rsidR="005122C2" w:rsidRPr="00BD1869" w:rsidRDefault="005122C2" w:rsidP="005122C2">
      <w:pPr>
        <w:spacing w:after="0" w:line="240" w:lineRule="auto"/>
        <w:jc w:val="both"/>
        <w:rPr>
          <w:rFonts w:ascii="Cambria" w:hAnsi="Cambria" w:cs="Calibri"/>
          <w:b/>
          <w:color w:val="000000"/>
          <w:sz w:val="20"/>
          <w:szCs w:val="20"/>
          <w:lang w:val="pt-BR"/>
        </w:rPr>
      </w:pPr>
      <w:r w:rsidRPr="00BD1869">
        <w:rPr>
          <w:rFonts w:ascii="Cambria" w:hAnsi="Cambria" w:cs="Calibri"/>
          <w:b/>
          <w:color w:val="000000"/>
          <w:sz w:val="20"/>
          <w:szCs w:val="20"/>
          <w:lang w:val="pt-BR"/>
        </w:rPr>
        <w:t>REF.:</w:t>
      </w:r>
      <w:bookmarkStart w:id="0" w:name="Peticion_n"/>
      <w:bookmarkEnd w:id="0"/>
      <w:r w:rsidRPr="00BD1869">
        <w:rPr>
          <w:rFonts w:ascii="Cambria" w:hAnsi="Cambria" w:cs="Calibri"/>
          <w:b/>
          <w:color w:val="000000"/>
          <w:sz w:val="20"/>
          <w:szCs w:val="20"/>
          <w:lang w:val="pt-BR"/>
        </w:rPr>
        <w:tab/>
        <w:t>Caso Nº</w:t>
      </w:r>
      <w:r w:rsidR="00DC1F0E" w:rsidRPr="00BD1869">
        <w:rPr>
          <w:rFonts w:ascii="Cambria" w:hAnsi="Cambria" w:cs="Calibri"/>
          <w:b/>
          <w:color w:val="000000"/>
          <w:sz w:val="20"/>
          <w:szCs w:val="20"/>
          <w:lang w:val="pt-BR"/>
        </w:rPr>
        <w:t xml:space="preserve"> </w:t>
      </w:r>
      <w:r w:rsidRPr="00BD1869">
        <w:rPr>
          <w:rFonts w:ascii="Cambria" w:hAnsi="Cambria" w:cs="Calibri"/>
          <w:b/>
          <w:color w:val="000000"/>
          <w:sz w:val="20"/>
          <w:szCs w:val="20"/>
          <w:lang w:val="pt-BR"/>
        </w:rPr>
        <w:t>1</w:t>
      </w:r>
      <w:r w:rsidR="00215480" w:rsidRPr="00BD1869">
        <w:rPr>
          <w:rFonts w:ascii="Cambria" w:hAnsi="Cambria" w:cs="Calibri"/>
          <w:b/>
          <w:color w:val="000000"/>
          <w:sz w:val="20"/>
          <w:szCs w:val="20"/>
          <w:lang w:val="pt-BR"/>
        </w:rPr>
        <w:t>3</w:t>
      </w:r>
      <w:r w:rsidRPr="00BD1869">
        <w:rPr>
          <w:rFonts w:ascii="Cambria" w:hAnsi="Cambria" w:cs="Calibri"/>
          <w:b/>
          <w:color w:val="000000"/>
          <w:sz w:val="20"/>
          <w:szCs w:val="20"/>
          <w:lang w:val="pt-BR"/>
        </w:rPr>
        <w:t>.</w:t>
      </w:r>
      <w:r w:rsidR="00215480" w:rsidRPr="00BD1869">
        <w:rPr>
          <w:rFonts w:ascii="Cambria" w:hAnsi="Cambria" w:cs="Calibri"/>
          <w:b/>
          <w:color w:val="000000"/>
          <w:sz w:val="20"/>
          <w:szCs w:val="20"/>
          <w:lang w:val="pt-BR"/>
        </w:rPr>
        <w:t>1</w:t>
      </w:r>
      <w:r w:rsidR="0011614F" w:rsidRPr="00BD1869">
        <w:rPr>
          <w:rFonts w:ascii="Cambria" w:hAnsi="Cambria" w:cs="Calibri"/>
          <w:b/>
          <w:color w:val="000000"/>
          <w:sz w:val="20"/>
          <w:szCs w:val="20"/>
          <w:lang w:val="pt-BR"/>
        </w:rPr>
        <w:t>98</w:t>
      </w:r>
    </w:p>
    <w:p w14:paraId="7E01DD18" w14:textId="6EF216BA" w:rsidR="005122C2" w:rsidRPr="00C41800" w:rsidRDefault="0011614F" w:rsidP="005122C2">
      <w:pPr>
        <w:spacing w:after="0" w:line="240" w:lineRule="auto"/>
        <w:ind w:left="720"/>
        <w:jc w:val="both"/>
        <w:rPr>
          <w:rFonts w:ascii="Cambria" w:hAnsi="Cambria" w:cs="Calibri"/>
          <w:b/>
          <w:color w:val="000000"/>
          <w:sz w:val="20"/>
          <w:szCs w:val="20"/>
          <w:lang w:val="es-ES"/>
        </w:rPr>
      </w:pPr>
      <w:r>
        <w:rPr>
          <w:rFonts w:ascii="Cambria" w:hAnsi="Cambria" w:cs="Calibri"/>
          <w:b/>
          <w:color w:val="000000"/>
          <w:sz w:val="20"/>
          <w:szCs w:val="20"/>
          <w:lang w:val="es-ES"/>
        </w:rPr>
        <w:t xml:space="preserve">Comunidad de Salango </w:t>
      </w:r>
      <w:r w:rsidR="00215480">
        <w:rPr>
          <w:rFonts w:ascii="Cambria" w:hAnsi="Cambria" w:cs="Calibri"/>
          <w:b/>
          <w:color w:val="000000"/>
          <w:sz w:val="20"/>
          <w:szCs w:val="20"/>
          <w:lang w:val="es-BO"/>
        </w:rPr>
        <w:t xml:space="preserve"> </w:t>
      </w:r>
    </w:p>
    <w:p w14:paraId="288BCB72" w14:textId="1F525C7A" w:rsidR="005122C2" w:rsidRPr="00C41800" w:rsidRDefault="0011614F" w:rsidP="005122C2">
      <w:pPr>
        <w:spacing w:after="0" w:line="240" w:lineRule="auto"/>
        <w:ind w:left="720"/>
        <w:jc w:val="both"/>
        <w:rPr>
          <w:rFonts w:ascii="Cambria" w:hAnsi="Cambria" w:cs="Calibri"/>
          <w:b/>
          <w:color w:val="000000"/>
          <w:sz w:val="20"/>
          <w:szCs w:val="20"/>
          <w:lang w:val="es-ES"/>
        </w:rPr>
      </w:pPr>
      <w:r>
        <w:rPr>
          <w:rFonts w:ascii="Cambria" w:hAnsi="Cambria" w:cs="Calibri"/>
          <w:b/>
          <w:color w:val="000000"/>
          <w:sz w:val="20"/>
          <w:szCs w:val="20"/>
          <w:lang w:val="es-ES"/>
        </w:rPr>
        <w:t>Ecuador</w:t>
      </w:r>
    </w:p>
    <w:p w14:paraId="78F923DF" w14:textId="77777777" w:rsidR="00215480" w:rsidRDefault="00215480" w:rsidP="005122C2">
      <w:pPr>
        <w:spacing w:after="0" w:line="240" w:lineRule="auto"/>
        <w:jc w:val="both"/>
        <w:rPr>
          <w:rFonts w:ascii="Cambria" w:hAnsi="Cambria" w:cs="Calibri"/>
          <w:color w:val="000000"/>
          <w:sz w:val="20"/>
          <w:szCs w:val="20"/>
          <w:lang w:val="es-AR"/>
        </w:rPr>
      </w:pPr>
    </w:p>
    <w:p w14:paraId="6206F3D7" w14:textId="3B81ADE6" w:rsidR="005122C2" w:rsidRPr="00586156" w:rsidRDefault="005122C2" w:rsidP="005122C2">
      <w:pPr>
        <w:spacing w:after="0" w:line="240" w:lineRule="auto"/>
        <w:jc w:val="both"/>
        <w:rPr>
          <w:rFonts w:ascii="Cambria" w:hAnsi="Cambria" w:cs="Calibri"/>
          <w:color w:val="000000"/>
          <w:sz w:val="20"/>
          <w:szCs w:val="20"/>
          <w:lang w:val="es-AR"/>
        </w:rPr>
      </w:pPr>
      <w:r w:rsidRPr="00586156">
        <w:rPr>
          <w:rFonts w:ascii="Cambria" w:hAnsi="Cambria" w:cs="Calibri"/>
          <w:color w:val="000000"/>
          <w:sz w:val="20"/>
          <w:szCs w:val="20"/>
          <w:lang w:val="es-AR"/>
        </w:rPr>
        <w:t>Señor Secretario:</w:t>
      </w:r>
    </w:p>
    <w:p w14:paraId="3FC57245" w14:textId="77777777" w:rsidR="005122C2" w:rsidRPr="00586156" w:rsidRDefault="005122C2" w:rsidP="005122C2">
      <w:pPr>
        <w:spacing w:after="0" w:line="240" w:lineRule="auto"/>
        <w:jc w:val="both"/>
        <w:rPr>
          <w:rFonts w:ascii="Cambria" w:hAnsi="Cambria" w:cs="Calibri"/>
          <w:color w:val="000000"/>
          <w:sz w:val="20"/>
          <w:szCs w:val="20"/>
          <w:lang w:val="es-AR"/>
        </w:rPr>
      </w:pPr>
    </w:p>
    <w:p w14:paraId="220FE94D" w14:textId="0E42E2B4" w:rsidR="003C40C9" w:rsidRDefault="005122C2" w:rsidP="00A959EB">
      <w:pPr>
        <w:pStyle w:val="xmsolistparagraph"/>
        <w:spacing w:before="0" w:beforeAutospacing="0" w:after="0" w:afterAutospacing="0"/>
        <w:ind w:firstLine="720"/>
        <w:jc w:val="both"/>
        <w:rPr>
          <w:rFonts w:ascii="Cambria" w:hAnsi="Cambria" w:cs="Calibri"/>
          <w:color w:val="000000"/>
          <w:sz w:val="20"/>
          <w:szCs w:val="20"/>
          <w:lang w:val="es-AR"/>
        </w:rPr>
      </w:pPr>
      <w:r w:rsidRPr="00586156">
        <w:rPr>
          <w:rFonts w:ascii="Cambria" w:hAnsi="Cambria" w:cs="Calibri"/>
          <w:color w:val="000000"/>
          <w:sz w:val="20"/>
          <w:szCs w:val="20"/>
          <w:lang w:val="es-AR"/>
        </w:rPr>
        <w:t xml:space="preserve">Tengo el agrado de dirigirme a usted, en nombre de la Comisión Interamericana de Derechos Humanos, con el objeto de someter a la jurisdicción de la Honorable Corte Interamericana de Derechos Humanos, el </w:t>
      </w:r>
      <w:r w:rsidR="00215480">
        <w:rPr>
          <w:rFonts w:ascii="Cambria" w:hAnsi="Cambria" w:cs="Calibri"/>
          <w:color w:val="000000"/>
          <w:sz w:val="20"/>
          <w:szCs w:val="20"/>
          <w:lang w:val="es-AR"/>
        </w:rPr>
        <w:t xml:space="preserve">caso </w:t>
      </w:r>
      <w:r w:rsidR="00215480" w:rsidRPr="00215480">
        <w:rPr>
          <w:rFonts w:ascii="Cambria" w:hAnsi="Cambria" w:cs="Calibri"/>
          <w:color w:val="000000"/>
          <w:sz w:val="20"/>
          <w:szCs w:val="20"/>
          <w:lang w:val="es-AR"/>
        </w:rPr>
        <w:t>13.1</w:t>
      </w:r>
      <w:r w:rsidR="0011614F">
        <w:rPr>
          <w:rFonts w:ascii="Cambria" w:hAnsi="Cambria" w:cs="Calibri"/>
          <w:color w:val="000000"/>
          <w:sz w:val="20"/>
          <w:szCs w:val="20"/>
          <w:lang w:val="es-AR"/>
        </w:rPr>
        <w:t>98</w:t>
      </w:r>
      <w:r w:rsidR="00215480" w:rsidRPr="00215480">
        <w:rPr>
          <w:rFonts w:ascii="Cambria" w:hAnsi="Cambria" w:cs="Calibri"/>
          <w:color w:val="000000"/>
          <w:sz w:val="20"/>
          <w:szCs w:val="20"/>
          <w:lang w:val="es-AR"/>
        </w:rPr>
        <w:t xml:space="preserve">, </w:t>
      </w:r>
      <w:r w:rsidR="0011614F">
        <w:rPr>
          <w:rFonts w:ascii="Cambria" w:hAnsi="Cambria" w:cs="Calibri"/>
          <w:color w:val="000000"/>
          <w:sz w:val="20"/>
          <w:szCs w:val="20"/>
          <w:lang w:val="es-AR"/>
        </w:rPr>
        <w:t>Comunidad de Salango</w:t>
      </w:r>
      <w:r w:rsidRPr="00586156">
        <w:rPr>
          <w:rFonts w:ascii="Cambria" w:eastAsia="Arial Unicode MS" w:hAnsi="Cambria"/>
          <w:color w:val="000000"/>
          <w:sz w:val="20"/>
          <w:szCs w:val="20"/>
          <w:bdr w:val="nil"/>
          <w:lang w:val="es-AR"/>
        </w:rPr>
        <w:t xml:space="preserve"> </w:t>
      </w:r>
      <w:r w:rsidRPr="00586156">
        <w:rPr>
          <w:rFonts w:ascii="Cambria" w:hAnsi="Cambria" w:cs="Calibri"/>
          <w:color w:val="000000"/>
          <w:sz w:val="20"/>
          <w:szCs w:val="20"/>
          <w:lang w:val="es-AR"/>
        </w:rPr>
        <w:t xml:space="preserve">de la República </w:t>
      </w:r>
      <w:r w:rsidR="0011614F">
        <w:rPr>
          <w:rFonts w:ascii="Cambria" w:hAnsi="Cambria" w:cs="Calibri"/>
          <w:color w:val="000000"/>
          <w:sz w:val="20"/>
          <w:szCs w:val="20"/>
          <w:lang w:val="es-AR"/>
        </w:rPr>
        <w:t>de Ecuador</w:t>
      </w:r>
      <w:r w:rsidRPr="00586156">
        <w:rPr>
          <w:rFonts w:ascii="Cambria" w:hAnsi="Cambria" w:cs="Calibri"/>
          <w:color w:val="000000"/>
          <w:sz w:val="20"/>
          <w:szCs w:val="20"/>
          <w:lang w:val="es-AR"/>
        </w:rPr>
        <w:t xml:space="preserve"> (en adelante “el Estado”, “el Estado </w:t>
      </w:r>
      <w:r w:rsidR="0011614F">
        <w:rPr>
          <w:rFonts w:ascii="Cambria" w:hAnsi="Cambria" w:cs="Calibri"/>
          <w:color w:val="000000"/>
          <w:sz w:val="20"/>
          <w:szCs w:val="20"/>
          <w:lang w:val="es-AR"/>
        </w:rPr>
        <w:t>ecuatoriano</w:t>
      </w:r>
      <w:r w:rsidRPr="00586156">
        <w:rPr>
          <w:rFonts w:ascii="Cambria" w:hAnsi="Cambria" w:cs="Calibri"/>
          <w:color w:val="000000"/>
          <w:sz w:val="20"/>
          <w:szCs w:val="20"/>
          <w:lang w:val="es-AR"/>
        </w:rPr>
        <w:t>” o “</w:t>
      </w:r>
      <w:r w:rsidR="0011614F">
        <w:rPr>
          <w:rFonts w:ascii="Cambria" w:hAnsi="Cambria" w:cs="Calibri"/>
          <w:color w:val="000000"/>
          <w:sz w:val="20"/>
          <w:szCs w:val="20"/>
          <w:lang w:val="es-AR"/>
        </w:rPr>
        <w:t>Ecuador</w:t>
      </w:r>
      <w:r w:rsidRPr="00586156">
        <w:rPr>
          <w:rFonts w:ascii="Cambria" w:hAnsi="Cambria" w:cs="Calibri"/>
          <w:color w:val="000000"/>
          <w:sz w:val="20"/>
          <w:szCs w:val="20"/>
          <w:lang w:val="es-AR"/>
        </w:rPr>
        <w:t xml:space="preserve">”). </w:t>
      </w:r>
      <w:r w:rsidR="00215480" w:rsidRPr="00215480">
        <w:rPr>
          <w:rFonts w:ascii="Cambria" w:hAnsi="Cambria" w:cs="Calibri"/>
          <w:color w:val="000000"/>
          <w:sz w:val="20"/>
          <w:szCs w:val="20"/>
          <w:lang w:val="es-AR"/>
        </w:rPr>
        <w:t xml:space="preserve">El </w:t>
      </w:r>
      <w:r w:rsidR="00215480">
        <w:rPr>
          <w:rFonts w:ascii="Cambria" w:hAnsi="Cambria" w:cs="Calibri"/>
          <w:color w:val="000000"/>
          <w:sz w:val="20"/>
          <w:szCs w:val="20"/>
          <w:lang w:val="es-AR"/>
        </w:rPr>
        <w:t xml:space="preserve">presente </w:t>
      </w:r>
      <w:r w:rsidR="00215480" w:rsidRPr="00215480">
        <w:rPr>
          <w:rFonts w:ascii="Cambria" w:hAnsi="Cambria" w:cs="Calibri"/>
          <w:color w:val="000000"/>
          <w:sz w:val="20"/>
          <w:szCs w:val="20"/>
          <w:lang w:val="es-AR"/>
        </w:rPr>
        <w:t xml:space="preserve">caso se refiere a la responsabilidad internacional del Estado </w:t>
      </w:r>
      <w:r w:rsidR="0011614F">
        <w:rPr>
          <w:rFonts w:ascii="Cambria" w:hAnsi="Cambria" w:cs="Calibri"/>
          <w:color w:val="000000"/>
          <w:sz w:val="20"/>
          <w:szCs w:val="20"/>
          <w:lang w:val="es-AR"/>
        </w:rPr>
        <w:t>ecuatoriano</w:t>
      </w:r>
      <w:r w:rsidR="00215480" w:rsidRPr="00215480">
        <w:rPr>
          <w:rFonts w:ascii="Cambria" w:hAnsi="Cambria" w:cs="Calibri"/>
          <w:color w:val="000000"/>
          <w:sz w:val="20"/>
          <w:szCs w:val="20"/>
          <w:lang w:val="es-AR"/>
        </w:rPr>
        <w:t xml:space="preserve"> por </w:t>
      </w:r>
      <w:r w:rsidR="0011614F" w:rsidRPr="001E2321">
        <w:rPr>
          <w:rFonts w:ascii="Cambria" w:hAnsi="Cambria"/>
          <w:sz w:val="20"/>
          <w:szCs w:val="20"/>
          <w:lang w:val="es-ES"/>
        </w:rPr>
        <w:t>la falta de protección de la propiedad ancestral de la comunidad de Salango, en el marco de un proceso de compra venta de territorios realizado entre la comunidad y un empresario extranjero</w:t>
      </w:r>
      <w:r w:rsidR="00215480" w:rsidRPr="00215480">
        <w:rPr>
          <w:rFonts w:ascii="Cambria" w:hAnsi="Cambria" w:cs="Calibri"/>
          <w:color w:val="000000"/>
          <w:sz w:val="20"/>
          <w:szCs w:val="20"/>
          <w:lang w:val="es-AR"/>
        </w:rPr>
        <w:t>.</w:t>
      </w:r>
    </w:p>
    <w:p w14:paraId="4A24E350" w14:textId="77777777" w:rsidR="003C40C9" w:rsidRDefault="003C40C9" w:rsidP="003C40C9">
      <w:pPr>
        <w:pStyle w:val="xmsolistparagraph"/>
        <w:spacing w:before="0" w:beforeAutospacing="0" w:after="0" w:afterAutospacing="0"/>
        <w:ind w:firstLine="720"/>
        <w:jc w:val="both"/>
        <w:rPr>
          <w:rFonts w:ascii="Cambria" w:hAnsi="Cambria" w:cs="Calibri"/>
          <w:color w:val="000000"/>
          <w:sz w:val="20"/>
          <w:szCs w:val="20"/>
          <w:lang w:val="es-AR"/>
        </w:rPr>
      </w:pPr>
    </w:p>
    <w:p w14:paraId="5D53B9B9" w14:textId="4FA1F770" w:rsidR="00C17D8B" w:rsidRDefault="00422480" w:rsidP="000B74CA">
      <w:pPr>
        <w:spacing w:after="0" w:line="240" w:lineRule="auto"/>
        <w:ind w:firstLine="720"/>
        <w:jc w:val="both"/>
        <w:rPr>
          <w:rFonts w:ascii="Cambria" w:hAnsi="Cambria"/>
          <w:bCs/>
          <w:sz w:val="20"/>
          <w:szCs w:val="20"/>
          <w:lang w:val="es-AR"/>
        </w:rPr>
      </w:pPr>
      <w:r>
        <w:rPr>
          <w:rFonts w:ascii="Cambria" w:hAnsi="Cambria" w:cs="Calibri"/>
          <w:color w:val="000000"/>
          <w:sz w:val="20"/>
          <w:szCs w:val="20"/>
          <w:lang w:val="es-AR"/>
        </w:rPr>
        <w:t xml:space="preserve">La </w:t>
      </w:r>
      <w:r w:rsidR="0011614F" w:rsidRPr="007B0679">
        <w:rPr>
          <w:rFonts w:ascii="Cambria" w:hAnsi="Cambria"/>
          <w:sz w:val="20"/>
          <w:szCs w:val="20"/>
          <w:lang w:val="es-ES"/>
        </w:rPr>
        <w:t>comunidad Salango es un pueblo indígena ancestral, descendiente del Pueblo Manta Wankavilka, que posee un territorio en el Sur de Manabí legado por sus antepasados</w:t>
      </w:r>
      <w:r w:rsidR="0011614F">
        <w:rPr>
          <w:rFonts w:ascii="Cambria" w:hAnsi="Cambria"/>
          <w:sz w:val="20"/>
          <w:szCs w:val="20"/>
          <w:lang w:val="es-ES"/>
        </w:rPr>
        <w:t xml:space="preserve">. Ante la falta </w:t>
      </w:r>
      <w:r w:rsidR="00A959EB">
        <w:rPr>
          <w:rFonts w:ascii="Cambria" w:hAnsi="Cambria"/>
          <w:sz w:val="20"/>
          <w:szCs w:val="20"/>
          <w:lang w:val="es-ES"/>
        </w:rPr>
        <w:t>de</w:t>
      </w:r>
      <w:r w:rsidR="00A959EB" w:rsidRPr="007B0679">
        <w:rPr>
          <w:rFonts w:ascii="Cambria" w:hAnsi="Cambria"/>
          <w:bCs/>
          <w:sz w:val="20"/>
          <w:szCs w:val="20"/>
          <w:lang w:val="es-AR"/>
        </w:rPr>
        <w:t xml:space="preserve"> </w:t>
      </w:r>
      <w:r w:rsidR="00A959EB" w:rsidRPr="00BA575C">
        <w:rPr>
          <w:rFonts w:ascii="Cambria" w:hAnsi="Cambria"/>
          <w:bCs/>
          <w:sz w:val="20"/>
          <w:szCs w:val="20"/>
          <w:lang w:val="es-AR"/>
        </w:rPr>
        <w:t>una</w:t>
      </w:r>
      <w:r w:rsidR="0011614F" w:rsidRPr="00BA575C">
        <w:rPr>
          <w:rFonts w:ascii="Cambria" w:hAnsi="Cambria"/>
          <w:bCs/>
          <w:sz w:val="20"/>
          <w:szCs w:val="20"/>
          <w:lang w:val="es-AR"/>
        </w:rPr>
        <w:t xml:space="preserve"> figura legal </w:t>
      </w:r>
      <w:r w:rsidR="0011614F">
        <w:rPr>
          <w:rFonts w:ascii="Cambria" w:hAnsi="Cambria"/>
          <w:bCs/>
          <w:sz w:val="20"/>
          <w:szCs w:val="20"/>
          <w:lang w:val="es-AR"/>
        </w:rPr>
        <w:t xml:space="preserve">adecuada </w:t>
      </w:r>
      <w:r w:rsidR="0011614F" w:rsidRPr="00BA575C">
        <w:rPr>
          <w:rFonts w:ascii="Cambria" w:hAnsi="Cambria"/>
          <w:bCs/>
          <w:sz w:val="20"/>
          <w:szCs w:val="20"/>
          <w:lang w:val="es-AR"/>
        </w:rPr>
        <w:t>que reconozca su</w:t>
      </w:r>
      <w:r w:rsidR="0011614F">
        <w:rPr>
          <w:rFonts w:ascii="Cambria" w:hAnsi="Cambria"/>
          <w:bCs/>
          <w:sz w:val="20"/>
          <w:szCs w:val="20"/>
          <w:lang w:val="es-AR"/>
        </w:rPr>
        <w:t xml:space="preserve"> personalidad jurídica </w:t>
      </w:r>
      <w:r w:rsidR="00E65987">
        <w:rPr>
          <w:rFonts w:ascii="Cambria" w:hAnsi="Cambria"/>
          <w:bCs/>
          <w:sz w:val="20"/>
          <w:szCs w:val="20"/>
          <w:lang w:val="es-AR"/>
        </w:rPr>
        <w:t>como pueblo indígena</w:t>
      </w:r>
      <w:r w:rsidR="0011614F" w:rsidRPr="00BA575C">
        <w:rPr>
          <w:rFonts w:ascii="Cambria" w:hAnsi="Cambria"/>
          <w:bCs/>
          <w:sz w:val="20"/>
          <w:szCs w:val="20"/>
          <w:lang w:val="es-AR"/>
        </w:rPr>
        <w:t xml:space="preserve">, </w:t>
      </w:r>
      <w:r w:rsidR="0011614F">
        <w:rPr>
          <w:rFonts w:ascii="Cambria" w:hAnsi="Cambria"/>
          <w:bCs/>
          <w:sz w:val="20"/>
          <w:szCs w:val="20"/>
          <w:lang w:val="es-AR"/>
        </w:rPr>
        <w:t>en 1</w:t>
      </w:r>
      <w:r w:rsidR="0011614F" w:rsidRPr="00BA575C">
        <w:rPr>
          <w:rFonts w:ascii="Cambria" w:hAnsi="Cambria"/>
          <w:bCs/>
          <w:sz w:val="20"/>
          <w:szCs w:val="20"/>
          <w:lang w:val="es-AR"/>
        </w:rPr>
        <w:t xml:space="preserve">979 </w:t>
      </w:r>
      <w:r w:rsidR="0011614F">
        <w:rPr>
          <w:rFonts w:ascii="Cambria" w:hAnsi="Cambria"/>
          <w:bCs/>
          <w:sz w:val="20"/>
          <w:szCs w:val="20"/>
          <w:lang w:val="es-AR"/>
        </w:rPr>
        <w:t xml:space="preserve">se </w:t>
      </w:r>
      <w:r w:rsidR="0011614F" w:rsidRPr="004E3230">
        <w:rPr>
          <w:rFonts w:ascii="Cambria" w:hAnsi="Cambria"/>
          <w:bCs/>
          <w:sz w:val="20"/>
          <w:szCs w:val="20"/>
          <w:lang w:val="es-AR"/>
        </w:rPr>
        <w:t>acogió a la Ley de Comunas</w:t>
      </w:r>
      <w:r w:rsidR="0011614F">
        <w:rPr>
          <w:rFonts w:ascii="Cambria" w:hAnsi="Cambria"/>
          <w:bCs/>
          <w:sz w:val="20"/>
          <w:szCs w:val="20"/>
          <w:lang w:val="es-AR"/>
        </w:rPr>
        <w:t>, destinada para reconocer comunidades campesinas,</w:t>
      </w:r>
      <w:r w:rsidR="0011614F" w:rsidRPr="004E3230">
        <w:rPr>
          <w:rFonts w:ascii="Cambria" w:hAnsi="Cambria"/>
          <w:bCs/>
          <w:sz w:val="20"/>
          <w:szCs w:val="20"/>
          <w:lang w:val="es-AR"/>
        </w:rPr>
        <w:t xml:space="preserve"> y se constituyó</w:t>
      </w:r>
      <w:r w:rsidR="0011614F">
        <w:rPr>
          <w:rFonts w:ascii="Cambria" w:hAnsi="Cambria"/>
          <w:bCs/>
          <w:sz w:val="20"/>
          <w:szCs w:val="20"/>
          <w:lang w:val="es-AR"/>
        </w:rPr>
        <w:t xml:space="preserve"> como tal.</w:t>
      </w:r>
      <w:r w:rsidR="0011614F" w:rsidRPr="004E3230">
        <w:rPr>
          <w:rFonts w:ascii="Cambria" w:hAnsi="Cambria"/>
          <w:bCs/>
          <w:sz w:val="20"/>
          <w:szCs w:val="20"/>
          <w:lang w:val="es-AR"/>
        </w:rPr>
        <w:t xml:space="preserve"> </w:t>
      </w:r>
      <w:r w:rsidR="00C71D49">
        <w:rPr>
          <w:rFonts w:ascii="Cambria" w:hAnsi="Cambria"/>
          <w:bCs/>
          <w:sz w:val="20"/>
          <w:szCs w:val="20"/>
          <w:lang w:val="es-AR"/>
        </w:rPr>
        <w:t>Desde 1991, el Estado reconoció legal</w:t>
      </w:r>
      <w:r w:rsidR="00617EE5">
        <w:rPr>
          <w:rFonts w:ascii="Cambria" w:hAnsi="Cambria"/>
          <w:bCs/>
          <w:sz w:val="20"/>
          <w:szCs w:val="20"/>
          <w:lang w:val="es-AR"/>
        </w:rPr>
        <w:t>mente a la comunidad de Salango como propietaria de un territorio conformado por 2536 hectáreas.</w:t>
      </w:r>
    </w:p>
    <w:p w14:paraId="1E36CBC8" w14:textId="77777777" w:rsidR="00C17D8B" w:rsidRDefault="00C17D8B" w:rsidP="000B74CA">
      <w:pPr>
        <w:spacing w:after="0" w:line="240" w:lineRule="auto"/>
        <w:ind w:firstLine="720"/>
        <w:jc w:val="both"/>
        <w:rPr>
          <w:rFonts w:ascii="Cambria" w:hAnsi="Cambria"/>
          <w:bCs/>
          <w:sz w:val="20"/>
          <w:szCs w:val="20"/>
          <w:lang w:val="es-AR"/>
        </w:rPr>
      </w:pPr>
    </w:p>
    <w:p w14:paraId="6D87158D" w14:textId="04E96A06" w:rsidR="00C80E86" w:rsidRDefault="0011614F" w:rsidP="000B74CA">
      <w:pPr>
        <w:spacing w:after="0" w:line="240" w:lineRule="auto"/>
        <w:ind w:firstLine="720"/>
        <w:jc w:val="both"/>
        <w:rPr>
          <w:rFonts w:ascii="Cambria" w:hAnsi="Cambria"/>
          <w:color w:val="000000" w:themeColor="text1"/>
          <w:sz w:val="20"/>
          <w:szCs w:val="20"/>
          <w:lang w:val="es-VE"/>
        </w:rPr>
      </w:pPr>
      <w:r w:rsidRPr="001E2321">
        <w:rPr>
          <w:rFonts w:ascii="Cambria" w:hAnsi="Cambria"/>
          <w:sz w:val="20"/>
          <w:szCs w:val="20"/>
          <w:lang w:val="es-ES"/>
        </w:rPr>
        <w:t xml:space="preserve">En el año 2000 </w:t>
      </w:r>
      <w:r w:rsidR="000C088D">
        <w:rPr>
          <w:rFonts w:ascii="Cambria" w:hAnsi="Cambria"/>
          <w:sz w:val="20"/>
          <w:szCs w:val="20"/>
          <w:lang w:val="es-ES"/>
        </w:rPr>
        <w:t>la Asamblea General Extraordinaria de la comuna de Salango</w:t>
      </w:r>
      <w:r w:rsidR="0014551D">
        <w:rPr>
          <w:rFonts w:ascii="Cambria" w:hAnsi="Cambria"/>
          <w:sz w:val="20"/>
          <w:szCs w:val="20"/>
          <w:lang w:val="es-ES"/>
        </w:rPr>
        <w:t xml:space="preserve">, con la presencia de noventa y cuatro comuneros, </w:t>
      </w:r>
      <w:r w:rsidRPr="001E2321">
        <w:rPr>
          <w:rFonts w:ascii="Cambria" w:hAnsi="Cambria"/>
          <w:sz w:val="20"/>
          <w:szCs w:val="20"/>
          <w:lang w:val="es-ES"/>
        </w:rPr>
        <w:t xml:space="preserve">menos del 50% del quorum requerido, decidió la venta de unos territorios de la </w:t>
      </w:r>
      <w:r>
        <w:rPr>
          <w:rFonts w:ascii="Cambria" w:hAnsi="Cambria"/>
          <w:sz w:val="20"/>
          <w:szCs w:val="20"/>
          <w:lang w:val="es-ES"/>
        </w:rPr>
        <w:t>c</w:t>
      </w:r>
      <w:r w:rsidRPr="001E2321">
        <w:rPr>
          <w:rFonts w:ascii="Cambria" w:hAnsi="Cambria"/>
          <w:sz w:val="20"/>
          <w:szCs w:val="20"/>
          <w:lang w:val="es-ES"/>
        </w:rPr>
        <w:t>omunidad</w:t>
      </w:r>
      <w:r>
        <w:rPr>
          <w:rFonts w:ascii="Cambria" w:hAnsi="Cambria"/>
          <w:sz w:val="20"/>
          <w:szCs w:val="20"/>
          <w:lang w:val="es-ES"/>
        </w:rPr>
        <w:t xml:space="preserve"> a un empresario suizo que se había asentado cerca de sus territorios</w:t>
      </w:r>
      <w:r w:rsidRPr="001E2321">
        <w:rPr>
          <w:rFonts w:ascii="Cambria" w:hAnsi="Cambria"/>
          <w:sz w:val="20"/>
          <w:szCs w:val="20"/>
          <w:lang w:val="es-ES"/>
        </w:rPr>
        <w:t>.</w:t>
      </w:r>
      <w:r>
        <w:rPr>
          <w:rFonts w:ascii="Cambria" w:hAnsi="Cambria"/>
          <w:sz w:val="20"/>
          <w:szCs w:val="20"/>
          <w:lang w:val="es-ES"/>
        </w:rPr>
        <w:t xml:space="preserve"> </w:t>
      </w:r>
      <w:r w:rsidR="008D6592">
        <w:rPr>
          <w:rFonts w:ascii="Cambria" w:hAnsi="Cambria"/>
          <w:sz w:val="20"/>
          <w:szCs w:val="20"/>
          <w:lang w:val="es-ES"/>
        </w:rPr>
        <w:t xml:space="preserve">El 4 de julio de 2001, el citado </w:t>
      </w:r>
      <w:r w:rsidR="006724BB">
        <w:rPr>
          <w:rFonts w:ascii="Cambria" w:hAnsi="Cambria"/>
          <w:sz w:val="20"/>
          <w:szCs w:val="20"/>
          <w:lang w:val="es-ES"/>
        </w:rPr>
        <w:t>c</w:t>
      </w:r>
      <w:r w:rsidR="008D6592">
        <w:rPr>
          <w:rFonts w:ascii="Cambria" w:hAnsi="Cambria"/>
          <w:sz w:val="20"/>
          <w:szCs w:val="20"/>
          <w:lang w:val="es-ES"/>
        </w:rPr>
        <w:t>abildo solicitó al Ministerio de Agricultura y Ganadería la autori</w:t>
      </w:r>
      <w:r w:rsidR="00D225D8">
        <w:rPr>
          <w:rFonts w:ascii="Cambria" w:hAnsi="Cambria"/>
          <w:sz w:val="20"/>
          <w:szCs w:val="20"/>
          <w:lang w:val="es-ES"/>
        </w:rPr>
        <w:t xml:space="preserve">zación para la venta del lote comunal. </w:t>
      </w:r>
      <w:r>
        <w:rPr>
          <w:rFonts w:ascii="Cambria" w:hAnsi="Cambria"/>
          <w:sz w:val="20"/>
          <w:szCs w:val="20"/>
          <w:lang w:val="es-ES"/>
        </w:rPr>
        <w:t xml:space="preserve">Ante ello, el Ministerio consultó al </w:t>
      </w:r>
      <w:r w:rsidRPr="00AD46EC">
        <w:rPr>
          <w:rFonts w:ascii="Cambria" w:hAnsi="Cambria"/>
          <w:color w:val="000000" w:themeColor="text1"/>
          <w:sz w:val="20"/>
          <w:szCs w:val="20"/>
          <w:lang w:val="es-VE"/>
        </w:rPr>
        <w:t>Procurador General del Estado</w:t>
      </w:r>
      <w:r>
        <w:rPr>
          <w:rFonts w:ascii="Cambria" w:hAnsi="Cambria"/>
          <w:color w:val="000000" w:themeColor="text1"/>
          <w:sz w:val="20"/>
          <w:szCs w:val="20"/>
          <w:lang w:val="es-VE"/>
        </w:rPr>
        <w:t xml:space="preserve"> si las disposiciones constitucionales referidas a la protección de pueblos indígenas les eran aplicables a la </w:t>
      </w:r>
      <w:r w:rsidR="00E41CE6">
        <w:rPr>
          <w:rFonts w:ascii="Cambria" w:hAnsi="Cambria"/>
          <w:color w:val="000000" w:themeColor="text1"/>
          <w:sz w:val="20"/>
          <w:szCs w:val="20"/>
          <w:lang w:val="es-VE"/>
        </w:rPr>
        <w:t>c</w:t>
      </w:r>
      <w:r>
        <w:rPr>
          <w:rFonts w:ascii="Cambria" w:hAnsi="Cambria"/>
          <w:color w:val="000000" w:themeColor="text1"/>
          <w:sz w:val="20"/>
          <w:szCs w:val="20"/>
          <w:lang w:val="es-VE"/>
        </w:rPr>
        <w:t xml:space="preserve">omuna de Salango. En agosto de 2001, dicha autoridad respondió que las referidas disposiciones no </w:t>
      </w:r>
      <w:r w:rsidR="007866D3">
        <w:rPr>
          <w:rFonts w:ascii="Cambria" w:hAnsi="Cambria"/>
          <w:color w:val="000000" w:themeColor="text1"/>
          <w:sz w:val="20"/>
          <w:szCs w:val="20"/>
          <w:lang w:val="es-VE"/>
        </w:rPr>
        <w:t>le eran</w:t>
      </w:r>
      <w:r>
        <w:rPr>
          <w:rFonts w:ascii="Cambria" w:hAnsi="Cambria"/>
          <w:color w:val="000000" w:themeColor="text1"/>
          <w:sz w:val="20"/>
          <w:szCs w:val="20"/>
          <w:lang w:val="es-VE"/>
        </w:rPr>
        <w:t xml:space="preserve"> aplicables</w:t>
      </w:r>
      <w:r w:rsidR="00C37885">
        <w:rPr>
          <w:rFonts w:ascii="Cambria" w:hAnsi="Cambria"/>
          <w:color w:val="000000" w:themeColor="text1"/>
          <w:sz w:val="20"/>
          <w:szCs w:val="20"/>
          <w:lang w:val="es-VE"/>
        </w:rPr>
        <w:t xml:space="preserve"> al considerar que no calificaban com</w:t>
      </w:r>
      <w:r w:rsidR="00F749BD">
        <w:rPr>
          <w:rFonts w:ascii="Cambria" w:hAnsi="Cambria"/>
          <w:color w:val="000000" w:themeColor="text1"/>
          <w:sz w:val="20"/>
          <w:szCs w:val="20"/>
          <w:lang w:val="es-VE"/>
        </w:rPr>
        <w:t xml:space="preserve">o pueblo indígena sino únicamente </w:t>
      </w:r>
      <w:r w:rsidR="00C80E86">
        <w:rPr>
          <w:rFonts w:ascii="Cambria" w:hAnsi="Cambria"/>
          <w:color w:val="000000" w:themeColor="text1"/>
          <w:sz w:val="20"/>
          <w:szCs w:val="20"/>
          <w:lang w:val="es-VE"/>
        </w:rPr>
        <w:t>como pueblo montubio.</w:t>
      </w:r>
      <w:r>
        <w:rPr>
          <w:rFonts w:ascii="Cambria" w:hAnsi="Cambria"/>
          <w:color w:val="000000" w:themeColor="text1"/>
          <w:sz w:val="20"/>
          <w:szCs w:val="20"/>
          <w:lang w:val="es-VE"/>
        </w:rPr>
        <w:t xml:space="preserve"> </w:t>
      </w:r>
    </w:p>
    <w:p w14:paraId="6C6F7BF7" w14:textId="77777777" w:rsidR="00C80E86" w:rsidRDefault="00C80E86" w:rsidP="000B74CA">
      <w:pPr>
        <w:spacing w:after="0" w:line="240" w:lineRule="auto"/>
        <w:ind w:firstLine="720"/>
        <w:jc w:val="both"/>
        <w:rPr>
          <w:rFonts w:ascii="Cambria" w:hAnsi="Cambria"/>
          <w:color w:val="000000" w:themeColor="text1"/>
          <w:sz w:val="20"/>
          <w:szCs w:val="20"/>
          <w:lang w:val="es-VE"/>
        </w:rPr>
      </w:pPr>
    </w:p>
    <w:p w14:paraId="10026726" w14:textId="50FDFB09" w:rsidR="00E9191E" w:rsidRDefault="0011614F" w:rsidP="000B74CA">
      <w:pPr>
        <w:spacing w:after="0" w:line="240" w:lineRule="auto"/>
        <w:ind w:firstLine="720"/>
        <w:jc w:val="both"/>
        <w:rPr>
          <w:rFonts w:ascii="Cambria" w:hAnsi="Cambria"/>
          <w:color w:val="000000" w:themeColor="text1"/>
          <w:sz w:val="20"/>
          <w:szCs w:val="20"/>
          <w:lang w:val="es-VE"/>
        </w:rPr>
      </w:pPr>
      <w:r w:rsidRPr="001E2321">
        <w:rPr>
          <w:rFonts w:ascii="Cambria" w:hAnsi="Cambria"/>
          <w:sz w:val="20"/>
          <w:szCs w:val="20"/>
          <w:lang w:val="es-ES"/>
        </w:rPr>
        <w:t>Posteriormente</w:t>
      </w:r>
      <w:r w:rsidR="00527470">
        <w:rPr>
          <w:rFonts w:ascii="Cambria" w:hAnsi="Cambria"/>
          <w:sz w:val="20"/>
          <w:szCs w:val="20"/>
          <w:lang w:val="es-ES"/>
        </w:rPr>
        <w:t xml:space="preserve">, </w:t>
      </w:r>
      <w:r w:rsidR="00651894">
        <w:rPr>
          <w:rFonts w:ascii="Cambria" w:hAnsi="Cambria"/>
          <w:sz w:val="20"/>
          <w:szCs w:val="20"/>
          <w:lang w:val="es-ES"/>
        </w:rPr>
        <w:t xml:space="preserve">el 17 de septiembre de 2001, el entonces presidente del </w:t>
      </w:r>
      <w:r w:rsidR="006724BB">
        <w:rPr>
          <w:rFonts w:ascii="Cambria" w:hAnsi="Cambria"/>
          <w:sz w:val="20"/>
          <w:szCs w:val="20"/>
          <w:lang w:val="es-ES"/>
        </w:rPr>
        <w:t>c</w:t>
      </w:r>
      <w:r w:rsidR="00651894">
        <w:rPr>
          <w:rFonts w:ascii="Cambria" w:hAnsi="Cambria"/>
          <w:sz w:val="20"/>
          <w:szCs w:val="20"/>
          <w:lang w:val="es-ES"/>
        </w:rPr>
        <w:t>abildo</w:t>
      </w:r>
      <w:r w:rsidR="00702BA4">
        <w:rPr>
          <w:rFonts w:ascii="Cambria" w:hAnsi="Cambria"/>
          <w:sz w:val="20"/>
          <w:szCs w:val="20"/>
          <w:lang w:val="es-ES"/>
        </w:rPr>
        <w:t xml:space="preserve"> solicitó al Ministerio de Agricultura y Ganadería autorización para la venta de un nuevo lote </w:t>
      </w:r>
      <w:r w:rsidR="00F57D70">
        <w:rPr>
          <w:rFonts w:ascii="Cambria" w:hAnsi="Cambria"/>
          <w:sz w:val="20"/>
          <w:szCs w:val="20"/>
          <w:lang w:val="es-ES"/>
        </w:rPr>
        <w:t xml:space="preserve">de tierra e insistió en la transacción del lote inicial. </w:t>
      </w:r>
      <w:r w:rsidRPr="001E2321">
        <w:rPr>
          <w:rFonts w:ascii="Cambria" w:hAnsi="Cambria"/>
          <w:sz w:val="20"/>
          <w:szCs w:val="20"/>
          <w:lang w:val="es-ES"/>
        </w:rPr>
        <w:t xml:space="preserve"> </w:t>
      </w:r>
      <w:r w:rsidR="0061245C">
        <w:rPr>
          <w:rFonts w:ascii="Cambria" w:hAnsi="Cambria"/>
          <w:sz w:val="20"/>
          <w:szCs w:val="20"/>
          <w:lang w:val="es-ES"/>
        </w:rPr>
        <w:t>A</w:t>
      </w:r>
      <w:r w:rsidRPr="001E2321">
        <w:rPr>
          <w:rFonts w:ascii="Cambria" w:hAnsi="Cambria"/>
          <w:sz w:val="20"/>
          <w:szCs w:val="20"/>
          <w:lang w:val="es-ES"/>
        </w:rPr>
        <w:t xml:space="preserve">nte la </w:t>
      </w:r>
      <w:r w:rsidR="0061245C">
        <w:rPr>
          <w:rFonts w:ascii="Cambria" w:hAnsi="Cambria"/>
          <w:sz w:val="20"/>
          <w:szCs w:val="20"/>
          <w:lang w:val="es-ES"/>
        </w:rPr>
        <w:t xml:space="preserve">demora en responder, el 15 de noviembre de 2001, </w:t>
      </w:r>
      <w:r w:rsidRPr="001E2321">
        <w:rPr>
          <w:rFonts w:ascii="Cambria" w:hAnsi="Cambria"/>
          <w:sz w:val="20"/>
          <w:szCs w:val="20"/>
          <w:lang w:val="es-ES"/>
        </w:rPr>
        <w:t>las autoridades del cabildo y el empresario solicitaron la aplicación de la figura del silencio administrativo para lograr la inscripción de dicha transacción</w:t>
      </w:r>
      <w:r w:rsidR="000B74CA">
        <w:rPr>
          <w:rFonts w:ascii="Cambria" w:hAnsi="Cambria"/>
          <w:sz w:val="20"/>
          <w:szCs w:val="20"/>
          <w:lang w:val="es-ES"/>
        </w:rPr>
        <w:t xml:space="preserve">. </w:t>
      </w:r>
      <w:r>
        <w:rPr>
          <w:rFonts w:ascii="Cambria" w:hAnsi="Cambria"/>
          <w:sz w:val="20"/>
          <w:szCs w:val="20"/>
          <w:lang w:val="es-ES"/>
        </w:rPr>
        <w:t xml:space="preserve">El 27 de diciembre de 2001 </w:t>
      </w:r>
      <w:r>
        <w:rPr>
          <w:rFonts w:ascii="Cambria" w:hAnsi="Cambria"/>
          <w:color w:val="000000" w:themeColor="text1"/>
          <w:sz w:val="20"/>
          <w:szCs w:val="20"/>
          <w:lang w:val="es-VE"/>
        </w:rPr>
        <w:t xml:space="preserve">la Notaria Trigésima Sexta del cantón de Quito protocolizó los documentos de compra venta sobre la base de la aplicación del silencio administrativo de las autoridades ministeriales. Días después, el </w:t>
      </w:r>
      <w:r w:rsidRPr="004121A2">
        <w:rPr>
          <w:rFonts w:ascii="Cambria" w:hAnsi="Cambria"/>
          <w:color w:val="000000" w:themeColor="text1"/>
          <w:sz w:val="20"/>
          <w:szCs w:val="20"/>
          <w:lang w:val="es-VE"/>
        </w:rPr>
        <w:t>31 de diciembre de 2001</w:t>
      </w:r>
      <w:r>
        <w:rPr>
          <w:rFonts w:ascii="Cambria" w:hAnsi="Cambria"/>
          <w:color w:val="000000" w:themeColor="text1"/>
          <w:sz w:val="20"/>
          <w:szCs w:val="20"/>
          <w:lang w:val="es-VE"/>
        </w:rPr>
        <w:t xml:space="preserve">, </w:t>
      </w:r>
      <w:r w:rsidR="000B74CA">
        <w:rPr>
          <w:rFonts w:ascii="Cambria" w:hAnsi="Cambria"/>
          <w:color w:val="000000" w:themeColor="text1"/>
          <w:sz w:val="20"/>
          <w:szCs w:val="20"/>
          <w:lang w:val="es-VE"/>
        </w:rPr>
        <w:t xml:space="preserve">el </w:t>
      </w:r>
      <w:r>
        <w:rPr>
          <w:rFonts w:ascii="Cambria" w:hAnsi="Cambria"/>
          <w:color w:val="000000" w:themeColor="text1"/>
          <w:sz w:val="20"/>
          <w:szCs w:val="20"/>
          <w:lang w:val="es-VE"/>
        </w:rPr>
        <w:t xml:space="preserve">Notario Público Primero del Cantón del Puerto López elevó a escritura pública la venta de los citados lotes en favor de la compañía inmobiliaria de propiedad del empresario suizo. </w:t>
      </w:r>
      <w:r w:rsidR="000961EE">
        <w:rPr>
          <w:rFonts w:ascii="Cambria" w:hAnsi="Cambria"/>
          <w:color w:val="000000" w:themeColor="text1"/>
          <w:sz w:val="20"/>
          <w:szCs w:val="20"/>
          <w:lang w:val="es-VE"/>
        </w:rPr>
        <w:t xml:space="preserve">Sin embargo, el mismo día la Registradora de la Propiedad se negó a </w:t>
      </w:r>
      <w:r w:rsidR="008C30A6">
        <w:rPr>
          <w:rFonts w:ascii="Cambria" w:hAnsi="Cambria"/>
          <w:color w:val="000000" w:themeColor="text1"/>
          <w:sz w:val="20"/>
          <w:szCs w:val="20"/>
          <w:lang w:val="es-VE"/>
        </w:rPr>
        <w:t xml:space="preserve">inscribir el documento al considerar que </w:t>
      </w:r>
      <w:r w:rsidR="00237681">
        <w:rPr>
          <w:rFonts w:ascii="Cambria" w:hAnsi="Cambria"/>
          <w:color w:val="000000" w:themeColor="text1"/>
          <w:sz w:val="20"/>
          <w:szCs w:val="20"/>
          <w:lang w:val="es-VE"/>
        </w:rPr>
        <w:t xml:space="preserve">los enajenamientos que se realizaron </w:t>
      </w:r>
      <w:r w:rsidR="00F40435">
        <w:rPr>
          <w:rFonts w:ascii="Cambria" w:hAnsi="Cambria"/>
          <w:color w:val="000000" w:themeColor="text1"/>
          <w:sz w:val="20"/>
          <w:szCs w:val="20"/>
          <w:lang w:val="es-VE"/>
        </w:rPr>
        <w:t>eran</w:t>
      </w:r>
      <w:r w:rsidR="00237681">
        <w:rPr>
          <w:rFonts w:ascii="Cambria" w:hAnsi="Cambria"/>
          <w:color w:val="000000" w:themeColor="text1"/>
          <w:sz w:val="20"/>
          <w:szCs w:val="20"/>
          <w:lang w:val="es-VE"/>
        </w:rPr>
        <w:t xml:space="preserve"> nulos dado que las tierras comunales se enc</w:t>
      </w:r>
      <w:r w:rsidR="00F40435">
        <w:rPr>
          <w:rFonts w:ascii="Cambria" w:hAnsi="Cambria"/>
          <w:color w:val="000000" w:themeColor="text1"/>
          <w:sz w:val="20"/>
          <w:szCs w:val="20"/>
          <w:lang w:val="es-VE"/>
        </w:rPr>
        <w:t>ontraban</w:t>
      </w:r>
      <w:r w:rsidR="00237681">
        <w:rPr>
          <w:rFonts w:ascii="Cambria" w:hAnsi="Cambria"/>
          <w:color w:val="000000" w:themeColor="text1"/>
          <w:sz w:val="20"/>
          <w:szCs w:val="20"/>
          <w:lang w:val="es-VE"/>
        </w:rPr>
        <w:t xml:space="preserve"> fuera del comercio </w:t>
      </w:r>
      <w:r w:rsidR="00F40435">
        <w:rPr>
          <w:rFonts w:ascii="Cambria" w:hAnsi="Cambria"/>
          <w:color w:val="000000" w:themeColor="text1"/>
          <w:sz w:val="20"/>
          <w:szCs w:val="20"/>
          <w:lang w:val="es-VE"/>
        </w:rPr>
        <w:t xml:space="preserve">y no debían transferirse. </w:t>
      </w:r>
    </w:p>
    <w:p w14:paraId="5B229DCE" w14:textId="77777777" w:rsidR="00E9191E" w:rsidRDefault="00E9191E" w:rsidP="000B74CA">
      <w:pPr>
        <w:spacing w:after="0" w:line="240" w:lineRule="auto"/>
        <w:ind w:firstLine="720"/>
        <w:jc w:val="both"/>
        <w:rPr>
          <w:rFonts w:ascii="Cambria" w:hAnsi="Cambria"/>
          <w:color w:val="000000" w:themeColor="text1"/>
          <w:sz w:val="20"/>
          <w:szCs w:val="20"/>
          <w:lang w:val="es-VE"/>
        </w:rPr>
      </w:pPr>
    </w:p>
    <w:p w14:paraId="0D3DC8C6" w14:textId="6ABB0FE0" w:rsidR="0011614F" w:rsidRPr="000B74CA" w:rsidRDefault="00F339E3" w:rsidP="000B74CA">
      <w:pPr>
        <w:spacing w:after="0" w:line="240" w:lineRule="auto"/>
        <w:ind w:firstLine="720"/>
        <w:jc w:val="both"/>
        <w:rPr>
          <w:rFonts w:ascii="Cambria" w:hAnsi="Cambria"/>
          <w:sz w:val="20"/>
          <w:szCs w:val="20"/>
          <w:lang w:val="es-ES"/>
        </w:rPr>
      </w:pPr>
      <w:r>
        <w:rPr>
          <w:rFonts w:ascii="Cambria" w:hAnsi="Cambria"/>
          <w:color w:val="000000" w:themeColor="text1"/>
          <w:sz w:val="20"/>
          <w:szCs w:val="20"/>
          <w:lang w:val="es-VE"/>
        </w:rPr>
        <w:t>C</w:t>
      </w:r>
      <w:r w:rsidR="00421B2A">
        <w:rPr>
          <w:rFonts w:ascii="Cambria" w:hAnsi="Cambria"/>
          <w:color w:val="000000" w:themeColor="text1"/>
          <w:sz w:val="20"/>
          <w:szCs w:val="20"/>
          <w:lang w:val="es-VE"/>
        </w:rPr>
        <w:t xml:space="preserve">omo resultado de </w:t>
      </w:r>
      <w:r w:rsidR="00682C27">
        <w:rPr>
          <w:rFonts w:ascii="Cambria" w:hAnsi="Cambria"/>
          <w:color w:val="000000" w:themeColor="text1"/>
          <w:sz w:val="20"/>
          <w:szCs w:val="20"/>
          <w:lang w:val="es-VE"/>
        </w:rPr>
        <w:t>recursos interpuestos</w:t>
      </w:r>
      <w:r w:rsidR="005C7371">
        <w:rPr>
          <w:rFonts w:ascii="Cambria" w:hAnsi="Cambria"/>
          <w:color w:val="000000" w:themeColor="text1"/>
          <w:sz w:val="20"/>
          <w:szCs w:val="20"/>
          <w:lang w:val="es-VE"/>
        </w:rPr>
        <w:t xml:space="preserve">, </w:t>
      </w:r>
      <w:r w:rsidR="0011614F">
        <w:rPr>
          <w:rFonts w:ascii="Cambria" w:hAnsi="Cambria"/>
          <w:color w:val="000000" w:themeColor="text1"/>
          <w:sz w:val="20"/>
          <w:szCs w:val="20"/>
          <w:lang w:val="es-VE"/>
        </w:rPr>
        <w:t xml:space="preserve">el 30 de abril de 2002 el Juez Noveno de lo Civil de Manabí ordenó la inscripción del documento en el Registro de Propiedad. Ante ello, </w:t>
      </w:r>
      <w:r w:rsidR="0011614F" w:rsidRPr="00523647">
        <w:rPr>
          <w:rFonts w:ascii="Cambria" w:hAnsi="Cambria"/>
          <w:color w:val="000000" w:themeColor="text1"/>
          <w:sz w:val="20"/>
          <w:szCs w:val="20"/>
          <w:lang w:val="es-VE"/>
        </w:rPr>
        <w:t>el 3 de mayo de 2002</w:t>
      </w:r>
      <w:r w:rsidR="0011614F">
        <w:rPr>
          <w:rFonts w:ascii="Cambria" w:hAnsi="Cambria"/>
          <w:color w:val="000000" w:themeColor="text1"/>
          <w:sz w:val="20"/>
          <w:szCs w:val="20"/>
          <w:lang w:val="es-VE"/>
        </w:rPr>
        <w:t xml:space="preserve"> la Registradora de la Propiedad del Cantón Puerto López inscribió la escritura pública de compraventa a favor de la empresa “Tocuyo S.A”</w:t>
      </w:r>
      <w:r>
        <w:rPr>
          <w:rFonts w:ascii="Cambria" w:hAnsi="Cambria"/>
          <w:color w:val="000000" w:themeColor="text1"/>
          <w:sz w:val="20"/>
          <w:szCs w:val="20"/>
          <w:lang w:val="es-VE"/>
        </w:rPr>
        <w:t xml:space="preserve">. Posteriormente, el representante legal de la compañía solicitó </w:t>
      </w:r>
      <w:r w:rsidR="00B332A9">
        <w:rPr>
          <w:rFonts w:ascii="Cambria" w:hAnsi="Cambria"/>
          <w:color w:val="000000" w:themeColor="text1"/>
          <w:sz w:val="20"/>
          <w:szCs w:val="20"/>
          <w:lang w:val="es-VE"/>
        </w:rPr>
        <w:t>al Juez Nacional de Caminos que registrara como caminos privados las rutas interna</w:t>
      </w:r>
      <w:r w:rsidR="00112A34">
        <w:rPr>
          <w:rFonts w:ascii="Cambria" w:hAnsi="Cambria"/>
          <w:color w:val="000000" w:themeColor="text1"/>
          <w:sz w:val="20"/>
          <w:szCs w:val="20"/>
          <w:lang w:val="es-VE"/>
        </w:rPr>
        <w:t>s</w:t>
      </w:r>
      <w:r w:rsidR="00B332A9">
        <w:rPr>
          <w:rFonts w:ascii="Cambria" w:hAnsi="Cambria"/>
          <w:color w:val="000000" w:themeColor="text1"/>
          <w:sz w:val="20"/>
          <w:szCs w:val="20"/>
          <w:lang w:val="es-VE"/>
        </w:rPr>
        <w:t xml:space="preserve"> de la propiedad adquirida</w:t>
      </w:r>
      <w:r w:rsidR="00E7190F">
        <w:rPr>
          <w:rFonts w:ascii="Cambria" w:hAnsi="Cambria"/>
          <w:color w:val="000000" w:themeColor="text1"/>
          <w:sz w:val="20"/>
          <w:szCs w:val="20"/>
          <w:lang w:val="es-VE"/>
        </w:rPr>
        <w:t>, lo cual fue realizado el 14 de octubre de 2002.</w:t>
      </w:r>
    </w:p>
    <w:p w14:paraId="164BFC78" w14:textId="2CBF1452" w:rsidR="0011614F" w:rsidRDefault="0011614F" w:rsidP="0011614F">
      <w:pPr>
        <w:spacing w:after="0" w:line="240" w:lineRule="auto"/>
        <w:jc w:val="both"/>
        <w:rPr>
          <w:rFonts w:ascii="Cambria" w:hAnsi="Cambria"/>
          <w:sz w:val="20"/>
          <w:szCs w:val="20"/>
          <w:lang w:val="es-ES_tradnl"/>
        </w:rPr>
      </w:pPr>
    </w:p>
    <w:p w14:paraId="397B4F47" w14:textId="4A9D2731" w:rsidR="0011043D" w:rsidRDefault="0011043D" w:rsidP="0011614F">
      <w:pPr>
        <w:spacing w:after="0" w:line="240" w:lineRule="auto"/>
        <w:jc w:val="both"/>
        <w:rPr>
          <w:rFonts w:ascii="Cambria" w:hAnsi="Cambria"/>
          <w:sz w:val="20"/>
          <w:szCs w:val="20"/>
          <w:lang w:val="es-ES_tradnl"/>
        </w:rPr>
      </w:pPr>
    </w:p>
    <w:p w14:paraId="09F558D2" w14:textId="245D37D9" w:rsidR="0011043D" w:rsidRDefault="0011043D" w:rsidP="0011614F">
      <w:pPr>
        <w:spacing w:after="0" w:line="240" w:lineRule="auto"/>
        <w:jc w:val="both"/>
        <w:rPr>
          <w:rFonts w:ascii="Cambria" w:hAnsi="Cambria"/>
          <w:sz w:val="20"/>
          <w:szCs w:val="20"/>
          <w:lang w:val="es-ES_tradnl"/>
        </w:rPr>
      </w:pPr>
    </w:p>
    <w:p w14:paraId="3B4AE9E3" w14:textId="77777777" w:rsidR="0011043D" w:rsidRPr="0011043D" w:rsidRDefault="0011043D" w:rsidP="0011043D">
      <w:pPr>
        <w:spacing w:after="0" w:line="240" w:lineRule="auto"/>
        <w:jc w:val="both"/>
        <w:rPr>
          <w:rFonts w:ascii="Cambria" w:hAnsi="Cambria" w:cs="Calibri"/>
          <w:snapToGrid w:val="0"/>
          <w:sz w:val="20"/>
          <w:szCs w:val="20"/>
          <w:lang w:val="es-CO"/>
        </w:rPr>
      </w:pPr>
      <w:r w:rsidRPr="0011043D">
        <w:rPr>
          <w:rFonts w:ascii="Cambria" w:hAnsi="Cambria" w:cs="Calibri"/>
          <w:snapToGrid w:val="0"/>
          <w:sz w:val="20"/>
          <w:szCs w:val="20"/>
          <w:lang w:val="es-CO"/>
        </w:rPr>
        <w:t>Señor</w:t>
      </w:r>
    </w:p>
    <w:p w14:paraId="43FB8B65" w14:textId="77777777" w:rsidR="0011043D" w:rsidRPr="0011043D" w:rsidRDefault="0011043D" w:rsidP="0011043D">
      <w:pPr>
        <w:suppressAutoHyphens/>
        <w:spacing w:after="0" w:line="240" w:lineRule="auto"/>
        <w:jc w:val="both"/>
        <w:rPr>
          <w:rFonts w:ascii="Cambria" w:hAnsi="Cambria" w:cs="Calibri"/>
          <w:snapToGrid w:val="0"/>
          <w:sz w:val="20"/>
          <w:szCs w:val="20"/>
          <w:lang w:val="es-CO"/>
        </w:rPr>
      </w:pPr>
      <w:r w:rsidRPr="0011043D">
        <w:rPr>
          <w:rFonts w:ascii="Cambria" w:hAnsi="Cambria" w:cs="Calibri"/>
          <w:snapToGrid w:val="0"/>
          <w:sz w:val="20"/>
          <w:szCs w:val="20"/>
          <w:lang w:val="es-CO"/>
        </w:rPr>
        <w:t>Pablo Saavedra Alessandri</w:t>
      </w:r>
    </w:p>
    <w:p w14:paraId="241F8B0B" w14:textId="77777777" w:rsidR="0011043D" w:rsidRPr="0011043D" w:rsidRDefault="0011043D" w:rsidP="0011043D">
      <w:pPr>
        <w:suppressAutoHyphens/>
        <w:spacing w:after="0" w:line="240" w:lineRule="auto"/>
        <w:jc w:val="both"/>
        <w:rPr>
          <w:rFonts w:ascii="Cambria" w:hAnsi="Cambria" w:cs="Calibri"/>
          <w:snapToGrid w:val="0"/>
          <w:sz w:val="20"/>
          <w:szCs w:val="20"/>
          <w:lang w:val="es-CO"/>
        </w:rPr>
      </w:pPr>
      <w:r w:rsidRPr="0011043D">
        <w:rPr>
          <w:rFonts w:ascii="Cambria" w:hAnsi="Cambria" w:cs="Calibri"/>
          <w:snapToGrid w:val="0"/>
          <w:sz w:val="20"/>
          <w:szCs w:val="20"/>
          <w:lang w:val="es-CO"/>
        </w:rPr>
        <w:t>Secretario</w:t>
      </w:r>
    </w:p>
    <w:p w14:paraId="6925E74E" w14:textId="77777777" w:rsidR="0011043D" w:rsidRPr="0011043D" w:rsidRDefault="0011043D" w:rsidP="0011043D">
      <w:pPr>
        <w:suppressAutoHyphens/>
        <w:spacing w:after="0" w:line="240" w:lineRule="auto"/>
        <w:jc w:val="both"/>
        <w:rPr>
          <w:rFonts w:ascii="Cambria" w:hAnsi="Cambria" w:cs="Calibri"/>
          <w:snapToGrid w:val="0"/>
          <w:sz w:val="20"/>
          <w:szCs w:val="20"/>
          <w:lang w:val="es-ES_tradnl"/>
        </w:rPr>
      </w:pPr>
      <w:r w:rsidRPr="0011043D">
        <w:rPr>
          <w:rFonts w:ascii="Cambria" w:hAnsi="Cambria" w:cs="Calibri"/>
          <w:snapToGrid w:val="0"/>
          <w:sz w:val="20"/>
          <w:szCs w:val="20"/>
          <w:lang w:val="es-ES_tradnl"/>
        </w:rPr>
        <w:t>Corte Interamericana de Derechos Humanos</w:t>
      </w:r>
    </w:p>
    <w:p w14:paraId="6E279205" w14:textId="77777777" w:rsidR="0011043D" w:rsidRPr="0011043D" w:rsidRDefault="0011043D" w:rsidP="0011043D">
      <w:pPr>
        <w:suppressAutoHyphens/>
        <w:spacing w:after="0" w:line="240" w:lineRule="auto"/>
        <w:jc w:val="both"/>
        <w:rPr>
          <w:rFonts w:ascii="Cambria" w:hAnsi="Cambria" w:cs="Calibri"/>
          <w:snapToGrid w:val="0"/>
          <w:sz w:val="20"/>
          <w:szCs w:val="20"/>
          <w:lang w:val="es-ES_tradnl"/>
        </w:rPr>
      </w:pPr>
      <w:r w:rsidRPr="0011043D">
        <w:rPr>
          <w:rFonts w:ascii="Cambria" w:hAnsi="Cambria" w:cs="Calibri"/>
          <w:snapToGrid w:val="0"/>
          <w:sz w:val="20"/>
          <w:szCs w:val="20"/>
          <w:lang w:val="es-ES_tradnl"/>
        </w:rPr>
        <w:t>San José, Costa Rica</w:t>
      </w:r>
    </w:p>
    <w:p w14:paraId="3C58F20E" w14:textId="77777777" w:rsidR="0011043D" w:rsidRPr="000B74CA" w:rsidRDefault="0011043D" w:rsidP="0011614F">
      <w:pPr>
        <w:spacing w:after="0" w:line="240" w:lineRule="auto"/>
        <w:jc w:val="both"/>
        <w:rPr>
          <w:rFonts w:ascii="Cambria" w:hAnsi="Cambria"/>
          <w:sz w:val="20"/>
          <w:szCs w:val="20"/>
          <w:lang w:val="es-ES_tradnl"/>
        </w:rPr>
      </w:pPr>
    </w:p>
    <w:p w14:paraId="7C214555" w14:textId="5608E637" w:rsidR="0011614F" w:rsidRDefault="0011614F" w:rsidP="0011614F">
      <w:pPr>
        <w:spacing w:after="0" w:line="240" w:lineRule="auto"/>
        <w:ind w:firstLine="720"/>
        <w:jc w:val="both"/>
        <w:rPr>
          <w:rFonts w:ascii="Cambria" w:hAnsi="Cambria"/>
          <w:sz w:val="20"/>
          <w:szCs w:val="20"/>
          <w:lang w:val="es-ES"/>
        </w:rPr>
      </w:pPr>
      <w:r>
        <w:rPr>
          <w:rFonts w:ascii="Cambria" w:hAnsi="Cambria"/>
          <w:sz w:val="20"/>
          <w:szCs w:val="20"/>
          <w:lang w:val="es-ES"/>
        </w:rPr>
        <w:t>L</w:t>
      </w:r>
      <w:r w:rsidRPr="001E2321">
        <w:rPr>
          <w:rFonts w:ascii="Cambria" w:hAnsi="Cambria"/>
          <w:sz w:val="20"/>
          <w:szCs w:val="20"/>
          <w:lang w:val="es-ES"/>
        </w:rPr>
        <w:t xml:space="preserve">os miembros de la Comunidad que desconocieron las decisiones adoptadas </w:t>
      </w:r>
      <w:r w:rsidR="00B924A2" w:rsidRPr="001E2321">
        <w:rPr>
          <w:rFonts w:ascii="Cambria" w:hAnsi="Cambria"/>
          <w:sz w:val="20"/>
          <w:szCs w:val="20"/>
          <w:lang w:val="es-ES"/>
        </w:rPr>
        <w:t>irregularmente</w:t>
      </w:r>
      <w:r w:rsidRPr="001E2321">
        <w:rPr>
          <w:rFonts w:ascii="Cambria" w:hAnsi="Cambria"/>
          <w:sz w:val="20"/>
          <w:szCs w:val="20"/>
          <w:lang w:val="es-ES"/>
        </w:rPr>
        <w:t xml:space="preserve"> presentaron una acción de protección </w:t>
      </w:r>
      <w:r w:rsidR="00485102">
        <w:rPr>
          <w:rFonts w:ascii="Cambria" w:hAnsi="Cambria"/>
          <w:sz w:val="20"/>
          <w:szCs w:val="20"/>
          <w:lang w:val="es-ES"/>
        </w:rPr>
        <w:t xml:space="preserve">contra la escritura pública </w:t>
      </w:r>
      <w:r w:rsidR="005A0816">
        <w:rPr>
          <w:rFonts w:ascii="Cambria" w:hAnsi="Cambria"/>
          <w:sz w:val="20"/>
          <w:szCs w:val="20"/>
          <w:lang w:val="es-ES"/>
        </w:rPr>
        <w:t xml:space="preserve">de compraventa alegando la vulneración a sus derechos a la propiedad comunal, trabajo, hábitat y al desarrollo como pueblos indígenas. </w:t>
      </w:r>
      <w:r>
        <w:rPr>
          <w:rFonts w:ascii="Cambria" w:hAnsi="Cambria"/>
          <w:sz w:val="20"/>
          <w:szCs w:val="20"/>
          <w:lang w:val="es-ES"/>
        </w:rPr>
        <w:t>D</w:t>
      </w:r>
      <w:r w:rsidRPr="001E2321">
        <w:rPr>
          <w:rFonts w:ascii="Cambria" w:hAnsi="Cambria"/>
          <w:sz w:val="20"/>
          <w:szCs w:val="20"/>
          <w:lang w:val="es-ES"/>
        </w:rPr>
        <w:t xml:space="preserve">icha acción fue desestimada </w:t>
      </w:r>
      <w:r w:rsidRPr="009676E9">
        <w:rPr>
          <w:rFonts w:ascii="Cambria" w:hAnsi="Cambria"/>
          <w:color w:val="000000" w:themeColor="text1"/>
          <w:sz w:val="20"/>
          <w:szCs w:val="20"/>
          <w:lang w:val="es-VE"/>
        </w:rPr>
        <w:t xml:space="preserve">el 12 de mayo de 2010 </w:t>
      </w:r>
      <w:r>
        <w:rPr>
          <w:rFonts w:ascii="Cambria" w:hAnsi="Cambria"/>
          <w:color w:val="000000" w:themeColor="text1"/>
          <w:sz w:val="20"/>
          <w:szCs w:val="20"/>
          <w:lang w:val="es-VE"/>
        </w:rPr>
        <w:t xml:space="preserve">por </w:t>
      </w:r>
      <w:r w:rsidRPr="009676E9">
        <w:rPr>
          <w:rFonts w:ascii="Cambria" w:hAnsi="Cambria"/>
          <w:color w:val="000000" w:themeColor="text1"/>
          <w:sz w:val="20"/>
          <w:szCs w:val="20"/>
          <w:lang w:val="es-VE"/>
        </w:rPr>
        <w:t>el Juez Quinto de Garantías Penales de Manabí</w:t>
      </w:r>
      <w:r>
        <w:rPr>
          <w:rFonts w:ascii="Cambria" w:hAnsi="Cambria"/>
          <w:color w:val="000000" w:themeColor="text1"/>
          <w:sz w:val="20"/>
          <w:szCs w:val="20"/>
          <w:lang w:val="es-VE"/>
        </w:rPr>
        <w:t>, y</w:t>
      </w:r>
      <w:r w:rsidRPr="009676E9">
        <w:rPr>
          <w:rFonts w:ascii="Cambria" w:hAnsi="Cambria"/>
          <w:color w:val="000000" w:themeColor="text1"/>
          <w:sz w:val="20"/>
          <w:szCs w:val="20"/>
          <w:lang w:val="es-VE"/>
        </w:rPr>
        <w:t xml:space="preserve"> el 22 de julio de 2010 la Segunda Sala Penal de la Corte Provincial de Justicia de Manabí confirmó el rechazo de la acción.</w:t>
      </w:r>
      <w:r w:rsidR="0037746E">
        <w:rPr>
          <w:rFonts w:ascii="Cambria" w:hAnsi="Cambria"/>
          <w:color w:val="000000" w:themeColor="text1"/>
          <w:sz w:val="20"/>
          <w:szCs w:val="20"/>
          <w:lang w:val="es-VE"/>
        </w:rPr>
        <w:t xml:space="preserve"> </w:t>
      </w:r>
    </w:p>
    <w:p w14:paraId="236DC17F" w14:textId="77777777" w:rsidR="0011614F" w:rsidRDefault="0011614F" w:rsidP="0011614F">
      <w:pPr>
        <w:spacing w:after="0" w:line="240" w:lineRule="auto"/>
        <w:jc w:val="both"/>
        <w:rPr>
          <w:rFonts w:ascii="Cambria" w:hAnsi="Cambria"/>
          <w:sz w:val="20"/>
          <w:szCs w:val="20"/>
          <w:lang w:val="es-ES"/>
        </w:rPr>
      </w:pPr>
    </w:p>
    <w:p w14:paraId="339F677D" w14:textId="0E6779A6" w:rsidR="00E532A3" w:rsidRDefault="0011614F" w:rsidP="0011614F">
      <w:pPr>
        <w:spacing w:after="0" w:line="240" w:lineRule="auto"/>
        <w:ind w:firstLine="720"/>
        <w:jc w:val="both"/>
        <w:rPr>
          <w:rFonts w:ascii="Cambria" w:hAnsi="Cambria"/>
          <w:sz w:val="20"/>
          <w:szCs w:val="20"/>
          <w:lang w:val="es-ES"/>
        </w:rPr>
      </w:pPr>
      <w:r>
        <w:rPr>
          <w:rFonts w:ascii="Cambria" w:hAnsi="Cambria"/>
          <w:sz w:val="20"/>
          <w:szCs w:val="20"/>
          <w:lang w:val="es-ES"/>
        </w:rPr>
        <w:t>E</w:t>
      </w:r>
      <w:r w:rsidRPr="003C3411">
        <w:rPr>
          <w:rFonts w:ascii="Cambria" w:hAnsi="Cambria"/>
          <w:sz w:val="20"/>
          <w:szCs w:val="20"/>
          <w:lang w:val="es-ES"/>
        </w:rPr>
        <w:t xml:space="preserve">n </w:t>
      </w:r>
      <w:r w:rsidR="001E1382">
        <w:rPr>
          <w:rFonts w:ascii="Cambria" w:hAnsi="Cambria"/>
          <w:sz w:val="20"/>
          <w:szCs w:val="20"/>
          <w:lang w:val="es-ES"/>
        </w:rPr>
        <w:t>el</w:t>
      </w:r>
      <w:r w:rsidRPr="003C3411">
        <w:rPr>
          <w:rFonts w:ascii="Cambria" w:hAnsi="Cambria"/>
          <w:sz w:val="20"/>
          <w:szCs w:val="20"/>
          <w:lang w:val="es-ES"/>
        </w:rPr>
        <w:t xml:space="preserve"> informe de</w:t>
      </w:r>
      <w:r>
        <w:rPr>
          <w:rFonts w:ascii="Cambria" w:hAnsi="Cambria"/>
          <w:sz w:val="20"/>
          <w:szCs w:val="20"/>
          <w:lang w:val="es-ES"/>
        </w:rPr>
        <w:t xml:space="preserve"> admisibilidad y</w:t>
      </w:r>
      <w:r w:rsidRPr="003C3411">
        <w:rPr>
          <w:rFonts w:ascii="Cambria" w:hAnsi="Cambria"/>
          <w:sz w:val="20"/>
          <w:szCs w:val="20"/>
          <w:lang w:val="es-ES"/>
        </w:rPr>
        <w:t xml:space="preserve"> fondo</w:t>
      </w:r>
      <w:r w:rsidR="001E1382">
        <w:rPr>
          <w:rFonts w:ascii="Cambria" w:hAnsi="Cambria"/>
          <w:sz w:val="20"/>
          <w:szCs w:val="20"/>
          <w:lang w:val="es-ES"/>
        </w:rPr>
        <w:t xml:space="preserve"> No. 447/21</w:t>
      </w:r>
      <w:r w:rsidRPr="003C3411">
        <w:rPr>
          <w:rFonts w:ascii="Cambria" w:hAnsi="Cambria"/>
          <w:sz w:val="20"/>
          <w:szCs w:val="20"/>
          <w:lang w:val="es-ES"/>
        </w:rPr>
        <w:t>, la C</w:t>
      </w:r>
      <w:r>
        <w:rPr>
          <w:rFonts w:ascii="Cambria" w:hAnsi="Cambria"/>
          <w:sz w:val="20"/>
          <w:szCs w:val="20"/>
          <w:lang w:val="es-ES"/>
        </w:rPr>
        <w:t>omisión recapituló las principales obligaciones de los Estados para g</w:t>
      </w:r>
      <w:r w:rsidRPr="0093787D">
        <w:rPr>
          <w:rFonts w:ascii="Cambria" w:hAnsi="Cambria"/>
          <w:sz w:val="20"/>
          <w:szCs w:val="20"/>
          <w:lang w:val="es-ES"/>
        </w:rPr>
        <w:t>arantizar la personalidad jurídica</w:t>
      </w:r>
      <w:r>
        <w:rPr>
          <w:rFonts w:ascii="Cambria" w:hAnsi="Cambria"/>
          <w:sz w:val="20"/>
          <w:szCs w:val="20"/>
          <w:lang w:val="es-ES"/>
        </w:rPr>
        <w:t xml:space="preserve"> y </w:t>
      </w:r>
      <w:r w:rsidRPr="0093787D">
        <w:rPr>
          <w:rFonts w:ascii="Cambria" w:hAnsi="Cambria"/>
          <w:sz w:val="20"/>
          <w:szCs w:val="20"/>
          <w:lang w:val="es-ES"/>
        </w:rPr>
        <w:t>la libre determinación de los pueblos indígenas</w:t>
      </w:r>
      <w:r>
        <w:rPr>
          <w:rFonts w:ascii="Cambria" w:hAnsi="Cambria"/>
          <w:sz w:val="20"/>
          <w:szCs w:val="20"/>
          <w:lang w:val="es-ES"/>
        </w:rPr>
        <w:t>, así como el</w:t>
      </w:r>
      <w:r w:rsidRPr="0093787D">
        <w:rPr>
          <w:rFonts w:ascii="Cambria" w:hAnsi="Cambria"/>
          <w:sz w:val="20"/>
          <w:szCs w:val="20"/>
          <w:lang w:val="es-ES"/>
        </w:rPr>
        <w:t xml:space="preserve"> derecho de propiedad colectiva sobre sus territorios.</w:t>
      </w:r>
      <w:r>
        <w:rPr>
          <w:rFonts w:ascii="Cambria" w:hAnsi="Cambria"/>
          <w:sz w:val="20"/>
          <w:szCs w:val="20"/>
          <w:lang w:val="es-ES"/>
        </w:rPr>
        <w:t xml:space="preserve"> La Comisión </w:t>
      </w:r>
      <w:r w:rsidR="009A6A42">
        <w:rPr>
          <w:rFonts w:ascii="Cambria" w:hAnsi="Cambria"/>
          <w:sz w:val="20"/>
          <w:szCs w:val="20"/>
          <w:lang w:val="es-ES"/>
        </w:rPr>
        <w:t xml:space="preserve">consideró que </w:t>
      </w:r>
      <w:r w:rsidR="00A829AA">
        <w:rPr>
          <w:rFonts w:ascii="Cambria" w:hAnsi="Cambria"/>
          <w:sz w:val="20"/>
          <w:szCs w:val="20"/>
          <w:lang w:val="es-ES"/>
        </w:rPr>
        <w:t xml:space="preserve">la falta de una normativa </w:t>
      </w:r>
      <w:r w:rsidR="00CC050D">
        <w:rPr>
          <w:rFonts w:ascii="Cambria" w:hAnsi="Cambria"/>
          <w:sz w:val="20"/>
          <w:szCs w:val="20"/>
          <w:lang w:val="es-ES"/>
        </w:rPr>
        <w:t>adecuada</w:t>
      </w:r>
      <w:r w:rsidR="00A829AA">
        <w:rPr>
          <w:rFonts w:ascii="Cambria" w:hAnsi="Cambria"/>
          <w:sz w:val="20"/>
          <w:szCs w:val="20"/>
          <w:lang w:val="es-ES"/>
        </w:rPr>
        <w:t xml:space="preserve"> originó que la </w:t>
      </w:r>
      <w:r w:rsidR="006C3E05">
        <w:rPr>
          <w:rFonts w:ascii="Cambria" w:hAnsi="Cambria"/>
          <w:sz w:val="20"/>
          <w:szCs w:val="20"/>
          <w:lang w:val="es-ES"/>
        </w:rPr>
        <w:t>c</w:t>
      </w:r>
      <w:r w:rsidR="00A829AA">
        <w:rPr>
          <w:rFonts w:ascii="Cambria" w:hAnsi="Cambria"/>
          <w:sz w:val="20"/>
          <w:szCs w:val="20"/>
          <w:lang w:val="es-ES"/>
        </w:rPr>
        <w:t xml:space="preserve">omunidad </w:t>
      </w:r>
      <w:r w:rsidR="003659D0">
        <w:rPr>
          <w:rFonts w:ascii="Cambria" w:hAnsi="Cambria"/>
          <w:sz w:val="20"/>
          <w:szCs w:val="20"/>
          <w:lang w:val="es-ES"/>
        </w:rPr>
        <w:t xml:space="preserve">de Salango </w:t>
      </w:r>
      <w:r w:rsidR="00A829AA">
        <w:rPr>
          <w:rFonts w:ascii="Cambria" w:hAnsi="Cambria"/>
          <w:sz w:val="20"/>
          <w:szCs w:val="20"/>
          <w:lang w:val="es-ES"/>
        </w:rPr>
        <w:t xml:space="preserve">tuviese que inscribirse </w:t>
      </w:r>
      <w:r w:rsidR="003659D0">
        <w:rPr>
          <w:rFonts w:ascii="Cambria" w:hAnsi="Cambria"/>
          <w:sz w:val="20"/>
          <w:szCs w:val="20"/>
          <w:lang w:val="es-ES"/>
        </w:rPr>
        <w:t>inicialmente como una comuna a pesar de</w:t>
      </w:r>
      <w:r>
        <w:rPr>
          <w:rFonts w:ascii="Cambria" w:hAnsi="Cambria"/>
          <w:sz w:val="20"/>
          <w:szCs w:val="20"/>
          <w:lang w:val="es-ES"/>
        </w:rPr>
        <w:t xml:space="preserve"> </w:t>
      </w:r>
      <w:r w:rsidRPr="00F3754B">
        <w:rPr>
          <w:rFonts w:ascii="Cambria" w:hAnsi="Cambria"/>
          <w:sz w:val="20"/>
          <w:szCs w:val="20"/>
          <w:lang w:val="es-ES"/>
        </w:rPr>
        <w:t>que le correspondía ser protegida por las normas constitucionales que eran aplicables para todos los pueblos indígenas.</w:t>
      </w:r>
      <w:r w:rsidR="001E7A4C">
        <w:rPr>
          <w:rFonts w:ascii="Cambria" w:hAnsi="Cambria"/>
          <w:sz w:val="20"/>
          <w:szCs w:val="20"/>
          <w:lang w:val="es-ES"/>
        </w:rPr>
        <w:t xml:space="preserve"> Asimismo</w:t>
      </w:r>
      <w:r>
        <w:rPr>
          <w:rFonts w:ascii="Cambria" w:hAnsi="Cambria"/>
          <w:sz w:val="20"/>
          <w:szCs w:val="20"/>
          <w:lang w:val="es-ES"/>
        </w:rPr>
        <w:t xml:space="preserve">, </w:t>
      </w:r>
      <w:r w:rsidRPr="00600696">
        <w:rPr>
          <w:rFonts w:ascii="Cambria" w:hAnsi="Cambria"/>
          <w:sz w:val="20"/>
          <w:szCs w:val="20"/>
          <w:lang w:val="es-ES"/>
        </w:rPr>
        <w:t>observ</w:t>
      </w:r>
      <w:r>
        <w:rPr>
          <w:rFonts w:ascii="Cambria" w:hAnsi="Cambria"/>
          <w:sz w:val="20"/>
          <w:szCs w:val="20"/>
          <w:lang w:val="es-ES"/>
        </w:rPr>
        <w:t>ó</w:t>
      </w:r>
      <w:r w:rsidRPr="00600696">
        <w:rPr>
          <w:rFonts w:ascii="Cambria" w:hAnsi="Cambria"/>
          <w:sz w:val="20"/>
          <w:szCs w:val="20"/>
          <w:lang w:val="es-ES"/>
        </w:rPr>
        <w:t xml:space="preserve"> que </w:t>
      </w:r>
      <w:r w:rsidRPr="00A84E41">
        <w:rPr>
          <w:rFonts w:ascii="Cambria" w:hAnsi="Cambria"/>
          <w:sz w:val="20"/>
          <w:szCs w:val="20"/>
          <w:lang w:val="es-ES"/>
        </w:rPr>
        <w:t>el Procurador General del Estado, negó la aplicación de las garantías previstas en los artículos 83 y 84 de la Constitución ecuatoriana en perjuicio de la comunidad de Salango, al considerar que no calificaba como pueblo indígena sino únicamente como pueblo montubio</w:t>
      </w:r>
      <w:r w:rsidR="00CC050D">
        <w:rPr>
          <w:rFonts w:ascii="Cambria" w:hAnsi="Cambria"/>
          <w:sz w:val="20"/>
          <w:szCs w:val="20"/>
          <w:lang w:val="es-ES"/>
        </w:rPr>
        <w:t xml:space="preserve">, </w:t>
      </w:r>
      <w:r w:rsidR="008D1919">
        <w:rPr>
          <w:rFonts w:ascii="Cambria" w:hAnsi="Cambria"/>
          <w:sz w:val="20"/>
          <w:szCs w:val="20"/>
          <w:lang w:val="es-ES"/>
        </w:rPr>
        <w:t>análisis que no contó con un examen integral en base a los criterios subjetivos y objetivos establecidos en el Convenio No. 169 y la Declaración de Naciones Unidas para el Derecho de los Pueblos Indígenas</w:t>
      </w:r>
      <w:r>
        <w:rPr>
          <w:rFonts w:ascii="Cambria" w:hAnsi="Cambria"/>
          <w:sz w:val="20"/>
          <w:szCs w:val="20"/>
          <w:lang w:val="es-ES"/>
        </w:rPr>
        <w:t xml:space="preserve">. Dicho pronunciamiento </w:t>
      </w:r>
      <w:r w:rsidRPr="00A84E41">
        <w:rPr>
          <w:rFonts w:ascii="Cambria" w:hAnsi="Cambria"/>
          <w:sz w:val="20"/>
          <w:szCs w:val="20"/>
          <w:lang w:val="es-ES"/>
        </w:rPr>
        <w:t>fue utilizado</w:t>
      </w:r>
      <w:r>
        <w:rPr>
          <w:rFonts w:ascii="Cambria" w:hAnsi="Cambria"/>
          <w:sz w:val="20"/>
          <w:szCs w:val="20"/>
          <w:lang w:val="es-ES"/>
        </w:rPr>
        <w:t xml:space="preserve"> luego</w:t>
      </w:r>
      <w:r w:rsidRPr="00A84E41">
        <w:rPr>
          <w:rFonts w:ascii="Cambria" w:hAnsi="Cambria"/>
          <w:sz w:val="20"/>
          <w:szCs w:val="20"/>
          <w:lang w:val="es-ES"/>
        </w:rPr>
        <w:t xml:space="preserve"> como argumentación principal por las autoridades judiciales en decisiones que determinaron la inscripción de las tierras de la comunidad de Salango en favor de un tercero</w:t>
      </w:r>
      <w:r>
        <w:rPr>
          <w:rFonts w:ascii="Cambria" w:hAnsi="Cambria"/>
          <w:sz w:val="20"/>
          <w:szCs w:val="20"/>
          <w:lang w:val="es-ES"/>
        </w:rPr>
        <w:t xml:space="preserve">. </w:t>
      </w:r>
    </w:p>
    <w:p w14:paraId="4A462A25" w14:textId="77777777" w:rsidR="006C3E05" w:rsidRDefault="006C3E05" w:rsidP="0011614F">
      <w:pPr>
        <w:spacing w:after="0" w:line="240" w:lineRule="auto"/>
        <w:ind w:firstLine="720"/>
        <w:jc w:val="both"/>
        <w:rPr>
          <w:rFonts w:ascii="Cambria" w:hAnsi="Cambria"/>
          <w:sz w:val="20"/>
          <w:szCs w:val="20"/>
          <w:lang w:val="es-ES"/>
        </w:rPr>
      </w:pPr>
    </w:p>
    <w:p w14:paraId="44A4E31A" w14:textId="0446429B" w:rsidR="0011614F" w:rsidRDefault="006D4E1A" w:rsidP="0011614F">
      <w:pPr>
        <w:spacing w:after="0" w:line="240" w:lineRule="auto"/>
        <w:ind w:firstLine="720"/>
        <w:jc w:val="both"/>
        <w:rPr>
          <w:rFonts w:ascii="Cambria" w:hAnsi="Cambria"/>
          <w:sz w:val="20"/>
          <w:szCs w:val="20"/>
          <w:lang w:val="es-BO"/>
        </w:rPr>
      </w:pPr>
      <w:r>
        <w:rPr>
          <w:rFonts w:ascii="Cambria" w:hAnsi="Cambria"/>
          <w:sz w:val="20"/>
          <w:szCs w:val="20"/>
          <w:lang w:val="es-ES"/>
        </w:rPr>
        <w:t>As</w:t>
      </w:r>
      <w:r w:rsidR="00FF3561">
        <w:rPr>
          <w:rFonts w:ascii="Cambria" w:hAnsi="Cambria"/>
          <w:sz w:val="20"/>
          <w:szCs w:val="20"/>
          <w:lang w:val="es-ES"/>
        </w:rPr>
        <w:t>imismo</w:t>
      </w:r>
      <w:r w:rsidR="0011614F" w:rsidRPr="00F3754B">
        <w:rPr>
          <w:rFonts w:ascii="Cambria" w:hAnsi="Cambria"/>
          <w:sz w:val="20"/>
          <w:szCs w:val="20"/>
          <w:lang w:val="es-BO"/>
        </w:rPr>
        <w:t xml:space="preserve">, </w:t>
      </w:r>
      <w:r w:rsidR="00FF3561">
        <w:rPr>
          <w:rFonts w:ascii="Cambria" w:hAnsi="Cambria"/>
          <w:sz w:val="20"/>
          <w:szCs w:val="20"/>
          <w:lang w:val="es-BO"/>
        </w:rPr>
        <w:t xml:space="preserve">la Comisión </w:t>
      </w:r>
      <w:r w:rsidR="0011614F" w:rsidRPr="00F3754B">
        <w:rPr>
          <w:rFonts w:ascii="Cambria" w:hAnsi="Cambria"/>
          <w:sz w:val="20"/>
          <w:szCs w:val="20"/>
          <w:lang w:val="es-BO"/>
        </w:rPr>
        <w:t>consideró que el Notario Público Primero del Cantón del Puerto López y el Juez Noveno de lo Civil de Manabí aplicaron de manera automática la figura del derecho administrativo del silencio administrativo o positiva ficta</w:t>
      </w:r>
      <w:r w:rsidR="00FB2F41">
        <w:rPr>
          <w:rFonts w:ascii="Cambria" w:hAnsi="Cambria"/>
          <w:sz w:val="20"/>
          <w:szCs w:val="20"/>
          <w:lang w:val="es-BO"/>
        </w:rPr>
        <w:t xml:space="preserve"> </w:t>
      </w:r>
      <w:r w:rsidR="00D614CB">
        <w:rPr>
          <w:rFonts w:ascii="Cambria" w:hAnsi="Cambria"/>
          <w:sz w:val="20"/>
          <w:szCs w:val="20"/>
          <w:lang w:val="es-BO"/>
        </w:rPr>
        <w:t>para disponer de las tierras de la comunidad de Salango</w:t>
      </w:r>
      <w:r w:rsidR="0011614F" w:rsidRPr="00F3754B">
        <w:rPr>
          <w:rFonts w:ascii="Cambria" w:hAnsi="Cambria"/>
          <w:sz w:val="20"/>
          <w:szCs w:val="20"/>
          <w:lang w:val="es-BO"/>
        </w:rPr>
        <w:t>, sin</w:t>
      </w:r>
      <w:r w:rsidR="00D614CB">
        <w:rPr>
          <w:rFonts w:ascii="Cambria" w:hAnsi="Cambria"/>
          <w:sz w:val="20"/>
          <w:szCs w:val="20"/>
          <w:lang w:val="es-BO"/>
        </w:rPr>
        <w:t xml:space="preserve"> verificar </w:t>
      </w:r>
      <w:r w:rsidR="00D650BD">
        <w:rPr>
          <w:rFonts w:ascii="Cambria" w:hAnsi="Cambria"/>
          <w:sz w:val="20"/>
          <w:szCs w:val="20"/>
          <w:lang w:val="es-BO"/>
        </w:rPr>
        <w:t>si la decisión de la venta se había realizado de conformidad con los procesos de toma de deci</w:t>
      </w:r>
      <w:r w:rsidR="00F215E8">
        <w:rPr>
          <w:rFonts w:ascii="Cambria" w:hAnsi="Cambria"/>
          <w:sz w:val="20"/>
          <w:szCs w:val="20"/>
          <w:lang w:val="es-BO"/>
        </w:rPr>
        <w:t xml:space="preserve">siones tradicionales dentro de la propia comunidad. </w:t>
      </w:r>
    </w:p>
    <w:p w14:paraId="1DFD3C6E" w14:textId="77777777" w:rsidR="006C3E05" w:rsidRDefault="006C3E05" w:rsidP="0011614F">
      <w:pPr>
        <w:spacing w:after="0" w:line="240" w:lineRule="auto"/>
        <w:ind w:firstLine="720"/>
        <w:jc w:val="both"/>
        <w:rPr>
          <w:rFonts w:ascii="Cambria" w:hAnsi="Cambria"/>
          <w:sz w:val="20"/>
          <w:szCs w:val="20"/>
          <w:lang w:val="es-BO"/>
        </w:rPr>
      </w:pPr>
    </w:p>
    <w:p w14:paraId="451E921F" w14:textId="463CB6CE" w:rsidR="004770A6" w:rsidRPr="00F3754B" w:rsidRDefault="004770A6" w:rsidP="0011614F">
      <w:pPr>
        <w:spacing w:after="0" w:line="240" w:lineRule="auto"/>
        <w:ind w:firstLine="720"/>
        <w:jc w:val="both"/>
        <w:rPr>
          <w:rFonts w:ascii="Cambria" w:hAnsi="Cambria"/>
          <w:sz w:val="20"/>
          <w:szCs w:val="20"/>
          <w:lang w:val="es-BO"/>
        </w:rPr>
      </w:pPr>
      <w:r>
        <w:rPr>
          <w:rFonts w:ascii="Cambria" w:hAnsi="Cambria"/>
          <w:sz w:val="20"/>
          <w:szCs w:val="20"/>
          <w:lang w:val="es-BO"/>
        </w:rPr>
        <w:t xml:space="preserve">En este sentido, la Comisión concluyó que </w:t>
      </w:r>
      <w:r w:rsidR="0073321A">
        <w:rPr>
          <w:rFonts w:ascii="Cambria" w:hAnsi="Cambria"/>
          <w:sz w:val="20"/>
          <w:szCs w:val="20"/>
          <w:lang w:val="es-BO"/>
        </w:rPr>
        <w:t>la falta de protección de las tierras de la comunidad vulneró los artículos 3 y 21 de la Convención Americana</w:t>
      </w:r>
      <w:r w:rsidR="00EA76B7">
        <w:rPr>
          <w:rFonts w:ascii="Cambria" w:hAnsi="Cambria"/>
          <w:sz w:val="20"/>
          <w:szCs w:val="20"/>
          <w:lang w:val="es-BO"/>
        </w:rPr>
        <w:t xml:space="preserve"> y que constituyó una aplicación desigual e irrazonable del marco normativo vigente dado que a la comunidad </w:t>
      </w:r>
      <w:r w:rsidR="00AD106D">
        <w:rPr>
          <w:rFonts w:ascii="Cambria" w:hAnsi="Cambria"/>
          <w:sz w:val="20"/>
          <w:szCs w:val="20"/>
          <w:lang w:val="es-BO"/>
        </w:rPr>
        <w:t xml:space="preserve">le correspondía ser protegida por las normas aplicables a pueblos indígenas. </w:t>
      </w:r>
    </w:p>
    <w:p w14:paraId="04A93E9B" w14:textId="77777777" w:rsidR="0011614F" w:rsidRDefault="0011614F" w:rsidP="0011614F">
      <w:pPr>
        <w:spacing w:after="0" w:line="240" w:lineRule="auto"/>
        <w:jc w:val="both"/>
        <w:rPr>
          <w:rFonts w:ascii="Cambria" w:hAnsi="Cambria"/>
          <w:sz w:val="20"/>
          <w:szCs w:val="20"/>
          <w:lang w:val="es-BO"/>
        </w:rPr>
      </w:pPr>
    </w:p>
    <w:p w14:paraId="44CC5B38" w14:textId="75BC3244" w:rsidR="000B74CA" w:rsidRDefault="002A315F" w:rsidP="000B74CA">
      <w:pPr>
        <w:spacing w:after="0" w:line="240" w:lineRule="auto"/>
        <w:ind w:firstLine="720"/>
        <w:jc w:val="both"/>
        <w:rPr>
          <w:rFonts w:ascii="Cambria" w:hAnsi="Cambria"/>
          <w:sz w:val="20"/>
          <w:szCs w:val="20"/>
          <w:lang w:val="es-BO"/>
        </w:rPr>
      </w:pPr>
      <w:r>
        <w:rPr>
          <w:rFonts w:ascii="Cambria" w:hAnsi="Cambria"/>
          <w:sz w:val="20"/>
          <w:szCs w:val="20"/>
          <w:lang w:val="es-BO"/>
        </w:rPr>
        <w:t>Adicionalmente l</w:t>
      </w:r>
      <w:r w:rsidR="0011614F">
        <w:rPr>
          <w:rFonts w:ascii="Cambria" w:hAnsi="Cambria"/>
          <w:sz w:val="20"/>
          <w:szCs w:val="20"/>
          <w:lang w:val="es-BO"/>
        </w:rPr>
        <w:t xml:space="preserve">a Comisión </w:t>
      </w:r>
      <w:r w:rsidR="0011614F" w:rsidRPr="00F3754B">
        <w:rPr>
          <w:rFonts w:ascii="Cambria" w:hAnsi="Cambria"/>
          <w:sz w:val="20"/>
          <w:szCs w:val="20"/>
          <w:lang w:val="es-BO"/>
        </w:rPr>
        <w:t>establec</w:t>
      </w:r>
      <w:r w:rsidR="0011614F">
        <w:rPr>
          <w:rFonts w:ascii="Cambria" w:hAnsi="Cambria"/>
          <w:sz w:val="20"/>
          <w:szCs w:val="20"/>
          <w:lang w:val="es-BO"/>
        </w:rPr>
        <w:t>ió</w:t>
      </w:r>
      <w:r w:rsidR="0011614F" w:rsidRPr="00F3754B">
        <w:rPr>
          <w:rFonts w:ascii="Cambria" w:hAnsi="Cambria"/>
          <w:sz w:val="20"/>
          <w:szCs w:val="20"/>
          <w:lang w:val="es-BO"/>
        </w:rPr>
        <w:t xml:space="preserve"> que el Estado debió asegurar que se respet</w:t>
      </w:r>
      <w:r w:rsidR="00233983">
        <w:rPr>
          <w:rFonts w:ascii="Cambria" w:hAnsi="Cambria"/>
          <w:sz w:val="20"/>
          <w:szCs w:val="20"/>
          <w:lang w:val="es-BO"/>
        </w:rPr>
        <w:t>asen</w:t>
      </w:r>
      <w:r w:rsidR="0011614F" w:rsidRPr="00F3754B">
        <w:rPr>
          <w:rFonts w:ascii="Cambria" w:hAnsi="Cambria"/>
          <w:sz w:val="20"/>
          <w:szCs w:val="20"/>
          <w:lang w:val="es-BO"/>
        </w:rPr>
        <w:t xml:space="preserve"> las modalidades </w:t>
      </w:r>
      <w:r w:rsidR="000B74CA">
        <w:rPr>
          <w:rFonts w:ascii="Cambria" w:hAnsi="Cambria"/>
          <w:sz w:val="20"/>
          <w:szCs w:val="20"/>
          <w:lang w:val="es-BO"/>
        </w:rPr>
        <w:t xml:space="preserve">tradicionales </w:t>
      </w:r>
      <w:r w:rsidR="0011614F" w:rsidRPr="00F3754B">
        <w:rPr>
          <w:rFonts w:ascii="Cambria" w:hAnsi="Cambria"/>
          <w:sz w:val="20"/>
          <w:szCs w:val="20"/>
          <w:lang w:val="es-BO"/>
        </w:rPr>
        <w:t>de transmisión de los derechos sobre la tierra</w:t>
      </w:r>
      <w:r>
        <w:rPr>
          <w:rFonts w:ascii="Cambria" w:hAnsi="Cambria"/>
          <w:sz w:val="20"/>
          <w:szCs w:val="20"/>
          <w:lang w:val="es-BO"/>
        </w:rPr>
        <w:t xml:space="preserve"> y </w:t>
      </w:r>
      <w:r w:rsidR="0011614F" w:rsidRPr="000F65D5">
        <w:rPr>
          <w:rFonts w:ascii="Cambria" w:hAnsi="Cambria"/>
          <w:sz w:val="20"/>
          <w:szCs w:val="20"/>
          <w:lang w:val="es-BO"/>
        </w:rPr>
        <w:t>consider</w:t>
      </w:r>
      <w:r w:rsidR="0011614F">
        <w:rPr>
          <w:rFonts w:ascii="Cambria" w:hAnsi="Cambria"/>
          <w:sz w:val="20"/>
          <w:szCs w:val="20"/>
          <w:lang w:val="es-BO"/>
        </w:rPr>
        <w:t>ó</w:t>
      </w:r>
      <w:r w:rsidR="0011614F" w:rsidRPr="000F65D5">
        <w:rPr>
          <w:rFonts w:ascii="Cambria" w:hAnsi="Cambria"/>
          <w:sz w:val="20"/>
          <w:szCs w:val="20"/>
          <w:lang w:val="es-BO"/>
        </w:rPr>
        <w:t xml:space="preserve"> que la inscripción del territorio de la comunidad de Salango en favor de un tercero provocó la privatización de los caminos ancestrales que daban acceso al mar, generando que los integrantes del citado pueblo no puedan pescar, recoger mariscos, bucear, entre otras actividades tradicionales y para su subsistencia.</w:t>
      </w:r>
      <w:r w:rsidR="000B74CA">
        <w:rPr>
          <w:rFonts w:ascii="Cambria" w:hAnsi="Cambria"/>
          <w:sz w:val="20"/>
          <w:szCs w:val="20"/>
          <w:lang w:val="es-BO"/>
        </w:rPr>
        <w:t xml:space="preserve"> </w:t>
      </w:r>
      <w:r w:rsidR="000B74CA" w:rsidRPr="000B74CA">
        <w:rPr>
          <w:rFonts w:ascii="Cambria" w:hAnsi="Cambria"/>
          <w:sz w:val="20"/>
          <w:szCs w:val="20"/>
          <w:lang w:val="es-BO"/>
        </w:rPr>
        <w:t>La C</w:t>
      </w:r>
      <w:r w:rsidR="00EF2788">
        <w:rPr>
          <w:rFonts w:ascii="Cambria" w:hAnsi="Cambria"/>
          <w:sz w:val="20"/>
          <w:szCs w:val="20"/>
          <w:lang w:val="es-BO"/>
        </w:rPr>
        <w:t>omisión</w:t>
      </w:r>
      <w:r w:rsidR="000B74CA" w:rsidRPr="000B74CA">
        <w:rPr>
          <w:rFonts w:ascii="Cambria" w:hAnsi="Cambria"/>
          <w:sz w:val="20"/>
          <w:szCs w:val="20"/>
          <w:lang w:val="es-BO"/>
        </w:rPr>
        <w:t xml:space="preserve"> </w:t>
      </w:r>
      <w:r w:rsidR="00EF2788">
        <w:rPr>
          <w:rFonts w:ascii="Cambria" w:hAnsi="Cambria"/>
          <w:sz w:val="20"/>
          <w:szCs w:val="20"/>
          <w:lang w:val="es-BO"/>
        </w:rPr>
        <w:t>indic</w:t>
      </w:r>
      <w:r w:rsidR="000B74CA">
        <w:rPr>
          <w:rFonts w:ascii="Cambria" w:hAnsi="Cambria"/>
          <w:sz w:val="20"/>
          <w:szCs w:val="20"/>
          <w:lang w:val="es-BO"/>
        </w:rPr>
        <w:t>ó</w:t>
      </w:r>
      <w:r w:rsidR="000B74CA" w:rsidRPr="000B74CA">
        <w:rPr>
          <w:rFonts w:ascii="Cambria" w:hAnsi="Cambria"/>
          <w:sz w:val="20"/>
          <w:szCs w:val="20"/>
          <w:lang w:val="es-BO"/>
        </w:rPr>
        <w:t xml:space="preserve"> que tal situación </w:t>
      </w:r>
      <w:r w:rsidR="005F5798" w:rsidRPr="000B74CA">
        <w:rPr>
          <w:rFonts w:ascii="Cambria" w:hAnsi="Cambria"/>
          <w:sz w:val="20"/>
          <w:szCs w:val="20"/>
          <w:lang w:val="es-BO"/>
        </w:rPr>
        <w:t>vulner</w:t>
      </w:r>
      <w:r w:rsidR="005F5798">
        <w:rPr>
          <w:rFonts w:ascii="Cambria" w:hAnsi="Cambria"/>
          <w:sz w:val="20"/>
          <w:szCs w:val="20"/>
          <w:lang w:val="es-BO"/>
        </w:rPr>
        <w:t xml:space="preserve">ó </w:t>
      </w:r>
      <w:r w:rsidR="005F5798" w:rsidRPr="000B74CA">
        <w:rPr>
          <w:rFonts w:ascii="Cambria" w:hAnsi="Cambria"/>
          <w:sz w:val="20"/>
          <w:szCs w:val="20"/>
          <w:lang w:val="es-BO"/>
        </w:rPr>
        <w:t>los</w:t>
      </w:r>
      <w:r w:rsidR="000B74CA" w:rsidRPr="000B74CA">
        <w:rPr>
          <w:rFonts w:ascii="Cambria" w:hAnsi="Cambria"/>
          <w:sz w:val="20"/>
          <w:szCs w:val="20"/>
          <w:lang w:val="es-BO"/>
        </w:rPr>
        <w:t xml:space="preserve"> derechos culturales de la comunidad de Salango, así como su derecho a asumir la administración y conservación de sus tierras, toda vez que en principio la protección de la naturaleza es compatible con la forma de vida de los pueblos indígenas y puede ser asumida por éstos.</w:t>
      </w:r>
      <w:r w:rsidR="00EF2788">
        <w:rPr>
          <w:rFonts w:ascii="Cambria" w:hAnsi="Cambria"/>
          <w:sz w:val="20"/>
          <w:szCs w:val="20"/>
          <w:lang w:val="es-BO"/>
        </w:rPr>
        <w:t xml:space="preserve"> Al respecto, la Comisión consideró que </w:t>
      </w:r>
      <w:r w:rsidR="00AE2E5C">
        <w:rPr>
          <w:rFonts w:ascii="Cambria" w:hAnsi="Cambria"/>
          <w:sz w:val="20"/>
          <w:szCs w:val="20"/>
          <w:lang w:val="es-BO"/>
        </w:rPr>
        <w:t>se vulneraron los derechos contemplados en los artículos 3, 21, 24 y 26 de la Convención Americana</w:t>
      </w:r>
      <w:r w:rsidR="009E1098">
        <w:rPr>
          <w:rFonts w:ascii="Cambria" w:hAnsi="Cambria"/>
          <w:sz w:val="20"/>
          <w:szCs w:val="20"/>
          <w:lang w:val="es-BO"/>
        </w:rPr>
        <w:t xml:space="preserve">. </w:t>
      </w:r>
    </w:p>
    <w:p w14:paraId="29C2FB0E" w14:textId="77777777" w:rsidR="0011614F" w:rsidRDefault="0011614F" w:rsidP="0011614F">
      <w:pPr>
        <w:spacing w:after="0" w:line="240" w:lineRule="auto"/>
        <w:jc w:val="both"/>
        <w:rPr>
          <w:rFonts w:ascii="Cambria" w:hAnsi="Cambria"/>
          <w:sz w:val="20"/>
          <w:szCs w:val="20"/>
          <w:lang w:val="es-BO"/>
        </w:rPr>
      </w:pPr>
    </w:p>
    <w:p w14:paraId="38261989" w14:textId="1261F710" w:rsidR="0011614F" w:rsidRPr="000813F2" w:rsidRDefault="0011614F" w:rsidP="0011614F">
      <w:pPr>
        <w:spacing w:after="0" w:line="240" w:lineRule="auto"/>
        <w:ind w:firstLine="720"/>
        <w:jc w:val="both"/>
        <w:rPr>
          <w:rFonts w:ascii="Cambria" w:hAnsi="Cambria"/>
          <w:sz w:val="20"/>
          <w:szCs w:val="20"/>
          <w:lang w:val="es-US"/>
        </w:rPr>
      </w:pPr>
      <w:r>
        <w:rPr>
          <w:rFonts w:ascii="Cambria" w:hAnsi="Cambria"/>
          <w:sz w:val="20"/>
          <w:szCs w:val="20"/>
          <w:lang w:val="es-BO"/>
        </w:rPr>
        <w:t xml:space="preserve">Finalmente, </w:t>
      </w:r>
      <w:r w:rsidRPr="000813F2">
        <w:rPr>
          <w:rFonts w:ascii="Cambria" w:hAnsi="Cambria"/>
          <w:sz w:val="20"/>
          <w:szCs w:val="20"/>
          <w:lang w:val="es-BO"/>
        </w:rPr>
        <w:t>consider</w:t>
      </w:r>
      <w:r>
        <w:rPr>
          <w:rFonts w:ascii="Cambria" w:hAnsi="Cambria"/>
          <w:sz w:val="20"/>
          <w:szCs w:val="20"/>
          <w:lang w:val="es-BO"/>
        </w:rPr>
        <w:t>ó</w:t>
      </w:r>
      <w:r w:rsidRPr="000813F2">
        <w:rPr>
          <w:rFonts w:ascii="Cambria" w:hAnsi="Cambria"/>
          <w:sz w:val="20"/>
          <w:szCs w:val="20"/>
          <w:lang w:val="es-BO"/>
        </w:rPr>
        <w:t xml:space="preserve"> que </w:t>
      </w:r>
      <w:r>
        <w:rPr>
          <w:rFonts w:ascii="Cambria" w:hAnsi="Cambria"/>
          <w:sz w:val="20"/>
          <w:szCs w:val="20"/>
          <w:lang w:val="es-BO"/>
        </w:rPr>
        <w:t xml:space="preserve">existió una violación del </w:t>
      </w:r>
      <w:r w:rsidRPr="000813F2">
        <w:rPr>
          <w:rFonts w:ascii="Cambria" w:hAnsi="Cambria"/>
          <w:sz w:val="20"/>
          <w:szCs w:val="20"/>
          <w:lang w:val="es-BO"/>
        </w:rPr>
        <w:t>derecho a la protección judicial</w:t>
      </w:r>
      <w:r>
        <w:rPr>
          <w:rFonts w:ascii="Cambria" w:hAnsi="Cambria"/>
          <w:sz w:val="20"/>
          <w:szCs w:val="20"/>
          <w:lang w:val="es-BO"/>
        </w:rPr>
        <w:t>, toda vez que</w:t>
      </w:r>
      <w:r w:rsidR="00BD5315">
        <w:rPr>
          <w:rFonts w:ascii="Cambria" w:hAnsi="Cambria"/>
          <w:sz w:val="20"/>
          <w:szCs w:val="20"/>
          <w:lang w:val="es-BO"/>
        </w:rPr>
        <w:t xml:space="preserve"> el Estado </w:t>
      </w:r>
      <w:r w:rsidR="0006590E">
        <w:rPr>
          <w:rFonts w:ascii="Cambria" w:hAnsi="Cambria"/>
          <w:sz w:val="20"/>
          <w:szCs w:val="20"/>
          <w:lang w:val="es-BO"/>
        </w:rPr>
        <w:t xml:space="preserve">tuvo la oportunidad de brindar una respuesta adecuada a los estándares interamericanos y cumplir con su obligación de garantizar </w:t>
      </w:r>
      <w:r w:rsidR="003C73FD">
        <w:rPr>
          <w:rFonts w:ascii="Cambria" w:hAnsi="Cambria"/>
          <w:sz w:val="20"/>
          <w:szCs w:val="20"/>
          <w:lang w:val="es-BO"/>
        </w:rPr>
        <w:t>este derecho</w:t>
      </w:r>
      <w:r w:rsidR="0037548A">
        <w:rPr>
          <w:rFonts w:ascii="Cambria" w:hAnsi="Cambria"/>
          <w:sz w:val="20"/>
          <w:szCs w:val="20"/>
          <w:lang w:val="es-BO"/>
        </w:rPr>
        <w:t xml:space="preserve"> en distintos momentos. Sin embargo, en los procedimientos internos</w:t>
      </w:r>
      <w:r>
        <w:rPr>
          <w:rFonts w:ascii="Cambria" w:hAnsi="Cambria"/>
          <w:sz w:val="20"/>
          <w:szCs w:val="20"/>
          <w:lang w:val="es-BO"/>
        </w:rPr>
        <w:t xml:space="preserve"> </w:t>
      </w:r>
      <w:r w:rsidRPr="000813F2">
        <w:rPr>
          <w:rFonts w:ascii="Cambria" w:hAnsi="Cambria"/>
          <w:sz w:val="20"/>
          <w:szCs w:val="20"/>
          <w:lang w:val="es-BO"/>
        </w:rPr>
        <w:t xml:space="preserve">las autoridades judiciales calificaron los reclamos territoriales de la comunidad de Salango como asuntos de “mera legalidad” </w:t>
      </w:r>
      <w:r>
        <w:rPr>
          <w:rFonts w:ascii="Cambria" w:hAnsi="Cambria"/>
          <w:sz w:val="20"/>
          <w:szCs w:val="20"/>
          <w:lang w:val="es-BO"/>
        </w:rPr>
        <w:t xml:space="preserve">con lo cual se </w:t>
      </w:r>
      <w:r w:rsidRPr="000813F2">
        <w:rPr>
          <w:rFonts w:ascii="Cambria" w:hAnsi="Cambria"/>
          <w:sz w:val="20"/>
          <w:szCs w:val="20"/>
          <w:lang w:val="es-BO"/>
        </w:rPr>
        <w:t>deriv</w:t>
      </w:r>
      <w:r>
        <w:rPr>
          <w:rFonts w:ascii="Cambria" w:hAnsi="Cambria"/>
          <w:sz w:val="20"/>
          <w:szCs w:val="20"/>
          <w:lang w:val="es-BO"/>
        </w:rPr>
        <w:t>ó</w:t>
      </w:r>
      <w:r w:rsidRPr="000813F2">
        <w:rPr>
          <w:rFonts w:ascii="Cambria" w:hAnsi="Cambria"/>
          <w:sz w:val="20"/>
          <w:szCs w:val="20"/>
          <w:lang w:val="es-BO"/>
        </w:rPr>
        <w:t xml:space="preserve"> la discusión a vías jurisdiccionales que no resulta</w:t>
      </w:r>
      <w:r>
        <w:rPr>
          <w:rFonts w:ascii="Cambria" w:hAnsi="Cambria"/>
          <w:sz w:val="20"/>
          <w:szCs w:val="20"/>
          <w:lang w:val="es-BO"/>
        </w:rPr>
        <w:t>ro</w:t>
      </w:r>
      <w:r w:rsidRPr="000813F2">
        <w:rPr>
          <w:rFonts w:ascii="Cambria" w:hAnsi="Cambria"/>
          <w:sz w:val="20"/>
          <w:szCs w:val="20"/>
          <w:lang w:val="es-BO"/>
        </w:rPr>
        <w:t>n idóneas para discutir los derechos en conflicto</w:t>
      </w:r>
      <w:r>
        <w:rPr>
          <w:rFonts w:ascii="Cambria" w:hAnsi="Cambria"/>
          <w:sz w:val="20"/>
          <w:szCs w:val="20"/>
          <w:lang w:val="es-BO"/>
        </w:rPr>
        <w:t>.</w:t>
      </w:r>
      <w:r w:rsidR="0043520B">
        <w:rPr>
          <w:rFonts w:ascii="Cambria" w:hAnsi="Cambria"/>
          <w:sz w:val="20"/>
          <w:szCs w:val="20"/>
          <w:lang w:val="es-BO"/>
        </w:rPr>
        <w:t xml:space="preserve"> Asimismo, las autoridades aplicaron la figura del silenci</w:t>
      </w:r>
      <w:r w:rsidR="00112A34">
        <w:rPr>
          <w:rFonts w:ascii="Cambria" w:hAnsi="Cambria"/>
          <w:sz w:val="20"/>
          <w:szCs w:val="20"/>
          <w:lang w:val="es-BO"/>
        </w:rPr>
        <w:t>o</w:t>
      </w:r>
      <w:r w:rsidR="0043520B">
        <w:rPr>
          <w:rFonts w:ascii="Cambria" w:hAnsi="Cambria"/>
          <w:sz w:val="20"/>
          <w:szCs w:val="20"/>
          <w:lang w:val="es-BO"/>
        </w:rPr>
        <w:t xml:space="preserve"> administrativo sin el análisis requerido para los procesos vinculados </w:t>
      </w:r>
      <w:r w:rsidR="00112A34">
        <w:rPr>
          <w:rFonts w:ascii="Cambria" w:hAnsi="Cambria"/>
          <w:sz w:val="20"/>
          <w:szCs w:val="20"/>
          <w:lang w:val="es-BO"/>
        </w:rPr>
        <w:t xml:space="preserve">la </w:t>
      </w:r>
      <w:r w:rsidR="0043520B">
        <w:rPr>
          <w:rFonts w:ascii="Cambria" w:hAnsi="Cambria"/>
          <w:sz w:val="20"/>
          <w:szCs w:val="20"/>
          <w:lang w:val="es-BO"/>
        </w:rPr>
        <w:t>propiedad colectiva.</w:t>
      </w:r>
      <w:r w:rsidR="007E0653">
        <w:rPr>
          <w:rFonts w:ascii="Cambria" w:hAnsi="Cambria"/>
          <w:sz w:val="20"/>
          <w:szCs w:val="20"/>
          <w:lang w:val="es-BO"/>
        </w:rPr>
        <w:t xml:space="preserve"> Lo anterior, en violación de los derechos contenidos en los artículos 8 y 25 de la Convención Americana.</w:t>
      </w:r>
    </w:p>
    <w:p w14:paraId="28AE6141" w14:textId="77777777" w:rsidR="0011614F" w:rsidRPr="003C3411" w:rsidRDefault="0011614F" w:rsidP="0011614F">
      <w:pPr>
        <w:spacing w:after="0" w:line="240" w:lineRule="auto"/>
        <w:jc w:val="both"/>
        <w:rPr>
          <w:rFonts w:ascii="Cambria" w:hAnsi="Cambria"/>
          <w:sz w:val="20"/>
          <w:szCs w:val="20"/>
          <w:lang w:val="es-ES"/>
        </w:rPr>
      </w:pPr>
    </w:p>
    <w:p w14:paraId="3B643BB1" w14:textId="26AC2291" w:rsidR="0011614F" w:rsidRDefault="00D67259" w:rsidP="0011614F">
      <w:pPr>
        <w:pStyle w:val="xmsolistparagraph"/>
        <w:spacing w:before="0" w:beforeAutospacing="0" w:after="0" w:afterAutospacing="0"/>
        <w:ind w:firstLine="720"/>
        <w:jc w:val="both"/>
        <w:rPr>
          <w:rFonts w:ascii="Cambria" w:hAnsi="Cambria" w:cs="Calibri"/>
          <w:color w:val="000000"/>
          <w:sz w:val="20"/>
          <w:szCs w:val="20"/>
          <w:lang w:val="es-AR"/>
        </w:rPr>
      </w:pPr>
      <w:r>
        <w:rPr>
          <w:rFonts w:ascii="Cambria" w:hAnsi="Cambria"/>
          <w:sz w:val="20"/>
          <w:szCs w:val="20"/>
          <w:lang w:val="es-ES"/>
        </w:rPr>
        <w:t>En suma</w:t>
      </w:r>
      <w:r w:rsidR="0011614F" w:rsidRPr="003C3411">
        <w:rPr>
          <w:rFonts w:ascii="Cambria" w:hAnsi="Cambria"/>
          <w:sz w:val="20"/>
          <w:szCs w:val="20"/>
          <w:lang w:val="es-ES"/>
        </w:rPr>
        <w:t>, la C</w:t>
      </w:r>
      <w:r>
        <w:rPr>
          <w:rFonts w:ascii="Cambria" w:hAnsi="Cambria"/>
          <w:sz w:val="20"/>
          <w:szCs w:val="20"/>
          <w:lang w:val="es-ES"/>
        </w:rPr>
        <w:t xml:space="preserve">omisión </w:t>
      </w:r>
      <w:r w:rsidR="0011614F" w:rsidRPr="003C3411">
        <w:rPr>
          <w:rFonts w:ascii="Cambria" w:hAnsi="Cambria"/>
          <w:sz w:val="20"/>
          <w:szCs w:val="20"/>
          <w:lang w:val="es-ES"/>
        </w:rPr>
        <w:t>concluy</w:t>
      </w:r>
      <w:r w:rsidR="0011614F">
        <w:rPr>
          <w:rFonts w:ascii="Cambria" w:hAnsi="Cambria"/>
          <w:sz w:val="20"/>
          <w:szCs w:val="20"/>
          <w:lang w:val="es-ES"/>
        </w:rPr>
        <w:t>ó</w:t>
      </w:r>
      <w:r w:rsidR="0011614F" w:rsidRPr="003C3411">
        <w:rPr>
          <w:rFonts w:ascii="Cambria" w:hAnsi="Cambria"/>
          <w:sz w:val="20"/>
          <w:szCs w:val="20"/>
          <w:lang w:val="es-ES"/>
        </w:rPr>
        <w:t xml:space="preserve"> que el Estado es responsable por la violación de los artículos </w:t>
      </w:r>
      <w:r w:rsidR="0011614F" w:rsidRPr="000813F2">
        <w:rPr>
          <w:rFonts w:ascii="Cambria" w:hAnsi="Cambria"/>
          <w:sz w:val="20"/>
          <w:szCs w:val="20"/>
          <w:lang w:val="es-ES"/>
        </w:rPr>
        <w:t>3</w:t>
      </w:r>
      <w:r>
        <w:rPr>
          <w:rFonts w:ascii="Cambria" w:hAnsi="Cambria"/>
          <w:sz w:val="20"/>
          <w:szCs w:val="20"/>
          <w:lang w:val="es-ES"/>
        </w:rPr>
        <w:t xml:space="preserve"> (personalidad jurídica)</w:t>
      </w:r>
      <w:r w:rsidR="0011614F" w:rsidRPr="000813F2">
        <w:rPr>
          <w:rFonts w:ascii="Cambria" w:hAnsi="Cambria"/>
          <w:sz w:val="20"/>
          <w:szCs w:val="20"/>
          <w:lang w:val="es-ES"/>
        </w:rPr>
        <w:t>, 8.1</w:t>
      </w:r>
      <w:r>
        <w:rPr>
          <w:rFonts w:ascii="Cambria" w:hAnsi="Cambria"/>
          <w:sz w:val="20"/>
          <w:szCs w:val="20"/>
          <w:lang w:val="es-ES"/>
        </w:rPr>
        <w:t xml:space="preserve"> (</w:t>
      </w:r>
      <w:r w:rsidR="005E2A1B">
        <w:rPr>
          <w:rFonts w:ascii="Cambria" w:hAnsi="Cambria"/>
          <w:sz w:val="20"/>
          <w:szCs w:val="20"/>
          <w:lang w:val="es-ES"/>
        </w:rPr>
        <w:t>garantías judiciales)</w:t>
      </w:r>
      <w:r w:rsidR="0011614F" w:rsidRPr="000813F2">
        <w:rPr>
          <w:rFonts w:ascii="Cambria" w:hAnsi="Cambria"/>
          <w:sz w:val="20"/>
          <w:szCs w:val="20"/>
          <w:lang w:val="es-ES"/>
        </w:rPr>
        <w:t>, 21</w:t>
      </w:r>
      <w:r w:rsidR="005E2A1B">
        <w:rPr>
          <w:rFonts w:ascii="Cambria" w:hAnsi="Cambria"/>
          <w:sz w:val="20"/>
          <w:szCs w:val="20"/>
          <w:lang w:val="es-ES"/>
        </w:rPr>
        <w:t xml:space="preserve"> (propiedad colectiva)</w:t>
      </w:r>
      <w:r w:rsidR="0011614F" w:rsidRPr="000813F2">
        <w:rPr>
          <w:rFonts w:ascii="Cambria" w:hAnsi="Cambria"/>
          <w:sz w:val="20"/>
          <w:szCs w:val="20"/>
          <w:lang w:val="es-ES"/>
        </w:rPr>
        <w:t>, 24</w:t>
      </w:r>
      <w:r w:rsidR="005E2A1B">
        <w:rPr>
          <w:rFonts w:ascii="Cambria" w:hAnsi="Cambria"/>
          <w:sz w:val="20"/>
          <w:szCs w:val="20"/>
          <w:lang w:val="es-ES"/>
        </w:rPr>
        <w:t xml:space="preserve"> (igualdad ante la ley)</w:t>
      </w:r>
      <w:r w:rsidR="0011614F" w:rsidRPr="000813F2">
        <w:rPr>
          <w:rFonts w:ascii="Cambria" w:hAnsi="Cambria"/>
          <w:sz w:val="20"/>
          <w:szCs w:val="20"/>
          <w:lang w:val="es-ES"/>
        </w:rPr>
        <w:t>, 25</w:t>
      </w:r>
      <w:r w:rsidR="005E2A1B">
        <w:rPr>
          <w:rFonts w:ascii="Cambria" w:hAnsi="Cambria"/>
          <w:sz w:val="20"/>
          <w:szCs w:val="20"/>
          <w:lang w:val="es-ES"/>
        </w:rPr>
        <w:t xml:space="preserve"> (protección judicial)</w:t>
      </w:r>
      <w:r w:rsidR="0011614F" w:rsidRPr="000813F2">
        <w:rPr>
          <w:rFonts w:ascii="Cambria" w:hAnsi="Cambria"/>
          <w:sz w:val="20"/>
          <w:szCs w:val="20"/>
          <w:lang w:val="es-ES"/>
        </w:rPr>
        <w:t xml:space="preserve"> y 26 </w:t>
      </w:r>
      <w:r w:rsidR="00303B4B">
        <w:rPr>
          <w:rFonts w:ascii="Cambria" w:hAnsi="Cambria"/>
          <w:sz w:val="20"/>
          <w:szCs w:val="20"/>
          <w:lang w:val="es-ES"/>
        </w:rPr>
        <w:t xml:space="preserve">(derechos culturales) </w:t>
      </w:r>
      <w:r w:rsidR="0011614F" w:rsidRPr="000813F2">
        <w:rPr>
          <w:rFonts w:ascii="Cambria" w:hAnsi="Cambria"/>
          <w:sz w:val="20"/>
          <w:szCs w:val="20"/>
          <w:lang w:val="es-ES"/>
        </w:rPr>
        <w:t>de la Convención Americana, en relación con el artículo 1.1 del mismo instrumento en perjuicio de la Comunidad de Salango.</w:t>
      </w:r>
    </w:p>
    <w:p w14:paraId="2EA2191C" w14:textId="73D70E73" w:rsidR="003C40C9" w:rsidRDefault="003C40C9" w:rsidP="0011614F">
      <w:pPr>
        <w:pStyle w:val="xmsolistparagraph"/>
        <w:spacing w:before="0" w:beforeAutospacing="0" w:after="0" w:afterAutospacing="0"/>
        <w:jc w:val="both"/>
        <w:rPr>
          <w:rFonts w:ascii="Cambria" w:eastAsia="Arial Unicode MS" w:hAnsi="Cambria"/>
          <w:color w:val="000000"/>
          <w:sz w:val="20"/>
          <w:szCs w:val="20"/>
          <w:bdr w:val="nil"/>
          <w:lang w:val="es-VE" w:eastAsia="x-none"/>
        </w:rPr>
      </w:pPr>
    </w:p>
    <w:p w14:paraId="1C52434C" w14:textId="77777777" w:rsidR="0011043D" w:rsidRDefault="0011043D" w:rsidP="0011614F">
      <w:pPr>
        <w:pStyle w:val="xmsolistparagraph"/>
        <w:spacing w:before="0" w:beforeAutospacing="0" w:after="0" w:afterAutospacing="0"/>
        <w:jc w:val="both"/>
        <w:rPr>
          <w:rFonts w:ascii="Cambria" w:eastAsia="Arial Unicode MS" w:hAnsi="Cambria"/>
          <w:color w:val="000000"/>
          <w:sz w:val="20"/>
          <w:szCs w:val="20"/>
          <w:bdr w:val="nil"/>
          <w:lang w:val="es-VE" w:eastAsia="x-none"/>
        </w:rPr>
      </w:pPr>
    </w:p>
    <w:p w14:paraId="51457744" w14:textId="626D6245" w:rsidR="00DB16FD" w:rsidRDefault="0011614F" w:rsidP="00DB16FD">
      <w:pPr>
        <w:tabs>
          <w:tab w:val="left" w:pos="720"/>
        </w:tabs>
        <w:spacing w:after="0" w:line="240" w:lineRule="auto"/>
        <w:jc w:val="both"/>
        <w:rPr>
          <w:rFonts w:ascii="Cambria" w:eastAsia="Times New Roman" w:hAnsi="Cambria"/>
          <w:sz w:val="20"/>
          <w:szCs w:val="20"/>
          <w:lang w:val="es-AR" w:eastAsia="es-ES_tradnl"/>
        </w:rPr>
      </w:pPr>
      <w:r>
        <w:rPr>
          <w:rFonts w:ascii="Cambria" w:eastAsia="Times New Roman" w:hAnsi="Cambria"/>
          <w:sz w:val="20"/>
          <w:szCs w:val="20"/>
          <w:lang w:val="es-AR" w:eastAsia="es-ES_tradnl"/>
        </w:rPr>
        <w:tab/>
      </w:r>
      <w:r w:rsidRPr="0011614F">
        <w:rPr>
          <w:rFonts w:ascii="Cambria" w:eastAsia="Times New Roman" w:hAnsi="Cambria"/>
          <w:sz w:val="20"/>
          <w:szCs w:val="20"/>
          <w:lang w:val="es-AR" w:eastAsia="es-ES_tradnl"/>
        </w:rPr>
        <w:t>El Estado ratificó la Convención Americana sobre Derechos Humanos el 28 de diciembre de 1977 y aceptó la competencia contenciosa de la Corte el 24 de julio de 1984</w:t>
      </w:r>
      <w:r>
        <w:rPr>
          <w:rFonts w:ascii="Cambria" w:eastAsia="Times New Roman" w:hAnsi="Cambria"/>
          <w:sz w:val="20"/>
          <w:szCs w:val="20"/>
          <w:lang w:val="es-AR" w:eastAsia="es-ES_tradnl"/>
        </w:rPr>
        <w:t>.</w:t>
      </w:r>
    </w:p>
    <w:p w14:paraId="0BD0C049" w14:textId="77777777" w:rsidR="0011614F" w:rsidRPr="0011614F" w:rsidRDefault="0011614F" w:rsidP="00DB16FD">
      <w:pPr>
        <w:tabs>
          <w:tab w:val="left" w:pos="720"/>
        </w:tabs>
        <w:spacing w:after="0" w:line="240" w:lineRule="auto"/>
        <w:jc w:val="both"/>
        <w:rPr>
          <w:rFonts w:ascii="Cambria" w:hAnsi="Cambria" w:cs="Calibri"/>
          <w:color w:val="000000"/>
          <w:sz w:val="20"/>
          <w:szCs w:val="20"/>
          <w:lang w:val="es-BO"/>
        </w:rPr>
      </w:pPr>
    </w:p>
    <w:p w14:paraId="70FD4C48" w14:textId="1647C144" w:rsidR="00DB16FD" w:rsidRPr="00586156" w:rsidRDefault="00DB16FD" w:rsidP="00DB16FD">
      <w:pPr>
        <w:spacing w:after="0" w:line="240" w:lineRule="auto"/>
        <w:ind w:firstLine="720"/>
        <w:jc w:val="both"/>
        <w:rPr>
          <w:rFonts w:ascii="Cambria" w:hAnsi="Cambria" w:cs="Calibri"/>
          <w:color w:val="000000"/>
          <w:sz w:val="20"/>
          <w:szCs w:val="20"/>
          <w:lang w:val="es-AR"/>
        </w:rPr>
      </w:pPr>
      <w:r w:rsidRPr="00586156">
        <w:rPr>
          <w:rFonts w:ascii="Cambria" w:hAnsi="Cambria" w:cs="Calibri"/>
          <w:color w:val="000000"/>
          <w:sz w:val="20"/>
          <w:szCs w:val="20"/>
          <w:lang w:val="es-AR"/>
        </w:rPr>
        <w:t>La Comisión ha designado al Comisionad</w:t>
      </w:r>
      <w:r w:rsidR="0011614F">
        <w:rPr>
          <w:rFonts w:ascii="Cambria" w:hAnsi="Cambria" w:cs="Calibri"/>
          <w:color w:val="000000"/>
          <w:sz w:val="20"/>
          <w:szCs w:val="20"/>
          <w:lang w:val="es-AR"/>
        </w:rPr>
        <w:t>o</w:t>
      </w:r>
      <w:r w:rsidRPr="00586156">
        <w:rPr>
          <w:rFonts w:ascii="Cambria" w:hAnsi="Cambria" w:cs="Calibri"/>
          <w:color w:val="000000"/>
          <w:sz w:val="20"/>
          <w:szCs w:val="20"/>
          <w:lang w:val="es-AR"/>
        </w:rPr>
        <w:t xml:space="preserve"> </w:t>
      </w:r>
      <w:r w:rsidR="0011614F" w:rsidRPr="0011614F">
        <w:rPr>
          <w:rFonts w:ascii="Cambria" w:hAnsi="Cambria" w:cs="Calibri"/>
          <w:color w:val="000000"/>
          <w:sz w:val="20"/>
          <w:szCs w:val="20"/>
          <w:lang w:val="es-AR"/>
        </w:rPr>
        <w:t>Edgar Stuardo Ralón Orellana</w:t>
      </w:r>
      <w:r w:rsidR="0011614F">
        <w:rPr>
          <w:rFonts w:ascii="Cambria" w:hAnsi="Cambria" w:cs="Calibri"/>
          <w:color w:val="000000"/>
          <w:sz w:val="20"/>
          <w:szCs w:val="20"/>
          <w:lang w:val="es-AR"/>
        </w:rPr>
        <w:t xml:space="preserve"> </w:t>
      </w:r>
      <w:r w:rsidRPr="00586156">
        <w:rPr>
          <w:rFonts w:ascii="Cambria" w:hAnsi="Cambria" w:cs="Calibri"/>
          <w:color w:val="000000"/>
          <w:sz w:val="20"/>
          <w:szCs w:val="20"/>
          <w:lang w:val="es-AR"/>
        </w:rPr>
        <w:t>como su delegad</w:t>
      </w:r>
      <w:r w:rsidR="0011614F">
        <w:rPr>
          <w:rFonts w:ascii="Cambria" w:hAnsi="Cambria" w:cs="Calibri"/>
          <w:color w:val="000000"/>
          <w:sz w:val="20"/>
          <w:szCs w:val="20"/>
          <w:lang w:val="es-AR"/>
        </w:rPr>
        <w:t>o</w:t>
      </w:r>
      <w:r w:rsidRPr="00586156">
        <w:rPr>
          <w:rFonts w:ascii="Cambria" w:hAnsi="Cambria" w:cs="Calibri"/>
          <w:color w:val="000000"/>
          <w:sz w:val="20"/>
          <w:szCs w:val="20"/>
          <w:lang w:val="es-AR"/>
        </w:rPr>
        <w:t xml:space="preserve">. Asimismo, </w:t>
      </w:r>
      <w:r w:rsidR="003C40C9" w:rsidRPr="00586156">
        <w:rPr>
          <w:rFonts w:ascii="Cambria" w:hAnsi="Cambria" w:cs="Calibri"/>
          <w:color w:val="000000"/>
          <w:sz w:val="20"/>
          <w:szCs w:val="20"/>
          <w:lang w:val="es-AR"/>
        </w:rPr>
        <w:t>Jorge Humberto Meza Flores</w:t>
      </w:r>
      <w:r w:rsidRPr="00586156">
        <w:rPr>
          <w:rFonts w:ascii="Cambria" w:hAnsi="Cambria" w:cs="Calibri"/>
          <w:color w:val="000000"/>
          <w:sz w:val="20"/>
          <w:szCs w:val="20"/>
          <w:lang w:val="es-AR"/>
        </w:rPr>
        <w:t>, Secretari</w:t>
      </w:r>
      <w:r w:rsidR="003C40C9">
        <w:rPr>
          <w:rFonts w:ascii="Cambria" w:hAnsi="Cambria" w:cs="Calibri"/>
          <w:color w:val="000000"/>
          <w:sz w:val="20"/>
          <w:szCs w:val="20"/>
          <w:lang w:val="es-AR"/>
        </w:rPr>
        <w:t>o</w:t>
      </w:r>
      <w:r w:rsidRPr="00586156">
        <w:rPr>
          <w:rFonts w:ascii="Cambria" w:hAnsi="Cambria" w:cs="Calibri"/>
          <w:color w:val="000000"/>
          <w:sz w:val="20"/>
          <w:szCs w:val="20"/>
          <w:lang w:val="es-AR"/>
        </w:rPr>
        <w:t xml:space="preserve"> Ejecutiv</w:t>
      </w:r>
      <w:r w:rsidR="003C40C9">
        <w:rPr>
          <w:rFonts w:ascii="Cambria" w:hAnsi="Cambria" w:cs="Calibri"/>
          <w:color w:val="000000"/>
          <w:sz w:val="20"/>
          <w:szCs w:val="20"/>
          <w:lang w:val="es-AR"/>
        </w:rPr>
        <w:t>o</w:t>
      </w:r>
      <w:r w:rsidRPr="00586156">
        <w:rPr>
          <w:rFonts w:ascii="Cambria" w:hAnsi="Cambria" w:cs="Calibri"/>
          <w:color w:val="000000"/>
          <w:sz w:val="20"/>
          <w:szCs w:val="20"/>
          <w:lang w:val="es-AR"/>
        </w:rPr>
        <w:t xml:space="preserve"> Adjunt</w:t>
      </w:r>
      <w:r w:rsidR="003C40C9">
        <w:rPr>
          <w:rFonts w:ascii="Cambria" w:hAnsi="Cambria" w:cs="Calibri"/>
          <w:color w:val="000000"/>
          <w:sz w:val="20"/>
          <w:szCs w:val="20"/>
          <w:lang w:val="es-AR"/>
        </w:rPr>
        <w:t>o</w:t>
      </w:r>
      <w:r w:rsidRPr="00586156">
        <w:rPr>
          <w:rFonts w:ascii="Cambria" w:hAnsi="Cambria" w:cs="Calibri"/>
          <w:color w:val="000000"/>
          <w:sz w:val="20"/>
          <w:szCs w:val="20"/>
          <w:lang w:val="es-AR"/>
        </w:rPr>
        <w:t xml:space="preserve">, </w:t>
      </w:r>
      <w:r w:rsidR="003C40C9">
        <w:rPr>
          <w:rFonts w:ascii="Cambria" w:hAnsi="Cambria" w:cs="Calibri"/>
          <w:color w:val="000000"/>
          <w:sz w:val="20"/>
          <w:szCs w:val="20"/>
          <w:lang w:val="es-AR"/>
        </w:rPr>
        <w:t>y Daniela Saavedra Murillo</w:t>
      </w:r>
      <w:r w:rsidRPr="00586156">
        <w:rPr>
          <w:rFonts w:ascii="Cambria" w:hAnsi="Cambria" w:cs="Calibri"/>
          <w:color w:val="000000"/>
          <w:sz w:val="20"/>
          <w:szCs w:val="20"/>
          <w:lang w:val="es-AR"/>
        </w:rPr>
        <w:t xml:space="preserve">, especialista de la Secretaría Ejecutiva de la CIDH, actuarán como asesoras y asesores legales. </w:t>
      </w:r>
    </w:p>
    <w:p w14:paraId="40646B87" w14:textId="77777777" w:rsidR="00DB16FD" w:rsidRPr="00586156" w:rsidRDefault="00DB16FD" w:rsidP="00DB16FD">
      <w:pPr>
        <w:spacing w:after="0" w:line="240" w:lineRule="auto"/>
        <w:ind w:firstLine="720"/>
        <w:jc w:val="both"/>
        <w:rPr>
          <w:rFonts w:ascii="Cambria" w:hAnsi="Cambria" w:cs="Calibri"/>
          <w:color w:val="000000"/>
          <w:sz w:val="20"/>
          <w:szCs w:val="20"/>
          <w:lang w:val="es-AR"/>
        </w:rPr>
      </w:pPr>
    </w:p>
    <w:p w14:paraId="31D7FB3A" w14:textId="4387F959" w:rsidR="00221BFC" w:rsidRPr="00586156" w:rsidRDefault="00DB16FD" w:rsidP="00221BFC">
      <w:pPr>
        <w:spacing w:after="0" w:line="240" w:lineRule="auto"/>
        <w:ind w:firstLine="720"/>
        <w:jc w:val="both"/>
        <w:rPr>
          <w:rFonts w:ascii="Cambria" w:hAnsi="Cambria" w:cs="Calibri"/>
          <w:color w:val="000000"/>
          <w:sz w:val="20"/>
          <w:szCs w:val="20"/>
          <w:lang w:val="es-AR"/>
        </w:rPr>
      </w:pPr>
      <w:r w:rsidRPr="00586156">
        <w:rPr>
          <w:rFonts w:ascii="Cambria" w:hAnsi="Cambria" w:cs="Calibri"/>
          <w:color w:val="000000"/>
          <w:sz w:val="20"/>
          <w:szCs w:val="20"/>
          <w:lang w:val="es-AR"/>
        </w:rPr>
        <w:t xml:space="preserve">De conformidad con el artículo 35 del Reglamento de la Corte Interamericana, la Comisión adjunta copia del Informe de Fondo No. </w:t>
      </w:r>
      <w:r w:rsidR="0011614F">
        <w:rPr>
          <w:rFonts w:ascii="Cambria" w:hAnsi="Cambria" w:cs="Calibri"/>
          <w:color w:val="000000"/>
          <w:sz w:val="20"/>
          <w:szCs w:val="20"/>
          <w:lang w:val="es-AR"/>
        </w:rPr>
        <w:t>447</w:t>
      </w:r>
      <w:r w:rsidRPr="00586156">
        <w:rPr>
          <w:rFonts w:ascii="Cambria" w:hAnsi="Cambria" w:cs="Calibri"/>
          <w:color w:val="000000"/>
          <w:sz w:val="20"/>
          <w:szCs w:val="20"/>
          <w:lang w:val="es-AR"/>
        </w:rPr>
        <w:t>/2</w:t>
      </w:r>
      <w:r w:rsidR="00885055" w:rsidRPr="00586156">
        <w:rPr>
          <w:rFonts w:ascii="Cambria" w:hAnsi="Cambria" w:cs="Calibri"/>
          <w:color w:val="000000"/>
          <w:sz w:val="20"/>
          <w:szCs w:val="20"/>
          <w:lang w:val="es-AR"/>
        </w:rPr>
        <w:t>1</w:t>
      </w:r>
      <w:r w:rsidRPr="00586156">
        <w:rPr>
          <w:rFonts w:ascii="Cambria" w:hAnsi="Cambria" w:cs="Calibri"/>
          <w:color w:val="000000"/>
          <w:sz w:val="20"/>
          <w:szCs w:val="20"/>
          <w:lang w:val="es-AR"/>
        </w:rPr>
        <w:t xml:space="preserve"> elaborado en observancia del artículo 50 de la Convención, así como copia de la totalidad del expediente ante la Comisión Interamericana (Apéndice I) y los anexos utilizados en la elaboración del </w:t>
      </w:r>
      <w:r w:rsidR="00157FF8" w:rsidRPr="00586156">
        <w:rPr>
          <w:rFonts w:ascii="Cambria" w:hAnsi="Cambria" w:cs="Calibri"/>
          <w:color w:val="000000"/>
          <w:sz w:val="20"/>
          <w:szCs w:val="20"/>
          <w:lang w:val="es-AR"/>
        </w:rPr>
        <w:t>I</w:t>
      </w:r>
      <w:r w:rsidRPr="00586156">
        <w:rPr>
          <w:rFonts w:ascii="Cambria" w:hAnsi="Cambria" w:cs="Calibri"/>
          <w:color w:val="000000"/>
          <w:sz w:val="20"/>
          <w:szCs w:val="20"/>
          <w:lang w:val="es-AR"/>
        </w:rPr>
        <w:t>nforme</w:t>
      </w:r>
      <w:r w:rsidR="00925735" w:rsidRPr="00586156">
        <w:rPr>
          <w:rFonts w:ascii="Cambria" w:hAnsi="Cambria" w:cs="Calibri"/>
          <w:color w:val="000000"/>
          <w:sz w:val="20"/>
          <w:szCs w:val="20"/>
          <w:lang w:val="es-AR"/>
        </w:rPr>
        <w:t xml:space="preserve"> No.</w:t>
      </w:r>
      <w:r w:rsidRPr="00586156">
        <w:rPr>
          <w:rFonts w:ascii="Cambria" w:hAnsi="Cambria" w:cs="Calibri"/>
          <w:color w:val="000000"/>
          <w:sz w:val="20"/>
          <w:szCs w:val="20"/>
          <w:lang w:val="es-AR"/>
        </w:rPr>
        <w:t xml:space="preserve"> </w:t>
      </w:r>
      <w:r w:rsidR="00F1323F">
        <w:rPr>
          <w:rFonts w:ascii="Cambria" w:hAnsi="Cambria" w:cs="Calibri"/>
          <w:color w:val="000000"/>
          <w:sz w:val="20"/>
          <w:szCs w:val="20"/>
          <w:lang w:val="es-AR"/>
        </w:rPr>
        <w:t>447</w:t>
      </w:r>
      <w:r w:rsidRPr="00586156">
        <w:rPr>
          <w:rFonts w:ascii="Cambria" w:hAnsi="Cambria" w:cs="Calibri"/>
          <w:color w:val="000000"/>
          <w:sz w:val="20"/>
          <w:szCs w:val="20"/>
          <w:lang w:val="es-AR"/>
        </w:rPr>
        <w:t>/2</w:t>
      </w:r>
      <w:r w:rsidR="00221BFC" w:rsidRPr="00586156">
        <w:rPr>
          <w:rFonts w:ascii="Cambria" w:hAnsi="Cambria" w:cs="Calibri"/>
          <w:color w:val="000000"/>
          <w:sz w:val="20"/>
          <w:szCs w:val="20"/>
          <w:lang w:val="es-AR"/>
        </w:rPr>
        <w:t>1</w:t>
      </w:r>
      <w:r w:rsidRPr="00586156">
        <w:rPr>
          <w:rFonts w:ascii="Cambria" w:hAnsi="Cambria" w:cs="Calibri"/>
          <w:color w:val="000000"/>
          <w:sz w:val="20"/>
          <w:szCs w:val="20"/>
          <w:lang w:val="es-AR"/>
        </w:rPr>
        <w:t xml:space="preserve"> (Anexos). </w:t>
      </w:r>
    </w:p>
    <w:p w14:paraId="7CCFDA70" w14:textId="77777777" w:rsidR="00221BFC" w:rsidRPr="00586156" w:rsidRDefault="00221BFC" w:rsidP="00221BFC">
      <w:pPr>
        <w:spacing w:after="0" w:line="240" w:lineRule="auto"/>
        <w:ind w:firstLine="720"/>
        <w:jc w:val="both"/>
        <w:rPr>
          <w:rFonts w:ascii="Cambria" w:hAnsi="Cambria" w:cs="Calibri"/>
          <w:color w:val="000000"/>
          <w:sz w:val="20"/>
          <w:szCs w:val="20"/>
          <w:lang w:val="es-AR"/>
        </w:rPr>
      </w:pPr>
    </w:p>
    <w:p w14:paraId="48F24D05" w14:textId="46F35E39" w:rsidR="00221BFC" w:rsidRPr="00586156" w:rsidRDefault="00221BFC" w:rsidP="00221BFC">
      <w:pPr>
        <w:spacing w:after="0" w:line="240" w:lineRule="auto"/>
        <w:ind w:firstLine="720"/>
        <w:jc w:val="both"/>
        <w:rPr>
          <w:rFonts w:ascii="Cambria" w:hAnsi="Cambria"/>
          <w:sz w:val="20"/>
          <w:szCs w:val="20"/>
          <w:lang w:val="es-AR"/>
        </w:rPr>
      </w:pPr>
      <w:r w:rsidRPr="00586156">
        <w:rPr>
          <w:rFonts w:ascii="Cambria" w:hAnsi="Cambria"/>
          <w:sz w:val="20"/>
          <w:szCs w:val="20"/>
          <w:lang w:val="es-AR"/>
        </w:rPr>
        <w:t xml:space="preserve">Dicho Informe de </w:t>
      </w:r>
      <w:r w:rsidR="002F02A7">
        <w:rPr>
          <w:rFonts w:ascii="Cambria" w:hAnsi="Cambria"/>
          <w:sz w:val="20"/>
          <w:szCs w:val="20"/>
          <w:lang w:val="es-AR"/>
        </w:rPr>
        <w:t xml:space="preserve">Admisibilidad y </w:t>
      </w:r>
      <w:r w:rsidRPr="00586156">
        <w:rPr>
          <w:rFonts w:ascii="Cambria" w:hAnsi="Cambria"/>
          <w:sz w:val="20"/>
          <w:szCs w:val="20"/>
          <w:lang w:val="es-AR"/>
        </w:rPr>
        <w:t xml:space="preserve">Fondo fue notificado al Estado el </w:t>
      </w:r>
      <w:r w:rsidR="00B62157">
        <w:rPr>
          <w:rFonts w:ascii="Cambria" w:hAnsi="Cambria"/>
          <w:sz w:val="20"/>
          <w:szCs w:val="20"/>
          <w:lang w:val="es-AR"/>
        </w:rPr>
        <w:t>7</w:t>
      </w:r>
      <w:r w:rsidRPr="00586156">
        <w:rPr>
          <w:rFonts w:ascii="Cambria" w:hAnsi="Cambria"/>
          <w:sz w:val="20"/>
          <w:szCs w:val="20"/>
          <w:lang w:val="es-AR"/>
        </w:rPr>
        <w:t xml:space="preserve"> de </w:t>
      </w:r>
      <w:r w:rsidR="0011614F">
        <w:rPr>
          <w:rFonts w:ascii="Cambria" w:hAnsi="Cambria"/>
          <w:sz w:val="20"/>
          <w:szCs w:val="20"/>
          <w:lang w:val="es-AR"/>
        </w:rPr>
        <w:t>febrero</w:t>
      </w:r>
      <w:r w:rsidRPr="00586156">
        <w:rPr>
          <w:rFonts w:ascii="Cambria" w:hAnsi="Cambria"/>
          <w:sz w:val="20"/>
          <w:szCs w:val="20"/>
          <w:lang w:val="es-AR"/>
        </w:rPr>
        <w:t xml:space="preserve"> de 202</w:t>
      </w:r>
      <w:r w:rsidR="009F3D3F" w:rsidRPr="00586156">
        <w:rPr>
          <w:rFonts w:ascii="Cambria" w:hAnsi="Cambria"/>
          <w:sz w:val="20"/>
          <w:szCs w:val="20"/>
          <w:lang w:val="es-AR"/>
        </w:rPr>
        <w:t>2</w:t>
      </w:r>
      <w:r w:rsidRPr="00586156">
        <w:rPr>
          <w:rFonts w:ascii="Cambria" w:hAnsi="Cambria"/>
          <w:sz w:val="20"/>
          <w:szCs w:val="20"/>
          <w:lang w:val="es-AR"/>
        </w:rPr>
        <w:t xml:space="preserve">, otorgándole un plazo de dos meses para informar sobre el cumplimiento de las recomendaciones. </w:t>
      </w:r>
    </w:p>
    <w:p w14:paraId="635F9BF8" w14:textId="77777777" w:rsidR="00857C5A" w:rsidRPr="00586156" w:rsidRDefault="00857C5A" w:rsidP="002B6B1F">
      <w:pPr>
        <w:autoSpaceDE w:val="0"/>
        <w:autoSpaceDN w:val="0"/>
        <w:adjustRightInd w:val="0"/>
        <w:spacing w:after="0" w:line="240" w:lineRule="auto"/>
        <w:jc w:val="both"/>
        <w:rPr>
          <w:rFonts w:ascii="Cambria" w:eastAsiaTheme="minorHAnsi" w:hAnsi="Cambria"/>
          <w:sz w:val="20"/>
          <w:szCs w:val="20"/>
          <w:lang w:val="es-AR"/>
        </w:rPr>
      </w:pPr>
    </w:p>
    <w:p w14:paraId="29224E70" w14:textId="65F0E132" w:rsidR="00857C5A" w:rsidRPr="00586156" w:rsidRDefault="00A83C31" w:rsidP="00721CE6">
      <w:pPr>
        <w:autoSpaceDE w:val="0"/>
        <w:autoSpaceDN w:val="0"/>
        <w:adjustRightInd w:val="0"/>
        <w:spacing w:after="0" w:line="240" w:lineRule="auto"/>
        <w:ind w:firstLine="709"/>
        <w:jc w:val="both"/>
        <w:rPr>
          <w:rFonts w:ascii="Cambria" w:eastAsiaTheme="minorHAnsi" w:hAnsi="Cambria"/>
          <w:sz w:val="20"/>
          <w:szCs w:val="20"/>
          <w:lang w:val="es-AR"/>
        </w:rPr>
      </w:pPr>
      <w:r>
        <w:rPr>
          <w:rFonts w:ascii="Cambria" w:eastAsiaTheme="minorHAnsi" w:hAnsi="Cambria"/>
          <w:sz w:val="20"/>
          <w:szCs w:val="20"/>
          <w:lang w:val="es-AR"/>
        </w:rPr>
        <w:t xml:space="preserve">Tras el otorgamiento de </w:t>
      </w:r>
      <w:r w:rsidR="00654EC6">
        <w:rPr>
          <w:rFonts w:ascii="Cambria" w:eastAsiaTheme="minorHAnsi" w:hAnsi="Cambria"/>
          <w:sz w:val="20"/>
          <w:szCs w:val="20"/>
          <w:lang w:val="es-AR"/>
        </w:rPr>
        <w:t>cinco</w:t>
      </w:r>
      <w:r>
        <w:rPr>
          <w:rFonts w:ascii="Cambria" w:eastAsiaTheme="minorHAnsi" w:hAnsi="Cambria"/>
          <w:sz w:val="20"/>
          <w:szCs w:val="20"/>
          <w:lang w:val="es-AR"/>
        </w:rPr>
        <w:t xml:space="preserve"> prórrogas, </w:t>
      </w:r>
      <w:r w:rsidR="00857C5A" w:rsidRPr="00586156">
        <w:rPr>
          <w:rFonts w:ascii="Cambria" w:eastAsiaTheme="minorHAnsi" w:hAnsi="Cambria"/>
          <w:sz w:val="20"/>
          <w:szCs w:val="20"/>
          <w:lang w:val="es-AR"/>
        </w:rPr>
        <w:t xml:space="preserve">la Comisión valoró </w:t>
      </w:r>
      <w:r w:rsidR="00166E13" w:rsidRPr="00586156">
        <w:rPr>
          <w:rFonts w:ascii="Cambria" w:eastAsiaTheme="minorHAnsi" w:hAnsi="Cambria"/>
          <w:sz w:val="20"/>
          <w:szCs w:val="20"/>
          <w:lang w:val="es-AR"/>
        </w:rPr>
        <w:t>el incumplimiento</w:t>
      </w:r>
      <w:r w:rsidR="00157FF8" w:rsidRPr="00586156">
        <w:rPr>
          <w:rFonts w:ascii="Cambria" w:eastAsiaTheme="minorHAnsi" w:hAnsi="Cambria"/>
          <w:sz w:val="20"/>
          <w:szCs w:val="20"/>
          <w:lang w:val="es-AR"/>
        </w:rPr>
        <w:t xml:space="preserve"> de las recomendaciones enunciadas en el Informe </w:t>
      </w:r>
      <w:r w:rsidR="006747B0">
        <w:rPr>
          <w:rFonts w:ascii="Cambria" w:eastAsiaTheme="minorHAnsi" w:hAnsi="Cambria"/>
          <w:sz w:val="20"/>
          <w:szCs w:val="20"/>
          <w:lang w:val="es-AR"/>
        </w:rPr>
        <w:t>447</w:t>
      </w:r>
      <w:r w:rsidR="00157FF8" w:rsidRPr="00586156">
        <w:rPr>
          <w:rFonts w:ascii="Cambria" w:eastAsiaTheme="minorHAnsi" w:hAnsi="Cambria"/>
          <w:sz w:val="20"/>
          <w:szCs w:val="20"/>
          <w:lang w:val="es-AR"/>
        </w:rPr>
        <w:t>/21</w:t>
      </w:r>
      <w:r>
        <w:rPr>
          <w:rFonts w:ascii="Cambria" w:eastAsiaTheme="minorHAnsi" w:hAnsi="Cambria"/>
          <w:sz w:val="20"/>
          <w:szCs w:val="20"/>
          <w:lang w:val="es-AR"/>
        </w:rPr>
        <w:t xml:space="preserve"> </w:t>
      </w:r>
      <w:r w:rsidRPr="00586156">
        <w:rPr>
          <w:rFonts w:ascii="Cambria" w:eastAsiaTheme="minorHAnsi" w:hAnsi="Cambria"/>
          <w:sz w:val="20"/>
          <w:szCs w:val="20"/>
          <w:lang w:val="es-AR"/>
        </w:rPr>
        <w:t xml:space="preserve">por parte del Estado </w:t>
      </w:r>
      <w:r>
        <w:rPr>
          <w:rFonts w:ascii="Cambria" w:eastAsiaTheme="minorHAnsi" w:hAnsi="Cambria"/>
          <w:sz w:val="20"/>
          <w:szCs w:val="20"/>
          <w:lang w:val="es-AR"/>
        </w:rPr>
        <w:t>ecuatoriano</w:t>
      </w:r>
      <w:r w:rsidR="0037432D">
        <w:rPr>
          <w:rFonts w:ascii="Cambria" w:eastAsiaTheme="minorHAnsi" w:hAnsi="Cambria"/>
          <w:sz w:val="20"/>
          <w:szCs w:val="20"/>
          <w:lang w:val="es-AR"/>
        </w:rPr>
        <w:t>,</w:t>
      </w:r>
      <w:r w:rsidR="00157FF8" w:rsidRPr="00586156">
        <w:rPr>
          <w:rFonts w:ascii="Cambria" w:eastAsiaTheme="minorHAnsi" w:hAnsi="Cambria"/>
          <w:sz w:val="20"/>
          <w:szCs w:val="20"/>
          <w:lang w:val="es-AR"/>
        </w:rPr>
        <w:t xml:space="preserve"> la necesidad de obtención de justicia en el caso individual y </w:t>
      </w:r>
      <w:r w:rsidR="007420C7" w:rsidRPr="00586156">
        <w:rPr>
          <w:rFonts w:ascii="Cambria" w:eastAsiaTheme="minorHAnsi" w:hAnsi="Cambria"/>
          <w:sz w:val="20"/>
          <w:szCs w:val="20"/>
          <w:lang w:val="es-AR"/>
        </w:rPr>
        <w:t>los</w:t>
      </w:r>
      <w:r w:rsidR="00157FF8" w:rsidRPr="00586156">
        <w:rPr>
          <w:rFonts w:ascii="Cambria" w:eastAsiaTheme="minorHAnsi" w:hAnsi="Cambria"/>
          <w:sz w:val="20"/>
          <w:szCs w:val="20"/>
          <w:lang w:val="es-AR"/>
        </w:rPr>
        <w:t xml:space="preserve"> daño</w:t>
      </w:r>
      <w:r w:rsidR="007420C7" w:rsidRPr="00586156">
        <w:rPr>
          <w:rFonts w:ascii="Cambria" w:eastAsiaTheme="minorHAnsi" w:hAnsi="Cambria"/>
          <w:sz w:val="20"/>
          <w:szCs w:val="20"/>
          <w:lang w:val="es-AR"/>
        </w:rPr>
        <w:t>s</w:t>
      </w:r>
      <w:r w:rsidR="00157FF8" w:rsidRPr="00586156">
        <w:rPr>
          <w:rFonts w:ascii="Cambria" w:eastAsiaTheme="minorHAnsi" w:hAnsi="Cambria"/>
          <w:sz w:val="20"/>
          <w:szCs w:val="20"/>
          <w:lang w:val="es-AR"/>
        </w:rPr>
        <w:t xml:space="preserve"> irreparable</w:t>
      </w:r>
      <w:r w:rsidR="007420C7" w:rsidRPr="00586156">
        <w:rPr>
          <w:rFonts w:ascii="Cambria" w:eastAsiaTheme="minorHAnsi" w:hAnsi="Cambria"/>
          <w:sz w:val="20"/>
          <w:szCs w:val="20"/>
          <w:lang w:val="es-AR"/>
        </w:rPr>
        <w:t>s</w:t>
      </w:r>
      <w:r w:rsidR="00157FF8" w:rsidRPr="00586156">
        <w:rPr>
          <w:rFonts w:ascii="Cambria" w:eastAsiaTheme="minorHAnsi" w:hAnsi="Cambria"/>
          <w:sz w:val="20"/>
          <w:szCs w:val="20"/>
          <w:lang w:val="es-AR"/>
        </w:rPr>
        <w:t xml:space="preserve"> </w:t>
      </w:r>
      <w:r w:rsidR="007420C7" w:rsidRPr="00586156">
        <w:rPr>
          <w:rFonts w:ascii="Cambria" w:eastAsiaTheme="minorHAnsi" w:hAnsi="Cambria"/>
          <w:sz w:val="20"/>
          <w:szCs w:val="20"/>
          <w:lang w:val="es-AR"/>
        </w:rPr>
        <w:t xml:space="preserve">que el paso del tiempo ha venido provocando en las victimas del presente caso. </w:t>
      </w:r>
      <w:r w:rsidR="00942DF2" w:rsidRPr="00586156">
        <w:rPr>
          <w:rFonts w:ascii="Cambria" w:eastAsiaTheme="minorHAnsi" w:hAnsi="Cambria"/>
          <w:sz w:val="20"/>
          <w:szCs w:val="20"/>
          <w:lang w:val="es-AR"/>
        </w:rPr>
        <w:t xml:space="preserve">Por ello, y teniendo en cuenta la </w:t>
      </w:r>
      <w:r w:rsidR="00166E13" w:rsidRPr="00586156">
        <w:rPr>
          <w:rFonts w:ascii="Cambria" w:eastAsiaTheme="minorHAnsi" w:hAnsi="Cambria"/>
          <w:sz w:val="20"/>
          <w:szCs w:val="20"/>
          <w:lang w:val="es-AR"/>
        </w:rPr>
        <w:t xml:space="preserve">ausencia de medidas para implementar las recomendaciones planteadas por la </w:t>
      </w:r>
      <w:r w:rsidR="00502AD8" w:rsidRPr="00586156">
        <w:rPr>
          <w:rFonts w:ascii="Cambria" w:eastAsiaTheme="minorHAnsi" w:hAnsi="Cambria"/>
          <w:sz w:val="20"/>
          <w:szCs w:val="20"/>
          <w:lang w:val="es-AR"/>
        </w:rPr>
        <w:t>Comisión</w:t>
      </w:r>
      <w:r w:rsidR="008A0316" w:rsidRPr="00586156">
        <w:rPr>
          <w:rFonts w:ascii="Cambria" w:eastAsiaTheme="minorHAnsi" w:hAnsi="Cambria"/>
          <w:sz w:val="20"/>
          <w:szCs w:val="20"/>
          <w:lang w:val="es-AR"/>
        </w:rPr>
        <w:t xml:space="preserve">, la necesidad de justicia y reparación integral para las </w:t>
      </w:r>
      <w:r w:rsidR="00502AD8" w:rsidRPr="00586156">
        <w:rPr>
          <w:rFonts w:ascii="Cambria" w:eastAsiaTheme="minorHAnsi" w:hAnsi="Cambria"/>
          <w:sz w:val="20"/>
          <w:szCs w:val="20"/>
          <w:lang w:val="es-AR"/>
        </w:rPr>
        <w:t>víctimas</w:t>
      </w:r>
      <w:r w:rsidR="008A0316" w:rsidRPr="00586156">
        <w:rPr>
          <w:rFonts w:ascii="Cambria" w:eastAsiaTheme="minorHAnsi" w:hAnsi="Cambria"/>
          <w:sz w:val="20"/>
          <w:szCs w:val="20"/>
          <w:lang w:val="es-AR"/>
        </w:rPr>
        <w:t xml:space="preserve"> </w:t>
      </w:r>
      <w:r w:rsidR="00502AD8" w:rsidRPr="00586156">
        <w:rPr>
          <w:rFonts w:ascii="Cambria" w:eastAsiaTheme="minorHAnsi" w:hAnsi="Cambria"/>
          <w:sz w:val="20"/>
          <w:szCs w:val="20"/>
          <w:lang w:val="es-AR"/>
        </w:rPr>
        <w:t>y la posición expresada por la parte peticionaria</w:t>
      </w:r>
      <w:r w:rsidR="00CD6B51" w:rsidRPr="00586156">
        <w:rPr>
          <w:rFonts w:ascii="Cambria" w:eastAsiaTheme="minorHAnsi" w:hAnsi="Cambria"/>
          <w:sz w:val="20"/>
          <w:szCs w:val="20"/>
          <w:lang w:val="es-AR"/>
        </w:rPr>
        <w:t xml:space="preserve">, la Comisión Interamericana decidió someter el presente caso a la jurisdicción de la Corte. </w:t>
      </w:r>
    </w:p>
    <w:p w14:paraId="7117EFD5" w14:textId="77777777" w:rsidR="00A977F4" w:rsidRPr="00586156" w:rsidRDefault="00A977F4" w:rsidP="002B6B1F">
      <w:pPr>
        <w:autoSpaceDE w:val="0"/>
        <w:autoSpaceDN w:val="0"/>
        <w:adjustRightInd w:val="0"/>
        <w:spacing w:after="0" w:line="240" w:lineRule="auto"/>
        <w:jc w:val="both"/>
        <w:rPr>
          <w:rFonts w:ascii="Cambria" w:eastAsiaTheme="minorHAnsi" w:hAnsi="Cambria"/>
          <w:sz w:val="20"/>
          <w:szCs w:val="20"/>
          <w:lang w:val="es-AR"/>
        </w:rPr>
      </w:pPr>
    </w:p>
    <w:p w14:paraId="2ACC0C15" w14:textId="77A1C4ED" w:rsidR="00B62157" w:rsidRDefault="00A977F4" w:rsidP="00B62157">
      <w:pPr>
        <w:pStyle w:val="xmsolistparagraph"/>
        <w:spacing w:before="0" w:beforeAutospacing="0" w:after="0" w:afterAutospacing="0"/>
        <w:ind w:firstLine="720"/>
        <w:jc w:val="both"/>
        <w:rPr>
          <w:rFonts w:ascii="Cambria" w:eastAsia="Arial Unicode MS" w:hAnsi="Cambria"/>
          <w:color w:val="000000"/>
          <w:sz w:val="20"/>
          <w:szCs w:val="20"/>
          <w:bdr w:val="nil"/>
          <w:lang w:val="es-VE" w:eastAsia="x-none"/>
        </w:rPr>
      </w:pPr>
      <w:r w:rsidRPr="00586156">
        <w:rPr>
          <w:rFonts w:ascii="Cambria" w:eastAsiaTheme="minorHAnsi" w:hAnsi="Cambria"/>
          <w:sz w:val="20"/>
          <w:szCs w:val="20"/>
          <w:lang w:val="es-AR"/>
        </w:rPr>
        <w:t xml:space="preserve">En ese sentido, la Comisión solicita a la Honorable Corte que concluya y declare que el Estado de </w:t>
      </w:r>
      <w:r w:rsidR="007E0653">
        <w:rPr>
          <w:rFonts w:ascii="Cambria" w:eastAsiaTheme="minorHAnsi" w:hAnsi="Cambria"/>
          <w:sz w:val="20"/>
          <w:szCs w:val="20"/>
          <w:lang w:val="es-AR"/>
        </w:rPr>
        <w:t>Ecuador</w:t>
      </w:r>
      <w:r w:rsidRPr="00586156">
        <w:rPr>
          <w:rFonts w:ascii="Cambria" w:eastAsiaTheme="minorHAnsi" w:hAnsi="Cambria"/>
          <w:sz w:val="20"/>
          <w:szCs w:val="20"/>
          <w:lang w:val="es-AR"/>
        </w:rPr>
        <w:t xml:space="preserve"> es responsable por la violación de los derechos</w:t>
      </w:r>
      <w:r w:rsidR="005059BB" w:rsidRPr="00586156">
        <w:rPr>
          <w:rFonts w:ascii="Cambria" w:eastAsiaTheme="minorHAnsi" w:hAnsi="Cambria"/>
          <w:sz w:val="20"/>
          <w:szCs w:val="20"/>
          <w:lang w:val="es-AR"/>
        </w:rPr>
        <w:t xml:space="preserve"> </w:t>
      </w:r>
      <w:r w:rsidR="00B62157" w:rsidRPr="0095082F">
        <w:rPr>
          <w:rFonts w:ascii="Cambria" w:eastAsia="Arial Unicode MS" w:hAnsi="Cambria"/>
          <w:color w:val="000000"/>
          <w:sz w:val="20"/>
          <w:szCs w:val="20"/>
          <w:bdr w:val="nil"/>
          <w:lang w:val="es-VE" w:eastAsia="x-none"/>
        </w:rPr>
        <w:t xml:space="preserve">a la </w:t>
      </w:r>
      <w:r w:rsidR="006747B0">
        <w:rPr>
          <w:rFonts w:ascii="Cambria" w:eastAsia="Arial Unicode MS" w:hAnsi="Cambria"/>
          <w:color w:val="000000"/>
          <w:sz w:val="20"/>
          <w:szCs w:val="20"/>
          <w:bdr w:val="nil"/>
          <w:lang w:val="es-VE" w:eastAsia="x-none"/>
        </w:rPr>
        <w:t>p</w:t>
      </w:r>
      <w:r w:rsidR="006747B0" w:rsidRPr="006747B0">
        <w:rPr>
          <w:rFonts w:ascii="Cambria" w:eastAsia="Arial Unicode MS" w:hAnsi="Cambria"/>
          <w:color w:val="000000"/>
          <w:sz w:val="20"/>
          <w:szCs w:val="20"/>
          <w:bdr w:val="nil"/>
          <w:lang w:val="es-VE" w:eastAsia="x-none"/>
        </w:rPr>
        <w:t>ersonalidad jurídica,</w:t>
      </w:r>
      <w:r w:rsidR="006747B0">
        <w:rPr>
          <w:rFonts w:ascii="Cambria" w:eastAsia="Arial Unicode MS" w:hAnsi="Cambria"/>
          <w:color w:val="000000"/>
          <w:sz w:val="20"/>
          <w:szCs w:val="20"/>
          <w:bdr w:val="nil"/>
          <w:lang w:val="es-VE" w:eastAsia="x-none"/>
        </w:rPr>
        <w:t xml:space="preserve"> </w:t>
      </w:r>
      <w:r w:rsidR="006747B0" w:rsidRPr="006747B0">
        <w:rPr>
          <w:rFonts w:ascii="Cambria" w:eastAsia="Arial Unicode MS" w:hAnsi="Cambria"/>
          <w:color w:val="000000"/>
          <w:sz w:val="20"/>
          <w:szCs w:val="20"/>
          <w:bdr w:val="nil"/>
          <w:lang w:val="es-VE" w:eastAsia="x-none"/>
        </w:rPr>
        <w:t>garantías judiciales, propiedad colectiva, igualdad ante la ley, protección judicial y derechos culturales</w:t>
      </w:r>
      <w:r w:rsidR="006747B0" w:rsidRPr="0095082F">
        <w:rPr>
          <w:rFonts w:ascii="Cambria" w:eastAsia="Arial Unicode MS" w:hAnsi="Cambria"/>
          <w:color w:val="000000"/>
          <w:sz w:val="20"/>
          <w:szCs w:val="20"/>
          <w:bdr w:val="nil"/>
          <w:lang w:val="es-VE" w:eastAsia="x-none"/>
        </w:rPr>
        <w:t xml:space="preserve"> </w:t>
      </w:r>
      <w:r w:rsidR="00B62157" w:rsidRPr="00586156">
        <w:rPr>
          <w:rFonts w:ascii="Cambria" w:eastAsiaTheme="minorHAnsi" w:hAnsi="Cambria"/>
          <w:sz w:val="20"/>
          <w:szCs w:val="20"/>
          <w:lang w:val="es-AR"/>
        </w:rPr>
        <w:t xml:space="preserve">consagrados en los artículos </w:t>
      </w:r>
      <w:r w:rsidR="006747B0">
        <w:rPr>
          <w:rFonts w:ascii="Cambria" w:eastAsiaTheme="minorHAnsi" w:hAnsi="Cambria"/>
          <w:sz w:val="20"/>
          <w:szCs w:val="20"/>
          <w:lang w:val="es-AR"/>
        </w:rPr>
        <w:t>3</w:t>
      </w:r>
      <w:r w:rsidR="00B62157">
        <w:rPr>
          <w:rFonts w:ascii="Cambria" w:eastAsiaTheme="minorHAnsi" w:hAnsi="Cambria"/>
          <w:sz w:val="20"/>
          <w:szCs w:val="20"/>
          <w:lang w:val="es-AR"/>
        </w:rPr>
        <w:t xml:space="preserve">, </w:t>
      </w:r>
      <w:r w:rsidR="00B62157" w:rsidRPr="00586156">
        <w:rPr>
          <w:rFonts w:ascii="Cambria" w:eastAsiaTheme="minorHAnsi" w:hAnsi="Cambria"/>
          <w:sz w:val="20"/>
          <w:szCs w:val="20"/>
          <w:lang w:val="es-AR"/>
        </w:rPr>
        <w:t xml:space="preserve">8.1, </w:t>
      </w:r>
      <w:r w:rsidR="006747B0">
        <w:rPr>
          <w:rFonts w:ascii="Cambria" w:eastAsiaTheme="minorHAnsi" w:hAnsi="Cambria"/>
          <w:sz w:val="20"/>
          <w:szCs w:val="20"/>
          <w:lang w:val="es-AR"/>
        </w:rPr>
        <w:t>2</w:t>
      </w:r>
      <w:r w:rsidR="00B62157" w:rsidRPr="00586156">
        <w:rPr>
          <w:rFonts w:ascii="Cambria" w:eastAsiaTheme="minorHAnsi" w:hAnsi="Cambria"/>
          <w:sz w:val="20"/>
          <w:szCs w:val="20"/>
          <w:lang w:val="es-AR"/>
        </w:rPr>
        <w:t>1, 24</w:t>
      </w:r>
      <w:r w:rsidR="00B62157">
        <w:rPr>
          <w:rFonts w:ascii="Cambria" w:eastAsiaTheme="minorHAnsi" w:hAnsi="Cambria"/>
          <w:sz w:val="20"/>
          <w:szCs w:val="20"/>
          <w:lang w:val="es-AR"/>
        </w:rPr>
        <w:t xml:space="preserve">, </w:t>
      </w:r>
      <w:r w:rsidR="00B62157" w:rsidRPr="00586156">
        <w:rPr>
          <w:rFonts w:ascii="Cambria" w:eastAsiaTheme="minorHAnsi" w:hAnsi="Cambria"/>
          <w:sz w:val="20"/>
          <w:szCs w:val="20"/>
          <w:lang w:val="es-AR"/>
        </w:rPr>
        <w:t>25</w:t>
      </w:r>
      <w:r w:rsidR="00B62157">
        <w:rPr>
          <w:rFonts w:ascii="Cambria" w:eastAsiaTheme="minorHAnsi" w:hAnsi="Cambria"/>
          <w:sz w:val="20"/>
          <w:szCs w:val="20"/>
          <w:lang w:val="es-AR"/>
        </w:rPr>
        <w:t xml:space="preserve"> y 26</w:t>
      </w:r>
      <w:r w:rsidR="00B62157" w:rsidRPr="00586156">
        <w:rPr>
          <w:rFonts w:ascii="Cambria" w:eastAsiaTheme="minorHAnsi" w:hAnsi="Cambria"/>
          <w:sz w:val="20"/>
          <w:szCs w:val="20"/>
          <w:lang w:val="es-AR"/>
        </w:rPr>
        <w:t xml:space="preserve"> de la Convención Americana sobre Derechos Humanos </w:t>
      </w:r>
      <w:r w:rsidR="00B62157" w:rsidRPr="0095082F">
        <w:rPr>
          <w:rFonts w:ascii="Cambria" w:eastAsia="Arial Unicode MS" w:hAnsi="Cambria"/>
          <w:color w:val="000000"/>
          <w:sz w:val="20"/>
          <w:szCs w:val="20"/>
          <w:bdr w:val="nil"/>
          <w:lang w:val="es-VE" w:eastAsia="x-none"/>
        </w:rPr>
        <w:t xml:space="preserve">en relación con las obligaciones establecidas en </w:t>
      </w:r>
      <w:r w:rsidR="006747B0">
        <w:rPr>
          <w:rFonts w:ascii="Cambria" w:eastAsia="Arial Unicode MS" w:hAnsi="Cambria"/>
          <w:color w:val="000000"/>
          <w:sz w:val="20"/>
          <w:szCs w:val="20"/>
          <w:bdr w:val="nil"/>
          <w:lang w:val="es-VE" w:eastAsia="x-none"/>
        </w:rPr>
        <w:t>el</w:t>
      </w:r>
      <w:r w:rsidR="00B62157" w:rsidRPr="0095082F">
        <w:rPr>
          <w:rFonts w:ascii="Cambria" w:eastAsia="Arial Unicode MS" w:hAnsi="Cambria"/>
          <w:color w:val="000000"/>
          <w:sz w:val="20"/>
          <w:szCs w:val="20"/>
          <w:bdr w:val="nil"/>
          <w:lang w:val="es-VE" w:eastAsia="x-none"/>
        </w:rPr>
        <w:t xml:space="preserve"> artículo 1.1</w:t>
      </w:r>
      <w:r w:rsidR="006747B0">
        <w:rPr>
          <w:rFonts w:ascii="Cambria" w:eastAsia="Arial Unicode MS" w:hAnsi="Cambria"/>
          <w:color w:val="000000"/>
          <w:sz w:val="20"/>
          <w:szCs w:val="20"/>
          <w:bdr w:val="nil"/>
          <w:lang w:val="es-VE" w:eastAsia="x-none"/>
        </w:rPr>
        <w:t xml:space="preserve"> del mismo instrumento</w:t>
      </w:r>
      <w:r w:rsidR="00B62157" w:rsidRPr="0095082F">
        <w:rPr>
          <w:rFonts w:ascii="Cambria" w:eastAsia="Arial Unicode MS" w:hAnsi="Cambria"/>
          <w:color w:val="000000"/>
          <w:sz w:val="20"/>
          <w:szCs w:val="20"/>
          <w:bdr w:val="nil"/>
          <w:lang w:val="es-VE" w:eastAsia="x-none"/>
        </w:rPr>
        <w:t>.</w:t>
      </w:r>
    </w:p>
    <w:p w14:paraId="007B578F" w14:textId="77777777" w:rsidR="00B62157" w:rsidRDefault="00B62157" w:rsidP="00B62157">
      <w:pPr>
        <w:pStyle w:val="xmsolistparagraph"/>
        <w:spacing w:before="0" w:beforeAutospacing="0" w:after="0" w:afterAutospacing="0"/>
        <w:ind w:firstLine="720"/>
        <w:jc w:val="both"/>
        <w:rPr>
          <w:rFonts w:ascii="Cambria" w:eastAsia="Arial Unicode MS" w:hAnsi="Cambria"/>
          <w:color w:val="000000"/>
          <w:sz w:val="20"/>
          <w:szCs w:val="20"/>
          <w:bdr w:val="nil"/>
          <w:lang w:val="es-VE" w:eastAsia="x-none"/>
        </w:rPr>
      </w:pPr>
    </w:p>
    <w:p w14:paraId="753B45DD" w14:textId="70F84BA8" w:rsidR="00B77E57" w:rsidRPr="00B62157" w:rsidRDefault="00B77E57" w:rsidP="00B62157">
      <w:pPr>
        <w:pStyle w:val="xmsolistparagraph"/>
        <w:spacing w:before="0" w:beforeAutospacing="0" w:after="0" w:afterAutospacing="0"/>
        <w:ind w:firstLine="720"/>
        <w:jc w:val="both"/>
        <w:rPr>
          <w:rFonts w:ascii="Cambria" w:eastAsia="Arial Unicode MS" w:hAnsi="Cambria"/>
          <w:color w:val="000000"/>
          <w:sz w:val="20"/>
          <w:szCs w:val="20"/>
          <w:bdr w:val="nil"/>
          <w:lang w:val="es-VE" w:eastAsia="x-none"/>
        </w:rPr>
      </w:pPr>
      <w:r w:rsidRPr="00586156">
        <w:rPr>
          <w:rFonts w:ascii="Cambria" w:eastAsiaTheme="minorHAnsi" w:hAnsi="Cambria"/>
          <w:sz w:val="20"/>
          <w:szCs w:val="20"/>
          <w:lang w:val="es-AR"/>
        </w:rPr>
        <w:t>En consecuencia, la Comisión solicita a la Corte Interamericana que establezca las siguientes medidas de reparación:</w:t>
      </w:r>
    </w:p>
    <w:p w14:paraId="5F112341" w14:textId="77777777" w:rsidR="00B77E57" w:rsidRPr="00586156" w:rsidRDefault="00B77E57" w:rsidP="002B6B1F">
      <w:pPr>
        <w:autoSpaceDE w:val="0"/>
        <w:autoSpaceDN w:val="0"/>
        <w:adjustRightInd w:val="0"/>
        <w:spacing w:after="0" w:line="240" w:lineRule="auto"/>
        <w:jc w:val="both"/>
        <w:rPr>
          <w:rFonts w:ascii="Cambria" w:eastAsiaTheme="minorHAnsi" w:hAnsi="Cambria"/>
          <w:sz w:val="20"/>
          <w:szCs w:val="20"/>
          <w:lang w:val="es-AR"/>
        </w:rPr>
      </w:pPr>
    </w:p>
    <w:p w14:paraId="652354E0" w14:textId="4DE42CA4" w:rsidR="002A5693" w:rsidRPr="00CA5072" w:rsidRDefault="0090652E" w:rsidP="002A5693">
      <w:pPr>
        <w:pStyle w:val="ListParagraph"/>
        <w:numPr>
          <w:ilvl w:val="0"/>
          <w:numId w:val="1"/>
        </w:numPr>
        <w:autoSpaceDE w:val="0"/>
        <w:autoSpaceDN w:val="0"/>
        <w:adjustRightInd w:val="0"/>
        <w:spacing w:after="0" w:line="240" w:lineRule="auto"/>
        <w:jc w:val="both"/>
        <w:rPr>
          <w:rFonts w:ascii="Cambria" w:eastAsiaTheme="minorHAnsi" w:hAnsi="Cambria"/>
          <w:sz w:val="20"/>
          <w:szCs w:val="20"/>
          <w:lang w:val="es-AR"/>
        </w:rPr>
      </w:pPr>
      <w:r w:rsidRPr="00CA5072">
        <w:rPr>
          <w:rFonts w:ascii="Cambria" w:eastAsia="Times New Roman" w:hAnsi="Cambria" w:cs="Cambria"/>
          <w:sz w:val="20"/>
          <w:szCs w:val="20"/>
          <w:lang w:val="es-ES"/>
        </w:rPr>
        <w:t>Reparar integralmente las violaciones a los derechos humanos declaradas en el presente informe. Entre las medidas a ser adoptadas, el Estado deberá:</w:t>
      </w:r>
    </w:p>
    <w:p w14:paraId="7874694C" w14:textId="77777777" w:rsidR="00CA5072" w:rsidRPr="00CA5072" w:rsidRDefault="00CA5072" w:rsidP="00CA5072">
      <w:pPr>
        <w:pStyle w:val="ListParagraph"/>
        <w:autoSpaceDE w:val="0"/>
        <w:autoSpaceDN w:val="0"/>
        <w:adjustRightInd w:val="0"/>
        <w:spacing w:after="0" w:line="240" w:lineRule="auto"/>
        <w:jc w:val="both"/>
        <w:rPr>
          <w:rFonts w:ascii="Cambria" w:eastAsiaTheme="minorHAnsi" w:hAnsi="Cambria"/>
          <w:sz w:val="20"/>
          <w:szCs w:val="20"/>
          <w:lang w:val="es-AR"/>
        </w:rPr>
      </w:pPr>
    </w:p>
    <w:p w14:paraId="76A4DD86" w14:textId="5A0F1C22" w:rsidR="006747B0" w:rsidRDefault="00CF5E63" w:rsidP="00ED0C20">
      <w:pPr>
        <w:pStyle w:val="ListParagraph"/>
        <w:numPr>
          <w:ilvl w:val="0"/>
          <w:numId w:val="3"/>
        </w:numPr>
        <w:autoSpaceDE w:val="0"/>
        <w:autoSpaceDN w:val="0"/>
        <w:adjustRightInd w:val="0"/>
        <w:spacing w:after="0" w:line="240" w:lineRule="auto"/>
        <w:ind w:left="1080"/>
        <w:jc w:val="both"/>
        <w:rPr>
          <w:rFonts w:ascii="Cambria" w:eastAsia="Arial Unicode MS" w:hAnsi="Cambria"/>
          <w:sz w:val="20"/>
          <w:szCs w:val="20"/>
          <w:lang w:val="es-VE"/>
        </w:rPr>
      </w:pPr>
      <w:r w:rsidRPr="00CF5E63">
        <w:rPr>
          <w:rFonts w:ascii="Cambria" w:eastAsia="Arial Unicode MS" w:hAnsi="Cambria"/>
          <w:sz w:val="20"/>
          <w:szCs w:val="20"/>
          <w:lang w:val="es-VE"/>
        </w:rPr>
        <w:t>Adoptar las medidas necesarias para restituir las tierras de la Comunidad de Salango. Para ello,</w:t>
      </w:r>
      <w:r>
        <w:rPr>
          <w:rFonts w:ascii="Cambria" w:eastAsia="Arial Unicode MS" w:hAnsi="Cambria"/>
          <w:sz w:val="20"/>
          <w:szCs w:val="20"/>
          <w:lang w:val="es-VE"/>
        </w:rPr>
        <w:t xml:space="preserve"> </w:t>
      </w:r>
      <w:r w:rsidRPr="00CF5E63">
        <w:rPr>
          <w:rFonts w:ascii="Cambria" w:eastAsia="Arial Unicode MS" w:hAnsi="Cambria"/>
          <w:sz w:val="20"/>
          <w:szCs w:val="20"/>
          <w:lang w:val="es-VE"/>
        </w:rPr>
        <w:t>deberá identificar el territorio tradicional que fue afectado por la compraventa analizada en el</w:t>
      </w:r>
      <w:r>
        <w:rPr>
          <w:rFonts w:ascii="Cambria" w:eastAsia="Arial Unicode MS" w:hAnsi="Cambria"/>
          <w:sz w:val="20"/>
          <w:szCs w:val="20"/>
          <w:lang w:val="es-VE"/>
        </w:rPr>
        <w:t xml:space="preserve"> </w:t>
      </w:r>
      <w:r w:rsidRPr="00CF5E63">
        <w:rPr>
          <w:rFonts w:ascii="Cambria" w:eastAsia="Arial Unicode MS" w:hAnsi="Cambria"/>
          <w:sz w:val="20"/>
          <w:szCs w:val="20"/>
          <w:lang w:val="es-VE"/>
        </w:rPr>
        <w:t>presente informe y, en caso de que dicho territorio se encuentre en manos privadas y por motivos</w:t>
      </w:r>
      <w:r>
        <w:rPr>
          <w:rFonts w:ascii="Cambria" w:eastAsia="Arial Unicode MS" w:hAnsi="Cambria"/>
          <w:sz w:val="20"/>
          <w:szCs w:val="20"/>
          <w:lang w:val="es-VE"/>
        </w:rPr>
        <w:t xml:space="preserve"> </w:t>
      </w:r>
      <w:r w:rsidRPr="00CF5E63">
        <w:rPr>
          <w:rFonts w:ascii="Cambria" w:eastAsia="Arial Unicode MS" w:hAnsi="Cambria"/>
          <w:sz w:val="20"/>
          <w:szCs w:val="20"/>
          <w:lang w:val="es-VE"/>
        </w:rPr>
        <w:t>objetivos y fundamentados, realizar las indemnizaciones correspondientes por mejoras; y su</w:t>
      </w:r>
      <w:r>
        <w:rPr>
          <w:rFonts w:ascii="Cambria" w:eastAsia="Arial Unicode MS" w:hAnsi="Cambria"/>
          <w:sz w:val="20"/>
          <w:szCs w:val="20"/>
          <w:lang w:val="es-VE"/>
        </w:rPr>
        <w:t xml:space="preserve"> </w:t>
      </w:r>
      <w:r w:rsidRPr="00CF5E63">
        <w:rPr>
          <w:rFonts w:ascii="Cambria" w:eastAsia="Arial Unicode MS" w:hAnsi="Cambria"/>
          <w:sz w:val="20"/>
          <w:szCs w:val="20"/>
          <w:lang w:val="es-VE"/>
        </w:rPr>
        <w:t>reivindicación no fuera posible el Estado deberá entregarle tierras alternativas o proceder al pago</w:t>
      </w:r>
      <w:r>
        <w:rPr>
          <w:rFonts w:ascii="Cambria" w:eastAsia="Arial Unicode MS" w:hAnsi="Cambria"/>
          <w:sz w:val="20"/>
          <w:szCs w:val="20"/>
          <w:lang w:val="es-VE"/>
        </w:rPr>
        <w:t xml:space="preserve"> </w:t>
      </w:r>
      <w:r w:rsidRPr="00CF5E63">
        <w:rPr>
          <w:rFonts w:ascii="Cambria" w:eastAsia="Arial Unicode MS" w:hAnsi="Cambria"/>
          <w:sz w:val="20"/>
          <w:szCs w:val="20"/>
          <w:lang w:val="es-VE"/>
        </w:rPr>
        <w:t>de una indemnización en favor de la comunidad, todo ello de modo consensuado con ella,</w:t>
      </w:r>
      <w:r>
        <w:rPr>
          <w:rFonts w:ascii="Cambria" w:eastAsia="Arial Unicode MS" w:hAnsi="Cambria"/>
          <w:sz w:val="20"/>
          <w:szCs w:val="20"/>
          <w:lang w:val="es-VE"/>
        </w:rPr>
        <w:t xml:space="preserve"> </w:t>
      </w:r>
      <w:r w:rsidRPr="00CF5E63">
        <w:rPr>
          <w:rFonts w:ascii="Cambria" w:eastAsia="Arial Unicode MS" w:hAnsi="Cambria"/>
          <w:sz w:val="20"/>
          <w:szCs w:val="20"/>
          <w:lang w:val="es-VE"/>
        </w:rPr>
        <w:t>conforme a sus propias formas de consulta y decisión, valores, usos y costumbres.</w:t>
      </w:r>
    </w:p>
    <w:p w14:paraId="41707908" w14:textId="573D1256" w:rsidR="003D6EDA" w:rsidRDefault="003D6EDA" w:rsidP="00ED0C20">
      <w:pPr>
        <w:pStyle w:val="ListParagraph"/>
        <w:numPr>
          <w:ilvl w:val="0"/>
          <w:numId w:val="3"/>
        </w:numPr>
        <w:autoSpaceDE w:val="0"/>
        <w:autoSpaceDN w:val="0"/>
        <w:adjustRightInd w:val="0"/>
        <w:spacing w:after="0" w:line="240" w:lineRule="auto"/>
        <w:ind w:left="1080"/>
        <w:jc w:val="both"/>
        <w:rPr>
          <w:rFonts w:ascii="Cambria" w:eastAsia="Arial Unicode MS" w:hAnsi="Cambria"/>
          <w:sz w:val="20"/>
          <w:szCs w:val="20"/>
          <w:lang w:val="es-VE"/>
        </w:rPr>
      </w:pPr>
      <w:r w:rsidRPr="003D6EDA">
        <w:rPr>
          <w:rFonts w:ascii="Cambria" w:eastAsia="Arial Unicode MS" w:hAnsi="Cambria"/>
          <w:sz w:val="20"/>
          <w:szCs w:val="20"/>
          <w:lang w:val="es-VE"/>
        </w:rPr>
        <w:t>Pagar una compensación por la falta de protección judicial a los territorios de la Comunidad de</w:t>
      </w:r>
      <w:r>
        <w:rPr>
          <w:rFonts w:ascii="Cambria" w:eastAsia="Arial Unicode MS" w:hAnsi="Cambria"/>
          <w:sz w:val="20"/>
          <w:szCs w:val="20"/>
          <w:lang w:val="es-VE"/>
        </w:rPr>
        <w:t xml:space="preserve"> </w:t>
      </w:r>
      <w:r w:rsidRPr="003D6EDA">
        <w:rPr>
          <w:rFonts w:ascii="Cambria" w:eastAsia="Arial Unicode MS" w:hAnsi="Cambria"/>
          <w:sz w:val="20"/>
          <w:szCs w:val="20"/>
          <w:lang w:val="es-VE"/>
        </w:rPr>
        <w:t>Salango incluyendo por los impactos a actividades culturales y económicas tradicionales afectadas</w:t>
      </w:r>
      <w:r>
        <w:rPr>
          <w:rFonts w:ascii="Cambria" w:eastAsia="Arial Unicode MS" w:hAnsi="Cambria"/>
          <w:sz w:val="20"/>
          <w:szCs w:val="20"/>
          <w:lang w:val="es-VE"/>
        </w:rPr>
        <w:t xml:space="preserve"> </w:t>
      </w:r>
      <w:r w:rsidRPr="003D6EDA">
        <w:rPr>
          <w:rFonts w:ascii="Cambria" w:eastAsia="Arial Unicode MS" w:hAnsi="Cambria"/>
          <w:sz w:val="20"/>
          <w:szCs w:val="20"/>
          <w:lang w:val="es-VE"/>
        </w:rPr>
        <w:t>por la falta de protección de sus derechos territoriales y culturales.</w:t>
      </w:r>
    </w:p>
    <w:p w14:paraId="4BE51D92" w14:textId="057F8262" w:rsidR="003D6EDA" w:rsidRDefault="003D6EDA" w:rsidP="00ED0C20">
      <w:pPr>
        <w:pStyle w:val="ListParagraph"/>
        <w:numPr>
          <w:ilvl w:val="0"/>
          <w:numId w:val="3"/>
        </w:numPr>
        <w:autoSpaceDE w:val="0"/>
        <w:autoSpaceDN w:val="0"/>
        <w:adjustRightInd w:val="0"/>
        <w:spacing w:after="0" w:line="240" w:lineRule="auto"/>
        <w:ind w:left="1080"/>
        <w:jc w:val="both"/>
        <w:rPr>
          <w:rFonts w:ascii="Cambria" w:eastAsia="Arial Unicode MS" w:hAnsi="Cambria"/>
          <w:sz w:val="20"/>
          <w:szCs w:val="20"/>
          <w:lang w:val="es-VE"/>
        </w:rPr>
      </w:pPr>
      <w:r w:rsidRPr="003D6EDA">
        <w:rPr>
          <w:rFonts w:ascii="Cambria" w:eastAsia="Arial Unicode MS" w:hAnsi="Cambria"/>
          <w:sz w:val="20"/>
          <w:szCs w:val="20"/>
          <w:lang w:val="es-VE"/>
        </w:rPr>
        <w:t>En relación con todas las actividades de conservación del Estado en Playa Dorada que afecten el territorio tradicional, adoptar las medidas suficientes y necesarias para garantizar el acceso, uso y participación de la Comunidad de Salango en las mismas, así como el ejercicio del derecho a ser</w:t>
      </w:r>
      <w:r>
        <w:rPr>
          <w:rFonts w:ascii="Cambria" w:eastAsia="Arial Unicode MS" w:hAnsi="Cambria"/>
          <w:sz w:val="20"/>
          <w:szCs w:val="20"/>
          <w:lang w:val="es-VE"/>
        </w:rPr>
        <w:t xml:space="preserve"> </w:t>
      </w:r>
      <w:r w:rsidRPr="003D6EDA">
        <w:rPr>
          <w:rFonts w:ascii="Cambria" w:eastAsia="Arial Unicode MS" w:hAnsi="Cambria"/>
          <w:sz w:val="20"/>
          <w:szCs w:val="20"/>
          <w:lang w:val="es-VE"/>
        </w:rPr>
        <w:t>consultados de conformidad con los estándares interamericana, a fin de hacer compatibles la</w:t>
      </w:r>
      <w:r>
        <w:rPr>
          <w:rFonts w:ascii="Cambria" w:eastAsia="Arial Unicode MS" w:hAnsi="Cambria"/>
          <w:sz w:val="20"/>
          <w:szCs w:val="20"/>
          <w:lang w:val="es-VE"/>
        </w:rPr>
        <w:t xml:space="preserve"> </w:t>
      </w:r>
      <w:r w:rsidRPr="003D6EDA">
        <w:rPr>
          <w:rFonts w:ascii="Cambria" w:eastAsia="Arial Unicode MS" w:hAnsi="Cambria"/>
          <w:sz w:val="20"/>
          <w:szCs w:val="20"/>
          <w:lang w:val="es-VE"/>
        </w:rPr>
        <w:t>protección del medio ambiente con los derechos de los pueblos indígenas, para que miembros de</w:t>
      </w:r>
      <w:r>
        <w:rPr>
          <w:rFonts w:ascii="Cambria" w:eastAsia="Arial Unicode MS" w:hAnsi="Cambria"/>
          <w:sz w:val="20"/>
          <w:szCs w:val="20"/>
          <w:lang w:val="es-VE"/>
        </w:rPr>
        <w:t xml:space="preserve"> </w:t>
      </w:r>
      <w:r w:rsidRPr="003D6EDA">
        <w:rPr>
          <w:rFonts w:ascii="Cambria" w:eastAsia="Arial Unicode MS" w:hAnsi="Cambria"/>
          <w:sz w:val="20"/>
          <w:szCs w:val="20"/>
          <w:lang w:val="es-VE"/>
        </w:rPr>
        <w:t>la comunidad realicen sus actividades económicas y culturales.</w:t>
      </w:r>
    </w:p>
    <w:p w14:paraId="044ABB15" w14:textId="01298DA3" w:rsidR="00D85AD7" w:rsidRPr="00D85AD7" w:rsidRDefault="00D85AD7" w:rsidP="00ED0C20">
      <w:pPr>
        <w:pStyle w:val="ListParagraph"/>
        <w:numPr>
          <w:ilvl w:val="0"/>
          <w:numId w:val="3"/>
        </w:numPr>
        <w:autoSpaceDE w:val="0"/>
        <w:autoSpaceDN w:val="0"/>
        <w:adjustRightInd w:val="0"/>
        <w:spacing w:after="0" w:line="240" w:lineRule="auto"/>
        <w:ind w:left="1080"/>
        <w:jc w:val="both"/>
        <w:rPr>
          <w:rFonts w:ascii="Cambria" w:eastAsia="Arial Unicode MS" w:hAnsi="Cambria"/>
          <w:sz w:val="20"/>
          <w:szCs w:val="20"/>
          <w:lang w:val="es-VE"/>
        </w:rPr>
      </w:pPr>
      <w:r w:rsidRPr="00D85AD7">
        <w:rPr>
          <w:rFonts w:ascii="Cambria" w:eastAsia="Arial Unicode MS" w:hAnsi="Cambria"/>
          <w:sz w:val="20"/>
          <w:szCs w:val="20"/>
          <w:lang w:val="es-VE"/>
        </w:rPr>
        <w:t>Adoptar medidas para evitar la repetición de los hechos del presente caso, en particular</w:t>
      </w:r>
      <w:r>
        <w:rPr>
          <w:rFonts w:ascii="Cambria" w:eastAsia="Arial Unicode MS" w:hAnsi="Cambria"/>
          <w:sz w:val="20"/>
          <w:szCs w:val="20"/>
          <w:lang w:val="es-VE"/>
        </w:rPr>
        <w:t xml:space="preserve"> </w:t>
      </w:r>
      <w:r w:rsidRPr="00D85AD7">
        <w:rPr>
          <w:rFonts w:ascii="Cambria" w:eastAsia="Arial Unicode MS" w:hAnsi="Cambria"/>
          <w:sz w:val="20"/>
          <w:szCs w:val="20"/>
          <w:lang w:val="es-VE"/>
        </w:rPr>
        <w:t>implementar programas de capacitación para jueces y personas que ejerzan el notariado, en</w:t>
      </w:r>
      <w:r>
        <w:rPr>
          <w:rFonts w:ascii="Cambria" w:eastAsia="Arial Unicode MS" w:hAnsi="Cambria"/>
          <w:sz w:val="20"/>
          <w:szCs w:val="20"/>
          <w:lang w:val="es-VE"/>
        </w:rPr>
        <w:t xml:space="preserve"> </w:t>
      </w:r>
      <w:r w:rsidRPr="00D85AD7">
        <w:rPr>
          <w:rFonts w:ascii="Cambria" w:eastAsia="Arial Unicode MS" w:hAnsi="Cambria"/>
          <w:sz w:val="20"/>
          <w:szCs w:val="20"/>
          <w:lang w:val="es-VE"/>
        </w:rPr>
        <w:t>materia de derechos de pueblos indígenas y la obligación estatal de respetar los derechos de</w:t>
      </w:r>
      <w:r>
        <w:rPr>
          <w:rFonts w:ascii="Cambria" w:eastAsia="Arial Unicode MS" w:hAnsi="Cambria"/>
          <w:sz w:val="20"/>
          <w:szCs w:val="20"/>
          <w:lang w:val="es-VE"/>
        </w:rPr>
        <w:t xml:space="preserve"> </w:t>
      </w:r>
      <w:r w:rsidRPr="00D85AD7">
        <w:rPr>
          <w:rFonts w:ascii="Cambria" w:eastAsia="Arial Unicode MS" w:hAnsi="Cambria"/>
          <w:sz w:val="20"/>
          <w:szCs w:val="20"/>
          <w:lang w:val="es-VE"/>
        </w:rPr>
        <w:t>propiedad colectiva, consulta y consentimiento y la autodeterminación de los pueblos indígenas y</w:t>
      </w:r>
      <w:r>
        <w:rPr>
          <w:rFonts w:ascii="Cambria" w:eastAsia="Arial Unicode MS" w:hAnsi="Cambria"/>
          <w:sz w:val="20"/>
          <w:szCs w:val="20"/>
          <w:lang w:val="es-VE"/>
        </w:rPr>
        <w:t xml:space="preserve"> </w:t>
      </w:r>
      <w:r w:rsidRPr="00D85AD7">
        <w:rPr>
          <w:rFonts w:ascii="Cambria" w:eastAsia="Arial Unicode MS" w:hAnsi="Cambria"/>
          <w:sz w:val="20"/>
          <w:szCs w:val="20"/>
          <w:lang w:val="es-VE"/>
        </w:rPr>
        <w:t xml:space="preserve">garantizar su propiedad ancestral frente a ventas ilegales y fraccionamiento de sus </w:t>
      </w:r>
      <w:r w:rsidRPr="00D85AD7">
        <w:rPr>
          <w:rFonts w:ascii="Cambria" w:eastAsia="Arial Unicode MS" w:hAnsi="Cambria"/>
          <w:sz w:val="20"/>
          <w:szCs w:val="20"/>
          <w:lang w:val="es-VE"/>
        </w:rPr>
        <w:lastRenderedPageBreak/>
        <w:t>tierras, la</w:t>
      </w:r>
      <w:r>
        <w:rPr>
          <w:rFonts w:ascii="Cambria" w:eastAsia="Arial Unicode MS" w:hAnsi="Cambria"/>
          <w:sz w:val="20"/>
          <w:szCs w:val="20"/>
          <w:lang w:val="es-VE"/>
        </w:rPr>
        <w:t xml:space="preserve"> </w:t>
      </w:r>
      <w:r w:rsidRPr="00D85AD7">
        <w:rPr>
          <w:rFonts w:ascii="Cambria" w:eastAsia="Arial Unicode MS" w:hAnsi="Cambria"/>
          <w:sz w:val="20"/>
          <w:szCs w:val="20"/>
          <w:lang w:val="es-VE"/>
        </w:rPr>
        <w:t>aplicación de figuras como el silencio administrativo, u otras acciones que pudieran afectar sus</w:t>
      </w:r>
      <w:r>
        <w:rPr>
          <w:rFonts w:ascii="Cambria" w:eastAsia="Arial Unicode MS" w:hAnsi="Cambria"/>
          <w:sz w:val="20"/>
          <w:szCs w:val="20"/>
          <w:lang w:val="es-VE"/>
        </w:rPr>
        <w:t xml:space="preserve"> </w:t>
      </w:r>
      <w:r w:rsidRPr="00D85AD7">
        <w:rPr>
          <w:rFonts w:ascii="Cambria" w:eastAsia="Arial Unicode MS" w:hAnsi="Cambria"/>
          <w:sz w:val="20"/>
          <w:szCs w:val="20"/>
          <w:lang w:val="es-VE"/>
        </w:rPr>
        <w:t>tierras, territorios, recursos naturales y otros derechos.</w:t>
      </w:r>
    </w:p>
    <w:p w14:paraId="16ECF0DE" w14:textId="77777777" w:rsidR="00B77E57" w:rsidRDefault="00B77E57" w:rsidP="002B6B1F">
      <w:pPr>
        <w:autoSpaceDE w:val="0"/>
        <w:autoSpaceDN w:val="0"/>
        <w:adjustRightInd w:val="0"/>
        <w:spacing w:after="0" w:line="240" w:lineRule="auto"/>
        <w:jc w:val="both"/>
        <w:rPr>
          <w:rFonts w:ascii="Cambria" w:eastAsiaTheme="minorHAnsi" w:hAnsi="Cambria"/>
          <w:sz w:val="20"/>
          <w:szCs w:val="20"/>
          <w:lang w:val="es-AR"/>
        </w:rPr>
      </w:pPr>
    </w:p>
    <w:p w14:paraId="772EB8EB" w14:textId="77777777" w:rsidR="007E0653" w:rsidRPr="000B74CA" w:rsidRDefault="006747B0" w:rsidP="007E0653">
      <w:pPr>
        <w:pStyle w:val="ListParagraph"/>
        <w:pBdr>
          <w:top w:val="nil"/>
          <w:left w:val="nil"/>
          <w:bottom w:val="nil"/>
          <w:right w:val="nil"/>
          <w:between w:val="nil"/>
          <w:bar w:val="nil"/>
        </w:pBdr>
        <w:tabs>
          <w:tab w:val="left" w:pos="720"/>
          <w:tab w:val="left" w:pos="1440"/>
        </w:tabs>
        <w:spacing w:after="0" w:line="240" w:lineRule="auto"/>
        <w:ind w:left="90"/>
        <w:jc w:val="both"/>
        <w:rPr>
          <w:rFonts w:ascii="Cambria" w:hAnsi="Cambria"/>
          <w:b/>
          <w:bCs/>
          <w:sz w:val="20"/>
          <w:szCs w:val="20"/>
          <w:lang w:val="es-ES_tradnl"/>
        </w:rPr>
      </w:pPr>
      <w:r>
        <w:rPr>
          <w:rFonts w:ascii="Cambria" w:eastAsiaTheme="minorHAnsi" w:hAnsi="Cambria"/>
          <w:sz w:val="20"/>
          <w:szCs w:val="20"/>
          <w:lang w:val="es-AR"/>
        </w:rPr>
        <w:tab/>
      </w:r>
      <w:r w:rsidR="00744401" w:rsidRPr="00744401">
        <w:rPr>
          <w:rFonts w:ascii="Cambria" w:eastAsiaTheme="minorHAnsi" w:hAnsi="Cambria"/>
          <w:sz w:val="20"/>
          <w:szCs w:val="20"/>
          <w:lang w:val="es-AR"/>
        </w:rPr>
        <w:t xml:space="preserve">Además de la necesidad de obtención de justicia y reparación por la falta de cumplimiento de las mencionadas recomendaciones del Informe de Fondo, la Comisión considera que el caso presenta cuestiones de orden público interamericano. El mismo permitirá a la Honorable Corte </w:t>
      </w:r>
      <w:r w:rsidR="00AE2697">
        <w:rPr>
          <w:rFonts w:ascii="Cambria" w:eastAsiaTheme="minorHAnsi" w:hAnsi="Cambria"/>
          <w:sz w:val="20"/>
          <w:szCs w:val="20"/>
          <w:lang w:val="es-AR"/>
        </w:rPr>
        <w:t xml:space="preserve">continuar desarrollando su jurisprudencia </w:t>
      </w:r>
      <w:r w:rsidRPr="000B74CA">
        <w:rPr>
          <w:rFonts w:ascii="Cambria" w:eastAsia="Times New Roman" w:hAnsi="Cambria"/>
          <w:sz w:val="20"/>
          <w:szCs w:val="20"/>
          <w:lang w:val="es-ES"/>
        </w:rPr>
        <w:t xml:space="preserve">en relación con </w:t>
      </w:r>
      <w:bookmarkStart w:id="1" w:name="_Hlk139653204"/>
      <w:r w:rsidRPr="000B74CA">
        <w:rPr>
          <w:rFonts w:ascii="Cambria" w:eastAsia="Times New Roman" w:hAnsi="Cambria"/>
          <w:sz w:val="20"/>
          <w:szCs w:val="20"/>
          <w:lang w:val="es-ES"/>
        </w:rPr>
        <w:t>las obligaciones estatales referidas a la protección de los pueblos indígenas y sus territorios ancestrales.</w:t>
      </w:r>
      <w:bookmarkEnd w:id="1"/>
      <w:r w:rsidRPr="000B74CA">
        <w:rPr>
          <w:rFonts w:ascii="Cambria" w:eastAsia="Times New Roman" w:hAnsi="Cambria"/>
          <w:sz w:val="20"/>
          <w:szCs w:val="20"/>
          <w:lang w:val="es-ES"/>
        </w:rPr>
        <w:t xml:space="preserve"> </w:t>
      </w:r>
      <w:r w:rsidR="007E0653" w:rsidRPr="000B74CA">
        <w:rPr>
          <w:rFonts w:ascii="Cambria" w:eastAsiaTheme="minorHAnsi" w:hAnsi="Cambria"/>
          <w:sz w:val="20"/>
          <w:szCs w:val="20"/>
          <w:lang w:val="es-AR"/>
        </w:rPr>
        <w:t xml:space="preserve">En particular, el/la perito/a se referirá a las obligaciones estatales </w:t>
      </w:r>
      <w:r w:rsidR="007E0653" w:rsidRPr="000B74CA">
        <w:rPr>
          <w:rFonts w:ascii="Cambria" w:eastAsia="Times New Roman" w:hAnsi="Cambria" w:cs="Cambria"/>
          <w:sz w:val="20"/>
          <w:szCs w:val="20"/>
          <w:lang w:val="es-CO"/>
        </w:rPr>
        <w:t>relativas a</w:t>
      </w:r>
      <w:r w:rsidR="007E0653">
        <w:rPr>
          <w:rFonts w:ascii="Cambria" w:eastAsia="Times New Roman" w:hAnsi="Cambria" w:cs="Cambria"/>
          <w:sz w:val="20"/>
          <w:szCs w:val="20"/>
          <w:lang w:val="es-CO"/>
        </w:rPr>
        <w:t xml:space="preserve">l reconocimiento de los pueblos indígenas, </w:t>
      </w:r>
      <w:r w:rsidR="007E0653" w:rsidRPr="000B74CA">
        <w:rPr>
          <w:rFonts w:ascii="Cambria" w:eastAsia="Times New Roman" w:hAnsi="Cambria" w:cs="Cambria"/>
          <w:sz w:val="20"/>
          <w:szCs w:val="20"/>
          <w:lang w:val="es-CO"/>
        </w:rPr>
        <w:t xml:space="preserve"> los procesos de compraventa y registro de territorios a terceros particulares, </w:t>
      </w:r>
      <w:r w:rsidR="007E0653" w:rsidRPr="000B74CA">
        <w:rPr>
          <w:rFonts w:ascii="Cambria" w:eastAsia="Times New Roman" w:hAnsi="Cambria"/>
          <w:sz w:val="20"/>
          <w:szCs w:val="20"/>
          <w:lang w:val="es-ES"/>
        </w:rPr>
        <w:t xml:space="preserve">así como la aplicación de </w:t>
      </w:r>
      <w:r w:rsidR="007E0653">
        <w:rPr>
          <w:rFonts w:ascii="Cambria" w:eastAsia="Times New Roman" w:hAnsi="Cambria"/>
          <w:sz w:val="20"/>
          <w:szCs w:val="20"/>
          <w:lang w:val="es-ES"/>
        </w:rPr>
        <w:t xml:space="preserve">figuras como </w:t>
      </w:r>
      <w:r w:rsidR="007E0653" w:rsidRPr="000B74CA">
        <w:rPr>
          <w:rFonts w:ascii="Cambria" w:eastAsia="Times New Roman" w:hAnsi="Cambria"/>
          <w:sz w:val="20"/>
          <w:szCs w:val="20"/>
          <w:lang w:val="es-ES"/>
        </w:rPr>
        <w:t>la negativa ficta en este tipo de procesos</w:t>
      </w:r>
      <w:r w:rsidR="007E0653" w:rsidRPr="000B74CA">
        <w:rPr>
          <w:rFonts w:ascii="Cambria" w:hAnsi="Cambria"/>
          <w:sz w:val="20"/>
          <w:szCs w:val="20"/>
          <w:lang w:val="es-VE"/>
        </w:rPr>
        <w:t>.</w:t>
      </w:r>
      <w:r w:rsidR="007E0653" w:rsidRPr="000B74CA">
        <w:rPr>
          <w:rFonts w:ascii="Cambria" w:eastAsiaTheme="minorHAnsi" w:hAnsi="Cambria"/>
          <w:sz w:val="20"/>
          <w:szCs w:val="20"/>
          <w:lang w:val="es-AR"/>
        </w:rPr>
        <w:t xml:space="preserve">   </w:t>
      </w:r>
    </w:p>
    <w:p w14:paraId="1C946904" w14:textId="5679198A" w:rsidR="001A0309" w:rsidRPr="007E0653" w:rsidRDefault="001A0309" w:rsidP="007E0653">
      <w:pPr>
        <w:pStyle w:val="ListParagraph"/>
        <w:pBdr>
          <w:top w:val="nil"/>
          <w:left w:val="nil"/>
          <w:bottom w:val="nil"/>
          <w:right w:val="nil"/>
          <w:between w:val="nil"/>
          <w:bar w:val="nil"/>
        </w:pBdr>
        <w:tabs>
          <w:tab w:val="left" w:pos="720"/>
          <w:tab w:val="left" w:pos="1440"/>
        </w:tabs>
        <w:spacing w:after="0" w:line="240" w:lineRule="auto"/>
        <w:ind w:left="90"/>
        <w:jc w:val="both"/>
        <w:rPr>
          <w:rFonts w:ascii="Cambria" w:eastAsiaTheme="minorHAnsi" w:hAnsi="Cambria"/>
          <w:sz w:val="20"/>
          <w:szCs w:val="20"/>
          <w:lang w:val="es-ES_tradnl"/>
        </w:rPr>
      </w:pPr>
    </w:p>
    <w:p w14:paraId="43890FEA" w14:textId="6CF29D8F" w:rsidR="001A0309" w:rsidRDefault="001A0309" w:rsidP="007D68A0">
      <w:pPr>
        <w:autoSpaceDE w:val="0"/>
        <w:autoSpaceDN w:val="0"/>
        <w:adjustRightInd w:val="0"/>
        <w:spacing w:after="0" w:line="240" w:lineRule="auto"/>
        <w:ind w:firstLine="567"/>
        <w:jc w:val="both"/>
        <w:rPr>
          <w:rFonts w:ascii="Cambria" w:eastAsiaTheme="minorHAnsi" w:hAnsi="Cambria"/>
          <w:sz w:val="20"/>
          <w:szCs w:val="20"/>
          <w:lang w:val="es-AR"/>
        </w:rPr>
      </w:pPr>
      <w:r w:rsidRPr="001A0309">
        <w:rPr>
          <w:rFonts w:ascii="Cambria" w:eastAsiaTheme="minorHAnsi" w:hAnsi="Cambria"/>
          <w:sz w:val="20"/>
          <w:szCs w:val="20"/>
          <w:lang w:val="es-AR"/>
        </w:rPr>
        <w:t>En virtud de que estas cuestiones afectan de manera relevante el orden público interamericano, de conformidad con el artículo 35.1 f) del Reglamento de la Corte Interamericana, la Comisión se permite ofrecer la siguient</w:t>
      </w:r>
      <w:r>
        <w:rPr>
          <w:rFonts w:ascii="Cambria" w:eastAsiaTheme="minorHAnsi" w:hAnsi="Cambria"/>
          <w:sz w:val="20"/>
          <w:szCs w:val="20"/>
          <w:lang w:val="es-AR"/>
        </w:rPr>
        <w:t>e</w:t>
      </w:r>
      <w:r w:rsidRPr="001A0309">
        <w:rPr>
          <w:rFonts w:ascii="Cambria" w:eastAsiaTheme="minorHAnsi" w:hAnsi="Cambria"/>
          <w:sz w:val="20"/>
          <w:szCs w:val="20"/>
          <w:lang w:val="es-AR"/>
        </w:rPr>
        <w:t xml:space="preserve"> </w:t>
      </w:r>
      <w:r w:rsidR="008F5016" w:rsidRPr="001A0309">
        <w:rPr>
          <w:rFonts w:ascii="Cambria" w:eastAsiaTheme="minorHAnsi" w:hAnsi="Cambria"/>
          <w:sz w:val="20"/>
          <w:szCs w:val="20"/>
          <w:lang w:val="es-AR"/>
        </w:rPr>
        <w:t>declaració</w:t>
      </w:r>
      <w:r w:rsidR="008F5016">
        <w:rPr>
          <w:rFonts w:ascii="Cambria" w:eastAsiaTheme="minorHAnsi" w:hAnsi="Cambria"/>
          <w:sz w:val="20"/>
          <w:szCs w:val="20"/>
          <w:lang w:val="es-AR"/>
        </w:rPr>
        <w:t>n</w:t>
      </w:r>
      <w:r w:rsidRPr="001A0309">
        <w:rPr>
          <w:rFonts w:ascii="Cambria" w:eastAsiaTheme="minorHAnsi" w:hAnsi="Cambria"/>
          <w:sz w:val="20"/>
          <w:szCs w:val="20"/>
          <w:lang w:val="es-AR"/>
        </w:rPr>
        <w:t xml:space="preserve"> pericial:</w:t>
      </w:r>
    </w:p>
    <w:p w14:paraId="2A6C6F1F" w14:textId="77777777" w:rsidR="008F5016" w:rsidRDefault="008F5016" w:rsidP="007D68A0">
      <w:pPr>
        <w:autoSpaceDE w:val="0"/>
        <w:autoSpaceDN w:val="0"/>
        <w:adjustRightInd w:val="0"/>
        <w:spacing w:after="0" w:line="240" w:lineRule="auto"/>
        <w:ind w:firstLine="567"/>
        <w:jc w:val="both"/>
        <w:rPr>
          <w:rFonts w:ascii="Cambria" w:eastAsiaTheme="minorHAnsi" w:hAnsi="Cambria"/>
          <w:sz w:val="20"/>
          <w:szCs w:val="20"/>
          <w:lang w:val="es-AR"/>
        </w:rPr>
      </w:pPr>
    </w:p>
    <w:p w14:paraId="2B93BC6F" w14:textId="12DE9290" w:rsidR="002A5693" w:rsidRPr="000B74CA" w:rsidRDefault="00D02E45" w:rsidP="000B74CA">
      <w:pPr>
        <w:pStyle w:val="ListParagraph"/>
        <w:pBdr>
          <w:top w:val="nil"/>
          <w:left w:val="nil"/>
          <w:bottom w:val="nil"/>
          <w:right w:val="nil"/>
          <w:between w:val="nil"/>
          <w:bar w:val="nil"/>
        </w:pBdr>
        <w:tabs>
          <w:tab w:val="left" w:pos="720"/>
          <w:tab w:val="left" w:pos="1440"/>
        </w:tabs>
        <w:spacing w:after="0" w:line="240" w:lineRule="auto"/>
        <w:ind w:left="90"/>
        <w:jc w:val="both"/>
        <w:rPr>
          <w:rFonts w:ascii="Cambria" w:hAnsi="Cambria"/>
          <w:b/>
          <w:bCs/>
          <w:sz w:val="20"/>
          <w:szCs w:val="20"/>
          <w:lang w:val="es-ES_tradnl"/>
        </w:rPr>
      </w:pPr>
      <w:r>
        <w:rPr>
          <w:rFonts w:ascii="Cambria" w:eastAsiaTheme="minorHAnsi" w:hAnsi="Cambria"/>
          <w:b/>
          <w:bCs/>
          <w:sz w:val="20"/>
          <w:szCs w:val="20"/>
          <w:lang w:val="es-AR"/>
        </w:rPr>
        <w:tab/>
      </w:r>
      <w:r w:rsidR="008F5016" w:rsidRPr="00BF60F8">
        <w:rPr>
          <w:rFonts w:ascii="Cambria" w:eastAsiaTheme="minorHAnsi" w:hAnsi="Cambria"/>
          <w:b/>
          <w:bCs/>
          <w:sz w:val="20"/>
          <w:szCs w:val="20"/>
          <w:lang w:val="es-AR"/>
        </w:rPr>
        <w:t>Perito/a, cuyo nombre será informado a la brevedad</w:t>
      </w:r>
      <w:r w:rsidR="008F5016" w:rsidRPr="008F5016">
        <w:rPr>
          <w:rFonts w:ascii="Cambria" w:eastAsiaTheme="minorHAnsi" w:hAnsi="Cambria"/>
          <w:sz w:val="20"/>
          <w:szCs w:val="20"/>
          <w:lang w:val="es-AR"/>
        </w:rPr>
        <w:t xml:space="preserve">, quien declarará sobre </w:t>
      </w:r>
      <w:r w:rsidR="008F5016" w:rsidRPr="000B74CA">
        <w:rPr>
          <w:rFonts w:ascii="Cambria" w:eastAsiaTheme="minorHAnsi" w:hAnsi="Cambria"/>
          <w:sz w:val="20"/>
          <w:szCs w:val="20"/>
          <w:lang w:val="es-AR"/>
        </w:rPr>
        <w:t>los deberes</w:t>
      </w:r>
      <w:r w:rsidR="00BE0721" w:rsidRPr="000B74CA">
        <w:rPr>
          <w:rFonts w:ascii="Cambria" w:eastAsiaTheme="minorHAnsi" w:hAnsi="Cambria"/>
          <w:sz w:val="20"/>
          <w:szCs w:val="20"/>
          <w:lang w:val="es-AR"/>
        </w:rPr>
        <w:t xml:space="preserve"> que impone el derecho internacional a los </w:t>
      </w:r>
      <w:r w:rsidR="00BF60F8" w:rsidRPr="000B74CA">
        <w:rPr>
          <w:rFonts w:ascii="Cambria" w:eastAsiaTheme="minorHAnsi" w:hAnsi="Cambria"/>
          <w:sz w:val="20"/>
          <w:szCs w:val="20"/>
          <w:lang w:val="es-AR"/>
        </w:rPr>
        <w:t>Estado</w:t>
      </w:r>
      <w:r w:rsidR="00BE0721" w:rsidRPr="000B74CA">
        <w:rPr>
          <w:rFonts w:ascii="Cambria" w:eastAsiaTheme="minorHAnsi" w:hAnsi="Cambria"/>
          <w:sz w:val="20"/>
          <w:szCs w:val="20"/>
          <w:lang w:val="es-AR"/>
        </w:rPr>
        <w:t>s en materia de</w:t>
      </w:r>
      <w:r w:rsidR="002A5693" w:rsidRPr="000B74CA">
        <w:rPr>
          <w:rFonts w:ascii="Cambria" w:eastAsiaTheme="minorHAnsi" w:hAnsi="Cambria"/>
          <w:sz w:val="20"/>
          <w:szCs w:val="20"/>
          <w:lang w:val="es-AR"/>
        </w:rPr>
        <w:t xml:space="preserve"> protección a l</w:t>
      </w:r>
      <w:r w:rsidR="006747B0" w:rsidRPr="000B74CA">
        <w:rPr>
          <w:rFonts w:ascii="Cambria" w:eastAsiaTheme="minorHAnsi" w:hAnsi="Cambria"/>
          <w:sz w:val="20"/>
          <w:szCs w:val="20"/>
          <w:lang w:val="es-AR"/>
        </w:rPr>
        <w:t>a propiedad de los territorios de los pueblos indígenas</w:t>
      </w:r>
      <w:r w:rsidR="00763D1C" w:rsidRPr="000B74CA">
        <w:rPr>
          <w:rFonts w:ascii="Cambria" w:eastAsiaTheme="minorHAnsi" w:hAnsi="Cambria"/>
          <w:sz w:val="20"/>
          <w:szCs w:val="20"/>
          <w:lang w:val="es-AR"/>
        </w:rPr>
        <w:t xml:space="preserve">. </w:t>
      </w:r>
      <w:r w:rsidR="00BA482B" w:rsidRPr="000B74CA">
        <w:rPr>
          <w:rFonts w:ascii="Cambria" w:eastAsiaTheme="minorHAnsi" w:hAnsi="Cambria"/>
          <w:sz w:val="20"/>
          <w:szCs w:val="20"/>
          <w:lang w:val="es-AR"/>
        </w:rPr>
        <w:t>En particular, el</w:t>
      </w:r>
      <w:r w:rsidR="006747B0" w:rsidRPr="000B74CA">
        <w:rPr>
          <w:rFonts w:ascii="Cambria" w:eastAsiaTheme="minorHAnsi" w:hAnsi="Cambria"/>
          <w:sz w:val="20"/>
          <w:szCs w:val="20"/>
          <w:lang w:val="es-AR"/>
        </w:rPr>
        <w:t>/la</w:t>
      </w:r>
      <w:r w:rsidR="00BA482B" w:rsidRPr="000B74CA">
        <w:rPr>
          <w:rFonts w:ascii="Cambria" w:eastAsiaTheme="minorHAnsi" w:hAnsi="Cambria"/>
          <w:sz w:val="20"/>
          <w:szCs w:val="20"/>
          <w:lang w:val="es-AR"/>
        </w:rPr>
        <w:t xml:space="preserve"> perito/a </w:t>
      </w:r>
      <w:r w:rsidR="00912441" w:rsidRPr="000B74CA">
        <w:rPr>
          <w:rFonts w:ascii="Cambria" w:eastAsiaTheme="minorHAnsi" w:hAnsi="Cambria"/>
          <w:sz w:val="20"/>
          <w:szCs w:val="20"/>
          <w:lang w:val="es-AR"/>
        </w:rPr>
        <w:t xml:space="preserve">se referirá </w:t>
      </w:r>
      <w:r w:rsidR="002D4457" w:rsidRPr="000B74CA">
        <w:rPr>
          <w:rFonts w:ascii="Cambria" w:eastAsiaTheme="minorHAnsi" w:hAnsi="Cambria"/>
          <w:sz w:val="20"/>
          <w:szCs w:val="20"/>
          <w:lang w:val="es-AR"/>
        </w:rPr>
        <w:t xml:space="preserve">a las </w:t>
      </w:r>
      <w:r w:rsidR="00912441" w:rsidRPr="000B74CA">
        <w:rPr>
          <w:rFonts w:ascii="Cambria" w:eastAsiaTheme="minorHAnsi" w:hAnsi="Cambria"/>
          <w:sz w:val="20"/>
          <w:szCs w:val="20"/>
          <w:lang w:val="es-AR"/>
        </w:rPr>
        <w:t xml:space="preserve">obligaciones estatales </w:t>
      </w:r>
      <w:r w:rsidR="002D4457" w:rsidRPr="000B74CA">
        <w:rPr>
          <w:rFonts w:ascii="Cambria" w:eastAsia="Times New Roman" w:hAnsi="Cambria" w:cs="Cambria"/>
          <w:sz w:val="20"/>
          <w:szCs w:val="20"/>
          <w:lang w:val="es-CO"/>
        </w:rPr>
        <w:t>relativas a</w:t>
      </w:r>
      <w:r w:rsidR="007E0653">
        <w:rPr>
          <w:rFonts w:ascii="Cambria" w:eastAsia="Times New Roman" w:hAnsi="Cambria" w:cs="Cambria"/>
          <w:sz w:val="20"/>
          <w:szCs w:val="20"/>
          <w:lang w:val="es-CO"/>
        </w:rPr>
        <w:t xml:space="preserve">l reconocimiento de los pueblos indígenas, </w:t>
      </w:r>
      <w:r w:rsidR="002D4457" w:rsidRPr="000B74CA">
        <w:rPr>
          <w:rFonts w:ascii="Cambria" w:eastAsia="Times New Roman" w:hAnsi="Cambria" w:cs="Cambria"/>
          <w:sz w:val="20"/>
          <w:szCs w:val="20"/>
          <w:lang w:val="es-CO"/>
        </w:rPr>
        <w:t>l</w:t>
      </w:r>
      <w:r w:rsidR="006747B0" w:rsidRPr="000B74CA">
        <w:rPr>
          <w:rFonts w:ascii="Cambria" w:eastAsia="Times New Roman" w:hAnsi="Cambria" w:cs="Cambria"/>
          <w:sz w:val="20"/>
          <w:szCs w:val="20"/>
          <w:lang w:val="es-CO"/>
        </w:rPr>
        <w:t xml:space="preserve">os </w:t>
      </w:r>
      <w:r w:rsidR="00EF10A9">
        <w:rPr>
          <w:rFonts w:ascii="Cambria" w:eastAsia="Times New Roman" w:hAnsi="Cambria" w:cs="Cambria"/>
          <w:sz w:val="20"/>
          <w:szCs w:val="20"/>
          <w:lang w:val="es-CO"/>
        </w:rPr>
        <w:t xml:space="preserve">estándares aplicables a </w:t>
      </w:r>
      <w:r w:rsidR="006747B0" w:rsidRPr="000B74CA">
        <w:rPr>
          <w:rFonts w:ascii="Cambria" w:eastAsia="Times New Roman" w:hAnsi="Cambria" w:cs="Cambria"/>
          <w:sz w:val="20"/>
          <w:szCs w:val="20"/>
          <w:lang w:val="es-CO"/>
        </w:rPr>
        <w:t>procesos de compraventa y registro de territorios a terceros particulares</w:t>
      </w:r>
      <w:r w:rsidR="000B74CA" w:rsidRPr="000B74CA">
        <w:rPr>
          <w:rFonts w:ascii="Cambria" w:eastAsia="Times New Roman" w:hAnsi="Cambria" w:cs="Cambria"/>
          <w:sz w:val="20"/>
          <w:szCs w:val="20"/>
          <w:lang w:val="es-CO"/>
        </w:rPr>
        <w:t xml:space="preserve">, </w:t>
      </w:r>
      <w:r w:rsidR="000B74CA" w:rsidRPr="000B74CA">
        <w:rPr>
          <w:rFonts w:ascii="Cambria" w:eastAsia="Times New Roman" w:hAnsi="Cambria"/>
          <w:sz w:val="20"/>
          <w:szCs w:val="20"/>
          <w:lang w:val="es-ES"/>
        </w:rPr>
        <w:t xml:space="preserve">así como la aplicación de </w:t>
      </w:r>
      <w:r w:rsidR="007E0653">
        <w:rPr>
          <w:rFonts w:ascii="Cambria" w:eastAsia="Times New Roman" w:hAnsi="Cambria"/>
          <w:sz w:val="20"/>
          <w:szCs w:val="20"/>
          <w:lang w:val="es-ES"/>
        </w:rPr>
        <w:t xml:space="preserve">figuras como </w:t>
      </w:r>
      <w:r w:rsidR="000B74CA" w:rsidRPr="000B74CA">
        <w:rPr>
          <w:rFonts w:ascii="Cambria" w:eastAsia="Times New Roman" w:hAnsi="Cambria"/>
          <w:sz w:val="20"/>
          <w:szCs w:val="20"/>
          <w:lang w:val="es-ES"/>
        </w:rPr>
        <w:t>la negativa ficta en este tipo de procesos</w:t>
      </w:r>
      <w:r w:rsidR="000B74CA" w:rsidRPr="000B74CA">
        <w:rPr>
          <w:rFonts w:ascii="Cambria" w:hAnsi="Cambria"/>
          <w:sz w:val="20"/>
          <w:szCs w:val="20"/>
          <w:lang w:val="es-VE"/>
        </w:rPr>
        <w:t>.</w:t>
      </w:r>
      <w:r w:rsidR="000B74CA" w:rsidRPr="000B74CA">
        <w:rPr>
          <w:rFonts w:ascii="Cambria" w:eastAsiaTheme="minorHAnsi" w:hAnsi="Cambria"/>
          <w:sz w:val="20"/>
          <w:szCs w:val="20"/>
          <w:lang w:val="es-AR"/>
        </w:rPr>
        <w:t xml:space="preserve">   </w:t>
      </w:r>
    </w:p>
    <w:p w14:paraId="754669E4" w14:textId="77777777" w:rsidR="004876BE" w:rsidRDefault="004876BE" w:rsidP="007D68A0">
      <w:pPr>
        <w:autoSpaceDE w:val="0"/>
        <w:autoSpaceDN w:val="0"/>
        <w:adjustRightInd w:val="0"/>
        <w:spacing w:after="0" w:line="240" w:lineRule="auto"/>
        <w:ind w:firstLine="567"/>
        <w:jc w:val="both"/>
        <w:rPr>
          <w:rFonts w:ascii="Cambria" w:eastAsiaTheme="minorHAnsi" w:hAnsi="Cambria"/>
          <w:sz w:val="20"/>
          <w:szCs w:val="20"/>
          <w:lang w:val="es-AR"/>
        </w:rPr>
      </w:pPr>
    </w:p>
    <w:p w14:paraId="0127AE3E" w14:textId="75F044B1" w:rsidR="004876BE" w:rsidRPr="004876BE" w:rsidRDefault="004876BE" w:rsidP="004876BE">
      <w:pPr>
        <w:autoSpaceDE w:val="0"/>
        <w:autoSpaceDN w:val="0"/>
        <w:adjustRightInd w:val="0"/>
        <w:spacing w:after="0" w:line="240" w:lineRule="auto"/>
        <w:ind w:firstLine="567"/>
        <w:jc w:val="both"/>
        <w:rPr>
          <w:rFonts w:ascii="Cambria" w:eastAsiaTheme="minorHAnsi" w:hAnsi="Cambria"/>
          <w:sz w:val="20"/>
          <w:szCs w:val="20"/>
          <w:lang w:val="es-AR"/>
        </w:rPr>
      </w:pPr>
      <w:r w:rsidRPr="004876BE">
        <w:rPr>
          <w:rFonts w:ascii="Cambria" w:eastAsiaTheme="minorHAnsi" w:hAnsi="Cambria"/>
          <w:sz w:val="20"/>
          <w:szCs w:val="20"/>
          <w:lang w:val="es-AR"/>
        </w:rPr>
        <w:t>El CV de</w:t>
      </w:r>
      <w:r w:rsidR="002D4457">
        <w:rPr>
          <w:rFonts w:ascii="Cambria" w:eastAsiaTheme="minorHAnsi" w:hAnsi="Cambria"/>
          <w:sz w:val="20"/>
          <w:szCs w:val="20"/>
          <w:lang w:val="es-AR"/>
        </w:rPr>
        <w:t xml:space="preserve"> el/l</w:t>
      </w:r>
      <w:r w:rsidRPr="004876BE">
        <w:rPr>
          <w:rFonts w:ascii="Cambria" w:eastAsiaTheme="minorHAnsi" w:hAnsi="Cambria"/>
          <w:sz w:val="20"/>
          <w:szCs w:val="20"/>
          <w:lang w:val="es-AR"/>
        </w:rPr>
        <w:t xml:space="preserve">a perito/a propuesto/a será incluido en los anexos al Informe de Fondo No. </w:t>
      </w:r>
      <w:r w:rsidR="00F1323F">
        <w:rPr>
          <w:rFonts w:ascii="Cambria" w:eastAsiaTheme="minorHAnsi" w:hAnsi="Cambria"/>
          <w:sz w:val="20"/>
          <w:szCs w:val="20"/>
          <w:lang w:val="es-AR"/>
        </w:rPr>
        <w:t>447</w:t>
      </w:r>
      <w:r w:rsidRPr="004876BE">
        <w:rPr>
          <w:rFonts w:ascii="Cambria" w:eastAsiaTheme="minorHAnsi" w:hAnsi="Cambria"/>
          <w:sz w:val="20"/>
          <w:szCs w:val="20"/>
          <w:lang w:val="es-AR"/>
        </w:rPr>
        <w:t>/2</w:t>
      </w:r>
      <w:r w:rsidR="00FA122D">
        <w:rPr>
          <w:rFonts w:ascii="Cambria" w:eastAsiaTheme="minorHAnsi" w:hAnsi="Cambria"/>
          <w:sz w:val="20"/>
          <w:szCs w:val="20"/>
          <w:lang w:val="es-AR"/>
        </w:rPr>
        <w:t>1</w:t>
      </w:r>
      <w:r w:rsidRPr="004876BE">
        <w:rPr>
          <w:rFonts w:ascii="Cambria" w:eastAsiaTheme="minorHAnsi" w:hAnsi="Cambria"/>
          <w:sz w:val="20"/>
          <w:szCs w:val="20"/>
          <w:lang w:val="es-AR"/>
        </w:rPr>
        <w:t xml:space="preserve">. </w:t>
      </w:r>
    </w:p>
    <w:p w14:paraId="48620C6B" w14:textId="77777777" w:rsidR="004876BE" w:rsidRDefault="004876BE" w:rsidP="00B62157">
      <w:pPr>
        <w:autoSpaceDE w:val="0"/>
        <w:autoSpaceDN w:val="0"/>
        <w:adjustRightInd w:val="0"/>
        <w:spacing w:after="0" w:line="240" w:lineRule="auto"/>
        <w:jc w:val="both"/>
        <w:rPr>
          <w:rFonts w:ascii="Cambria" w:eastAsiaTheme="minorHAnsi" w:hAnsi="Cambria"/>
          <w:sz w:val="20"/>
          <w:szCs w:val="20"/>
          <w:lang w:val="es-AR"/>
        </w:rPr>
      </w:pPr>
    </w:p>
    <w:p w14:paraId="61A53D22" w14:textId="50FE5725" w:rsidR="004876BE" w:rsidRDefault="004876BE" w:rsidP="004876BE">
      <w:pPr>
        <w:autoSpaceDE w:val="0"/>
        <w:autoSpaceDN w:val="0"/>
        <w:adjustRightInd w:val="0"/>
        <w:spacing w:after="0" w:line="240" w:lineRule="auto"/>
        <w:ind w:firstLine="567"/>
        <w:jc w:val="both"/>
        <w:rPr>
          <w:rFonts w:ascii="Cambria" w:eastAsiaTheme="minorHAnsi" w:hAnsi="Cambria"/>
          <w:sz w:val="20"/>
          <w:szCs w:val="20"/>
          <w:lang w:val="es-AR"/>
        </w:rPr>
      </w:pPr>
      <w:r w:rsidRPr="004876BE">
        <w:rPr>
          <w:rFonts w:ascii="Cambria" w:eastAsiaTheme="minorHAnsi" w:hAnsi="Cambria"/>
          <w:sz w:val="20"/>
          <w:szCs w:val="20"/>
          <w:lang w:val="es-AR"/>
        </w:rPr>
        <w:t>La Comisión pone en conocimiento de la Honorable Corte la siguiente información de quien actúa como parte peticionaria en el trámite ante la CIDH conforme a la información más reciente:</w:t>
      </w:r>
    </w:p>
    <w:p w14:paraId="1B3101A2" w14:textId="77777777" w:rsidR="004876BE" w:rsidRDefault="004876BE" w:rsidP="004876BE">
      <w:pPr>
        <w:autoSpaceDE w:val="0"/>
        <w:autoSpaceDN w:val="0"/>
        <w:adjustRightInd w:val="0"/>
        <w:spacing w:after="0" w:line="240" w:lineRule="auto"/>
        <w:ind w:firstLine="567"/>
        <w:jc w:val="both"/>
        <w:rPr>
          <w:rFonts w:ascii="Cambria" w:eastAsiaTheme="minorHAnsi" w:hAnsi="Cambria"/>
          <w:sz w:val="20"/>
          <w:szCs w:val="20"/>
          <w:lang w:val="es-AR"/>
        </w:rPr>
      </w:pPr>
    </w:p>
    <w:p w14:paraId="781143EA" w14:textId="77777777" w:rsidR="0011043D" w:rsidRPr="0011043D" w:rsidRDefault="0011043D" w:rsidP="0011043D">
      <w:pPr>
        <w:spacing w:after="0" w:line="240" w:lineRule="auto"/>
        <w:jc w:val="center"/>
        <w:rPr>
          <w:rFonts w:ascii="Cambria" w:hAnsi="Cambria" w:cs="Calibri"/>
          <w:bCs/>
          <w:iCs/>
          <w:sz w:val="20"/>
          <w:szCs w:val="20"/>
          <w:lang w:val="es-ES"/>
        </w:rPr>
      </w:pPr>
      <w:r w:rsidRPr="0011043D">
        <w:rPr>
          <w:rFonts w:ascii="Cambria" w:hAnsi="Cambria" w:cs="Calibri"/>
          <w:bCs/>
          <w:iCs/>
          <w:sz w:val="20"/>
          <w:szCs w:val="20"/>
          <w:lang w:val="es-ES"/>
        </w:rPr>
        <w:t>Centro de Derechos Humanos de la</w:t>
      </w:r>
    </w:p>
    <w:p w14:paraId="49677038" w14:textId="77777777" w:rsidR="0011043D" w:rsidRPr="0011043D" w:rsidRDefault="0011043D" w:rsidP="0011043D">
      <w:pPr>
        <w:spacing w:after="0" w:line="240" w:lineRule="auto"/>
        <w:jc w:val="center"/>
        <w:rPr>
          <w:rFonts w:ascii="Cambria" w:hAnsi="Cambria" w:cs="Calibri"/>
          <w:bCs/>
          <w:iCs/>
          <w:sz w:val="20"/>
          <w:szCs w:val="20"/>
          <w:lang w:val="es-ES"/>
        </w:rPr>
      </w:pPr>
      <w:r w:rsidRPr="0011043D">
        <w:rPr>
          <w:rFonts w:ascii="Cambria" w:hAnsi="Cambria" w:cs="Calibri"/>
          <w:bCs/>
          <w:iCs/>
          <w:sz w:val="20"/>
          <w:szCs w:val="20"/>
          <w:lang w:val="es-ES"/>
        </w:rPr>
        <w:t>Pontificia Universidad Católica del Ecuador-PUCE</w:t>
      </w:r>
    </w:p>
    <w:p w14:paraId="2048E797" w14:textId="1FB84689" w:rsidR="0011043D" w:rsidRPr="00C13B03" w:rsidRDefault="00C13B03" w:rsidP="0011043D">
      <w:pPr>
        <w:spacing w:after="0" w:line="240" w:lineRule="auto"/>
        <w:jc w:val="center"/>
        <w:rPr>
          <w:rFonts w:ascii="Cambria" w:hAnsi="Cambria" w:cs="Calibri"/>
          <w:bCs/>
          <w:iCs/>
          <w:sz w:val="20"/>
          <w:szCs w:val="20"/>
          <w:highlight w:val="black"/>
          <w:lang w:val="es-ES"/>
        </w:rPr>
      </w:pPr>
      <w:r w:rsidRPr="00C13B03">
        <w:rPr>
          <w:rFonts w:ascii="Cambria" w:hAnsi="Cambria" w:cs="Calibri"/>
          <w:bCs/>
          <w:iCs/>
          <w:sz w:val="20"/>
          <w:szCs w:val="20"/>
          <w:highlight w:val="black"/>
          <w:lang w:val="es-ES"/>
        </w:rPr>
        <w:t>XXXXXXXXXXXXXXXXXXXXXXXXXXXXXXXXX</w:t>
      </w:r>
    </w:p>
    <w:p w14:paraId="27E95E21" w14:textId="14782E58" w:rsidR="0011043D" w:rsidRPr="00C13B03" w:rsidRDefault="00C13B03" w:rsidP="0011043D">
      <w:pPr>
        <w:spacing w:after="0" w:line="240" w:lineRule="auto"/>
        <w:jc w:val="center"/>
        <w:rPr>
          <w:rFonts w:ascii="Cambria" w:hAnsi="Cambria" w:cs="Calibri"/>
          <w:bCs/>
          <w:iCs/>
          <w:sz w:val="20"/>
          <w:szCs w:val="20"/>
          <w:highlight w:val="black"/>
          <w:lang w:val="es-ES"/>
        </w:rPr>
      </w:pPr>
      <w:r w:rsidRPr="00C13B03">
        <w:rPr>
          <w:rFonts w:ascii="Cambria" w:hAnsi="Cambria" w:cs="Calibri"/>
          <w:bCs/>
          <w:iCs/>
          <w:sz w:val="20"/>
          <w:szCs w:val="20"/>
          <w:highlight w:val="black"/>
          <w:lang w:val="es-ES"/>
        </w:rPr>
        <w:t>XXXXXXXXXXXXXXXXXXXXXXXXXXXXXXXXXXXX</w:t>
      </w:r>
    </w:p>
    <w:p w14:paraId="3E7F4B65" w14:textId="69C8B93D" w:rsidR="00540E41" w:rsidRPr="00C13B03" w:rsidRDefault="00C13B03" w:rsidP="0011043D">
      <w:pPr>
        <w:autoSpaceDE w:val="0"/>
        <w:autoSpaceDN w:val="0"/>
        <w:adjustRightInd w:val="0"/>
        <w:spacing w:after="0" w:line="240" w:lineRule="auto"/>
        <w:jc w:val="center"/>
        <w:rPr>
          <w:rFonts w:ascii="Cambria" w:hAnsi="Cambria"/>
          <w:sz w:val="20"/>
          <w:szCs w:val="20"/>
          <w:highlight w:val="black"/>
          <w:lang w:val="es-BO"/>
        </w:rPr>
      </w:pPr>
      <w:r w:rsidRPr="00C13B03">
        <w:rPr>
          <w:rFonts w:ascii="Cambria" w:hAnsi="Cambria"/>
          <w:sz w:val="20"/>
          <w:szCs w:val="20"/>
          <w:highlight w:val="black"/>
          <w:lang w:val="es-BO"/>
        </w:rPr>
        <w:t>XXXXXXXXXXXXXXXXXXXXXXXXXXXXXXXXXXXXXXXXXXXXXXX</w:t>
      </w:r>
    </w:p>
    <w:p w14:paraId="70ECE6FA" w14:textId="77777777" w:rsidR="004D4B39" w:rsidRPr="0011043D" w:rsidRDefault="004D4B39" w:rsidP="004D4B39">
      <w:pPr>
        <w:pStyle w:val="Default"/>
        <w:jc w:val="center"/>
        <w:rPr>
          <w:rFonts w:ascii="Cambria" w:hAnsi="Cambria"/>
          <w:color w:val="auto"/>
          <w:sz w:val="20"/>
          <w:szCs w:val="20"/>
        </w:rPr>
      </w:pPr>
    </w:p>
    <w:p w14:paraId="16DDFB22" w14:textId="7591A2BC" w:rsidR="00540E41" w:rsidRPr="004D4B39" w:rsidRDefault="00F1323F" w:rsidP="004D4B39">
      <w:pPr>
        <w:pStyle w:val="Default"/>
        <w:ind w:firstLine="567"/>
        <w:jc w:val="center"/>
        <w:rPr>
          <w:rFonts w:ascii="Cambria" w:hAnsi="Cambria"/>
          <w:color w:val="auto"/>
          <w:sz w:val="20"/>
          <w:szCs w:val="20"/>
        </w:rPr>
      </w:pPr>
      <w:r w:rsidRPr="00F1323F">
        <w:rPr>
          <w:rFonts w:ascii="Cambria" w:hAnsi="Cambria"/>
          <w:color w:val="auto"/>
          <w:sz w:val="20"/>
          <w:szCs w:val="20"/>
        </w:rPr>
        <w:t>Fundación Regional de Asesoría en Derechos Humanos- INREDH</w:t>
      </w:r>
    </w:p>
    <w:p w14:paraId="3249F293" w14:textId="7F842F49" w:rsidR="00540E41" w:rsidRPr="00C13B03" w:rsidRDefault="00C13B03" w:rsidP="004D4B39">
      <w:pPr>
        <w:pStyle w:val="Default"/>
        <w:jc w:val="center"/>
        <w:rPr>
          <w:rFonts w:ascii="Cambria" w:hAnsi="Cambria"/>
          <w:color w:val="000000" w:themeColor="text1"/>
          <w:sz w:val="20"/>
          <w:szCs w:val="20"/>
          <w:highlight w:val="black"/>
        </w:rPr>
      </w:pPr>
      <w:r w:rsidRPr="00C13B03">
        <w:rPr>
          <w:rFonts w:ascii="Cambria" w:hAnsi="Cambria"/>
          <w:color w:val="000000" w:themeColor="text1"/>
          <w:sz w:val="20"/>
          <w:szCs w:val="20"/>
          <w:highlight w:val="black"/>
        </w:rPr>
        <w:t>XXXXXXXXXXXXXXXXXX</w:t>
      </w:r>
    </w:p>
    <w:p w14:paraId="26BFF4FE" w14:textId="44BD7B8F" w:rsidR="00F1323F" w:rsidRPr="00C13B03" w:rsidRDefault="00C13B03" w:rsidP="004D4B39">
      <w:pPr>
        <w:pStyle w:val="Default"/>
        <w:jc w:val="center"/>
        <w:rPr>
          <w:rFonts w:ascii="Cambria" w:hAnsi="Cambria"/>
          <w:color w:val="000000" w:themeColor="text1"/>
          <w:sz w:val="20"/>
          <w:szCs w:val="20"/>
          <w:highlight w:val="black"/>
        </w:rPr>
      </w:pPr>
      <w:r w:rsidRPr="00C13B03">
        <w:rPr>
          <w:rFonts w:ascii="Cambria" w:hAnsi="Cambria"/>
          <w:color w:val="000000" w:themeColor="text1"/>
          <w:sz w:val="20"/>
          <w:szCs w:val="20"/>
          <w:highlight w:val="black"/>
        </w:rPr>
        <w:t>XXXXXXXXXXXXXXXXXXXXXX</w:t>
      </w:r>
    </w:p>
    <w:p w14:paraId="4BCFA8A4" w14:textId="314437F5" w:rsidR="00F1323F" w:rsidRPr="00C13B03" w:rsidRDefault="00C13B03" w:rsidP="004D4B39">
      <w:pPr>
        <w:pStyle w:val="Default"/>
        <w:jc w:val="center"/>
        <w:rPr>
          <w:rFonts w:ascii="Cambria" w:hAnsi="Cambria"/>
          <w:color w:val="000000" w:themeColor="text1"/>
          <w:sz w:val="20"/>
          <w:szCs w:val="20"/>
          <w:highlight w:val="black"/>
        </w:rPr>
      </w:pPr>
      <w:r w:rsidRPr="00C13B03">
        <w:rPr>
          <w:rFonts w:ascii="Cambria" w:hAnsi="Cambria"/>
          <w:color w:val="000000" w:themeColor="text1"/>
          <w:sz w:val="20"/>
          <w:szCs w:val="20"/>
          <w:highlight w:val="black"/>
        </w:rPr>
        <w:t>XXXXXXXXXXXXXXXXXXXX</w:t>
      </w:r>
    </w:p>
    <w:p w14:paraId="706103FE" w14:textId="6AAD5B2A" w:rsidR="00F1323F" w:rsidRPr="00C13B03" w:rsidRDefault="00C13B03" w:rsidP="004D4B39">
      <w:pPr>
        <w:pStyle w:val="Default"/>
        <w:jc w:val="center"/>
        <w:rPr>
          <w:rFonts w:ascii="Cambria" w:hAnsi="Cambria"/>
          <w:color w:val="000000" w:themeColor="text1"/>
          <w:sz w:val="20"/>
          <w:szCs w:val="20"/>
          <w:highlight w:val="black"/>
        </w:rPr>
      </w:pPr>
      <w:r w:rsidRPr="00C13B03">
        <w:rPr>
          <w:rFonts w:ascii="Cambria" w:hAnsi="Cambria"/>
          <w:color w:val="000000" w:themeColor="text1"/>
          <w:sz w:val="20"/>
          <w:szCs w:val="20"/>
          <w:highlight w:val="black"/>
        </w:rPr>
        <w:t>XXXXXXXXXXXXXXXXXXXXX</w:t>
      </w:r>
    </w:p>
    <w:p w14:paraId="20C492A2" w14:textId="26E6DD08" w:rsidR="004D4B39" w:rsidRDefault="004D4B39" w:rsidP="004876BE">
      <w:pPr>
        <w:autoSpaceDE w:val="0"/>
        <w:autoSpaceDN w:val="0"/>
        <w:adjustRightInd w:val="0"/>
        <w:spacing w:after="0" w:line="240" w:lineRule="auto"/>
        <w:ind w:firstLine="567"/>
        <w:jc w:val="center"/>
        <w:rPr>
          <w:rFonts w:ascii="Cambria" w:eastAsiaTheme="minorHAnsi" w:hAnsi="Cambria"/>
          <w:sz w:val="20"/>
          <w:szCs w:val="20"/>
          <w:lang w:val="es-BO"/>
        </w:rPr>
      </w:pPr>
    </w:p>
    <w:p w14:paraId="54958028" w14:textId="77777777" w:rsidR="0011043D" w:rsidRPr="0011043D" w:rsidRDefault="0011043D" w:rsidP="0011043D">
      <w:pPr>
        <w:spacing w:after="0" w:line="240" w:lineRule="auto"/>
        <w:jc w:val="center"/>
        <w:rPr>
          <w:rFonts w:ascii="Cambria" w:hAnsi="Cambria" w:cs="Calibri"/>
          <w:bCs/>
          <w:iCs/>
          <w:sz w:val="20"/>
          <w:szCs w:val="20"/>
          <w:lang w:val="es-ES"/>
        </w:rPr>
      </w:pPr>
      <w:r w:rsidRPr="0011043D">
        <w:rPr>
          <w:rFonts w:ascii="Cambria" w:hAnsi="Cambria" w:cs="Calibri"/>
          <w:bCs/>
          <w:iCs/>
          <w:sz w:val="20"/>
          <w:szCs w:val="20"/>
          <w:lang w:val="es-ES"/>
        </w:rPr>
        <w:t>Comuna Salango</w:t>
      </w:r>
    </w:p>
    <w:p w14:paraId="01BA3E86" w14:textId="716E93F5" w:rsidR="0011043D" w:rsidRPr="00C13B03" w:rsidRDefault="00C13B03" w:rsidP="0011043D">
      <w:pPr>
        <w:autoSpaceDE w:val="0"/>
        <w:autoSpaceDN w:val="0"/>
        <w:adjustRightInd w:val="0"/>
        <w:spacing w:after="0" w:line="240" w:lineRule="auto"/>
        <w:ind w:firstLine="567"/>
        <w:jc w:val="center"/>
        <w:rPr>
          <w:rFonts w:ascii="Cambria" w:eastAsiaTheme="minorHAnsi" w:hAnsi="Cambria"/>
          <w:sz w:val="20"/>
          <w:szCs w:val="20"/>
          <w:highlight w:val="black"/>
          <w:lang w:val="es-BO"/>
        </w:rPr>
      </w:pPr>
      <w:r w:rsidRPr="00C13B03">
        <w:rPr>
          <w:rFonts w:ascii="Cambria" w:eastAsiaTheme="minorHAnsi" w:hAnsi="Cambria"/>
          <w:sz w:val="20"/>
          <w:szCs w:val="20"/>
          <w:highlight w:val="black"/>
          <w:lang w:val="es-BO"/>
        </w:rPr>
        <w:t>XXXXXXXXXXXXXXXXXXXXXXXXXXXXXXX</w:t>
      </w:r>
    </w:p>
    <w:p w14:paraId="6DACA8BC" w14:textId="77777777" w:rsidR="0011043D" w:rsidRPr="0011043D" w:rsidRDefault="0011043D" w:rsidP="004876BE">
      <w:pPr>
        <w:autoSpaceDE w:val="0"/>
        <w:autoSpaceDN w:val="0"/>
        <w:adjustRightInd w:val="0"/>
        <w:spacing w:after="0" w:line="240" w:lineRule="auto"/>
        <w:ind w:firstLine="567"/>
        <w:jc w:val="center"/>
        <w:rPr>
          <w:rFonts w:ascii="Cambria" w:eastAsiaTheme="minorHAnsi" w:hAnsi="Cambria"/>
          <w:sz w:val="20"/>
          <w:szCs w:val="20"/>
          <w:lang w:val="es-BO"/>
        </w:rPr>
      </w:pPr>
    </w:p>
    <w:p w14:paraId="06FBBFB0" w14:textId="461BFF66" w:rsidR="0022405A" w:rsidRDefault="0022405A" w:rsidP="0022405A">
      <w:pPr>
        <w:autoSpaceDE w:val="0"/>
        <w:autoSpaceDN w:val="0"/>
        <w:adjustRightInd w:val="0"/>
        <w:spacing w:after="0" w:line="240" w:lineRule="auto"/>
        <w:ind w:firstLine="567"/>
        <w:rPr>
          <w:rFonts w:ascii="Cambria" w:eastAsiaTheme="minorHAnsi" w:hAnsi="Cambria"/>
          <w:sz w:val="20"/>
          <w:szCs w:val="20"/>
          <w:lang w:val="es-AR"/>
        </w:rPr>
      </w:pPr>
      <w:r w:rsidRPr="0022405A">
        <w:rPr>
          <w:rFonts w:ascii="Cambria" w:eastAsiaTheme="minorHAnsi" w:hAnsi="Cambria"/>
          <w:sz w:val="20"/>
          <w:szCs w:val="20"/>
          <w:lang w:val="es-AR"/>
        </w:rPr>
        <w:t>Aprovecho la oportunidad para saludar a usted muy atentamente,</w:t>
      </w:r>
    </w:p>
    <w:p w14:paraId="1532ECD3" w14:textId="5E14959F" w:rsidR="0011043D" w:rsidRPr="00264291" w:rsidRDefault="0011043D" w:rsidP="0011043D">
      <w:pPr>
        <w:tabs>
          <w:tab w:val="left" w:pos="3926"/>
        </w:tabs>
        <w:spacing w:after="0" w:line="240" w:lineRule="auto"/>
        <w:rPr>
          <w:sz w:val="24"/>
          <w:szCs w:val="24"/>
          <w:lang w:val="es-MX"/>
        </w:rPr>
      </w:pPr>
      <w:bookmarkStart w:id="2" w:name="_Hlk128731904"/>
      <w:bookmarkStart w:id="3" w:name="_Hlk129855594"/>
      <w:bookmarkStart w:id="4" w:name="_Hlk129970904"/>
      <w:bookmarkStart w:id="5" w:name="_Hlk122115986"/>
      <w:bookmarkStart w:id="6" w:name="_Hlk118969572"/>
      <w:bookmarkStart w:id="7" w:name="_Hlk120781836"/>
      <w:bookmarkStart w:id="8" w:name="_Hlk119577459"/>
      <w:bookmarkStart w:id="9" w:name="_Hlk129896549"/>
      <w:bookmarkStart w:id="10" w:name="_Hlk130997932"/>
      <w:bookmarkStart w:id="11" w:name="_Hlk131167805"/>
    </w:p>
    <w:p w14:paraId="5DB42162" w14:textId="77777777" w:rsidR="0011043D" w:rsidRPr="00D11D3E" w:rsidRDefault="0011043D" w:rsidP="0011043D">
      <w:pPr>
        <w:spacing w:after="0" w:line="240" w:lineRule="auto"/>
        <w:jc w:val="center"/>
        <w:rPr>
          <w:sz w:val="24"/>
          <w:szCs w:val="24"/>
          <w:lang w:val="es-MX"/>
        </w:rPr>
      </w:pPr>
    </w:p>
    <w:p w14:paraId="6271986C" w14:textId="77777777" w:rsidR="0011043D" w:rsidRPr="00D11D3E" w:rsidRDefault="0011043D" w:rsidP="0011043D">
      <w:pPr>
        <w:spacing w:after="0" w:line="240" w:lineRule="auto"/>
        <w:rPr>
          <w:sz w:val="24"/>
          <w:szCs w:val="24"/>
          <w:lang w:val="es-MX"/>
        </w:rPr>
      </w:pPr>
    </w:p>
    <w:bookmarkEnd w:id="2"/>
    <w:p w14:paraId="3AF14FAF" w14:textId="77777777" w:rsidR="0011043D" w:rsidRPr="0011043D" w:rsidRDefault="0011043D" w:rsidP="0011043D">
      <w:pPr>
        <w:tabs>
          <w:tab w:val="center" w:pos="5040"/>
        </w:tabs>
        <w:spacing w:after="0" w:line="240" w:lineRule="auto"/>
        <w:jc w:val="center"/>
        <w:rPr>
          <w:rFonts w:ascii="Cambria" w:hAnsi="Cambria"/>
          <w:sz w:val="20"/>
          <w:szCs w:val="20"/>
          <w:lang w:val="es-MX"/>
        </w:rPr>
      </w:pPr>
    </w:p>
    <w:p w14:paraId="568ACE5B" w14:textId="77777777" w:rsidR="0011043D" w:rsidRPr="0011043D" w:rsidRDefault="0011043D" w:rsidP="0011043D">
      <w:pPr>
        <w:spacing w:after="0" w:line="240" w:lineRule="auto"/>
        <w:jc w:val="center"/>
        <w:rPr>
          <w:rFonts w:ascii="Cambria" w:hAnsi="Cambria" w:cs="Calibri"/>
          <w:sz w:val="20"/>
          <w:szCs w:val="20"/>
          <w:lang w:val="es-CO"/>
        </w:rPr>
      </w:pPr>
      <w:r w:rsidRPr="0011043D">
        <w:rPr>
          <w:rFonts w:ascii="Cambria" w:hAnsi="Cambria" w:cs="Calibri"/>
          <w:sz w:val="20"/>
          <w:szCs w:val="20"/>
          <w:lang w:val="es-CO"/>
        </w:rPr>
        <w:t>Jorge Meza Flores</w:t>
      </w:r>
    </w:p>
    <w:p w14:paraId="261B5479" w14:textId="77777777" w:rsidR="0011043D" w:rsidRPr="0011043D" w:rsidRDefault="0011043D" w:rsidP="0011043D">
      <w:pPr>
        <w:spacing w:after="0" w:line="240" w:lineRule="auto"/>
        <w:jc w:val="center"/>
        <w:rPr>
          <w:rFonts w:ascii="Cambria" w:hAnsi="Cambria" w:cs="Calibri"/>
          <w:sz w:val="20"/>
          <w:szCs w:val="20"/>
          <w:lang w:val="es-CO"/>
        </w:rPr>
      </w:pPr>
      <w:r w:rsidRPr="0011043D">
        <w:rPr>
          <w:rFonts w:ascii="Cambria" w:hAnsi="Cambria" w:cs="Calibri"/>
          <w:sz w:val="20"/>
          <w:szCs w:val="20"/>
          <w:lang w:val="es-CO"/>
        </w:rPr>
        <w:t>Secretario Ejecutivo Adjunto</w:t>
      </w:r>
    </w:p>
    <w:bookmarkEnd w:id="3"/>
    <w:bookmarkEnd w:id="4"/>
    <w:bookmarkEnd w:id="5"/>
    <w:bookmarkEnd w:id="6"/>
    <w:bookmarkEnd w:id="7"/>
    <w:bookmarkEnd w:id="8"/>
    <w:bookmarkEnd w:id="9"/>
    <w:p w14:paraId="01847084" w14:textId="77777777" w:rsidR="0011043D" w:rsidRPr="0011043D" w:rsidRDefault="0011043D" w:rsidP="0011043D">
      <w:pPr>
        <w:tabs>
          <w:tab w:val="left" w:pos="-720"/>
        </w:tabs>
        <w:suppressAutoHyphens/>
        <w:spacing w:after="0" w:line="240" w:lineRule="auto"/>
        <w:jc w:val="both"/>
        <w:rPr>
          <w:rFonts w:ascii="Cambria" w:hAnsi="Cambria"/>
          <w:sz w:val="20"/>
          <w:szCs w:val="20"/>
          <w:lang w:val="pt-BR"/>
        </w:rPr>
      </w:pPr>
    </w:p>
    <w:bookmarkEnd w:id="10"/>
    <w:bookmarkEnd w:id="11"/>
    <w:p w14:paraId="3B21D721" w14:textId="5520BDC9" w:rsidR="0011043D" w:rsidRDefault="0011043D" w:rsidP="0011043D">
      <w:pPr>
        <w:autoSpaceDE w:val="0"/>
        <w:autoSpaceDN w:val="0"/>
        <w:adjustRightInd w:val="0"/>
        <w:spacing w:after="0" w:line="240" w:lineRule="auto"/>
        <w:rPr>
          <w:rFonts w:ascii="Cambria" w:eastAsiaTheme="minorHAnsi" w:hAnsi="Cambria"/>
          <w:sz w:val="20"/>
          <w:szCs w:val="20"/>
          <w:lang w:val="pt-BR"/>
        </w:rPr>
      </w:pPr>
    </w:p>
    <w:p w14:paraId="641DA0F5" w14:textId="5E07B5AC" w:rsidR="0011043D" w:rsidRPr="0011043D" w:rsidRDefault="0011043D" w:rsidP="0011043D">
      <w:pPr>
        <w:autoSpaceDE w:val="0"/>
        <w:autoSpaceDN w:val="0"/>
        <w:adjustRightInd w:val="0"/>
        <w:spacing w:after="0" w:line="240" w:lineRule="auto"/>
        <w:rPr>
          <w:rFonts w:ascii="Cambria" w:eastAsiaTheme="minorHAnsi" w:hAnsi="Cambria"/>
          <w:sz w:val="20"/>
          <w:szCs w:val="20"/>
          <w:lang w:val="pt-BR"/>
        </w:rPr>
      </w:pPr>
      <w:r>
        <w:rPr>
          <w:rFonts w:ascii="Cambria" w:eastAsiaTheme="minorHAnsi" w:hAnsi="Cambria"/>
          <w:sz w:val="20"/>
          <w:szCs w:val="20"/>
          <w:lang w:val="pt-BR"/>
        </w:rPr>
        <w:t>Anexo</w:t>
      </w:r>
    </w:p>
    <w:sectPr w:rsidR="0011043D" w:rsidRPr="0011043D" w:rsidSect="00F33A45">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1467" w14:textId="77777777" w:rsidR="00DC48AD" w:rsidRDefault="00DC48AD" w:rsidP="005122C2">
      <w:pPr>
        <w:spacing w:after="0" w:line="240" w:lineRule="auto"/>
      </w:pPr>
      <w:r>
        <w:separator/>
      </w:r>
    </w:p>
  </w:endnote>
  <w:endnote w:type="continuationSeparator" w:id="0">
    <w:p w14:paraId="6A151D34" w14:textId="77777777" w:rsidR="00DC48AD" w:rsidRDefault="00DC48AD" w:rsidP="0051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9BBD" w14:textId="77777777" w:rsidR="00DC48AD" w:rsidRDefault="00DC48AD" w:rsidP="005122C2">
      <w:pPr>
        <w:spacing w:after="0" w:line="240" w:lineRule="auto"/>
      </w:pPr>
      <w:r>
        <w:separator/>
      </w:r>
    </w:p>
  </w:footnote>
  <w:footnote w:type="continuationSeparator" w:id="0">
    <w:p w14:paraId="364A3B21" w14:textId="77777777" w:rsidR="00DC48AD" w:rsidRDefault="00DC48AD" w:rsidP="0051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F044" w14:textId="77777777" w:rsidR="005122C2" w:rsidRDefault="005122C2" w:rsidP="005122C2">
    <w:pPr>
      <w:pStyle w:val="Header"/>
    </w:pPr>
    <w:r w:rsidRPr="008A5CB5">
      <w:rPr>
        <w:noProof/>
      </w:rPr>
      <w:drawing>
        <wp:inline distT="0" distB="0" distL="0" distR="0" wp14:anchorId="73113200" wp14:editId="75B8269A">
          <wp:extent cx="2349500" cy="457200"/>
          <wp:effectExtent l="0" t="0" r="0" b="0"/>
          <wp:docPr id="19" name="Picture 1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34ADE4D9" wp14:editId="0E3118E6">
          <wp:extent cx="1651000" cy="469900"/>
          <wp:effectExtent l="0" t="0" r="0" b="0"/>
          <wp:docPr id="21" name="Picture 21"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279250B9" w14:textId="0F01782B" w:rsidR="005122C2" w:rsidRDefault="0011043D">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0F33"/>
    <w:multiLevelType w:val="hybridMultilevel"/>
    <w:tmpl w:val="8AB84BA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6941AE4"/>
    <w:multiLevelType w:val="hybridMultilevel"/>
    <w:tmpl w:val="3DC8B28E"/>
    <w:lvl w:ilvl="0" w:tplc="18AAAD34">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77B10DFA"/>
    <w:multiLevelType w:val="hybridMultilevel"/>
    <w:tmpl w:val="A384A8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614816">
    <w:abstractNumId w:val="0"/>
  </w:num>
  <w:num w:numId="2" w16cid:durableId="128980409">
    <w:abstractNumId w:val="1"/>
  </w:num>
  <w:num w:numId="3" w16cid:durableId="1509372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C2"/>
    <w:rsid w:val="00013C2A"/>
    <w:rsid w:val="000621EE"/>
    <w:rsid w:val="0006590E"/>
    <w:rsid w:val="00083F32"/>
    <w:rsid w:val="00090F06"/>
    <w:rsid w:val="000961EE"/>
    <w:rsid w:val="000B74CA"/>
    <w:rsid w:val="000C088D"/>
    <w:rsid w:val="000C611D"/>
    <w:rsid w:val="000F72F7"/>
    <w:rsid w:val="0011043D"/>
    <w:rsid w:val="00112A34"/>
    <w:rsid w:val="0011614F"/>
    <w:rsid w:val="00121F46"/>
    <w:rsid w:val="0014551D"/>
    <w:rsid w:val="00157FF8"/>
    <w:rsid w:val="00166E13"/>
    <w:rsid w:val="00167517"/>
    <w:rsid w:val="00172FF4"/>
    <w:rsid w:val="001A0309"/>
    <w:rsid w:val="001C28C3"/>
    <w:rsid w:val="001E1382"/>
    <w:rsid w:val="001E269A"/>
    <w:rsid w:val="001E3D86"/>
    <w:rsid w:val="001E7A4C"/>
    <w:rsid w:val="001F6BE0"/>
    <w:rsid w:val="00215480"/>
    <w:rsid w:val="00221B63"/>
    <w:rsid w:val="00221BFC"/>
    <w:rsid w:val="0022405A"/>
    <w:rsid w:val="00233983"/>
    <w:rsid w:val="00234B9A"/>
    <w:rsid w:val="00237681"/>
    <w:rsid w:val="00244D67"/>
    <w:rsid w:val="00274FFF"/>
    <w:rsid w:val="002A315F"/>
    <w:rsid w:val="002A5693"/>
    <w:rsid w:val="002A579D"/>
    <w:rsid w:val="002B6B1F"/>
    <w:rsid w:val="002D4457"/>
    <w:rsid w:val="002E4372"/>
    <w:rsid w:val="002E5F34"/>
    <w:rsid w:val="002F02A7"/>
    <w:rsid w:val="00302A08"/>
    <w:rsid w:val="00303B4B"/>
    <w:rsid w:val="00333171"/>
    <w:rsid w:val="00353179"/>
    <w:rsid w:val="00361344"/>
    <w:rsid w:val="00362EBF"/>
    <w:rsid w:val="003659D0"/>
    <w:rsid w:val="0037432D"/>
    <w:rsid w:val="0037548A"/>
    <w:rsid w:val="0037746E"/>
    <w:rsid w:val="003A16DB"/>
    <w:rsid w:val="003C40C9"/>
    <w:rsid w:val="003C73FD"/>
    <w:rsid w:val="003D1C43"/>
    <w:rsid w:val="003D6EDA"/>
    <w:rsid w:val="003E01A1"/>
    <w:rsid w:val="004066CB"/>
    <w:rsid w:val="004102AC"/>
    <w:rsid w:val="00421B2A"/>
    <w:rsid w:val="00422480"/>
    <w:rsid w:val="0043520B"/>
    <w:rsid w:val="00446598"/>
    <w:rsid w:val="00456A79"/>
    <w:rsid w:val="004770A6"/>
    <w:rsid w:val="00477D01"/>
    <w:rsid w:val="00485102"/>
    <w:rsid w:val="004876BE"/>
    <w:rsid w:val="00495F68"/>
    <w:rsid w:val="004A5A88"/>
    <w:rsid w:val="004B4ED2"/>
    <w:rsid w:val="004C7DB9"/>
    <w:rsid w:val="004D4B39"/>
    <w:rsid w:val="004D5371"/>
    <w:rsid w:val="004E4451"/>
    <w:rsid w:val="004E66D7"/>
    <w:rsid w:val="00502AD8"/>
    <w:rsid w:val="005059BB"/>
    <w:rsid w:val="00506C5A"/>
    <w:rsid w:val="005076FC"/>
    <w:rsid w:val="005122C2"/>
    <w:rsid w:val="005131FC"/>
    <w:rsid w:val="00527470"/>
    <w:rsid w:val="0052790F"/>
    <w:rsid w:val="00540E41"/>
    <w:rsid w:val="005477E0"/>
    <w:rsid w:val="00567FF9"/>
    <w:rsid w:val="0057530D"/>
    <w:rsid w:val="00586156"/>
    <w:rsid w:val="00591463"/>
    <w:rsid w:val="005A0816"/>
    <w:rsid w:val="005A30C3"/>
    <w:rsid w:val="005B2CD9"/>
    <w:rsid w:val="005B4EB1"/>
    <w:rsid w:val="005C5128"/>
    <w:rsid w:val="005C7371"/>
    <w:rsid w:val="005E2A1B"/>
    <w:rsid w:val="005E3D07"/>
    <w:rsid w:val="005F5798"/>
    <w:rsid w:val="00611D8E"/>
    <w:rsid w:val="0061245C"/>
    <w:rsid w:val="00612BF1"/>
    <w:rsid w:val="00617EE5"/>
    <w:rsid w:val="00624F14"/>
    <w:rsid w:val="00651894"/>
    <w:rsid w:val="00654EC6"/>
    <w:rsid w:val="006724BB"/>
    <w:rsid w:val="006747B0"/>
    <w:rsid w:val="006761D9"/>
    <w:rsid w:val="00682C27"/>
    <w:rsid w:val="006B1685"/>
    <w:rsid w:val="006C3E05"/>
    <w:rsid w:val="006D4E1A"/>
    <w:rsid w:val="006D54AC"/>
    <w:rsid w:val="007011E6"/>
    <w:rsid w:val="00702BA4"/>
    <w:rsid w:val="0070766F"/>
    <w:rsid w:val="00721CE6"/>
    <w:rsid w:val="00723DA5"/>
    <w:rsid w:val="0073321A"/>
    <w:rsid w:val="00735A46"/>
    <w:rsid w:val="007420C7"/>
    <w:rsid w:val="00744401"/>
    <w:rsid w:val="00747544"/>
    <w:rsid w:val="0076341B"/>
    <w:rsid w:val="00763D1C"/>
    <w:rsid w:val="007866D3"/>
    <w:rsid w:val="007A4440"/>
    <w:rsid w:val="007B4742"/>
    <w:rsid w:val="007C2896"/>
    <w:rsid w:val="007D15CA"/>
    <w:rsid w:val="007D68A0"/>
    <w:rsid w:val="007E0653"/>
    <w:rsid w:val="007F6225"/>
    <w:rsid w:val="00827461"/>
    <w:rsid w:val="008313CB"/>
    <w:rsid w:val="00850736"/>
    <w:rsid w:val="00857C5A"/>
    <w:rsid w:val="008630BD"/>
    <w:rsid w:val="008725E2"/>
    <w:rsid w:val="008849B1"/>
    <w:rsid w:val="00885055"/>
    <w:rsid w:val="00890739"/>
    <w:rsid w:val="00893A8F"/>
    <w:rsid w:val="008A0316"/>
    <w:rsid w:val="008A0885"/>
    <w:rsid w:val="008A65C5"/>
    <w:rsid w:val="008A69D6"/>
    <w:rsid w:val="008C30A6"/>
    <w:rsid w:val="008D1919"/>
    <w:rsid w:val="008D418B"/>
    <w:rsid w:val="008D6592"/>
    <w:rsid w:val="008F5016"/>
    <w:rsid w:val="008F5810"/>
    <w:rsid w:val="0090652E"/>
    <w:rsid w:val="00912441"/>
    <w:rsid w:val="00925735"/>
    <w:rsid w:val="0093294D"/>
    <w:rsid w:val="00942DF2"/>
    <w:rsid w:val="00967B83"/>
    <w:rsid w:val="00983416"/>
    <w:rsid w:val="009A6A42"/>
    <w:rsid w:val="009C0422"/>
    <w:rsid w:val="009D28C5"/>
    <w:rsid w:val="009D2DB4"/>
    <w:rsid w:val="009E1098"/>
    <w:rsid w:val="009F1286"/>
    <w:rsid w:val="009F3D3F"/>
    <w:rsid w:val="00A31B18"/>
    <w:rsid w:val="00A829AA"/>
    <w:rsid w:val="00A83C31"/>
    <w:rsid w:val="00A869FF"/>
    <w:rsid w:val="00A959EB"/>
    <w:rsid w:val="00A977F4"/>
    <w:rsid w:val="00AD106D"/>
    <w:rsid w:val="00AE2697"/>
    <w:rsid w:val="00AE2E5C"/>
    <w:rsid w:val="00AE394B"/>
    <w:rsid w:val="00B048D0"/>
    <w:rsid w:val="00B1161A"/>
    <w:rsid w:val="00B178E4"/>
    <w:rsid w:val="00B212E9"/>
    <w:rsid w:val="00B223BF"/>
    <w:rsid w:val="00B25C89"/>
    <w:rsid w:val="00B332A9"/>
    <w:rsid w:val="00B409DA"/>
    <w:rsid w:val="00B43EAE"/>
    <w:rsid w:val="00B62157"/>
    <w:rsid w:val="00B641DC"/>
    <w:rsid w:val="00B67596"/>
    <w:rsid w:val="00B676BD"/>
    <w:rsid w:val="00B77E57"/>
    <w:rsid w:val="00B83A83"/>
    <w:rsid w:val="00B84B6E"/>
    <w:rsid w:val="00B924A2"/>
    <w:rsid w:val="00BA0A91"/>
    <w:rsid w:val="00BA482B"/>
    <w:rsid w:val="00BB0F02"/>
    <w:rsid w:val="00BC0057"/>
    <w:rsid w:val="00BC3094"/>
    <w:rsid w:val="00BD1869"/>
    <w:rsid w:val="00BD1B8E"/>
    <w:rsid w:val="00BD2529"/>
    <w:rsid w:val="00BD5315"/>
    <w:rsid w:val="00BE0721"/>
    <w:rsid w:val="00BF37ED"/>
    <w:rsid w:val="00BF60F8"/>
    <w:rsid w:val="00C07CD3"/>
    <w:rsid w:val="00C07E7C"/>
    <w:rsid w:val="00C13B03"/>
    <w:rsid w:val="00C17D8B"/>
    <w:rsid w:val="00C324AE"/>
    <w:rsid w:val="00C37885"/>
    <w:rsid w:val="00C6456D"/>
    <w:rsid w:val="00C71D49"/>
    <w:rsid w:val="00C80629"/>
    <w:rsid w:val="00C80E86"/>
    <w:rsid w:val="00CA5072"/>
    <w:rsid w:val="00CB47C2"/>
    <w:rsid w:val="00CC050D"/>
    <w:rsid w:val="00CD124F"/>
    <w:rsid w:val="00CD6652"/>
    <w:rsid w:val="00CD6719"/>
    <w:rsid w:val="00CD6B51"/>
    <w:rsid w:val="00CE297A"/>
    <w:rsid w:val="00CE7927"/>
    <w:rsid w:val="00CF38C2"/>
    <w:rsid w:val="00CF4099"/>
    <w:rsid w:val="00CF5E63"/>
    <w:rsid w:val="00D02E45"/>
    <w:rsid w:val="00D225D8"/>
    <w:rsid w:val="00D45219"/>
    <w:rsid w:val="00D479C9"/>
    <w:rsid w:val="00D614CB"/>
    <w:rsid w:val="00D63838"/>
    <w:rsid w:val="00D650BD"/>
    <w:rsid w:val="00D67259"/>
    <w:rsid w:val="00D85AD7"/>
    <w:rsid w:val="00D8724A"/>
    <w:rsid w:val="00DB16FD"/>
    <w:rsid w:val="00DB42DD"/>
    <w:rsid w:val="00DB4485"/>
    <w:rsid w:val="00DC0F56"/>
    <w:rsid w:val="00DC1F0E"/>
    <w:rsid w:val="00DC48AD"/>
    <w:rsid w:val="00DE1B55"/>
    <w:rsid w:val="00DF2650"/>
    <w:rsid w:val="00E0094E"/>
    <w:rsid w:val="00E31ECB"/>
    <w:rsid w:val="00E352B1"/>
    <w:rsid w:val="00E41CE6"/>
    <w:rsid w:val="00E532A3"/>
    <w:rsid w:val="00E65987"/>
    <w:rsid w:val="00E7190F"/>
    <w:rsid w:val="00E801C9"/>
    <w:rsid w:val="00E9191E"/>
    <w:rsid w:val="00E940EC"/>
    <w:rsid w:val="00EA76B7"/>
    <w:rsid w:val="00EB2F00"/>
    <w:rsid w:val="00EB3C93"/>
    <w:rsid w:val="00ED0C20"/>
    <w:rsid w:val="00ED3EE2"/>
    <w:rsid w:val="00EF10A9"/>
    <w:rsid w:val="00EF2788"/>
    <w:rsid w:val="00F11F25"/>
    <w:rsid w:val="00F123DA"/>
    <w:rsid w:val="00F1323F"/>
    <w:rsid w:val="00F215E8"/>
    <w:rsid w:val="00F339E3"/>
    <w:rsid w:val="00F33A45"/>
    <w:rsid w:val="00F40435"/>
    <w:rsid w:val="00F57D70"/>
    <w:rsid w:val="00F60D9A"/>
    <w:rsid w:val="00F749BD"/>
    <w:rsid w:val="00FA122D"/>
    <w:rsid w:val="00FA167F"/>
    <w:rsid w:val="00FA5750"/>
    <w:rsid w:val="00FB2F41"/>
    <w:rsid w:val="00FF3171"/>
    <w:rsid w:val="00FF3561"/>
    <w:rsid w:val="21253F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E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C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5122C2"/>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5122C2"/>
  </w:style>
  <w:style w:type="paragraph" w:styleId="Footer">
    <w:name w:val="footer"/>
    <w:basedOn w:val="Normal"/>
    <w:link w:val="FooterChar"/>
    <w:uiPriority w:val="99"/>
    <w:unhideWhenUsed/>
    <w:rsid w:val="005122C2"/>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5122C2"/>
  </w:style>
  <w:style w:type="paragraph" w:customStyle="1" w:styleId="xmsolistparagraph">
    <w:name w:val="x_msolistparagraph"/>
    <w:basedOn w:val="Normal"/>
    <w:rsid w:val="005122C2"/>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Colorful List - Accent 12,Medium Grid 1 - Accent 21,Subtle Emphasis1,Footnote1,Parragrap,Superíndice,Dot pt"/>
    <w:basedOn w:val="Normal"/>
    <w:link w:val="ListParagraphChar"/>
    <w:qFormat/>
    <w:rsid w:val="001C28C3"/>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olorful List - Accent 12 Char,Medium Grid 1 - Accent 21 Char,Subtle Emphasis1 Char"/>
    <w:link w:val="ListParagraph"/>
    <w:locked/>
    <w:rsid w:val="004E4451"/>
    <w:rPr>
      <w:rFonts w:ascii="Calibri" w:eastAsia="Calibri" w:hAnsi="Calibri" w:cs="Times New Roman"/>
      <w:sz w:val="22"/>
      <w:szCs w:val="22"/>
    </w:rPr>
  </w:style>
  <w:style w:type="paragraph" w:styleId="BodyTextIndent">
    <w:name w:val="Body Text Indent"/>
    <w:link w:val="BodyTextIndentChar"/>
    <w:rsid w:val="003C40C9"/>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3C40C9"/>
    <w:rPr>
      <w:rFonts w:ascii="Times New Roman" w:eastAsia="Times New Roman" w:hAnsi="Times New Roman" w:cs="Times New Roman"/>
      <w:color w:val="000000"/>
      <w:u w:color="000000"/>
      <w:bdr w:val="nil"/>
      <w:lang w:val="es-ES_tradnl" w:eastAsia="es-ES"/>
    </w:rPr>
  </w:style>
  <w:style w:type="paragraph" w:customStyle="1" w:styleId="parrafos">
    <w:name w:val="parrafos"/>
    <w:basedOn w:val="Normal"/>
    <w:link w:val="parrafosChar"/>
    <w:qFormat/>
    <w:rsid w:val="003C40C9"/>
    <w:pPr>
      <w:spacing w:after="0" w:line="240" w:lineRule="auto"/>
      <w:jc w:val="both"/>
    </w:pPr>
    <w:rPr>
      <w:rFonts w:ascii="Cambria" w:eastAsia="Arial Unicode MS" w:hAnsi="Cambria"/>
      <w:color w:val="000000"/>
      <w:sz w:val="20"/>
      <w:szCs w:val="20"/>
      <w:bdr w:val="nil"/>
      <w:lang w:val="es-VE" w:eastAsia="x-none"/>
    </w:rPr>
  </w:style>
  <w:style w:type="character" w:customStyle="1" w:styleId="parrafosChar">
    <w:name w:val="parrafos Char"/>
    <w:link w:val="parrafos"/>
    <w:rsid w:val="003C40C9"/>
    <w:rPr>
      <w:rFonts w:ascii="Cambria" w:eastAsia="Arial Unicode MS" w:hAnsi="Cambria" w:cs="Times New Roman"/>
      <w:color w:val="000000"/>
      <w:sz w:val="20"/>
      <w:szCs w:val="20"/>
      <w:bdr w:val="nil"/>
      <w:lang w:val="es-VE" w:eastAsia="x-none"/>
    </w:rPr>
  </w:style>
  <w:style w:type="character" w:styleId="Hyperlink">
    <w:name w:val="Hyperlink"/>
    <w:basedOn w:val="DefaultParagraphFont"/>
    <w:uiPriority w:val="99"/>
    <w:unhideWhenUsed/>
    <w:rsid w:val="00540E41"/>
    <w:rPr>
      <w:color w:val="0563C1" w:themeColor="hyperlink"/>
      <w:u w:val="single"/>
    </w:rPr>
  </w:style>
  <w:style w:type="character" w:styleId="UnresolvedMention">
    <w:name w:val="Unresolved Mention"/>
    <w:basedOn w:val="DefaultParagraphFont"/>
    <w:uiPriority w:val="99"/>
    <w:semiHidden/>
    <w:unhideWhenUsed/>
    <w:rsid w:val="00540E41"/>
    <w:rPr>
      <w:color w:val="605E5C"/>
      <w:shd w:val="clear" w:color="auto" w:fill="E1DFDD"/>
    </w:rPr>
  </w:style>
  <w:style w:type="paragraph" w:customStyle="1" w:styleId="Default">
    <w:name w:val="Default"/>
    <w:rsid w:val="00540E41"/>
    <w:pPr>
      <w:autoSpaceDE w:val="0"/>
      <w:autoSpaceDN w:val="0"/>
      <w:adjustRightInd w:val="0"/>
    </w:pPr>
    <w:rPr>
      <w:rFonts w:ascii="Times New Roman" w:hAnsi="Times New Roman" w:cs="Times New Roman"/>
      <w:color w:val="000000"/>
      <w:lang w:val="es-BO"/>
    </w:rPr>
  </w:style>
  <w:style w:type="paragraph" w:styleId="BalloonText">
    <w:name w:val="Balloon Text"/>
    <w:basedOn w:val="Normal"/>
    <w:link w:val="BalloonTextChar"/>
    <w:uiPriority w:val="99"/>
    <w:semiHidden/>
    <w:unhideWhenUsed/>
    <w:qFormat/>
    <w:rsid w:val="0011614F"/>
    <w:pPr>
      <w:spacing w:after="0" w:line="240" w:lineRule="auto"/>
    </w:pPr>
    <w:rPr>
      <w:rFonts w:ascii="Lucida Grande" w:hAnsi="Lucida Grande" w:cs="Lucida Grande"/>
      <w:color w:val="000000"/>
      <w:sz w:val="18"/>
      <w:szCs w:val="18"/>
      <w:u w:color="000000"/>
    </w:rPr>
  </w:style>
  <w:style w:type="character" w:customStyle="1" w:styleId="BalloonTextChar">
    <w:name w:val="Balloon Text Char"/>
    <w:basedOn w:val="DefaultParagraphFont"/>
    <w:link w:val="BalloonText"/>
    <w:uiPriority w:val="99"/>
    <w:semiHidden/>
    <w:qFormat/>
    <w:rsid w:val="0011614F"/>
    <w:rPr>
      <w:rFonts w:ascii="Lucida Grande" w:eastAsia="Calibri"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2025-01-23T19:54:00Z</dcterms:created>
  <dcterms:modified xsi:type="dcterms:W3CDTF">2025-01-23T19:54:00Z</dcterms:modified>
</cp:coreProperties>
</file>