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337A" w14:textId="77777777" w:rsidR="00EE6B09" w:rsidRPr="00C12A47" w:rsidRDefault="00EE6B09" w:rsidP="00EE6B09">
      <w:pPr>
        <w:spacing w:after="0" w:line="240" w:lineRule="auto"/>
        <w:jc w:val="right"/>
        <w:rPr>
          <w:rFonts w:ascii="Cambria" w:hAnsi="Cambria" w:cs="Calibri"/>
          <w:color w:val="000000"/>
          <w:sz w:val="20"/>
          <w:szCs w:val="20"/>
          <w:lang w:val="es-CO"/>
        </w:rPr>
      </w:pPr>
    </w:p>
    <w:p w14:paraId="4973C316" w14:textId="77777777" w:rsidR="00EE6B09" w:rsidRPr="00C12A47" w:rsidRDefault="00EE6B09" w:rsidP="00EE6B09">
      <w:pPr>
        <w:spacing w:after="0" w:line="240" w:lineRule="auto"/>
        <w:jc w:val="right"/>
        <w:rPr>
          <w:rFonts w:ascii="Cambria" w:hAnsi="Cambria" w:cs="Calibri"/>
          <w:color w:val="000000"/>
          <w:sz w:val="20"/>
          <w:szCs w:val="20"/>
          <w:lang w:val="es-CO"/>
        </w:rPr>
      </w:pPr>
    </w:p>
    <w:p w14:paraId="790FEEE4" w14:textId="7681FAD2" w:rsidR="00EE6B09" w:rsidRPr="007B3E6F" w:rsidRDefault="00EE6B09" w:rsidP="00EE6B09">
      <w:pPr>
        <w:spacing w:after="0" w:line="240" w:lineRule="auto"/>
        <w:jc w:val="right"/>
        <w:rPr>
          <w:rFonts w:ascii="Cambria" w:hAnsi="Cambria" w:cs="Calibri"/>
          <w:color w:val="000000"/>
          <w:sz w:val="20"/>
          <w:szCs w:val="20"/>
          <w:lang w:val="es-CO"/>
        </w:rPr>
      </w:pPr>
      <w:r>
        <w:rPr>
          <w:rFonts w:ascii="Cambria" w:hAnsi="Cambria" w:cs="Calibri"/>
          <w:color w:val="000000"/>
          <w:sz w:val="20"/>
          <w:szCs w:val="20"/>
          <w:lang w:val="es-CO"/>
        </w:rPr>
        <w:t>9</w:t>
      </w:r>
      <w:r w:rsidRPr="007B3E6F">
        <w:rPr>
          <w:rFonts w:ascii="Cambria" w:hAnsi="Cambria" w:cs="Calibri"/>
          <w:color w:val="000000"/>
          <w:sz w:val="20"/>
          <w:szCs w:val="20"/>
          <w:lang w:val="es-CO"/>
        </w:rPr>
        <w:t xml:space="preserve"> de </w:t>
      </w:r>
      <w:r>
        <w:rPr>
          <w:rFonts w:ascii="Cambria" w:hAnsi="Cambria" w:cs="Calibri"/>
          <w:color w:val="000000"/>
          <w:sz w:val="20"/>
          <w:szCs w:val="20"/>
          <w:lang w:val="es-CO"/>
        </w:rPr>
        <w:t>noviembre</w:t>
      </w:r>
      <w:r w:rsidRPr="007B3E6F">
        <w:rPr>
          <w:rFonts w:ascii="Cambria" w:hAnsi="Cambria" w:cs="Calibri"/>
          <w:color w:val="000000"/>
          <w:sz w:val="20"/>
          <w:szCs w:val="20"/>
          <w:lang w:val="es-CO"/>
        </w:rPr>
        <w:t xml:space="preserve"> de 2023</w:t>
      </w:r>
    </w:p>
    <w:p w14:paraId="734CA11A" w14:textId="6B9C6E5A" w:rsidR="00EE6B09" w:rsidRPr="007B3E6F" w:rsidRDefault="00EE6B09" w:rsidP="00EE6B09">
      <w:pPr>
        <w:spacing w:after="0" w:line="240" w:lineRule="auto"/>
        <w:jc w:val="both"/>
        <w:rPr>
          <w:rFonts w:ascii="Cambria" w:hAnsi="Cambria" w:cs="Calibri"/>
          <w:b/>
          <w:color w:val="000000"/>
          <w:sz w:val="20"/>
          <w:szCs w:val="20"/>
          <w:lang w:val="es-CO"/>
        </w:rPr>
      </w:pPr>
      <w:r w:rsidRPr="007B3E6F">
        <w:rPr>
          <w:rFonts w:ascii="Cambria" w:hAnsi="Cambria" w:cs="Calibri"/>
          <w:b/>
          <w:color w:val="000000"/>
          <w:sz w:val="20"/>
          <w:szCs w:val="20"/>
          <w:lang w:val="es-CO"/>
        </w:rPr>
        <w:t>REF.:</w:t>
      </w:r>
      <w:bookmarkStart w:id="0" w:name="Peticion_n"/>
      <w:bookmarkEnd w:id="0"/>
      <w:r w:rsidRPr="007B3E6F">
        <w:rPr>
          <w:rFonts w:ascii="Cambria" w:hAnsi="Cambria" w:cs="Calibri"/>
          <w:b/>
          <w:color w:val="000000"/>
          <w:sz w:val="20"/>
          <w:szCs w:val="20"/>
          <w:lang w:val="es-CO"/>
        </w:rPr>
        <w:tab/>
        <w:t xml:space="preserve">Caso Nº </w:t>
      </w:r>
      <w:r>
        <w:rPr>
          <w:rFonts w:ascii="Cambria" w:hAnsi="Cambria" w:cs="Calibri"/>
          <w:b/>
          <w:color w:val="000000"/>
          <w:sz w:val="20"/>
          <w:szCs w:val="20"/>
          <w:lang w:val="es-CO"/>
        </w:rPr>
        <w:t>13.658</w:t>
      </w:r>
    </w:p>
    <w:p w14:paraId="4C3454E2" w14:textId="77777777" w:rsidR="00EE6B09" w:rsidRDefault="00EE6B09" w:rsidP="00EE6B09">
      <w:pPr>
        <w:spacing w:after="0" w:line="240" w:lineRule="auto"/>
        <w:ind w:firstLine="720"/>
        <w:jc w:val="both"/>
        <w:rPr>
          <w:rFonts w:ascii="Cambria" w:hAnsi="Cambria" w:cs="Calibri"/>
          <w:b/>
          <w:color w:val="000000"/>
          <w:sz w:val="20"/>
          <w:szCs w:val="20"/>
          <w:lang w:val="es-CO"/>
        </w:rPr>
      </w:pPr>
      <w:r w:rsidRPr="00EE6B09">
        <w:rPr>
          <w:rFonts w:ascii="Cambria" w:hAnsi="Cambria" w:cs="Calibri"/>
          <w:b/>
          <w:color w:val="000000"/>
          <w:sz w:val="20"/>
          <w:szCs w:val="20"/>
          <w:lang w:val="es-CO"/>
        </w:rPr>
        <w:t>José María Galdeano Ibáñez</w:t>
      </w:r>
    </w:p>
    <w:p w14:paraId="70953F7C" w14:textId="61F6980F" w:rsidR="00EE6B09" w:rsidRPr="007B3E6F" w:rsidRDefault="00EE6B09" w:rsidP="00EE6B09">
      <w:pPr>
        <w:spacing w:after="0" w:line="240" w:lineRule="auto"/>
        <w:ind w:firstLine="720"/>
        <w:jc w:val="both"/>
        <w:rPr>
          <w:rFonts w:ascii="Cambria" w:hAnsi="Cambria" w:cs="Calibri"/>
          <w:b/>
          <w:color w:val="000000"/>
          <w:sz w:val="20"/>
          <w:szCs w:val="20"/>
          <w:lang w:val="es-CO"/>
        </w:rPr>
      </w:pPr>
      <w:r w:rsidRPr="007B3E6F">
        <w:rPr>
          <w:rFonts w:ascii="Cambria" w:hAnsi="Cambria"/>
          <w:b/>
          <w:sz w:val="20"/>
          <w:szCs w:val="20"/>
          <w:lang w:val="es-CO"/>
        </w:rPr>
        <w:t>Nicaragua</w:t>
      </w:r>
    </w:p>
    <w:p w14:paraId="28B17C86" w14:textId="77777777" w:rsidR="00EE6B09" w:rsidRPr="00FF553F" w:rsidRDefault="00EE6B09" w:rsidP="00EE6B09">
      <w:pPr>
        <w:spacing w:after="0" w:line="240" w:lineRule="auto"/>
        <w:jc w:val="both"/>
        <w:rPr>
          <w:rFonts w:ascii="Cambria" w:hAnsi="Cambria" w:cs="Calibri"/>
          <w:b/>
          <w:color w:val="000000"/>
          <w:sz w:val="16"/>
          <w:szCs w:val="16"/>
          <w:lang w:val="es-CO"/>
        </w:rPr>
      </w:pPr>
    </w:p>
    <w:p w14:paraId="3C02D98D" w14:textId="77777777" w:rsidR="00EE6B09" w:rsidRPr="007B3E6F" w:rsidRDefault="00EE6B09" w:rsidP="00EE6B09">
      <w:pPr>
        <w:spacing w:after="0" w:line="240" w:lineRule="auto"/>
        <w:jc w:val="both"/>
        <w:rPr>
          <w:rFonts w:ascii="Cambria" w:hAnsi="Cambria" w:cs="Calibri"/>
          <w:b/>
          <w:color w:val="000000"/>
          <w:sz w:val="20"/>
          <w:szCs w:val="20"/>
          <w:lang w:val="es-CO"/>
        </w:rPr>
      </w:pPr>
    </w:p>
    <w:p w14:paraId="5460CAE4" w14:textId="77777777" w:rsidR="00EE6B09" w:rsidRPr="00053578" w:rsidRDefault="00EE6B09" w:rsidP="00EE6B09">
      <w:pPr>
        <w:spacing w:after="0" w:line="240" w:lineRule="auto"/>
        <w:jc w:val="both"/>
        <w:rPr>
          <w:rFonts w:ascii="Cambria" w:hAnsi="Cambria" w:cs="Calibri"/>
          <w:color w:val="000000"/>
          <w:sz w:val="20"/>
          <w:szCs w:val="20"/>
          <w:lang w:val="es-CO"/>
        </w:rPr>
      </w:pPr>
      <w:r w:rsidRPr="00053578">
        <w:rPr>
          <w:rFonts w:ascii="Cambria" w:hAnsi="Cambria" w:cs="Calibri"/>
          <w:color w:val="000000"/>
          <w:sz w:val="20"/>
          <w:szCs w:val="20"/>
          <w:lang w:val="es-CO"/>
        </w:rPr>
        <w:t>Señor Secretario:</w:t>
      </w:r>
    </w:p>
    <w:p w14:paraId="20547069" w14:textId="77777777" w:rsidR="00EE6B09" w:rsidRPr="00053578" w:rsidRDefault="00EE6B09" w:rsidP="00EE6B09">
      <w:pPr>
        <w:spacing w:after="0" w:line="240" w:lineRule="auto"/>
        <w:jc w:val="both"/>
        <w:rPr>
          <w:rFonts w:ascii="Cambria" w:hAnsi="Cambria"/>
          <w:color w:val="000000"/>
          <w:sz w:val="20"/>
          <w:szCs w:val="20"/>
          <w:lang w:val="es-CO"/>
        </w:rPr>
      </w:pPr>
    </w:p>
    <w:p w14:paraId="62692EFB" w14:textId="344083CE" w:rsidR="00EE6B09" w:rsidRDefault="00EE6B09" w:rsidP="00EE6B09">
      <w:pPr>
        <w:tabs>
          <w:tab w:val="left" w:pos="567"/>
          <w:tab w:val="left" w:pos="1440"/>
        </w:tabs>
        <w:spacing w:after="0" w:line="240" w:lineRule="auto"/>
        <w:jc w:val="both"/>
        <w:rPr>
          <w:rFonts w:ascii="Cambria" w:eastAsia="Arial Unicode MS" w:hAnsi="Cambria"/>
          <w:color w:val="000000"/>
          <w:sz w:val="20"/>
          <w:szCs w:val="20"/>
          <w:lang w:val="es-ES_tradnl"/>
        </w:rPr>
      </w:pPr>
      <w:r w:rsidRPr="00053578">
        <w:rPr>
          <w:rFonts w:ascii="Cambria" w:hAnsi="Cambria"/>
          <w:sz w:val="20"/>
          <w:szCs w:val="20"/>
          <w:lang w:val="es-CO"/>
        </w:rPr>
        <w:tab/>
        <w:t xml:space="preserve">Tengo el agrado de dirigirme a usted, en nombre de la Comisión Interamericana de Derechos Humanos (CIDH), con el objeto de someter a la jurisdicción de la Honorable Corte Interamericana de Derechos Humanos el Caso </w:t>
      </w:r>
      <w:bookmarkStart w:id="1" w:name="Peticion_n1"/>
      <w:bookmarkEnd w:id="1"/>
      <w:r w:rsidRPr="00053578">
        <w:rPr>
          <w:rFonts w:ascii="Cambria" w:hAnsi="Cambria"/>
          <w:sz w:val="20"/>
          <w:szCs w:val="20"/>
          <w:lang w:val="es-CO"/>
        </w:rPr>
        <w:t>Nº 1</w:t>
      </w:r>
      <w:r>
        <w:rPr>
          <w:rFonts w:ascii="Cambria" w:hAnsi="Cambria"/>
          <w:sz w:val="20"/>
          <w:szCs w:val="20"/>
          <w:lang w:val="es-CO"/>
        </w:rPr>
        <w:t>3.658</w:t>
      </w:r>
      <w:r w:rsidRPr="00053578">
        <w:rPr>
          <w:rFonts w:ascii="Cambria" w:hAnsi="Cambria"/>
          <w:sz w:val="20"/>
          <w:szCs w:val="20"/>
          <w:lang w:val="es-CO"/>
        </w:rPr>
        <w:t xml:space="preserve"> – </w:t>
      </w:r>
      <w:r w:rsidRPr="00EE6B09">
        <w:rPr>
          <w:rFonts w:ascii="Cambria" w:hAnsi="Cambria"/>
          <w:sz w:val="20"/>
          <w:szCs w:val="20"/>
          <w:lang w:val="es-CO"/>
        </w:rPr>
        <w:t>José María Galdeano Ibáñez</w:t>
      </w:r>
      <w:r>
        <w:rPr>
          <w:rFonts w:ascii="Cambria" w:hAnsi="Cambria"/>
          <w:sz w:val="20"/>
          <w:szCs w:val="20"/>
          <w:lang w:val="es-CO"/>
        </w:rPr>
        <w:t xml:space="preserve"> </w:t>
      </w:r>
      <w:r w:rsidRPr="00053578">
        <w:rPr>
          <w:rFonts w:ascii="Cambria" w:hAnsi="Cambria"/>
          <w:sz w:val="20"/>
          <w:szCs w:val="20"/>
          <w:lang w:val="es-CO"/>
        </w:rPr>
        <w:t>respecto de la República de Nicaragua (en adelante “el Estado”, “el Estado nicaragüense” o “Nicaragua”)</w:t>
      </w:r>
      <w:r w:rsidRPr="00053578">
        <w:rPr>
          <w:rFonts w:ascii="Cambria" w:eastAsia="Arial Unicode MS" w:hAnsi="Cambria"/>
          <w:color w:val="000000"/>
          <w:sz w:val="20"/>
          <w:szCs w:val="20"/>
          <w:lang w:val="es-CO"/>
        </w:rPr>
        <w:t xml:space="preserve"> por</w:t>
      </w:r>
      <w:r>
        <w:rPr>
          <w:rFonts w:ascii="Cambria" w:eastAsia="Arial Unicode MS" w:hAnsi="Cambria"/>
          <w:color w:val="000000"/>
          <w:sz w:val="20"/>
          <w:szCs w:val="20"/>
          <w:lang w:val="es-CO"/>
        </w:rPr>
        <w:t xml:space="preserve"> </w:t>
      </w:r>
      <w:r w:rsidRPr="00053578">
        <w:rPr>
          <w:rFonts w:ascii="Cambria" w:eastAsia="Arial Unicode MS" w:hAnsi="Cambria"/>
          <w:color w:val="000000"/>
          <w:sz w:val="20"/>
          <w:szCs w:val="20"/>
          <w:lang w:val="es-ES_tradnl"/>
        </w:rPr>
        <w:t>l</w:t>
      </w:r>
      <w:r>
        <w:rPr>
          <w:rFonts w:ascii="Cambria" w:eastAsia="Arial Unicode MS" w:hAnsi="Cambria"/>
          <w:color w:val="000000"/>
          <w:sz w:val="20"/>
          <w:szCs w:val="20"/>
          <w:lang w:val="es-ES_tradnl"/>
        </w:rPr>
        <w:t xml:space="preserve">a </w:t>
      </w:r>
      <w:r w:rsidRPr="00EE6B09">
        <w:rPr>
          <w:rFonts w:ascii="Cambria" w:eastAsia="Arial Unicode MS" w:hAnsi="Cambria"/>
          <w:color w:val="000000"/>
          <w:sz w:val="20"/>
          <w:szCs w:val="20"/>
          <w:lang w:val="es-ES_tradnl"/>
        </w:rPr>
        <w:t>falta de garantías y debida protección judicial respecto a la investigación penal de los hechos acontecidos el 4 de enero de 2009 en la ciudad de Granada, en perjuicio de José María Galdeano Ibáñez</w:t>
      </w:r>
      <w:r w:rsidRPr="00053578">
        <w:rPr>
          <w:rFonts w:ascii="Cambria" w:eastAsia="Arial Unicode MS" w:hAnsi="Cambria"/>
          <w:color w:val="000000"/>
          <w:sz w:val="20"/>
          <w:szCs w:val="20"/>
          <w:lang w:val="es-ES_tradnl"/>
        </w:rPr>
        <w:t>.</w:t>
      </w:r>
    </w:p>
    <w:p w14:paraId="783C2DEB" w14:textId="77777777" w:rsidR="00EE6B09" w:rsidRPr="00E73A94" w:rsidRDefault="00EE6B09" w:rsidP="00EE6B09">
      <w:pPr>
        <w:tabs>
          <w:tab w:val="left" w:pos="567"/>
          <w:tab w:val="left" w:pos="1440"/>
        </w:tabs>
        <w:spacing w:after="0" w:line="240" w:lineRule="auto"/>
        <w:jc w:val="both"/>
        <w:rPr>
          <w:rFonts w:ascii="Cambria" w:eastAsia="Arial Unicode MS" w:hAnsi="Cambria"/>
          <w:color w:val="000000"/>
          <w:sz w:val="16"/>
          <w:szCs w:val="16"/>
          <w:lang w:val="es-CO"/>
        </w:rPr>
      </w:pPr>
    </w:p>
    <w:p w14:paraId="16A40C0E" w14:textId="61D90BE2" w:rsidR="00EE6B09" w:rsidRDefault="00EE6B09" w:rsidP="00EE6B09">
      <w:pPr>
        <w:tabs>
          <w:tab w:val="left" w:pos="567"/>
          <w:tab w:val="left" w:pos="1440"/>
        </w:tabs>
        <w:spacing w:after="0" w:line="240" w:lineRule="auto"/>
        <w:jc w:val="both"/>
        <w:rPr>
          <w:rFonts w:ascii="Cambria" w:hAnsi="Cambria"/>
          <w:sz w:val="20"/>
          <w:szCs w:val="20"/>
          <w:lang w:val="es-CO"/>
        </w:rPr>
      </w:pPr>
      <w:r w:rsidRPr="00053578">
        <w:rPr>
          <w:rFonts w:ascii="Cambria" w:eastAsia="Arial Unicode MS" w:hAnsi="Cambria"/>
          <w:color w:val="000000"/>
          <w:sz w:val="20"/>
          <w:szCs w:val="20"/>
          <w:lang w:val="es-ES_tradnl"/>
        </w:rPr>
        <w:tab/>
      </w:r>
      <w:r w:rsidRPr="00EE6B09">
        <w:rPr>
          <w:rFonts w:ascii="Cambria" w:hAnsi="Cambria"/>
          <w:sz w:val="20"/>
          <w:szCs w:val="20"/>
          <w:lang w:val="es-CO"/>
        </w:rPr>
        <w:t>El se</w:t>
      </w:r>
      <w:r>
        <w:rPr>
          <w:rFonts w:ascii="Cambria" w:hAnsi="Cambria"/>
          <w:sz w:val="20"/>
          <w:szCs w:val="20"/>
          <w:lang w:val="es-US"/>
        </w:rPr>
        <w:t>ñor</w:t>
      </w:r>
      <w:r w:rsidRPr="00EE6B09">
        <w:rPr>
          <w:rFonts w:ascii="Cambria" w:hAnsi="Cambria"/>
          <w:sz w:val="20"/>
          <w:szCs w:val="20"/>
          <w:lang w:val="es-CO"/>
        </w:rPr>
        <w:t xml:space="preserve"> Galdeano Ibáñez, es ciudadano español. El 4 de enero de 2009,</w:t>
      </w:r>
      <w:r w:rsidR="0071080F">
        <w:rPr>
          <w:rFonts w:ascii="Cambria" w:hAnsi="Cambria"/>
          <w:sz w:val="20"/>
          <w:szCs w:val="20"/>
          <w:lang w:val="es-CO"/>
        </w:rPr>
        <w:t xml:space="preserve"> </w:t>
      </w:r>
      <w:r w:rsidRPr="00EE6B09">
        <w:rPr>
          <w:rFonts w:ascii="Cambria" w:hAnsi="Cambria"/>
          <w:sz w:val="20"/>
          <w:szCs w:val="20"/>
          <w:lang w:val="es-CO"/>
        </w:rPr>
        <w:t xml:space="preserve">sufrió lesiones físicas por parte </w:t>
      </w:r>
      <w:r w:rsidR="003B61CC">
        <w:rPr>
          <w:rFonts w:ascii="Cambria" w:hAnsi="Cambria"/>
          <w:sz w:val="20"/>
          <w:szCs w:val="20"/>
          <w:lang w:val="es-CO"/>
        </w:rPr>
        <w:t xml:space="preserve">de </w:t>
      </w:r>
      <w:r w:rsidRPr="00EE6B09">
        <w:rPr>
          <w:rFonts w:ascii="Cambria" w:hAnsi="Cambria"/>
          <w:sz w:val="20"/>
          <w:szCs w:val="20"/>
          <w:lang w:val="es-CO"/>
        </w:rPr>
        <w:t>Mark Anthony Andrews, de nacionalidad estadounidense</w:t>
      </w:r>
      <w:r w:rsidR="00CE4FE7">
        <w:rPr>
          <w:rFonts w:ascii="Cambria" w:hAnsi="Cambria"/>
          <w:sz w:val="20"/>
          <w:szCs w:val="20"/>
          <w:lang w:val="es-CO"/>
        </w:rPr>
        <w:t xml:space="preserve"> </w:t>
      </w:r>
      <w:r w:rsidRPr="00EE6B09">
        <w:rPr>
          <w:rFonts w:ascii="Cambria" w:hAnsi="Cambria"/>
          <w:sz w:val="20"/>
          <w:szCs w:val="20"/>
          <w:lang w:val="es-CO"/>
        </w:rPr>
        <w:t xml:space="preserve">en las afueras del hotel Oasis donde se hospedaba durante su visita a la ciudad de Granada. </w:t>
      </w:r>
    </w:p>
    <w:p w14:paraId="28115CEF" w14:textId="77777777" w:rsidR="00EE6B09" w:rsidRPr="00E73A94" w:rsidRDefault="00EE6B09" w:rsidP="00EE6B09">
      <w:pPr>
        <w:tabs>
          <w:tab w:val="left" w:pos="567"/>
          <w:tab w:val="left" w:pos="1440"/>
        </w:tabs>
        <w:spacing w:after="0" w:line="240" w:lineRule="auto"/>
        <w:jc w:val="both"/>
        <w:rPr>
          <w:rFonts w:ascii="Cambria" w:hAnsi="Cambria"/>
          <w:sz w:val="16"/>
          <w:szCs w:val="16"/>
          <w:lang w:val="es-US"/>
        </w:rPr>
      </w:pPr>
    </w:p>
    <w:p w14:paraId="66E93CD3" w14:textId="5B5E10D1" w:rsidR="00EE6B09" w:rsidRPr="00EE6B09" w:rsidRDefault="00EE6B09" w:rsidP="00EE6B09">
      <w:pPr>
        <w:tabs>
          <w:tab w:val="left" w:pos="567"/>
          <w:tab w:val="left" w:pos="1440"/>
        </w:tabs>
        <w:spacing w:after="0" w:line="240" w:lineRule="auto"/>
        <w:jc w:val="both"/>
        <w:rPr>
          <w:rFonts w:ascii="Cambria" w:hAnsi="Cambria"/>
          <w:sz w:val="20"/>
          <w:szCs w:val="20"/>
          <w:lang w:val="es-CO"/>
        </w:rPr>
      </w:pPr>
      <w:r w:rsidRPr="00EE6B09">
        <w:rPr>
          <w:rFonts w:ascii="Cambria" w:hAnsi="Cambria"/>
          <w:sz w:val="20"/>
          <w:szCs w:val="20"/>
          <w:lang w:val="es-CO"/>
        </w:rPr>
        <w:tab/>
        <w:t xml:space="preserve">El </w:t>
      </w:r>
      <w:r w:rsidR="009458BA">
        <w:rPr>
          <w:rFonts w:ascii="Cambria" w:hAnsi="Cambria"/>
          <w:sz w:val="20"/>
          <w:szCs w:val="20"/>
          <w:lang w:val="es-CO"/>
        </w:rPr>
        <w:t xml:space="preserve">mismo </w:t>
      </w:r>
      <w:r w:rsidR="009458BA">
        <w:rPr>
          <w:rFonts w:ascii="Cambria" w:hAnsi="Cambria"/>
          <w:sz w:val="20"/>
          <w:szCs w:val="20"/>
          <w:lang w:val="es-US"/>
        </w:rPr>
        <w:t>día</w:t>
      </w:r>
      <w:r w:rsidRPr="00EE6B09">
        <w:rPr>
          <w:rFonts w:ascii="Cambria" w:hAnsi="Cambria"/>
          <w:sz w:val="20"/>
          <w:szCs w:val="20"/>
          <w:lang w:val="es-CO"/>
        </w:rPr>
        <w:t xml:space="preserve">, </w:t>
      </w:r>
      <w:r w:rsidR="00B9076E">
        <w:rPr>
          <w:rFonts w:ascii="Cambria" w:hAnsi="Cambria"/>
          <w:sz w:val="20"/>
          <w:szCs w:val="20"/>
          <w:lang w:val="es-CO"/>
        </w:rPr>
        <w:t>una</w:t>
      </w:r>
      <w:r w:rsidRPr="00EE6B09">
        <w:rPr>
          <w:rFonts w:ascii="Cambria" w:hAnsi="Cambria"/>
          <w:sz w:val="20"/>
          <w:szCs w:val="20"/>
          <w:lang w:val="es-CO"/>
        </w:rPr>
        <w:t xml:space="preserve"> funcionaria de la Policía Nacional recibió la denuncia del señor Galdeano Ibáñez sobre lo sucedido lo cual dio lugar a la apertura del expediente fiscal N°009-0911. A las 12:20 pm, del 4 de enero la Policía Nacional detuvo al señor Mark Anthony Andrews en las inmediaciones del sector del mercado en la ciudad de Granada. El mismo día, un suboficial del Departamento de auxilio judicial de la Policía Nacional presentó ante el Ministerio Público de Granada un informe policial, en donde indicó que se realizaron </w:t>
      </w:r>
      <w:r w:rsidR="006F31A3">
        <w:rPr>
          <w:rFonts w:ascii="Cambria" w:hAnsi="Cambria"/>
          <w:sz w:val="20"/>
          <w:szCs w:val="20"/>
          <w:lang w:val="es-CO"/>
        </w:rPr>
        <w:t>como</w:t>
      </w:r>
      <w:r w:rsidRPr="00EE6B09">
        <w:rPr>
          <w:rFonts w:ascii="Cambria" w:hAnsi="Cambria"/>
          <w:sz w:val="20"/>
          <w:szCs w:val="20"/>
          <w:lang w:val="es-CO"/>
        </w:rPr>
        <w:t xml:space="preserve"> diligencias judiciales</w:t>
      </w:r>
      <w:r w:rsidR="00E009E9">
        <w:rPr>
          <w:rFonts w:ascii="Cambria" w:hAnsi="Cambria"/>
          <w:sz w:val="20"/>
          <w:szCs w:val="20"/>
          <w:lang w:val="es-CO"/>
        </w:rPr>
        <w:t xml:space="preserve"> </w:t>
      </w:r>
      <w:r w:rsidR="00871485">
        <w:rPr>
          <w:rFonts w:ascii="Cambria" w:hAnsi="Cambria"/>
          <w:sz w:val="20"/>
          <w:szCs w:val="20"/>
          <w:lang w:val="es-CO"/>
        </w:rPr>
        <w:t>la</w:t>
      </w:r>
      <w:r w:rsidR="00E009E9">
        <w:rPr>
          <w:rFonts w:ascii="Cambria" w:hAnsi="Cambria"/>
          <w:sz w:val="20"/>
          <w:szCs w:val="20"/>
          <w:lang w:val="es-CO"/>
        </w:rPr>
        <w:t xml:space="preserve"> </w:t>
      </w:r>
      <w:r w:rsidRPr="00EE6B09">
        <w:rPr>
          <w:rFonts w:ascii="Cambria" w:hAnsi="Cambria"/>
          <w:sz w:val="20"/>
          <w:szCs w:val="20"/>
          <w:lang w:val="es-CO"/>
        </w:rPr>
        <w:t xml:space="preserve">recepción de la denuncia, </w:t>
      </w:r>
      <w:r w:rsidR="006F31A3">
        <w:rPr>
          <w:rFonts w:ascii="Cambria" w:hAnsi="Cambria"/>
          <w:sz w:val="20"/>
          <w:szCs w:val="20"/>
          <w:lang w:val="es-CO"/>
        </w:rPr>
        <w:t xml:space="preserve">una </w:t>
      </w:r>
      <w:r w:rsidRPr="00EE6B09">
        <w:rPr>
          <w:rFonts w:ascii="Cambria" w:hAnsi="Cambria"/>
          <w:sz w:val="20"/>
          <w:szCs w:val="20"/>
          <w:lang w:val="es-CO"/>
        </w:rPr>
        <w:t>entrevista a la señora Fabiola Patricia Morales Enrique, testigo de los hechos,</w:t>
      </w:r>
      <w:r w:rsidR="00E009E9">
        <w:rPr>
          <w:rFonts w:ascii="Cambria" w:hAnsi="Cambria"/>
          <w:sz w:val="20"/>
          <w:szCs w:val="20"/>
          <w:lang w:val="es-CO"/>
        </w:rPr>
        <w:t xml:space="preserve"> la s</w:t>
      </w:r>
      <w:r w:rsidRPr="00EE6B09">
        <w:rPr>
          <w:rFonts w:ascii="Cambria" w:hAnsi="Cambria"/>
          <w:sz w:val="20"/>
          <w:szCs w:val="20"/>
          <w:lang w:val="es-CO"/>
        </w:rPr>
        <w:t xml:space="preserve">olicitud de dictamen médico legal y </w:t>
      </w:r>
      <w:r w:rsidR="00E009E9">
        <w:rPr>
          <w:rFonts w:ascii="Cambria" w:hAnsi="Cambria"/>
          <w:sz w:val="20"/>
          <w:szCs w:val="20"/>
          <w:lang w:val="es-CO"/>
        </w:rPr>
        <w:t xml:space="preserve">una </w:t>
      </w:r>
      <w:r w:rsidRPr="00EE6B09">
        <w:rPr>
          <w:rFonts w:ascii="Cambria" w:hAnsi="Cambria"/>
          <w:sz w:val="20"/>
          <w:szCs w:val="20"/>
          <w:lang w:val="es-CO"/>
        </w:rPr>
        <w:t>solicitud de antecedentes policiales del investigado.</w:t>
      </w:r>
    </w:p>
    <w:p w14:paraId="1CCF52BB" w14:textId="77777777" w:rsidR="00EE6B09" w:rsidRPr="00E73A94" w:rsidRDefault="00EE6B09" w:rsidP="00EE6B09">
      <w:pPr>
        <w:tabs>
          <w:tab w:val="left" w:pos="567"/>
          <w:tab w:val="left" w:pos="1440"/>
        </w:tabs>
        <w:spacing w:after="0" w:line="240" w:lineRule="auto"/>
        <w:jc w:val="both"/>
        <w:rPr>
          <w:rFonts w:ascii="Cambria" w:hAnsi="Cambria"/>
          <w:sz w:val="16"/>
          <w:szCs w:val="16"/>
          <w:lang w:val="es-CO"/>
        </w:rPr>
      </w:pPr>
    </w:p>
    <w:p w14:paraId="58A58EDF" w14:textId="12C1ACC7" w:rsidR="00EE6B09" w:rsidRPr="00EE6B09" w:rsidRDefault="00EE6B09" w:rsidP="00EE6B09">
      <w:pPr>
        <w:tabs>
          <w:tab w:val="left" w:pos="567"/>
          <w:tab w:val="left" w:pos="1440"/>
        </w:tabs>
        <w:spacing w:after="0" w:line="240" w:lineRule="auto"/>
        <w:jc w:val="both"/>
        <w:rPr>
          <w:rFonts w:ascii="Cambria" w:hAnsi="Cambria"/>
          <w:sz w:val="20"/>
          <w:szCs w:val="20"/>
          <w:lang w:val="es-CO"/>
        </w:rPr>
      </w:pPr>
      <w:r w:rsidRPr="00EE6B09">
        <w:rPr>
          <w:rFonts w:ascii="Cambria" w:hAnsi="Cambria"/>
          <w:sz w:val="20"/>
          <w:szCs w:val="20"/>
          <w:lang w:val="es-CO"/>
        </w:rPr>
        <w:tab/>
        <w:t>El 5 de enero de 2009, se realizó examen médico legal N° 20/09, al señor Galdeano Ibáñez, por parte del médico forense de Granada el doctor Mario Hernández, quien expresó que el paciente presentaba un “edema y equimosis en la parte izquierda del rostro […]. En el parpado inferior del ojo izquierdo se encuentra edematizado y equimotico también. En el ángulo derecho del labio (comisura labial derecha)”. El examen también indic</w:t>
      </w:r>
      <w:r w:rsidR="00F87256">
        <w:rPr>
          <w:rFonts w:ascii="Cambria" w:hAnsi="Cambria"/>
          <w:sz w:val="20"/>
          <w:szCs w:val="20"/>
          <w:lang w:val="es-CO"/>
        </w:rPr>
        <w:t>ó</w:t>
      </w:r>
      <w:r w:rsidRPr="00EE6B09">
        <w:rPr>
          <w:rFonts w:ascii="Cambria" w:hAnsi="Cambria"/>
          <w:sz w:val="20"/>
          <w:szCs w:val="20"/>
          <w:lang w:val="es-CO"/>
        </w:rPr>
        <w:t xml:space="preserve"> que las lesiones fueron producto de golpes, los cuales dejarán cicatriz permanente en el rostro las cuales son visibles y que las mismas no constituyen peligro para la vida.</w:t>
      </w:r>
    </w:p>
    <w:p w14:paraId="6266F107" w14:textId="77777777" w:rsidR="00EE6B09" w:rsidRPr="00E73A94" w:rsidRDefault="00EE6B09" w:rsidP="00EE6B09">
      <w:pPr>
        <w:tabs>
          <w:tab w:val="left" w:pos="567"/>
          <w:tab w:val="left" w:pos="1440"/>
        </w:tabs>
        <w:spacing w:after="0" w:line="240" w:lineRule="auto"/>
        <w:jc w:val="both"/>
        <w:rPr>
          <w:rFonts w:ascii="Cambria" w:hAnsi="Cambria"/>
          <w:sz w:val="16"/>
          <w:szCs w:val="16"/>
          <w:lang w:val="es-CO"/>
        </w:rPr>
      </w:pPr>
    </w:p>
    <w:p w14:paraId="22398897" w14:textId="77777777" w:rsidR="00EE6B09" w:rsidRPr="00EE6B09" w:rsidRDefault="00EE6B09" w:rsidP="00EE6B09">
      <w:pPr>
        <w:tabs>
          <w:tab w:val="left" w:pos="567"/>
          <w:tab w:val="left" w:pos="1440"/>
        </w:tabs>
        <w:spacing w:after="0" w:line="240" w:lineRule="auto"/>
        <w:jc w:val="both"/>
        <w:rPr>
          <w:rFonts w:ascii="Cambria" w:hAnsi="Cambria"/>
          <w:sz w:val="20"/>
          <w:szCs w:val="20"/>
          <w:lang w:val="es-CO"/>
        </w:rPr>
      </w:pPr>
      <w:r w:rsidRPr="00EE6B09">
        <w:rPr>
          <w:rFonts w:ascii="Cambria" w:hAnsi="Cambria"/>
          <w:sz w:val="20"/>
          <w:szCs w:val="20"/>
          <w:lang w:val="es-CO"/>
        </w:rPr>
        <w:tab/>
        <w:t>El 6 de enero de 2009, la Policía Nacional expidió orden de libertad a nombre de Mark Anthony Andrews, quien se encontraba detenido por lesiones. Dicha orden señala como motivo el “cumplimiento del término constitucional”. El 9 de enero de 2009, el jefe de investigaciones del departamento de auxilio judicial de la Policía Nacional, informó que el señor Mark Anthony no se presentó al médico forense de Granada y por tal motivo no se logró realizar el examen médico ordenado.</w:t>
      </w:r>
    </w:p>
    <w:p w14:paraId="1439C3AD" w14:textId="77777777" w:rsidR="00EE6B09" w:rsidRPr="00E73A94" w:rsidRDefault="00EE6B09" w:rsidP="00EE6B09">
      <w:pPr>
        <w:tabs>
          <w:tab w:val="left" w:pos="567"/>
          <w:tab w:val="left" w:pos="1440"/>
        </w:tabs>
        <w:spacing w:after="0" w:line="240" w:lineRule="auto"/>
        <w:jc w:val="both"/>
        <w:rPr>
          <w:rFonts w:ascii="Cambria" w:hAnsi="Cambria"/>
          <w:sz w:val="16"/>
          <w:szCs w:val="16"/>
          <w:lang w:val="es-CO"/>
        </w:rPr>
      </w:pPr>
    </w:p>
    <w:p w14:paraId="3A93B5E6" w14:textId="610EBF25" w:rsidR="00EE6B09" w:rsidRPr="00EE6B09" w:rsidRDefault="00EE6B09" w:rsidP="00EE6B09">
      <w:pPr>
        <w:tabs>
          <w:tab w:val="left" w:pos="567"/>
          <w:tab w:val="left" w:pos="1440"/>
        </w:tabs>
        <w:spacing w:after="0" w:line="240" w:lineRule="auto"/>
        <w:jc w:val="both"/>
        <w:rPr>
          <w:rFonts w:ascii="Cambria" w:hAnsi="Cambria"/>
          <w:sz w:val="20"/>
          <w:szCs w:val="20"/>
          <w:lang w:val="es-CO"/>
        </w:rPr>
      </w:pPr>
      <w:r w:rsidRPr="00EE6B09">
        <w:rPr>
          <w:rFonts w:ascii="Cambria" w:hAnsi="Cambria"/>
          <w:sz w:val="20"/>
          <w:szCs w:val="20"/>
          <w:lang w:val="es-CO"/>
        </w:rPr>
        <w:tab/>
        <w:t>El Estado, manifestó que el Ministerio Público decidió no ejercer la acción penal, por cuanto no contaba con una base probatoria sólida, determinante y elementos de convicción suficientes, sin aportar evidencia de una decisión escrita y motivada por parte del Ministerio Público en donde se analicen estos elementos.</w:t>
      </w:r>
    </w:p>
    <w:p w14:paraId="44840C5E" w14:textId="17867855" w:rsidR="00EE6B09" w:rsidRDefault="00EE6B09" w:rsidP="00EE6B09">
      <w:pPr>
        <w:tabs>
          <w:tab w:val="left" w:pos="567"/>
          <w:tab w:val="left" w:pos="1440"/>
        </w:tabs>
        <w:spacing w:after="0" w:line="240" w:lineRule="auto"/>
        <w:jc w:val="both"/>
        <w:rPr>
          <w:rFonts w:ascii="Cambria" w:hAnsi="Cambria"/>
          <w:sz w:val="20"/>
          <w:szCs w:val="20"/>
          <w:lang w:val="es-CO"/>
        </w:rPr>
      </w:pPr>
    </w:p>
    <w:p w14:paraId="1CC31219" w14:textId="029A0BEC" w:rsidR="00144515" w:rsidRDefault="00144515" w:rsidP="00EE6B09">
      <w:pPr>
        <w:tabs>
          <w:tab w:val="left" w:pos="567"/>
          <w:tab w:val="left" w:pos="1440"/>
        </w:tabs>
        <w:spacing w:after="0" w:line="240" w:lineRule="auto"/>
        <w:jc w:val="both"/>
        <w:rPr>
          <w:rFonts w:ascii="Cambria" w:hAnsi="Cambria"/>
          <w:sz w:val="20"/>
          <w:szCs w:val="20"/>
          <w:lang w:val="es-CO"/>
        </w:rPr>
      </w:pPr>
    </w:p>
    <w:p w14:paraId="6AC8111B" w14:textId="77777777" w:rsidR="00144515" w:rsidRDefault="00144515" w:rsidP="00EE6B09">
      <w:pPr>
        <w:tabs>
          <w:tab w:val="left" w:pos="567"/>
          <w:tab w:val="left" w:pos="1440"/>
        </w:tabs>
        <w:spacing w:after="0" w:line="240" w:lineRule="auto"/>
        <w:jc w:val="both"/>
        <w:rPr>
          <w:rFonts w:ascii="Cambria" w:hAnsi="Cambria"/>
          <w:sz w:val="20"/>
          <w:szCs w:val="20"/>
          <w:lang w:val="es-CO"/>
        </w:rPr>
      </w:pPr>
    </w:p>
    <w:p w14:paraId="09D6CE3F" w14:textId="77777777" w:rsidR="00EE6B09" w:rsidRPr="00053578" w:rsidRDefault="00EE6B09" w:rsidP="00EE6B09">
      <w:pPr>
        <w:spacing w:after="0" w:line="240" w:lineRule="auto"/>
        <w:jc w:val="both"/>
        <w:rPr>
          <w:rFonts w:ascii="Cambria" w:hAnsi="Cambria" w:cs="Calibri"/>
          <w:color w:val="000000"/>
          <w:sz w:val="20"/>
          <w:szCs w:val="20"/>
          <w:lang w:val="es-CO"/>
        </w:rPr>
      </w:pPr>
      <w:r w:rsidRPr="00053578">
        <w:rPr>
          <w:rFonts w:ascii="Cambria" w:hAnsi="Cambria" w:cs="Calibri"/>
          <w:color w:val="000000"/>
          <w:sz w:val="20"/>
          <w:szCs w:val="20"/>
          <w:lang w:val="es-CO"/>
        </w:rPr>
        <w:t>Señor</w:t>
      </w:r>
    </w:p>
    <w:p w14:paraId="10B30E5F" w14:textId="77777777" w:rsidR="00EE6B09" w:rsidRPr="00053578" w:rsidRDefault="00EE6B09" w:rsidP="00EE6B09">
      <w:pPr>
        <w:spacing w:after="0" w:line="240" w:lineRule="auto"/>
        <w:jc w:val="both"/>
        <w:rPr>
          <w:rFonts w:ascii="Cambria" w:hAnsi="Cambria" w:cs="Calibri"/>
          <w:color w:val="000000"/>
          <w:sz w:val="20"/>
          <w:szCs w:val="20"/>
          <w:lang w:val="es-CO"/>
        </w:rPr>
      </w:pPr>
      <w:r w:rsidRPr="00053578">
        <w:rPr>
          <w:rFonts w:ascii="Cambria" w:hAnsi="Cambria" w:cs="Calibri"/>
          <w:color w:val="000000"/>
          <w:sz w:val="20"/>
          <w:szCs w:val="20"/>
          <w:lang w:val="es-CO"/>
        </w:rPr>
        <w:t>Pablo Saavedra Alessandri</w:t>
      </w:r>
    </w:p>
    <w:p w14:paraId="403B10ED" w14:textId="77777777" w:rsidR="00EE6B09" w:rsidRPr="00053578" w:rsidRDefault="00EE6B09" w:rsidP="00EE6B09">
      <w:pPr>
        <w:spacing w:after="0" w:line="240" w:lineRule="auto"/>
        <w:jc w:val="both"/>
        <w:rPr>
          <w:rFonts w:ascii="Cambria" w:hAnsi="Cambria" w:cs="Calibri"/>
          <w:color w:val="000000"/>
          <w:sz w:val="20"/>
          <w:szCs w:val="20"/>
          <w:lang w:val="es-CO"/>
        </w:rPr>
      </w:pPr>
      <w:r w:rsidRPr="00053578">
        <w:rPr>
          <w:rFonts w:ascii="Cambria" w:hAnsi="Cambria" w:cs="Calibri"/>
          <w:color w:val="000000"/>
          <w:sz w:val="20"/>
          <w:szCs w:val="20"/>
          <w:lang w:val="es-CO"/>
        </w:rPr>
        <w:t>Secretario</w:t>
      </w:r>
    </w:p>
    <w:p w14:paraId="350539B4" w14:textId="77777777" w:rsidR="00EE6B09" w:rsidRPr="00053578" w:rsidRDefault="00EE6B09" w:rsidP="00EE6B09">
      <w:pPr>
        <w:spacing w:after="0" w:line="240" w:lineRule="auto"/>
        <w:jc w:val="both"/>
        <w:rPr>
          <w:rFonts w:ascii="Cambria" w:hAnsi="Cambria" w:cs="Calibri"/>
          <w:color w:val="000000"/>
          <w:sz w:val="20"/>
          <w:szCs w:val="20"/>
          <w:lang w:val="es-CO"/>
        </w:rPr>
      </w:pPr>
      <w:r w:rsidRPr="00053578">
        <w:rPr>
          <w:rFonts w:ascii="Cambria" w:hAnsi="Cambria" w:cs="Calibri"/>
          <w:color w:val="000000"/>
          <w:sz w:val="20"/>
          <w:szCs w:val="20"/>
          <w:lang w:val="es-CO"/>
        </w:rPr>
        <w:t>Corte Interamericana de Derechos Humanos</w:t>
      </w:r>
    </w:p>
    <w:p w14:paraId="3864B093" w14:textId="45AE7491" w:rsidR="00EE6B09" w:rsidRPr="00EE6B09" w:rsidRDefault="00EE6B09" w:rsidP="00EE6B09">
      <w:pPr>
        <w:spacing w:after="0" w:line="240" w:lineRule="auto"/>
        <w:jc w:val="both"/>
        <w:rPr>
          <w:rFonts w:ascii="Cambria" w:hAnsi="Cambria" w:cs="Calibri"/>
          <w:color w:val="000000"/>
          <w:sz w:val="20"/>
          <w:szCs w:val="20"/>
          <w:lang w:val="es-CO"/>
        </w:rPr>
      </w:pPr>
      <w:r w:rsidRPr="00053578">
        <w:rPr>
          <w:rFonts w:ascii="Cambria" w:hAnsi="Cambria" w:cs="Calibri"/>
          <w:color w:val="000000"/>
          <w:sz w:val="20"/>
          <w:szCs w:val="20"/>
          <w:lang w:val="es-CO"/>
        </w:rPr>
        <w:t>San José, Costa Rica</w:t>
      </w:r>
    </w:p>
    <w:p w14:paraId="44ADB35B" w14:textId="184537BE" w:rsidR="009562EF" w:rsidRDefault="009562EF" w:rsidP="00EE6B09">
      <w:pPr>
        <w:tabs>
          <w:tab w:val="left" w:pos="567"/>
          <w:tab w:val="left" w:pos="1440"/>
        </w:tabs>
        <w:spacing w:after="0" w:line="240" w:lineRule="auto"/>
        <w:jc w:val="both"/>
        <w:rPr>
          <w:rFonts w:ascii="Cambria" w:hAnsi="Cambria"/>
          <w:sz w:val="20"/>
          <w:szCs w:val="20"/>
          <w:lang w:val="es-CO"/>
        </w:rPr>
      </w:pPr>
    </w:p>
    <w:p w14:paraId="0E6F6763" w14:textId="0F0CDD72" w:rsidR="00144B8C" w:rsidRPr="00544C2E" w:rsidRDefault="009562EF" w:rsidP="00EE6B09">
      <w:pPr>
        <w:tabs>
          <w:tab w:val="left" w:pos="567"/>
          <w:tab w:val="left" w:pos="1440"/>
        </w:tabs>
        <w:spacing w:after="0" w:line="240" w:lineRule="auto"/>
        <w:jc w:val="both"/>
        <w:rPr>
          <w:rFonts w:ascii="Cambria" w:hAnsi="Cambria"/>
          <w:sz w:val="20"/>
          <w:szCs w:val="20"/>
          <w:lang w:val="es-US"/>
        </w:rPr>
      </w:pPr>
      <w:r>
        <w:rPr>
          <w:rFonts w:ascii="Cambria" w:hAnsi="Cambria"/>
          <w:sz w:val="20"/>
          <w:szCs w:val="20"/>
          <w:lang w:val="es-CO"/>
        </w:rPr>
        <w:tab/>
      </w:r>
      <w:r w:rsidR="00EE6B09" w:rsidRPr="00EE6B09">
        <w:rPr>
          <w:rFonts w:ascii="Cambria" w:hAnsi="Cambria"/>
          <w:sz w:val="20"/>
          <w:szCs w:val="20"/>
          <w:lang w:val="es-CO"/>
        </w:rPr>
        <w:t xml:space="preserve">El 8 de enero de 2009, </w:t>
      </w:r>
      <w:r w:rsidR="00FC1C54">
        <w:rPr>
          <w:rFonts w:ascii="Cambria" w:hAnsi="Cambria"/>
          <w:sz w:val="20"/>
          <w:szCs w:val="20"/>
          <w:lang w:val="es-CO"/>
        </w:rPr>
        <w:t xml:space="preserve">el </w:t>
      </w:r>
      <w:r w:rsidR="00EE6B09" w:rsidRPr="00EE6B09">
        <w:rPr>
          <w:rFonts w:ascii="Cambria" w:hAnsi="Cambria"/>
          <w:sz w:val="20"/>
          <w:szCs w:val="20"/>
          <w:lang w:val="es-CO"/>
        </w:rPr>
        <w:t>peticionari</w:t>
      </w:r>
      <w:r w:rsidR="00FC1C54">
        <w:rPr>
          <w:rFonts w:ascii="Cambria" w:hAnsi="Cambria"/>
          <w:sz w:val="20"/>
          <w:szCs w:val="20"/>
          <w:lang w:val="es-CO"/>
        </w:rPr>
        <w:t>o</w:t>
      </w:r>
      <w:r w:rsidR="00EE6B09" w:rsidRPr="00EE6B09">
        <w:rPr>
          <w:rFonts w:ascii="Cambria" w:hAnsi="Cambria"/>
          <w:sz w:val="20"/>
          <w:szCs w:val="20"/>
          <w:lang w:val="es-CO"/>
        </w:rPr>
        <w:t xml:space="preserve"> presentó una queja ante el Ministerio Público y ante la Policía Nacional de Granada</w:t>
      </w:r>
      <w:r w:rsidR="00FC1C54">
        <w:rPr>
          <w:rFonts w:ascii="Cambria" w:hAnsi="Cambria"/>
          <w:sz w:val="20"/>
          <w:szCs w:val="20"/>
          <w:lang w:val="es-CO"/>
        </w:rPr>
        <w:t xml:space="preserve"> pero no </w:t>
      </w:r>
      <w:r w:rsidR="00671D14">
        <w:rPr>
          <w:rFonts w:ascii="Cambria" w:hAnsi="Cambria"/>
          <w:sz w:val="20"/>
          <w:szCs w:val="20"/>
          <w:lang w:val="es-CO"/>
        </w:rPr>
        <w:t>recibió</w:t>
      </w:r>
      <w:r w:rsidR="00671D14">
        <w:rPr>
          <w:rFonts w:ascii="Cambria" w:hAnsi="Cambria"/>
          <w:sz w:val="20"/>
          <w:szCs w:val="20"/>
          <w:lang w:val="es-US"/>
        </w:rPr>
        <w:t xml:space="preserve"> ninguna respuesta </w:t>
      </w:r>
      <w:r w:rsidR="00671D14">
        <w:rPr>
          <w:rFonts w:ascii="Cambria" w:hAnsi="Cambria"/>
          <w:sz w:val="20"/>
          <w:szCs w:val="20"/>
          <w:lang w:val="es-CO"/>
        </w:rPr>
        <w:t>f</w:t>
      </w:r>
      <w:r w:rsidR="00EE6B09" w:rsidRPr="00EE6B09">
        <w:rPr>
          <w:rFonts w:ascii="Cambria" w:hAnsi="Cambria"/>
          <w:sz w:val="20"/>
          <w:szCs w:val="20"/>
          <w:lang w:val="es-CO"/>
        </w:rPr>
        <w:t>rente a estas dos quejas</w:t>
      </w:r>
      <w:r w:rsidR="00671D14">
        <w:rPr>
          <w:rFonts w:ascii="Cambria" w:hAnsi="Cambria"/>
          <w:sz w:val="20"/>
          <w:szCs w:val="20"/>
          <w:lang w:val="es-CO"/>
        </w:rPr>
        <w:t>.</w:t>
      </w:r>
      <w:r w:rsidR="00544C2E">
        <w:rPr>
          <w:rFonts w:ascii="Cambria" w:hAnsi="Cambria"/>
          <w:sz w:val="20"/>
          <w:szCs w:val="20"/>
          <w:lang w:val="es-US"/>
        </w:rPr>
        <w:t xml:space="preserve"> </w:t>
      </w:r>
      <w:r w:rsidR="00EE6B09" w:rsidRPr="00EE6B09">
        <w:rPr>
          <w:rFonts w:ascii="Cambria" w:hAnsi="Cambria"/>
          <w:sz w:val="20"/>
          <w:szCs w:val="20"/>
          <w:lang w:val="es-CO"/>
        </w:rPr>
        <w:t>El 12 de enero de 2009 el peticionario, presentó una carta dirigida al Presidente de Nicaragua, en donde expresó la relación de los hechos</w:t>
      </w:r>
      <w:r w:rsidR="00341382">
        <w:rPr>
          <w:rFonts w:ascii="Cambria" w:hAnsi="Cambria"/>
          <w:sz w:val="20"/>
          <w:szCs w:val="20"/>
          <w:lang w:val="es-CO"/>
        </w:rPr>
        <w:t xml:space="preserve"> y </w:t>
      </w:r>
      <w:r w:rsidR="00EE6B09" w:rsidRPr="00EE6B09">
        <w:rPr>
          <w:rFonts w:ascii="Cambria" w:hAnsi="Cambria"/>
          <w:sz w:val="20"/>
          <w:szCs w:val="20"/>
          <w:lang w:val="es-CO"/>
        </w:rPr>
        <w:t xml:space="preserve">mencionó la denuncia ante la Policía Nacional. Sin embargo, tampoco recibió respuesta. </w:t>
      </w:r>
    </w:p>
    <w:p w14:paraId="7B613D67" w14:textId="77777777" w:rsidR="00144B8C" w:rsidRDefault="00144B8C" w:rsidP="00EE6B09">
      <w:pPr>
        <w:tabs>
          <w:tab w:val="left" w:pos="567"/>
          <w:tab w:val="left" w:pos="1440"/>
        </w:tabs>
        <w:spacing w:after="0" w:line="240" w:lineRule="auto"/>
        <w:jc w:val="both"/>
        <w:rPr>
          <w:rFonts w:ascii="Cambria" w:hAnsi="Cambria"/>
          <w:sz w:val="20"/>
          <w:szCs w:val="20"/>
          <w:lang w:val="es-CO"/>
        </w:rPr>
      </w:pPr>
    </w:p>
    <w:p w14:paraId="4B095887" w14:textId="5C7DA55B" w:rsidR="00EE6B09" w:rsidRPr="00EE6B09" w:rsidRDefault="00144B8C" w:rsidP="00EE6B09">
      <w:pPr>
        <w:tabs>
          <w:tab w:val="left" w:pos="567"/>
          <w:tab w:val="left" w:pos="1440"/>
        </w:tabs>
        <w:spacing w:after="0" w:line="240" w:lineRule="auto"/>
        <w:jc w:val="both"/>
        <w:rPr>
          <w:rFonts w:ascii="Cambria" w:hAnsi="Cambria"/>
          <w:sz w:val="20"/>
          <w:szCs w:val="20"/>
          <w:lang w:val="es-CO"/>
        </w:rPr>
      </w:pPr>
      <w:r>
        <w:rPr>
          <w:rFonts w:ascii="Cambria" w:hAnsi="Cambria"/>
          <w:sz w:val="20"/>
          <w:szCs w:val="20"/>
          <w:lang w:val="es-CO"/>
        </w:rPr>
        <w:tab/>
      </w:r>
      <w:r w:rsidR="00EE6B09" w:rsidRPr="00EE6B09">
        <w:rPr>
          <w:rFonts w:ascii="Cambria" w:hAnsi="Cambria"/>
          <w:sz w:val="20"/>
          <w:szCs w:val="20"/>
          <w:lang w:val="es-CO"/>
        </w:rPr>
        <w:t xml:space="preserve">El 22 de abril y el 15 de julio de 2009, el peticionario solicitó a través de las embajadas de España en Perú y en Paraguay -respectivamente- apoyo para que estos hechos no quedaran en la impunidad. El peticionario recibió respuesta a estas comunicaciones el 9 de febrero de 2010, mediante la cual la Subdirección General de Protección de Españoles en el Extranjero informó que logró realizar gestiones con las autoridades locales de Granada en Nicaragua e indica al peticionario que (a) el Ministerio Público no presentó cargos contra el presunto agresor y (b) que había concedido un plazo de 20 días para que el denunciante presentara la acusación de manera particular. En este mismo tenor, la Embajada expuso que (c) cuando se trata de delitos en los que las víctimas o presunto agresor son extranjeros no residentes en Nicaragua, es muy difícil que el Ministerio Público proceda a realizar una acusación, y que (d) existe una percepción que en aquellos casos en que la víctima no sea residente la policía no prosigue con las investigaciones. </w:t>
      </w:r>
    </w:p>
    <w:p w14:paraId="40960BAF" w14:textId="77777777" w:rsidR="00EE6B09" w:rsidRPr="00144515" w:rsidRDefault="00EE6B09" w:rsidP="00EE6B09">
      <w:pPr>
        <w:tabs>
          <w:tab w:val="left" w:pos="567"/>
          <w:tab w:val="left" w:pos="1440"/>
        </w:tabs>
        <w:spacing w:after="0" w:line="240" w:lineRule="auto"/>
        <w:jc w:val="both"/>
        <w:rPr>
          <w:sz w:val="20"/>
          <w:szCs w:val="20"/>
          <w:lang w:val="es-CO"/>
        </w:rPr>
      </w:pPr>
      <w:r w:rsidRPr="00EE6B09">
        <w:rPr>
          <w:rFonts w:ascii="Cambria" w:hAnsi="Cambria"/>
          <w:sz w:val="20"/>
          <w:szCs w:val="20"/>
          <w:lang w:val="es-CO"/>
        </w:rPr>
        <w:tab/>
      </w:r>
    </w:p>
    <w:p w14:paraId="574B0DD7" w14:textId="77777777" w:rsidR="00EE6B09" w:rsidRDefault="00EE6B09" w:rsidP="00144515">
      <w:pPr>
        <w:pStyle w:val="Default"/>
        <w:ind w:firstLine="540"/>
        <w:jc w:val="both"/>
        <w:rPr>
          <w:sz w:val="20"/>
          <w:szCs w:val="20"/>
          <w:lang w:val="es-CO"/>
        </w:rPr>
      </w:pPr>
      <w:r w:rsidRPr="00EB0701">
        <w:rPr>
          <w:rFonts w:eastAsia="Arial Unicode MS"/>
          <w:sz w:val="20"/>
          <w:szCs w:val="20"/>
          <w:lang w:val="es-ES_tradnl"/>
        </w:rPr>
        <w:t xml:space="preserve">En su Informe de </w:t>
      </w:r>
      <w:r>
        <w:rPr>
          <w:rFonts w:eastAsia="Arial Unicode MS"/>
          <w:sz w:val="20"/>
          <w:szCs w:val="20"/>
          <w:lang w:val="es-ES_tradnl"/>
        </w:rPr>
        <w:t xml:space="preserve">Admisibilidad y </w:t>
      </w:r>
      <w:r w:rsidRPr="00EB0701">
        <w:rPr>
          <w:rFonts w:eastAsia="Arial Unicode MS"/>
          <w:sz w:val="20"/>
          <w:szCs w:val="20"/>
          <w:lang w:val="es-ES_tradnl"/>
        </w:rPr>
        <w:t xml:space="preserve">Fondo No. </w:t>
      </w:r>
      <w:r>
        <w:rPr>
          <w:rFonts w:eastAsia="Arial Unicode MS"/>
          <w:sz w:val="20"/>
          <w:szCs w:val="20"/>
          <w:lang w:val="es-ES_tradnl"/>
        </w:rPr>
        <w:t>338</w:t>
      </w:r>
      <w:r w:rsidRPr="00EB0701">
        <w:rPr>
          <w:rFonts w:eastAsia="Arial Unicode MS"/>
          <w:sz w:val="20"/>
          <w:szCs w:val="20"/>
          <w:lang w:val="es-ES_tradnl"/>
        </w:rPr>
        <w:t xml:space="preserve">/22, la Comisión </w:t>
      </w:r>
      <w:r>
        <w:rPr>
          <w:rFonts w:eastAsia="Arial Unicode MS"/>
          <w:sz w:val="20"/>
          <w:szCs w:val="20"/>
          <w:lang w:val="es-ES_tradnl"/>
        </w:rPr>
        <w:t xml:space="preserve">analizó </w:t>
      </w:r>
      <w:r w:rsidRPr="001C7AAA">
        <w:rPr>
          <w:sz w:val="20"/>
          <w:szCs w:val="20"/>
          <w:lang w:val="es-CO"/>
        </w:rPr>
        <w:t xml:space="preserve">si las actuaciones estatales en el presente caso estuvieron apegadas al debido proceso en el marco de la Convención Americana. </w:t>
      </w:r>
    </w:p>
    <w:p w14:paraId="755EE611" w14:textId="77777777" w:rsidR="00EE6B09" w:rsidRPr="00144515" w:rsidRDefault="00EE6B09" w:rsidP="00EE6B09">
      <w:pPr>
        <w:pStyle w:val="Default"/>
        <w:ind w:firstLine="720"/>
        <w:jc w:val="both"/>
        <w:rPr>
          <w:sz w:val="20"/>
          <w:szCs w:val="20"/>
          <w:lang w:val="es-US"/>
        </w:rPr>
      </w:pPr>
    </w:p>
    <w:p w14:paraId="76F3ABBA" w14:textId="78140D03" w:rsidR="00EE6B09" w:rsidRDefault="00EE6B09" w:rsidP="00144515">
      <w:pPr>
        <w:pStyle w:val="Default"/>
        <w:ind w:firstLine="540"/>
        <w:jc w:val="both"/>
        <w:rPr>
          <w:sz w:val="20"/>
          <w:szCs w:val="20"/>
          <w:lang w:val="es-CO"/>
        </w:rPr>
      </w:pPr>
      <w:r>
        <w:rPr>
          <w:sz w:val="20"/>
          <w:szCs w:val="20"/>
          <w:lang w:val="es-CO"/>
        </w:rPr>
        <w:t xml:space="preserve">En primer lugar, la Comisión consideró que </w:t>
      </w:r>
      <w:r w:rsidRPr="001C7AAA">
        <w:rPr>
          <w:sz w:val="20"/>
          <w:szCs w:val="20"/>
          <w:lang w:val="es-CO"/>
        </w:rPr>
        <w:t>el Estado se abst</w:t>
      </w:r>
      <w:r>
        <w:rPr>
          <w:sz w:val="20"/>
          <w:szCs w:val="20"/>
          <w:lang w:val="es-CO"/>
        </w:rPr>
        <w:t>uvo</w:t>
      </w:r>
      <w:r w:rsidRPr="001C7AAA">
        <w:rPr>
          <w:sz w:val="20"/>
          <w:szCs w:val="20"/>
          <w:lang w:val="es-CO"/>
        </w:rPr>
        <w:t xml:space="preserve"> de indicar específicamente las razones por las cuales el Ministerio Público consideró y decidió que el caso no contaba con los elementos de convicción suficientes como para ejercer la acción penal</w:t>
      </w:r>
      <w:r>
        <w:rPr>
          <w:sz w:val="20"/>
          <w:szCs w:val="20"/>
          <w:lang w:val="es-CO"/>
        </w:rPr>
        <w:t xml:space="preserve"> y que, e</w:t>
      </w:r>
      <w:r w:rsidRPr="001C7AAA">
        <w:rPr>
          <w:sz w:val="20"/>
          <w:szCs w:val="20"/>
          <w:lang w:val="es-CO"/>
        </w:rPr>
        <w:t>n este mismo sentido, no fue remitida por parte del Estado la decisión debidamente motivada por medio de la cual el Ministerio Público consideró abstenerse de ejercer dicha acción penal, ni tampoco se informó sobre las diligencias llevadas a cabo por dicha entidad de manera previa a tomar tal decisión.</w:t>
      </w:r>
      <w:r w:rsidR="00D33BEC">
        <w:rPr>
          <w:sz w:val="20"/>
          <w:szCs w:val="20"/>
          <w:lang w:val="es-CO"/>
        </w:rPr>
        <w:t xml:space="preserve"> </w:t>
      </w:r>
      <w:r w:rsidRPr="001C7AAA">
        <w:rPr>
          <w:sz w:val="20"/>
          <w:szCs w:val="20"/>
          <w:lang w:val="es-CO"/>
        </w:rPr>
        <w:t xml:space="preserve"> </w:t>
      </w:r>
    </w:p>
    <w:p w14:paraId="7D0FE7D7" w14:textId="77777777" w:rsidR="00EE6B09" w:rsidRPr="00144515" w:rsidRDefault="00EE6B09" w:rsidP="00EE6B09">
      <w:pPr>
        <w:pStyle w:val="Default"/>
        <w:ind w:firstLine="720"/>
        <w:jc w:val="both"/>
        <w:rPr>
          <w:sz w:val="20"/>
          <w:szCs w:val="20"/>
          <w:lang w:val="es-CO"/>
        </w:rPr>
      </w:pPr>
    </w:p>
    <w:p w14:paraId="663E2B40" w14:textId="4371FB79" w:rsidR="00EE6B09" w:rsidRDefault="00EE6B09" w:rsidP="00144515">
      <w:pPr>
        <w:pStyle w:val="Default"/>
        <w:ind w:firstLine="540"/>
        <w:jc w:val="both"/>
        <w:rPr>
          <w:rFonts w:eastAsia="Arial Unicode MS"/>
          <w:sz w:val="20"/>
          <w:szCs w:val="20"/>
          <w:lang w:val="es-ES_tradnl"/>
        </w:rPr>
      </w:pPr>
      <w:r>
        <w:rPr>
          <w:sz w:val="20"/>
          <w:szCs w:val="20"/>
          <w:lang w:val="es-CO"/>
        </w:rPr>
        <w:t>En segundo lugar, la Comisión señaló que, en el presente caso</w:t>
      </w:r>
      <w:r w:rsidRPr="001C7AAA">
        <w:rPr>
          <w:sz w:val="20"/>
          <w:szCs w:val="20"/>
          <w:lang w:val="es-CO"/>
        </w:rPr>
        <w:t>, las escasas actuaciones desplegadas por el Ministerio Público no dan cumplimiento con los estándares internacionales mínimos para una investigación apegada al debido proceso y garantías judiciales.</w:t>
      </w:r>
      <w:r>
        <w:rPr>
          <w:sz w:val="20"/>
          <w:szCs w:val="20"/>
          <w:lang w:val="es-CO"/>
        </w:rPr>
        <w:t xml:space="preserve"> </w:t>
      </w:r>
      <w:r w:rsidRPr="001C7AAA">
        <w:rPr>
          <w:sz w:val="20"/>
          <w:szCs w:val="20"/>
          <w:lang w:val="es-CO"/>
        </w:rPr>
        <w:t>Asimismo, la C</w:t>
      </w:r>
      <w:r w:rsidR="00D33BEC">
        <w:rPr>
          <w:sz w:val="20"/>
          <w:szCs w:val="20"/>
          <w:lang w:val="es-CO"/>
        </w:rPr>
        <w:t>omisi</w:t>
      </w:r>
      <w:r w:rsidR="00A10627">
        <w:rPr>
          <w:sz w:val="20"/>
          <w:szCs w:val="20"/>
          <w:lang w:val="es-CO"/>
        </w:rPr>
        <w:t>ón</w:t>
      </w:r>
      <w:r w:rsidRPr="001C7AAA">
        <w:rPr>
          <w:sz w:val="20"/>
          <w:szCs w:val="20"/>
          <w:lang w:val="es-CO"/>
        </w:rPr>
        <w:t xml:space="preserve"> observ</w:t>
      </w:r>
      <w:r>
        <w:rPr>
          <w:sz w:val="20"/>
          <w:szCs w:val="20"/>
          <w:lang w:val="es-CO"/>
        </w:rPr>
        <w:t>ó</w:t>
      </w:r>
      <w:r w:rsidRPr="001C7AAA">
        <w:rPr>
          <w:sz w:val="20"/>
          <w:szCs w:val="20"/>
          <w:lang w:val="es-CO"/>
        </w:rPr>
        <w:t xml:space="preserve"> que el peticionario</w:t>
      </w:r>
      <w:r>
        <w:rPr>
          <w:sz w:val="20"/>
          <w:szCs w:val="20"/>
          <w:lang w:val="es-CO"/>
        </w:rPr>
        <w:t xml:space="preserve"> no obtuvo respuesta de la </w:t>
      </w:r>
      <w:r w:rsidRPr="001C7AAA">
        <w:rPr>
          <w:sz w:val="20"/>
          <w:szCs w:val="20"/>
          <w:lang w:val="es-CO"/>
        </w:rPr>
        <w:t>queja ante la Policía Nacional y ante el Ministerio Público</w:t>
      </w:r>
      <w:r>
        <w:rPr>
          <w:sz w:val="20"/>
          <w:szCs w:val="20"/>
          <w:lang w:val="es-CO"/>
        </w:rPr>
        <w:t xml:space="preserve"> y que no fue </w:t>
      </w:r>
      <w:r w:rsidRPr="001C7AAA">
        <w:rPr>
          <w:sz w:val="20"/>
          <w:szCs w:val="20"/>
          <w:lang w:val="es-CO"/>
        </w:rPr>
        <w:t xml:space="preserve">notificado de ningún resultado frente a estas </w:t>
      </w:r>
      <w:r w:rsidRPr="006B6DF1">
        <w:rPr>
          <w:sz w:val="20"/>
          <w:szCs w:val="20"/>
          <w:lang w:val="es-CO"/>
        </w:rPr>
        <w:t xml:space="preserve">quejas o frente a la investigación penal ni obtuvo respuesta del escrito al Poder Ejecutivo solicitando que se aclarara lo sucedido y que estos hechos no quedaran en impunidad.  </w:t>
      </w:r>
      <w:r w:rsidRPr="006B6DF1">
        <w:rPr>
          <w:rFonts w:eastAsia="Arial Unicode MS"/>
          <w:sz w:val="20"/>
          <w:szCs w:val="20"/>
          <w:lang w:val="es-ES_tradnl"/>
        </w:rPr>
        <w:t>Al respecto, la Comisión recordó que una de las formas de violación del artículo 25.1 de la Convención, se relaciona con la falta de respuesta de las autoridades sobre el mérito de los alegatos</w:t>
      </w:r>
      <w:r w:rsidR="007C70A7" w:rsidRPr="006B6DF1">
        <w:rPr>
          <w:rFonts w:eastAsia="Arial Unicode MS"/>
          <w:sz w:val="20"/>
          <w:szCs w:val="20"/>
          <w:lang w:val="es-ES_tradnl"/>
        </w:rPr>
        <w:t xml:space="preserve"> </w:t>
      </w:r>
      <w:r w:rsidR="00DC4AE7" w:rsidRPr="006B6DF1">
        <w:rPr>
          <w:rFonts w:eastAsia="Arial Unicode MS"/>
          <w:sz w:val="20"/>
          <w:szCs w:val="20"/>
          <w:lang w:val="es-ES_tradnl"/>
        </w:rPr>
        <w:t xml:space="preserve">pues no se realizó una </w:t>
      </w:r>
      <w:r w:rsidR="00B62824" w:rsidRPr="006B6DF1">
        <w:rPr>
          <w:rFonts w:eastAsia="Arial Unicode MS"/>
          <w:sz w:val="20"/>
          <w:szCs w:val="20"/>
          <w:lang w:val="es-ES_tradnl"/>
        </w:rPr>
        <w:t xml:space="preserve">investigación </w:t>
      </w:r>
      <w:r w:rsidR="007602E9" w:rsidRPr="006B6DF1">
        <w:rPr>
          <w:rFonts w:eastAsia="Arial Unicode MS"/>
          <w:sz w:val="20"/>
          <w:szCs w:val="20"/>
          <w:lang w:val="es-ES_tradnl"/>
        </w:rPr>
        <w:t>con de</w:t>
      </w:r>
      <w:r w:rsidR="00C902FB" w:rsidRPr="006B6DF1">
        <w:rPr>
          <w:rFonts w:eastAsia="Arial Unicode MS"/>
          <w:sz w:val="20"/>
          <w:szCs w:val="20"/>
          <w:lang w:val="es-ES_tradnl"/>
        </w:rPr>
        <w:t>bida d</w:t>
      </w:r>
      <w:r w:rsidR="00896B3C" w:rsidRPr="006B6DF1">
        <w:rPr>
          <w:rFonts w:eastAsia="Arial Unicode MS"/>
          <w:sz w:val="20"/>
          <w:szCs w:val="20"/>
          <w:lang w:val="es-ES_tradnl"/>
        </w:rPr>
        <w:t xml:space="preserve">iligencia </w:t>
      </w:r>
      <w:r w:rsidR="00907432" w:rsidRPr="006B6DF1">
        <w:rPr>
          <w:rFonts w:eastAsia="Arial Unicode MS"/>
          <w:sz w:val="20"/>
          <w:szCs w:val="20"/>
          <w:lang w:val="es-ES_tradnl"/>
        </w:rPr>
        <w:t xml:space="preserve">que permita </w:t>
      </w:r>
      <w:r w:rsidR="002135EF" w:rsidRPr="006B6DF1">
        <w:rPr>
          <w:rFonts w:eastAsia="Arial Unicode MS"/>
          <w:sz w:val="20"/>
          <w:szCs w:val="20"/>
          <w:lang w:val="es-ES_tradnl"/>
        </w:rPr>
        <w:t xml:space="preserve">determinar si </w:t>
      </w:r>
      <w:r w:rsidR="00AE50AA" w:rsidRPr="006B6DF1">
        <w:rPr>
          <w:rFonts w:eastAsia="Arial Unicode MS"/>
          <w:sz w:val="20"/>
          <w:szCs w:val="20"/>
          <w:lang w:val="es-ES_tradnl"/>
        </w:rPr>
        <w:t xml:space="preserve">ocurrió </w:t>
      </w:r>
      <w:r w:rsidR="00867ED3" w:rsidRPr="006B6DF1">
        <w:rPr>
          <w:rFonts w:eastAsia="Arial Unicode MS"/>
          <w:sz w:val="20"/>
          <w:szCs w:val="20"/>
          <w:lang w:val="es-US"/>
        </w:rPr>
        <w:t xml:space="preserve">algún delito que afectara </w:t>
      </w:r>
      <w:r w:rsidR="008001CA" w:rsidRPr="006B6DF1">
        <w:rPr>
          <w:rFonts w:eastAsia="Arial Unicode MS"/>
          <w:sz w:val="20"/>
          <w:szCs w:val="20"/>
          <w:lang w:val="es-US"/>
        </w:rPr>
        <w:t xml:space="preserve">un derecho </w:t>
      </w:r>
      <w:r w:rsidR="00EE226A" w:rsidRPr="006B6DF1">
        <w:rPr>
          <w:rFonts w:eastAsia="Arial Unicode MS"/>
          <w:sz w:val="20"/>
          <w:szCs w:val="20"/>
          <w:lang w:val="es-US"/>
        </w:rPr>
        <w:t>y brindar protección judicial</w:t>
      </w:r>
      <w:r w:rsidRPr="006B6DF1">
        <w:rPr>
          <w:rFonts w:eastAsia="Arial Unicode MS"/>
          <w:sz w:val="20"/>
          <w:szCs w:val="20"/>
          <w:lang w:val="es-ES_tradnl"/>
        </w:rPr>
        <w:t>.</w:t>
      </w:r>
      <w:r w:rsidRPr="009907D8">
        <w:rPr>
          <w:rFonts w:eastAsia="Arial Unicode MS"/>
          <w:sz w:val="20"/>
          <w:szCs w:val="20"/>
          <w:lang w:val="es-ES_tradnl"/>
        </w:rPr>
        <w:t xml:space="preserve"> </w:t>
      </w:r>
    </w:p>
    <w:p w14:paraId="7A0E11BC" w14:textId="77777777" w:rsidR="00EE6B09" w:rsidRPr="00144515" w:rsidRDefault="00EE6B09" w:rsidP="00EE6B09">
      <w:pPr>
        <w:pStyle w:val="Default"/>
        <w:ind w:firstLine="720"/>
        <w:jc w:val="both"/>
        <w:rPr>
          <w:sz w:val="20"/>
          <w:szCs w:val="20"/>
          <w:lang w:val="es-CO"/>
        </w:rPr>
      </w:pPr>
    </w:p>
    <w:p w14:paraId="08CB5130" w14:textId="0C99943E" w:rsidR="00EE6B09" w:rsidRDefault="00EE6B09" w:rsidP="00144515">
      <w:pPr>
        <w:tabs>
          <w:tab w:val="left" w:pos="567"/>
          <w:tab w:val="left" w:pos="1440"/>
        </w:tabs>
        <w:spacing w:after="0" w:line="240" w:lineRule="auto"/>
        <w:ind w:firstLine="540"/>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 xml:space="preserve">Adicionalmente, ante el alegato del </w:t>
      </w:r>
      <w:r w:rsidRPr="009907D8">
        <w:rPr>
          <w:rFonts w:ascii="Cambria" w:eastAsia="Arial Unicode MS" w:hAnsi="Cambria"/>
          <w:color w:val="000000"/>
          <w:sz w:val="20"/>
          <w:szCs w:val="20"/>
          <w:lang w:val="es-ES_tradnl"/>
        </w:rPr>
        <w:t xml:space="preserve">Estado </w:t>
      </w:r>
      <w:r>
        <w:rPr>
          <w:rFonts w:ascii="Cambria" w:eastAsia="Arial Unicode MS" w:hAnsi="Cambria"/>
          <w:color w:val="000000"/>
          <w:sz w:val="20"/>
          <w:szCs w:val="20"/>
          <w:lang w:val="es-ES_tradnl"/>
        </w:rPr>
        <w:t xml:space="preserve">sobre </w:t>
      </w:r>
      <w:r w:rsidRPr="009907D8">
        <w:rPr>
          <w:rFonts w:ascii="Cambria" w:eastAsia="Arial Unicode MS" w:hAnsi="Cambria"/>
          <w:color w:val="000000"/>
          <w:sz w:val="20"/>
          <w:szCs w:val="20"/>
          <w:lang w:val="es-ES_tradnl"/>
        </w:rPr>
        <w:t>que el artículo 564 de la Ley N° 641 Código Penal de la República de Nicaragua, establece que la víctima de los delitos menos graves puede ejercer directamente la acción penal sin necesidad de agotar la vía administrativa</w:t>
      </w:r>
      <w:r>
        <w:rPr>
          <w:rFonts w:ascii="Cambria" w:eastAsia="Arial Unicode MS" w:hAnsi="Cambria"/>
          <w:color w:val="000000"/>
          <w:sz w:val="20"/>
          <w:szCs w:val="20"/>
          <w:lang w:val="es-ES_tradnl"/>
        </w:rPr>
        <w:t>,</w:t>
      </w:r>
      <w:r w:rsidRPr="009907D8">
        <w:rPr>
          <w:rFonts w:ascii="Cambria" w:eastAsia="Arial Unicode MS" w:hAnsi="Cambria"/>
          <w:color w:val="000000"/>
          <w:sz w:val="20"/>
          <w:szCs w:val="20"/>
          <w:lang w:val="es-ES_tradnl"/>
        </w:rPr>
        <w:t xml:space="preserve"> </w:t>
      </w:r>
      <w:r>
        <w:rPr>
          <w:rFonts w:ascii="Cambria" w:eastAsia="Arial Unicode MS" w:hAnsi="Cambria"/>
          <w:color w:val="000000"/>
          <w:sz w:val="20"/>
          <w:szCs w:val="20"/>
          <w:lang w:val="es-ES_tradnl"/>
        </w:rPr>
        <w:t xml:space="preserve">la Comisión observó que </w:t>
      </w:r>
      <w:r w:rsidRPr="009907D8">
        <w:rPr>
          <w:rFonts w:ascii="Cambria" w:eastAsia="Arial Unicode MS" w:hAnsi="Cambria"/>
          <w:color w:val="000000"/>
          <w:sz w:val="20"/>
          <w:szCs w:val="20"/>
          <w:lang w:val="es-ES_tradnl"/>
        </w:rPr>
        <w:t xml:space="preserve">la misma norma indica que “[e]n este caso, la Policía Nacional y el Ministerio Público brindarán facilidades a la víctima o a su representante para formular la acusación”, lo cual no fue probado por parte del Estado </w:t>
      </w:r>
      <w:r w:rsidR="0021069B">
        <w:rPr>
          <w:rFonts w:ascii="Cambria" w:eastAsia="Arial Unicode MS" w:hAnsi="Cambria"/>
          <w:color w:val="000000"/>
          <w:sz w:val="20"/>
          <w:szCs w:val="20"/>
          <w:lang w:val="es-ES_tradnl"/>
        </w:rPr>
        <w:t xml:space="preserve">que </w:t>
      </w:r>
      <w:r w:rsidRPr="009907D8">
        <w:rPr>
          <w:rFonts w:ascii="Cambria" w:eastAsia="Arial Unicode MS" w:hAnsi="Cambria"/>
          <w:color w:val="000000"/>
          <w:sz w:val="20"/>
          <w:szCs w:val="20"/>
          <w:lang w:val="es-ES_tradnl"/>
        </w:rPr>
        <w:t>haya ocurrido en este caso. Sobre el particular, la C</w:t>
      </w:r>
      <w:r w:rsidR="00A10627">
        <w:rPr>
          <w:rFonts w:ascii="Cambria" w:eastAsia="Arial Unicode MS" w:hAnsi="Cambria"/>
          <w:color w:val="000000"/>
          <w:sz w:val="20"/>
          <w:szCs w:val="20"/>
          <w:lang w:val="es-ES_tradnl"/>
        </w:rPr>
        <w:t>omisión</w:t>
      </w:r>
      <w:r w:rsidRPr="009907D8">
        <w:rPr>
          <w:rFonts w:ascii="Cambria" w:eastAsia="Arial Unicode MS" w:hAnsi="Cambria"/>
          <w:color w:val="000000"/>
          <w:sz w:val="20"/>
          <w:szCs w:val="20"/>
          <w:lang w:val="es-ES_tradnl"/>
        </w:rPr>
        <w:t xml:space="preserve"> rec</w:t>
      </w:r>
      <w:r>
        <w:rPr>
          <w:rFonts w:ascii="Cambria" w:eastAsia="Arial Unicode MS" w:hAnsi="Cambria"/>
          <w:color w:val="000000"/>
          <w:sz w:val="20"/>
          <w:szCs w:val="20"/>
          <w:lang w:val="es-ES_tradnl"/>
        </w:rPr>
        <w:t>o</w:t>
      </w:r>
      <w:r w:rsidRPr="009907D8">
        <w:rPr>
          <w:rFonts w:ascii="Cambria" w:eastAsia="Arial Unicode MS" w:hAnsi="Cambria"/>
          <w:color w:val="000000"/>
          <w:sz w:val="20"/>
          <w:szCs w:val="20"/>
          <w:lang w:val="es-ES_tradnl"/>
        </w:rPr>
        <w:t>rd</w:t>
      </w:r>
      <w:r>
        <w:rPr>
          <w:rFonts w:ascii="Cambria" w:eastAsia="Arial Unicode MS" w:hAnsi="Cambria"/>
          <w:color w:val="000000"/>
          <w:sz w:val="20"/>
          <w:szCs w:val="20"/>
          <w:lang w:val="es-ES_tradnl"/>
        </w:rPr>
        <w:t>ó</w:t>
      </w:r>
      <w:r w:rsidRPr="009907D8">
        <w:rPr>
          <w:rFonts w:ascii="Cambria" w:eastAsia="Arial Unicode MS" w:hAnsi="Cambria"/>
          <w:color w:val="000000"/>
          <w:sz w:val="20"/>
          <w:szCs w:val="20"/>
          <w:lang w:val="es-ES_tradnl"/>
        </w:rPr>
        <w:t xml:space="preserve"> que existe un deber en cabeza del Estado de investigar con la debida diligencia y, en su caso, sancionar a los responsables de violaciones a los derechos humanos de las personas, como en este caso era la integridad personal, máxime que la presunta víctima fue quien presentó la denuncia activando este deber estatal.</w:t>
      </w:r>
    </w:p>
    <w:p w14:paraId="7AF64386" w14:textId="77777777" w:rsidR="00EE6B09" w:rsidRPr="00144515" w:rsidRDefault="00EE6B09" w:rsidP="00EE6B09">
      <w:pPr>
        <w:tabs>
          <w:tab w:val="left" w:pos="567"/>
          <w:tab w:val="left" w:pos="1440"/>
        </w:tabs>
        <w:spacing w:after="0" w:line="240" w:lineRule="auto"/>
        <w:jc w:val="both"/>
        <w:rPr>
          <w:rFonts w:ascii="Cambria" w:eastAsia="Arial Unicode MS" w:hAnsi="Cambria"/>
          <w:color w:val="000000"/>
          <w:sz w:val="20"/>
          <w:szCs w:val="20"/>
          <w:lang w:val="es-ES_tradnl"/>
        </w:rPr>
      </w:pPr>
    </w:p>
    <w:p w14:paraId="367B34BE" w14:textId="7DBF0224" w:rsidR="00EE6B09" w:rsidRDefault="00EE6B09" w:rsidP="00144515">
      <w:pPr>
        <w:tabs>
          <w:tab w:val="left" w:pos="567"/>
          <w:tab w:val="left" w:pos="1440"/>
        </w:tabs>
        <w:spacing w:after="0" w:line="240" w:lineRule="auto"/>
        <w:ind w:firstLine="540"/>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 xml:space="preserve">En </w:t>
      </w:r>
      <w:r w:rsidRPr="009907D8">
        <w:rPr>
          <w:rFonts w:ascii="Cambria" w:eastAsia="Arial Unicode MS" w:hAnsi="Cambria"/>
          <w:color w:val="000000"/>
          <w:sz w:val="20"/>
          <w:szCs w:val="20"/>
          <w:lang w:val="es-ES_tradnl"/>
        </w:rPr>
        <w:t>suma, la Comisión observ</w:t>
      </w:r>
      <w:r>
        <w:rPr>
          <w:rFonts w:ascii="Cambria" w:eastAsia="Arial Unicode MS" w:hAnsi="Cambria"/>
          <w:color w:val="000000"/>
          <w:sz w:val="20"/>
          <w:szCs w:val="20"/>
          <w:lang w:val="es-ES_tradnl"/>
        </w:rPr>
        <w:t xml:space="preserve">ó </w:t>
      </w:r>
      <w:r w:rsidRPr="009907D8">
        <w:rPr>
          <w:rFonts w:ascii="Cambria" w:eastAsia="Arial Unicode MS" w:hAnsi="Cambria"/>
          <w:color w:val="000000"/>
          <w:sz w:val="20"/>
          <w:szCs w:val="20"/>
          <w:lang w:val="es-ES_tradnl"/>
        </w:rPr>
        <w:t>que en el presente caso no se presentó decisión ni motivos por los cuales el Ministerio Público decidió no ejercer la acción penal, ni tampoco se realizaron todas las actuaciones tendientes a esclarecer los hechos del presente caso, aunado a</w:t>
      </w:r>
      <w:r w:rsidR="000D6DF2">
        <w:rPr>
          <w:rFonts w:ascii="Cambria" w:eastAsia="Arial Unicode MS" w:hAnsi="Cambria"/>
          <w:color w:val="000000"/>
          <w:sz w:val="20"/>
          <w:szCs w:val="20"/>
          <w:lang w:val="es-ES_tradnl"/>
        </w:rPr>
        <w:t xml:space="preserve"> </w:t>
      </w:r>
      <w:r w:rsidRPr="009907D8">
        <w:rPr>
          <w:rFonts w:ascii="Cambria" w:eastAsia="Arial Unicode MS" w:hAnsi="Cambria"/>
          <w:color w:val="000000"/>
          <w:sz w:val="20"/>
          <w:szCs w:val="20"/>
          <w:lang w:val="es-ES_tradnl"/>
        </w:rPr>
        <w:t>que no se informó sobre el trámite de las quejas presentadas por el peticionario. En virtud a ello, la Comisión consider</w:t>
      </w:r>
      <w:r>
        <w:rPr>
          <w:rFonts w:ascii="Cambria" w:eastAsia="Arial Unicode MS" w:hAnsi="Cambria"/>
          <w:color w:val="000000"/>
          <w:sz w:val="20"/>
          <w:szCs w:val="20"/>
          <w:lang w:val="es-ES_tradnl"/>
        </w:rPr>
        <w:t>ó</w:t>
      </w:r>
      <w:r w:rsidRPr="009907D8">
        <w:rPr>
          <w:rFonts w:ascii="Cambria" w:eastAsia="Arial Unicode MS" w:hAnsi="Cambria"/>
          <w:color w:val="000000"/>
          <w:sz w:val="20"/>
          <w:szCs w:val="20"/>
          <w:lang w:val="es-ES_tradnl"/>
        </w:rPr>
        <w:t xml:space="preserve"> que el Estado no proporcionó las garantías judiciales suficientes para la determinación de la verdad de los hechos, la investigación, identificación, procesamiento y, en su caso, la sanción de los responsables.</w:t>
      </w:r>
    </w:p>
    <w:p w14:paraId="44387BF0" w14:textId="5E78082D" w:rsidR="00EE6B09" w:rsidRDefault="00EE6B09" w:rsidP="00EE6B09">
      <w:pPr>
        <w:tabs>
          <w:tab w:val="left" w:pos="567"/>
          <w:tab w:val="left" w:pos="1440"/>
        </w:tabs>
        <w:spacing w:after="0" w:line="240" w:lineRule="auto"/>
        <w:jc w:val="both"/>
        <w:rPr>
          <w:rFonts w:ascii="Cambria" w:eastAsia="Arial Unicode MS" w:hAnsi="Cambria"/>
          <w:color w:val="000000"/>
          <w:sz w:val="16"/>
          <w:szCs w:val="16"/>
          <w:lang w:val="es-ES_tradnl"/>
        </w:rPr>
      </w:pPr>
    </w:p>
    <w:p w14:paraId="0A0D306D" w14:textId="6B0B9334" w:rsidR="00144515" w:rsidRDefault="00144515" w:rsidP="00EE6B09">
      <w:pPr>
        <w:tabs>
          <w:tab w:val="left" w:pos="567"/>
          <w:tab w:val="left" w:pos="1440"/>
        </w:tabs>
        <w:spacing w:after="0" w:line="240" w:lineRule="auto"/>
        <w:jc w:val="both"/>
        <w:rPr>
          <w:rFonts w:ascii="Cambria" w:eastAsia="Arial Unicode MS" w:hAnsi="Cambria"/>
          <w:color w:val="000000"/>
          <w:sz w:val="20"/>
          <w:szCs w:val="20"/>
          <w:lang w:val="es-ES_tradnl"/>
        </w:rPr>
      </w:pPr>
    </w:p>
    <w:p w14:paraId="361B2236" w14:textId="77777777" w:rsidR="00144515" w:rsidRPr="00144515" w:rsidRDefault="00144515" w:rsidP="00EE6B09">
      <w:pPr>
        <w:tabs>
          <w:tab w:val="left" w:pos="567"/>
          <w:tab w:val="left" w:pos="1440"/>
        </w:tabs>
        <w:spacing w:after="0" w:line="240" w:lineRule="auto"/>
        <w:jc w:val="both"/>
        <w:rPr>
          <w:rFonts w:ascii="Cambria" w:eastAsia="Arial Unicode MS" w:hAnsi="Cambria"/>
          <w:color w:val="000000"/>
          <w:sz w:val="20"/>
          <w:szCs w:val="20"/>
          <w:lang w:val="es-ES_tradnl"/>
        </w:rPr>
      </w:pPr>
    </w:p>
    <w:p w14:paraId="6C6AD027" w14:textId="697BC65C" w:rsidR="00EE6B09" w:rsidRPr="00053578" w:rsidRDefault="00EE6B09" w:rsidP="00144515">
      <w:pPr>
        <w:pStyle w:val="Default"/>
        <w:ind w:firstLine="540"/>
        <w:jc w:val="both"/>
        <w:rPr>
          <w:sz w:val="20"/>
          <w:szCs w:val="20"/>
          <w:lang w:val="es-CO"/>
        </w:rPr>
      </w:pPr>
      <w:r w:rsidRPr="00EB0701">
        <w:rPr>
          <w:sz w:val="20"/>
          <w:szCs w:val="20"/>
          <w:lang w:val="es-ES_tradnl"/>
        </w:rPr>
        <w:t>Con base en dichas</w:t>
      </w:r>
      <w:r>
        <w:rPr>
          <w:sz w:val="20"/>
          <w:szCs w:val="20"/>
          <w:lang w:val="es-ES_tradnl"/>
        </w:rPr>
        <w:t xml:space="preserve"> </w:t>
      </w:r>
      <w:r w:rsidRPr="00EB0701">
        <w:rPr>
          <w:sz w:val="20"/>
          <w:szCs w:val="20"/>
          <w:lang w:val="es-ES_tradnl"/>
        </w:rPr>
        <w:t xml:space="preserve">determinaciones, la Comisión concluyó que </w:t>
      </w:r>
      <w:r w:rsidRPr="00EB0701">
        <w:rPr>
          <w:sz w:val="20"/>
          <w:szCs w:val="20"/>
          <w:lang w:val="es-AR"/>
        </w:rPr>
        <w:t xml:space="preserve">el Estado de Nicaragua </w:t>
      </w:r>
      <w:r w:rsidRPr="00EB0701">
        <w:rPr>
          <w:sz w:val="20"/>
          <w:szCs w:val="20"/>
          <w:lang w:val="es-CO"/>
        </w:rPr>
        <w:t xml:space="preserve">es responsable </w:t>
      </w:r>
      <w:r w:rsidRPr="00843D7B">
        <w:rPr>
          <w:sz w:val="20"/>
          <w:szCs w:val="20"/>
          <w:lang w:val="es-CO"/>
        </w:rPr>
        <w:t>por la violación de los derechos a las garantías y protección judicial establecidos en los artículos 8.1 y 25.1 de la Convención Americana, en relación con el artículo 1.1 del mismo instrumento, en perjuicio de José María Galdeano Ibáñez.</w:t>
      </w:r>
      <w:r w:rsidRPr="00EB0701">
        <w:rPr>
          <w:sz w:val="20"/>
          <w:szCs w:val="20"/>
          <w:lang w:val="es-CO"/>
        </w:rPr>
        <w:t xml:space="preserve"> </w:t>
      </w:r>
    </w:p>
    <w:p w14:paraId="65BA474D" w14:textId="77777777" w:rsidR="00EE6B09" w:rsidRPr="00144515" w:rsidRDefault="00EE6B09" w:rsidP="00EE6B09">
      <w:pPr>
        <w:tabs>
          <w:tab w:val="left" w:pos="567"/>
          <w:tab w:val="left" w:pos="1440"/>
        </w:tabs>
        <w:spacing w:after="0" w:line="240" w:lineRule="auto"/>
        <w:jc w:val="both"/>
        <w:rPr>
          <w:rFonts w:ascii="Cambria" w:hAnsi="Cambria" w:cs="Calibri"/>
          <w:sz w:val="20"/>
          <w:szCs w:val="20"/>
          <w:shd w:val="clear" w:color="auto" w:fill="FFFFFF"/>
          <w:lang w:val="es-CO"/>
        </w:rPr>
      </w:pPr>
    </w:p>
    <w:p w14:paraId="364E3BDA" w14:textId="79810D4A" w:rsidR="00EE6B09" w:rsidRPr="00053578" w:rsidRDefault="00EE6B09" w:rsidP="00144515">
      <w:pPr>
        <w:pStyle w:val="parrafos"/>
        <w:tabs>
          <w:tab w:val="left" w:pos="540"/>
        </w:tabs>
        <w:ind w:firstLine="540"/>
        <w:rPr>
          <w:lang w:val="es-CO"/>
        </w:rPr>
      </w:pPr>
      <w:r w:rsidRPr="00053578">
        <w:rPr>
          <w:lang w:val="es-CO"/>
        </w:rPr>
        <w:t>El Estado de Nicaragua depositó el instrumento de ratificación de la Convención Americana el 25 de septiembre de 1979 y depositó su instrumento de reconocimiento de competencia de la Honorable Corte el 12 de febrero de 1991.</w:t>
      </w:r>
      <w:r w:rsidRPr="0012495B">
        <w:t xml:space="preserve"> </w:t>
      </w:r>
    </w:p>
    <w:p w14:paraId="725ADCBB" w14:textId="77777777" w:rsidR="00EE6B09" w:rsidRPr="00144515" w:rsidRDefault="00EE6B09" w:rsidP="00EE6B09">
      <w:pPr>
        <w:pStyle w:val="parrafos"/>
        <w:tabs>
          <w:tab w:val="left" w:pos="360"/>
        </w:tabs>
        <w:rPr>
          <w:lang w:val="es-CO"/>
        </w:rPr>
      </w:pPr>
    </w:p>
    <w:p w14:paraId="22D2D72A" w14:textId="4155220C" w:rsidR="00EE6B09" w:rsidRDefault="00EE6B09" w:rsidP="00144515">
      <w:pPr>
        <w:pStyle w:val="parrafos"/>
        <w:tabs>
          <w:tab w:val="left" w:pos="360"/>
        </w:tabs>
        <w:ind w:firstLine="540"/>
        <w:rPr>
          <w:lang w:val="es-CO"/>
        </w:rPr>
      </w:pPr>
      <w:r w:rsidRPr="00053578">
        <w:rPr>
          <w:lang w:val="es-CO"/>
        </w:rPr>
        <w:t xml:space="preserve">La Comisión ha designado a la Comisionada Esmeralda Arosemena de Troitiño y a la Secretaria Ejecutiva Tania Reneaum Panszi como sus delegadas. Asimismo, Jorge Meza, Secretario Ejecutivo Adjunto, y Karin Mansel, especialista de la Secretaría Ejecutiva de la CIDH, actuarán como asesores legales. </w:t>
      </w:r>
    </w:p>
    <w:p w14:paraId="7A07F807" w14:textId="77777777" w:rsidR="00144515" w:rsidRPr="00053578" w:rsidRDefault="00144515" w:rsidP="00144515">
      <w:pPr>
        <w:pStyle w:val="parrafos"/>
        <w:tabs>
          <w:tab w:val="left" w:pos="360"/>
        </w:tabs>
        <w:rPr>
          <w:lang w:val="es-CO"/>
        </w:rPr>
      </w:pPr>
    </w:p>
    <w:p w14:paraId="2E537896" w14:textId="45A0EE87" w:rsidR="00EE6B09" w:rsidRDefault="00EE6B09" w:rsidP="00144515">
      <w:pPr>
        <w:pStyle w:val="parrafos"/>
        <w:tabs>
          <w:tab w:val="left" w:pos="360"/>
        </w:tabs>
        <w:ind w:firstLine="540"/>
        <w:rPr>
          <w:rFonts w:cs="Calibri"/>
          <w:lang w:val="es-CO"/>
        </w:rPr>
      </w:pPr>
      <w:r w:rsidRPr="00053578">
        <w:rPr>
          <w:lang w:val="es-CO"/>
        </w:rPr>
        <w:t>De</w:t>
      </w:r>
      <w:r w:rsidRPr="00053578">
        <w:rPr>
          <w:rFonts w:cs="Calibri"/>
          <w:lang w:val="es-CO"/>
        </w:rPr>
        <w:t xml:space="preserve"> conformidad con el artículo 35 del Reglamento de la Corte Interamericana, la Comisión adjunta copia del </w:t>
      </w:r>
      <w:r w:rsidRPr="00053578">
        <w:rPr>
          <w:lang w:val="es-ES_tradnl"/>
        </w:rPr>
        <w:t xml:space="preserve">Informe de </w:t>
      </w:r>
      <w:r w:rsidR="00EA42CF">
        <w:rPr>
          <w:lang w:val="es-ES_tradnl"/>
        </w:rPr>
        <w:t xml:space="preserve">Admisibilidad y </w:t>
      </w:r>
      <w:r w:rsidRPr="00053578">
        <w:rPr>
          <w:lang w:val="es-ES_tradnl"/>
        </w:rPr>
        <w:t>Fondo No. 33</w:t>
      </w:r>
      <w:r w:rsidR="003F56C0">
        <w:rPr>
          <w:lang w:val="es-ES_tradnl"/>
        </w:rPr>
        <w:t>8</w:t>
      </w:r>
      <w:r w:rsidRPr="00053578">
        <w:rPr>
          <w:lang w:val="es-ES_tradnl"/>
        </w:rPr>
        <w:t>/22</w:t>
      </w:r>
      <w:r>
        <w:rPr>
          <w:lang w:val="es-ES_tradnl"/>
        </w:rPr>
        <w:t xml:space="preserve"> </w:t>
      </w:r>
      <w:r w:rsidRPr="00053578">
        <w:rPr>
          <w:rFonts w:cs="Calibri"/>
          <w:lang w:val="es-CO"/>
        </w:rPr>
        <w:t>elaborado en observancia del artículo 50 de la Convención, así como copia de la totalidad del expediente ante la Comisión Interamericana (Apéndice I) y los anexos utilizados en la elaboración del informe</w:t>
      </w:r>
      <w:r w:rsidRPr="00053578">
        <w:rPr>
          <w:lang w:val="es-ES_tradnl"/>
        </w:rPr>
        <w:t xml:space="preserve"> No. 33</w:t>
      </w:r>
      <w:r w:rsidR="003F56C0">
        <w:rPr>
          <w:lang w:val="es-ES_tradnl"/>
        </w:rPr>
        <w:t>8</w:t>
      </w:r>
      <w:r w:rsidRPr="00053578">
        <w:rPr>
          <w:lang w:val="es-ES_tradnl"/>
        </w:rPr>
        <w:t>/22</w:t>
      </w:r>
      <w:r w:rsidRPr="00053578">
        <w:rPr>
          <w:rFonts w:cs="Calibri"/>
          <w:lang w:val="es-CO"/>
        </w:rPr>
        <w:t xml:space="preserve"> (Anexos). </w:t>
      </w:r>
    </w:p>
    <w:p w14:paraId="5345EF2D" w14:textId="77777777" w:rsidR="00EE6B09" w:rsidRPr="00144515" w:rsidRDefault="00EE6B09" w:rsidP="00EE6B09">
      <w:pPr>
        <w:pStyle w:val="parrafos"/>
        <w:tabs>
          <w:tab w:val="left" w:pos="360"/>
        </w:tabs>
        <w:rPr>
          <w:rFonts w:cs="Calibri"/>
          <w:lang w:val="es-CO"/>
        </w:rPr>
      </w:pPr>
    </w:p>
    <w:p w14:paraId="3CF585A3" w14:textId="17B3BF94" w:rsidR="00EE6B09" w:rsidRDefault="00EE6B09" w:rsidP="00144515">
      <w:pPr>
        <w:pStyle w:val="NormalWeb"/>
        <w:spacing w:before="0" w:beforeAutospacing="0" w:after="0" w:afterAutospacing="0"/>
        <w:ind w:firstLine="540"/>
        <w:jc w:val="both"/>
        <w:rPr>
          <w:rFonts w:ascii="Cambria" w:hAnsi="Cambria"/>
          <w:sz w:val="20"/>
          <w:szCs w:val="20"/>
          <w:lang w:val="es-CO"/>
        </w:rPr>
      </w:pPr>
      <w:r w:rsidRPr="00053578">
        <w:rPr>
          <w:rFonts w:ascii="Cambria" w:eastAsia="Arial Unicode MS" w:hAnsi="Cambria" w:cs="Calibri"/>
          <w:color w:val="000000"/>
          <w:sz w:val="20"/>
          <w:szCs w:val="20"/>
          <w:bdr w:val="nil"/>
          <w:lang w:val="es-CO"/>
        </w:rPr>
        <w:t xml:space="preserve">Dicho Informe de </w:t>
      </w:r>
      <w:r w:rsidR="00EA42CF">
        <w:rPr>
          <w:rFonts w:ascii="Cambria" w:eastAsia="Arial Unicode MS" w:hAnsi="Cambria" w:cs="Calibri"/>
          <w:color w:val="000000"/>
          <w:sz w:val="20"/>
          <w:szCs w:val="20"/>
          <w:bdr w:val="nil"/>
          <w:lang w:val="es-CO"/>
        </w:rPr>
        <w:t xml:space="preserve">Admisibilidad y </w:t>
      </w:r>
      <w:r w:rsidRPr="00053578">
        <w:rPr>
          <w:rFonts w:ascii="Cambria" w:eastAsia="Arial Unicode MS" w:hAnsi="Cambria" w:cs="Calibri"/>
          <w:color w:val="000000"/>
          <w:sz w:val="20"/>
          <w:szCs w:val="20"/>
          <w:bdr w:val="nil"/>
          <w:lang w:val="es-CO"/>
        </w:rPr>
        <w:t xml:space="preserve">Fondo fue notificado al Estado el </w:t>
      </w:r>
      <w:r w:rsidR="003F56C0">
        <w:rPr>
          <w:rFonts w:ascii="Cambria" w:eastAsia="Arial Unicode MS" w:hAnsi="Cambria" w:cs="Calibri"/>
          <w:color w:val="000000"/>
          <w:sz w:val="20"/>
          <w:szCs w:val="20"/>
          <w:bdr w:val="nil"/>
          <w:lang w:val="es-CO"/>
        </w:rPr>
        <w:t>9</w:t>
      </w:r>
      <w:r w:rsidRPr="00053578">
        <w:rPr>
          <w:rFonts w:ascii="Cambria" w:eastAsia="Arial Unicode MS" w:hAnsi="Cambria" w:cs="Calibri"/>
          <w:color w:val="000000"/>
          <w:sz w:val="20"/>
          <w:szCs w:val="20"/>
          <w:bdr w:val="nil"/>
          <w:lang w:val="es-CO"/>
        </w:rPr>
        <w:t xml:space="preserve"> de </w:t>
      </w:r>
      <w:r w:rsidR="003F56C0">
        <w:rPr>
          <w:rFonts w:ascii="Cambria" w:eastAsia="Arial Unicode MS" w:hAnsi="Cambria" w:cs="Calibri"/>
          <w:color w:val="000000"/>
          <w:sz w:val="20"/>
          <w:szCs w:val="20"/>
          <w:bdr w:val="nil"/>
          <w:lang w:val="es-CO"/>
        </w:rPr>
        <w:t>agosto</w:t>
      </w:r>
      <w:r w:rsidRPr="00053578">
        <w:rPr>
          <w:rFonts w:ascii="Cambria" w:eastAsia="Arial Unicode MS" w:hAnsi="Cambria" w:cs="Calibri"/>
          <w:color w:val="000000"/>
          <w:sz w:val="20"/>
          <w:szCs w:val="20"/>
          <w:bdr w:val="nil"/>
          <w:lang w:val="es-CO"/>
        </w:rPr>
        <w:t xml:space="preserve"> de 2023, otorgándole un plazo de dos meses para informar sobre el cumplimiento de las recomendaciones. Sin embargo, la Comisión no cuenta con información alguna en relación con su implementación por parte del Estado. En consecuencia, teniendo en cuenta la necesidad de justicia y reparación por las violaciones declaradas en el Informe</w:t>
      </w:r>
      <w:r w:rsidR="009E285A">
        <w:rPr>
          <w:rFonts w:ascii="Cambria" w:eastAsia="Arial Unicode MS" w:hAnsi="Cambria" w:cs="Calibri"/>
          <w:color w:val="000000"/>
          <w:sz w:val="20"/>
          <w:szCs w:val="20"/>
          <w:bdr w:val="nil"/>
          <w:lang w:val="es-CO"/>
        </w:rPr>
        <w:t>,</w:t>
      </w:r>
      <w:r>
        <w:rPr>
          <w:rFonts w:ascii="Cambria" w:eastAsia="Arial Unicode MS" w:hAnsi="Cambria" w:cs="Calibri"/>
          <w:color w:val="000000"/>
          <w:sz w:val="20"/>
          <w:szCs w:val="20"/>
          <w:bdr w:val="nil"/>
          <w:lang w:val="es-CO"/>
        </w:rPr>
        <w:t xml:space="preserve"> </w:t>
      </w:r>
      <w:r w:rsidRPr="00053578">
        <w:rPr>
          <w:rFonts w:ascii="Cambria" w:eastAsia="Arial Unicode MS" w:hAnsi="Cambria" w:cs="Calibri"/>
          <w:color w:val="000000"/>
          <w:sz w:val="20"/>
          <w:szCs w:val="20"/>
          <w:bdr w:val="nil"/>
          <w:lang w:val="es-CO"/>
        </w:rPr>
        <w:t>la Comisión Interamericana decidió someter el presente caso a la jurisdicción de la Corte Interamericana.</w:t>
      </w:r>
      <w:r w:rsidRPr="00053578">
        <w:rPr>
          <w:rFonts w:ascii="Cambria" w:hAnsi="Cambria"/>
          <w:sz w:val="20"/>
          <w:szCs w:val="20"/>
          <w:lang w:val="es-CO"/>
        </w:rPr>
        <w:t xml:space="preserve"> </w:t>
      </w:r>
    </w:p>
    <w:p w14:paraId="32149475" w14:textId="77777777" w:rsidR="00EE6B09" w:rsidRPr="00144515" w:rsidRDefault="00EE6B09" w:rsidP="00144515">
      <w:pPr>
        <w:pStyle w:val="NormalWeb"/>
        <w:spacing w:before="0" w:beforeAutospacing="0" w:after="0" w:afterAutospacing="0"/>
        <w:jc w:val="both"/>
        <w:rPr>
          <w:rFonts w:ascii="Cambria" w:eastAsia="Times New Roman" w:hAnsi="Cambria"/>
          <w:sz w:val="20"/>
          <w:szCs w:val="20"/>
          <w:lang w:val="es-ES" w:eastAsia="ko-KR"/>
        </w:rPr>
      </w:pPr>
    </w:p>
    <w:p w14:paraId="5A9028F7" w14:textId="3F14EA67" w:rsidR="00EE6B09" w:rsidRPr="000F75DB" w:rsidRDefault="00EE6B09" w:rsidP="00144515">
      <w:pPr>
        <w:pStyle w:val="Default"/>
        <w:ind w:firstLine="540"/>
        <w:jc w:val="both"/>
        <w:rPr>
          <w:sz w:val="20"/>
          <w:szCs w:val="20"/>
          <w:lang w:val="es-CO"/>
        </w:rPr>
      </w:pPr>
      <w:r w:rsidRPr="00053578">
        <w:rPr>
          <w:sz w:val="20"/>
          <w:szCs w:val="20"/>
          <w:lang w:val="es-CO"/>
        </w:rPr>
        <w:t xml:space="preserve">En ese sentido, la Comisión solicita a la Honorable Corte que concluya y declare que el Estado nicaragüense es responsable por la violación </w:t>
      </w:r>
      <w:r w:rsidR="00BC1683" w:rsidRPr="00843D7B">
        <w:rPr>
          <w:sz w:val="20"/>
          <w:szCs w:val="20"/>
          <w:lang w:val="es-CO"/>
        </w:rPr>
        <w:t>de los derechos a las garantías y protección judicial establecidos en los artículos 8.1 y 25.1 de la Convención Americana, en relación con el artículo 1.1 del mismo instrumento, en perjuicio de José María Galdeano Ibáñez.</w:t>
      </w:r>
      <w:r w:rsidR="00BC1683" w:rsidRPr="00EB0701">
        <w:rPr>
          <w:sz w:val="20"/>
          <w:szCs w:val="20"/>
          <w:lang w:val="es-CO"/>
        </w:rPr>
        <w:t xml:space="preserve"> </w:t>
      </w:r>
    </w:p>
    <w:p w14:paraId="67806B1D" w14:textId="77777777" w:rsidR="00EE6B09" w:rsidRPr="00144515" w:rsidRDefault="00EE6B09" w:rsidP="00EE6B09">
      <w:pPr>
        <w:pStyle w:val="parrafos"/>
        <w:tabs>
          <w:tab w:val="left" w:pos="360"/>
        </w:tabs>
        <w:rPr>
          <w:lang w:val="es-CO"/>
        </w:rPr>
      </w:pPr>
    </w:p>
    <w:p w14:paraId="449A1A24" w14:textId="2F17DBB9" w:rsidR="00EE6B09" w:rsidRPr="00053578" w:rsidRDefault="00EE6B09" w:rsidP="00144515">
      <w:pPr>
        <w:pStyle w:val="parrafos"/>
        <w:tabs>
          <w:tab w:val="left" w:pos="540"/>
        </w:tabs>
        <w:rPr>
          <w:rFonts w:cs="Calibri"/>
          <w:lang w:val="es-CO"/>
        </w:rPr>
      </w:pPr>
      <w:r w:rsidRPr="00053578">
        <w:rPr>
          <w:rFonts w:cs="Calibri"/>
          <w:lang w:val="es-CO"/>
        </w:rPr>
        <w:tab/>
      </w:r>
      <w:r w:rsidRPr="00053578">
        <w:rPr>
          <w:lang w:val="es-CO"/>
        </w:rPr>
        <w:t>L</w:t>
      </w:r>
      <w:r w:rsidRPr="00053578">
        <w:rPr>
          <w:rFonts w:cs="Calibri"/>
          <w:lang w:val="es-CO"/>
        </w:rPr>
        <w:t>a Comisión solicita a la Corte Interamericana que establezca las siguientes medidas de reparación:</w:t>
      </w:r>
    </w:p>
    <w:p w14:paraId="66E9B26A" w14:textId="77777777" w:rsidR="00EE6B09" w:rsidRPr="0012495B" w:rsidRDefault="00EE6B09" w:rsidP="00EE6B09">
      <w:pPr>
        <w:pStyle w:val="parrafos"/>
        <w:tabs>
          <w:tab w:val="left" w:pos="360"/>
        </w:tabs>
        <w:rPr>
          <w:u w:color="000000"/>
          <w:lang w:val="es-US"/>
        </w:rPr>
      </w:pPr>
    </w:p>
    <w:p w14:paraId="0C647184" w14:textId="77777777" w:rsidR="008F0857" w:rsidRDefault="008F0857" w:rsidP="00144515">
      <w:pPr>
        <w:pStyle w:val="parrafos"/>
        <w:numPr>
          <w:ilvl w:val="0"/>
          <w:numId w:val="1"/>
        </w:numPr>
        <w:tabs>
          <w:tab w:val="left" w:pos="360"/>
        </w:tabs>
        <w:ind w:left="990" w:right="720" w:hanging="450"/>
        <w:rPr>
          <w:u w:color="000000"/>
          <w:lang w:val="es-CO"/>
        </w:rPr>
      </w:pPr>
      <w:r w:rsidRPr="008F0857">
        <w:rPr>
          <w:u w:color="000000"/>
          <w:lang w:val="es-CO"/>
        </w:rPr>
        <w:t>Reparar integralmente las violaciones de derechos humanos declaradas en el presente informe tanto en el aspecto material como inmaterial. El Estado deberá adoptar las medidas de compensación económica y satisfacción.</w:t>
      </w:r>
    </w:p>
    <w:p w14:paraId="1FC110C1" w14:textId="77777777" w:rsidR="008F0857" w:rsidRPr="008F0857" w:rsidRDefault="008F0857" w:rsidP="00144515">
      <w:pPr>
        <w:pStyle w:val="parrafos"/>
        <w:tabs>
          <w:tab w:val="left" w:pos="360"/>
        </w:tabs>
        <w:ind w:left="990" w:right="720" w:hanging="450"/>
        <w:rPr>
          <w:u w:color="000000"/>
          <w:lang w:val="es-CO"/>
        </w:rPr>
      </w:pPr>
    </w:p>
    <w:p w14:paraId="1E6377B7" w14:textId="662DE981" w:rsidR="008F0857" w:rsidRDefault="008F0857" w:rsidP="00144515">
      <w:pPr>
        <w:pStyle w:val="parrafos"/>
        <w:numPr>
          <w:ilvl w:val="0"/>
          <w:numId w:val="1"/>
        </w:numPr>
        <w:tabs>
          <w:tab w:val="left" w:pos="360"/>
        </w:tabs>
        <w:ind w:left="990" w:right="720" w:hanging="450"/>
        <w:rPr>
          <w:u w:color="000000"/>
          <w:lang w:val="es-CO"/>
        </w:rPr>
      </w:pPr>
      <w:r w:rsidRPr="008F0857">
        <w:rPr>
          <w:u w:color="000000"/>
          <w:lang w:val="es-CO"/>
        </w:rPr>
        <w:t>Adoptar las medidas de capacitación o los protocolos requeridos al Ministerio Público para asegurar que las denuncias de delitos menores donde las presuntas víctimas sean extranjeras sean investigadas e impulsadas de manera diligente por las entidades correspondientes.</w:t>
      </w:r>
    </w:p>
    <w:p w14:paraId="32E2D062" w14:textId="77777777" w:rsidR="008F0857" w:rsidRPr="00144515" w:rsidRDefault="008F0857" w:rsidP="00144515">
      <w:pPr>
        <w:pStyle w:val="parrafos"/>
        <w:tabs>
          <w:tab w:val="left" w:pos="360"/>
        </w:tabs>
        <w:rPr>
          <w:u w:color="000000"/>
          <w:lang w:val="es-CO"/>
        </w:rPr>
      </w:pPr>
    </w:p>
    <w:p w14:paraId="6CEA5B34" w14:textId="65DFA874" w:rsidR="001C372C" w:rsidRDefault="00EE6B09" w:rsidP="00144515">
      <w:pPr>
        <w:pStyle w:val="Default"/>
        <w:tabs>
          <w:tab w:val="left" w:pos="540"/>
        </w:tabs>
        <w:jc w:val="both"/>
        <w:rPr>
          <w:sz w:val="20"/>
          <w:szCs w:val="20"/>
          <w:lang w:val="es-CO"/>
        </w:rPr>
      </w:pPr>
      <w:r w:rsidRPr="00053578">
        <w:rPr>
          <w:rFonts w:cs="Calibri"/>
          <w:sz w:val="20"/>
          <w:szCs w:val="20"/>
          <w:lang w:val="es-CO"/>
        </w:rPr>
        <w:tab/>
      </w:r>
      <w:bookmarkStart w:id="2" w:name="_Hlk108022142"/>
      <w:r w:rsidRPr="00D707B1">
        <w:rPr>
          <w:rFonts w:cs="Calibri"/>
          <w:sz w:val="20"/>
          <w:szCs w:val="20"/>
          <w:lang w:val="es-CO"/>
        </w:rPr>
        <w:t xml:space="preserve">Además de la necesidad de obtención de justicia y reparación por la falta de cumplimiento de las recomendaciones del Informe de Fondo, la Comisión considera que el caso presenta cuestiones de orden público interamericano. Entre otros aspectos, el mismo permitirá a la Honorable Corte continuar desarrollando su jurisprudencia sobre </w:t>
      </w:r>
      <w:r w:rsidR="001C372C" w:rsidRPr="00D707B1">
        <w:rPr>
          <w:sz w:val="20"/>
          <w:szCs w:val="20"/>
          <w:lang w:val="es-CO"/>
        </w:rPr>
        <w:t>el alcance de las garantías del debido proceso en casos que involucran a migrantes o extranjeros.</w:t>
      </w:r>
      <w:r w:rsidR="00BF6821" w:rsidRPr="00D707B1">
        <w:rPr>
          <w:sz w:val="20"/>
          <w:szCs w:val="20"/>
          <w:lang w:val="es-CO"/>
        </w:rPr>
        <w:t xml:space="preserve"> </w:t>
      </w:r>
      <w:r w:rsidR="001C372C" w:rsidRPr="00D707B1">
        <w:rPr>
          <w:sz w:val="20"/>
          <w:szCs w:val="20"/>
          <w:lang w:val="es-CO"/>
        </w:rPr>
        <w:t>En particular, la Corte podrá pronunciarse sobre</w:t>
      </w:r>
      <w:r w:rsidR="006251D5" w:rsidRPr="00D707B1">
        <w:rPr>
          <w:sz w:val="20"/>
          <w:szCs w:val="20"/>
          <w:lang w:val="es-CO"/>
        </w:rPr>
        <w:t xml:space="preserve"> el deber de investigar </w:t>
      </w:r>
      <w:r w:rsidR="008236A6" w:rsidRPr="00D707B1">
        <w:rPr>
          <w:sz w:val="20"/>
          <w:szCs w:val="20"/>
          <w:lang w:val="es-CO"/>
        </w:rPr>
        <w:t>diligentemente</w:t>
      </w:r>
      <w:r w:rsidR="006251D5" w:rsidRPr="00D707B1">
        <w:rPr>
          <w:sz w:val="20"/>
          <w:szCs w:val="20"/>
          <w:lang w:val="es-CO"/>
        </w:rPr>
        <w:t xml:space="preserve"> </w:t>
      </w:r>
      <w:r w:rsidR="003A1641" w:rsidRPr="00D707B1">
        <w:rPr>
          <w:sz w:val="20"/>
          <w:szCs w:val="20"/>
          <w:lang w:val="es-CO"/>
        </w:rPr>
        <w:t xml:space="preserve">los actos cometidos contra personas extranjeras de forma tal que estas </w:t>
      </w:r>
      <w:r w:rsidR="008236A6" w:rsidRPr="00D707B1">
        <w:rPr>
          <w:sz w:val="20"/>
          <w:szCs w:val="20"/>
          <w:lang w:val="es-CO"/>
        </w:rPr>
        <w:t>puedan</w:t>
      </w:r>
      <w:r w:rsidR="003A1641" w:rsidRPr="00D707B1">
        <w:rPr>
          <w:sz w:val="20"/>
          <w:szCs w:val="20"/>
          <w:lang w:val="es-CO"/>
        </w:rPr>
        <w:t xml:space="preserve"> hacer valer sus derechos y defender sus intereses en forma efectiva y</w:t>
      </w:r>
      <w:r w:rsidR="00F30B70" w:rsidRPr="00D707B1">
        <w:rPr>
          <w:sz w:val="20"/>
          <w:szCs w:val="20"/>
          <w:lang w:val="es-CO"/>
        </w:rPr>
        <w:t>, con ello, tener acceso a la justicia.</w:t>
      </w:r>
      <w:r w:rsidR="001C372C" w:rsidRPr="00D707B1">
        <w:rPr>
          <w:sz w:val="20"/>
          <w:szCs w:val="20"/>
          <w:lang w:val="es-CO"/>
        </w:rPr>
        <w:t xml:space="preserve"> Asimismo, el caso permitirá a la Corte referirse a la violación del artículo 25.1 de la Convención</w:t>
      </w:r>
      <w:r w:rsidR="001C372C" w:rsidRPr="00FF3211">
        <w:rPr>
          <w:sz w:val="20"/>
          <w:szCs w:val="20"/>
          <w:lang w:val="es-CO"/>
        </w:rPr>
        <w:t xml:space="preserve">, </w:t>
      </w:r>
      <w:r w:rsidR="001C372C">
        <w:rPr>
          <w:sz w:val="20"/>
          <w:szCs w:val="20"/>
          <w:lang w:val="es-CO"/>
        </w:rPr>
        <w:t xml:space="preserve">por </w:t>
      </w:r>
      <w:r w:rsidR="001C372C" w:rsidRPr="00FF3211">
        <w:rPr>
          <w:sz w:val="20"/>
          <w:szCs w:val="20"/>
          <w:lang w:val="es-CO"/>
        </w:rPr>
        <w:t xml:space="preserve">la falta de respuesta de las autoridades </w:t>
      </w:r>
      <w:r w:rsidR="001C372C">
        <w:rPr>
          <w:sz w:val="20"/>
          <w:szCs w:val="20"/>
          <w:lang w:val="es-CO"/>
        </w:rPr>
        <w:t xml:space="preserve">ante denuncias interpuestas por víctimas para </w:t>
      </w:r>
      <w:r w:rsidR="001C372C" w:rsidRPr="00FF3211">
        <w:rPr>
          <w:sz w:val="20"/>
          <w:szCs w:val="20"/>
          <w:lang w:val="es-CO"/>
        </w:rPr>
        <w:t xml:space="preserve">establecer si ha sucedido o no una violación a </w:t>
      </w:r>
      <w:r w:rsidR="001C372C">
        <w:rPr>
          <w:sz w:val="20"/>
          <w:szCs w:val="20"/>
          <w:lang w:val="es-CO"/>
        </w:rPr>
        <w:t>sus derechos.</w:t>
      </w:r>
    </w:p>
    <w:p w14:paraId="08E7C1C9" w14:textId="49FC2FE2" w:rsidR="00EE6B09" w:rsidRDefault="00EE6B09" w:rsidP="001C372C">
      <w:pPr>
        <w:pStyle w:val="Default"/>
        <w:jc w:val="both"/>
        <w:rPr>
          <w:rFonts w:cs="Calibri"/>
          <w:sz w:val="20"/>
          <w:szCs w:val="20"/>
          <w:lang w:val="es-CO"/>
        </w:rPr>
      </w:pPr>
    </w:p>
    <w:p w14:paraId="6AC5C8C4" w14:textId="40B3F4F9" w:rsidR="00144515" w:rsidRDefault="00144515" w:rsidP="001C372C">
      <w:pPr>
        <w:pStyle w:val="Default"/>
        <w:jc w:val="both"/>
        <w:rPr>
          <w:rFonts w:cs="Calibri"/>
          <w:sz w:val="20"/>
          <w:szCs w:val="20"/>
          <w:lang w:val="es-CO"/>
        </w:rPr>
      </w:pPr>
    </w:p>
    <w:p w14:paraId="52C9D257" w14:textId="2397444D" w:rsidR="00144515" w:rsidRDefault="00144515" w:rsidP="001C372C">
      <w:pPr>
        <w:pStyle w:val="Default"/>
        <w:jc w:val="both"/>
        <w:rPr>
          <w:rFonts w:cs="Calibri"/>
          <w:sz w:val="20"/>
          <w:szCs w:val="20"/>
          <w:lang w:val="es-CO"/>
        </w:rPr>
      </w:pPr>
    </w:p>
    <w:p w14:paraId="7D23F8A3" w14:textId="68068E08" w:rsidR="00144515" w:rsidRDefault="00144515" w:rsidP="001C372C">
      <w:pPr>
        <w:pStyle w:val="Default"/>
        <w:jc w:val="both"/>
        <w:rPr>
          <w:rFonts w:cs="Calibri"/>
          <w:sz w:val="20"/>
          <w:szCs w:val="20"/>
          <w:lang w:val="es-CO"/>
        </w:rPr>
      </w:pPr>
    </w:p>
    <w:p w14:paraId="498F49CA" w14:textId="77777777" w:rsidR="00144515" w:rsidRPr="00A2086B" w:rsidRDefault="00144515" w:rsidP="001C372C">
      <w:pPr>
        <w:pStyle w:val="Default"/>
        <w:jc w:val="both"/>
        <w:rPr>
          <w:rFonts w:cs="Calibri"/>
          <w:sz w:val="20"/>
          <w:szCs w:val="20"/>
          <w:lang w:val="es-CO"/>
        </w:rPr>
      </w:pPr>
    </w:p>
    <w:p w14:paraId="3E01FC75" w14:textId="655EC03C" w:rsidR="00EE6B09" w:rsidRPr="00A2086B" w:rsidRDefault="00EE6B09" w:rsidP="00A2086B">
      <w:pPr>
        <w:pStyle w:val="parrafos"/>
        <w:tabs>
          <w:tab w:val="left" w:pos="540"/>
        </w:tabs>
        <w:rPr>
          <w:rFonts w:cs="Calibri"/>
          <w:lang w:val="es-CO"/>
        </w:rPr>
      </w:pPr>
      <w:r w:rsidRPr="00A2086B">
        <w:rPr>
          <w:rFonts w:cs="Calibri"/>
          <w:lang w:val="es-CO"/>
        </w:rPr>
        <w:tab/>
        <w:t>La Comisión pone en conocimiento de la Honorable Corte la siguiente información de quien actúa como parte peticionaria en el trámite ante la CIDH conforme a la información más reciente:</w:t>
      </w:r>
    </w:p>
    <w:p w14:paraId="213416C7" w14:textId="1E7C673E" w:rsidR="00EE6B09" w:rsidRPr="00A2086B" w:rsidRDefault="00EE6B09" w:rsidP="0064569D">
      <w:pPr>
        <w:autoSpaceDE w:val="0"/>
        <w:autoSpaceDN w:val="0"/>
        <w:adjustRightInd w:val="0"/>
        <w:spacing w:after="0" w:line="240" w:lineRule="auto"/>
        <w:rPr>
          <w:rStyle w:val="Hyperlink"/>
          <w:rFonts w:ascii="Cambria" w:eastAsia="Times New Roman" w:hAnsi="Cambria" w:cs="Calibri"/>
          <w:color w:val="auto"/>
          <w:sz w:val="20"/>
          <w:szCs w:val="20"/>
          <w:lang w:val="es-ES"/>
        </w:rPr>
      </w:pPr>
    </w:p>
    <w:p w14:paraId="2D24E666" w14:textId="77777777" w:rsidR="00A2086B" w:rsidRPr="00A2086B" w:rsidRDefault="00A2086B" w:rsidP="00A2086B">
      <w:pPr>
        <w:spacing w:after="0" w:line="240" w:lineRule="auto"/>
        <w:jc w:val="center"/>
        <w:rPr>
          <w:rFonts w:ascii="Cambria" w:hAnsi="Cambria" w:cstheme="minorHAnsi"/>
          <w:sz w:val="20"/>
          <w:szCs w:val="20"/>
          <w:shd w:val="clear" w:color="auto" w:fill="FFFFFF"/>
          <w:lang w:val="es-MX"/>
        </w:rPr>
      </w:pPr>
      <w:r w:rsidRPr="00A2086B">
        <w:rPr>
          <w:rFonts w:ascii="Cambria" w:hAnsi="Cambria" w:cstheme="minorHAnsi"/>
          <w:sz w:val="20"/>
          <w:szCs w:val="20"/>
          <w:shd w:val="clear" w:color="auto" w:fill="FFFFFF"/>
          <w:lang w:val="es-MX"/>
        </w:rPr>
        <w:t>José María Galdeano Ibáñez</w:t>
      </w:r>
    </w:p>
    <w:p w14:paraId="25917CB5" w14:textId="0734303C" w:rsidR="00A2086B" w:rsidRPr="00501D4D" w:rsidRDefault="00501D4D" w:rsidP="00A2086B">
      <w:pPr>
        <w:autoSpaceDE w:val="0"/>
        <w:autoSpaceDN w:val="0"/>
        <w:adjustRightInd w:val="0"/>
        <w:spacing w:after="0" w:line="240" w:lineRule="auto"/>
        <w:jc w:val="center"/>
        <w:rPr>
          <w:rStyle w:val="Hyperlink"/>
          <w:rFonts w:ascii="Cambria" w:eastAsia="Times New Roman" w:hAnsi="Cambria" w:cs="Calibri"/>
          <w:color w:val="auto"/>
          <w:sz w:val="20"/>
          <w:szCs w:val="20"/>
          <w:highlight w:val="black"/>
          <w:lang w:val="es-ES"/>
        </w:rPr>
      </w:pPr>
      <w:r w:rsidRPr="00501D4D">
        <w:rPr>
          <w:rStyle w:val="Hyperlink"/>
          <w:rFonts w:ascii="Cambria" w:eastAsia="Times New Roman" w:hAnsi="Cambria" w:cs="Calibri"/>
          <w:color w:val="auto"/>
          <w:sz w:val="20"/>
          <w:szCs w:val="20"/>
          <w:highlight w:val="black"/>
          <w:lang w:val="es-ES"/>
        </w:rPr>
        <w:t>XXXXXXXXXXXXXXXXXXXXX</w:t>
      </w:r>
    </w:p>
    <w:p w14:paraId="50DBC71E" w14:textId="77777777" w:rsidR="00A2086B" w:rsidRPr="00A2086B" w:rsidRDefault="00A2086B" w:rsidP="0064569D">
      <w:pPr>
        <w:autoSpaceDE w:val="0"/>
        <w:autoSpaceDN w:val="0"/>
        <w:adjustRightInd w:val="0"/>
        <w:spacing w:after="0" w:line="240" w:lineRule="auto"/>
        <w:rPr>
          <w:rStyle w:val="Hyperlink"/>
          <w:rFonts w:ascii="Cambria" w:eastAsia="Times New Roman" w:hAnsi="Cambria" w:cs="Calibri"/>
          <w:color w:val="auto"/>
          <w:sz w:val="20"/>
          <w:szCs w:val="20"/>
          <w:lang w:val="es-ES"/>
        </w:rPr>
      </w:pPr>
    </w:p>
    <w:p w14:paraId="665A8E42" w14:textId="77777777" w:rsidR="00EE6B09" w:rsidRPr="00A2086B" w:rsidRDefault="00EE6B09" w:rsidP="00A2086B">
      <w:pPr>
        <w:spacing w:after="0" w:line="240" w:lineRule="auto"/>
        <w:ind w:firstLine="540"/>
        <w:jc w:val="both"/>
        <w:rPr>
          <w:rFonts w:ascii="Cambria" w:hAnsi="Cambria" w:cs="Calibri"/>
          <w:color w:val="000000"/>
          <w:sz w:val="20"/>
          <w:szCs w:val="20"/>
          <w:lang w:val="es-CO"/>
        </w:rPr>
      </w:pPr>
      <w:r w:rsidRPr="00A2086B">
        <w:rPr>
          <w:rFonts w:ascii="Cambria" w:hAnsi="Cambria" w:cs="Calibri"/>
          <w:color w:val="000000"/>
          <w:sz w:val="20"/>
          <w:szCs w:val="20"/>
          <w:lang w:val="es-CO"/>
        </w:rPr>
        <w:t>Aprovecho la oportunidad para saludar a usted muy atentamente,</w:t>
      </w:r>
      <w:bookmarkStart w:id="3" w:name="ministro"/>
      <w:bookmarkStart w:id="4" w:name="_Hlk129855594"/>
      <w:bookmarkStart w:id="5" w:name="_Hlk129970904"/>
      <w:bookmarkStart w:id="6" w:name="_Hlk122115986"/>
      <w:bookmarkStart w:id="7" w:name="_Hlk118969572"/>
      <w:bookmarkStart w:id="8" w:name="_Hlk120781836"/>
      <w:bookmarkStart w:id="9" w:name="_Hlk130997932"/>
      <w:bookmarkStart w:id="10" w:name="_Hlk128731904"/>
      <w:bookmarkStart w:id="11" w:name="_Hlk119577459"/>
      <w:bookmarkStart w:id="12" w:name="_Hlk131167805"/>
      <w:bookmarkStart w:id="13" w:name="_Hlk129896549"/>
      <w:bookmarkEnd w:id="3"/>
    </w:p>
    <w:bookmarkEnd w:id="4"/>
    <w:bookmarkEnd w:id="5"/>
    <w:bookmarkEnd w:id="6"/>
    <w:bookmarkEnd w:id="7"/>
    <w:bookmarkEnd w:id="8"/>
    <w:bookmarkEnd w:id="9"/>
    <w:bookmarkEnd w:id="10"/>
    <w:bookmarkEnd w:id="11"/>
    <w:bookmarkEnd w:id="12"/>
    <w:bookmarkEnd w:id="13"/>
    <w:p w14:paraId="1FBC68A9" w14:textId="77777777" w:rsidR="00A2086B" w:rsidRPr="00571B8A" w:rsidRDefault="00A2086B" w:rsidP="00A2086B">
      <w:pPr>
        <w:tabs>
          <w:tab w:val="left" w:pos="-720"/>
          <w:tab w:val="left" w:pos="1380"/>
        </w:tabs>
        <w:suppressAutoHyphens/>
        <w:spacing w:after="0" w:line="240" w:lineRule="auto"/>
        <w:jc w:val="both"/>
        <w:rPr>
          <w:rFonts w:ascii="Cambria" w:hAnsi="Cambria" w:cstheme="minorHAnsi"/>
          <w:sz w:val="20"/>
          <w:szCs w:val="20"/>
          <w:lang w:val="es-CO"/>
        </w:rPr>
      </w:pPr>
    </w:p>
    <w:p w14:paraId="1A07E461" w14:textId="631D0E7C" w:rsidR="00A2086B" w:rsidRPr="00A2086B" w:rsidRDefault="00A2086B" w:rsidP="00A2086B">
      <w:pPr>
        <w:tabs>
          <w:tab w:val="left" w:pos="3926"/>
        </w:tabs>
        <w:spacing w:after="0" w:line="240" w:lineRule="auto"/>
        <w:rPr>
          <w:rFonts w:ascii="Cambria" w:hAnsi="Cambria" w:cstheme="minorHAnsi"/>
          <w:sz w:val="20"/>
          <w:szCs w:val="20"/>
          <w:lang w:val="es-MX"/>
        </w:rPr>
      </w:pPr>
    </w:p>
    <w:p w14:paraId="3BD10D91" w14:textId="77777777" w:rsidR="00A2086B" w:rsidRPr="00A2086B" w:rsidRDefault="00A2086B" w:rsidP="00A2086B">
      <w:pPr>
        <w:spacing w:after="0" w:line="240" w:lineRule="auto"/>
        <w:jc w:val="center"/>
        <w:rPr>
          <w:rFonts w:ascii="Cambria" w:hAnsi="Cambria" w:cstheme="minorHAnsi"/>
          <w:sz w:val="20"/>
          <w:szCs w:val="20"/>
          <w:lang w:val="es-MX"/>
        </w:rPr>
      </w:pPr>
    </w:p>
    <w:p w14:paraId="5E025395" w14:textId="77777777" w:rsidR="00A2086B" w:rsidRPr="00A2086B" w:rsidRDefault="00A2086B" w:rsidP="00A2086B">
      <w:pPr>
        <w:spacing w:after="0" w:line="240" w:lineRule="auto"/>
        <w:rPr>
          <w:rFonts w:ascii="Cambria" w:hAnsi="Cambria" w:cstheme="minorHAnsi"/>
          <w:sz w:val="20"/>
          <w:szCs w:val="20"/>
          <w:lang w:val="es-MX"/>
        </w:rPr>
      </w:pPr>
    </w:p>
    <w:p w14:paraId="1A4D6827" w14:textId="77777777" w:rsidR="00A2086B" w:rsidRPr="00A2086B" w:rsidRDefault="00A2086B" w:rsidP="00A2086B">
      <w:pPr>
        <w:tabs>
          <w:tab w:val="center" w:pos="5040"/>
        </w:tabs>
        <w:spacing w:after="0" w:line="240" w:lineRule="auto"/>
        <w:jc w:val="center"/>
        <w:rPr>
          <w:rFonts w:ascii="Cambria" w:hAnsi="Cambria" w:cstheme="minorHAnsi"/>
          <w:sz w:val="20"/>
          <w:szCs w:val="20"/>
          <w:lang w:val="es-MX"/>
        </w:rPr>
      </w:pPr>
    </w:p>
    <w:p w14:paraId="26A15EA9" w14:textId="77777777" w:rsidR="00A2086B" w:rsidRPr="00A2086B" w:rsidRDefault="00A2086B" w:rsidP="00A2086B">
      <w:pPr>
        <w:spacing w:after="0" w:line="240" w:lineRule="auto"/>
        <w:jc w:val="center"/>
        <w:rPr>
          <w:rFonts w:ascii="Cambria" w:hAnsi="Cambria" w:cstheme="minorHAnsi"/>
          <w:sz w:val="20"/>
          <w:szCs w:val="20"/>
          <w:lang w:val="es-CO"/>
        </w:rPr>
      </w:pPr>
      <w:r w:rsidRPr="00A2086B">
        <w:rPr>
          <w:rFonts w:ascii="Cambria" w:hAnsi="Cambria" w:cstheme="minorHAnsi"/>
          <w:sz w:val="20"/>
          <w:szCs w:val="20"/>
          <w:lang w:val="es-CO"/>
        </w:rPr>
        <w:t>Jorge Meza Flores</w:t>
      </w:r>
    </w:p>
    <w:p w14:paraId="17B93F9B" w14:textId="77777777" w:rsidR="00A2086B" w:rsidRPr="00A2086B" w:rsidRDefault="00A2086B" w:rsidP="00A2086B">
      <w:pPr>
        <w:spacing w:after="0" w:line="240" w:lineRule="auto"/>
        <w:jc w:val="center"/>
        <w:rPr>
          <w:rFonts w:ascii="Cambria" w:hAnsi="Cambria" w:cstheme="minorHAnsi"/>
          <w:sz w:val="20"/>
          <w:szCs w:val="20"/>
          <w:lang w:val="es-CO"/>
        </w:rPr>
      </w:pPr>
      <w:r w:rsidRPr="00A2086B">
        <w:rPr>
          <w:rFonts w:ascii="Cambria" w:hAnsi="Cambria" w:cstheme="minorHAnsi"/>
          <w:sz w:val="20"/>
          <w:szCs w:val="20"/>
          <w:lang w:val="es-CO"/>
        </w:rPr>
        <w:t>Secretario Ejecutivo Adjunto</w:t>
      </w:r>
    </w:p>
    <w:p w14:paraId="2C979DEF" w14:textId="77777777" w:rsidR="00EE6B09" w:rsidRPr="00A2086B" w:rsidRDefault="00EE6B09" w:rsidP="00EE6B09">
      <w:pPr>
        <w:spacing w:after="0" w:line="240" w:lineRule="auto"/>
        <w:jc w:val="both"/>
        <w:rPr>
          <w:rFonts w:ascii="Cambria" w:hAnsi="Cambria" w:cs="Calibri"/>
          <w:color w:val="000000"/>
          <w:sz w:val="20"/>
          <w:szCs w:val="20"/>
          <w:lang w:val="pt-BR"/>
        </w:rPr>
      </w:pPr>
    </w:p>
    <w:p w14:paraId="4F92959E" w14:textId="77777777" w:rsidR="00EE6B09" w:rsidRPr="00A2086B" w:rsidRDefault="00EE6B09" w:rsidP="00EE6B09">
      <w:pPr>
        <w:spacing w:after="0" w:line="240" w:lineRule="auto"/>
        <w:jc w:val="both"/>
        <w:rPr>
          <w:rFonts w:ascii="Cambria" w:hAnsi="Cambria" w:cs="Calibri"/>
          <w:color w:val="000000"/>
          <w:sz w:val="20"/>
          <w:szCs w:val="20"/>
          <w:lang w:val="es-CO"/>
        </w:rPr>
      </w:pPr>
    </w:p>
    <w:p w14:paraId="4582A64A" w14:textId="77777777" w:rsidR="00EE6B09" w:rsidRPr="00A2086B" w:rsidRDefault="00EE6B09" w:rsidP="00EE6B09">
      <w:pPr>
        <w:spacing w:after="0" w:line="240" w:lineRule="auto"/>
        <w:jc w:val="both"/>
        <w:rPr>
          <w:rFonts w:ascii="Cambria" w:hAnsi="Cambria" w:cs="Calibri"/>
          <w:color w:val="000000"/>
          <w:sz w:val="20"/>
          <w:szCs w:val="20"/>
          <w:lang w:val="es-CO"/>
        </w:rPr>
      </w:pPr>
      <w:r w:rsidRPr="00A2086B">
        <w:rPr>
          <w:rFonts w:ascii="Cambria" w:hAnsi="Cambria" w:cs="Calibri"/>
          <w:color w:val="000000"/>
          <w:sz w:val="20"/>
          <w:szCs w:val="20"/>
          <w:lang w:val="es-CO"/>
        </w:rPr>
        <w:t>Anexo</w:t>
      </w:r>
      <w:bookmarkEnd w:id="2"/>
    </w:p>
    <w:sectPr w:rsidR="00EE6B09" w:rsidRPr="00A2086B" w:rsidSect="009562EF">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3ED8" w14:textId="77777777" w:rsidR="0013615A" w:rsidRDefault="0013615A">
      <w:pPr>
        <w:spacing w:after="0" w:line="240" w:lineRule="auto"/>
      </w:pPr>
      <w:r>
        <w:separator/>
      </w:r>
    </w:p>
  </w:endnote>
  <w:endnote w:type="continuationSeparator" w:id="0">
    <w:p w14:paraId="2C1131E1" w14:textId="77777777" w:rsidR="0013615A" w:rsidRDefault="0013615A">
      <w:pPr>
        <w:spacing w:after="0" w:line="240" w:lineRule="auto"/>
      </w:pPr>
      <w:r>
        <w:continuationSeparator/>
      </w:r>
    </w:p>
  </w:endnote>
  <w:endnote w:type="continuationNotice" w:id="1">
    <w:p w14:paraId="3E9C214D" w14:textId="77777777" w:rsidR="0013615A" w:rsidRDefault="00136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620F" w14:textId="77777777" w:rsidR="002B2254" w:rsidRPr="0060615D" w:rsidRDefault="009562EF">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11C1A74E" w14:textId="77777777" w:rsidR="002B2254" w:rsidRDefault="009562EF" w:rsidP="009562EF">
    <w:pPr>
      <w:pStyle w:val="Footer"/>
      <w:jc w:val="center"/>
    </w:pPr>
    <w:r w:rsidRPr="008A5CB5">
      <w:rPr>
        <w:noProof/>
      </w:rPr>
      <w:drawing>
        <wp:inline distT="0" distB="0" distL="0" distR="0" wp14:anchorId="4DB02B4C" wp14:editId="7A79EFDA">
          <wp:extent cx="5114925" cy="314325"/>
          <wp:effectExtent l="0" t="0" r="9525" b="9525"/>
          <wp:docPr id="1669267265" name="Picture 166926726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777B" w14:textId="77777777" w:rsidR="002B2254" w:rsidRDefault="009562EF" w:rsidP="009562EF">
    <w:pPr>
      <w:pStyle w:val="Footer"/>
      <w:spacing w:line="360" w:lineRule="auto"/>
    </w:pPr>
    <w:r>
      <w:t>_____________________________________________________________________________________</w:t>
    </w:r>
  </w:p>
  <w:p w14:paraId="79E391C1" w14:textId="77777777" w:rsidR="002B2254" w:rsidRDefault="009562EF" w:rsidP="009562EF">
    <w:pPr>
      <w:pStyle w:val="Footer"/>
      <w:jc w:val="center"/>
    </w:pPr>
    <w:r w:rsidRPr="008A5CB5">
      <w:rPr>
        <w:noProof/>
      </w:rPr>
      <w:drawing>
        <wp:inline distT="0" distB="0" distL="0" distR="0" wp14:anchorId="09FD8072" wp14:editId="5D353ED9">
          <wp:extent cx="5114925" cy="314325"/>
          <wp:effectExtent l="0" t="0" r="9525" b="9525"/>
          <wp:docPr id="1817122638" name="Picture 1817122638"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7A6C5" w14:textId="77777777" w:rsidR="0013615A" w:rsidRDefault="0013615A">
      <w:pPr>
        <w:spacing w:after="0" w:line="240" w:lineRule="auto"/>
      </w:pPr>
      <w:r>
        <w:separator/>
      </w:r>
    </w:p>
  </w:footnote>
  <w:footnote w:type="continuationSeparator" w:id="0">
    <w:p w14:paraId="34F17B7C" w14:textId="77777777" w:rsidR="0013615A" w:rsidRDefault="0013615A">
      <w:pPr>
        <w:spacing w:after="0" w:line="240" w:lineRule="auto"/>
      </w:pPr>
      <w:r>
        <w:continuationSeparator/>
      </w:r>
    </w:p>
  </w:footnote>
  <w:footnote w:type="continuationNotice" w:id="1">
    <w:p w14:paraId="3B1D6441" w14:textId="77777777" w:rsidR="0013615A" w:rsidRDefault="001361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0784" w14:textId="77777777" w:rsidR="002B2254" w:rsidRPr="0058688A" w:rsidRDefault="009562EF" w:rsidP="009562EF">
    <w:pPr>
      <w:pStyle w:val="Header"/>
      <w:jc w:val="center"/>
      <w:rPr>
        <w:lang w:val="es-ES_tradnl"/>
      </w:rPr>
    </w:pPr>
    <w:r>
      <w:rPr>
        <w:noProof/>
        <w:lang w:val="es-ES_tradnl"/>
      </w:rPr>
      <w:drawing>
        <wp:inline distT="0" distB="0" distL="0" distR="0" wp14:anchorId="18D03642" wp14:editId="06BE4D82">
          <wp:extent cx="2295525" cy="123825"/>
          <wp:effectExtent l="0" t="0" r="9525" b="9525"/>
          <wp:docPr id="2098209205" name="Picture 209820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237A53E8" w14:textId="77777777" w:rsidR="002B2254" w:rsidRDefault="009562EF">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C579" w14:textId="77777777" w:rsidR="002B2254" w:rsidRDefault="009562EF" w:rsidP="009562EF">
    <w:pPr>
      <w:pStyle w:val="Header"/>
    </w:pPr>
    <w:r w:rsidRPr="008A5CB5">
      <w:rPr>
        <w:noProof/>
      </w:rPr>
      <w:drawing>
        <wp:inline distT="0" distB="0" distL="0" distR="0" wp14:anchorId="32F377F4" wp14:editId="414DABEC">
          <wp:extent cx="2352675" cy="457200"/>
          <wp:effectExtent l="0" t="0" r="9525" b="0"/>
          <wp:docPr id="261009364" name="Picture 26100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sidRPr="008A5CB5">
      <w:rPr>
        <w:noProof/>
      </w:rPr>
      <w:drawing>
        <wp:inline distT="0" distB="0" distL="0" distR="0" wp14:anchorId="5BC9663B" wp14:editId="5863DC0B">
          <wp:extent cx="1647825" cy="466725"/>
          <wp:effectExtent l="0" t="0" r="9525" b="9525"/>
          <wp:docPr id="1351861164" name="Picture 1351861164"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31536B9B" w14:textId="77777777" w:rsidR="002B2254" w:rsidRDefault="009562EF" w:rsidP="009562EF">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D12BF"/>
    <w:multiLevelType w:val="hybridMultilevel"/>
    <w:tmpl w:val="9DAA2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61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09"/>
    <w:rsid w:val="00002825"/>
    <w:rsid w:val="00040E6C"/>
    <w:rsid w:val="000D6DF2"/>
    <w:rsid w:val="000F3B3F"/>
    <w:rsid w:val="000F75DB"/>
    <w:rsid w:val="00104A67"/>
    <w:rsid w:val="001215BA"/>
    <w:rsid w:val="001359EF"/>
    <w:rsid w:val="0013615A"/>
    <w:rsid w:val="00144515"/>
    <w:rsid w:val="00144B8C"/>
    <w:rsid w:val="001C372C"/>
    <w:rsid w:val="001E1722"/>
    <w:rsid w:val="0020109A"/>
    <w:rsid w:val="0021069B"/>
    <w:rsid w:val="002135EF"/>
    <w:rsid w:val="00224A3F"/>
    <w:rsid w:val="00242A24"/>
    <w:rsid w:val="002B2254"/>
    <w:rsid w:val="002B7C70"/>
    <w:rsid w:val="002D32D8"/>
    <w:rsid w:val="002F770D"/>
    <w:rsid w:val="00341382"/>
    <w:rsid w:val="003A1641"/>
    <w:rsid w:val="003B61CC"/>
    <w:rsid w:val="003D4FD1"/>
    <w:rsid w:val="003F56C0"/>
    <w:rsid w:val="00411D20"/>
    <w:rsid w:val="00490019"/>
    <w:rsid w:val="004B08C0"/>
    <w:rsid w:val="00501D4D"/>
    <w:rsid w:val="00544C2E"/>
    <w:rsid w:val="00571B8A"/>
    <w:rsid w:val="005739C8"/>
    <w:rsid w:val="005E63AC"/>
    <w:rsid w:val="006251D5"/>
    <w:rsid w:val="0064264E"/>
    <w:rsid w:val="0064569D"/>
    <w:rsid w:val="00657A89"/>
    <w:rsid w:val="00671D14"/>
    <w:rsid w:val="006B6DF1"/>
    <w:rsid w:val="006F31A3"/>
    <w:rsid w:val="0071080F"/>
    <w:rsid w:val="007602E9"/>
    <w:rsid w:val="007C60C6"/>
    <w:rsid w:val="007C70A7"/>
    <w:rsid w:val="008001CA"/>
    <w:rsid w:val="008236A6"/>
    <w:rsid w:val="00826E07"/>
    <w:rsid w:val="008567FD"/>
    <w:rsid w:val="00867ED3"/>
    <w:rsid w:val="00871485"/>
    <w:rsid w:val="00874940"/>
    <w:rsid w:val="0088764A"/>
    <w:rsid w:val="00896B3C"/>
    <w:rsid w:val="008C7748"/>
    <w:rsid w:val="008F0857"/>
    <w:rsid w:val="00907432"/>
    <w:rsid w:val="009458BA"/>
    <w:rsid w:val="009562EF"/>
    <w:rsid w:val="0098557A"/>
    <w:rsid w:val="009C43C0"/>
    <w:rsid w:val="009E285A"/>
    <w:rsid w:val="00A10627"/>
    <w:rsid w:val="00A2086B"/>
    <w:rsid w:val="00AE50AA"/>
    <w:rsid w:val="00B12107"/>
    <w:rsid w:val="00B31672"/>
    <w:rsid w:val="00B62824"/>
    <w:rsid w:val="00B9076E"/>
    <w:rsid w:val="00BC1683"/>
    <w:rsid w:val="00BD2C82"/>
    <w:rsid w:val="00BD4067"/>
    <w:rsid w:val="00BF6821"/>
    <w:rsid w:val="00C749B9"/>
    <w:rsid w:val="00C902FB"/>
    <w:rsid w:val="00CB2758"/>
    <w:rsid w:val="00CB5DC0"/>
    <w:rsid w:val="00CE4FE7"/>
    <w:rsid w:val="00D15ECC"/>
    <w:rsid w:val="00D33BEC"/>
    <w:rsid w:val="00D51D60"/>
    <w:rsid w:val="00D707B1"/>
    <w:rsid w:val="00D95D65"/>
    <w:rsid w:val="00DB3AF5"/>
    <w:rsid w:val="00DC4AE7"/>
    <w:rsid w:val="00DD321B"/>
    <w:rsid w:val="00DF2AB2"/>
    <w:rsid w:val="00E009E9"/>
    <w:rsid w:val="00E41A05"/>
    <w:rsid w:val="00E454BA"/>
    <w:rsid w:val="00E73A94"/>
    <w:rsid w:val="00E75D2D"/>
    <w:rsid w:val="00EA42CF"/>
    <w:rsid w:val="00EB62EA"/>
    <w:rsid w:val="00EC57B7"/>
    <w:rsid w:val="00EE226A"/>
    <w:rsid w:val="00EE6B09"/>
    <w:rsid w:val="00F30B70"/>
    <w:rsid w:val="00F36C0C"/>
    <w:rsid w:val="00F87256"/>
    <w:rsid w:val="00F92C4F"/>
    <w:rsid w:val="00FC1C54"/>
    <w:rsid w:val="00FF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B8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B0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EE6B09"/>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EE6B09"/>
    <w:rPr>
      <w:rFonts w:ascii="Calibri" w:eastAsia="Calibri" w:hAnsi="Calibri" w:cs="Times New Roman"/>
      <w:kern w:val="0"/>
      <w14:ligatures w14:val="none"/>
    </w:rPr>
  </w:style>
  <w:style w:type="paragraph" w:styleId="Footer">
    <w:name w:val="footer"/>
    <w:basedOn w:val="Normal"/>
    <w:link w:val="FooterChar"/>
    <w:unhideWhenUsed/>
    <w:rsid w:val="00EE6B09"/>
    <w:pPr>
      <w:tabs>
        <w:tab w:val="center" w:pos="4680"/>
        <w:tab w:val="right" w:pos="9360"/>
      </w:tabs>
      <w:spacing w:after="0" w:line="240" w:lineRule="auto"/>
    </w:pPr>
  </w:style>
  <w:style w:type="character" w:customStyle="1" w:styleId="FooterChar">
    <w:name w:val="Footer Char"/>
    <w:basedOn w:val="DefaultParagraphFont"/>
    <w:link w:val="Footer"/>
    <w:rsid w:val="00EE6B09"/>
    <w:rPr>
      <w:rFonts w:ascii="Calibri" w:eastAsia="Calibri" w:hAnsi="Calibri" w:cs="Times New Roman"/>
      <w:kern w:val="0"/>
      <w14:ligatures w14:val="none"/>
    </w:rPr>
  </w:style>
  <w:style w:type="character" w:styleId="Hyperlink">
    <w:name w:val="Hyperlink"/>
    <w:uiPriority w:val="99"/>
    <w:rsid w:val="00EE6B09"/>
    <w:rPr>
      <w:color w:val="0000FF"/>
      <w:u w:val="single"/>
    </w:rPr>
  </w:style>
  <w:style w:type="paragraph" w:styleId="NormalWeb">
    <w:name w:val="Normal (Web)"/>
    <w:basedOn w:val="Normal"/>
    <w:uiPriority w:val="99"/>
    <w:unhideWhenUsed/>
    <w:rsid w:val="00EE6B09"/>
    <w:pPr>
      <w:spacing w:before="100" w:beforeAutospacing="1" w:after="100" w:afterAutospacing="1" w:line="240" w:lineRule="auto"/>
    </w:pPr>
    <w:rPr>
      <w:rFonts w:ascii="Times New Roman" w:hAnsi="Times New Roman"/>
      <w:sz w:val="24"/>
      <w:szCs w:val="24"/>
    </w:rPr>
  </w:style>
  <w:style w:type="paragraph" w:customStyle="1" w:styleId="parrafos">
    <w:name w:val="parrafos"/>
    <w:basedOn w:val="Normal"/>
    <w:link w:val="parrafosChar"/>
    <w:qFormat/>
    <w:rsid w:val="00EE6B09"/>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EE6B09"/>
    <w:rPr>
      <w:rFonts w:ascii="Cambria" w:eastAsia="Arial Unicode MS" w:hAnsi="Cambria" w:cs="Times New Roman"/>
      <w:color w:val="000000"/>
      <w:kern w:val="0"/>
      <w:sz w:val="20"/>
      <w:szCs w:val="20"/>
      <w:bdr w:val="nil"/>
      <w:lang w:val="es-VE"/>
      <w14:ligatures w14:val="none"/>
    </w:rPr>
  </w:style>
  <w:style w:type="paragraph" w:customStyle="1" w:styleId="Default">
    <w:name w:val="Default"/>
    <w:rsid w:val="00EE6B09"/>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1790</Words>
  <Characters>10204</Characters>
  <Application>Microsoft Office Word</Application>
  <DocSecurity>0</DocSecurity>
  <Lines>85</Lines>
  <Paragraphs>23</Paragraphs>
  <ScaleCrop>false</ScaleCrop>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2025-01-23T19:55:00Z</dcterms:created>
  <dcterms:modified xsi:type="dcterms:W3CDTF">2025-01-23T19:55:00Z</dcterms:modified>
</cp:coreProperties>
</file>