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F888B" w14:textId="77777777" w:rsidR="002001F7" w:rsidRPr="00041E84" w:rsidRDefault="002001F7" w:rsidP="002001F7">
      <w:pPr>
        <w:rPr>
          <w:rFonts w:ascii="Cambria" w:hAnsi="Cambria"/>
          <w:b/>
          <w:sz w:val="32"/>
          <w:szCs w:val="32"/>
          <w:lang w:val="es-ES_tradnl"/>
        </w:rPr>
      </w:pPr>
      <w:r w:rsidRPr="00041E84">
        <w:rPr>
          <w:rFonts w:ascii="Cambria" w:hAnsi="Cambria"/>
          <w:b/>
          <w:sz w:val="32"/>
          <w:szCs w:val="32"/>
          <w:lang w:val="es-ES_tradnl"/>
        </w:rPr>
        <w:t>CAPÍTULO VI</w:t>
      </w:r>
      <w:r w:rsidRPr="00041E84">
        <w:rPr>
          <w:rFonts w:ascii="Cambria" w:hAnsi="Cambria"/>
          <w:b/>
          <w:sz w:val="32"/>
          <w:szCs w:val="32"/>
          <w:lang w:val="es-ES_tradnl"/>
        </w:rPr>
        <w:br/>
        <w:t>DESARROLLO INSTITUCIONAL</w:t>
      </w:r>
    </w:p>
    <w:p w14:paraId="3B05EFAC" w14:textId="77777777" w:rsidR="002001F7" w:rsidRDefault="002001F7" w:rsidP="002001F7">
      <w:pPr>
        <w:ind w:firstLine="851"/>
        <w:jc w:val="center"/>
        <w:rPr>
          <w:rFonts w:ascii="Cambria" w:hAnsi="Cambria"/>
          <w:b/>
          <w:sz w:val="20"/>
          <w:szCs w:val="20"/>
          <w:lang w:val="es-ES_tradnl"/>
        </w:rPr>
      </w:pPr>
    </w:p>
    <w:p w14:paraId="6DC875A5" w14:textId="77777777" w:rsidR="002001F7" w:rsidRPr="00B763D5" w:rsidRDefault="002001F7" w:rsidP="002001F7">
      <w:pPr>
        <w:ind w:firstLine="851"/>
        <w:jc w:val="center"/>
        <w:rPr>
          <w:rFonts w:ascii="Cambria" w:hAnsi="Cambria"/>
          <w:b/>
          <w:sz w:val="20"/>
          <w:szCs w:val="20"/>
          <w:lang w:val="es-ES_tradnl"/>
        </w:rPr>
      </w:pPr>
    </w:p>
    <w:p w14:paraId="3E5624D1" w14:textId="77777777" w:rsidR="002001F7" w:rsidRDefault="002001F7" w:rsidP="002001F7">
      <w:pPr>
        <w:pStyle w:val="Heading1"/>
      </w:pPr>
      <w:r w:rsidRPr="00041E84">
        <w:t>Estructura y personal de la CIDH</w:t>
      </w:r>
    </w:p>
    <w:p w14:paraId="09CF32BB" w14:textId="77777777" w:rsidR="002001F7" w:rsidRPr="00041E84" w:rsidRDefault="002001F7" w:rsidP="002001F7">
      <w:pPr>
        <w:rPr>
          <w:lang w:val="es-ES_tradnl"/>
        </w:rPr>
      </w:pPr>
    </w:p>
    <w:p w14:paraId="6CD9EA60" w14:textId="77777777" w:rsidR="002001F7" w:rsidRPr="00B763D5" w:rsidRDefault="002001F7" w:rsidP="002001F7">
      <w:pPr>
        <w:pStyle w:val="paragraphs"/>
        <w:ind w:left="0" w:firstLine="720"/>
      </w:pPr>
      <w:r w:rsidRPr="00B763D5">
        <w:t xml:space="preserve">Durante el año 2020, la Secretaría Ejecutiva continuó avanzando en adecuar su personal y recursos a la realidad impuesta por los mandatos a la CIDH.  En ese sentido la Secretaría Ejecutiva de la CIDH, al 31 de diciembre de 2020 está conformada por 140 funcionarios/as (54 funcionarios/as, 83 consultores/as y 3 profesionales asociados). En adición, la CIDH cuenta con 7 becarios/as.  </w:t>
      </w:r>
    </w:p>
    <w:p w14:paraId="7F0158C9" w14:textId="77777777" w:rsidR="002001F7" w:rsidRPr="00B763D5" w:rsidRDefault="002001F7" w:rsidP="002001F7">
      <w:pPr>
        <w:pStyle w:val="paragraphs"/>
        <w:ind w:left="0" w:firstLine="720"/>
      </w:pPr>
      <w:r w:rsidRPr="00B763D5">
        <w:t>La siguiente tabla muestra la distribución de personal por fuente de financiamiento al 31 de diciembre de 2020.</w:t>
      </w:r>
      <w:r w:rsidRPr="00B763D5">
        <w:rPr>
          <w:rFonts w:eastAsia="Times New Roman" w:cs="Arial"/>
          <w:b/>
          <w:bCs/>
          <w:lang w:eastAsia="es-CO"/>
        </w:rPr>
        <w:t xml:space="preserve"> </w:t>
      </w:r>
    </w:p>
    <w:tbl>
      <w:tblPr>
        <w:tblW w:w="8505" w:type="dxa"/>
        <w:tblInd w:w="-10" w:type="dxa"/>
        <w:tblCellMar>
          <w:left w:w="70" w:type="dxa"/>
          <w:right w:w="70" w:type="dxa"/>
        </w:tblCellMar>
        <w:tblLook w:val="04A0" w:firstRow="1" w:lastRow="0" w:firstColumn="1" w:lastColumn="0" w:noHBand="0" w:noVBand="1"/>
      </w:tblPr>
      <w:tblGrid>
        <w:gridCol w:w="3690"/>
        <w:gridCol w:w="863"/>
        <w:gridCol w:w="1543"/>
        <w:gridCol w:w="1559"/>
        <w:gridCol w:w="850"/>
      </w:tblGrid>
      <w:tr w:rsidR="002001F7" w:rsidRPr="00142244" w14:paraId="3E5FB774" w14:textId="77777777" w:rsidTr="00142244">
        <w:trPr>
          <w:trHeight w:val="795"/>
        </w:trPr>
        <w:tc>
          <w:tcPr>
            <w:tcW w:w="8505" w:type="dxa"/>
            <w:gridSpan w:val="5"/>
            <w:tcBorders>
              <w:top w:val="single" w:sz="8" w:space="0" w:color="4F81BD"/>
              <w:left w:val="single" w:sz="8" w:space="0" w:color="4F81BD"/>
              <w:bottom w:val="single" w:sz="8" w:space="0" w:color="4F81BD"/>
              <w:right w:val="single" w:sz="8" w:space="0" w:color="4F81BD"/>
            </w:tcBorders>
            <w:shd w:val="clear" w:color="000000" w:fill="4F81BD"/>
            <w:noWrap/>
            <w:vAlign w:val="center"/>
            <w:hideMark/>
          </w:tcPr>
          <w:p w14:paraId="71B81738" w14:textId="77777777" w:rsidR="002001F7" w:rsidRPr="007D5C0C" w:rsidRDefault="002001F7" w:rsidP="00BB219D">
            <w:pPr>
              <w:ind w:firstLine="851"/>
              <w:jc w:val="center"/>
              <w:rPr>
                <w:rFonts w:ascii="Cambria" w:eastAsia="Times New Roman" w:hAnsi="Cambria" w:cs="Arial"/>
                <w:b/>
                <w:bCs/>
                <w:color w:val="FFFFFF"/>
                <w:szCs w:val="20"/>
                <w:lang w:val="es-CO" w:eastAsia="es-CO"/>
              </w:rPr>
            </w:pPr>
            <w:r w:rsidRPr="007D5C0C">
              <w:rPr>
                <w:rFonts w:ascii="Cambria" w:eastAsia="Times New Roman" w:hAnsi="Cambria" w:cs="Arial"/>
                <w:b/>
                <w:bCs/>
                <w:color w:val="FFFFFF" w:themeColor="background1"/>
                <w:szCs w:val="20"/>
                <w:lang w:val="es-ES_tradnl" w:eastAsia="es-CO"/>
              </w:rPr>
              <w:t>Fuente de Financiamiento por Grupo</w:t>
            </w:r>
          </w:p>
        </w:tc>
      </w:tr>
      <w:tr w:rsidR="002001F7" w:rsidRPr="00B763D5" w14:paraId="04C84F8D" w14:textId="77777777" w:rsidTr="00142244">
        <w:trPr>
          <w:trHeight w:hRule="exact" w:val="780"/>
        </w:trPr>
        <w:tc>
          <w:tcPr>
            <w:tcW w:w="3690" w:type="dxa"/>
            <w:tcBorders>
              <w:top w:val="nil"/>
              <w:left w:val="single" w:sz="8" w:space="0" w:color="95B3D7"/>
              <w:bottom w:val="single" w:sz="8" w:space="0" w:color="95B3D7"/>
              <w:right w:val="single" w:sz="8" w:space="0" w:color="95B3D7"/>
            </w:tcBorders>
            <w:shd w:val="clear" w:color="000000" w:fill="DBE5F1"/>
            <w:noWrap/>
            <w:vAlign w:val="center"/>
            <w:hideMark/>
          </w:tcPr>
          <w:p w14:paraId="790DBD92" w14:textId="77777777" w:rsidR="002001F7" w:rsidRPr="00B763D5" w:rsidRDefault="002001F7" w:rsidP="00BB219D">
            <w:pPr>
              <w:jc w:val="center"/>
              <w:rPr>
                <w:rFonts w:ascii="Cambria" w:eastAsia="Times New Roman" w:hAnsi="Cambria" w:cs="Arial"/>
                <w:b/>
                <w:bCs/>
                <w:sz w:val="20"/>
                <w:szCs w:val="20"/>
                <w:lang w:val="es-CO" w:eastAsia="es-CO"/>
              </w:rPr>
            </w:pPr>
            <w:r w:rsidRPr="00B763D5">
              <w:rPr>
                <w:rFonts w:ascii="Cambria" w:eastAsia="Times New Roman" w:hAnsi="Cambria" w:cs="Arial"/>
                <w:b/>
                <w:bCs/>
                <w:sz w:val="20"/>
                <w:szCs w:val="20"/>
                <w:lang w:val="es-ES_tradnl" w:eastAsia="es-CO"/>
              </w:rPr>
              <w:t>Categoría</w:t>
            </w:r>
          </w:p>
        </w:tc>
        <w:tc>
          <w:tcPr>
            <w:tcW w:w="863" w:type="dxa"/>
            <w:tcBorders>
              <w:top w:val="nil"/>
              <w:left w:val="nil"/>
              <w:bottom w:val="single" w:sz="8" w:space="0" w:color="95B3D7"/>
              <w:right w:val="single" w:sz="8" w:space="0" w:color="95B3D7"/>
            </w:tcBorders>
            <w:shd w:val="clear" w:color="000000" w:fill="DBE5F1"/>
            <w:noWrap/>
            <w:vAlign w:val="center"/>
            <w:hideMark/>
          </w:tcPr>
          <w:p w14:paraId="1F2E817A" w14:textId="77777777" w:rsidR="002001F7" w:rsidRPr="00B763D5" w:rsidRDefault="002001F7" w:rsidP="00BB219D">
            <w:pPr>
              <w:jc w:val="center"/>
              <w:rPr>
                <w:rFonts w:ascii="Cambria" w:eastAsia="Times New Roman" w:hAnsi="Cambria" w:cs="Arial"/>
                <w:b/>
                <w:bCs/>
                <w:sz w:val="20"/>
                <w:szCs w:val="20"/>
                <w:lang w:val="es-CO" w:eastAsia="es-CO"/>
              </w:rPr>
            </w:pPr>
            <w:r w:rsidRPr="00B763D5">
              <w:rPr>
                <w:rFonts w:ascii="Cambria" w:eastAsia="Times New Roman" w:hAnsi="Cambria" w:cs="Arial"/>
                <w:b/>
                <w:bCs/>
                <w:sz w:val="20"/>
                <w:szCs w:val="20"/>
                <w:lang w:val="es-ES_tradnl" w:eastAsia="es-CO"/>
              </w:rPr>
              <w:t>Fondo Regular</w:t>
            </w:r>
          </w:p>
        </w:tc>
        <w:tc>
          <w:tcPr>
            <w:tcW w:w="1543" w:type="dxa"/>
            <w:tcBorders>
              <w:top w:val="nil"/>
              <w:left w:val="nil"/>
              <w:bottom w:val="single" w:sz="8" w:space="0" w:color="95B3D7"/>
              <w:right w:val="single" w:sz="8" w:space="0" w:color="95B3D7"/>
            </w:tcBorders>
            <w:shd w:val="clear" w:color="000000" w:fill="DBE5F1"/>
            <w:vAlign w:val="center"/>
            <w:hideMark/>
          </w:tcPr>
          <w:p w14:paraId="5629ED7A" w14:textId="77777777" w:rsidR="002001F7" w:rsidRPr="00B763D5" w:rsidRDefault="002001F7" w:rsidP="00BB219D">
            <w:pPr>
              <w:jc w:val="center"/>
              <w:rPr>
                <w:rFonts w:ascii="Cambria" w:eastAsia="Times New Roman" w:hAnsi="Cambria" w:cs="Arial"/>
                <w:b/>
                <w:bCs/>
                <w:sz w:val="20"/>
                <w:szCs w:val="20"/>
                <w:lang w:val="es-CO" w:eastAsia="es-CO"/>
              </w:rPr>
            </w:pPr>
            <w:r w:rsidRPr="00B763D5">
              <w:rPr>
                <w:rFonts w:ascii="Cambria" w:eastAsia="Times New Roman" w:hAnsi="Cambria" w:cs="Arial"/>
                <w:b/>
                <w:bCs/>
                <w:sz w:val="20"/>
                <w:szCs w:val="20"/>
                <w:lang w:val="es-ES_tradnl" w:eastAsia="es-CO"/>
              </w:rPr>
              <w:t>Fondo Específico</w:t>
            </w:r>
          </w:p>
        </w:tc>
        <w:tc>
          <w:tcPr>
            <w:tcW w:w="1559" w:type="dxa"/>
            <w:tcBorders>
              <w:top w:val="nil"/>
              <w:left w:val="nil"/>
              <w:bottom w:val="single" w:sz="8" w:space="0" w:color="95B3D7"/>
              <w:right w:val="single" w:sz="8" w:space="0" w:color="95B3D7"/>
            </w:tcBorders>
            <w:shd w:val="clear" w:color="000000" w:fill="DBE5F1"/>
            <w:vAlign w:val="center"/>
            <w:hideMark/>
          </w:tcPr>
          <w:p w14:paraId="21883817" w14:textId="77777777" w:rsidR="002001F7" w:rsidRPr="00B763D5" w:rsidRDefault="002001F7" w:rsidP="00BB219D">
            <w:pPr>
              <w:jc w:val="center"/>
              <w:rPr>
                <w:rFonts w:ascii="Cambria" w:eastAsia="Times New Roman" w:hAnsi="Cambria" w:cs="Arial"/>
                <w:b/>
                <w:bCs/>
                <w:sz w:val="20"/>
                <w:szCs w:val="20"/>
                <w:lang w:val="es-CO" w:eastAsia="es-CO"/>
              </w:rPr>
            </w:pPr>
            <w:r w:rsidRPr="00B763D5">
              <w:rPr>
                <w:rFonts w:ascii="Cambria" w:eastAsia="Times New Roman" w:hAnsi="Cambria" w:cs="Arial"/>
                <w:b/>
                <w:bCs/>
                <w:sz w:val="20"/>
                <w:szCs w:val="20"/>
                <w:lang w:val="es-ES_tradnl" w:eastAsia="es-CO"/>
              </w:rPr>
              <w:t>Sin Costo para la CIDH</w:t>
            </w:r>
          </w:p>
        </w:tc>
        <w:tc>
          <w:tcPr>
            <w:tcW w:w="850" w:type="dxa"/>
            <w:tcBorders>
              <w:top w:val="nil"/>
              <w:left w:val="nil"/>
              <w:bottom w:val="single" w:sz="8" w:space="0" w:color="95B3D7"/>
              <w:right w:val="single" w:sz="8" w:space="0" w:color="95B3D7"/>
            </w:tcBorders>
            <w:shd w:val="clear" w:color="000000" w:fill="DBE5F1"/>
            <w:vAlign w:val="center"/>
            <w:hideMark/>
          </w:tcPr>
          <w:p w14:paraId="01DC8ADF" w14:textId="77777777" w:rsidR="002001F7" w:rsidRPr="00B763D5" w:rsidRDefault="002001F7" w:rsidP="00BB219D">
            <w:pPr>
              <w:jc w:val="center"/>
              <w:rPr>
                <w:rFonts w:ascii="Cambria" w:eastAsia="Times New Roman" w:hAnsi="Cambria" w:cs="Arial"/>
                <w:b/>
                <w:bCs/>
                <w:sz w:val="20"/>
                <w:szCs w:val="20"/>
                <w:lang w:val="es-CO" w:eastAsia="es-CO"/>
              </w:rPr>
            </w:pPr>
            <w:r w:rsidRPr="00B763D5">
              <w:rPr>
                <w:rFonts w:ascii="Cambria" w:eastAsia="Times New Roman" w:hAnsi="Cambria" w:cs="Arial"/>
                <w:b/>
                <w:bCs/>
                <w:sz w:val="20"/>
                <w:szCs w:val="20"/>
                <w:lang w:val="es-ES_tradnl" w:eastAsia="es-CO"/>
              </w:rPr>
              <w:t>Total</w:t>
            </w:r>
          </w:p>
        </w:tc>
      </w:tr>
      <w:tr w:rsidR="002001F7" w:rsidRPr="00B763D5" w14:paraId="7A7BE8D1"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vAlign w:val="center"/>
            <w:hideMark/>
          </w:tcPr>
          <w:p w14:paraId="13A09318" w14:textId="77777777" w:rsidR="002001F7" w:rsidRPr="00B763D5" w:rsidRDefault="002001F7" w:rsidP="00BB219D">
            <w:pPr>
              <w:spacing w:after="120"/>
              <w:rPr>
                <w:rFonts w:ascii="Cambria" w:eastAsia="Times New Roman" w:hAnsi="Cambria" w:cs="Arial"/>
                <w:sz w:val="20"/>
                <w:szCs w:val="20"/>
                <w:lang w:val="es-CO" w:eastAsia="es-CO"/>
              </w:rPr>
            </w:pPr>
            <w:r w:rsidRPr="00B763D5">
              <w:rPr>
                <w:rFonts w:ascii="Cambria" w:eastAsia="Times New Roman" w:hAnsi="Cambria" w:cs="Arial"/>
                <w:sz w:val="20"/>
                <w:szCs w:val="20"/>
                <w:lang w:val="es-ES_tradnl" w:eastAsia="es-CO"/>
              </w:rPr>
              <w:t xml:space="preserve">Secretaria Ejecutiva Interina* </w:t>
            </w:r>
          </w:p>
        </w:tc>
        <w:tc>
          <w:tcPr>
            <w:tcW w:w="863" w:type="dxa"/>
            <w:tcBorders>
              <w:top w:val="nil"/>
              <w:left w:val="nil"/>
              <w:bottom w:val="single" w:sz="8" w:space="0" w:color="95B3D7"/>
              <w:right w:val="single" w:sz="8" w:space="0" w:color="95B3D7"/>
            </w:tcBorders>
            <w:shd w:val="clear" w:color="auto" w:fill="auto"/>
            <w:noWrap/>
            <w:vAlign w:val="center"/>
            <w:hideMark/>
          </w:tcPr>
          <w:p w14:paraId="1237B30A"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1</w:t>
            </w:r>
          </w:p>
        </w:tc>
        <w:tc>
          <w:tcPr>
            <w:tcW w:w="1543" w:type="dxa"/>
            <w:tcBorders>
              <w:top w:val="nil"/>
              <w:left w:val="nil"/>
              <w:bottom w:val="single" w:sz="8" w:space="0" w:color="95B3D7"/>
              <w:right w:val="single" w:sz="8" w:space="0" w:color="95B3D7"/>
            </w:tcBorders>
            <w:shd w:val="clear" w:color="auto" w:fill="auto"/>
            <w:vAlign w:val="center"/>
            <w:hideMark/>
          </w:tcPr>
          <w:p w14:paraId="7DDC3B1E"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0</w:t>
            </w:r>
          </w:p>
        </w:tc>
        <w:tc>
          <w:tcPr>
            <w:tcW w:w="1559" w:type="dxa"/>
            <w:tcBorders>
              <w:top w:val="nil"/>
              <w:left w:val="nil"/>
              <w:bottom w:val="single" w:sz="8" w:space="0" w:color="95B3D7"/>
              <w:right w:val="single" w:sz="8" w:space="0" w:color="95B3D7"/>
            </w:tcBorders>
            <w:shd w:val="clear" w:color="auto" w:fill="auto"/>
            <w:vAlign w:val="center"/>
            <w:hideMark/>
          </w:tcPr>
          <w:p w14:paraId="04D4E41A"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0</w:t>
            </w:r>
          </w:p>
        </w:tc>
        <w:tc>
          <w:tcPr>
            <w:tcW w:w="850" w:type="dxa"/>
            <w:tcBorders>
              <w:top w:val="nil"/>
              <w:left w:val="nil"/>
              <w:bottom w:val="single" w:sz="8" w:space="0" w:color="95B3D7"/>
              <w:right w:val="single" w:sz="8" w:space="0" w:color="95B3D7"/>
            </w:tcBorders>
            <w:shd w:val="clear" w:color="auto" w:fill="auto"/>
            <w:vAlign w:val="center"/>
            <w:hideMark/>
          </w:tcPr>
          <w:p w14:paraId="763F6E6B"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1</w:t>
            </w:r>
          </w:p>
        </w:tc>
      </w:tr>
      <w:tr w:rsidR="002001F7" w:rsidRPr="00B763D5" w14:paraId="59B420B0" w14:textId="77777777" w:rsidTr="00142244">
        <w:trPr>
          <w:trHeight w:hRule="exact" w:val="542"/>
        </w:trPr>
        <w:tc>
          <w:tcPr>
            <w:tcW w:w="3690" w:type="dxa"/>
            <w:tcBorders>
              <w:top w:val="nil"/>
              <w:left w:val="single" w:sz="8" w:space="0" w:color="95B3D7"/>
              <w:bottom w:val="single" w:sz="8" w:space="0" w:color="95B3D7"/>
              <w:right w:val="single" w:sz="8" w:space="0" w:color="95B3D7"/>
            </w:tcBorders>
            <w:shd w:val="clear" w:color="000000" w:fill="DBE5F1"/>
            <w:noWrap/>
            <w:vAlign w:val="center"/>
            <w:hideMark/>
          </w:tcPr>
          <w:p w14:paraId="7E9F9421" w14:textId="77777777" w:rsidR="002001F7" w:rsidRPr="00B763D5" w:rsidRDefault="002001F7" w:rsidP="00BB219D">
            <w:pPr>
              <w:rPr>
                <w:rFonts w:ascii="Cambria" w:eastAsia="Times New Roman" w:hAnsi="Cambria" w:cs="Arial"/>
                <w:sz w:val="20"/>
                <w:szCs w:val="20"/>
                <w:lang w:val="pt-BR" w:eastAsia="es-CO"/>
              </w:rPr>
            </w:pPr>
            <w:r w:rsidRPr="00B763D5">
              <w:rPr>
                <w:rFonts w:ascii="Cambria" w:eastAsia="Times New Roman" w:hAnsi="Cambria" w:cs="Arial"/>
                <w:sz w:val="20"/>
                <w:szCs w:val="20"/>
                <w:lang w:val="pt-BR" w:eastAsia="es-CO"/>
              </w:rPr>
              <w:t>Secretaria(s) Ejecutiva(s) Adjunta(s)</w:t>
            </w:r>
          </w:p>
        </w:tc>
        <w:tc>
          <w:tcPr>
            <w:tcW w:w="863" w:type="dxa"/>
            <w:tcBorders>
              <w:top w:val="nil"/>
              <w:left w:val="nil"/>
              <w:bottom w:val="single" w:sz="8" w:space="0" w:color="95B3D7"/>
              <w:right w:val="single" w:sz="8" w:space="0" w:color="95B3D7"/>
            </w:tcBorders>
            <w:shd w:val="clear" w:color="000000" w:fill="DBE5F1"/>
            <w:noWrap/>
            <w:vAlign w:val="center"/>
            <w:hideMark/>
          </w:tcPr>
          <w:p w14:paraId="4B02C015"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1</w:t>
            </w:r>
          </w:p>
        </w:tc>
        <w:tc>
          <w:tcPr>
            <w:tcW w:w="1543" w:type="dxa"/>
            <w:tcBorders>
              <w:top w:val="nil"/>
              <w:left w:val="nil"/>
              <w:bottom w:val="single" w:sz="8" w:space="0" w:color="95B3D7"/>
              <w:right w:val="single" w:sz="8" w:space="0" w:color="95B3D7"/>
            </w:tcBorders>
            <w:shd w:val="clear" w:color="000000" w:fill="DBE5F1"/>
            <w:vAlign w:val="center"/>
            <w:hideMark/>
          </w:tcPr>
          <w:p w14:paraId="438FB67A"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0</w:t>
            </w:r>
          </w:p>
        </w:tc>
        <w:tc>
          <w:tcPr>
            <w:tcW w:w="1559" w:type="dxa"/>
            <w:tcBorders>
              <w:top w:val="nil"/>
              <w:left w:val="nil"/>
              <w:bottom w:val="single" w:sz="8" w:space="0" w:color="95B3D7"/>
              <w:right w:val="single" w:sz="8" w:space="0" w:color="95B3D7"/>
            </w:tcBorders>
            <w:shd w:val="clear" w:color="000000" w:fill="DBE5F1"/>
            <w:vAlign w:val="center"/>
            <w:hideMark/>
          </w:tcPr>
          <w:p w14:paraId="7B583FC8"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0</w:t>
            </w:r>
          </w:p>
        </w:tc>
        <w:tc>
          <w:tcPr>
            <w:tcW w:w="850" w:type="dxa"/>
            <w:tcBorders>
              <w:top w:val="nil"/>
              <w:left w:val="nil"/>
              <w:bottom w:val="single" w:sz="8" w:space="0" w:color="95B3D7"/>
              <w:right w:val="single" w:sz="8" w:space="0" w:color="95B3D7"/>
            </w:tcBorders>
            <w:shd w:val="clear" w:color="000000" w:fill="DBE5F1"/>
            <w:vAlign w:val="center"/>
            <w:hideMark/>
          </w:tcPr>
          <w:p w14:paraId="0393D738" w14:textId="77777777" w:rsidR="002001F7" w:rsidRPr="00B763D5" w:rsidRDefault="002001F7" w:rsidP="00BB219D">
            <w:pPr>
              <w:jc w:val="center"/>
              <w:rPr>
                <w:rFonts w:ascii="Cambria" w:eastAsia="Times New Roman" w:hAnsi="Cambria" w:cs="Arial"/>
                <w:sz w:val="20"/>
                <w:szCs w:val="20"/>
                <w:lang w:val="es-CO" w:eastAsia="es-CO"/>
              </w:rPr>
            </w:pPr>
            <w:r w:rsidRPr="00B763D5">
              <w:rPr>
                <w:rFonts w:ascii="Cambria" w:eastAsia="Times New Roman" w:hAnsi="Cambria" w:cs="Arial"/>
                <w:sz w:val="20"/>
                <w:szCs w:val="20"/>
                <w:lang w:val="es-ES_tradnl" w:eastAsia="es-CO"/>
              </w:rPr>
              <w:t>1</w:t>
            </w:r>
          </w:p>
        </w:tc>
      </w:tr>
      <w:tr w:rsidR="002001F7" w:rsidRPr="00B763D5" w14:paraId="40850952"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vAlign w:val="center"/>
            <w:hideMark/>
          </w:tcPr>
          <w:p w14:paraId="6E56D341" w14:textId="77777777" w:rsidR="002001F7" w:rsidRPr="00B763D5" w:rsidRDefault="002001F7" w:rsidP="00BB219D">
            <w:pPr>
              <w:spacing w:after="120"/>
              <w:rPr>
                <w:rFonts w:ascii="Cambria" w:eastAsia="Times New Roman" w:hAnsi="Cambria" w:cs="Arial"/>
                <w:sz w:val="20"/>
                <w:szCs w:val="20"/>
                <w:lang w:val="es-CO" w:eastAsia="es-CO"/>
              </w:rPr>
            </w:pPr>
            <w:r w:rsidRPr="00B763D5">
              <w:rPr>
                <w:rFonts w:ascii="Cambria" w:eastAsia="Times New Roman" w:hAnsi="Cambria" w:cs="Arial"/>
                <w:sz w:val="20"/>
                <w:szCs w:val="20"/>
                <w:lang w:val="es-ES_tradnl" w:eastAsia="es-CO"/>
              </w:rPr>
              <w:t>Relatores Especiales</w:t>
            </w:r>
          </w:p>
        </w:tc>
        <w:tc>
          <w:tcPr>
            <w:tcW w:w="863" w:type="dxa"/>
            <w:tcBorders>
              <w:top w:val="nil"/>
              <w:left w:val="nil"/>
              <w:bottom w:val="single" w:sz="8" w:space="0" w:color="95B3D7"/>
              <w:right w:val="single" w:sz="8" w:space="0" w:color="95B3D7"/>
            </w:tcBorders>
            <w:shd w:val="clear" w:color="auto" w:fill="auto"/>
            <w:noWrap/>
            <w:vAlign w:val="center"/>
            <w:hideMark/>
          </w:tcPr>
          <w:p w14:paraId="13F36438"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0</w:t>
            </w:r>
          </w:p>
        </w:tc>
        <w:tc>
          <w:tcPr>
            <w:tcW w:w="1543" w:type="dxa"/>
            <w:tcBorders>
              <w:top w:val="nil"/>
              <w:left w:val="nil"/>
              <w:bottom w:val="single" w:sz="8" w:space="0" w:color="95B3D7"/>
              <w:right w:val="single" w:sz="8" w:space="0" w:color="95B3D7"/>
            </w:tcBorders>
            <w:shd w:val="clear" w:color="auto" w:fill="auto"/>
            <w:vAlign w:val="center"/>
            <w:hideMark/>
          </w:tcPr>
          <w:p w14:paraId="7B5878B4"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2</w:t>
            </w:r>
          </w:p>
        </w:tc>
        <w:tc>
          <w:tcPr>
            <w:tcW w:w="1559" w:type="dxa"/>
            <w:tcBorders>
              <w:top w:val="nil"/>
              <w:left w:val="nil"/>
              <w:bottom w:val="single" w:sz="8" w:space="0" w:color="95B3D7"/>
              <w:right w:val="single" w:sz="8" w:space="0" w:color="95B3D7"/>
            </w:tcBorders>
            <w:shd w:val="clear" w:color="auto" w:fill="auto"/>
            <w:vAlign w:val="center"/>
            <w:hideMark/>
          </w:tcPr>
          <w:p w14:paraId="0C1B92B8"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0</w:t>
            </w:r>
          </w:p>
        </w:tc>
        <w:tc>
          <w:tcPr>
            <w:tcW w:w="850" w:type="dxa"/>
            <w:tcBorders>
              <w:top w:val="nil"/>
              <w:left w:val="nil"/>
              <w:bottom w:val="single" w:sz="8" w:space="0" w:color="95B3D7"/>
              <w:right w:val="single" w:sz="8" w:space="0" w:color="95B3D7"/>
            </w:tcBorders>
            <w:shd w:val="clear" w:color="auto" w:fill="auto"/>
            <w:vAlign w:val="center"/>
            <w:hideMark/>
          </w:tcPr>
          <w:p w14:paraId="18D8641A"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CO" w:eastAsia="es-CO"/>
              </w:rPr>
              <w:t>2</w:t>
            </w:r>
          </w:p>
        </w:tc>
      </w:tr>
      <w:tr w:rsidR="002001F7" w:rsidRPr="00B763D5" w14:paraId="57A265D5"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000000" w:fill="DBE5F1"/>
            <w:noWrap/>
            <w:vAlign w:val="center"/>
            <w:hideMark/>
          </w:tcPr>
          <w:p w14:paraId="4AC35A64" w14:textId="77777777" w:rsidR="002001F7" w:rsidRPr="00B763D5" w:rsidRDefault="002001F7" w:rsidP="00BB219D">
            <w:pPr>
              <w:rPr>
                <w:rFonts w:ascii="Cambria" w:eastAsia="Times New Roman" w:hAnsi="Cambria" w:cs="Arial"/>
                <w:sz w:val="20"/>
                <w:szCs w:val="20"/>
                <w:lang w:val="es-CO" w:eastAsia="es-CO"/>
              </w:rPr>
            </w:pPr>
            <w:r w:rsidRPr="00B763D5">
              <w:rPr>
                <w:rFonts w:ascii="Cambria" w:eastAsia="Times New Roman" w:hAnsi="Cambria" w:cs="Arial"/>
                <w:sz w:val="20"/>
                <w:szCs w:val="20"/>
                <w:lang w:val="es-ES_tradnl" w:eastAsia="es-CO"/>
              </w:rPr>
              <w:t>Profesionales</w:t>
            </w:r>
          </w:p>
        </w:tc>
        <w:tc>
          <w:tcPr>
            <w:tcW w:w="863" w:type="dxa"/>
            <w:tcBorders>
              <w:top w:val="nil"/>
              <w:left w:val="nil"/>
              <w:bottom w:val="single" w:sz="8" w:space="0" w:color="95B3D7"/>
              <w:right w:val="single" w:sz="8" w:space="0" w:color="95B3D7"/>
            </w:tcBorders>
            <w:shd w:val="clear" w:color="000000" w:fill="DBE5F1"/>
            <w:noWrap/>
            <w:hideMark/>
          </w:tcPr>
          <w:p w14:paraId="436F92BB"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34</w:t>
            </w:r>
          </w:p>
        </w:tc>
        <w:tc>
          <w:tcPr>
            <w:tcW w:w="1543" w:type="dxa"/>
            <w:tcBorders>
              <w:top w:val="nil"/>
              <w:left w:val="nil"/>
              <w:bottom w:val="single" w:sz="8" w:space="0" w:color="95B3D7"/>
              <w:right w:val="single" w:sz="8" w:space="0" w:color="95B3D7"/>
            </w:tcBorders>
            <w:shd w:val="clear" w:color="000000" w:fill="DBE5F1"/>
            <w:hideMark/>
          </w:tcPr>
          <w:p w14:paraId="2A5CF90F"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2</w:t>
            </w:r>
          </w:p>
        </w:tc>
        <w:tc>
          <w:tcPr>
            <w:tcW w:w="1559" w:type="dxa"/>
            <w:tcBorders>
              <w:top w:val="nil"/>
              <w:left w:val="nil"/>
              <w:bottom w:val="single" w:sz="8" w:space="0" w:color="95B3D7"/>
              <w:right w:val="single" w:sz="8" w:space="0" w:color="95B3D7"/>
            </w:tcBorders>
            <w:shd w:val="clear" w:color="000000" w:fill="DBE5F1"/>
            <w:hideMark/>
          </w:tcPr>
          <w:p w14:paraId="4BCB8838"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0</w:t>
            </w:r>
          </w:p>
        </w:tc>
        <w:tc>
          <w:tcPr>
            <w:tcW w:w="850" w:type="dxa"/>
            <w:tcBorders>
              <w:top w:val="nil"/>
              <w:left w:val="nil"/>
              <w:bottom w:val="single" w:sz="8" w:space="0" w:color="95B3D7"/>
              <w:right w:val="single" w:sz="8" w:space="0" w:color="95B3D7"/>
            </w:tcBorders>
            <w:shd w:val="clear" w:color="000000" w:fill="DBE5F1"/>
            <w:hideMark/>
          </w:tcPr>
          <w:p w14:paraId="5A35A907"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bCs/>
                <w:sz w:val="20"/>
                <w:szCs w:val="20"/>
              </w:rPr>
              <w:t>36</w:t>
            </w:r>
          </w:p>
        </w:tc>
      </w:tr>
      <w:tr w:rsidR="002001F7" w:rsidRPr="00B763D5" w14:paraId="1172FB58"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vAlign w:val="center"/>
            <w:hideMark/>
          </w:tcPr>
          <w:p w14:paraId="0C2972A0" w14:textId="77777777" w:rsidR="002001F7" w:rsidRPr="00B763D5" w:rsidRDefault="002001F7" w:rsidP="00BB219D">
            <w:pPr>
              <w:rPr>
                <w:rFonts w:ascii="Cambria" w:eastAsia="Times New Roman" w:hAnsi="Cambria" w:cs="Arial"/>
                <w:sz w:val="20"/>
                <w:szCs w:val="20"/>
                <w:lang w:val="es-CO" w:eastAsia="es-CO"/>
              </w:rPr>
            </w:pPr>
            <w:r w:rsidRPr="00B763D5">
              <w:rPr>
                <w:rFonts w:ascii="Cambria" w:eastAsia="Times New Roman" w:hAnsi="Cambria" w:cs="Arial"/>
                <w:sz w:val="20"/>
                <w:szCs w:val="20"/>
                <w:lang w:val="es-ES_tradnl" w:eastAsia="es-CO"/>
              </w:rPr>
              <w:t>Personal Administrativo</w:t>
            </w:r>
          </w:p>
        </w:tc>
        <w:tc>
          <w:tcPr>
            <w:tcW w:w="863" w:type="dxa"/>
            <w:tcBorders>
              <w:top w:val="nil"/>
              <w:left w:val="nil"/>
              <w:bottom w:val="single" w:sz="8" w:space="0" w:color="95B3D7"/>
              <w:right w:val="single" w:sz="8" w:space="0" w:color="95B3D7"/>
            </w:tcBorders>
            <w:shd w:val="clear" w:color="auto" w:fill="auto"/>
            <w:noWrap/>
            <w:hideMark/>
          </w:tcPr>
          <w:p w14:paraId="2D1F1A3A"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13</w:t>
            </w:r>
          </w:p>
        </w:tc>
        <w:tc>
          <w:tcPr>
            <w:tcW w:w="1543" w:type="dxa"/>
            <w:tcBorders>
              <w:top w:val="nil"/>
              <w:left w:val="nil"/>
              <w:bottom w:val="single" w:sz="8" w:space="0" w:color="95B3D7"/>
              <w:right w:val="single" w:sz="8" w:space="0" w:color="95B3D7"/>
            </w:tcBorders>
            <w:shd w:val="clear" w:color="auto" w:fill="auto"/>
            <w:hideMark/>
          </w:tcPr>
          <w:p w14:paraId="1D3DDC18"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1</w:t>
            </w:r>
          </w:p>
        </w:tc>
        <w:tc>
          <w:tcPr>
            <w:tcW w:w="1559" w:type="dxa"/>
            <w:tcBorders>
              <w:top w:val="nil"/>
              <w:left w:val="nil"/>
              <w:bottom w:val="single" w:sz="8" w:space="0" w:color="95B3D7"/>
              <w:right w:val="single" w:sz="8" w:space="0" w:color="95B3D7"/>
            </w:tcBorders>
            <w:shd w:val="clear" w:color="auto" w:fill="auto"/>
            <w:hideMark/>
          </w:tcPr>
          <w:p w14:paraId="693140F5"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0</w:t>
            </w:r>
          </w:p>
        </w:tc>
        <w:tc>
          <w:tcPr>
            <w:tcW w:w="850" w:type="dxa"/>
            <w:tcBorders>
              <w:top w:val="nil"/>
              <w:left w:val="nil"/>
              <w:bottom w:val="single" w:sz="8" w:space="0" w:color="95B3D7"/>
              <w:right w:val="single" w:sz="8" w:space="0" w:color="95B3D7"/>
            </w:tcBorders>
            <w:shd w:val="clear" w:color="auto" w:fill="auto"/>
            <w:hideMark/>
          </w:tcPr>
          <w:p w14:paraId="2195F8B5"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bCs/>
                <w:sz w:val="20"/>
                <w:szCs w:val="20"/>
              </w:rPr>
              <w:t>14</w:t>
            </w:r>
          </w:p>
        </w:tc>
      </w:tr>
      <w:tr w:rsidR="002001F7" w:rsidRPr="00B763D5" w14:paraId="15B14EA7"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000000" w:fill="DBE5F1"/>
            <w:noWrap/>
            <w:vAlign w:val="center"/>
            <w:hideMark/>
          </w:tcPr>
          <w:p w14:paraId="03210C4E" w14:textId="77777777" w:rsidR="002001F7" w:rsidRPr="00B763D5" w:rsidRDefault="002001F7" w:rsidP="00BB219D">
            <w:pPr>
              <w:rPr>
                <w:rFonts w:ascii="Cambria" w:eastAsia="Times New Roman" w:hAnsi="Cambria" w:cs="Arial"/>
                <w:b/>
                <w:bCs/>
                <w:sz w:val="20"/>
                <w:szCs w:val="20"/>
                <w:lang w:val="es-CO" w:eastAsia="es-CO"/>
              </w:rPr>
            </w:pPr>
            <w:r w:rsidRPr="00B763D5">
              <w:rPr>
                <w:rFonts w:ascii="Cambria" w:eastAsia="Times New Roman" w:hAnsi="Cambria" w:cs="Arial"/>
                <w:b/>
                <w:bCs/>
                <w:sz w:val="20"/>
                <w:szCs w:val="20"/>
                <w:lang w:val="es-ES_tradnl" w:eastAsia="es-CO"/>
              </w:rPr>
              <w:t>Subtotal Personal</w:t>
            </w:r>
          </w:p>
        </w:tc>
        <w:tc>
          <w:tcPr>
            <w:tcW w:w="863" w:type="dxa"/>
            <w:tcBorders>
              <w:top w:val="nil"/>
              <w:left w:val="nil"/>
              <w:bottom w:val="single" w:sz="8" w:space="0" w:color="95B3D7"/>
              <w:right w:val="single" w:sz="8" w:space="0" w:color="95B3D7"/>
            </w:tcBorders>
            <w:shd w:val="clear" w:color="000000" w:fill="DBE5F1"/>
            <w:noWrap/>
            <w:hideMark/>
          </w:tcPr>
          <w:p w14:paraId="25E1BBB1" w14:textId="77777777" w:rsidR="002001F7" w:rsidRPr="00B763D5" w:rsidRDefault="002001F7" w:rsidP="00BB219D">
            <w:pPr>
              <w:jc w:val="center"/>
              <w:rPr>
                <w:rFonts w:ascii="Cambria" w:eastAsia="Times New Roman" w:hAnsi="Cambria" w:cs="Arial"/>
                <w:b/>
                <w:bCs/>
                <w:color w:val="000000"/>
                <w:sz w:val="20"/>
                <w:szCs w:val="20"/>
                <w:lang w:val="es-CO" w:eastAsia="es-CO"/>
              </w:rPr>
            </w:pPr>
            <w:r w:rsidRPr="00B763D5">
              <w:rPr>
                <w:rFonts w:ascii="Cambria" w:eastAsia="Times New Roman" w:hAnsi="Cambria" w:cs="Arial"/>
                <w:b/>
                <w:bCs/>
                <w:sz w:val="20"/>
                <w:szCs w:val="20"/>
              </w:rPr>
              <w:t>49</w:t>
            </w:r>
          </w:p>
        </w:tc>
        <w:tc>
          <w:tcPr>
            <w:tcW w:w="1543" w:type="dxa"/>
            <w:tcBorders>
              <w:top w:val="nil"/>
              <w:left w:val="nil"/>
              <w:bottom w:val="single" w:sz="8" w:space="0" w:color="95B3D7"/>
              <w:right w:val="single" w:sz="8" w:space="0" w:color="95B3D7"/>
            </w:tcBorders>
            <w:shd w:val="clear" w:color="000000" w:fill="DBE5F1"/>
            <w:noWrap/>
            <w:hideMark/>
          </w:tcPr>
          <w:p w14:paraId="5FEA4759" w14:textId="77777777" w:rsidR="002001F7" w:rsidRPr="00B763D5" w:rsidRDefault="002001F7" w:rsidP="00BB219D">
            <w:pPr>
              <w:jc w:val="center"/>
              <w:rPr>
                <w:rFonts w:ascii="Cambria" w:eastAsia="Times New Roman" w:hAnsi="Cambria" w:cs="Arial"/>
                <w:b/>
                <w:bCs/>
                <w:color w:val="000000"/>
                <w:sz w:val="20"/>
                <w:szCs w:val="20"/>
                <w:lang w:val="es-CO" w:eastAsia="es-CO"/>
              </w:rPr>
            </w:pPr>
            <w:r w:rsidRPr="00B763D5">
              <w:rPr>
                <w:rFonts w:ascii="Cambria" w:eastAsia="Times New Roman" w:hAnsi="Cambria" w:cs="Arial"/>
                <w:b/>
                <w:bCs/>
                <w:sz w:val="20"/>
                <w:szCs w:val="20"/>
              </w:rPr>
              <w:t>5</w:t>
            </w:r>
          </w:p>
        </w:tc>
        <w:tc>
          <w:tcPr>
            <w:tcW w:w="1559" w:type="dxa"/>
            <w:tcBorders>
              <w:top w:val="nil"/>
              <w:left w:val="nil"/>
              <w:bottom w:val="single" w:sz="8" w:space="0" w:color="95B3D7"/>
              <w:right w:val="single" w:sz="8" w:space="0" w:color="95B3D7"/>
            </w:tcBorders>
            <w:shd w:val="clear" w:color="000000" w:fill="DBE5F1"/>
            <w:noWrap/>
            <w:hideMark/>
          </w:tcPr>
          <w:p w14:paraId="39C00E34" w14:textId="77777777" w:rsidR="002001F7" w:rsidRPr="00B763D5" w:rsidRDefault="002001F7" w:rsidP="00BB219D">
            <w:pPr>
              <w:jc w:val="center"/>
              <w:rPr>
                <w:rFonts w:ascii="Cambria" w:eastAsia="Times New Roman" w:hAnsi="Cambria" w:cs="Arial"/>
                <w:b/>
                <w:bCs/>
                <w:color w:val="000000"/>
                <w:sz w:val="20"/>
                <w:szCs w:val="20"/>
                <w:lang w:val="es-CO" w:eastAsia="es-CO"/>
              </w:rPr>
            </w:pPr>
            <w:r w:rsidRPr="00B763D5">
              <w:rPr>
                <w:rFonts w:ascii="Cambria" w:eastAsia="Times New Roman" w:hAnsi="Cambria" w:cs="Arial"/>
                <w:b/>
                <w:bCs/>
                <w:sz w:val="20"/>
                <w:szCs w:val="20"/>
              </w:rPr>
              <w:t>0</w:t>
            </w:r>
          </w:p>
        </w:tc>
        <w:tc>
          <w:tcPr>
            <w:tcW w:w="850" w:type="dxa"/>
            <w:tcBorders>
              <w:top w:val="nil"/>
              <w:left w:val="nil"/>
              <w:bottom w:val="single" w:sz="8" w:space="0" w:color="95B3D7"/>
              <w:right w:val="single" w:sz="8" w:space="0" w:color="95B3D7"/>
            </w:tcBorders>
            <w:shd w:val="clear" w:color="000000" w:fill="DBE5F1"/>
            <w:noWrap/>
            <w:hideMark/>
          </w:tcPr>
          <w:p w14:paraId="17EDB7CF" w14:textId="77777777" w:rsidR="002001F7" w:rsidRPr="00B763D5" w:rsidRDefault="002001F7" w:rsidP="00BB219D">
            <w:pPr>
              <w:jc w:val="center"/>
              <w:rPr>
                <w:rFonts w:ascii="Cambria" w:eastAsia="Times New Roman" w:hAnsi="Cambria" w:cs="Arial"/>
                <w:b/>
                <w:bCs/>
                <w:color w:val="000000"/>
                <w:sz w:val="20"/>
                <w:szCs w:val="20"/>
                <w:lang w:val="es-CO" w:eastAsia="es-CO"/>
              </w:rPr>
            </w:pPr>
            <w:r w:rsidRPr="00B763D5">
              <w:rPr>
                <w:rFonts w:ascii="Cambria" w:eastAsia="Times New Roman" w:hAnsi="Cambria" w:cs="Arial"/>
                <w:b/>
                <w:bCs/>
                <w:sz w:val="20"/>
                <w:szCs w:val="20"/>
              </w:rPr>
              <w:t>54</w:t>
            </w:r>
          </w:p>
        </w:tc>
      </w:tr>
      <w:tr w:rsidR="002001F7" w:rsidRPr="00B763D5" w14:paraId="0E2CDBE6" w14:textId="77777777" w:rsidTr="00142244">
        <w:trPr>
          <w:trHeight w:hRule="exact" w:val="560"/>
        </w:trPr>
        <w:tc>
          <w:tcPr>
            <w:tcW w:w="3690" w:type="dxa"/>
            <w:tcBorders>
              <w:top w:val="nil"/>
              <w:left w:val="single" w:sz="8" w:space="0" w:color="95B3D7"/>
              <w:bottom w:val="single" w:sz="8" w:space="0" w:color="95B3D7"/>
              <w:right w:val="single" w:sz="8" w:space="0" w:color="95B3D7"/>
            </w:tcBorders>
            <w:shd w:val="clear" w:color="auto" w:fill="auto"/>
            <w:noWrap/>
            <w:hideMark/>
          </w:tcPr>
          <w:p w14:paraId="4E2316F6" w14:textId="77777777" w:rsidR="002001F7" w:rsidRPr="00B763D5" w:rsidRDefault="002001F7" w:rsidP="00BB219D">
            <w:pPr>
              <w:rPr>
                <w:rFonts w:ascii="Cambria" w:eastAsia="Times New Roman" w:hAnsi="Cambria" w:cs="Arial"/>
                <w:sz w:val="20"/>
                <w:szCs w:val="20"/>
                <w:lang w:val="es-CO" w:eastAsia="es-CO"/>
              </w:rPr>
            </w:pPr>
            <w:r w:rsidRPr="00B763D5">
              <w:rPr>
                <w:rFonts w:ascii="Cambria" w:eastAsia="Times New Roman" w:hAnsi="Cambria" w:cs="Arial"/>
                <w:sz w:val="20"/>
                <w:szCs w:val="20"/>
                <w:lang w:val="es-ES_tradnl" w:eastAsia="es-CO"/>
              </w:rPr>
              <w:t>Profesionales Derechos Humanos – Consultorías</w:t>
            </w:r>
          </w:p>
        </w:tc>
        <w:tc>
          <w:tcPr>
            <w:tcW w:w="863" w:type="dxa"/>
            <w:tcBorders>
              <w:top w:val="nil"/>
              <w:left w:val="nil"/>
              <w:bottom w:val="single" w:sz="8" w:space="0" w:color="95B3D7"/>
              <w:right w:val="single" w:sz="8" w:space="0" w:color="95B3D7"/>
            </w:tcBorders>
            <w:shd w:val="clear" w:color="auto" w:fill="auto"/>
            <w:noWrap/>
            <w:hideMark/>
          </w:tcPr>
          <w:p w14:paraId="3334C158"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5</w:t>
            </w:r>
          </w:p>
        </w:tc>
        <w:tc>
          <w:tcPr>
            <w:tcW w:w="1543" w:type="dxa"/>
            <w:tcBorders>
              <w:top w:val="nil"/>
              <w:left w:val="nil"/>
              <w:bottom w:val="single" w:sz="8" w:space="0" w:color="95B3D7"/>
              <w:right w:val="single" w:sz="8" w:space="0" w:color="95B3D7"/>
            </w:tcBorders>
            <w:shd w:val="clear" w:color="auto" w:fill="auto"/>
            <w:hideMark/>
          </w:tcPr>
          <w:p w14:paraId="09EA2EFB"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42</w:t>
            </w:r>
          </w:p>
        </w:tc>
        <w:tc>
          <w:tcPr>
            <w:tcW w:w="1559" w:type="dxa"/>
            <w:tcBorders>
              <w:top w:val="nil"/>
              <w:left w:val="nil"/>
              <w:bottom w:val="single" w:sz="8" w:space="0" w:color="95B3D7"/>
              <w:right w:val="single" w:sz="8" w:space="0" w:color="95B3D7"/>
            </w:tcBorders>
            <w:shd w:val="clear" w:color="auto" w:fill="auto"/>
            <w:hideMark/>
          </w:tcPr>
          <w:p w14:paraId="7818F6C5"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0</w:t>
            </w:r>
          </w:p>
        </w:tc>
        <w:tc>
          <w:tcPr>
            <w:tcW w:w="850" w:type="dxa"/>
            <w:tcBorders>
              <w:top w:val="nil"/>
              <w:left w:val="nil"/>
              <w:bottom w:val="single" w:sz="8" w:space="0" w:color="95B3D7"/>
              <w:right w:val="single" w:sz="8" w:space="0" w:color="95B3D7"/>
            </w:tcBorders>
            <w:shd w:val="clear" w:color="auto" w:fill="auto"/>
            <w:hideMark/>
          </w:tcPr>
          <w:p w14:paraId="70BFEE7B"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bCs/>
                <w:sz w:val="20"/>
                <w:szCs w:val="20"/>
              </w:rPr>
              <w:t>47</w:t>
            </w:r>
          </w:p>
        </w:tc>
      </w:tr>
      <w:tr w:rsidR="002001F7" w:rsidRPr="00B763D5" w14:paraId="6CC902C9"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000000" w:fill="DBE5F1"/>
            <w:noWrap/>
          </w:tcPr>
          <w:p w14:paraId="69FCB9BA" w14:textId="77777777" w:rsidR="002001F7" w:rsidRPr="00B763D5" w:rsidRDefault="002001F7" w:rsidP="00BB219D">
            <w:pP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Personal Administrativo-Consultorías</w:t>
            </w:r>
          </w:p>
        </w:tc>
        <w:tc>
          <w:tcPr>
            <w:tcW w:w="863" w:type="dxa"/>
            <w:tcBorders>
              <w:top w:val="nil"/>
              <w:left w:val="nil"/>
              <w:bottom w:val="single" w:sz="8" w:space="0" w:color="95B3D7"/>
              <w:right w:val="single" w:sz="8" w:space="0" w:color="95B3D7"/>
            </w:tcBorders>
            <w:shd w:val="clear" w:color="000000" w:fill="DBE5F1"/>
            <w:noWrap/>
          </w:tcPr>
          <w:p w14:paraId="1F6E1719" w14:textId="77777777" w:rsidR="002001F7" w:rsidRPr="00B763D5" w:rsidRDefault="002001F7" w:rsidP="00BB219D">
            <w:pPr>
              <w:jc w:val="center"/>
              <w:rPr>
                <w:rFonts w:ascii="Cambria" w:eastAsia="Times New Roman" w:hAnsi="Cambria" w:cs="Arial"/>
                <w:color w:val="000000"/>
                <w:sz w:val="20"/>
                <w:szCs w:val="20"/>
                <w:lang w:val="es-ES_tradnl" w:eastAsia="es-CO"/>
              </w:rPr>
            </w:pPr>
            <w:r w:rsidRPr="00B763D5">
              <w:rPr>
                <w:rFonts w:ascii="Cambria" w:eastAsia="Times New Roman" w:hAnsi="Cambria" w:cs="Arial"/>
                <w:sz w:val="20"/>
                <w:szCs w:val="20"/>
              </w:rPr>
              <w:t>3</w:t>
            </w:r>
          </w:p>
        </w:tc>
        <w:tc>
          <w:tcPr>
            <w:tcW w:w="1543" w:type="dxa"/>
            <w:tcBorders>
              <w:top w:val="nil"/>
              <w:left w:val="nil"/>
              <w:bottom w:val="single" w:sz="8" w:space="0" w:color="95B3D7"/>
              <w:right w:val="single" w:sz="8" w:space="0" w:color="95B3D7"/>
            </w:tcBorders>
            <w:shd w:val="clear" w:color="000000" w:fill="DBE5F1"/>
          </w:tcPr>
          <w:p w14:paraId="5D78DD97" w14:textId="77777777" w:rsidR="002001F7" w:rsidRPr="00B763D5" w:rsidRDefault="002001F7" w:rsidP="00BB219D">
            <w:pPr>
              <w:jc w:val="center"/>
              <w:rPr>
                <w:rFonts w:ascii="Cambria" w:eastAsia="Times New Roman" w:hAnsi="Cambria" w:cs="Arial"/>
                <w:color w:val="000000"/>
                <w:sz w:val="20"/>
                <w:szCs w:val="20"/>
                <w:lang w:val="es-ES_tradnl" w:eastAsia="es-CO"/>
              </w:rPr>
            </w:pPr>
            <w:r w:rsidRPr="00B763D5">
              <w:rPr>
                <w:rFonts w:ascii="Cambria" w:eastAsia="Times New Roman" w:hAnsi="Cambria" w:cs="Arial"/>
                <w:sz w:val="20"/>
                <w:szCs w:val="20"/>
              </w:rPr>
              <w:t>15</w:t>
            </w:r>
          </w:p>
        </w:tc>
        <w:tc>
          <w:tcPr>
            <w:tcW w:w="1559" w:type="dxa"/>
            <w:tcBorders>
              <w:top w:val="nil"/>
              <w:left w:val="nil"/>
              <w:bottom w:val="single" w:sz="8" w:space="0" w:color="95B3D7"/>
              <w:right w:val="single" w:sz="8" w:space="0" w:color="95B3D7"/>
            </w:tcBorders>
            <w:shd w:val="clear" w:color="000000" w:fill="DBE5F1"/>
          </w:tcPr>
          <w:p w14:paraId="00D9DCF3"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0</w:t>
            </w:r>
          </w:p>
        </w:tc>
        <w:tc>
          <w:tcPr>
            <w:tcW w:w="850" w:type="dxa"/>
            <w:tcBorders>
              <w:top w:val="nil"/>
              <w:left w:val="nil"/>
              <w:bottom w:val="single" w:sz="8" w:space="0" w:color="95B3D7"/>
              <w:right w:val="single" w:sz="8" w:space="0" w:color="95B3D7"/>
            </w:tcBorders>
            <w:shd w:val="clear" w:color="000000" w:fill="DBE5F1"/>
          </w:tcPr>
          <w:p w14:paraId="40FE09C1"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bCs/>
                <w:sz w:val="20"/>
                <w:szCs w:val="20"/>
              </w:rPr>
              <w:t>18</w:t>
            </w:r>
          </w:p>
        </w:tc>
      </w:tr>
      <w:tr w:rsidR="002001F7" w:rsidRPr="00B763D5" w14:paraId="32FB449B"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tcPr>
          <w:p w14:paraId="767CBDDF" w14:textId="77777777" w:rsidR="002001F7" w:rsidRPr="00B763D5" w:rsidRDefault="002001F7" w:rsidP="00BB219D">
            <w:pP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Otros Profesionales-Consultorías</w:t>
            </w:r>
          </w:p>
        </w:tc>
        <w:tc>
          <w:tcPr>
            <w:tcW w:w="863" w:type="dxa"/>
            <w:tcBorders>
              <w:top w:val="nil"/>
              <w:left w:val="nil"/>
              <w:bottom w:val="single" w:sz="8" w:space="0" w:color="95B3D7"/>
              <w:right w:val="single" w:sz="8" w:space="0" w:color="95B3D7"/>
            </w:tcBorders>
            <w:shd w:val="clear" w:color="auto" w:fill="auto"/>
            <w:noWrap/>
          </w:tcPr>
          <w:p w14:paraId="2A8D00BC" w14:textId="77777777" w:rsidR="002001F7" w:rsidRPr="00B763D5" w:rsidRDefault="002001F7" w:rsidP="00BB219D">
            <w:pPr>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6</w:t>
            </w:r>
          </w:p>
        </w:tc>
        <w:tc>
          <w:tcPr>
            <w:tcW w:w="1543" w:type="dxa"/>
            <w:tcBorders>
              <w:top w:val="nil"/>
              <w:left w:val="nil"/>
              <w:bottom w:val="single" w:sz="8" w:space="0" w:color="95B3D7"/>
              <w:right w:val="single" w:sz="8" w:space="0" w:color="95B3D7"/>
            </w:tcBorders>
            <w:shd w:val="clear" w:color="auto" w:fill="auto"/>
          </w:tcPr>
          <w:p w14:paraId="7E61F559" w14:textId="77777777" w:rsidR="002001F7" w:rsidRPr="00B763D5" w:rsidRDefault="002001F7" w:rsidP="00BB219D">
            <w:pPr>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12</w:t>
            </w:r>
          </w:p>
        </w:tc>
        <w:tc>
          <w:tcPr>
            <w:tcW w:w="1559" w:type="dxa"/>
            <w:tcBorders>
              <w:top w:val="nil"/>
              <w:left w:val="nil"/>
              <w:bottom w:val="single" w:sz="8" w:space="0" w:color="95B3D7"/>
              <w:right w:val="single" w:sz="8" w:space="0" w:color="95B3D7"/>
            </w:tcBorders>
            <w:shd w:val="clear" w:color="auto" w:fill="auto"/>
          </w:tcPr>
          <w:p w14:paraId="0F0E5B5C" w14:textId="77777777" w:rsidR="002001F7" w:rsidRPr="00B763D5" w:rsidRDefault="002001F7" w:rsidP="00BB219D">
            <w:pPr>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0</w:t>
            </w:r>
          </w:p>
        </w:tc>
        <w:tc>
          <w:tcPr>
            <w:tcW w:w="850" w:type="dxa"/>
            <w:tcBorders>
              <w:top w:val="nil"/>
              <w:left w:val="nil"/>
              <w:bottom w:val="single" w:sz="8" w:space="0" w:color="95B3D7"/>
              <w:right w:val="single" w:sz="8" w:space="0" w:color="95B3D7"/>
            </w:tcBorders>
            <w:shd w:val="clear" w:color="auto" w:fill="auto"/>
          </w:tcPr>
          <w:p w14:paraId="34D38DFF" w14:textId="77777777" w:rsidR="002001F7" w:rsidRPr="00B763D5" w:rsidRDefault="002001F7" w:rsidP="00BB219D">
            <w:pPr>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18</w:t>
            </w:r>
          </w:p>
        </w:tc>
      </w:tr>
      <w:tr w:rsidR="002001F7" w:rsidRPr="00B763D5" w14:paraId="762D8B1E"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vAlign w:val="center"/>
          </w:tcPr>
          <w:p w14:paraId="6C83C765" w14:textId="77777777" w:rsidR="002001F7" w:rsidRPr="00B763D5" w:rsidRDefault="002001F7" w:rsidP="00BB219D">
            <w:pPr>
              <w:rPr>
                <w:rFonts w:ascii="Cambria" w:eastAsia="Times New Roman" w:hAnsi="Cambria" w:cs="Arial"/>
                <w:sz w:val="20"/>
                <w:szCs w:val="20"/>
                <w:lang w:val="es-ES_tradnl" w:eastAsia="es-CO"/>
              </w:rPr>
            </w:pPr>
            <w:r w:rsidRPr="00B763D5">
              <w:rPr>
                <w:rFonts w:ascii="Cambria" w:eastAsia="Times New Roman" w:hAnsi="Cambria" w:cs="Arial"/>
                <w:b/>
                <w:bCs/>
                <w:sz w:val="20"/>
                <w:szCs w:val="20"/>
                <w:lang w:val="es-ES_tradnl" w:eastAsia="es-CO"/>
              </w:rPr>
              <w:t xml:space="preserve">Subtotal Consultorías </w:t>
            </w:r>
          </w:p>
        </w:tc>
        <w:tc>
          <w:tcPr>
            <w:tcW w:w="863" w:type="dxa"/>
            <w:tcBorders>
              <w:top w:val="nil"/>
              <w:left w:val="nil"/>
              <w:bottom w:val="single" w:sz="8" w:space="0" w:color="95B3D7"/>
              <w:right w:val="single" w:sz="8" w:space="0" w:color="95B3D7"/>
            </w:tcBorders>
            <w:shd w:val="clear" w:color="auto" w:fill="auto"/>
            <w:noWrap/>
          </w:tcPr>
          <w:p w14:paraId="16856CC6" w14:textId="77777777" w:rsidR="002001F7" w:rsidRPr="00B763D5" w:rsidRDefault="002001F7" w:rsidP="00BB219D">
            <w:pPr>
              <w:jc w:val="center"/>
              <w:rPr>
                <w:rFonts w:ascii="Cambria" w:eastAsia="Times New Roman" w:hAnsi="Cambria" w:cs="Arial"/>
                <w:sz w:val="20"/>
                <w:szCs w:val="20"/>
                <w:lang w:val="es-ES_tradnl" w:eastAsia="es-CO"/>
              </w:rPr>
            </w:pPr>
            <w:r w:rsidRPr="00B763D5">
              <w:rPr>
                <w:rFonts w:ascii="Cambria" w:eastAsia="Times New Roman" w:hAnsi="Cambria" w:cs="Arial"/>
                <w:b/>
                <w:bCs/>
                <w:sz w:val="20"/>
                <w:szCs w:val="20"/>
              </w:rPr>
              <w:t>14</w:t>
            </w:r>
          </w:p>
        </w:tc>
        <w:tc>
          <w:tcPr>
            <w:tcW w:w="1543" w:type="dxa"/>
            <w:tcBorders>
              <w:top w:val="nil"/>
              <w:left w:val="nil"/>
              <w:bottom w:val="single" w:sz="8" w:space="0" w:color="95B3D7"/>
              <w:right w:val="single" w:sz="8" w:space="0" w:color="95B3D7"/>
            </w:tcBorders>
            <w:shd w:val="clear" w:color="auto" w:fill="auto"/>
          </w:tcPr>
          <w:p w14:paraId="17AA9DCE" w14:textId="77777777" w:rsidR="002001F7" w:rsidRPr="00B763D5" w:rsidRDefault="002001F7" w:rsidP="00BB219D">
            <w:pPr>
              <w:jc w:val="center"/>
              <w:rPr>
                <w:rFonts w:ascii="Cambria" w:eastAsia="Times New Roman" w:hAnsi="Cambria" w:cs="Arial"/>
                <w:b/>
                <w:sz w:val="20"/>
                <w:szCs w:val="20"/>
                <w:lang w:val="es-ES_tradnl" w:eastAsia="es-CO"/>
              </w:rPr>
            </w:pPr>
            <w:r w:rsidRPr="00B763D5">
              <w:rPr>
                <w:rFonts w:ascii="Cambria" w:eastAsia="Times New Roman" w:hAnsi="Cambria" w:cs="Arial"/>
                <w:b/>
                <w:sz w:val="20"/>
                <w:szCs w:val="20"/>
                <w:lang w:val="es-ES_tradnl" w:eastAsia="es-CO"/>
              </w:rPr>
              <w:t>69</w:t>
            </w:r>
          </w:p>
        </w:tc>
        <w:tc>
          <w:tcPr>
            <w:tcW w:w="1559" w:type="dxa"/>
            <w:tcBorders>
              <w:top w:val="nil"/>
              <w:left w:val="nil"/>
              <w:bottom w:val="single" w:sz="8" w:space="0" w:color="95B3D7"/>
              <w:right w:val="single" w:sz="8" w:space="0" w:color="95B3D7"/>
            </w:tcBorders>
            <w:shd w:val="clear" w:color="auto" w:fill="auto"/>
          </w:tcPr>
          <w:p w14:paraId="0774B252" w14:textId="77777777" w:rsidR="002001F7" w:rsidRPr="00B763D5" w:rsidRDefault="002001F7" w:rsidP="00BB219D">
            <w:pPr>
              <w:jc w:val="center"/>
              <w:rPr>
                <w:rFonts w:ascii="Cambria" w:eastAsia="Times New Roman" w:hAnsi="Cambria" w:cs="Arial"/>
                <w:sz w:val="20"/>
                <w:szCs w:val="20"/>
                <w:lang w:val="es-ES_tradnl" w:eastAsia="es-CO"/>
              </w:rPr>
            </w:pPr>
            <w:r w:rsidRPr="00B763D5">
              <w:rPr>
                <w:rFonts w:ascii="Cambria" w:eastAsia="Times New Roman" w:hAnsi="Cambria" w:cs="Arial"/>
                <w:b/>
                <w:bCs/>
                <w:sz w:val="20"/>
                <w:szCs w:val="20"/>
              </w:rPr>
              <w:t>0</w:t>
            </w:r>
          </w:p>
        </w:tc>
        <w:tc>
          <w:tcPr>
            <w:tcW w:w="850" w:type="dxa"/>
            <w:tcBorders>
              <w:top w:val="nil"/>
              <w:left w:val="nil"/>
              <w:bottom w:val="single" w:sz="8" w:space="0" w:color="95B3D7"/>
              <w:right w:val="single" w:sz="8" w:space="0" w:color="95B3D7"/>
            </w:tcBorders>
            <w:shd w:val="clear" w:color="auto" w:fill="auto"/>
          </w:tcPr>
          <w:p w14:paraId="22E99609" w14:textId="77777777" w:rsidR="002001F7" w:rsidRPr="00B763D5" w:rsidRDefault="002001F7" w:rsidP="00BB219D">
            <w:pPr>
              <w:jc w:val="center"/>
              <w:rPr>
                <w:rFonts w:ascii="Cambria" w:eastAsia="Times New Roman" w:hAnsi="Cambria" w:cs="Arial"/>
                <w:sz w:val="20"/>
                <w:szCs w:val="20"/>
                <w:lang w:val="es-ES_tradnl" w:eastAsia="es-CO"/>
              </w:rPr>
            </w:pPr>
            <w:r w:rsidRPr="00B763D5">
              <w:rPr>
                <w:rFonts w:ascii="Cambria" w:eastAsia="Times New Roman" w:hAnsi="Cambria" w:cs="Arial"/>
                <w:b/>
                <w:bCs/>
                <w:sz w:val="20"/>
                <w:szCs w:val="20"/>
              </w:rPr>
              <w:t>83</w:t>
            </w:r>
          </w:p>
        </w:tc>
      </w:tr>
      <w:tr w:rsidR="002001F7" w:rsidRPr="00B763D5" w14:paraId="6E445D09"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000000" w:fill="DBE5F1"/>
            <w:noWrap/>
            <w:vAlign w:val="center"/>
            <w:hideMark/>
          </w:tcPr>
          <w:p w14:paraId="4C3EF269" w14:textId="77777777" w:rsidR="002001F7" w:rsidRPr="00B763D5" w:rsidRDefault="002001F7" w:rsidP="00BB219D">
            <w:pPr>
              <w:rPr>
                <w:rFonts w:ascii="Cambria" w:eastAsia="Times New Roman" w:hAnsi="Cambria" w:cs="Arial"/>
                <w:sz w:val="20"/>
                <w:szCs w:val="20"/>
                <w:lang w:val="es-CO" w:eastAsia="es-CO"/>
              </w:rPr>
            </w:pPr>
            <w:r w:rsidRPr="00B763D5">
              <w:rPr>
                <w:rFonts w:ascii="Cambria" w:eastAsia="Times New Roman" w:hAnsi="Cambria" w:cs="Arial"/>
                <w:sz w:val="20"/>
                <w:szCs w:val="20"/>
                <w:lang w:val="es-ES_tradnl" w:eastAsia="es-CO"/>
              </w:rPr>
              <w:t>Personal Asociado</w:t>
            </w:r>
          </w:p>
        </w:tc>
        <w:tc>
          <w:tcPr>
            <w:tcW w:w="863" w:type="dxa"/>
            <w:tcBorders>
              <w:top w:val="nil"/>
              <w:left w:val="nil"/>
              <w:bottom w:val="single" w:sz="8" w:space="0" w:color="95B3D7"/>
              <w:right w:val="single" w:sz="8" w:space="0" w:color="95B3D7"/>
            </w:tcBorders>
            <w:shd w:val="clear" w:color="000000" w:fill="DBE5F1"/>
            <w:noWrap/>
            <w:vAlign w:val="center"/>
            <w:hideMark/>
          </w:tcPr>
          <w:p w14:paraId="25E6915E"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0</w:t>
            </w:r>
          </w:p>
        </w:tc>
        <w:tc>
          <w:tcPr>
            <w:tcW w:w="1543" w:type="dxa"/>
            <w:tcBorders>
              <w:top w:val="nil"/>
              <w:left w:val="nil"/>
              <w:bottom w:val="single" w:sz="8" w:space="0" w:color="95B3D7"/>
              <w:right w:val="single" w:sz="8" w:space="0" w:color="95B3D7"/>
            </w:tcBorders>
            <w:shd w:val="clear" w:color="000000" w:fill="DBE5F1"/>
            <w:vAlign w:val="center"/>
            <w:hideMark/>
          </w:tcPr>
          <w:p w14:paraId="19639A38"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ES_tradnl" w:eastAsia="es-CO"/>
              </w:rPr>
              <w:t>2</w:t>
            </w:r>
          </w:p>
        </w:tc>
        <w:tc>
          <w:tcPr>
            <w:tcW w:w="1559" w:type="dxa"/>
            <w:tcBorders>
              <w:top w:val="nil"/>
              <w:left w:val="nil"/>
              <w:bottom w:val="single" w:sz="8" w:space="0" w:color="95B3D7"/>
              <w:right w:val="single" w:sz="8" w:space="0" w:color="95B3D7"/>
            </w:tcBorders>
            <w:shd w:val="clear" w:color="000000" w:fill="DBE5F1"/>
            <w:vAlign w:val="center"/>
            <w:hideMark/>
          </w:tcPr>
          <w:p w14:paraId="1D200C5F"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CO" w:eastAsia="es-CO"/>
              </w:rPr>
              <w:t>1</w:t>
            </w:r>
          </w:p>
        </w:tc>
        <w:tc>
          <w:tcPr>
            <w:tcW w:w="850" w:type="dxa"/>
            <w:tcBorders>
              <w:top w:val="nil"/>
              <w:left w:val="nil"/>
              <w:bottom w:val="single" w:sz="8" w:space="0" w:color="95B3D7"/>
              <w:right w:val="single" w:sz="8" w:space="0" w:color="95B3D7"/>
            </w:tcBorders>
            <w:shd w:val="clear" w:color="000000" w:fill="DBE5F1"/>
            <w:vAlign w:val="center"/>
            <w:hideMark/>
          </w:tcPr>
          <w:p w14:paraId="71874A90"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color w:val="000000"/>
                <w:sz w:val="20"/>
                <w:szCs w:val="20"/>
                <w:lang w:val="es-CO" w:eastAsia="es-CO"/>
              </w:rPr>
              <w:t>3</w:t>
            </w:r>
          </w:p>
        </w:tc>
      </w:tr>
      <w:tr w:rsidR="002001F7" w:rsidRPr="00B763D5" w14:paraId="2CE4E95C"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tcPr>
          <w:p w14:paraId="4FB223AC" w14:textId="77777777" w:rsidR="002001F7" w:rsidRPr="00B763D5" w:rsidRDefault="002001F7" w:rsidP="00BB219D">
            <w:pPr>
              <w:rPr>
                <w:rFonts w:ascii="Cambria" w:eastAsia="Times New Roman" w:hAnsi="Cambria" w:cs="Arial"/>
                <w:b/>
                <w:sz w:val="20"/>
                <w:szCs w:val="20"/>
                <w:lang w:val="es-ES_tradnl" w:eastAsia="es-CO"/>
              </w:rPr>
            </w:pPr>
            <w:r w:rsidRPr="00B763D5">
              <w:rPr>
                <w:rFonts w:ascii="Cambria" w:eastAsia="Times New Roman" w:hAnsi="Cambria" w:cs="Arial"/>
                <w:b/>
                <w:sz w:val="20"/>
                <w:szCs w:val="20"/>
                <w:lang w:val="es-ES_tradnl" w:eastAsia="es-CO"/>
              </w:rPr>
              <w:t>Total Personal</w:t>
            </w:r>
          </w:p>
        </w:tc>
        <w:tc>
          <w:tcPr>
            <w:tcW w:w="863" w:type="dxa"/>
            <w:tcBorders>
              <w:top w:val="nil"/>
              <w:left w:val="nil"/>
              <w:bottom w:val="single" w:sz="8" w:space="0" w:color="95B3D7"/>
              <w:right w:val="single" w:sz="8" w:space="0" w:color="95B3D7"/>
            </w:tcBorders>
            <w:shd w:val="clear" w:color="auto" w:fill="auto"/>
            <w:noWrap/>
          </w:tcPr>
          <w:p w14:paraId="000F4BA4" w14:textId="77777777" w:rsidR="002001F7" w:rsidRPr="00B763D5" w:rsidRDefault="002001F7" w:rsidP="00BB219D">
            <w:pPr>
              <w:jc w:val="center"/>
              <w:rPr>
                <w:rFonts w:ascii="Cambria" w:eastAsia="Times New Roman" w:hAnsi="Cambria" w:cs="Arial"/>
                <w:b/>
                <w:sz w:val="20"/>
                <w:szCs w:val="20"/>
              </w:rPr>
            </w:pPr>
            <w:r w:rsidRPr="00B763D5">
              <w:rPr>
                <w:rFonts w:ascii="Cambria" w:eastAsia="Times New Roman" w:hAnsi="Cambria" w:cs="Arial"/>
                <w:b/>
                <w:sz w:val="20"/>
                <w:szCs w:val="20"/>
              </w:rPr>
              <w:t>63</w:t>
            </w:r>
          </w:p>
        </w:tc>
        <w:tc>
          <w:tcPr>
            <w:tcW w:w="1543" w:type="dxa"/>
            <w:tcBorders>
              <w:top w:val="nil"/>
              <w:left w:val="nil"/>
              <w:bottom w:val="single" w:sz="8" w:space="0" w:color="95B3D7"/>
              <w:right w:val="single" w:sz="8" w:space="0" w:color="95B3D7"/>
            </w:tcBorders>
            <w:shd w:val="clear" w:color="auto" w:fill="auto"/>
          </w:tcPr>
          <w:p w14:paraId="65D570FF" w14:textId="77777777" w:rsidR="002001F7" w:rsidRPr="00B763D5" w:rsidRDefault="002001F7" w:rsidP="00BB219D">
            <w:pPr>
              <w:jc w:val="center"/>
              <w:rPr>
                <w:rFonts w:ascii="Cambria" w:eastAsia="Times New Roman" w:hAnsi="Cambria" w:cs="Arial"/>
                <w:b/>
                <w:sz w:val="20"/>
                <w:szCs w:val="20"/>
              </w:rPr>
            </w:pPr>
            <w:r w:rsidRPr="00B763D5">
              <w:rPr>
                <w:rFonts w:ascii="Cambria" w:eastAsia="Times New Roman" w:hAnsi="Cambria" w:cs="Arial"/>
                <w:b/>
                <w:sz w:val="20"/>
                <w:szCs w:val="20"/>
              </w:rPr>
              <w:t>76</w:t>
            </w:r>
          </w:p>
        </w:tc>
        <w:tc>
          <w:tcPr>
            <w:tcW w:w="1559" w:type="dxa"/>
            <w:tcBorders>
              <w:top w:val="nil"/>
              <w:left w:val="nil"/>
              <w:bottom w:val="single" w:sz="8" w:space="0" w:color="95B3D7"/>
              <w:right w:val="single" w:sz="8" w:space="0" w:color="95B3D7"/>
            </w:tcBorders>
            <w:shd w:val="clear" w:color="auto" w:fill="auto"/>
          </w:tcPr>
          <w:p w14:paraId="485CDD19" w14:textId="77777777" w:rsidR="002001F7" w:rsidRPr="00B763D5" w:rsidRDefault="002001F7" w:rsidP="00BB219D">
            <w:pPr>
              <w:jc w:val="center"/>
              <w:rPr>
                <w:rFonts w:ascii="Cambria" w:eastAsia="Times New Roman" w:hAnsi="Cambria" w:cs="Arial"/>
                <w:b/>
                <w:sz w:val="20"/>
                <w:szCs w:val="20"/>
              </w:rPr>
            </w:pPr>
            <w:r w:rsidRPr="00B763D5">
              <w:rPr>
                <w:rFonts w:ascii="Cambria" w:eastAsia="Times New Roman" w:hAnsi="Cambria" w:cs="Arial"/>
                <w:b/>
                <w:sz w:val="20"/>
                <w:szCs w:val="20"/>
              </w:rPr>
              <w:t>1</w:t>
            </w:r>
          </w:p>
        </w:tc>
        <w:tc>
          <w:tcPr>
            <w:tcW w:w="850" w:type="dxa"/>
            <w:tcBorders>
              <w:top w:val="nil"/>
              <w:left w:val="nil"/>
              <w:bottom w:val="single" w:sz="8" w:space="0" w:color="95B3D7"/>
              <w:right w:val="single" w:sz="8" w:space="0" w:color="95B3D7"/>
            </w:tcBorders>
            <w:shd w:val="clear" w:color="auto" w:fill="auto"/>
          </w:tcPr>
          <w:p w14:paraId="2D9AF63A" w14:textId="77777777" w:rsidR="002001F7" w:rsidRPr="00B763D5" w:rsidRDefault="002001F7" w:rsidP="00BB219D">
            <w:pPr>
              <w:jc w:val="center"/>
              <w:rPr>
                <w:rFonts w:ascii="Cambria" w:eastAsia="Times New Roman" w:hAnsi="Cambria" w:cs="Arial"/>
                <w:b/>
                <w:bCs/>
                <w:sz w:val="20"/>
                <w:szCs w:val="20"/>
              </w:rPr>
            </w:pPr>
            <w:r w:rsidRPr="00B763D5">
              <w:rPr>
                <w:rFonts w:ascii="Cambria" w:eastAsia="Times New Roman" w:hAnsi="Cambria" w:cs="Arial"/>
                <w:b/>
                <w:bCs/>
                <w:sz w:val="20"/>
                <w:szCs w:val="20"/>
              </w:rPr>
              <w:t>140</w:t>
            </w:r>
          </w:p>
        </w:tc>
      </w:tr>
      <w:tr w:rsidR="002001F7" w:rsidRPr="00B763D5" w14:paraId="77816BDB" w14:textId="77777777" w:rsidTr="00142244">
        <w:trPr>
          <w:trHeight w:hRule="exact" w:val="270"/>
        </w:trPr>
        <w:tc>
          <w:tcPr>
            <w:tcW w:w="3690" w:type="dxa"/>
            <w:tcBorders>
              <w:top w:val="nil"/>
              <w:left w:val="single" w:sz="8" w:space="0" w:color="95B3D7"/>
              <w:bottom w:val="single" w:sz="8" w:space="0" w:color="95B3D7"/>
              <w:right w:val="single" w:sz="8" w:space="0" w:color="95B3D7"/>
            </w:tcBorders>
            <w:shd w:val="clear" w:color="auto" w:fill="auto"/>
            <w:noWrap/>
            <w:hideMark/>
          </w:tcPr>
          <w:p w14:paraId="64D9438A" w14:textId="77777777" w:rsidR="002001F7" w:rsidRPr="00B763D5" w:rsidRDefault="002001F7" w:rsidP="00BB219D">
            <w:pPr>
              <w:rPr>
                <w:rFonts w:ascii="Cambria" w:eastAsia="Times New Roman" w:hAnsi="Cambria" w:cs="Arial"/>
                <w:sz w:val="20"/>
                <w:szCs w:val="20"/>
                <w:lang w:val="es-CO" w:eastAsia="es-CO"/>
              </w:rPr>
            </w:pPr>
            <w:r w:rsidRPr="00B763D5">
              <w:rPr>
                <w:rFonts w:ascii="Cambria" w:eastAsia="Times New Roman" w:hAnsi="Cambria" w:cs="Arial"/>
                <w:sz w:val="20"/>
                <w:szCs w:val="20"/>
                <w:lang w:val="es-ES_tradnl" w:eastAsia="es-CO"/>
              </w:rPr>
              <w:t>Becario/as</w:t>
            </w:r>
          </w:p>
        </w:tc>
        <w:tc>
          <w:tcPr>
            <w:tcW w:w="863" w:type="dxa"/>
            <w:tcBorders>
              <w:top w:val="nil"/>
              <w:left w:val="nil"/>
              <w:bottom w:val="single" w:sz="8" w:space="0" w:color="95B3D7"/>
              <w:right w:val="single" w:sz="8" w:space="0" w:color="95B3D7"/>
            </w:tcBorders>
            <w:shd w:val="clear" w:color="auto" w:fill="auto"/>
            <w:noWrap/>
            <w:hideMark/>
          </w:tcPr>
          <w:p w14:paraId="7E00EC28"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0</w:t>
            </w:r>
          </w:p>
        </w:tc>
        <w:tc>
          <w:tcPr>
            <w:tcW w:w="1543" w:type="dxa"/>
            <w:tcBorders>
              <w:top w:val="nil"/>
              <w:left w:val="nil"/>
              <w:bottom w:val="single" w:sz="8" w:space="0" w:color="95B3D7"/>
              <w:right w:val="single" w:sz="8" w:space="0" w:color="95B3D7"/>
            </w:tcBorders>
            <w:shd w:val="clear" w:color="auto" w:fill="auto"/>
            <w:hideMark/>
          </w:tcPr>
          <w:p w14:paraId="0470B15F"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3</w:t>
            </w:r>
          </w:p>
        </w:tc>
        <w:tc>
          <w:tcPr>
            <w:tcW w:w="1559" w:type="dxa"/>
            <w:tcBorders>
              <w:top w:val="nil"/>
              <w:left w:val="nil"/>
              <w:bottom w:val="single" w:sz="8" w:space="0" w:color="95B3D7"/>
              <w:right w:val="single" w:sz="8" w:space="0" w:color="95B3D7"/>
            </w:tcBorders>
            <w:shd w:val="clear" w:color="auto" w:fill="auto"/>
            <w:hideMark/>
          </w:tcPr>
          <w:p w14:paraId="72514048"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sz w:val="20"/>
                <w:szCs w:val="20"/>
              </w:rPr>
              <w:t>4</w:t>
            </w:r>
          </w:p>
        </w:tc>
        <w:tc>
          <w:tcPr>
            <w:tcW w:w="850" w:type="dxa"/>
            <w:tcBorders>
              <w:top w:val="nil"/>
              <w:left w:val="nil"/>
              <w:bottom w:val="single" w:sz="8" w:space="0" w:color="95B3D7"/>
              <w:right w:val="single" w:sz="8" w:space="0" w:color="95B3D7"/>
            </w:tcBorders>
            <w:shd w:val="clear" w:color="auto" w:fill="auto"/>
            <w:hideMark/>
          </w:tcPr>
          <w:p w14:paraId="321C01E5" w14:textId="77777777" w:rsidR="002001F7" w:rsidRPr="00B763D5" w:rsidRDefault="002001F7" w:rsidP="00BB219D">
            <w:pPr>
              <w:jc w:val="center"/>
              <w:rPr>
                <w:rFonts w:ascii="Cambria" w:eastAsia="Times New Roman" w:hAnsi="Cambria" w:cs="Arial"/>
                <w:color w:val="000000"/>
                <w:sz w:val="20"/>
                <w:szCs w:val="20"/>
                <w:lang w:val="es-CO" w:eastAsia="es-CO"/>
              </w:rPr>
            </w:pPr>
            <w:r w:rsidRPr="00B763D5">
              <w:rPr>
                <w:rFonts w:ascii="Cambria" w:eastAsia="Times New Roman" w:hAnsi="Cambria" w:cs="Arial"/>
                <w:bCs/>
                <w:sz w:val="20"/>
                <w:szCs w:val="20"/>
              </w:rPr>
              <w:t>7</w:t>
            </w:r>
          </w:p>
        </w:tc>
      </w:tr>
      <w:tr w:rsidR="002001F7" w:rsidRPr="00B763D5" w14:paraId="457C1978" w14:textId="77777777" w:rsidTr="00142244">
        <w:trPr>
          <w:trHeight w:hRule="exact" w:val="470"/>
        </w:trPr>
        <w:tc>
          <w:tcPr>
            <w:tcW w:w="3690" w:type="dxa"/>
            <w:tcBorders>
              <w:top w:val="nil"/>
              <w:left w:val="single" w:sz="8" w:space="0" w:color="95B3D7"/>
              <w:bottom w:val="single" w:sz="8" w:space="0" w:color="95B3D7"/>
              <w:right w:val="single" w:sz="8" w:space="0" w:color="95B3D7"/>
            </w:tcBorders>
            <w:shd w:val="clear" w:color="auto" w:fill="D9E2F3" w:themeFill="accent1" w:themeFillTint="33"/>
            <w:noWrap/>
            <w:hideMark/>
          </w:tcPr>
          <w:p w14:paraId="3B139D35" w14:textId="77777777" w:rsidR="002001F7" w:rsidRPr="00B763D5" w:rsidRDefault="002001F7" w:rsidP="00BB219D">
            <w:pPr>
              <w:rPr>
                <w:rFonts w:ascii="Cambria" w:eastAsia="Times New Roman" w:hAnsi="Cambria" w:cs="Arial"/>
                <w:b/>
                <w:bCs/>
                <w:sz w:val="20"/>
                <w:szCs w:val="20"/>
                <w:lang w:val="es-CO" w:eastAsia="es-CO"/>
              </w:rPr>
            </w:pPr>
            <w:r w:rsidRPr="00B763D5">
              <w:rPr>
                <w:rFonts w:ascii="Cambria" w:eastAsia="Times New Roman" w:hAnsi="Cambria" w:cs="Arial"/>
                <w:b/>
                <w:sz w:val="20"/>
                <w:szCs w:val="20"/>
                <w:lang w:val="es-ES_tradnl" w:eastAsia="es-CO"/>
              </w:rPr>
              <w:t>Gran Total</w:t>
            </w:r>
          </w:p>
        </w:tc>
        <w:tc>
          <w:tcPr>
            <w:tcW w:w="863" w:type="dxa"/>
            <w:tcBorders>
              <w:top w:val="nil"/>
              <w:left w:val="nil"/>
              <w:bottom w:val="single" w:sz="8" w:space="0" w:color="95B3D7"/>
              <w:right w:val="single" w:sz="8" w:space="0" w:color="95B3D7"/>
            </w:tcBorders>
            <w:shd w:val="clear" w:color="auto" w:fill="D9E2F3" w:themeFill="accent1" w:themeFillTint="33"/>
            <w:noWrap/>
            <w:hideMark/>
          </w:tcPr>
          <w:p w14:paraId="7A82BC6A" w14:textId="77777777" w:rsidR="002001F7" w:rsidRPr="00B763D5" w:rsidRDefault="002001F7" w:rsidP="00BB219D">
            <w:pPr>
              <w:jc w:val="center"/>
              <w:rPr>
                <w:rFonts w:ascii="Cambria" w:eastAsia="Times New Roman" w:hAnsi="Cambria" w:cs="Arial"/>
                <w:b/>
                <w:bCs/>
                <w:color w:val="000000"/>
                <w:sz w:val="20"/>
                <w:szCs w:val="20"/>
                <w:lang w:val="es-CO" w:eastAsia="es-CO"/>
              </w:rPr>
            </w:pPr>
            <w:r w:rsidRPr="00B763D5">
              <w:rPr>
                <w:rFonts w:ascii="Cambria" w:eastAsia="Times New Roman" w:hAnsi="Cambria" w:cs="Arial"/>
                <w:b/>
                <w:bCs/>
                <w:sz w:val="20"/>
                <w:szCs w:val="20"/>
              </w:rPr>
              <w:t>63</w:t>
            </w:r>
          </w:p>
        </w:tc>
        <w:tc>
          <w:tcPr>
            <w:tcW w:w="1543" w:type="dxa"/>
            <w:tcBorders>
              <w:top w:val="nil"/>
              <w:left w:val="nil"/>
              <w:bottom w:val="single" w:sz="8" w:space="0" w:color="95B3D7"/>
              <w:right w:val="single" w:sz="8" w:space="0" w:color="95B3D7"/>
            </w:tcBorders>
            <w:shd w:val="clear" w:color="auto" w:fill="D9E2F3" w:themeFill="accent1" w:themeFillTint="33"/>
            <w:noWrap/>
            <w:hideMark/>
          </w:tcPr>
          <w:p w14:paraId="04831743" w14:textId="77777777" w:rsidR="002001F7" w:rsidRPr="00B763D5" w:rsidRDefault="002001F7" w:rsidP="00BB219D">
            <w:pPr>
              <w:jc w:val="center"/>
              <w:rPr>
                <w:rFonts w:ascii="Cambria" w:eastAsia="Times New Roman" w:hAnsi="Cambria" w:cs="Arial"/>
                <w:b/>
                <w:bCs/>
                <w:color w:val="000000"/>
                <w:sz w:val="20"/>
                <w:szCs w:val="20"/>
                <w:lang w:val="es-CO" w:eastAsia="es-CO"/>
              </w:rPr>
            </w:pPr>
            <w:r w:rsidRPr="00B763D5">
              <w:rPr>
                <w:rFonts w:ascii="Cambria" w:eastAsia="Times New Roman" w:hAnsi="Cambria" w:cs="Arial"/>
                <w:b/>
                <w:bCs/>
                <w:sz w:val="20"/>
                <w:szCs w:val="20"/>
              </w:rPr>
              <w:t>79</w:t>
            </w:r>
          </w:p>
        </w:tc>
        <w:tc>
          <w:tcPr>
            <w:tcW w:w="1559" w:type="dxa"/>
            <w:tcBorders>
              <w:top w:val="nil"/>
              <w:left w:val="nil"/>
              <w:bottom w:val="single" w:sz="8" w:space="0" w:color="95B3D7"/>
              <w:right w:val="single" w:sz="8" w:space="0" w:color="95B3D7"/>
            </w:tcBorders>
            <w:shd w:val="clear" w:color="auto" w:fill="D9E2F3" w:themeFill="accent1" w:themeFillTint="33"/>
            <w:noWrap/>
            <w:hideMark/>
          </w:tcPr>
          <w:p w14:paraId="3420166B" w14:textId="77777777" w:rsidR="002001F7" w:rsidRPr="00B763D5" w:rsidRDefault="002001F7" w:rsidP="00BB219D">
            <w:pPr>
              <w:jc w:val="center"/>
              <w:rPr>
                <w:rFonts w:ascii="Cambria" w:eastAsia="Times New Roman" w:hAnsi="Cambria" w:cs="Arial"/>
                <w:b/>
                <w:bCs/>
                <w:color w:val="000000"/>
                <w:sz w:val="20"/>
                <w:szCs w:val="20"/>
                <w:lang w:val="es-CO" w:eastAsia="es-CO"/>
              </w:rPr>
            </w:pPr>
            <w:r w:rsidRPr="00B763D5">
              <w:rPr>
                <w:rFonts w:ascii="Cambria" w:eastAsia="Times New Roman" w:hAnsi="Cambria" w:cs="Arial"/>
                <w:b/>
                <w:bCs/>
                <w:sz w:val="20"/>
                <w:szCs w:val="20"/>
              </w:rPr>
              <w:t>5</w:t>
            </w:r>
          </w:p>
        </w:tc>
        <w:tc>
          <w:tcPr>
            <w:tcW w:w="850" w:type="dxa"/>
            <w:tcBorders>
              <w:top w:val="nil"/>
              <w:left w:val="nil"/>
              <w:bottom w:val="single" w:sz="8" w:space="0" w:color="95B3D7"/>
              <w:right w:val="single" w:sz="8" w:space="0" w:color="95B3D7"/>
            </w:tcBorders>
            <w:shd w:val="clear" w:color="auto" w:fill="D9E2F3" w:themeFill="accent1" w:themeFillTint="33"/>
            <w:noWrap/>
            <w:hideMark/>
          </w:tcPr>
          <w:p w14:paraId="4E08DFBC" w14:textId="77777777" w:rsidR="002001F7" w:rsidRPr="00B763D5" w:rsidRDefault="002001F7" w:rsidP="00BB219D">
            <w:pPr>
              <w:jc w:val="center"/>
              <w:rPr>
                <w:rFonts w:ascii="Cambria" w:eastAsia="Times New Roman" w:hAnsi="Cambria" w:cs="Arial"/>
                <w:b/>
                <w:bCs/>
                <w:color w:val="000000"/>
                <w:sz w:val="20"/>
                <w:szCs w:val="20"/>
                <w:lang w:val="es-CO" w:eastAsia="es-CO"/>
              </w:rPr>
            </w:pPr>
            <w:r w:rsidRPr="00B763D5">
              <w:rPr>
                <w:rFonts w:ascii="Cambria" w:eastAsia="Times New Roman" w:hAnsi="Cambria" w:cs="Arial"/>
                <w:b/>
                <w:bCs/>
                <w:sz w:val="20"/>
                <w:szCs w:val="20"/>
              </w:rPr>
              <w:t>147</w:t>
            </w:r>
          </w:p>
        </w:tc>
      </w:tr>
    </w:tbl>
    <w:p w14:paraId="095D2EE4" w14:textId="77777777" w:rsidR="007403CF" w:rsidRDefault="007403CF" w:rsidP="002001F7">
      <w:pPr>
        <w:pStyle w:val="paragraphs"/>
        <w:numPr>
          <w:ilvl w:val="0"/>
          <w:numId w:val="0"/>
        </w:numPr>
        <w:ind w:left="1080"/>
        <w:rPr>
          <w:i/>
        </w:rPr>
      </w:pPr>
    </w:p>
    <w:p w14:paraId="44E9F932" w14:textId="61335553" w:rsidR="002001F7" w:rsidRPr="00B763D5" w:rsidRDefault="002001F7" w:rsidP="002001F7">
      <w:pPr>
        <w:pStyle w:val="paragraphs"/>
        <w:numPr>
          <w:ilvl w:val="0"/>
          <w:numId w:val="0"/>
        </w:numPr>
        <w:ind w:left="1080"/>
        <w:rPr>
          <w:i/>
        </w:rPr>
      </w:pPr>
      <w:r w:rsidRPr="00B763D5">
        <w:rPr>
          <w:i/>
        </w:rPr>
        <w:t>*Al 31 de diciembre de 2020, la Secretaria Ejecutiva Adjunta de Monitoreo, Promoción y Cooperación Técnica se encuentra ejerciendo las funciones de Secretaria Ejecutiva Interina.</w:t>
      </w:r>
    </w:p>
    <w:p w14:paraId="5F09BC84" w14:textId="77777777" w:rsidR="002001F7" w:rsidRPr="00B763D5" w:rsidRDefault="002001F7" w:rsidP="002001F7">
      <w:pPr>
        <w:pStyle w:val="paragraphs"/>
        <w:ind w:left="0" w:firstLine="720"/>
      </w:pPr>
      <w:r w:rsidRPr="00B763D5">
        <w:lastRenderedPageBreak/>
        <w:t xml:space="preserve">En términos de representación geográfica y diversidad, los/as 140 funcionarios/as mencionados en el párrafo 1 (funcionarios/as, consultores/as y profesionales asociados) provienen de 24 Estados diferentes, 61% de los funcionarios/as son mujeres y 39% son hombres. La siguiente tabla muestra la distribución de personal por nacionalidad y tipo de vínculo. </w:t>
      </w:r>
    </w:p>
    <w:p w14:paraId="13920D7D" w14:textId="77777777" w:rsidR="002001F7" w:rsidRPr="00B763D5" w:rsidRDefault="002001F7" w:rsidP="002001F7">
      <w:pPr>
        <w:pStyle w:val="paragraphs"/>
        <w:numPr>
          <w:ilvl w:val="0"/>
          <w:numId w:val="0"/>
        </w:numPr>
        <w:ind w:left="360"/>
      </w:pPr>
    </w:p>
    <w:tbl>
      <w:tblPr>
        <w:tblW w:w="8931" w:type="dxa"/>
        <w:jc w:val="center"/>
        <w:tblCellMar>
          <w:left w:w="70" w:type="dxa"/>
          <w:right w:w="70" w:type="dxa"/>
        </w:tblCellMar>
        <w:tblLook w:val="04A0" w:firstRow="1" w:lastRow="0" w:firstColumn="1" w:lastColumn="0" w:noHBand="0" w:noVBand="1"/>
      </w:tblPr>
      <w:tblGrid>
        <w:gridCol w:w="974"/>
        <w:gridCol w:w="3261"/>
        <w:gridCol w:w="2460"/>
        <w:gridCol w:w="2236"/>
      </w:tblGrid>
      <w:tr w:rsidR="002001F7" w:rsidRPr="00B763D5" w14:paraId="6CB3EE79" w14:textId="77777777" w:rsidTr="006D53D8">
        <w:trPr>
          <w:trHeight w:val="548"/>
          <w:jc w:val="center"/>
        </w:trPr>
        <w:tc>
          <w:tcPr>
            <w:tcW w:w="974" w:type="dxa"/>
            <w:tcBorders>
              <w:top w:val="single" w:sz="8" w:space="0" w:color="4472C4"/>
              <w:left w:val="nil"/>
              <w:bottom w:val="single" w:sz="8" w:space="0" w:color="4472C4"/>
              <w:right w:val="nil"/>
            </w:tcBorders>
            <w:shd w:val="clear" w:color="auto" w:fill="4F81BD"/>
            <w:noWrap/>
            <w:vAlign w:val="center"/>
            <w:hideMark/>
          </w:tcPr>
          <w:p w14:paraId="651C3FB6" w14:textId="77777777" w:rsidR="002001F7" w:rsidRPr="00B763D5" w:rsidRDefault="002001F7" w:rsidP="00BB219D">
            <w:pPr>
              <w:jc w:val="center"/>
              <w:rPr>
                <w:rFonts w:ascii="Cambria" w:eastAsia="Times New Roman" w:hAnsi="Cambria" w:cs="Arial"/>
                <w:b/>
                <w:bCs/>
                <w:color w:val="FFFFFF"/>
                <w:sz w:val="20"/>
                <w:szCs w:val="20"/>
                <w:lang w:val="es-ES_tradnl" w:eastAsia="es-CO"/>
              </w:rPr>
            </w:pPr>
            <w:r w:rsidRPr="00B763D5">
              <w:rPr>
                <w:rFonts w:ascii="Cambria" w:eastAsia="Times New Roman" w:hAnsi="Cambria" w:cs="Arial"/>
                <w:b/>
                <w:bCs/>
                <w:color w:val="FFFFFF"/>
                <w:sz w:val="20"/>
                <w:szCs w:val="20"/>
                <w:lang w:val="es-ES_tradnl" w:eastAsia="es-CO"/>
              </w:rPr>
              <w:t>Tipo de vínculo</w:t>
            </w:r>
          </w:p>
        </w:tc>
        <w:tc>
          <w:tcPr>
            <w:tcW w:w="3261" w:type="dxa"/>
            <w:tcBorders>
              <w:top w:val="single" w:sz="8" w:space="0" w:color="4472C4"/>
              <w:left w:val="nil"/>
              <w:bottom w:val="single" w:sz="8" w:space="0" w:color="4472C4"/>
              <w:right w:val="nil"/>
            </w:tcBorders>
            <w:shd w:val="clear" w:color="auto" w:fill="4F81BD"/>
            <w:noWrap/>
            <w:vAlign w:val="center"/>
            <w:hideMark/>
          </w:tcPr>
          <w:p w14:paraId="07C51804" w14:textId="77777777" w:rsidR="002001F7" w:rsidRPr="00B763D5" w:rsidRDefault="002001F7" w:rsidP="00BB219D">
            <w:pPr>
              <w:ind w:left="92" w:hanging="20"/>
              <w:rPr>
                <w:rFonts w:ascii="Cambria" w:eastAsia="Times New Roman" w:hAnsi="Cambria" w:cs="Arial"/>
                <w:b/>
                <w:bCs/>
                <w:color w:val="FFFFFF"/>
                <w:sz w:val="20"/>
                <w:szCs w:val="20"/>
                <w:lang w:val="es-ES_tradnl" w:eastAsia="es-CO"/>
              </w:rPr>
            </w:pPr>
            <w:r w:rsidRPr="00B763D5">
              <w:rPr>
                <w:rFonts w:ascii="Cambria" w:eastAsia="Times New Roman" w:hAnsi="Cambria" w:cs="Arial"/>
                <w:b/>
                <w:bCs/>
                <w:color w:val="FFFFFF"/>
                <w:sz w:val="20"/>
                <w:szCs w:val="20"/>
                <w:lang w:val="es-ES_tradnl" w:eastAsia="es-CO"/>
              </w:rPr>
              <w:t>País</w:t>
            </w:r>
          </w:p>
        </w:tc>
        <w:tc>
          <w:tcPr>
            <w:tcW w:w="2460" w:type="dxa"/>
            <w:tcBorders>
              <w:top w:val="single" w:sz="8" w:space="0" w:color="4472C4"/>
              <w:left w:val="nil"/>
              <w:bottom w:val="single" w:sz="8" w:space="0" w:color="4472C4"/>
              <w:right w:val="nil"/>
            </w:tcBorders>
            <w:shd w:val="clear" w:color="auto" w:fill="4F81BD"/>
            <w:noWrap/>
            <w:vAlign w:val="center"/>
            <w:hideMark/>
          </w:tcPr>
          <w:p w14:paraId="2F36FE56" w14:textId="77777777" w:rsidR="002001F7" w:rsidRPr="00B763D5" w:rsidRDefault="002001F7" w:rsidP="00BB219D">
            <w:pPr>
              <w:jc w:val="center"/>
              <w:rPr>
                <w:rFonts w:ascii="Cambria" w:eastAsia="Times New Roman" w:hAnsi="Cambria" w:cs="Arial"/>
                <w:b/>
                <w:bCs/>
                <w:color w:val="FFFFFF"/>
                <w:sz w:val="20"/>
                <w:szCs w:val="20"/>
                <w:lang w:val="es-ES_tradnl" w:eastAsia="es-CO"/>
              </w:rPr>
            </w:pPr>
            <w:r w:rsidRPr="00B763D5">
              <w:rPr>
                <w:rFonts w:ascii="Cambria" w:eastAsia="Times New Roman" w:hAnsi="Cambria" w:cs="Arial"/>
                <w:b/>
                <w:bCs/>
                <w:color w:val="FFFFFF"/>
                <w:sz w:val="20"/>
                <w:szCs w:val="20"/>
                <w:lang w:val="es-ES_tradnl" w:eastAsia="es-CO"/>
              </w:rPr>
              <w:t xml:space="preserve">Nacionalidad al </w:t>
            </w:r>
          </w:p>
          <w:p w14:paraId="6BC7FB83" w14:textId="77777777" w:rsidR="002001F7" w:rsidRPr="00B763D5" w:rsidRDefault="002001F7" w:rsidP="00BB219D">
            <w:pPr>
              <w:jc w:val="center"/>
              <w:rPr>
                <w:rFonts w:ascii="Cambria" w:eastAsia="Times New Roman" w:hAnsi="Cambria" w:cs="Arial"/>
                <w:b/>
                <w:bCs/>
                <w:color w:val="FFFFFF"/>
                <w:sz w:val="20"/>
                <w:szCs w:val="20"/>
                <w:lang w:val="es-ES_tradnl" w:eastAsia="es-CO"/>
              </w:rPr>
            </w:pPr>
            <w:r w:rsidRPr="00B763D5">
              <w:rPr>
                <w:rFonts w:ascii="Cambria" w:eastAsia="Times New Roman" w:hAnsi="Cambria" w:cs="Arial"/>
                <w:b/>
                <w:bCs/>
                <w:color w:val="FFFFFF"/>
                <w:sz w:val="20"/>
                <w:szCs w:val="20"/>
                <w:lang w:val="es-ES_tradnl" w:eastAsia="es-CO"/>
              </w:rPr>
              <w:t>ingresar a la OEA</w:t>
            </w:r>
          </w:p>
        </w:tc>
        <w:tc>
          <w:tcPr>
            <w:tcW w:w="2236" w:type="dxa"/>
            <w:tcBorders>
              <w:top w:val="single" w:sz="8" w:space="0" w:color="4472C4"/>
              <w:left w:val="nil"/>
              <w:bottom w:val="single" w:sz="8" w:space="0" w:color="4472C4"/>
              <w:right w:val="nil"/>
            </w:tcBorders>
            <w:shd w:val="clear" w:color="auto" w:fill="4F81BD"/>
            <w:noWrap/>
            <w:vAlign w:val="center"/>
            <w:hideMark/>
          </w:tcPr>
          <w:p w14:paraId="7208BB5C" w14:textId="77777777" w:rsidR="002001F7" w:rsidRPr="00B763D5" w:rsidRDefault="002001F7" w:rsidP="00BB219D">
            <w:pPr>
              <w:jc w:val="center"/>
              <w:rPr>
                <w:rFonts w:ascii="Cambria" w:eastAsia="Times New Roman" w:hAnsi="Cambria" w:cs="Arial"/>
                <w:b/>
                <w:bCs/>
                <w:color w:val="FFFFFF"/>
                <w:sz w:val="20"/>
                <w:szCs w:val="20"/>
                <w:lang w:val="es-ES_tradnl" w:eastAsia="es-CO"/>
              </w:rPr>
            </w:pPr>
            <w:r w:rsidRPr="00B763D5">
              <w:rPr>
                <w:rFonts w:ascii="Cambria" w:eastAsia="Times New Roman" w:hAnsi="Cambria" w:cs="Arial"/>
                <w:b/>
                <w:bCs/>
                <w:color w:val="FFFFFF"/>
                <w:sz w:val="20"/>
                <w:szCs w:val="20"/>
                <w:lang w:val="es-ES_tradnl" w:eastAsia="es-CO"/>
              </w:rPr>
              <w:t xml:space="preserve">Nacionalidad </w:t>
            </w:r>
          </w:p>
          <w:p w14:paraId="5408B27B" w14:textId="77777777" w:rsidR="002001F7" w:rsidRPr="00B763D5" w:rsidRDefault="002001F7" w:rsidP="00BB219D">
            <w:pPr>
              <w:jc w:val="center"/>
              <w:rPr>
                <w:rFonts w:ascii="Cambria" w:eastAsia="Times New Roman" w:hAnsi="Cambria" w:cs="Arial"/>
                <w:b/>
                <w:bCs/>
                <w:color w:val="FFFFFF"/>
                <w:sz w:val="20"/>
                <w:szCs w:val="20"/>
                <w:lang w:val="es-ES_tradnl" w:eastAsia="es-CO"/>
              </w:rPr>
            </w:pPr>
            <w:r w:rsidRPr="00B763D5">
              <w:rPr>
                <w:rFonts w:ascii="Cambria" w:eastAsia="Times New Roman" w:hAnsi="Cambria" w:cs="Arial"/>
                <w:b/>
                <w:bCs/>
                <w:color w:val="FFFFFF"/>
                <w:sz w:val="20"/>
                <w:szCs w:val="20"/>
                <w:lang w:val="es-ES_tradnl" w:eastAsia="es-CO"/>
              </w:rPr>
              <w:t>Actual</w:t>
            </w:r>
          </w:p>
        </w:tc>
      </w:tr>
      <w:tr w:rsidR="002001F7" w:rsidRPr="00B763D5" w14:paraId="3D8FC61D" w14:textId="77777777" w:rsidTr="006D53D8">
        <w:trPr>
          <w:trHeight w:val="306"/>
          <w:jc w:val="center"/>
        </w:trPr>
        <w:tc>
          <w:tcPr>
            <w:tcW w:w="974" w:type="dxa"/>
            <w:tcBorders>
              <w:top w:val="nil"/>
              <w:left w:val="nil"/>
              <w:bottom w:val="nil"/>
              <w:right w:val="nil"/>
            </w:tcBorders>
            <w:shd w:val="clear" w:color="auto" w:fill="auto"/>
            <w:noWrap/>
            <w:vAlign w:val="center"/>
          </w:tcPr>
          <w:p w14:paraId="4DD09756"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Staff</w:t>
            </w:r>
          </w:p>
        </w:tc>
        <w:tc>
          <w:tcPr>
            <w:tcW w:w="3261" w:type="dxa"/>
            <w:tcBorders>
              <w:top w:val="nil"/>
              <w:left w:val="nil"/>
              <w:bottom w:val="nil"/>
              <w:right w:val="nil"/>
            </w:tcBorders>
            <w:shd w:val="clear" w:color="auto" w:fill="auto"/>
            <w:noWrap/>
            <w:vAlign w:val="center"/>
          </w:tcPr>
          <w:p w14:paraId="564A8FFD"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Antigua and Barbuda</w:t>
            </w:r>
          </w:p>
        </w:tc>
        <w:tc>
          <w:tcPr>
            <w:tcW w:w="2460" w:type="dxa"/>
            <w:tcBorders>
              <w:top w:val="nil"/>
              <w:left w:val="nil"/>
              <w:bottom w:val="nil"/>
              <w:right w:val="nil"/>
            </w:tcBorders>
            <w:shd w:val="clear" w:color="auto" w:fill="auto"/>
            <w:noWrap/>
            <w:vAlign w:val="bottom"/>
          </w:tcPr>
          <w:p w14:paraId="0582BD46"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auto" w:fill="auto"/>
            <w:noWrap/>
            <w:vAlign w:val="bottom"/>
          </w:tcPr>
          <w:p w14:paraId="03A3CA2D"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46622F77" w14:textId="77777777" w:rsidTr="006D53D8">
        <w:trPr>
          <w:trHeight w:val="306"/>
          <w:jc w:val="center"/>
        </w:trPr>
        <w:tc>
          <w:tcPr>
            <w:tcW w:w="974" w:type="dxa"/>
            <w:tcBorders>
              <w:top w:val="nil"/>
              <w:left w:val="nil"/>
              <w:bottom w:val="nil"/>
              <w:right w:val="nil"/>
            </w:tcBorders>
            <w:shd w:val="clear" w:color="000000" w:fill="D0DBF0"/>
            <w:noWrap/>
            <w:vAlign w:val="center"/>
            <w:hideMark/>
          </w:tcPr>
          <w:p w14:paraId="4FB00EFD" w14:textId="77777777" w:rsidR="002001F7" w:rsidRPr="00B763D5" w:rsidRDefault="002001F7" w:rsidP="00BB219D">
            <w:pPr>
              <w:rPr>
                <w:rFonts w:ascii="Cambria" w:eastAsia="Times New Roman" w:hAnsi="Cambria" w:cs="Arial"/>
                <w:b/>
                <w:bCs/>
                <w:sz w:val="20"/>
                <w:szCs w:val="20"/>
                <w:lang w:val="es-ES_tradnl" w:eastAsia="es-CO"/>
              </w:rPr>
            </w:pPr>
          </w:p>
        </w:tc>
        <w:tc>
          <w:tcPr>
            <w:tcW w:w="3261" w:type="dxa"/>
            <w:tcBorders>
              <w:top w:val="nil"/>
              <w:left w:val="nil"/>
              <w:bottom w:val="nil"/>
              <w:right w:val="nil"/>
            </w:tcBorders>
            <w:shd w:val="clear" w:color="000000" w:fill="D0DBF0"/>
            <w:noWrap/>
            <w:vAlign w:val="center"/>
            <w:hideMark/>
          </w:tcPr>
          <w:p w14:paraId="303BF28D"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Argentina</w:t>
            </w:r>
          </w:p>
        </w:tc>
        <w:tc>
          <w:tcPr>
            <w:tcW w:w="2460" w:type="dxa"/>
            <w:tcBorders>
              <w:top w:val="nil"/>
              <w:left w:val="nil"/>
              <w:bottom w:val="nil"/>
              <w:right w:val="nil"/>
            </w:tcBorders>
            <w:shd w:val="clear" w:color="000000" w:fill="D0DBF0"/>
            <w:noWrap/>
            <w:vAlign w:val="bottom"/>
            <w:hideMark/>
          </w:tcPr>
          <w:p w14:paraId="06D4E19E"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3</w:t>
            </w:r>
          </w:p>
        </w:tc>
        <w:tc>
          <w:tcPr>
            <w:tcW w:w="2236" w:type="dxa"/>
            <w:tcBorders>
              <w:top w:val="nil"/>
              <w:left w:val="nil"/>
              <w:bottom w:val="nil"/>
              <w:right w:val="nil"/>
            </w:tcBorders>
            <w:shd w:val="clear" w:color="000000" w:fill="D0DBF0"/>
            <w:noWrap/>
            <w:vAlign w:val="bottom"/>
            <w:hideMark/>
          </w:tcPr>
          <w:p w14:paraId="2FE02E6F"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r>
      <w:tr w:rsidR="002001F7" w:rsidRPr="00B763D5" w14:paraId="3745D542" w14:textId="77777777" w:rsidTr="006D53D8">
        <w:trPr>
          <w:trHeight w:val="247"/>
          <w:jc w:val="center"/>
        </w:trPr>
        <w:tc>
          <w:tcPr>
            <w:tcW w:w="974" w:type="dxa"/>
            <w:tcBorders>
              <w:top w:val="nil"/>
              <w:left w:val="nil"/>
              <w:bottom w:val="nil"/>
              <w:right w:val="nil"/>
            </w:tcBorders>
            <w:shd w:val="clear" w:color="auto" w:fill="auto"/>
            <w:noWrap/>
            <w:vAlign w:val="center"/>
            <w:hideMark/>
          </w:tcPr>
          <w:p w14:paraId="3FC3CB96"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55660DC9"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Barbados</w:t>
            </w:r>
          </w:p>
        </w:tc>
        <w:tc>
          <w:tcPr>
            <w:tcW w:w="2460" w:type="dxa"/>
            <w:tcBorders>
              <w:top w:val="nil"/>
              <w:left w:val="nil"/>
              <w:bottom w:val="nil"/>
              <w:right w:val="nil"/>
            </w:tcBorders>
            <w:shd w:val="clear" w:color="auto" w:fill="auto"/>
            <w:noWrap/>
            <w:vAlign w:val="bottom"/>
            <w:hideMark/>
          </w:tcPr>
          <w:p w14:paraId="472BBF1F"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auto" w:fill="auto"/>
            <w:noWrap/>
            <w:vAlign w:val="bottom"/>
            <w:hideMark/>
          </w:tcPr>
          <w:p w14:paraId="744FDFB3"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4980E695"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0D1308F1"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2E4AAF5D"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Bolivia</w:t>
            </w:r>
          </w:p>
        </w:tc>
        <w:tc>
          <w:tcPr>
            <w:tcW w:w="2460" w:type="dxa"/>
            <w:tcBorders>
              <w:top w:val="nil"/>
              <w:left w:val="nil"/>
              <w:bottom w:val="nil"/>
              <w:right w:val="nil"/>
            </w:tcBorders>
            <w:shd w:val="clear" w:color="000000" w:fill="D0DBF0"/>
            <w:noWrap/>
            <w:vAlign w:val="bottom"/>
            <w:hideMark/>
          </w:tcPr>
          <w:p w14:paraId="023643E7"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000000" w:fill="D0DBF0"/>
            <w:noWrap/>
            <w:vAlign w:val="bottom"/>
            <w:hideMark/>
          </w:tcPr>
          <w:p w14:paraId="76D7A27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0</w:t>
            </w:r>
          </w:p>
        </w:tc>
      </w:tr>
      <w:tr w:rsidR="002001F7" w:rsidRPr="00B763D5" w14:paraId="6FA88430"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711ABED0"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2A1725DA"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Brazil</w:t>
            </w:r>
            <w:proofErr w:type="spellEnd"/>
            <w:r w:rsidRPr="00B763D5">
              <w:rPr>
                <w:rFonts w:ascii="Cambria" w:eastAsia="Times New Roman" w:hAnsi="Cambria" w:cs="Arial"/>
                <w:sz w:val="20"/>
                <w:szCs w:val="20"/>
                <w:lang w:val="es-ES_tradnl" w:eastAsia="es-CO"/>
              </w:rPr>
              <w:t>/Brasil</w:t>
            </w:r>
          </w:p>
        </w:tc>
        <w:tc>
          <w:tcPr>
            <w:tcW w:w="2460" w:type="dxa"/>
            <w:tcBorders>
              <w:top w:val="nil"/>
              <w:left w:val="nil"/>
              <w:bottom w:val="nil"/>
              <w:right w:val="nil"/>
            </w:tcBorders>
            <w:shd w:val="clear" w:color="auto" w:fill="auto"/>
            <w:noWrap/>
            <w:vAlign w:val="bottom"/>
            <w:hideMark/>
          </w:tcPr>
          <w:p w14:paraId="5513F270"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7</w:t>
            </w:r>
          </w:p>
        </w:tc>
        <w:tc>
          <w:tcPr>
            <w:tcW w:w="2236" w:type="dxa"/>
            <w:tcBorders>
              <w:top w:val="nil"/>
              <w:left w:val="nil"/>
              <w:bottom w:val="nil"/>
              <w:right w:val="nil"/>
            </w:tcBorders>
            <w:shd w:val="clear" w:color="auto" w:fill="auto"/>
            <w:noWrap/>
            <w:vAlign w:val="bottom"/>
            <w:hideMark/>
          </w:tcPr>
          <w:p w14:paraId="79488F25"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6</w:t>
            </w:r>
          </w:p>
        </w:tc>
      </w:tr>
      <w:tr w:rsidR="002001F7" w:rsidRPr="00B763D5" w14:paraId="69FCDE68"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2EE4081F"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7D184947"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Chile</w:t>
            </w:r>
          </w:p>
        </w:tc>
        <w:tc>
          <w:tcPr>
            <w:tcW w:w="2460" w:type="dxa"/>
            <w:tcBorders>
              <w:top w:val="nil"/>
              <w:left w:val="nil"/>
              <w:bottom w:val="nil"/>
              <w:right w:val="nil"/>
            </w:tcBorders>
            <w:shd w:val="clear" w:color="000000" w:fill="D0DBF0"/>
            <w:noWrap/>
            <w:vAlign w:val="bottom"/>
            <w:hideMark/>
          </w:tcPr>
          <w:p w14:paraId="27C01597"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c>
          <w:tcPr>
            <w:tcW w:w="2236" w:type="dxa"/>
            <w:tcBorders>
              <w:top w:val="nil"/>
              <w:left w:val="nil"/>
              <w:bottom w:val="nil"/>
              <w:right w:val="nil"/>
            </w:tcBorders>
            <w:shd w:val="clear" w:color="000000" w:fill="D0DBF0"/>
            <w:noWrap/>
            <w:vAlign w:val="bottom"/>
            <w:hideMark/>
          </w:tcPr>
          <w:p w14:paraId="0F0911CF"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r>
      <w:tr w:rsidR="002001F7" w:rsidRPr="00B763D5" w14:paraId="4EFE483D"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24ED1C11"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375A7B50"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Colombia</w:t>
            </w:r>
          </w:p>
        </w:tc>
        <w:tc>
          <w:tcPr>
            <w:tcW w:w="2460" w:type="dxa"/>
            <w:tcBorders>
              <w:top w:val="nil"/>
              <w:left w:val="nil"/>
              <w:bottom w:val="nil"/>
              <w:right w:val="nil"/>
            </w:tcBorders>
            <w:shd w:val="clear" w:color="auto" w:fill="auto"/>
            <w:noWrap/>
            <w:vAlign w:val="bottom"/>
            <w:hideMark/>
          </w:tcPr>
          <w:p w14:paraId="25397C50"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7</w:t>
            </w:r>
          </w:p>
        </w:tc>
        <w:tc>
          <w:tcPr>
            <w:tcW w:w="2236" w:type="dxa"/>
            <w:tcBorders>
              <w:top w:val="nil"/>
              <w:left w:val="nil"/>
              <w:bottom w:val="nil"/>
              <w:right w:val="nil"/>
            </w:tcBorders>
            <w:shd w:val="clear" w:color="auto" w:fill="auto"/>
            <w:noWrap/>
            <w:vAlign w:val="bottom"/>
            <w:hideMark/>
          </w:tcPr>
          <w:p w14:paraId="2962D125"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5</w:t>
            </w:r>
          </w:p>
        </w:tc>
      </w:tr>
      <w:tr w:rsidR="002001F7" w:rsidRPr="00B763D5" w14:paraId="12A3FC33"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0C263729"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311EE20F"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Guatemala</w:t>
            </w:r>
          </w:p>
        </w:tc>
        <w:tc>
          <w:tcPr>
            <w:tcW w:w="2460" w:type="dxa"/>
            <w:tcBorders>
              <w:top w:val="nil"/>
              <w:left w:val="nil"/>
              <w:bottom w:val="nil"/>
              <w:right w:val="nil"/>
            </w:tcBorders>
            <w:shd w:val="clear" w:color="000000" w:fill="D0DBF0"/>
            <w:noWrap/>
            <w:vAlign w:val="bottom"/>
            <w:hideMark/>
          </w:tcPr>
          <w:p w14:paraId="08D31BD7"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000000" w:fill="D0DBF0"/>
            <w:noWrap/>
            <w:vAlign w:val="bottom"/>
            <w:hideMark/>
          </w:tcPr>
          <w:p w14:paraId="25DFB80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78ECCB8B"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380EFC95"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31FCA19E"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Mexico</w:t>
            </w:r>
            <w:proofErr w:type="spellEnd"/>
            <w:r w:rsidRPr="00B763D5">
              <w:rPr>
                <w:rFonts w:ascii="Cambria" w:eastAsia="Times New Roman" w:hAnsi="Cambria" w:cs="Arial"/>
                <w:sz w:val="20"/>
                <w:szCs w:val="20"/>
                <w:lang w:val="es-ES_tradnl" w:eastAsia="es-CO"/>
              </w:rPr>
              <w:t>/México</w:t>
            </w:r>
          </w:p>
        </w:tc>
        <w:tc>
          <w:tcPr>
            <w:tcW w:w="2460" w:type="dxa"/>
            <w:tcBorders>
              <w:top w:val="nil"/>
              <w:left w:val="nil"/>
              <w:bottom w:val="nil"/>
              <w:right w:val="nil"/>
            </w:tcBorders>
            <w:shd w:val="clear" w:color="auto" w:fill="auto"/>
            <w:noWrap/>
            <w:vAlign w:val="bottom"/>
            <w:hideMark/>
          </w:tcPr>
          <w:p w14:paraId="43D0FACC"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3</w:t>
            </w:r>
          </w:p>
        </w:tc>
        <w:tc>
          <w:tcPr>
            <w:tcW w:w="2236" w:type="dxa"/>
            <w:tcBorders>
              <w:top w:val="nil"/>
              <w:left w:val="nil"/>
              <w:bottom w:val="nil"/>
              <w:right w:val="nil"/>
            </w:tcBorders>
            <w:shd w:val="clear" w:color="auto" w:fill="auto"/>
            <w:noWrap/>
            <w:vAlign w:val="bottom"/>
            <w:hideMark/>
          </w:tcPr>
          <w:p w14:paraId="43323A21"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3</w:t>
            </w:r>
          </w:p>
        </w:tc>
      </w:tr>
      <w:tr w:rsidR="002001F7" w:rsidRPr="00B763D5" w14:paraId="62C5DD81"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2F497F3F"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31A34F28"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Panama</w:t>
            </w:r>
            <w:proofErr w:type="spellEnd"/>
            <w:r w:rsidRPr="00B763D5">
              <w:rPr>
                <w:rFonts w:ascii="Cambria" w:eastAsia="Times New Roman" w:hAnsi="Cambria" w:cs="Arial"/>
                <w:sz w:val="20"/>
                <w:szCs w:val="20"/>
                <w:lang w:val="es-ES_tradnl" w:eastAsia="es-CO"/>
              </w:rPr>
              <w:t>/Panamá</w:t>
            </w:r>
          </w:p>
        </w:tc>
        <w:tc>
          <w:tcPr>
            <w:tcW w:w="2460" w:type="dxa"/>
            <w:tcBorders>
              <w:top w:val="nil"/>
              <w:left w:val="nil"/>
              <w:bottom w:val="nil"/>
              <w:right w:val="nil"/>
            </w:tcBorders>
            <w:shd w:val="clear" w:color="000000" w:fill="D0DBF0"/>
            <w:noWrap/>
            <w:vAlign w:val="bottom"/>
            <w:hideMark/>
          </w:tcPr>
          <w:p w14:paraId="61207F01"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000000" w:fill="D0DBF0"/>
            <w:noWrap/>
            <w:vAlign w:val="bottom"/>
            <w:hideMark/>
          </w:tcPr>
          <w:p w14:paraId="36B54286"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620378E3"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5BCF7AFF"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41AE805F"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Paraguay</w:t>
            </w:r>
          </w:p>
        </w:tc>
        <w:tc>
          <w:tcPr>
            <w:tcW w:w="2460" w:type="dxa"/>
            <w:tcBorders>
              <w:top w:val="nil"/>
              <w:left w:val="nil"/>
              <w:bottom w:val="nil"/>
              <w:right w:val="nil"/>
            </w:tcBorders>
            <w:shd w:val="clear" w:color="auto" w:fill="auto"/>
            <w:noWrap/>
            <w:vAlign w:val="bottom"/>
            <w:hideMark/>
          </w:tcPr>
          <w:p w14:paraId="5E7FA064"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c>
          <w:tcPr>
            <w:tcW w:w="2236" w:type="dxa"/>
            <w:tcBorders>
              <w:top w:val="nil"/>
              <w:left w:val="nil"/>
              <w:bottom w:val="nil"/>
              <w:right w:val="nil"/>
            </w:tcBorders>
            <w:shd w:val="clear" w:color="auto" w:fill="auto"/>
            <w:noWrap/>
            <w:vAlign w:val="bottom"/>
            <w:hideMark/>
          </w:tcPr>
          <w:p w14:paraId="6138FB0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r>
      <w:tr w:rsidR="002001F7" w:rsidRPr="00B763D5" w14:paraId="5B01CC8F"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3A417688"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7C6CFF9E"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Peru</w:t>
            </w:r>
            <w:proofErr w:type="spellEnd"/>
            <w:r w:rsidRPr="00B763D5">
              <w:rPr>
                <w:rFonts w:ascii="Cambria" w:eastAsia="Times New Roman" w:hAnsi="Cambria" w:cs="Arial"/>
                <w:sz w:val="20"/>
                <w:szCs w:val="20"/>
                <w:lang w:val="es-ES_tradnl" w:eastAsia="es-CO"/>
              </w:rPr>
              <w:t>/Perú</w:t>
            </w:r>
          </w:p>
        </w:tc>
        <w:tc>
          <w:tcPr>
            <w:tcW w:w="2460" w:type="dxa"/>
            <w:tcBorders>
              <w:top w:val="nil"/>
              <w:left w:val="nil"/>
              <w:bottom w:val="nil"/>
              <w:right w:val="nil"/>
            </w:tcBorders>
            <w:shd w:val="clear" w:color="000000" w:fill="D0DBF0"/>
            <w:noWrap/>
            <w:vAlign w:val="bottom"/>
            <w:hideMark/>
          </w:tcPr>
          <w:p w14:paraId="7C9743C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7</w:t>
            </w:r>
          </w:p>
        </w:tc>
        <w:tc>
          <w:tcPr>
            <w:tcW w:w="2236" w:type="dxa"/>
            <w:tcBorders>
              <w:top w:val="nil"/>
              <w:left w:val="nil"/>
              <w:bottom w:val="nil"/>
              <w:right w:val="nil"/>
            </w:tcBorders>
            <w:shd w:val="clear" w:color="000000" w:fill="D0DBF0"/>
            <w:noWrap/>
            <w:vAlign w:val="bottom"/>
            <w:hideMark/>
          </w:tcPr>
          <w:p w14:paraId="52106BBB"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3</w:t>
            </w:r>
          </w:p>
        </w:tc>
      </w:tr>
      <w:tr w:rsidR="002001F7" w:rsidRPr="00B763D5" w14:paraId="4E6D7AFC"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6F116BCE"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0A61A038"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Uruguay</w:t>
            </w:r>
          </w:p>
        </w:tc>
        <w:tc>
          <w:tcPr>
            <w:tcW w:w="2460" w:type="dxa"/>
            <w:tcBorders>
              <w:top w:val="nil"/>
              <w:left w:val="nil"/>
              <w:bottom w:val="nil"/>
              <w:right w:val="nil"/>
            </w:tcBorders>
            <w:shd w:val="clear" w:color="auto" w:fill="auto"/>
            <w:noWrap/>
            <w:vAlign w:val="bottom"/>
            <w:hideMark/>
          </w:tcPr>
          <w:p w14:paraId="5E4C4ADA"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4</w:t>
            </w:r>
          </w:p>
        </w:tc>
        <w:tc>
          <w:tcPr>
            <w:tcW w:w="2236" w:type="dxa"/>
            <w:tcBorders>
              <w:top w:val="nil"/>
              <w:left w:val="nil"/>
              <w:bottom w:val="nil"/>
              <w:right w:val="nil"/>
            </w:tcBorders>
            <w:shd w:val="clear" w:color="auto" w:fill="auto"/>
            <w:noWrap/>
            <w:vAlign w:val="bottom"/>
            <w:hideMark/>
          </w:tcPr>
          <w:p w14:paraId="2FE0641D"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3</w:t>
            </w:r>
          </w:p>
        </w:tc>
      </w:tr>
      <w:tr w:rsidR="002001F7" w:rsidRPr="00B763D5" w14:paraId="1FF8221A"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5913F634" w14:textId="77777777" w:rsidR="002001F7" w:rsidRPr="00B763D5" w:rsidRDefault="002001F7" w:rsidP="00BB219D">
            <w:pPr>
              <w:jc w:val="center"/>
              <w:rPr>
                <w:rFonts w:ascii="Cambria" w:eastAsia="Times New Roman" w:hAnsi="Cambria" w:cs="Arial"/>
                <w:b/>
                <w:bCs/>
                <w:sz w:val="20"/>
                <w:szCs w:val="20"/>
                <w:lang w:val="es-ES_tradnl" w:eastAsia="es-CO"/>
              </w:rPr>
            </w:pPr>
          </w:p>
        </w:tc>
        <w:tc>
          <w:tcPr>
            <w:tcW w:w="3261" w:type="dxa"/>
            <w:tcBorders>
              <w:top w:val="nil"/>
              <w:left w:val="nil"/>
              <w:bottom w:val="nil"/>
              <w:right w:val="nil"/>
            </w:tcBorders>
            <w:shd w:val="clear" w:color="000000" w:fill="D0DBF0"/>
            <w:noWrap/>
            <w:vAlign w:val="center"/>
            <w:hideMark/>
          </w:tcPr>
          <w:p w14:paraId="6DD90EDE"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United</w:t>
            </w:r>
            <w:proofErr w:type="spellEnd"/>
            <w:r w:rsidRPr="00B763D5">
              <w:rPr>
                <w:rFonts w:ascii="Cambria" w:eastAsia="Times New Roman" w:hAnsi="Cambria" w:cs="Arial"/>
                <w:sz w:val="20"/>
                <w:szCs w:val="20"/>
                <w:lang w:val="es-ES_tradnl" w:eastAsia="es-CO"/>
              </w:rPr>
              <w:t xml:space="preserve"> </w:t>
            </w:r>
            <w:proofErr w:type="spellStart"/>
            <w:r w:rsidRPr="00B763D5">
              <w:rPr>
                <w:rFonts w:ascii="Cambria" w:eastAsia="Times New Roman" w:hAnsi="Cambria" w:cs="Arial"/>
                <w:sz w:val="20"/>
                <w:szCs w:val="20"/>
                <w:lang w:val="es-ES_tradnl" w:eastAsia="es-CO"/>
              </w:rPr>
              <w:t>States</w:t>
            </w:r>
            <w:proofErr w:type="spellEnd"/>
            <w:r w:rsidRPr="00B763D5">
              <w:rPr>
                <w:rFonts w:ascii="Cambria" w:eastAsia="Times New Roman" w:hAnsi="Cambria" w:cs="Arial"/>
                <w:sz w:val="20"/>
                <w:szCs w:val="20"/>
                <w:lang w:val="es-ES_tradnl" w:eastAsia="es-CO"/>
              </w:rPr>
              <w:t xml:space="preserve"> / Estados Unidos</w:t>
            </w:r>
          </w:p>
        </w:tc>
        <w:tc>
          <w:tcPr>
            <w:tcW w:w="2460" w:type="dxa"/>
            <w:tcBorders>
              <w:top w:val="nil"/>
              <w:left w:val="nil"/>
              <w:bottom w:val="nil"/>
              <w:right w:val="nil"/>
            </w:tcBorders>
            <w:shd w:val="clear" w:color="000000" w:fill="D0DBF0"/>
            <w:noWrap/>
            <w:vAlign w:val="bottom"/>
            <w:hideMark/>
          </w:tcPr>
          <w:p w14:paraId="3B1C3CA8"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11</w:t>
            </w:r>
          </w:p>
        </w:tc>
        <w:tc>
          <w:tcPr>
            <w:tcW w:w="2236" w:type="dxa"/>
            <w:tcBorders>
              <w:top w:val="nil"/>
              <w:left w:val="nil"/>
              <w:bottom w:val="nil"/>
              <w:right w:val="nil"/>
            </w:tcBorders>
            <w:shd w:val="clear" w:color="000000" w:fill="D0DBF0"/>
            <w:noWrap/>
            <w:vAlign w:val="bottom"/>
            <w:hideMark/>
          </w:tcPr>
          <w:p w14:paraId="454FC2FC"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22</w:t>
            </w:r>
          </w:p>
        </w:tc>
      </w:tr>
      <w:tr w:rsidR="002001F7" w:rsidRPr="00B763D5" w14:paraId="209FAF48"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0D411026"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141526F9"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Venezuela</w:t>
            </w:r>
          </w:p>
        </w:tc>
        <w:tc>
          <w:tcPr>
            <w:tcW w:w="2460" w:type="dxa"/>
            <w:tcBorders>
              <w:top w:val="nil"/>
              <w:left w:val="nil"/>
              <w:bottom w:val="nil"/>
              <w:right w:val="nil"/>
            </w:tcBorders>
            <w:shd w:val="clear" w:color="auto" w:fill="auto"/>
            <w:noWrap/>
            <w:vAlign w:val="bottom"/>
            <w:hideMark/>
          </w:tcPr>
          <w:p w14:paraId="0A84D588"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c>
          <w:tcPr>
            <w:tcW w:w="2236" w:type="dxa"/>
            <w:tcBorders>
              <w:top w:val="nil"/>
              <w:left w:val="nil"/>
              <w:bottom w:val="nil"/>
              <w:right w:val="nil"/>
            </w:tcBorders>
            <w:shd w:val="clear" w:color="auto" w:fill="auto"/>
            <w:noWrap/>
            <w:vAlign w:val="bottom"/>
            <w:hideMark/>
          </w:tcPr>
          <w:p w14:paraId="2500894A"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050EAA54" w14:textId="77777777" w:rsidTr="006D53D8">
        <w:trPr>
          <w:trHeight w:val="255"/>
          <w:jc w:val="center"/>
        </w:trPr>
        <w:tc>
          <w:tcPr>
            <w:tcW w:w="974" w:type="dxa"/>
            <w:tcBorders>
              <w:top w:val="nil"/>
              <w:left w:val="nil"/>
              <w:bottom w:val="nil"/>
              <w:right w:val="nil"/>
            </w:tcBorders>
            <w:shd w:val="clear" w:color="000000" w:fill="8EAADB"/>
            <w:noWrap/>
            <w:vAlign w:val="center"/>
            <w:hideMark/>
          </w:tcPr>
          <w:p w14:paraId="29141701"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Staff Total</w:t>
            </w:r>
          </w:p>
        </w:tc>
        <w:tc>
          <w:tcPr>
            <w:tcW w:w="3261" w:type="dxa"/>
            <w:tcBorders>
              <w:top w:val="nil"/>
              <w:left w:val="nil"/>
              <w:bottom w:val="nil"/>
              <w:right w:val="nil"/>
            </w:tcBorders>
            <w:shd w:val="clear" w:color="000000" w:fill="8EAADB"/>
            <w:noWrap/>
            <w:vAlign w:val="center"/>
            <w:hideMark/>
          </w:tcPr>
          <w:p w14:paraId="02C33D89" w14:textId="77777777" w:rsidR="002001F7" w:rsidRPr="00B763D5" w:rsidRDefault="002001F7" w:rsidP="00BB219D">
            <w:pPr>
              <w:ind w:left="92" w:hanging="20"/>
              <w:jc w:val="right"/>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2460" w:type="dxa"/>
            <w:tcBorders>
              <w:top w:val="nil"/>
              <w:left w:val="nil"/>
              <w:bottom w:val="nil"/>
              <w:right w:val="nil"/>
            </w:tcBorders>
            <w:shd w:val="clear" w:color="000000" w:fill="8EAADB"/>
            <w:noWrap/>
            <w:vAlign w:val="center"/>
            <w:hideMark/>
          </w:tcPr>
          <w:p w14:paraId="171C5EC7" w14:textId="77777777" w:rsidR="002001F7" w:rsidRPr="00B763D5" w:rsidRDefault="002001F7" w:rsidP="00BB219D">
            <w:pPr>
              <w:ind w:firstLine="42"/>
              <w:jc w:val="cente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54</w:t>
            </w:r>
          </w:p>
        </w:tc>
        <w:tc>
          <w:tcPr>
            <w:tcW w:w="2236" w:type="dxa"/>
            <w:tcBorders>
              <w:top w:val="nil"/>
              <w:left w:val="nil"/>
              <w:bottom w:val="nil"/>
              <w:right w:val="nil"/>
            </w:tcBorders>
            <w:shd w:val="clear" w:color="000000" w:fill="8EAADB"/>
            <w:noWrap/>
            <w:vAlign w:val="center"/>
            <w:hideMark/>
          </w:tcPr>
          <w:p w14:paraId="366CC001" w14:textId="77777777" w:rsidR="002001F7" w:rsidRPr="00B763D5" w:rsidRDefault="002001F7" w:rsidP="00BB219D">
            <w:pPr>
              <w:ind w:firstLine="42"/>
              <w:jc w:val="cente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54</w:t>
            </w:r>
          </w:p>
        </w:tc>
      </w:tr>
      <w:tr w:rsidR="002001F7" w:rsidRPr="00B763D5" w14:paraId="23DDC477"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1EA90254"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CPR</w:t>
            </w:r>
          </w:p>
        </w:tc>
        <w:tc>
          <w:tcPr>
            <w:tcW w:w="3261" w:type="dxa"/>
            <w:tcBorders>
              <w:top w:val="nil"/>
              <w:left w:val="nil"/>
              <w:bottom w:val="nil"/>
              <w:right w:val="nil"/>
            </w:tcBorders>
            <w:shd w:val="clear" w:color="000000" w:fill="D0DBF0"/>
            <w:noWrap/>
            <w:vAlign w:val="center"/>
            <w:hideMark/>
          </w:tcPr>
          <w:p w14:paraId="54CB11A1"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Argentina</w:t>
            </w:r>
          </w:p>
        </w:tc>
        <w:tc>
          <w:tcPr>
            <w:tcW w:w="2460" w:type="dxa"/>
            <w:tcBorders>
              <w:top w:val="nil"/>
              <w:left w:val="nil"/>
              <w:bottom w:val="nil"/>
              <w:right w:val="nil"/>
            </w:tcBorders>
            <w:shd w:val="clear" w:color="000000" w:fill="D0DBF0"/>
            <w:noWrap/>
            <w:vAlign w:val="bottom"/>
            <w:hideMark/>
          </w:tcPr>
          <w:p w14:paraId="0D70216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5</w:t>
            </w:r>
          </w:p>
        </w:tc>
        <w:tc>
          <w:tcPr>
            <w:tcW w:w="2236" w:type="dxa"/>
            <w:tcBorders>
              <w:top w:val="nil"/>
              <w:left w:val="nil"/>
              <w:bottom w:val="nil"/>
              <w:right w:val="nil"/>
            </w:tcBorders>
            <w:shd w:val="clear" w:color="000000" w:fill="D0DBF0"/>
            <w:noWrap/>
            <w:vAlign w:val="center"/>
            <w:hideMark/>
          </w:tcPr>
          <w:p w14:paraId="21BE7D68"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5</w:t>
            </w:r>
          </w:p>
        </w:tc>
      </w:tr>
      <w:tr w:rsidR="002001F7" w:rsidRPr="00B763D5" w14:paraId="046FF660"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0DC6E03A"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2194C021"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Bolivia</w:t>
            </w:r>
          </w:p>
        </w:tc>
        <w:tc>
          <w:tcPr>
            <w:tcW w:w="2460" w:type="dxa"/>
            <w:tcBorders>
              <w:top w:val="nil"/>
              <w:left w:val="nil"/>
              <w:bottom w:val="nil"/>
              <w:right w:val="nil"/>
            </w:tcBorders>
            <w:shd w:val="clear" w:color="auto" w:fill="auto"/>
            <w:noWrap/>
            <w:vAlign w:val="bottom"/>
            <w:hideMark/>
          </w:tcPr>
          <w:p w14:paraId="629B682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4</w:t>
            </w:r>
          </w:p>
        </w:tc>
        <w:tc>
          <w:tcPr>
            <w:tcW w:w="2236" w:type="dxa"/>
            <w:tcBorders>
              <w:top w:val="nil"/>
              <w:left w:val="nil"/>
              <w:bottom w:val="nil"/>
              <w:right w:val="nil"/>
            </w:tcBorders>
            <w:shd w:val="clear" w:color="auto" w:fill="auto"/>
            <w:noWrap/>
            <w:vAlign w:val="center"/>
            <w:hideMark/>
          </w:tcPr>
          <w:p w14:paraId="7EF7D33E"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4</w:t>
            </w:r>
          </w:p>
        </w:tc>
      </w:tr>
      <w:tr w:rsidR="002001F7" w:rsidRPr="00B763D5" w14:paraId="445461C5"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564B764C"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28062F02"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Brazil</w:t>
            </w:r>
            <w:proofErr w:type="spellEnd"/>
            <w:r w:rsidRPr="00B763D5">
              <w:rPr>
                <w:rFonts w:ascii="Cambria" w:eastAsia="Times New Roman" w:hAnsi="Cambria" w:cs="Arial"/>
                <w:sz w:val="20"/>
                <w:szCs w:val="20"/>
                <w:lang w:val="es-ES_tradnl" w:eastAsia="es-CO"/>
              </w:rPr>
              <w:t>/Brasil</w:t>
            </w:r>
          </w:p>
        </w:tc>
        <w:tc>
          <w:tcPr>
            <w:tcW w:w="2460" w:type="dxa"/>
            <w:tcBorders>
              <w:top w:val="nil"/>
              <w:left w:val="nil"/>
              <w:bottom w:val="nil"/>
              <w:right w:val="nil"/>
            </w:tcBorders>
            <w:shd w:val="clear" w:color="000000" w:fill="D0DBF0"/>
            <w:noWrap/>
            <w:vAlign w:val="bottom"/>
            <w:hideMark/>
          </w:tcPr>
          <w:p w14:paraId="10461AB3"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11</w:t>
            </w:r>
          </w:p>
        </w:tc>
        <w:tc>
          <w:tcPr>
            <w:tcW w:w="2236" w:type="dxa"/>
            <w:tcBorders>
              <w:top w:val="nil"/>
              <w:left w:val="nil"/>
              <w:bottom w:val="nil"/>
              <w:right w:val="nil"/>
            </w:tcBorders>
            <w:shd w:val="clear" w:color="000000" w:fill="D0DBF0"/>
            <w:noWrap/>
            <w:vAlign w:val="center"/>
            <w:hideMark/>
          </w:tcPr>
          <w:p w14:paraId="6C7AF6A1"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11</w:t>
            </w:r>
          </w:p>
        </w:tc>
      </w:tr>
      <w:tr w:rsidR="002001F7" w:rsidRPr="00B763D5" w14:paraId="165D305B"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74378FF7"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129AE8ED"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Canada</w:t>
            </w:r>
            <w:proofErr w:type="spellEnd"/>
            <w:r w:rsidRPr="00B763D5">
              <w:rPr>
                <w:rFonts w:ascii="Cambria" w:eastAsia="Times New Roman" w:hAnsi="Cambria" w:cs="Arial"/>
                <w:sz w:val="20"/>
                <w:szCs w:val="20"/>
                <w:lang w:val="es-ES_tradnl" w:eastAsia="es-CO"/>
              </w:rPr>
              <w:t>/Canadá</w:t>
            </w:r>
          </w:p>
        </w:tc>
        <w:tc>
          <w:tcPr>
            <w:tcW w:w="2460" w:type="dxa"/>
            <w:tcBorders>
              <w:top w:val="nil"/>
              <w:left w:val="nil"/>
              <w:bottom w:val="nil"/>
              <w:right w:val="nil"/>
            </w:tcBorders>
            <w:shd w:val="clear" w:color="auto" w:fill="auto"/>
            <w:noWrap/>
            <w:vAlign w:val="bottom"/>
            <w:hideMark/>
          </w:tcPr>
          <w:p w14:paraId="5BE678AE"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c>
          <w:tcPr>
            <w:tcW w:w="2236" w:type="dxa"/>
            <w:tcBorders>
              <w:top w:val="nil"/>
              <w:left w:val="nil"/>
              <w:bottom w:val="nil"/>
              <w:right w:val="nil"/>
            </w:tcBorders>
            <w:shd w:val="clear" w:color="auto" w:fill="auto"/>
            <w:noWrap/>
            <w:vAlign w:val="center"/>
            <w:hideMark/>
          </w:tcPr>
          <w:p w14:paraId="33B087F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r>
      <w:tr w:rsidR="002001F7" w:rsidRPr="00B763D5" w14:paraId="6014DC8A"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1014BED2"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06E934C4"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Chile</w:t>
            </w:r>
          </w:p>
        </w:tc>
        <w:tc>
          <w:tcPr>
            <w:tcW w:w="2460" w:type="dxa"/>
            <w:tcBorders>
              <w:top w:val="nil"/>
              <w:left w:val="nil"/>
              <w:bottom w:val="nil"/>
              <w:right w:val="nil"/>
            </w:tcBorders>
            <w:shd w:val="clear" w:color="000000" w:fill="D0DBF0"/>
            <w:noWrap/>
            <w:vAlign w:val="bottom"/>
            <w:hideMark/>
          </w:tcPr>
          <w:p w14:paraId="3B99F8B4"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3</w:t>
            </w:r>
          </w:p>
        </w:tc>
        <w:tc>
          <w:tcPr>
            <w:tcW w:w="2236" w:type="dxa"/>
            <w:tcBorders>
              <w:top w:val="nil"/>
              <w:left w:val="nil"/>
              <w:bottom w:val="nil"/>
              <w:right w:val="nil"/>
            </w:tcBorders>
            <w:shd w:val="clear" w:color="000000" w:fill="D0DBF0"/>
            <w:noWrap/>
            <w:vAlign w:val="center"/>
            <w:hideMark/>
          </w:tcPr>
          <w:p w14:paraId="1CE6DF65"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3</w:t>
            </w:r>
          </w:p>
        </w:tc>
      </w:tr>
      <w:tr w:rsidR="002001F7" w:rsidRPr="00B763D5" w14:paraId="605B3879"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1B5D727A"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6AFD6BB7"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Colombia</w:t>
            </w:r>
          </w:p>
        </w:tc>
        <w:tc>
          <w:tcPr>
            <w:tcW w:w="2460" w:type="dxa"/>
            <w:tcBorders>
              <w:top w:val="nil"/>
              <w:left w:val="nil"/>
              <w:bottom w:val="nil"/>
              <w:right w:val="nil"/>
            </w:tcBorders>
            <w:shd w:val="clear" w:color="auto" w:fill="auto"/>
            <w:noWrap/>
            <w:vAlign w:val="bottom"/>
            <w:hideMark/>
          </w:tcPr>
          <w:p w14:paraId="171A2A91"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14</w:t>
            </w:r>
          </w:p>
        </w:tc>
        <w:tc>
          <w:tcPr>
            <w:tcW w:w="2236" w:type="dxa"/>
            <w:tcBorders>
              <w:top w:val="nil"/>
              <w:left w:val="nil"/>
              <w:bottom w:val="nil"/>
              <w:right w:val="nil"/>
            </w:tcBorders>
            <w:shd w:val="clear" w:color="auto" w:fill="auto"/>
            <w:noWrap/>
            <w:vAlign w:val="center"/>
            <w:hideMark/>
          </w:tcPr>
          <w:p w14:paraId="61DFC37B"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14</w:t>
            </w:r>
          </w:p>
        </w:tc>
      </w:tr>
      <w:tr w:rsidR="002001F7" w:rsidRPr="00B763D5" w14:paraId="1CF793E8"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26925E4A"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lastRenderedPageBreak/>
              <w:t> </w:t>
            </w:r>
          </w:p>
        </w:tc>
        <w:tc>
          <w:tcPr>
            <w:tcW w:w="3261" w:type="dxa"/>
            <w:tcBorders>
              <w:top w:val="nil"/>
              <w:left w:val="nil"/>
              <w:bottom w:val="nil"/>
              <w:right w:val="nil"/>
            </w:tcBorders>
            <w:shd w:val="clear" w:color="000000" w:fill="D0DBF0"/>
            <w:noWrap/>
            <w:vAlign w:val="center"/>
            <w:hideMark/>
          </w:tcPr>
          <w:p w14:paraId="5837F8AD"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Costa Rica</w:t>
            </w:r>
          </w:p>
        </w:tc>
        <w:tc>
          <w:tcPr>
            <w:tcW w:w="2460" w:type="dxa"/>
            <w:tcBorders>
              <w:top w:val="nil"/>
              <w:left w:val="nil"/>
              <w:bottom w:val="nil"/>
              <w:right w:val="nil"/>
            </w:tcBorders>
            <w:shd w:val="clear" w:color="000000" w:fill="D0DBF0"/>
            <w:noWrap/>
            <w:vAlign w:val="bottom"/>
            <w:hideMark/>
          </w:tcPr>
          <w:p w14:paraId="764BDCBC"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c>
          <w:tcPr>
            <w:tcW w:w="2236" w:type="dxa"/>
            <w:tcBorders>
              <w:top w:val="nil"/>
              <w:left w:val="nil"/>
              <w:bottom w:val="nil"/>
              <w:right w:val="nil"/>
            </w:tcBorders>
            <w:shd w:val="clear" w:color="000000" w:fill="D0DBF0"/>
            <w:noWrap/>
            <w:vAlign w:val="center"/>
            <w:hideMark/>
          </w:tcPr>
          <w:p w14:paraId="57601AF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r>
      <w:tr w:rsidR="002001F7" w:rsidRPr="00B763D5" w14:paraId="604A31D7"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60F1EFC4"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3C880CCB"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Ecuador</w:t>
            </w:r>
          </w:p>
        </w:tc>
        <w:tc>
          <w:tcPr>
            <w:tcW w:w="2460" w:type="dxa"/>
            <w:tcBorders>
              <w:top w:val="nil"/>
              <w:left w:val="nil"/>
              <w:bottom w:val="nil"/>
              <w:right w:val="nil"/>
            </w:tcBorders>
            <w:shd w:val="clear" w:color="auto" w:fill="auto"/>
            <w:noWrap/>
            <w:vAlign w:val="bottom"/>
            <w:hideMark/>
          </w:tcPr>
          <w:p w14:paraId="4A5F9260"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c>
          <w:tcPr>
            <w:tcW w:w="2236" w:type="dxa"/>
            <w:tcBorders>
              <w:top w:val="nil"/>
              <w:left w:val="nil"/>
              <w:bottom w:val="nil"/>
              <w:right w:val="nil"/>
            </w:tcBorders>
            <w:shd w:val="clear" w:color="auto" w:fill="auto"/>
            <w:noWrap/>
            <w:vAlign w:val="center"/>
            <w:hideMark/>
          </w:tcPr>
          <w:p w14:paraId="4F7F436B"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r>
      <w:tr w:rsidR="002001F7" w:rsidRPr="00B763D5" w14:paraId="42379978"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1966FA5F"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000000" w:fill="D0DBF0"/>
            <w:noWrap/>
            <w:vAlign w:val="center"/>
            <w:hideMark/>
          </w:tcPr>
          <w:p w14:paraId="1E9FCC41"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El Salvador</w:t>
            </w:r>
          </w:p>
        </w:tc>
        <w:tc>
          <w:tcPr>
            <w:tcW w:w="2460" w:type="dxa"/>
            <w:tcBorders>
              <w:top w:val="nil"/>
              <w:left w:val="nil"/>
              <w:bottom w:val="nil"/>
              <w:right w:val="nil"/>
            </w:tcBorders>
            <w:shd w:val="clear" w:color="000000" w:fill="D0DBF0"/>
            <w:noWrap/>
            <w:vAlign w:val="bottom"/>
            <w:hideMark/>
          </w:tcPr>
          <w:p w14:paraId="736BA6DD"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3</w:t>
            </w:r>
          </w:p>
        </w:tc>
        <w:tc>
          <w:tcPr>
            <w:tcW w:w="2236" w:type="dxa"/>
            <w:tcBorders>
              <w:top w:val="nil"/>
              <w:left w:val="nil"/>
              <w:bottom w:val="nil"/>
              <w:right w:val="nil"/>
            </w:tcBorders>
            <w:shd w:val="clear" w:color="000000" w:fill="D0DBF0"/>
            <w:noWrap/>
            <w:vAlign w:val="center"/>
            <w:hideMark/>
          </w:tcPr>
          <w:p w14:paraId="03ED508B"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r>
      <w:tr w:rsidR="002001F7" w:rsidRPr="00B763D5" w14:paraId="2AA9BCA8"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6A077A8A"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auto"/>
            <w:noWrap/>
            <w:vAlign w:val="center"/>
            <w:hideMark/>
          </w:tcPr>
          <w:p w14:paraId="3BF4FA31"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Guatemala</w:t>
            </w:r>
          </w:p>
        </w:tc>
        <w:tc>
          <w:tcPr>
            <w:tcW w:w="2460" w:type="dxa"/>
            <w:tcBorders>
              <w:top w:val="nil"/>
              <w:left w:val="nil"/>
              <w:bottom w:val="nil"/>
              <w:right w:val="nil"/>
            </w:tcBorders>
            <w:shd w:val="clear" w:color="auto" w:fill="auto"/>
            <w:noWrap/>
            <w:vAlign w:val="bottom"/>
            <w:hideMark/>
          </w:tcPr>
          <w:p w14:paraId="402EFF85"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auto" w:fill="auto"/>
            <w:noWrap/>
            <w:vAlign w:val="center"/>
            <w:hideMark/>
          </w:tcPr>
          <w:p w14:paraId="660D635C"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158CEF17" w14:textId="77777777" w:rsidTr="006D53D8">
        <w:trPr>
          <w:trHeight w:val="255"/>
          <w:jc w:val="center"/>
        </w:trPr>
        <w:tc>
          <w:tcPr>
            <w:tcW w:w="974" w:type="dxa"/>
            <w:tcBorders>
              <w:top w:val="nil"/>
              <w:left w:val="nil"/>
              <w:bottom w:val="nil"/>
              <w:right w:val="nil"/>
            </w:tcBorders>
            <w:shd w:val="clear" w:color="auto" w:fill="DEEAF6" w:themeFill="accent5" w:themeFillTint="33"/>
            <w:noWrap/>
            <w:vAlign w:val="center"/>
            <w:hideMark/>
          </w:tcPr>
          <w:p w14:paraId="4CB732A7"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2B1EFE4C"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Honduras</w:t>
            </w:r>
          </w:p>
        </w:tc>
        <w:tc>
          <w:tcPr>
            <w:tcW w:w="2460" w:type="dxa"/>
            <w:tcBorders>
              <w:top w:val="nil"/>
              <w:left w:val="nil"/>
              <w:bottom w:val="nil"/>
              <w:right w:val="nil"/>
            </w:tcBorders>
            <w:shd w:val="clear" w:color="auto" w:fill="DEEAF6" w:themeFill="accent5" w:themeFillTint="33"/>
            <w:noWrap/>
            <w:vAlign w:val="bottom"/>
          </w:tcPr>
          <w:p w14:paraId="5F0E63FA"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c>
          <w:tcPr>
            <w:tcW w:w="2236" w:type="dxa"/>
            <w:tcBorders>
              <w:top w:val="nil"/>
              <w:left w:val="nil"/>
              <w:bottom w:val="nil"/>
              <w:right w:val="nil"/>
            </w:tcBorders>
            <w:shd w:val="clear" w:color="auto" w:fill="DEEAF6" w:themeFill="accent5" w:themeFillTint="33"/>
            <w:noWrap/>
            <w:vAlign w:val="center"/>
          </w:tcPr>
          <w:p w14:paraId="461E5AC4"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2</w:t>
            </w:r>
          </w:p>
        </w:tc>
      </w:tr>
      <w:tr w:rsidR="002001F7" w:rsidRPr="00B763D5" w14:paraId="1F79BF23"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5ABD0FAF"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noWrap/>
            <w:vAlign w:val="center"/>
          </w:tcPr>
          <w:p w14:paraId="220F8D9C"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Mexico</w:t>
            </w:r>
            <w:proofErr w:type="spellEnd"/>
            <w:r w:rsidRPr="00B763D5">
              <w:rPr>
                <w:rFonts w:ascii="Cambria" w:eastAsia="Times New Roman" w:hAnsi="Cambria" w:cs="Arial"/>
                <w:sz w:val="20"/>
                <w:szCs w:val="20"/>
                <w:lang w:val="es-ES_tradnl" w:eastAsia="es-CO"/>
              </w:rPr>
              <w:t>/México</w:t>
            </w:r>
          </w:p>
        </w:tc>
        <w:tc>
          <w:tcPr>
            <w:tcW w:w="2460" w:type="dxa"/>
            <w:tcBorders>
              <w:top w:val="nil"/>
              <w:left w:val="nil"/>
              <w:bottom w:val="nil"/>
              <w:right w:val="nil"/>
            </w:tcBorders>
            <w:shd w:val="clear" w:color="auto" w:fill="auto"/>
            <w:noWrap/>
            <w:vAlign w:val="bottom"/>
          </w:tcPr>
          <w:p w14:paraId="49B855C4"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6</w:t>
            </w:r>
          </w:p>
        </w:tc>
        <w:tc>
          <w:tcPr>
            <w:tcW w:w="2236" w:type="dxa"/>
            <w:tcBorders>
              <w:top w:val="nil"/>
              <w:left w:val="nil"/>
              <w:bottom w:val="nil"/>
              <w:right w:val="nil"/>
            </w:tcBorders>
            <w:shd w:val="clear" w:color="auto" w:fill="auto"/>
            <w:noWrap/>
            <w:vAlign w:val="center"/>
          </w:tcPr>
          <w:p w14:paraId="3FBF0D9B"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6</w:t>
            </w:r>
          </w:p>
        </w:tc>
      </w:tr>
      <w:tr w:rsidR="002001F7" w:rsidRPr="00B763D5" w14:paraId="26E7E9AF" w14:textId="77777777" w:rsidTr="006D53D8">
        <w:trPr>
          <w:trHeight w:val="255"/>
          <w:jc w:val="center"/>
        </w:trPr>
        <w:tc>
          <w:tcPr>
            <w:tcW w:w="974" w:type="dxa"/>
            <w:tcBorders>
              <w:top w:val="nil"/>
              <w:left w:val="nil"/>
              <w:bottom w:val="nil"/>
              <w:right w:val="nil"/>
            </w:tcBorders>
            <w:shd w:val="clear" w:color="auto" w:fill="DEEAF6" w:themeFill="accent5" w:themeFillTint="33"/>
            <w:noWrap/>
            <w:vAlign w:val="center"/>
            <w:hideMark/>
          </w:tcPr>
          <w:p w14:paraId="1CA674AA"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38D65428"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Panama</w:t>
            </w:r>
            <w:proofErr w:type="spellEnd"/>
            <w:r w:rsidRPr="00B763D5">
              <w:rPr>
                <w:rFonts w:ascii="Cambria" w:eastAsia="Times New Roman" w:hAnsi="Cambria" w:cs="Arial"/>
                <w:sz w:val="20"/>
                <w:szCs w:val="20"/>
                <w:lang w:val="es-ES_tradnl" w:eastAsia="es-CO"/>
              </w:rPr>
              <w:t>/Panamá</w:t>
            </w:r>
          </w:p>
        </w:tc>
        <w:tc>
          <w:tcPr>
            <w:tcW w:w="2460" w:type="dxa"/>
            <w:tcBorders>
              <w:top w:val="nil"/>
              <w:left w:val="nil"/>
              <w:bottom w:val="nil"/>
              <w:right w:val="nil"/>
            </w:tcBorders>
            <w:shd w:val="clear" w:color="auto" w:fill="DEEAF6" w:themeFill="accent5" w:themeFillTint="33"/>
            <w:noWrap/>
            <w:vAlign w:val="bottom"/>
          </w:tcPr>
          <w:p w14:paraId="1167576E"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auto" w:fill="DEEAF6" w:themeFill="accent5" w:themeFillTint="33"/>
            <w:noWrap/>
            <w:vAlign w:val="center"/>
          </w:tcPr>
          <w:p w14:paraId="4491C2B8"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39617D46"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29FC9413"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noWrap/>
            <w:vAlign w:val="center"/>
          </w:tcPr>
          <w:p w14:paraId="59C96AE7"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Peru</w:t>
            </w:r>
            <w:proofErr w:type="spellEnd"/>
            <w:r w:rsidRPr="00B763D5">
              <w:rPr>
                <w:rFonts w:ascii="Cambria" w:eastAsia="Times New Roman" w:hAnsi="Cambria" w:cs="Arial"/>
                <w:sz w:val="20"/>
                <w:szCs w:val="20"/>
                <w:lang w:val="es-ES_tradnl" w:eastAsia="es-CO"/>
              </w:rPr>
              <w:t>/Perú</w:t>
            </w:r>
          </w:p>
        </w:tc>
        <w:tc>
          <w:tcPr>
            <w:tcW w:w="2460" w:type="dxa"/>
            <w:tcBorders>
              <w:top w:val="nil"/>
              <w:left w:val="nil"/>
              <w:bottom w:val="nil"/>
              <w:right w:val="nil"/>
            </w:tcBorders>
            <w:shd w:val="clear" w:color="auto" w:fill="auto"/>
            <w:noWrap/>
            <w:vAlign w:val="bottom"/>
          </w:tcPr>
          <w:p w14:paraId="1F16FD22"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6</w:t>
            </w:r>
          </w:p>
        </w:tc>
        <w:tc>
          <w:tcPr>
            <w:tcW w:w="2236" w:type="dxa"/>
            <w:tcBorders>
              <w:top w:val="nil"/>
              <w:left w:val="nil"/>
              <w:bottom w:val="nil"/>
              <w:right w:val="nil"/>
            </w:tcBorders>
            <w:shd w:val="clear" w:color="auto" w:fill="auto"/>
            <w:noWrap/>
            <w:vAlign w:val="center"/>
          </w:tcPr>
          <w:p w14:paraId="4FF9B354"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6</w:t>
            </w:r>
          </w:p>
        </w:tc>
      </w:tr>
      <w:tr w:rsidR="002001F7" w:rsidRPr="00B763D5" w14:paraId="22A6EDDD" w14:textId="77777777" w:rsidTr="006D53D8">
        <w:trPr>
          <w:trHeight w:val="255"/>
          <w:jc w:val="center"/>
        </w:trPr>
        <w:tc>
          <w:tcPr>
            <w:tcW w:w="974" w:type="dxa"/>
            <w:tcBorders>
              <w:top w:val="nil"/>
              <w:left w:val="nil"/>
              <w:bottom w:val="nil"/>
              <w:right w:val="nil"/>
            </w:tcBorders>
            <w:shd w:val="clear" w:color="auto" w:fill="DEEAF6" w:themeFill="accent5" w:themeFillTint="33"/>
            <w:noWrap/>
            <w:vAlign w:val="center"/>
            <w:hideMark/>
          </w:tcPr>
          <w:p w14:paraId="6C0FC583"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34191FB0"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Portugal</w:t>
            </w:r>
          </w:p>
        </w:tc>
        <w:tc>
          <w:tcPr>
            <w:tcW w:w="2460" w:type="dxa"/>
            <w:tcBorders>
              <w:top w:val="nil"/>
              <w:left w:val="nil"/>
              <w:bottom w:val="nil"/>
              <w:right w:val="nil"/>
            </w:tcBorders>
            <w:shd w:val="clear" w:color="auto" w:fill="DEEAF6" w:themeFill="accent5" w:themeFillTint="33"/>
            <w:noWrap/>
            <w:vAlign w:val="bottom"/>
          </w:tcPr>
          <w:p w14:paraId="42E16865"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auto" w:fill="DEEAF6" w:themeFill="accent5" w:themeFillTint="33"/>
            <w:noWrap/>
            <w:vAlign w:val="center"/>
          </w:tcPr>
          <w:p w14:paraId="5C6ED324"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5C0F8189"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78FFEC55"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vAlign w:val="center"/>
          </w:tcPr>
          <w:p w14:paraId="0D1A69CD"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Saint Lucia/Santa Lucia</w:t>
            </w:r>
          </w:p>
        </w:tc>
        <w:tc>
          <w:tcPr>
            <w:tcW w:w="2460" w:type="dxa"/>
            <w:tcBorders>
              <w:top w:val="nil"/>
              <w:left w:val="nil"/>
              <w:bottom w:val="nil"/>
              <w:right w:val="nil"/>
            </w:tcBorders>
            <w:shd w:val="clear" w:color="auto" w:fill="auto"/>
            <w:noWrap/>
            <w:vAlign w:val="bottom"/>
          </w:tcPr>
          <w:p w14:paraId="495986C2"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auto" w:fill="auto"/>
            <w:noWrap/>
            <w:vAlign w:val="center"/>
          </w:tcPr>
          <w:p w14:paraId="0A939D8B"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063030CD" w14:textId="77777777" w:rsidTr="006D53D8">
        <w:trPr>
          <w:trHeight w:val="255"/>
          <w:jc w:val="center"/>
        </w:trPr>
        <w:tc>
          <w:tcPr>
            <w:tcW w:w="974" w:type="dxa"/>
            <w:tcBorders>
              <w:top w:val="nil"/>
              <w:left w:val="nil"/>
              <w:bottom w:val="nil"/>
              <w:right w:val="nil"/>
            </w:tcBorders>
            <w:shd w:val="clear" w:color="auto" w:fill="DEEAF6" w:themeFill="accent5" w:themeFillTint="33"/>
            <w:noWrap/>
            <w:vAlign w:val="center"/>
            <w:hideMark/>
          </w:tcPr>
          <w:p w14:paraId="59E94CC5"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6632FFE6" w14:textId="77777777" w:rsidR="002001F7" w:rsidRPr="00B763D5" w:rsidRDefault="002001F7" w:rsidP="00BB219D">
            <w:pPr>
              <w:ind w:left="92" w:hanging="20"/>
              <w:rPr>
                <w:rFonts w:ascii="Cambria" w:eastAsia="Times New Roman" w:hAnsi="Cambria" w:cs="Arial"/>
                <w:sz w:val="20"/>
                <w:szCs w:val="20"/>
                <w:lang w:val="es-ES_tradnl" w:eastAsia="es-CO"/>
              </w:rPr>
            </w:pPr>
            <w:proofErr w:type="spellStart"/>
            <w:r w:rsidRPr="00B763D5">
              <w:rPr>
                <w:rFonts w:ascii="Cambria" w:eastAsia="Times New Roman" w:hAnsi="Cambria" w:cs="Arial"/>
                <w:sz w:val="20"/>
                <w:szCs w:val="20"/>
                <w:lang w:val="es-ES_tradnl" w:eastAsia="es-CO"/>
              </w:rPr>
              <w:t>Spain</w:t>
            </w:r>
            <w:proofErr w:type="spellEnd"/>
            <w:r w:rsidRPr="00B763D5">
              <w:rPr>
                <w:rFonts w:ascii="Cambria" w:eastAsia="Times New Roman" w:hAnsi="Cambria" w:cs="Arial"/>
                <w:sz w:val="20"/>
                <w:szCs w:val="20"/>
                <w:lang w:val="es-ES_tradnl" w:eastAsia="es-CO"/>
              </w:rPr>
              <w:t xml:space="preserve">/España </w:t>
            </w:r>
          </w:p>
        </w:tc>
        <w:tc>
          <w:tcPr>
            <w:tcW w:w="2460" w:type="dxa"/>
            <w:tcBorders>
              <w:top w:val="nil"/>
              <w:left w:val="nil"/>
              <w:bottom w:val="nil"/>
              <w:right w:val="nil"/>
            </w:tcBorders>
            <w:shd w:val="clear" w:color="auto" w:fill="DEEAF6" w:themeFill="accent5" w:themeFillTint="33"/>
            <w:noWrap/>
            <w:vAlign w:val="bottom"/>
          </w:tcPr>
          <w:p w14:paraId="4D900EB1"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auto" w:fill="DEEAF6" w:themeFill="accent5" w:themeFillTint="33"/>
            <w:noWrap/>
            <w:vAlign w:val="center"/>
          </w:tcPr>
          <w:p w14:paraId="2A908AF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709AF4FF" w14:textId="77777777" w:rsidTr="006D53D8">
        <w:trPr>
          <w:trHeight w:val="510"/>
          <w:jc w:val="center"/>
        </w:trPr>
        <w:tc>
          <w:tcPr>
            <w:tcW w:w="974" w:type="dxa"/>
            <w:tcBorders>
              <w:top w:val="nil"/>
              <w:left w:val="nil"/>
              <w:bottom w:val="nil"/>
              <w:right w:val="nil"/>
            </w:tcBorders>
            <w:shd w:val="clear" w:color="auto" w:fill="auto"/>
            <w:noWrap/>
            <w:vAlign w:val="center"/>
            <w:hideMark/>
          </w:tcPr>
          <w:p w14:paraId="01CCE0BF"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vAlign w:val="center"/>
          </w:tcPr>
          <w:p w14:paraId="2BD6C2AD"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Trinidad and Tobago/Trinidad y Tobago</w:t>
            </w:r>
          </w:p>
        </w:tc>
        <w:tc>
          <w:tcPr>
            <w:tcW w:w="2460" w:type="dxa"/>
            <w:tcBorders>
              <w:top w:val="nil"/>
              <w:left w:val="nil"/>
              <w:bottom w:val="nil"/>
              <w:right w:val="nil"/>
            </w:tcBorders>
            <w:shd w:val="clear" w:color="auto" w:fill="auto"/>
            <w:noWrap/>
            <w:vAlign w:val="bottom"/>
          </w:tcPr>
          <w:p w14:paraId="68F71EAB"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auto" w:fill="auto"/>
            <w:noWrap/>
            <w:vAlign w:val="center"/>
          </w:tcPr>
          <w:p w14:paraId="6B608353"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57D84EDB" w14:textId="77777777" w:rsidTr="006D53D8">
        <w:trPr>
          <w:trHeight w:val="255"/>
          <w:jc w:val="center"/>
        </w:trPr>
        <w:tc>
          <w:tcPr>
            <w:tcW w:w="974" w:type="dxa"/>
            <w:tcBorders>
              <w:top w:val="nil"/>
              <w:left w:val="nil"/>
              <w:bottom w:val="nil"/>
              <w:right w:val="nil"/>
            </w:tcBorders>
            <w:shd w:val="clear" w:color="auto" w:fill="DEEAF6" w:themeFill="accent5" w:themeFillTint="33"/>
            <w:noWrap/>
            <w:vAlign w:val="center"/>
            <w:hideMark/>
          </w:tcPr>
          <w:p w14:paraId="03B5BF92"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6E82EAED"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Uruguay</w:t>
            </w:r>
          </w:p>
        </w:tc>
        <w:tc>
          <w:tcPr>
            <w:tcW w:w="2460" w:type="dxa"/>
            <w:tcBorders>
              <w:top w:val="nil"/>
              <w:left w:val="nil"/>
              <w:bottom w:val="nil"/>
              <w:right w:val="nil"/>
            </w:tcBorders>
            <w:shd w:val="clear" w:color="auto" w:fill="DEEAF6" w:themeFill="accent5" w:themeFillTint="33"/>
            <w:noWrap/>
            <w:vAlign w:val="bottom"/>
          </w:tcPr>
          <w:p w14:paraId="2F7B6A5A"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5</w:t>
            </w:r>
          </w:p>
        </w:tc>
        <w:tc>
          <w:tcPr>
            <w:tcW w:w="2236" w:type="dxa"/>
            <w:tcBorders>
              <w:top w:val="nil"/>
              <w:left w:val="nil"/>
              <w:bottom w:val="nil"/>
              <w:right w:val="nil"/>
            </w:tcBorders>
            <w:shd w:val="clear" w:color="auto" w:fill="DEEAF6" w:themeFill="accent5" w:themeFillTint="33"/>
            <w:noWrap/>
            <w:vAlign w:val="center"/>
          </w:tcPr>
          <w:p w14:paraId="2CABDA09"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5</w:t>
            </w:r>
          </w:p>
        </w:tc>
      </w:tr>
      <w:tr w:rsidR="002001F7" w:rsidRPr="00B763D5" w14:paraId="715680DC" w14:textId="77777777" w:rsidTr="006D53D8">
        <w:trPr>
          <w:trHeight w:val="255"/>
          <w:jc w:val="center"/>
        </w:trPr>
        <w:tc>
          <w:tcPr>
            <w:tcW w:w="974" w:type="dxa"/>
            <w:tcBorders>
              <w:top w:val="nil"/>
              <w:left w:val="nil"/>
              <w:bottom w:val="nil"/>
              <w:right w:val="nil"/>
            </w:tcBorders>
            <w:shd w:val="clear" w:color="auto" w:fill="auto"/>
            <w:noWrap/>
            <w:vAlign w:val="center"/>
            <w:hideMark/>
          </w:tcPr>
          <w:p w14:paraId="2055FB41"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3261" w:type="dxa"/>
            <w:tcBorders>
              <w:top w:val="nil"/>
              <w:left w:val="nil"/>
              <w:bottom w:val="nil"/>
              <w:right w:val="nil"/>
            </w:tcBorders>
            <w:shd w:val="clear" w:color="auto" w:fill="auto"/>
            <w:vAlign w:val="center"/>
          </w:tcPr>
          <w:p w14:paraId="1D94C255"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USA</w:t>
            </w:r>
          </w:p>
        </w:tc>
        <w:tc>
          <w:tcPr>
            <w:tcW w:w="2460" w:type="dxa"/>
            <w:tcBorders>
              <w:top w:val="nil"/>
              <w:left w:val="nil"/>
              <w:bottom w:val="nil"/>
              <w:right w:val="nil"/>
            </w:tcBorders>
            <w:shd w:val="clear" w:color="auto" w:fill="auto"/>
            <w:noWrap/>
            <w:vAlign w:val="bottom"/>
          </w:tcPr>
          <w:p w14:paraId="6EF008EC"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8</w:t>
            </w:r>
          </w:p>
        </w:tc>
        <w:tc>
          <w:tcPr>
            <w:tcW w:w="2236" w:type="dxa"/>
            <w:tcBorders>
              <w:top w:val="nil"/>
              <w:left w:val="nil"/>
              <w:bottom w:val="nil"/>
              <w:right w:val="nil"/>
            </w:tcBorders>
            <w:shd w:val="clear" w:color="auto" w:fill="auto"/>
            <w:noWrap/>
            <w:vAlign w:val="center"/>
          </w:tcPr>
          <w:p w14:paraId="099341F8"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9</w:t>
            </w:r>
          </w:p>
        </w:tc>
      </w:tr>
      <w:tr w:rsidR="002001F7" w:rsidRPr="00B763D5" w14:paraId="75D13AB6" w14:textId="77777777" w:rsidTr="006D53D8">
        <w:trPr>
          <w:trHeight w:val="255"/>
          <w:jc w:val="center"/>
        </w:trPr>
        <w:tc>
          <w:tcPr>
            <w:tcW w:w="974" w:type="dxa"/>
            <w:tcBorders>
              <w:top w:val="nil"/>
              <w:left w:val="nil"/>
              <w:bottom w:val="nil"/>
              <w:right w:val="nil"/>
            </w:tcBorders>
            <w:shd w:val="clear" w:color="auto" w:fill="DEEAF6" w:themeFill="accent5" w:themeFillTint="33"/>
            <w:noWrap/>
            <w:vAlign w:val="center"/>
            <w:hideMark/>
          </w:tcPr>
          <w:p w14:paraId="1E9A79DA" w14:textId="77777777" w:rsidR="002001F7" w:rsidRPr="00B763D5" w:rsidRDefault="002001F7" w:rsidP="00BB219D">
            <w:pPr>
              <w:jc w:val="right"/>
              <w:rPr>
                <w:rFonts w:ascii="Cambria" w:eastAsia="Times New Roman" w:hAnsi="Cambria" w:cs="Arial"/>
                <w:sz w:val="20"/>
                <w:szCs w:val="20"/>
                <w:lang w:val="es-ES_tradnl" w:eastAsia="es-CO"/>
              </w:rPr>
            </w:pPr>
          </w:p>
        </w:tc>
        <w:tc>
          <w:tcPr>
            <w:tcW w:w="3261" w:type="dxa"/>
            <w:tcBorders>
              <w:top w:val="nil"/>
              <w:left w:val="nil"/>
              <w:bottom w:val="nil"/>
              <w:right w:val="nil"/>
            </w:tcBorders>
            <w:shd w:val="clear" w:color="auto" w:fill="DEEAF6" w:themeFill="accent5" w:themeFillTint="33"/>
            <w:noWrap/>
            <w:vAlign w:val="center"/>
          </w:tcPr>
          <w:p w14:paraId="27415279"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Venezuela</w:t>
            </w:r>
          </w:p>
        </w:tc>
        <w:tc>
          <w:tcPr>
            <w:tcW w:w="2460" w:type="dxa"/>
            <w:tcBorders>
              <w:top w:val="nil"/>
              <w:left w:val="nil"/>
              <w:bottom w:val="nil"/>
              <w:right w:val="nil"/>
            </w:tcBorders>
            <w:shd w:val="clear" w:color="auto" w:fill="DEEAF6" w:themeFill="accent5" w:themeFillTint="33"/>
            <w:noWrap/>
            <w:vAlign w:val="bottom"/>
          </w:tcPr>
          <w:p w14:paraId="1005C13B"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4</w:t>
            </w:r>
          </w:p>
        </w:tc>
        <w:tc>
          <w:tcPr>
            <w:tcW w:w="2236" w:type="dxa"/>
            <w:tcBorders>
              <w:top w:val="nil"/>
              <w:left w:val="nil"/>
              <w:bottom w:val="nil"/>
              <w:right w:val="nil"/>
            </w:tcBorders>
            <w:shd w:val="clear" w:color="auto" w:fill="DEEAF6" w:themeFill="accent5" w:themeFillTint="33"/>
            <w:noWrap/>
            <w:vAlign w:val="center"/>
          </w:tcPr>
          <w:p w14:paraId="47D29CAC"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4</w:t>
            </w:r>
          </w:p>
        </w:tc>
      </w:tr>
      <w:tr w:rsidR="002001F7" w:rsidRPr="00B763D5" w14:paraId="1349E114" w14:textId="77777777" w:rsidTr="006D53D8">
        <w:trPr>
          <w:trHeight w:val="255"/>
          <w:jc w:val="center"/>
        </w:trPr>
        <w:tc>
          <w:tcPr>
            <w:tcW w:w="974" w:type="dxa"/>
            <w:tcBorders>
              <w:top w:val="nil"/>
              <w:left w:val="nil"/>
              <w:bottom w:val="nil"/>
              <w:right w:val="nil"/>
            </w:tcBorders>
            <w:shd w:val="clear" w:color="000000" w:fill="8EAADB"/>
            <w:noWrap/>
            <w:vAlign w:val="center"/>
            <w:hideMark/>
          </w:tcPr>
          <w:p w14:paraId="76C65C36"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CPR Total</w:t>
            </w:r>
          </w:p>
        </w:tc>
        <w:tc>
          <w:tcPr>
            <w:tcW w:w="3261" w:type="dxa"/>
            <w:tcBorders>
              <w:top w:val="nil"/>
              <w:left w:val="nil"/>
              <w:bottom w:val="nil"/>
              <w:right w:val="nil"/>
            </w:tcBorders>
            <w:shd w:val="clear" w:color="000000" w:fill="8EAADB"/>
            <w:noWrap/>
            <w:vAlign w:val="center"/>
            <w:hideMark/>
          </w:tcPr>
          <w:p w14:paraId="32CC8CD0" w14:textId="77777777" w:rsidR="002001F7" w:rsidRPr="00B763D5" w:rsidRDefault="002001F7" w:rsidP="00BB219D">
            <w:pPr>
              <w:ind w:left="92" w:hanging="20"/>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2460" w:type="dxa"/>
            <w:tcBorders>
              <w:top w:val="nil"/>
              <w:left w:val="nil"/>
              <w:bottom w:val="nil"/>
              <w:right w:val="nil"/>
            </w:tcBorders>
            <w:shd w:val="clear" w:color="000000" w:fill="8EAADB"/>
            <w:noWrap/>
            <w:vAlign w:val="center"/>
            <w:hideMark/>
          </w:tcPr>
          <w:p w14:paraId="6C42D184" w14:textId="77777777" w:rsidR="002001F7" w:rsidRPr="00B763D5" w:rsidRDefault="002001F7" w:rsidP="00BB219D">
            <w:pPr>
              <w:ind w:firstLine="42"/>
              <w:jc w:val="cente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83</w:t>
            </w:r>
          </w:p>
        </w:tc>
        <w:tc>
          <w:tcPr>
            <w:tcW w:w="2236" w:type="dxa"/>
            <w:tcBorders>
              <w:top w:val="nil"/>
              <w:left w:val="nil"/>
              <w:bottom w:val="nil"/>
              <w:right w:val="nil"/>
            </w:tcBorders>
            <w:shd w:val="clear" w:color="000000" w:fill="8EAADB"/>
            <w:noWrap/>
            <w:vAlign w:val="center"/>
            <w:hideMark/>
          </w:tcPr>
          <w:p w14:paraId="5A6C9981" w14:textId="77777777" w:rsidR="002001F7" w:rsidRPr="00B763D5" w:rsidRDefault="002001F7" w:rsidP="00BB219D">
            <w:pPr>
              <w:ind w:firstLine="42"/>
              <w:jc w:val="cente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83</w:t>
            </w:r>
          </w:p>
        </w:tc>
      </w:tr>
      <w:tr w:rsidR="002001F7" w:rsidRPr="00B763D5" w14:paraId="794CC5F8" w14:textId="77777777" w:rsidTr="006D53D8">
        <w:trPr>
          <w:trHeight w:val="255"/>
          <w:jc w:val="center"/>
        </w:trPr>
        <w:tc>
          <w:tcPr>
            <w:tcW w:w="974" w:type="dxa"/>
            <w:tcBorders>
              <w:top w:val="nil"/>
              <w:left w:val="nil"/>
              <w:bottom w:val="nil"/>
              <w:right w:val="nil"/>
            </w:tcBorders>
            <w:shd w:val="clear" w:color="000000" w:fill="D0DBF0"/>
            <w:noWrap/>
            <w:vAlign w:val="center"/>
          </w:tcPr>
          <w:p w14:paraId="144C6F5F"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xml:space="preserve">Staff Asociado </w:t>
            </w:r>
          </w:p>
        </w:tc>
        <w:tc>
          <w:tcPr>
            <w:tcW w:w="3261" w:type="dxa"/>
            <w:tcBorders>
              <w:top w:val="nil"/>
              <w:left w:val="nil"/>
              <w:bottom w:val="nil"/>
              <w:right w:val="nil"/>
            </w:tcBorders>
            <w:shd w:val="clear" w:color="000000" w:fill="D0DBF0"/>
            <w:noWrap/>
            <w:vAlign w:val="center"/>
          </w:tcPr>
          <w:p w14:paraId="53593E57"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Argentina</w:t>
            </w:r>
          </w:p>
        </w:tc>
        <w:tc>
          <w:tcPr>
            <w:tcW w:w="2460" w:type="dxa"/>
            <w:tcBorders>
              <w:top w:val="nil"/>
              <w:left w:val="nil"/>
              <w:bottom w:val="nil"/>
              <w:right w:val="nil"/>
            </w:tcBorders>
            <w:shd w:val="clear" w:color="000000" w:fill="D0DBF0"/>
            <w:noWrap/>
            <w:vAlign w:val="center"/>
          </w:tcPr>
          <w:p w14:paraId="21B97D9A"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000000" w:fill="D0DBF0"/>
            <w:noWrap/>
            <w:vAlign w:val="center"/>
          </w:tcPr>
          <w:p w14:paraId="6414494C"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3375065A" w14:textId="77777777" w:rsidTr="006D53D8">
        <w:trPr>
          <w:trHeight w:val="255"/>
          <w:jc w:val="center"/>
        </w:trPr>
        <w:tc>
          <w:tcPr>
            <w:tcW w:w="974" w:type="dxa"/>
            <w:tcBorders>
              <w:top w:val="nil"/>
              <w:left w:val="nil"/>
              <w:bottom w:val="nil"/>
              <w:right w:val="nil"/>
            </w:tcBorders>
            <w:shd w:val="clear" w:color="auto" w:fill="auto"/>
            <w:noWrap/>
            <w:vAlign w:val="center"/>
          </w:tcPr>
          <w:p w14:paraId="1153A160" w14:textId="77777777" w:rsidR="002001F7" w:rsidRPr="00B763D5" w:rsidRDefault="002001F7" w:rsidP="00BB219D">
            <w:pPr>
              <w:rPr>
                <w:rFonts w:ascii="Cambria" w:eastAsia="Times New Roman" w:hAnsi="Cambria" w:cs="Arial"/>
                <w:b/>
                <w:bCs/>
                <w:sz w:val="20"/>
                <w:szCs w:val="20"/>
                <w:lang w:val="es-ES_tradnl" w:eastAsia="es-CO"/>
              </w:rPr>
            </w:pPr>
          </w:p>
        </w:tc>
        <w:tc>
          <w:tcPr>
            <w:tcW w:w="3261" w:type="dxa"/>
            <w:tcBorders>
              <w:top w:val="nil"/>
              <w:left w:val="nil"/>
              <w:bottom w:val="nil"/>
              <w:right w:val="nil"/>
            </w:tcBorders>
            <w:shd w:val="clear" w:color="auto" w:fill="auto"/>
            <w:noWrap/>
            <w:vAlign w:val="center"/>
          </w:tcPr>
          <w:p w14:paraId="5062911A"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Chile</w:t>
            </w:r>
          </w:p>
        </w:tc>
        <w:tc>
          <w:tcPr>
            <w:tcW w:w="2460" w:type="dxa"/>
            <w:tcBorders>
              <w:top w:val="nil"/>
              <w:left w:val="nil"/>
              <w:bottom w:val="nil"/>
              <w:right w:val="nil"/>
            </w:tcBorders>
            <w:shd w:val="clear" w:color="auto" w:fill="auto"/>
            <w:noWrap/>
            <w:vAlign w:val="center"/>
          </w:tcPr>
          <w:p w14:paraId="7065793F"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auto" w:fill="auto"/>
            <w:noWrap/>
            <w:vAlign w:val="center"/>
          </w:tcPr>
          <w:p w14:paraId="7FE947D0"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3CCB8C5E" w14:textId="77777777" w:rsidTr="006D53D8">
        <w:trPr>
          <w:trHeight w:val="255"/>
          <w:jc w:val="center"/>
        </w:trPr>
        <w:tc>
          <w:tcPr>
            <w:tcW w:w="974" w:type="dxa"/>
            <w:tcBorders>
              <w:top w:val="nil"/>
              <w:left w:val="nil"/>
              <w:bottom w:val="nil"/>
              <w:right w:val="nil"/>
            </w:tcBorders>
            <w:shd w:val="clear" w:color="000000" w:fill="D0DBF0"/>
            <w:noWrap/>
            <w:vAlign w:val="center"/>
            <w:hideMark/>
          </w:tcPr>
          <w:p w14:paraId="2B81740D" w14:textId="77777777" w:rsidR="002001F7" w:rsidRPr="00B763D5" w:rsidRDefault="002001F7" w:rsidP="00BB219D">
            <w:pPr>
              <w:rPr>
                <w:rFonts w:ascii="Cambria" w:eastAsia="Times New Roman" w:hAnsi="Cambria" w:cs="Arial"/>
                <w:b/>
                <w:bCs/>
                <w:sz w:val="20"/>
                <w:szCs w:val="20"/>
                <w:lang w:val="es-ES_tradnl" w:eastAsia="es-CO"/>
              </w:rPr>
            </w:pPr>
          </w:p>
        </w:tc>
        <w:tc>
          <w:tcPr>
            <w:tcW w:w="3261" w:type="dxa"/>
            <w:tcBorders>
              <w:top w:val="nil"/>
              <w:left w:val="nil"/>
              <w:bottom w:val="nil"/>
              <w:right w:val="nil"/>
            </w:tcBorders>
            <w:shd w:val="clear" w:color="000000" w:fill="D0DBF0"/>
            <w:noWrap/>
            <w:vAlign w:val="center"/>
            <w:hideMark/>
          </w:tcPr>
          <w:p w14:paraId="204DE9E5"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Guatemala</w:t>
            </w:r>
          </w:p>
        </w:tc>
        <w:tc>
          <w:tcPr>
            <w:tcW w:w="2460" w:type="dxa"/>
            <w:tcBorders>
              <w:top w:val="nil"/>
              <w:left w:val="nil"/>
              <w:bottom w:val="nil"/>
              <w:right w:val="nil"/>
            </w:tcBorders>
            <w:shd w:val="clear" w:color="000000" w:fill="D0DBF0"/>
            <w:noWrap/>
            <w:vAlign w:val="center"/>
            <w:hideMark/>
          </w:tcPr>
          <w:p w14:paraId="6812C17E"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c>
          <w:tcPr>
            <w:tcW w:w="2236" w:type="dxa"/>
            <w:tcBorders>
              <w:top w:val="nil"/>
              <w:left w:val="nil"/>
              <w:bottom w:val="nil"/>
              <w:right w:val="nil"/>
            </w:tcBorders>
            <w:shd w:val="clear" w:color="000000" w:fill="D0DBF0"/>
            <w:noWrap/>
            <w:vAlign w:val="center"/>
            <w:hideMark/>
          </w:tcPr>
          <w:p w14:paraId="3295EDAB" w14:textId="77777777" w:rsidR="002001F7" w:rsidRPr="00B763D5" w:rsidRDefault="002001F7" w:rsidP="00BB219D">
            <w:pPr>
              <w:ind w:firstLine="42"/>
              <w:jc w:val="center"/>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1</w:t>
            </w:r>
          </w:p>
        </w:tc>
      </w:tr>
      <w:tr w:rsidR="002001F7" w:rsidRPr="00B763D5" w14:paraId="1BCCAAFC" w14:textId="77777777" w:rsidTr="006D53D8">
        <w:trPr>
          <w:trHeight w:val="255"/>
          <w:jc w:val="center"/>
        </w:trPr>
        <w:tc>
          <w:tcPr>
            <w:tcW w:w="974" w:type="dxa"/>
            <w:tcBorders>
              <w:top w:val="nil"/>
              <w:left w:val="nil"/>
              <w:bottom w:val="nil"/>
              <w:right w:val="nil"/>
            </w:tcBorders>
            <w:shd w:val="clear" w:color="000000" w:fill="8EAADB"/>
            <w:noWrap/>
            <w:vAlign w:val="center"/>
            <w:hideMark/>
          </w:tcPr>
          <w:p w14:paraId="67D4C46B"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Staff Asociado  Total</w:t>
            </w:r>
          </w:p>
        </w:tc>
        <w:tc>
          <w:tcPr>
            <w:tcW w:w="3261" w:type="dxa"/>
            <w:tcBorders>
              <w:top w:val="nil"/>
              <w:left w:val="nil"/>
              <w:bottom w:val="nil"/>
              <w:right w:val="nil"/>
            </w:tcBorders>
            <w:shd w:val="clear" w:color="000000" w:fill="8EAADB"/>
            <w:noWrap/>
            <w:vAlign w:val="center"/>
            <w:hideMark/>
          </w:tcPr>
          <w:p w14:paraId="688027A4" w14:textId="77777777" w:rsidR="002001F7" w:rsidRPr="00B763D5" w:rsidRDefault="002001F7" w:rsidP="00BB219D">
            <w:pPr>
              <w:ind w:left="92" w:hanging="20"/>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 </w:t>
            </w:r>
          </w:p>
        </w:tc>
        <w:tc>
          <w:tcPr>
            <w:tcW w:w="2460" w:type="dxa"/>
            <w:tcBorders>
              <w:top w:val="nil"/>
              <w:left w:val="nil"/>
              <w:bottom w:val="nil"/>
              <w:right w:val="nil"/>
            </w:tcBorders>
            <w:shd w:val="clear" w:color="000000" w:fill="8EAADB"/>
            <w:noWrap/>
            <w:vAlign w:val="center"/>
            <w:hideMark/>
          </w:tcPr>
          <w:p w14:paraId="177DB890" w14:textId="77777777" w:rsidR="002001F7" w:rsidRPr="00B763D5" w:rsidRDefault="002001F7" w:rsidP="00BB219D">
            <w:pPr>
              <w:ind w:firstLine="42"/>
              <w:jc w:val="cente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3</w:t>
            </w:r>
          </w:p>
        </w:tc>
        <w:tc>
          <w:tcPr>
            <w:tcW w:w="2236" w:type="dxa"/>
            <w:tcBorders>
              <w:top w:val="nil"/>
              <w:left w:val="nil"/>
              <w:bottom w:val="nil"/>
              <w:right w:val="nil"/>
            </w:tcBorders>
            <w:shd w:val="clear" w:color="000000" w:fill="8EAADB"/>
            <w:noWrap/>
            <w:vAlign w:val="center"/>
            <w:hideMark/>
          </w:tcPr>
          <w:p w14:paraId="4D1E3B10" w14:textId="77777777" w:rsidR="002001F7" w:rsidRPr="00B763D5" w:rsidRDefault="002001F7" w:rsidP="00BB219D">
            <w:pPr>
              <w:ind w:firstLine="42"/>
              <w:jc w:val="cente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3</w:t>
            </w:r>
          </w:p>
        </w:tc>
      </w:tr>
      <w:tr w:rsidR="002001F7" w:rsidRPr="00B763D5" w14:paraId="2B0B7B59" w14:textId="77777777" w:rsidTr="006D53D8">
        <w:trPr>
          <w:trHeight w:val="270"/>
          <w:jc w:val="center"/>
        </w:trPr>
        <w:tc>
          <w:tcPr>
            <w:tcW w:w="974" w:type="dxa"/>
            <w:tcBorders>
              <w:top w:val="nil"/>
              <w:left w:val="nil"/>
              <w:bottom w:val="single" w:sz="8" w:space="0" w:color="4472C4"/>
              <w:right w:val="nil"/>
            </w:tcBorders>
            <w:shd w:val="clear" w:color="auto" w:fill="auto"/>
            <w:noWrap/>
            <w:vAlign w:val="center"/>
            <w:hideMark/>
          </w:tcPr>
          <w:p w14:paraId="15C834AE" w14:textId="77777777" w:rsidR="002001F7" w:rsidRPr="00B763D5" w:rsidRDefault="002001F7" w:rsidP="00BB219D">
            <w:pP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Grand Total</w:t>
            </w:r>
          </w:p>
        </w:tc>
        <w:tc>
          <w:tcPr>
            <w:tcW w:w="3261" w:type="dxa"/>
            <w:tcBorders>
              <w:top w:val="nil"/>
              <w:left w:val="nil"/>
              <w:bottom w:val="single" w:sz="8" w:space="0" w:color="4472C4"/>
              <w:right w:val="nil"/>
            </w:tcBorders>
            <w:shd w:val="clear" w:color="auto" w:fill="auto"/>
            <w:noWrap/>
            <w:vAlign w:val="center"/>
            <w:hideMark/>
          </w:tcPr>
          <w:p w14:paraId="3C99B45A" w14:textId="77777777" w:rsidR="002001F7" w:rsidRPr="00B763D5" w:rsidRDefault="002001F7" w:rsidP="00BB219D">
            <w:pPr>
              <w:ind w:left="92" w:hanging="20"/>
              <w:rPr>
                <w:rFonts w:ascii="Cambria" w:eastAsia="Times New Roman" w:hAnsi="Cambria" w:cs="Arial"/>
                <w:sz w:val="20"/>
                <w:szCs w:val="20"/>
                <w:lang w:val="es-ES_tradnl" w:eastAsia="es-CO"/>
              </w:rPr>
            </w:pPr>
            <w:r w:rsidRPr="00B763D5">
              <w:rPr>
                <w:rFonts w:ascii="Cambria" w:eastAsia="Times New Roman" w:hAnsi="Cambria" w:cs="Arial"/>
                <w:sz w:val="20"/>
                <w:szCs w:val="20"/>
                <w:lang w:val="es-ES_tradnl" w:eastAsia="es-CO"/>
              </w:rPr>
              <w:t> </w:t>
            </w:r>
          </w:p>
        </w:tc>
        <w:tc>
          <w:tcPr>
            <w:tcW w:w="2460" w:type="dxa"/>
            <w:tcBorders>
              <w:top w:val="nil"/>
              <w:left w:val="nil"/>
              <w:bottom w:val="single" w:sz="8" w:space="0" w:color="4472C4"/>
              <w:right w:val="nil"/>
            </w:tcBorders>
            <w:shd w:val="clear" w:color="auto" w:fill="auto"/>
            <w:noWrap/>
            <w:vAlign w:val="center"/>
            <w:hideMark/>
          </w:tcPr>
          <w:p w14:paraId="6FA8C2EC" w14:textId="77777777" w:rsidR="002001F7" w:rsidRPr="00B763D5" w:rsidRDefault="002001F7" w:rsidP="00BB219D">
            <w:pPr>
              <w:ind w:firstLine="42"/>
              <w:jc w:val="cente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140</w:t>
            </w:r>
          </w:p>
        </w:tc>
        <w:tc>
          <w:tcPr>
            <w:tcW w:w="2236" w:type="dxa"/>
            <w:tcBorders>
              <w:top w:val="nil"/>
              <w:left w:val="nil"/>
              <w:bottom w:val="single" w:sz="8" w:space="0" w:color="4472C4"/>
              <w:right w:val="nil"/>
            </w:tcBorders>
            <w:shd w:val="clear" w:color="auto" w:fill="auto"/>
            <w:noWrap/>
            <w:vAlign w:val="center"/>
            <w:hideMark/>
          </w:tcPr>
          <w:p w14:paraId="384ADCF5" w14:textId="77777777" w:rsidR="002001F7" w:rsidRPr="00B763D5" w:rsidRDefault="002001F7" w:rsidP="00BB219D">
            <w:pPr>
              <w:ind w:firstLine="42"/>
              <w:jc w:val="center"/>
              <w:rPr>
                <w:rFonts w:ascii="Cambria" w:eastAsia="Times New Roman" w:hAnsi="Cambria" w:cs="Arial"/>
                <w:b/>
                <w:bCs/>
                <w:sz w:val="20"/>
                <w:szCs w:val="20"/>
                <w:lang w:val="es-ES_tradnl" w:eastAsia="es-CO"/>
              </w:rPr>
            </w:pPr>
            <w:r w:rsidRPr="00B763D5">
              <w:rPr>
                <w:rFonts w:ascii="Cambria" w:eastAsia="Times New Roman" w:hAnsi="Cambria" w:cs="Arial"/>
                <w:b/>
                <w:bCs/>
                <w:sz w:val="20"/>
                <w:szCs w:val="20"/>
                <w:lang w:val="es-ES_tradnl" w:eastAsia="es-CO"/>
              </w:rPr>
              <w:t>140</w:t>
            </w:r>
          </w:p>
        </w:tc>
      </w:tr>
    </w:tbl>
    <w:p w14:paraId="7287BEB9" w14:textId="77777777" w:rsidR="002001F7" w:rsidRPr="00B763D5" w:rsidRDefault="002001F7" w:rsidP="002001F7">
      <w:pPr>
        <w:pStyle w:val="paragraphs"/>
        <w:numPr>
          <w:ilvl w:val="0"/>
          <w:numId w:val="0"/>
        </w:numPr>
        <w:ind w:left="720"/>
      </w:pPr>
    </w:p>
    <w:p w14:paraId="5CACC4A7" w14:textId="77777777" w:rsidR="002001F7" w:rsidRPr="00B763D5" w:rsidRDefault="002001F7" w:rsidP="002001F7">
      <w:pPr>
        <w:pStyle w:val="paragraphs"/>
        <w:ind w:left="0" w:firstLine="720"/>
      </w:pPr>
      <w:r w:rsidRPr="00B763D5">
        <w:t>La Comisión Interamericana de Derechos Humanos (CIDH) realizó su primera sesión interna del año el 8 y 9 de enero. En la ocasión, distribuyó las relatorías temáticas y de países, renovó el mandato de su Secretario Ejecutivo, y decidió llamar a concurso para la selección de la persona que para estar al frente de su Relatoría Especial para la Libertad de Expresión.</w:t>
      </w:r>
    </w:p>
    <w:p w14:paraId="6B0127D6" w14:textId="77777777" w:rsidR="002001F7" w:rsidRPr="00B763D5" w:rsidRDefault="002001F7" w:rsidP="002001F7">
      <w:pPr>
        <w:pStyle w:val="paragraphs"/>
        <w:ind w:left="0" w:firstLine="720"/>
      </w:pPr>
      <w:r w:rsidRPr="00B763D5">
        <w:t xml:space="preserve">Durante el primer trimestre de 2020 se publicó la convocatoria para ocupar la posición de Relator/a Especial para la Libertad de Expresión. El 15 de septiembre la CIDH </w:t>
      </w:r>
      <w:r w:rsidRPr="00B763D5">
        <w:lastRenderedPageBreak/>
        <w:t xml:space="preserve">seleccionó al </w:t>
      </w:r>
      <w:r>
        <w:t>señor</w:t>
      </w:r>
      <w:r w:rsidRPr="00B763D5">
        <w:t xml:space="preserve"> Pedro José Vaca Villarreal para el cargo de Relator Especial para la Libertad de Expresión. La Comisión remitió el nombre de la persona seleccionada al Secretario General de la Organización de los Estados Americanos (OEA), quien expresó su acuerdo con la designación. En concordancia con el artículo 15 del Reglamento de la CIDH, Pedro Vaca fue designado por un período de tres años, renovable una vez, y asumió el cargo el 6 de octubre de 2020.</w:t>
      </w:r>
    </w:p>
    <w:p w14:paraId="26622F89" w14:textId="77777777" w:rsidR="002001F7" w:rsidRPr="00B763D5" w:rsidRDefault="002001F7" w:rsidP="002001F7">
      <w:pPr>
        <w:pStyle w:val="paragraphs"/>
        <w:ind w:left="0" w:firstLine="720"/>
      </w:pPr>
      <w:r w:rsidRPr="00B763D5">
        <w:t>Asimismo, la CIDH decidió renovar el mandato de la Relatora Especial sobre Derechos Económicos, Sociales, Culturales y Ambientales (DESCA), Soledad García Muñoz, desde el 28 de agosto de 2020 hasta el 28 de agosto de 2023.</w:t>
      </w:r>
    </w:p>
    <w:p w14:paraId="1FC658BD" w14:textId="77777777" w:rsidR="002001F7" w:rsidRPr="00B763D5" w:rsidRDefault="002001F7" w:rsidP="002001F7">
      <w:pPr>
        <w:pStyle w:val="paragraphs"/>
        <w:ind w:left="0" w:firstLine="720"/>
      </w:pPr>
      <w:r w:rsidRPr="00B763D5">
        <w:t>A inicios del año se solicitó al Departamento de Recursos Humanos de la SG/OEA la publicación de concursos para ocupar tres posiciones vacantes en el fondo regular a nivel P02 y una posición vacante a nivel G05. Adicionalmente en el mes de abril se envió una propuesta para realizar la conversión de una posición vacante a nivel P03 a posiciones de menor nivel. Debido a una demora de la SG/OEA por más de 12 meses en la decisión del concurso a nivel P05, Especialista Principal de Derechos Humanos, se solicitó realizar la conversión de esta posición a posiciones de menor nivel. Durante el transcurso del año y a pesar de reiteradas solicitudes, la SE/CIDH no obtuvo respuesta por parte de la SG/OEA. En el mes de octubre como resultado de la aprobación del Programa–Presupuesto para 2021, la SE/CIDH sufrió una reducción de $546,000 USD. La CIDH decidió asumir dicho recorte con el uso de cargos vacantes con la finalidad de no terminar el contrato de ningún funcionario/a.</w:t>
      </w:r>
    </w:p>
    <w:p w14:paraId="17470675" w14:textId="77777777" w:rsidR="002001F7" w:rsidRPr="00B763D5" w:rsidRDefault="002001F7" w:rsidP="002001F7">
      <w:pPr>
        <w:pStyle w:val="paragraphs"/>
        <w:ind w:left="0" w:firstLine="720"/>
      </w:pPr>
      <w:r w:rsidRPr="00B763D5">
        <w:t>El día 15 de agosto de 2020, último día de la vigencia contractual del Secretario Ejecutivo, Paulo Abrão, el Secretario General de la OEA comunicó a la CIDH su determinación de abstenerse “de avanzar en el proceso de nombramiento del Secretario Ejecutivo” de la CIDH; lo que en la práctica se tradujo en una negativa a extender el contrato laboral, trámite requerido para dar continuidad administrativa al mandato del Secretario Ejecutivo.</w:t>
      </w:r>
    </w:p>
    <w:p w14:paraId="1ACF6809" w14:textId="77777777" w:rsidR="002001F7" w:rsidRPr="00B763D5" w:rsidRDefault="002001F7" w:rsidP="002001F7">
      <w:pPr>
        <w:pStyle w:val="paragraphs"/>
        <w:ind w:left="0" w:firstLine="720"/>
      </w:pPr>
      <w:r w:rsidRPr="00B763D5">
        <w:t>El 17 de septiembre de 2020, la CIDH anunció su decisión de llamar a concurso para seleccionar a la persona que ocupará el cargo de titular de su Secretaría Ejecutiva tras no haber obtenido la extensión contractual de su Secretario Ejecutivo, Paulo Abrão. La CIDH designó a la Secretaria Ejecutiva Adjunta para Monitoreo, Cooperación Técnica y Promoción, María Claudia Pulido, para sustituir interinamente la función de Secretaria Ejecutiva hasta que se complete el proceso de selección y designación de la nueva persona titular de la Secretaría Ejecutiva.</w:t>
      </w:r>
    </w:p>
    <w:p w14:paraId="21D6D738" w14:textId="77777777" w:rsidR="002001F7" w:rsidRPr="00B763D5" w:rsidRDefault="002001F7" w:rsidP="002001F7">
      <w:pPr>
        <w:pStyle w:val="paragraphs"/>
        <w:ind w:left="0" w:firstLine="720"/>
      </w:pPr>
      <w:r w:rsidRPr="00B763D5">
        <w:t xml:space="preserve">El 25 de septiembre se publicó la convocatoria por la cual el/la Secretario/a Ejecutivo/a será seleccionado/a conforme a los procedimientos contenidos en el </w:t>
      </w:r>
      <w:r>
        <w:t>a</w:t>
      </w:r>
      <w:r w:rsidRPr="00B763D5">
        <w:t>rtículo 11 de</w:t>
      </w:r>
      <w:r>
        <w:t>l Reglamento de la CIDH. El perí</w:t>
      </w:r>
      <w:r w:rsidRPr="00B763D5">
        <w:t>odo de presentación de postulaciones cerró el 19 de noviembre. El 14 de diciembre de 2020 la CIDH seleccionó a un grupo de diez (10) personas finalistas. El 15 de diciembre de 2020 los nombres y hojas de vidas de las personas candidatas seleccionadas como finalistas para la posición fueron publicados en la página de Internet de la CIDH con el fin de recibir observaciones de los Estados Miembros de la OEA y de la Sociedad Civil sobre los/as candidato/as.  Con posterioridad a la recepción de observaciones, cinco (5) personas finalistas serán entrevistadas de manera presencial por el pleno de la Comisión en el mes de febrero de 2021, en lugar y fecha por definir conforme las condiciones sanitarias lo permitan. La CIDH seleccionará a la persona candidata más calificada y remitirá su nombre al Secretario General, proponiendo su designación por un período de cuatro años que podrá ser renovado por una sola vez, de conformidad al art</w:t>
      </w:r>
      <w:r>
        <w:t>ículo</w:t>
      </w:r>
      <w:r w:rsidRPr="00B763D5">
        <w:t xml:space="preserve"> 21 de su Estatuto y al art</w:t>
      </w:r>
      <w:r>
        <w:t>ículo</w:t>
      </w:r>
      <w:r w:rsidRPr="00B763D5">
        <w:t xml:space="preserve"> 11 de su </w:t>
      </w:r>
      <w:r>
        <w:t>R</w:t>
      </w:r>
      <w:r w:rsidRPr="00B763D5">
        <w:t xml:space="preserve">eglamento. </w:t>
      </w:r>
    </w:p>
    <w:p w14:paraId="4A0B50CA" w14:textId="77777777" w:rsidR="002001F7" w:rsidRPr="00B763D5" w:rsidRDefault="002001F7" w:rsidP="002001F7">
      <w:pPr>
        <w:pStyle w:val="paragraphs"/>
        <w:ind w:left="0" w:firstLine="720"/>
      </w:pPr>
      <w:r w:rsidRPr="00B763D5">
        <w:t xml:space="preserve">En cuanto a la solicitud de reclasificaciones de puesto realizadas al Departamento de Recursos Humanos en septiembre 2019 y enero 2020, se procedió a efectuar </w:t>
      </w:r>
      <w:r w:rsidRPr="00B763D5">
        <w:lastRenderedPageBreak/>
        <w:t>durante el mes de marzo y abril las auditorias de puesto requeridas. Actualmente todas las solicitudes se encuentran en proceso de aprobación por la SG/OEA.</w:t>
      </w:r>
    </w:p>
    <w:p w14:paraId="2F27403B" w14:textId="77777777" w:rsidR="002001F7" w:rsidRPr="00B763D5" w:rsidRDefault="002001F7" w:rsidP="002001F7">
      <w:pPr>
        <w:pStyle w:val="paragraphs"/>
        <w:ind w:left="0" w:firstLine="720"/>
      </w:pPr>
      <w:r w:rsidRPr="00B763D5">
        <w:t>En el mes de agosto se publicaron 3 posiciones vacantes a nivel P02 financiadas por Fondos Específicos para ser ocupadas por concurso. Se estima que los nombramientos de las personas seleccionadas se realicen a inicios del 2021.</w:t>
      </w:r>
    </w:p>
    <w:p w14:paraId="0FD7F206" w14:textId="77777777" w:rsidR="002001F7" w:rsidRPr="00B763D5" w:rsidRDefault="002001F7" w:rsidP="002001F7">
      <w:pPr>
        <w:pStyle w:val="paragraphs"/>
        <w:numPr>
          <w:ilvl w:val="0"/>
          <w:numId w:val="0"/>
        </w:numPr>
        <w:ind w:left="720"/>
        <w:rPr>
          <w:rFonts w:eastAsia="Cambria" w:cstheme="minorHAnsi"/>
          <w:b/>
        </w:rPr>
      </w:pPr>
      <w:r w:rsidRPr="00B763D5">
        <w:rPr>
          <w:rFonts w:eastAsia="Cambria" w:cstheme="minorHAnsi"/>
          <w:b/>
        </w:rPr>
        <w:t>Consultores, Pasante</w:t>
      </w:r>
      <w:r>
        <w:rPr>
          <w:rFonts w:eastAsia="Cambria" w:cstheme="minorHAnsi"/>
          <w:b/>
        </w:rPr>
        <w:t>s, Becarios y Personal Asociado</w:t>
      </w:r>
    </w:p>
    <w:p w14:paraId="6A6C9ACE" w14:textId="77777777" w:rsidR="002001F7" w:rsidRPr="00B763D5" w:rsidRDefault="002001F7" w:rsidP="002001F7">
      <w:pPr>
        <w:pStyle w:val="paragraphs"/>
        <w:ind w:left="0" w:firstLine="720"/>
      </w:pPr>
      <w:r w:rsidRPr="00B763D5">
        <w:t>Durante 2020 se continuó con la renovación de contratos de consultores y la contratación de nuevos consultores fortaleciendo las diferentes secciones de la SE/CIDH. Al 31 de diciembre de 2020, la SE/CIDH cuenta con 83 consultores.</w:t>
      </w:r>
    </w:p>
    <w:p w14:paraId="637BCDBD" w14:textId="77777777" w:rsidR="002001F7" w:rsidRPr="00B763D5" w:rsidRDefault="002001F7" w:rsidP="002001F7">
      <w:pPr>
        <w:pStyle w:val="paragraphs"/>
        <w:ind w:left="0" w:firstLine="720"/>
      </w:pPr>
      <w:r w:rsidRPr="00B763D5">
        <w:t xml:space="preserve">Debido a la Pandemia COVID-19 durante el 2020 se llevaron a cabo dos Sesiones de Pasantías a Distancia coordinadas por el Departamento de Recursos Humanos de la SG/OEA, se incorporaron un total de 47 pasantes en la Secretaría Ejecutiva de la CIDH. </w:t>
      </w:r>
    </w:p>
    <w:p w14:paraId="1F90C3FF" w14:textId="77777777" w:rsidR="002001F7" w:rsidRPr="00B763D5" w:rsidRDefault="002001F7" w:rsidP="002001F7">
      <w:pPr>
        <w:pStyle w:val="paragraphs"/>
        <w:ind w:left="0" w:firstLine="720"/>
      </w:pPr>
      <w:r w:rsidRPr="00B763D5">
        <w:t>A través del apoyo de diferentes instituciones, la SE/CIDH recibió a 9 nuevos becarios quienes han trabajado</w:t>
      </w:r>
      <w:r>
        <w:t xml:space="preserve"> a distancia durante el año:</w:t>
      </w:r>
    </w:p>
    <w:tbl>
      <w:tblPr>
        <w:tblW w:w="7968" w:type="dxa"/>
        <w:jc w:val="center"/>
        <w:tblLook w:val="04A0" w:firstRow="1" w:lastRow="0" w:firstColumn="1" w:lastColumn="0" w:noHBand="0" w:noVBand="1"/>
      </w:tblPr>
      <w:tblGrid>
        <w:gridCol w:w="840"/>
        <w:gridCol w:w="1493"/>
        <w:gridCol w:w="2940"/>
        <w:gridCol w:w="2760"/>
      </w:tblGrid>
      <w:tr w:rsidR="002001F7" w:rsidRPr="00B763D5" w14:paraId="67638B6D" w14:textId="77777777" w:rsidTr="00BB219D">
        <w:trPr>
          <w:trHeight w:val="615"/>
          <w:jc w:val="center"/>
        </w:trPr>
        <w:tc>
          <w:tcPr>
            <w:tcW w:w="840" w:type="dxa"/>
            <w:tcBorders>
              <w:top w:val="single" w:sz="8" w:space="0" w:color="auto"/>
              <w:left w:val="single" w:sz="8" w:space="0" w:color="auto"/>
              <w:bottom w:val="single" w:sz="8" w:space="0" w:color="auto"/>
              <w:right w:val="single" w:sz="4" w:space="0" w:color="auto"/>
            </w:tcBorders>
            <w:shd w:val="clear" w:color="000000" w:fill="C5D9F1"/>
            <w:noWrap/>
            <w:vAlign w:val="center"/>
            <w:hideMark/>
          </w:tcPr>
          <w:p w14:paraId="0FBBDC8A" w14:textId="77777777" w:rsidR="002001F7" w:rsidRPr="00B763D5" w:rsidRDefault="002001F7" w:rsidP="00BB219D">
            <w:pPr>
              <w:jc w:val="center"/>
              <w:rPr>
                <w:rFonts w:ascii="Cambria" w:eastAsia="Times New Roman" w:hAnsi="Cambria" w:cs="Calibri"/>
                <w:b/>
                <w:bCs/>
                <w:color w:val="000000"/>
                <w:sz w:val="20"/>
                <w:szCs w:val="20"/>
                <w:lang w:val="es-ES_tradnl"/>
              </w:rPr>
            </w:pPr>
            <w:r w:rsidRPr="00B763D5">
              <w:rPr>
                <w:rFonts w:ascii="Cambria" w:eastAsia="Times New Roman" w:hAnsi="Cambria" w:cs="Calibri"/>
                <w:b/>
                <w:bCs/>
                <w:color w:val="000000"/>
                <w:sz w:val="20"/>
                <w:szCs w:val="20"/>
                <w:lang w:val="es-ES_tradnl"/>
              </w:rPr>
              <w:t>No.</w:t>
            </w:r>
          </w:p>
        </w:tc>
        <w:tc>
          <w:tcPr>
            <w:tcW w:w="1428" w:type="dxa"/>
            <w:tcBorders>
              <w:top w:val="single" w:sz="8" w:space="0" w:color="auto"/>
              <w:left w:val="nil"/>
              <w:bottom w:val="single" w:sz="8" w:space="0" w:color="auto"/>
              <w:right w:val="single" w:sz="4" w:space="0" w:color="auto"/>
            </w:tcBorders>
            <w:shd w:val="clear" w:color="000000" w:fill="C5D9F1"/>
            <w:noWrap/>
            <w:vAlign w:val="center"/>
            <w:hideMark/>
          </w:tcPr>
          <w:p w14:paraId="350857E0" w14:textId="77777777" w:rsidR="002001F7" w:rsidRPr="00B763D5" w:rsidRDefault="002001F7" w:rsidP="00BB219D">
            <w:pPr>
              <w:jc w:val="center"/>
              <w:rPr>
                <w:rFonts w:ascii="Cambria" w:eastAsia="Times New Roman" w:hAnsi="Cambria" w:cs="Calibri"/>
                <w:b/>
                <w:bCs/>
                <w:color w:val="000000"/>
                <w:sz w:val="20"/>
                <w:szCs w:val="20"/>
                <w:lang w:val="es-ES_tradnl"/>
              </w:rPr>
            </w:pPr>
            <w:r w:rsidRPr="00B763D5">
              <w:rPr>
                <w:rFonts w:ascii="Cambria" w:eastAsia="Times New Roman" w:hAnsi="Cambria" w:cs="Calibri"/>
                <w:b/>
                <w:bCs/>
                <w:color w:val="000000"/>
                <w:sz w:val="20"/>
                <w:szCs w:val="20"/>
                <w:lang w:val="es-ES_tradnl"/>
              </w:rPr>
              <w:t>Nacionalidad</w:t>
            </w:r>
          </w:p>
        </w:tc>
        <w:tc>
          <w:tcPr>
            <w:tcW w:w="2940" w:type="dxa"/>
            <w:tcBorders>
              <w:top w:val="single" w:sz="8" w:space="0" w:color="auto"/>
              <w:left w:val="nil"/>
              <w:bottom w:val="single" w:sz="8" w:space="0" w:color="auto"/>
              <w:right w:val="single" w:sz="4" w:space="0" w:color="auto"/>
            </w:tcBorders>
            <w:shd w:val="clear" w:color="000000" w:fill="C5D9F1"/>
            <w:noWrap/>
            <w:vAlign w:val="center"/>
            <w:hideMark/>
          </w:tcPr>
          <w:p w14:paraId="1C1FF9A1" w14:textId="77777777" w:rsidR="002001F7" w:rsidRPr="00B763D5" w:rsidRDefault="002001F7" w:rsidP="00BB219D">
            <w:pPr>
              <w:jc w:val="center"/>
              <w:rPr>
                <w:rFonts w:ascii="Cambria" w:eastAsia="Times New Roman" w:hAnsi="Cambria" w:cs="Calibri"/>
                <w:b/>
                <w:bCs/>
                <w:color w:val="000000"/>
                <w:sz w:val="20"/>
                <w:szCs w:val="20"/>
                <w:lang w:val="es-ES_tradnl"/>
              </w:rPr>
            </w:pPr>
            <w:r w:rsidRPr="00B763D5">
              <w:rPr>
                <w:rFonts w:ascii="Cambria" w:eastAsia="Times New Roman" w:hAnsi="Cambria" w:cs="Calibri"/>
                <w:b/>
                <w:bCs/>
                <w:color w:val="000000"/>
                <w:sz w:val="20"/>
                <w:szCs w:val="20"/>
                <w:lang w:val="es-ES_tradnl"/>
              </w:rPr>
              <w:t>BECA</w:t>
            </w:r>
          </w:p>
        </w:tc>
        <w:tc>
          <w:tcPr>
            <w:tcW w:w="2760" w:type="dxa"/>
            <w:tcBorders>
              <w:top w:val="single" w:sz="8" w:space="0" w:color="auto"/>
              <w:left w:val="nil"/>
              <w:bottom w:val="single" w:sz="8" w:space="0" w:color="auto"/>
              <w:right w:val="single" w:sz="4" w:space="0" w:color="auto"/>
            </w:tcBorders>
            <w:shd w:val="clear" w:color="000000" w:fill="C5D9F1"/>
            <w:noWrap/>
            <w:vAlign w:val="center"/>
            <w:hideMark/>
          </w:tcPr>
          <w:p w14:paraId="11B85362" w14:textId="77777777" w:rsidR="002001F7" w:rsidRPr="00B763D5" w:rsidRDefault="002001F7" w:rsidP="00BB219D">
            <w:pPr>
              <w:jc w:val="center"/>
              <w:rPr>
                <w:rFonts w:ascii="Cambria" w:eastAsia="Times New Roman" w:hAnsi="Cambria" w:cs="Calibri"/>
                <w:b/>
                <w:bCs/>
                <w:color w:val="000000"/>
                <w:sz w:val="20"/>
                <w:szCs w:val="20"/>
                <w:lang w:val="es-ES_tradnl"/>
              </w:rPr>
            </w:pPr>
            <w:r w:rsidRPr="00B763D5">
              <w:rPr>
                <w:rFonts w:ascii="Cambria" w:eastAsia="Times New Roman" w:hAnsi="Cambria" w:cs="Calibri"/>
                <w:b/>
                <w:bCs/>
                <w:color w:val="000000"/>
                <w:sz w:val="20"/>
                <w:szCs w:val="20"/>
                <w:lang w:val="es-ES_tradnl"/>
              </w:rPr>
              <w:t>Asignación</w:t>
            </w:r>
          </w:p>
        </w:tc>
      </w:tr>
      <w:tr w:rsidR="002001F7" w:rsidRPr="00B763D5" w14:paraId="20F897BB" w14:textId="77777777" w:rsidTr="00BB219D">
        <w:trPr>
          <w:trHeight w:val="600"/>
          <w:jc w:val="center"/>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8B09B" w14:textId="77777777" w:rsidR="002001F7" w:rsidRPr="00B763D5" w:rsidRDefault="002001F7" w:rsidP="00BB219D">
            <w:pPr>
              <w:jc w:val="center"/>
              <w:rPr>
                <w:rFonts w:ascii="Cambria" w:eastAsia="Times New Roman" w:hAnsi="Cambria" w:cs="Calibri"/>
                <w:bCs/>
                <w:sz w:val="20"/>
                <w:szCs w:val="20"/>
                <w:lang w:val="es-ES_tradnl"/>
              </w:rPr>
            </w:pPr>
            <w:r w:rsidRPr="00B763D5">
              <w:rPr>
                <w:rFonts w:ascii="Cambria" w:eastAsia="Times New Roman" w:hAnsi="Cambria" w:cs="Calibri"/>
                <w:bCs/>
                <w:sz w:val="20"/>
                <w:szCs w:val="20"/>
                <w:lang w:val="es-ES_tradnl"/>
              </w:rPr>
              <w:t>1</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29CC2C9C"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Venezuela</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18D831B8" w14:textId="77777777" w:rsidR="002001F7" w:rsidRPr="00B763D5" w:rsidRDefault="002001F7" w:rsidP="00BB219D">
            <w:pPr>
              <w:rPr>
                <w:rFonts w:ascii="Cambria" w:eastAsia="Times New Roman" w:hAnsi="Cambria" w:cs="Calibri"/>
                <w:sz w:val="20"/>
                <w:szCs w:val="20"/>
                <w:lang w:val="es-ES_tradnl"/>
              </w:rPr>
            </w:pPr>
            <w:proofErr w:type="spellStart"/>
            <w:r w:rsidRPr="00B763D5">
              <w:rPr>
                <w:rFonts w:ascii="Cambria" w:eastAsia="Times New Roman" w:hAnsi="Cambria" w:cs="Calibri"/>
                <w:sz w:val="20"/>
                <w:szCs w:val="20"/>
                <w:lang w:val="es-ES_tradnl"/>
              </w:rPr>
              <w:t>Save</w:t>
            </w:r>
            <w:proofErr w:type="spellEnd"/>
            <w:r w:rsidRPr="00B763D5">
              <w:rPr>
                <w:rFonts w:ascii="Cambria" w:eastAsia="Times New Roman" w:hAnsi="Cambria" w:cs="Calibri"/>
                <w:sz w:val="20"/>
                <w:szCs w:val="20"/>
                <w:lang w:val="es-ES_tradnl"/>
              </w:rPr>
              <w:t xml:space="preserve"> </w:t>
            </w:r>
            <w:proofErr w:type="spellStart"/>
            <w:r w:rsidRPr="00B763D5">
              <w:rPr>
                <w:rFonts w:ascii="Cambria" w:eastAsia="Times New Roman" w:hAnsi="Cambria" w:cs="Calibri"/>
                <w:sz w:val="20"/>
                <w:szCs w:val="20"/>
                <w:lang w:val="es-ES_tradnl"/>
              </w:rPr>
              <w:t>The</w:t>
            </w:r>
            <w:proofErr w:type="spellEnd"/>
            <w:r w:rsidRPr="00B763D5">
              <w:rPr>
                <w:rFonts w:ascii="Cambria" w:eastAsia="Times New Roman" w:hAnsi="Cambria" w:cs="Calibri"/>
                <w:sz w:val="20"/>
                <w:szCs w:val="20"/>
                <w:lang w:val="es-ES_tradnl"/>
              </w:rPr>
              <w:t xml:space="preserve"> </w:t>
            </w:r>
            <w:proofErr w:type="spellStart"/>
            <w:r w:rsidRPr="00B763D5">
              <w:rPr>
                <w:rFonts w:ascii="Cambria" w:eastAsia="Times New Roman" w:hAnsi="Cambria" w:cs="Calibri"/>
                <w:sz w:val="20"/>
                <w:szCs w:val="20"/>
                <w:lang w:val="es-ES_tradnl"/>
              </w:rPr>
              <w:t>Children</w:t>
            </w:r>
            <w:proofErr w:type="spellEnd"/>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38F8198A"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Monitoreo III</w:t>
            </w:r>
          </w:p>
        </w:tc>
      </w:tr>
      <w:tr w:rsidR="002001F7" w:rsidRPr="00B763D5" w14:paraId="035A41F8" w14:textId="77777777" w:rsidTr="00BB219D">
        <w:trPr>
          <w:trHeight w:val="900"/>
          <w:jc w:val="center"/>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14:paraId="7BE1972E" w14:textId="77777777" w:rsidR="002001F7" w:rsidRPr="00B763D5" w:rsidRDefault="002001F7" w:rsidP="00BB219D">
            <w:pPr>
              <w:jc w:val="center"/>
              <w:rPr>
                <w:rFonts w:ascii="Cambria" w:eastAsia="Times New Roman" w:hAnsi="Cambria" w:cs="Calibri"/>
                <w:bCs/>
                <w:sz w:val="20"/>
                <w:szCs w:val="20"/>
                <w:lang w:val="es-ES_tradnl"/>
              </w:rPr>
            </w:pPr>
            <w:r w:rsidRPr="00B763D5">
              <w:rPr>
                <w:rFonts w:ascii="Cambria" w:eastAsia="Times New Roman" w:hAnsi="Cambria" w:cs="Calibri"/>
                <w:bCs/>
                <w:sz w:val="20"/>
                <w:szCs w:val="20"/>
                <w:lang w:val="es-ES_tradnl"/>
              </w:rPr>
              <w:t>2</w:t>
            </w:r>
          </w:p>
        </w:tc>
        <w:tc>
          <w:tcPr>
            <w:tcW w:w="1428" w:type="dxa"/>
            <w:tcBorders>
              <w:top w:val="nil"/>
              <w:left w:val="nil"/>
              <w:bottom w:val="single" w:sz="4" w:space="0" w:color="auto"/>
              <w:right w:val="single" w:sz="4" w:space="0" w:color="auto"/>
            </w:tcBorders>
            <w:shd w:val="clear" w:color="auto" w:fill="auto"/>
            <w:noWrap/>
            <w:vAlign w:val="center"/>
            <w:hideMark/>
          </w:tcPr>
          <w:p w14:paraId="1871AD09"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Argentina</w:t>
            </w:r>
          </w:p>
        </w:tc>
        <w:tc>
          <w:tcPr>
            <w:tcW w:w="2940" w:type="dxa"/>
            <w:tcBorders>
              <w:top w:val="nil"/>
              <w:left w:val="nil"/>
              <w:bottom w:val="single" w:sz="4" w:space="0" w:color="auto"/>
              <w:right w:val="single" w:sz="4" w:space="0" w:color="auto"/>
            </w:tcBorders>
            <w:shd w:val="clear" w:color="auto" w:fill="auto"/>
            <w:vAlign w:val="center"/>
            <w:hideMark/>
          </w:tcPr>
          <w:p w14:paraId="5C07E658" w14:textId="77777777" w:rsidR="002001F7" w:rsidRPr="00B763D5" w:rsidRDefault="002001F7" w:rsidP="00BB219D">
            <w:pPr>
              <w:rPr>
                <w:rFonts w:ascii="Cambria" w:eastAsia="Times New Roman" w:hAnsi="Cambria" w:cs="Calibri"/>
                <w:sz w:val="20"/>
                <w:szCs w:val="20"/>
                <w:lang w:val="es-ES_tradnl"/>
              </w:rPr>
            </w:pPr>
            <w:r w:rsidRPr="00B763D5">
              <w:rPr>
                <w:rFonts w:ascii="Cambria" w:eastAsia="Times New Roman" w:hAnsi="Cambria" w:cs="Calibri"/>
                <w:sz w:val="20"/>
                <w:szCs w:val="20"/>
                <w:lang w:val="es-ES_tradnl"/>
              </w:rPr>
              <w:t>Orlando Sierra</w:t>
            </w:r>
          </w:p>
        </w:tc>
        <w:tc>
          <w:tcPr>
            <w:tcW w:w="2760" w:type="dxa"/>
            <w:tcBorders>
              <w:top w:val="nil"/>
              <w:left w:val="nil"/>
              <w:bottom w:val="single" w:sz="4" w:space="0" w:color="auto"/>
              <w:right w:val="single" w:sz="4" w:space="0" w:color="auto"/>
            </w:tcBorders>
            <w:shd w:val="clear" w:color="auto" w:fill="auto"/>
            <w:vAlign w:val="center"/>
            <w:hideMark/>
          </w:tcPr>
          <w:p w14:paraId="361CA106"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RELE</w:t>
            </w:r>
          </w:p>
        </w:tc>
      </w:tr>
      <w:tr w:rsidR="002001F7" w:rsidRPr="00B763D5" w14:paraId="25795E76" w14:textId="77777777" w:rsidTr="00BB219D">
        <w:trPr>
          <w:trHeight w:val="900"/>
          <w:jc w:val="center"/>
        </w:trPr>
        <w:tc>
          <w:tcPr>
            <w:tcW w:w="840" w:type="dxa"/>
            <w:tcBorders>
              <w:top w:val="nil"/>
              <w:left w:val="single" w:sz="4" w:space="0" w:color="auto"/>
              <w:bottom w:val="single" w:sz="4" w:space="0" w:color="auto"/>
              <w:right w:val="single" w:sz="4" w:space="0" w:color="auto"/>
            </w:tcBorders>
            <w:shd w:val="clear" w:color="000000" w:fill="FFFFFF"/>
            <w:noWrap/>
            <w:vAlign w:val="center"/>
          </w:tcPr>
          <w:p w14:paraId="38A171F4" w14:textId="77777777" w:rsidR="002001F7" w:rsidRPr="00B763D5" w:rsidRDefault="002001F7" w:rsidP="00BB219D">
            <w:pPr>
              <w:jc w:val="center"/>
              <w:rPr>
                <w:rFonts w:ascii="Cambria" w:eastAsia="Times New Roman" w:hAnsi="Cambria" w:cs="Calibri"/>
                <w:bCs/>
                <w:sz w:val="20"/>
                <w:szCs w:val="20"/>
                <w:lang w:val="es-ES_tradnl"/>
              </w:rPr>
            </w:pPr>
            <w:r w:rsidRPr="00B763D5">
              <w:rPr>
                <w:rFonts w:ascii="Cambria" w:eastAsia="Times New Roman" w:hAnsi="Cambria" w:cs="Calibri"/>
                <w:bCs/>
                <w:sz w:val="20"/>
                <w:szCs w:val="20"/>
                <w:lang w:val="es-ES_tradnl"/>
              </w:rPr>
              <w:t>3</w:t>
            </w:r>
          </w:p>
        </w:tc>
        <w:tc>
          <w:tcPr>
            <w:tcW w:w="1428" w:type="dxa"/>
            <w:tcBorders>
              <w:top w:val="nil"/>
              <w:left w:val="nil"/>
              <w:bottom w:val="single" w:sz="4" w:space="0" w:color="auto"/>
              <w:right w:val="single" w:sz="4" w:space="0" w:color="auto"/>
            </w:tcBorders>
            <w:shd w:val="clear" w:color="auto" w:fill="auto"/>
            <w:noWrap/>
            <w:vAlign w:val="center"/>
          </w:tcPr>
          <w:p w14:paraId="249D7396"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Colombia</w:t>
            </w:r>
          </w:p>
        </w:tc>
        <w:tc>
          <w:tcPr>
            <w:tcW w:w="2940" w:type="dxa"/>
            <w:tcBorders>
              <w:top w:val="nil"/>
              <w:left w:val="nil"/>
              <w:bottom w:val="single" w:sz="4" w:space="0" w:color="auto"/>
              <w:right w:val="single" w:sz="4" w:space="0" w:color="auto"/>
            </w:tcBorders>
            <w:shd w:val="clear" w:color="auto" w:fill="auto"/>
            <w:vAlign w:val="center"/>
          </w:tcPr>
          <w:p w14:paraId="47680215" w14:textId="77777777" w:rsidR="002001F7" w:rsidRPr="00B763D5" w:rsidRDefault="002001F7" w:rsidP="00BB219D">
            <w:pPr>
              <w:rPr>
                <w:rFonts w:ascii="Cambria" w:eastAsia="Times New Roman" w:hAnsi="Cambria" w:cs="Calibri"/>
                <w:sz w:val="20"/>
                <w:szCs w:val="20"/>
                <w:lang w:val="es-ES_tradnl"/>
              </w:rPr>
            </w:pPr>
            <w:r w:rsidRPr="00B763D5">
              <w:rPr>
                <w:rFonts w:ascii="Cambria" w:eastAsia="Times New Roman" w:hAnsi="Cambria" w:cs="Calibri"/>
                <w:sz w:val="20"/>
                <w:szCs w:val="20"/>
                <w:lang w:val="es-ES_tradnl"/>
              </w:rPr>
              <w:t>UCLA</w:t>
            </w:r>
          </w:p>
        </w:tc>
        <w:tc>
          <w:tcPr>
            <w:tcW w:w="2760" w:type="dxa"/>
            <w:tcBorders>
              <w:top w:val="nil"/>
              <w:left w:val="nil"/>
              <w:bottom w:val="single" w:sz="4" w:space="0" w:color="auto"/>
              <w:right w:val="single" w:sz="4" w:space="0" w:color="auto"/>
            </w:tcBorders>
            <w:shd w:val="clear" w:color="auto" w:fill="auto"/>
            <w:vAlign w:val="center"/>
          </w:tcPr>
          <w:p w14:paraId="7C24A921"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REDESCA</w:t>
            </w:r>
          </w:p>
        </w:tc>
      </w:tr>
      <w:tr w:rsidR="002001F7" w:rsidRPr="00B763D5" w14:paraId="4DC7034B" w14:textId="77777777" w:rsidTr="00BB219D">
        <w:trPr>
          <w:trHeight w:val="690"/>
          <w:jc w:val="center"/>
        </w:trPr>
        <w:tc>
          <w:tcPr>
            <w:tcW w:w="840" w:type="dxa"/>
            <w:tcBorders>
              <w:top w:val="nil"/>
              <w:left w:val="single" w:sz="4" w:space="0" w:color="auto"/>
              <w:bottom w:val="single" w:sz="4" w:space="0" w:color="auto"/>
              <w:right w:val="single" w:sz="4" w:space="0" w:color="auto"/>
            </w:tcBorders>
            <w:shd w:val="clear" w:color="000000" w:fill="FFFFFF"/>
            <w:noWrap/>
            <w:vAlign w:val="center"/>
          </w:tcPr>
          <w:p w14:paraId="3C2997EE" w14:textId="77777777" w:rsidR="002001F7" w:rsidRPr="00B763D5" w:rsidRDefault="002001F7" w:rsidP="00BB219D">
            <w:pPr>
              <w:jc w:val="center"/>
              <w:rPr>
                <w:rFonts w:ascii="Cambria" w:eastAsia="Times New Roman" w:hAnsi="Cambria" w:cs="Calibri"/>
                <w:bCs/>
                <w:sz w:val="20"/>
                <w:szCs w:val="20"/>
                <w:lang w:val="es-ES_tradnl"/>
              </w:rPr>
            </w:pPr>
            <w:r w:rsidRPr="00B763D5">
              <w:rPr>
                <w:rFonts w:ascii="Cambria" w:eastAsia="Times New Roman" w:hAnsi="Cambria" w:cs="Calibri"/>
                <w:bCs/>
                <w:sz w:val="20"/>
                <w:szCs w:val="20"/>
                <w:lang w:val="es-ES_tradnl"/>
              </w:rPr>
              <w:t>4</w:t>
            </w:r>
          </w:p>
        </w:tc>
        <w:tc>
          <w:tcPr>
            <w:tcW w:w="1428" w:type="dxa"/>
            <w:tcBorders>
              <w:top w:val="nil"/>
              <w:left w:val="nil"/>
              <w:bottom w:val="single" w:sz="4" w:space="0" w:color="auto"/>
              <w:right w:val="single" w:sz="4" w:space="0" w:color="auto"/>
            </w:tcBorders>
            <w:shd w:val="clear" w:color="auto" w:fill="auto"/>
            <w:noWrap/>
            <w:vAlign w:val="center"/>
          </w:tcPr>
          <w:p w14:paraId="22B64EBE"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Bolivia</w:t>
            </w:r>
          </w:p>
        </w:tc>
        <w:tc>
          <w:tcPr>
            <w:tcW w:w="2940" w:type="dxa"/>
            <w:tcBorders>
              <w:top w:val="nil"/>
              <w:left w:val="nil"/>
              <w:bottom w:val="single" w:sz="4" w:space="0" w:color="auto"/>
              <w:right w:val="single" w:sz="4" w:space="0" w:color="auto"/>
            </w:tcBorders>
            <w:shd w:val="clear" w:color="auto" w:fill="auto"/>
            <w:vAlign w:val="center"/>
          </w:tcPr>
          <w:p w14:paraId="46F79B3A" w14:textId="77777777" w:rsidR="002001F7" w:rsidRPr="00B763D5" w:rsidRDefault="002001F7" w:rsidP="00BB219D">
            <w:pPr>
              <w:rPr>
                <w:rFonts w:ascii="Cambria" w:eastAsia="Times New Roman" w:hAnsi="Cambria" w:cs="Calibri"/>
                <w:sz w:val="20"/>
                <w:szCs w:val="20"/>
                <w:lang w:val="es-ES_tradnl"/>
              </w:rPr>
            </w:pPr>
            <w:r w:rsidRPr="00B763D5">
              <w:rPr>
                <w:rFonts w:ascii="Cambria" w:eastAsia="Times New Roman" w:hAnsi="Cambria" w:cs="Calibri"/>
                <w:sz w:val="20"/>
                <w:szCs w:val="20"/>
                <w:lang w:val="es-ES_tradnl"/>
              </w:rPr>
              <w:t xml:space="preserve">Seguimiento de Recomendaciones </w:t>
            </w:r>
          </w:p>
        </w:tc>
        <w:tc>
          <w:tcPr>
            <w:tcW w:w="2760" w:type="dxa"/>
            <w:tcBorders>
              <w:top w:val="nil"/>
              <w:left w:val="nil"/>
              <w:bottom w:val="single" w:sz="4" w:space="0" w:color="auto"/>
              <w:right w:val="single" w:sz="4" w:space="0" w:color="auto"/>
            </w:tcBorders>
            <w:shd w:val="clear" w:color="auto" w:fill="auto"/>
            <w:vAlign w:val="center"/>
          </w:tcPr>
          <w:p w14:paraId="240ACF7F"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sz w:val="20"/>
                <w:szCs w:val="20"/>
                <w:lang w:val="es-ES_tradnl"/>
              </w:rPr>
              <w:t>Seguimiento de Recomendaciones</w:t>
            </w:r>
          </w:p>
        </w:tc>
      </w:tr>
      <w:tr w:rsidR="002001F7" w:rsidRPr="00B763D5" w14:paraId="0FB84A89" w14:textId="77777777" w:rsidTr="00BB219D">
        <w:trPr>
          <w:trHeight w:val="690"/>
          <w:jc w:val="center"/>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62B03" w14:textId="77777777" w:rsidR="002001F7" w:rsidRPr="00B763D5" w:rsidRDefault="002001F7" w:rsidP="00BB219D">
            <w:pPr>
              <w:jc w:val="center"/>
              <w:rPr>
                <w:rFonts w:ascii="Cambria" w:eastAsia="Times New Roman" w:hAnsi="Cambria" w:cs="Calibri"/>
                <w:bCs/>
                <w:sz w:val="20"/>
                <w:szCs w:val="20"/>
                <w:lang w:val="es-ES_tradnl"/>
              </w:rPr>
            </w:pPr>
            <w:r w:rsidRPr="00B763D5">
              <w:rPr>
                <w:rFonts w:ascii="Cambria" w:eastAsia="Times New Roman" w:hAnsi="Cambria" w:cs="Calibri"/>
                <w:bCs/>
                <w:sz w:val="20"/>
                <w:szCs w:val="20"/>
                <w:lang w:val="es-ES_tradnl"/>
              </w:rPr>
              <w:t>5</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13CF8F7"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Costa Rica</w:t>
            </w:r>
          </w:p>
        </w:tc>
        <w:tc>
          <w:tcPr>
            <w:tcW w:w="2940" w:type="dxa"/>
            <w:tcBorders>
              <w:top w:val="single" w:sz="4" w:space="0" w:color="auto"/>
              <w:left w:val="nil"/>
              <w:bottom w:val="single" w:sz="4" w:space="0" w:color="auto"/>
              <w:right w:val="single" w:sz="4" w:space="0" w:color="auto"/>
            </w:tcBorders>
            <w:shd w:val="clear" w:color="auto" w:fill="auto"/>
            <w:vAlign w:val="center"/>
          </w:tcPr>
          <w:p w14:paraId="5B2804A1" w14:textId="77777777" w:rsidR="002001F7" w:rsidRPr="00B763D5" w:rsidRDefault="002001F7" w:rsidP="00BB219D">
            <w:pPr>
              <w:rPr>
                <w:rFonts w:ascii="Cambria" w:eastAsia="Times New Roman" w:hAnsi="Cambria" w:cs="Calibri"/>
                <w:sz w:val="20"/>
                <w:szCs w:val="20"/>
                <w:lang w:val="es-ES_tradnl"/>
              </w:rPr>
            </w:pPr>
            <w:r w:rsidRPr="00B763D5">
              <w:rPr>
                <w:rFonts w:ascii="Cambria" w:eastAsia="Times New Roman" w:hAnsi="Cambria" w:cs="Calibri"/>
                <w:sz w:val="20"/>
                <w:szCs w:val="20"/>
                <w:lang w:val="es-ES_tradnl"/>
              </w:rPr>
              <w:t>ARCUS</w:t>
            </w:r>
          </w:p>
        </w:tc>
        <w:tc>
          <w:tcPr>
            <w:tcW w:w="2760" w:type="dxa"/>
            <w:tcBorders>
              <w:top w:val="single" w:sz="4" w:space="0" w:color="auto"/>
              <w:left w:val="nil"/>
              <w:bottom w:val="single" w:sz="4" w:space="0" w:color="auto"/>
              <w:right w:val="single" w:sz="4" w:space="0" w:color="auto"/>
            </w:tcBorders>
            <w:shd w:val="clear" w:color="auto" w:fill="auto"/>
            <w:vAlign w:val="center"/>
          </w:tcPr>
          <w:p w14:paraId="294679B8"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Relatoría LGBTI</w:t>
            </w:r>
          </w:p>
        </w:tc>
      </w:tr>
      <w:tr w:rsidR="002001F7" w:rsidRPr="00B763D5" w14:paraId="435105DF" w14:textId="77777777" w:rsidTr="00BB219D">
        <w:trPr>
          <w:trHeight w:val="690"/>
          <w:jc w:val="center"/>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101036" w14:textId="77777777" w:rsidR="002001F7" w:rsidRPr="00B763D5" w:rsidRDefault="002001F7" w:rsidP="00BB219D">
            <w:pPr>
              <w:jc w:val="center"/>
              <w:rPr>
                <w:rFonts w:ascii="Cambria" w:eastAsia="Times New Roman" w:hAnsi="Cambria" w:cs="Calibri"/>
                <w:bCs/>
                <w:sz w:val="20"/>
                <w:szCs w:val="20"/>
                <w:lang w:val="es-ES_tradnl"/>
              </w:rPr>
            </w:pPr>
            <w:r w:rsidRPr="00B763D5">
              <w:rPr>
                <w:rFonts w:ascii="Cambria" w:eastAsia="Times New Roman" w:hAnsi="Cambria" w:cs="Calibri"/>
                <w:bCs/>
                <w:sz w:val="20"/>
                <w:szCs w:val="20"/>
                <w:lang w:val="es-ES_tradnl"/>
              </w:rPr>
              <w:t>6</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F4AA20F"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México</w:t>
            </w:r>
          </w:p>
        </w:tc>
        <w:tc>
          <w:tcPr>
            <w:tcW w:w="2940" w:type="dxa"/>
            <w:tcBorders>
              <w:top w:val="single" w:sz="4" w:space="0" w:color="auto"/>
              <w:left w:val="nil"/>
              <w:bottom w:val="single" w:sz="4" w:space="0" w:color="auto"/>
              <w:right w:val="single" w:sz="4" w:space="0" w:color="auto"/>
            </w:tcBorders>
            <w:shd w:val="clear" w:color="auto" w:fill="auto"/>
            <w:vAlign w:val="center"/>
          </w:tcPr>
          <w:p w14:paraId="6D380D5C" w14:textId="77777777" w:rsidR="002001F7" w:rsidRPr="00B763D5" w:rsidRDefault="002001F7" w:rsidP="00BB219D">
            <w:pPr>
              <w:rPr>
                <w:rFonts w:ascii="Cambria" w:eastAsia="Times New Roman" w:hAnsi="Cambria" w:cs="Calibri"/>
                <w:sz w:val="20"/>
                <w:szCs w:val="20"/>
                <w:lang w:val="es-ES_tradnl"/>
              </w:rPr>
            </w:pPr>
            <w:r w:rsidRPr="00B763D5">
              <w:rPr>
                <w:rFonts w:ascii="Cambria" w:eastAsia="Times New Roman" w:hAnsi="Cambria" w:cs="Calibri"/>
                <w:sz w:val="20"/>
                <w:szCs w:val="20"/>
                <w:lang w:val="es-ES_tradnl"/>
              </w:rPr>
              <w:t>UNAM</w:t>
            </w:r>
          </w:p>
        </w:tc>
        <w:tc>
          <w:tcPr>
            <w:tcW w:w="2760" w:type="dxa"/>
            <w:tcBorders>
              <w:top w:val="single" w:sz="4" w:space="0" w:color="auto"/>
              <w:left w:val="nil"/>
              <w:bottom w:val="single" w:sz="4" w:space="0" w:color="auto"/>
              <w:right w:val="single" w:sz="4" w:space="0" w:color="auto"/>
            </w:tcBorders>
            <w:shd w:val="clear" w:color="auto" w:fill="auto"/>
            <w:vAlign w:val="center"/>
          </w:tcPr>
          <w:p w14:paraId="1A6582A0" w14:textId="77777777" w:rsidR="002001F7" w:rsidRPr="00B763D5" w:rsidDel="00D56CB7"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Casos</w:t>
            </w:r>
          </w:p>
        </w:tc>
      </w:tr>
      <w:tr w:rsidR="002001F7" w:rsidRPr="00B763D5" w14:paraId="5F650CC7" w14:textId="77777777" w:rsidTr="00BB219D">
        <w:trPr>
          <w:trHeight w:val="690"/>
          <w:jc w:val="center"/>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5B1C5F" w14:textId="77777777" w:rsidR="002001F7" w:rsidRPr="00B763D5" w:rsidRDefault="002001F7" w:rsidP="00BB219D">
            <w:pPr>
              <w:jc w:val="center"/>
              <w:rPr>
                <w:rFonts w:ascii="Cambria" w:eastAsia="Times New Roman" w:hAnsi="Cambria" w:cs="Calibri"/>
                <w:bCs/>
                <w:sz w:val="20"/>
                <w:szCs w:val="20"/>
                <w:lang w:val="es-ES_tradnl"/>
              </w:rPr>
            </w:pPr>
            <w:r w:rsidRPr="00B763D5">
              <w:rPr>
                <w:rFonts w:ascii="Cambria" w:eastAsia="Times New Roman" w:hAnsi="Cambria" w:cs="Calibri"/>
                <w:bCs/>
                <w:sz w:val="20"/>
                <w:szCs w:val="20"/>
                <w:lang w:val="es-ES_tradnl"/>
              </w:rPr>
              <w:t>7</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05C329E"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México/EE.UU.</w:t>
            </w:r>
          </w:p>
        </w:tc>
        <w:tc>
          <w:tcPr>
            <w:tcW w:w="2940" w:type="dxa"/>
            <w:tcBorders>
              <w:top w:val="single" w:sz="4" w:space="0" w:color="auto"/>
              <w:left w:val="nil"/>
              <w:bottom w:val="single" w:sz="4" w:space="0" w:color="auto"/>
              <w:right w:val="single" w:sz="4" w:space="0" w:color="auto"/>
            </w:tcBorders>
            <w:shd w:val="clear" w:color="auto" w:fill="auto"/>
            <w:vAlign w:val="center"/>
          </w:tcPr>
          <w:p w14:paraId="2C0EA387" w14:textId="77777777" w:rsidR="002001F7" w:rsidRPr="00B763D5" w:rsidRDefault="002001F7" w:rsidP="00BB219D">
            <w:pPr>
              <w:rPr>
                <w:rFonts w:ascii="Cambria" w:eastAsia="Times New Roman" w:hAnsi="Cambria" w:cs="Calibri"/>
                <w:sz w:val="20"/>
                <w:szCs w:val="20"/>
                <w:lang w:val="es-ES_tradnl"/>
              </w:rPr>
            </w:pPr>
            <w:r w:rsidRPr="00B763D5">
              <w:rPr>
                <w:rFonts w:ascii="Cambria" w:eastAsia="Times New Roman" w:hAnsi="Cambria" w:cs="Calibri"/>
                <w:sz w:val="20"/>
                <w:szCs w:val="20"/>
                <w:lang w:val="es-ES_tradnl"/>
              </w:rPr>
              <w:t>Universidad de Monterrey</w:t>
            </w:r>
          </w:p>
        </w:tc>
        <w:tc>
          <w:tcPr>
            <w:tcW w:w="2760" w:type="dxa"/>
            <w:tcBorders>
              <w:top w:val="single" w:sz="4" w:space="0" w:color="auto"/>
              <w:left w:val="nil"/>
              <w:bottom w:val="single" w:sz="4" w:space="0" w:color="auto"/>
              <w:right w:val="single" w:sz="4" w:space="0" w:color="auto"/>
            </w:tcBorders>
            <w:shd w:val="clear" w:color="auto" w:fill="auto"/>
            <w:vAlign w:val="center"/>
          </w:tcPr>
          <w:p w14:paraId="48A43A80" w14:textId="77777777" w:rsidR="002001F7" w:rsidRPr="00B763D5" w:rsidDel="00D56CB7"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REDESCA</w:t>
            </w:r>
          </w:p>
        </w:tc>
      </w:tr>
      <w:tr w:rsidR="002001F7" w:rsidRPr="00B763D5" w14:paraId="3B21ED7C" w14:textId="77777777" w:rsidTr="00BB219D">
        <w:trPr>
          <w:trHeight w:val="690"/>
          <w:jc w:val="center"/>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A804AF" w14:textId="77777777" w:rsidR="002001F7" w:rsidRPr="00B763D5" w:rsidRDefault="002001F7" w:rsidP="00BB219D">
            <w:pPr>
              <w:jc w:val="center"/>
              <w:rPr>
                <w:rFonts w:ascii="Cambria" w:eastAsia="Times New Roman" w:hAnsi="Cambria" w:cs="Calibri"/>
                <w:bCs/>
                <w:sz w:val="20"/>
                <w:szCs w:val="20"/>
                <w:lang w:val="es-ES_tradnl"/>
              </w:rPr>
            </w:pPr>
            <w:r w:rsidRPr="00B763D5">
              <w:rPr>
                <w:rFonts w:ascii="Cambria" w:eastAsia="Times New Roman" w:hAnsi="Cambria" w:cs="Calibri"/>
                <w:bCs/>
                <w:sz w:val="20"/>
                <w:szCs w:val="20"/>
                <w:lang w:val="es-ES_tradnl"/>
              </w:rPr>
              <w:t>8</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2C897F9"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Perú</w:t>
            </w:r>
          </w:p>
        </w:tc>
        <w:tc>
          <w:tcPr>
            <w:tcW w:w="2940" w:type="dxa"/>
            <w:tcBorders>
              <w:top w:val="single" w:sz="4" w:space="0" w:color="auto"/>
              <w:left w:val="nil"/>
              <w:bottom w:val="single" w:sz="4" w:space="0" w:color="auto"/>
              <w:right w:val="single" w:sz="4" w:space="0" w:color="auto"/>
            </w:tcBorders>
            <w:shd w:val="clear" w:color="auto" w:fill="auto"/>
            <w:vAlign w:val="center"/>
          </w:tcPr>
          <w:p w14:paraId="247B029A" w14:textId="77777777" w:rsidR="002001F7" w:rsidRPr="00B763D5" w:rsidRDefault="002001F7" w:rsidP="00BB219D">
            <w:pPr>
              <w:rPr>
                <w:rFonts w:ascii="Cambria" w:eastAsia="Times New Roman" w:hAnsi="Cambria" w:cs="Calibri"/>
                <w:sz w:val="20"/>
                <w:szCs w:val="20"/>
                <w:lang w:val="es-ES_tradnl"/>
              </w:rPr>
            </w:pPr>
            <w:r w:rsidRPr="00B763D5">
              <w:rPr>
                <w:rFonts w:ascii="Cambria" w:eastAsia="Times New Roman" w:hAnsi="Cambria" w:cs="Calibri"/>
                <w:sz w:val="20"/>
                <w:szCs w:val="20"/>
                <w:lang w:val="es-ES_tradnl"/>
              </w:rPr>
              <w:t>Pontificia Universidad Católica del Perú</w:t>
            </w:r>
          </w:p>
        </w:tc>
        <w:tc>
          <w:tcPr>
            <w:tcW w:w="2760" w:type="dxa"/>
            <w:tcBorders>
              <w:top w:val="single" w:sz="4" w:space="0" w:color="auto"/>
              <w:left w:val="nil"/>
              <w:bottom w:val="single" w:sz="4" w:space="0" w:color="auto"/>
              <w:right w:val="single" w:sz="4" w:space="0" w:color="auto"/>
            </w:tcBorders>
            <w:shd w:val="clear" w:color="auto" w:fill="auto"/>
            <w:vAlign w:val="center"/>
          </w:tcPr>
          <w:p w14:paraId="1E1F8AF0" w14:textId="77777777" w:rsidR="002001F7" w:rsidRPr="00B763D5" w:rsidDel="00D56CB7"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Casos</w:t>
            </w:r>
          </w:p>
        </w:tc>
      </w:tr>
      <w:tr w:rsidR="002001F7" w:rsidRPr="00B763D5" w14:paraId="1275BF69" w14:textId="77777777" w:rsidTr="00BB219D">
        <w:trPr>
          <w:trHeight w:val="690"/>
          <w:jc w:val="center"/>
        </w:trPr>
        <w:tc>
          <w:tcPr>
            <w:tcW w:w="8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A06ECA" w14:textId="77777777" w:rsidR="002001F7" w:rsidRPr="00B763D5" w:rsidRDefault="002001F7" w:rsidP="00BB219D">
            <w:pPr>
              <w:jc w:val="center"/>
              <w:rPr>
                <w:rFonts w:ascii="Cambria" w:eastAsia="Times New Roman" w:hAnsi="Cambria" w:cs="Calibri"/>
                <w:bCs/>
                <w:sz w:val="20"/>
                <w:szCs w:val="20"/>
                <w:lang w:val="es-ES_tradnl"/>
              </w:rPr>
            </w:pPr>
            <w:r w:rsidRPr="00B763D5">
              <w:rPr>
                <w:rFonts w:ascii="Cambria" w:eastAsia="Times New Roman" w:hAnsi="Cambria" w:cs="Calibri"/>
                <w:bCs/>
                <w:sz w:val="20"/>
                <w:szCs w:val="20"/>
                <w:lang w:val="es-ES_tradnl"/>
              </w:rPr>
              <w:t>9</w:t>
            </w: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8C6EC75" w14:textId="77777777" w:rsidR="002001F7" w:rsidRPr="00B763D5"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Perú</w:t>
            </w:r>
          </w:p>
        </w:tc>
        <w:tc>
          <w:tcPr>
            <w:tcW w:w="2940" w:type="dxa"/>
            <w:tcBorders>
              <w:top w:val="single" w:sz="4" w:space="0" w:color="auto"/>
              <w:left w:val="nil"/>
              <w:bottom w:val="single" w:sz="4" w:space="0" w:color="auto"/>
              <w:right w:val="single" w:sz="4" w:space="0" w:color="auto"/>
            </w:tcBorders>
            <w:shd w:val="clear" w:color="auto" w:fill="auto"/>
            <w:vAlign w:val="center"/>
          </w:tcPr>
          <w:p w14:paraId="326A43BC" w14:textId="77777777" w:rsidR="002001F7" w:rsidRPr="00B763D5" w:rsidRDefault="002001F7" w:rsidP="00BB219D">
            <w:pPr>
              <w:rPr>
                <w:rFonts w:ascii="Cambria" w:eastAsia="Times New Roman" w:hAnsi="Cambria" w:cs="Calibri"/>
                <w:sz w:val="20"/>
                <w:szCs w:val="20"/>
                <w:lang w:val="es-ES_tradnl"/>
              </w:rPr>
            </w:pPr>
            <w:r w:rsidRPr="00B763D5">
              <w:rPr>
                <w:rFonts w:ascii="Cambria" w:eastAsia="Times New Roman" w:hAnsi="Cambria" w:cs="Calibri"/>
                <w:sz w:val="20"/>
                <w:szCs w:val="20"/>
                <w:lang w:val="es-ES_tradnl"/>
              </w:rPr>
              <w:t>Pontificia Universidad Católica del Perú</w:t>
            </w:r>
          </w:p>
        </w:tc>
        <w:tc>
          <w:tcPr>
            <w:tcW w:w="2760" w:type="dxa"/>
            <w:tcBorders>
              <w:top w:val="single" w:sz="4" w:space="0" w:color="auto"/>
              <w:left w:val="nil"/>
              <w:bottom w:val="single" w:sz="4" w:space="0" w:color="auto"/>
              <w:right w:val="single" w:sz="4" w:space="0" w:color="auto"/>
            </w:tcBorders>
            <w:shd w:val="clear" w:color="auto" w:fill="auto"/>
            <w:vAlign w:val="center"/>
          </w:tcPr>
          <w:p w14:paraId="31B5471C" w14:textId="77777777" w:rsidR="002001F7" w:rsidRPr="00B763D5" w:rsidDel="00D56CB7" w:rsidRDefault="002001F7" w:rsidP="00BB219D">
            <w:pPr>
              <w:rPr>
                <w:rFonts w:ascii="Cambria" w:eastAsia="Times New Roman" w:hAnsi="Cambria" w:cs="Calibri"/>
                <w:color w:val="000000"/>
                <w:sz w:val="20"/>
                <w:szCs w:val="20"/>
                <w:lang w:val="es-ES_tradnl"/>
              </w:rPr>
            </w:pPr>
            <w:r w:rsidRPr="00B763D5">
              <w:rPr>
                <w:rFonts w:ascii="Cambria" w:eastAsia="Times New Roman" w:hAnsi="Cambria" w:cs="Calibri"/>
                <w:color w:val="000000"/>
                <w:sz w:val="20"/>
                <w:szCs w:val="20"/>
                <w:lang w:val="es-ES_tradnl"/>
              </w:rPr>
              <w:t>Casos</w:t>
            </w:r>
          </w:p>
        </w:tc>
      </w:tr>
    </w:tbl>
    <w:p w14:paraId="4A3CE880" w14:textId="77777777" w:rsidR="002001F7" w:rsidRPr="00B763D5" w:rsidRDefault="002001F7" w:rsidP="002001F7">
      <w:pPr>
        <w:pStyle w:val="paragraphs"/>
        <w:numPr>
          <w:ilvl w:val="0"/>
          <w:numId w:val="0"/>
        </w:numPr>
        <w:rPr>
          <w:rFonts w:eastAsia="Cambria" w:cs="Calibri Light"/>
        </w:rPr>
      </w:pPr>
    </w:p>
    <w:p w14:paraId="1DB049AC" w14:textId="77777777" w:rsidR="002001F7" w:rsidRPr="00B763D5" w:rsidRDefault="002001F7" w:rsidP="002001F7">
      <w:pPr>
        <w:pStyle w:val="paragraphs"/>
        <w:ind w:left="0" w:firstLine="720"/>
      </w:pPr>
      <w:r w:rsidRPr="00B763D5">
        <w:lastRenderedPageBreak/>
        <w:t>Adicionalmente, gracias al apoyo de las siguientes Instituciones, durante el 2020 la SE/CIDH recibió a cuatro de sus funcionarios/as bajo la modalidad de personal asociado:</w:t>
      </w:r>
    </w:p>
    <w:tbl>
      <w:tblPr>
        <w:tblW w:w="82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73"/>
        <w:gridCol w:w="4770"/>
        <w:gridCol w:w="2620"/>
      </w:tblGrid>
      <w:tr w:rsidR="002001F7" w:rsidRPr="00B763D5" w14:paraId="5E0E06E2" w14:textId="77777777" w:rsidTr="00BB219D">
        <w:trPr>
          <w:trHeight w:val="300"/>
          <w:jc w:val="center"/>
        </w:trPr>
        <w:tc>
          <w:tcPr>
            <w:tcW w:w="873" w:type="dxa"/>
            <w:shd w:val="clear" w:color="auto" w:fill="D9E2F3" w:themeFill="accent1" w:themeFillTint="33"/>
            <w:noWrap/>
            <w:tcMar>
              <w:top w:w="0" w:type="dxa"/>
              <w:left w:w="108" w:type="dxa"/>
              <w:bottom w:w="0" w:type="dxa"/>
              <w:right w:w="108" w:type="dxa"/>
            </w:tcMar>
            <w:vAlign w:val="bottom"/>
            <w:hideMark/>
          </w:tcPr>
          <w:p w14:paraId="0F0716CA" w14:textId="77777777" w:rsidR="002001F7" w:rsidRPr="00B763D5" w:rsidRDefault="002001F7" w:rsidP="00BB219D">
            <w:pPr>
              <w:pStyle w:val="paragraphs"/>
              <w:numPr>
                <w:ilvl w:val="0"/>
                <w:numId w:val="0"/>
              </w:numPr>
              <w:ind w:left="360"/>
              <w:rPr>
                <w:rFonts w:eastAsia="Cambria" w:cs="Calibri"/>
                <w:b/>
              </w:rPr>
            </w:pPr>
            <w:r w:rsidRPr="00B763D5">
              <w:rPr>
                <w:rFonts w:eastAsia="Cambria" w:cs="Calibri"/>
                <w:b/>
              </w:rPr>
              <w:t>No.</w:t>
            </w:r>
          </w:p>
        </w:tc>
        <w:tc>
          <w:tcPr>
            <w:tcW w:w="4770" w:type="dxa"/>
            <w:shd w:val="clear" w:color="auto" w:fill="D9E2F3" w:themeFill="accent1" w:themeFillTint="33"/>
            <w:noWrap/>
            <w:tcMar>
              <w:top w:w="0" w:type="dxa"/>
              <w:left w:w="108" w:type="dxa"/>
              <w:bottom w:w="0" w:type="dxa"/>
              <w:right w:w="108" w:type="dxa"/>
            </w:tcMar>
            <w:vAlign w:val="bottom"/>
            <w:hideMark/>
          </w:tcPr>
          <w:p w14:paraId="1E020BEA" w14:textId="77777777" w:rsidR="002001F7" w:rsidRPr="00B763D5" w:rsidRDefault="002001F7" w:rsidP="00BB219D">
            <w:pPr>
              <w:pStyle w:val="paragraphs"/>
              <w:numPr>
                <w:ilvl w:val="0"/>
                <w:numId w:val="0"/>
              </w:numPr>
              <w:ind w:left="360"/>
              <w:jc w:val="center"/>
              <w:rPr>
                <w:rFonts w:eastAsia="Cambria" w:cs="Calibri"/>
                <w:b/>
              </w:rPr>
            </w:pPr>
            <w:r w:rsidRPr="00B763D5">
              <w:rPr>
                <w:rFonts w:eastAsia="Cambria" w:cs="Calibri"/>
                <w:b/>
              </w:rPr>
              <w:t>Institución</w:t>
            </w:r>
          </w:p>
        </w:tc>
        <w:tc>
          <w:tcPr>
            <w:tcW w:w="2620" w:type="dxa"/>
            <w:shd w:val="clear" w:color="auto" w:fill="D9E2F3" w:themeFill="accent1" w:themeFillTint="33"/>
            <w:noWrap/>
            <w:tcMar>
              <w:top w:w="0" w:type="dxa"/>
              <w:left w:w="108" w:type="dxa"/>
              <w:bottom w:w="0" w:type="dxa"/>
              <w:right w:w="108" w:type="dxa"/>
            </w:tcMar>
            <w:vAlign w:val="bottom"/>
            <w:hideMark/>
          </w:tcPr>
          <w:p w14:paraId="4F8FE341" w14:textId="77777777" w:rsidR="002001F7" w:rsidRPr="00B763D5" w:rsidRDefault="002001F7" w:rsidP="00BB219D">
            <w:pPr>
              <w:pStyle w:val="paragraphs"/>
              <w:numPr>
                <w:ilvl w:val="0"/>
                <w:numId w:val="0"/>
              </w:numPr>
              <w:ind w:left="360"/>
              <w:jc w:val="center"/>
              <w:rPr>
                <w:rFonts w:eastAsia="Cambria" w:cs="Calibri"/>
                <w:b/>
              </w:rPr>
            </w:pPr>
            <w:r w:rsidRPr="00B763D5">
              <w:rPr>
                <w:rFonts w:eastAsia="Cambria" w:cs="Calibri"/>
                <w:b/>
              </w:rPr>
              <w:t>Asignación</w:t>
            </w:r>
          </w:p>
        </w:tc>
      </w:tr>
      <w:tr w:rsidR="002001F7" w:rsidRPr="00B763D5" w14:paraId="5CA9CF22" w14:textId="77777777" w:rsidTr="00BB219D">
        <w:trPr>
          <w:trHeight w:val="300"/>
          <w:jc w:val="center"/>
        </w:trPr>
        <w:tc>
          <w:tcPr>
            <w:tcW w:w="873" w:type="dxa"/>
            <w:noWrap/>
            <w:tcMar>
              <w:top w:w="0" w:type="dxa"/>
              <w:left w:w="108" w:type="dxa"/>
              <w:bottom w:w="0" w:type="dxa"/>
              <w:right w:w="108" w:type="dxa"/>
            </w:tcMar>
            <w:vAlign w:val="center"/>
          </w:tcPr>
          <w:p w14:paraId="5B2AF6DF" w14:textId="77777777" w:rsidR="002001F7" w:rsidRPr="00B763D5" w:rsidRDefault="002001F7" w:rsidP="00BB219D">
            <w:pPr>
              <w:pStyle w:val="paragraphs"/>
              <w:numPr>
                <w:ilvl w:val="0"/>
                <w:numId w:val="0"/>
              </w:numPr>
              <w:ind w:left="360"/>
              <w:jc w:val="left"/>
              <w:rPr>
                <w:rFonts w:eastAsia="Cambria" w:cs="Calibri"/>
              </w:rPr>
            </w:pPr>
            <w:r w:rsidRPr="00B763D5">
              <w:rPr>
                <w:rFonts w:eastAsia="Cambria" w:cs="Calibri"/>
              </w:rPr>
              <w:t>1</w:t>
            </w:r>
          </w:p>
        </w:tc>
        <w:tc>
          <w:tcPr>
            <w:tcW w:w="4770" w:type="dxa"/>
            <w:noWrap/>
            <w:tcMar>
              <w:top w:w="0" w:type="dxa"/>
              <w:left w:w="108" w:type="dxa"/>
              <w:bottom w:w="0" w:type="dxa"/>
              <w:right w:w="108" w:type="dxa"/>
            </w:tcMar>
            <w:vAlign w:val="center"/>
            <w:hideMark/>
          </w:tcPr>
          <w:p w14:paraId="1A4DC2FF" w14:textId="77777777" w:rsidR="002001F7" w:rsidRPr="00B763D5" w:rsidRDefault="002001F7" w:rsidP="00BB219D">
            <w:pPr>
              <w:pStyle w:val="paragraphs"/>
              <w:numPr>
                <w:ilvl w:val="0"/>
                <w:numId w:val="0"/>
              </w:numPr>
              <w:ind w:left="360"/>
              <w:jc w:val="left"/>
              <w:rPr>
                <w:rFonts w:eastAsia="Cambria" w:cs="Calibri"/>
              </w:rPr>
            </w:pPr>
            <w:r w:rsidRPr="00B763D5">
              <w:rPr>
                <w:rFonts w:eastAsia="Cambria" w:cs="Calibri"/>
              </w:rPr>
              <w:t>Trust de las Américas</w:t>
            </w:r>
          </w:p>
        </w:tc>
        <w:tc>
          <w:tcPr>
            <w:tcW w:w="2620" w:type="dxa"/>
            <w:noWrap/>
            <w:tcMar>
              <w:top w:w="0" w:type="dxa"/>
              <w:left w:w="108" w:type="dxa"/>
              <w:bottom w:w="0" w:type="dxa"/>
              <w:right w:w="108" w:type="dxa"/>
            </w:tcMar>
            <w:vAlign w:val="center"/>
            <w:hideMark/>
          </w:tcPr>
          <w:p w14:paraId="343E7F63" w14:textId="77777777" w:rsidR="002001F7" w:rsidRPr="00B763D5" w:rsidRDefault="002001F7" w:rsidP="00BB219D">
            <w:pPr>
              <w:pStyle w:val="paragraphs"/>
              <w:numPr>
                <w:ilvl w:val="0"/>
                <w:numId w:val="0"/>
              </w:numPr>
              <w:ind w:left="360"/>
              <w:jc w:val="center"/>
              <w:rPr>
                <w:rFonts w:eastAsia="Cambria" w:cs="Calibri"/>
              </w:rPr>
            </w:pPr>
            <w:r w:rsidRPr="00B763D5">
              <w:rPr>
                <w:rFonts w:eastAsia="Cambria" w:cs="Calibri"/>
              </w:rPr>
              <w:t>RELE</w:t>
            </w:r>
          </w:p>
        </w:tc>
      </w:tr>
      <w:tr w:rsidR="002001F7" w:rsidRPr="00B763D5" w14:paraId="66C111CB" w14:textId="77777777" w:rsidTr="00BB219D">
        <w:trPr>
          <w:trHeight w:val="300"/>
          <w:jc w:val="center"/>
        </w:trPr>
        <w:tc>
          <w:tcPr>
            <w:tcW w:w="873" w:type="dxa"/>
            <w:noWrap/>
            <w:tcMar>
              <w:top w:w="0" w:type="dxa"/>
              <w:left w:w="108" w:type="dxa"/>
              <w:bottom w:w="0" w:type="dxa"/>
              <w:right w:w="108" w:type="dxa"/>
            </w:tcMar>
            <w:vAlign w:val="center"/>
          </w:tcPr>
          <w:p w14:paraId="797C20D7" w14:textId="77777777" w:rsidR="002001F7" w:rsidRPr="00B763D5" w:rsidRDefault="002001F7" w:rsidP="00BB219D">
            <w:pPr>
              <w:pStyle w:val="paragraphs"/>
              <w:numPr>
                <w:ilvl w:val="0"/>
                <w:numId w:val="0"/>
              </w:numPr>
              <w:ind w:left="360"/>
              <w:jc w:val="left"/>
              <w:rPr>
                <w:rFonts w:eastAsia="Cambria" w:cs="Calibri"/>
              </w:rPr>
            </w:pPr>
            <w:r w:rsidRPr="00B763D5">
              <w:rPr>
                <w:rFonts w:eastAsia="Cambria" w:cs="Calibri"/>
              </w:rPr>
              <w:t>2</w:t>
            </w:r>
          </w:p>
        </w:tc>
        <w:tc>
          <w:tcPr>
            <w:tcW w:w="4770" w:type="dxa"/>
            <w:noWrap/>
            <w:tcMar>
              <w:top w:w="0" w:type="dxa"/>
              <w:left w:w="108" w:type="dxa"/>
              <w:bottom w:w="0" w:type="dxa"/>
              <w:right w:w="108" w:type="dxa"/>
            </w:tcMar>
            <w:vAlign w:val="center"/>
            <w:hideMark/>
          </w:tcPr>
          <w:p w14:paraId="2A04E1FA" w14:textId="77777777" w:rsidR="002001F7" w:rsidRPr="00B763D5" w:rsidRDefault="002001F7" w:rsidP="00BB219D">
            <w:pPr>
              <w:pStyle w:val="paragraphs"/>
              <w:numPr>
                <w:ilvl w:val="0"/>
                <w:numId w:val="0"/>
              </w:numPr>
              <w:ind w:left="360"/>
              <w:jc w:val="left"/>
              <w:rPr>
                <w:rFonts w:eastAsia="Cambria" w:cs="Calibri"/>
              </w:rPr>
            </w:pPr>
            <w:r w:rsidRPr="00B763D5">
              <w:rPr>
                <w:rFonts w:eastAsia="Cambria" w:cs="Calibri"/>
              </w:rPr>
              <w:t>Trust de las Américas</w:t>
            </w:r>
          </w:p>
        </w:tc>
        <w:tc>
          <w:tcPr>
            <w:tcW w:w="2620" w:type="dxa"/>
            <w:noWrap/>
            <w:tcMar>
              <w:top w:w="0" w:type="dxa"/>
              <w:left w:w="108" w:type="dxa"/>
              <w:bottom w:w="0" w:type="dxa"/>
              <w:right w:w="108" w:type="dxa"/>
            </w:tcMar>
            <w:vAlign w:val="center"/>
            <w:hideMark/>
          </w:tcPr>
          <w:p w14:paraId="185DEFB1" w14:textId="77777777" w:rsidR="002001F7" w:rsidRPr="00B763D5" w:rsidRDefault="002001F7" w:rsidP="00BB219D">
            <w:pPr>
              <w:pStyle w:val="paragraphs"/>
              <w:numPr>
                <w:ilvl w:val="0"/>
                <w:numId w:val="0"/>
              </w:numPr>
              <w:ind w:left="360"/>
              <w:jc w:val="center"/>
              <w:rPr>
                <w:rFonts w:eastAsia="Cambria" w:cs="Calibri"/>
              </w:rPr>
            </w:pPr>
            <w:r w:rsidRPr="00B763D5">
              <w:rPr>
                <w:rFonts w:eastAsia="Cambria" w:cs="Calibri"/>
              </w:rPr>
              <w:t>Monitoreo II</w:t>
            </w:r>
          </w:p>
        </w:tc>
      </w:tr>
      <w:tr w:rsidR="002001F7" w:rsidRPr="00B763D5" w14:paraId="108C2BE3" w14:textId="77777777" w:rsidTr="00BB219D">
        <w:trPr>
          <w:trHeight w:val="300"/>
          <w:jc w:val="center"/>
        </w:trPr>
        <w:tc>
          <w:tcPr>
            <w:tcW w:w="873" w:type="dxa"/>
            <w:noWrap/>
            <w:tcMar>
              <w:top w:w="0" w:type="dxa"/>
              <w:left w:w="108" w:type="dxa"/>
              <w:bottom w:w="0" w:type="dxa"/>
              <w:right w:w="108" w:type="dxa"/>
            </w:tcMar>
            <w:vAlign w:val="center"/>
          </w:tcPr>
          <w:p w14:paraId="17D4974E" w14:textId="77777777" w:rsidR="002001F7" w:rsidRPr="00B763D5" w:rsidRDefault="002001F7" w:rsidP="00BB219D">
            <w:pPr>
              <w:pStyle w:val="paragraphs"/>
              <w:numPr>
                <w:ilvl w:val="0"/>
                <w:numId w:val="0"/>
              </w:numPr>
              <w:ind w:left="360"/>
              <w:jc w:val="left"/>
              <w:rPr>
                <w:rFonts w:eastAsia="Cambria" w:cs="Calibri"/>
              </w:rPr>
            </w:pPr>
            <w:r w:rsidRPr="00B763D5">
              <w:rPr>
                <w:rFonts w:eastAsia="Cambria" w:cs="Calibri"/>
              </w:rPr>
              <w:t>3</w:t>
            </w:r>
          </w:p>
        </w:tc>
        <w:tc>
          <w:tcPr>
            <w:tcW w:w="4770" w:type="dxa"/>
            <w:noWrap/>
            <w:tcMar>
              <w:top w:w="0" w:type="dxa"/>
              <w:left w:w="108" w:type="dxa"/>
              <w:bottom w:w="0" w:type="dxa"/>
              <w:right w:w="108" w:type="dxa"/>
            </w:tcMar>
            <w:vAlign w:val="center"/>
            <w:hideMark/>
          </w:tcPr>
          <w:p w14:paraId="51BD36CB" w14:textId="77777777" w:rsidR="002001F7" w:rsidRPr="00B763D5" w:rsidRDefault="002001F7" w:rsidP="00BB219D">
            <w:pPr>
              <w:pStyle w:val="paragraphs"/>
              <w:numPr>
                <w:ilvl w:val="0"/>
                <w:numId w:val="0"/>
              </w:numPr>
              <w:ind w:left="360"/>
              <w:jc w:val="left"/>
              <w:rPr>
                <w:rFonts w:eastAsia="Cambria" w:cs="Calibri"/>
              </w:rPr>
            </w:pPr>
            <w:r w:rsidRPr="00B763D5">
              <w:t>Defensoría Pública Penal de Chile</w:t>
            </w:r>
          </w:p>
        </w:tc>
        <w:tc>
          <w:tcPr>
            <w:tcW w:w="2620" w:type="dxa"/>
            <w:noWrap/>
            <w:tcMar>
              <w:top w:w="0" w:type="dxa"/>
              <w:left w:w="108" w:type="dxa"/>
              <w:bottom w:w="0" w:type="dxa"/>
              <w:right w:w="108" w:type="dxa"/>
            </w:tcMar>
            <w:vAlign w:val="center"/>
            <w:hideMark/>
          </w:tcPr>
          <w:p w14:paraId="62EBF112" w14:textId="77777777" w:rsidR="002001F7" w:rsidRPr="00B763D5" w:rsidRDefault="002001F7" w:rsidP="00BB219D">
            <w:pPr>
              <w:pStyle w:val="paragraphs"/>
              <w:numPr>
                <w:ilvl w:val="0"/>
                <w:numId w:val="0"/>
              </w:numPr>
              <w:ind w:left="360"/>
              <w:jc w:val="center"/>
              <w:rPr>
                <w:rFonts w:eastAsia="Cambria" w:cs="Calibri"/>
              </w:rPr>
            </w:pPr>
            <w:r w:rsidRPr="00B763D5">
              <w:rPr>
                <w:rFonts w:eastAsia="Cambria" w:cs="Calibri"/>
              </w:rPr>
              <w:t>Admisibilidad</w:t>
            </w:r>
          </w:p>
        </w:tc>
      </w:tr>
      <w:tr w:rsidR="002001F7" w:rsidRPr="00B763D5" w14:paraId="5ABADA1B" w14:textId="77777777" w:rsidTr="00BB219D">
        <w:trPr>
          <w:trHeight w:val="300"/>
          <w:jc w:val="center"/>
        </w:trPr>
        <w:tc>
          <w:tcPr>
            <w:tcW w:w="873" w:type="dxa"/>
            <w:noWrap/>
            <w:tcMar>
              <w:top w:w="0" w:type="dxa"/>
              <w:left w:w="108" w:type="dxa"/>
              <w:bottom w:w="0" w:type="dxa"/>
              <w:right w:w="108" w:type="dxa"/>
            </w:tcMar>
            <w:vAlign w:val="center"/>
          </w:tcPr>
          <w:p w14:paraId="6C7C6FF7" w14:textId="77777777" w:rsidR="002001F7" w:rsidRPr="00B763D5" w:rsidRDefault="002001F7" w:rsidP="00BB219D">
            <w:pPr>
              <w:pStyle w:val="paragraphs"/>
              <w:numPr>
                <w:ilvl w:val="0"/>
                <w:numId w:val="0"/>
              </w:numPr>
              <w:ind w:left="360"/>
              <w:jc w:val="left"/>
              <w:rPr>
                <w:rFonts w:eastAsia="Cambria" w:cs="Calibri"/>
              </w:rPr>
            </w:pPr>
            <w:r w:rsidRPr="00B763D5">
              <w:rPr>
                <w:rFonts w:eastAsia="Cambria" w:cs="Calibri"/>
              </w:rPr>
              <w:t xml:space="preserve">4 </w:t>
            </w:r>
          </w:p>
        </w:tc>
        <w:tc>
          <w:tcPr>
            <w:tcW w:w="4770" w:type="dxa"/>
            <w:noWrap/>
            <w:tcMar>
              <w:top w:w="0" w:type="dxa"/>
              <w:left w:w="108" w:type="dxa"/>
              <w:bottom w:w="0" w:type="dxa"/>
              <w:right w:w="108" w:type="dxa"/>
            </w:tcMar>
            <w:vAlign w:val="center"/>
          </w:tcPr>
          <w:p w14:paraId="7CE04206" w14:textId="77777777" w:rsidR="002001F7" w:rsidRPr="00B763D5" w:rsidRDefault="002001F7" w:rsidP="00BB219D">
            <w:pPr>
              <w:pStyle w:val="paragraphs"/>
              <w:numPr>
                <w:ilvl w:val="0"/>
                <w:numId w:val="0"/>
              </w:numPr>
              <w:ind w:left="360"/>
              <w:jc w:val="left"/>
            </w:pPr>
            <w:r w:rsidRPr="00B763D5">
              <w:t>Defensoría Pública Penal de Chile</w:t>
            </w:r>
          </w:p>
        </w:tc>
        <w:tc>
          <w:tcPr>
            <w:tcW w:w="2620" w:type="dxa"/>
            <w:noWrap/>
            <w:tcMar>
              <w:top w:w="0" w:type="dxa"/>
              <w:left w:w="108" w:type="dxa"/>
              <w:bottom w:w="0" w:type="dxa"/>
              <w:right w:w="108" w:type="dxa"/>
            </w:tcMar>
            <w:vAlign w:val="center"/>
          </w:tcPr>
          <w:p w14:paraId="4251E494" w14:textId="77777777" w:rsidR="002001F7" w:rsidRPr="00B763D5" w:rsidRDefault="002001F7" w:rsidP="00BB219D">
            <w:pPr>
              <w:pStyle w:val="paragraphs"/>
              <w:numPr>
                <w:ilvl w:val="0"/>
                <w:numId w:val="0"/>
              </w:numPr>
              <w:ind w:left="360"/>
              <w:jc w:val="center"/>
              <w:rPr>
                <w:rFonts w:eastAsia="Cambria" w:cs="Calibri"/>
              </w:rPr>
            </w:pPr>
            <w:r w:rsidRPr="00B763D5">
              <w:rPr>
                <w:rFonts w:eastAsia="Cambria" w:cs="Calibri"/>
              </w:rPr>
              <w:t>Casos</w:t>
            </w:r>
          </w:p>
        </w:tc>
      </w:tr>
    </w:tbl>
    <w:p w14:paraId="4D4E1D91" w14:textId="77777777" w:rsidR="002001F7" w:rsidRPr="009938EE" w:rsidRDefault="002001F7" w:rsidP="002001F7">
      <w:pPr>
        <w:pStyle w:val="Heading2"/>
      </w:pPr>
      <w:r w:rsidRPr="009938EE">
        <w:t>Capacitación del personal</w:t>
      </w:r>
    </w:p>
    <w:p w14:paraId="48D122C2" w14:textId="77777777" w:rsidR="002001F7" w:rsidRPr="00B763D5" w:rsidRDefault="002001F7" w:rsidP="002001F7">
      <w:pPr>
        <w:pStyle w:val="paragraphs"/>
        <w:ind w:left="0" w:firstLine="720"/>
      </w:pPr>
      <w:r w:rsidRPr="00B763D5">
        <w:t xml:space="preserve">En el transcurso del año se impartió el Modulo #1 de la Escuela de Liderazgo en su formato en línea, disponible para todo el personal.  Adicionalmente en el mes de diciembre se realizó un taller de manera virtual para todo el personal de la SE/CIDH sobre la promoción de la diversidad y prevención de la discriminación en el espacio laboral. </w:t>
      </w:r>
    </w:p>
    <w:p w14:paraId="1A2F5993" w14:textId="77777777" w:rsidR="002001F7" w:rsidRPr="00BB219D" w:rsidRDefault="002001F7" w:rsidP="002001F7">
      <w:pPr>
        <w:pStyle w:val="paragraphs"/>
        <w:ind w:left="0" w:firstLine="720"/>
      </w:pPr>
      <w:r w:rsidRPr="00BB219D">
        <w:t xml:space="preserve">Debido a crisis del COVID-19 en coordinación con el Departamento de Recursos Humanos de la SG/OEA fue necesario reprogramar la impartición de los siguientes cursos: </w:t>
      </w:r>
    </w:p>
    <w:p w14:paraId="258C21DD" w14:textId="77777777" w:rsidR="002001F7" w:rsidRPr="00BB219D" w:rsidRDefault="002001F7" w:rsidP="002001F7">
      <w:pPr>
        <w:numPr>
          <w:ilvl w:val="1"/>
          <w:numId w:val="1"/>
        </w:numPr>
        <w:spacing w:after="0"/>
        <w:ind w:left="1080"/>
        <w:rPr>
          <w:rFonts w:ascii="Cambria" w:hAnsi="Cambria"/>
          <w:sz w:val="20"/>
          <w:szCs w:val="20"/>
          <w:lang w:val="es-ES"/>
        </w:rPr>
      </w:pPr>
      <w:r w:rsidRPr="00BB219D">
        <w:rPr>
          <w:rFonts w:ascii="Cambria" w:hAnsi="Cambria"/>
          <w:sz w:val="20"/>
          <w:szCs w:val="20"/>
          <w:lang w:val="es-ES"/>
        </w:rPr>
        <w:t>Escuela de Liderazgo - Módulo #2 Inspirar a Otros. Dirigido a personas que dirigen y coordinan equipos.</w:t>
      </w:r>
    </w:p>
    <w:p w14:paraId="0BFBDD60" w14:textId="77777777" w:rsidR="002001F7" w:rsidRPr="00BB219D" w:rsidRDefault="002001F7" w:rsidP="002001F7">
      <w:pPr>
        <w:numPr>
          <w:ilvl w:val="1"/>
          <w:numId w:val="1"/>
        </w:numPr>
        <w:spacing w:after="0"/>
        <w:ind w:left="1080"/>
        <w:rPr>
          <w:rFonts w:ascii="Cambria" w:hAnsi="Cambria"/>
          <w:sz w:val="20"/>
          <w:szCs w:val="20"/>
          <w:lang w:val="es-ES"/>
        </w:rPr>
      </w:pPr>
      <w:r w:rsidRPr="00BB219D">
        <w:rPr>
          <w:rFonts w:ascii="Cambria" w:hAnsi="Cambria"/>
          <w:sz w:val="20"/>
          <w:szCs w:val="20"/>
          <w:lang w:val="es-ES"/>
        </w:rPr>
        <w:t>Curso de Resiliencia dirigido a todo el personal de la SE/CIDH.</w:t>
      </w:r>
    </w:p>
    <w:p w14:paraId="5868674B" w14:textId="77777777" w:rsidR="002001F7" w:rsidRPr="00BB219D" w:rsidRDefault="002001F7" w:rsidP="002001F7">
      <w:pPr>
        <w:numPr>
          <w:ilvl w:val="1"/>
          <w:numId w:val="1"/>
        </w:numPr>
        <w:spacing w:after="0"/>
        <w:ind w:left="1080"/>
        <w:rPr>
          <w:rFonts w:ascii="Cambria" w:hAnsi="Cambria"/>
          <w:sz w:val="20"/>
          <w:szCs w:val="20"/>
          <w:lang w:val="es-ES"/>
        </w:rPr>
      </w:pPr>
      <w:r w:rsidRPr="00BB219D">
        <w:rPr>
          <w:rFonts w:ascii="Cambria" w:hAnsi="Cambria"/>
          <w:sz w:val="20"/>
          <w:szCs w:val="20"/>
          <w:lang w:val="es-ES"/>
        </w:rPr>
        <w:t>Curso sobre Política de Acoso Laboral, Acoso Sexual dirigido a todo el personal de la SE/CIDH.</w:t>
      </w:r>
    </w:p>
    <w:p w14:paraId="384F83A9" w14:textId="77777777" w:rsidR="002001F7" w:rsidRPr="00BB219D" w:rsidRDefault="002001F7" w:rsidP="002001F7">
      <w:pPr>
        <w:numPr>
          <w:ilvl w:val="1"/>
          <w:numId w:val="1"/>
        </w:numPr>
        <w:spacing w:after="0"/>
        <w:ind w:left="1080"/>
        <w:rPr>
          <w:rFonts w:ascii="Cambria" w:hAnsi="Cambria"/>
          <w:sz w:val="20"/>
          <w:szCs w:val="20"/>
          <w:lang w:val="es-ES"/>
        </w:rPr>
      </w:pPr>
      <w:r w:rsidRPr="00BB219D">
        <w:rPr>
          <w:rFonts w:ascii="Cambria" w:hAnsi="Cambria"/>
          <w:sz w:val="20"/>
          <w:szCs w:val="20"/>
          <w:lang w:val="es-ES"/>
        </w:rPr>
        <w:t>Curso sobre Código de Ética dirigido a todo el personal de la SE/CIDH.</w:t>
      </w:r>
    </w:p>
    <w:p w14:paraId="5D7AB4F2" w14:textId="77777777" w:rsidR="002001F7" w:rsidRPr="00B763D5" w:rsidRDefault="002001F7" w:rsidP="002001F7">
      <w:pPr>
        <w:pStyle w:val="Heading2"/>
      </w:pPr>
      <w:r w:rsidRPr="00B763D5">
        <w:t xml:space="preserve">Plan de ambiente laboral elaborado colectivamente en proceso de implementación </w:t>
      </w:r>
    </w:p>
    <w:p w14:paraId="477C9DDA" w14:textId="77777777" w:rsidR="002001F7" w:rsidRPr="00B763D5" w:rsidRDefault="002001F7" w:rsidP="002001F7">
      <w:pPr>
        <w:pStyle w:val="paragraphs"/>
        <w:ind w:left="0" w:firstLine="720"/>
      </w:pPr>
      <w:r w:rsidRPr="00B763D5">
        <w:t>Con base a la iniciativa de la SE/CIDH en el marco de su Programa “Cuidar–Cuidando”, en el mes de mayo el Departamento de Recursos Humanos realizó el lanzamiento del Programa de Asistencia al Empleado (EAP). Todo el personal de la OEA, incluyendo a los Consultores, Becarios y Pasantes, tendrán acceso a los servicios del EAP, así como los miembros de sus hogares.</w:t>
      </w:r>
    </w:p>
    <w:p w14:paraId="12C08A4A" w14:textId="77777777" w:rsidR="002001F7" w:rsidRPr="00B763D5" w:rsidRDefault="002001F7" w:rsidP="002001F7">
      <w:pPr>
        <w:pStyle w:val="paragraphs"/>
        <w:ind w:left="0" w:firstLine="720"/>
      </w:pPr>
      <w:r w:rsidRPr="00B763D5">
        <w:t xml:space="preserve">Se continuó con la “Política de Puertas Abiertas” donde el personal tiene la oportunidad de reunirse con el Secretario Ejecutivo y ahora, Secretaria Ejecutiva Interina, para plantear temas de su interés. </w:t>
      </w:r>
    </w:p>
    <w:p w14:paraId="7F860767" w14:textId="77777777" w:rsidR="002001F7" w:rsidRPr="00B763D5" w:rsidRDefault="002001F7" w:rsidP="002001F7">
      <w:pPr>
        <w:pStyle w:val="paragraphs"/>
        <w:ind w:left="0" w:firstLine="720"/>
      </w:pPr>
      <w:r w:rsidRPr="00B763D5">
        <w:t>En el mes de octubre se reiniciaron las reuniones del Comité de Ambiente Laboral, un grupo conformado por funcionarios/as y consultores/as de la Secretaría Ejecutiva de la CIDH para trabajar en iniciativas que mejoren el entorno laboral de la SE/CIDH.</w:t>
      </w:r>
    </w:p>
    <w:p w14:paraId="53D70868" w14:textId="77777777" w:rsidR="002001F7" w:rsidRPr="00B763D5" w:rsidRDefault="002001F7" w:rsidP="002001F7">
      <w:pPr>
        <w:pStyle w:val="paragraphs"/>
        <w:ind w:left="0" w:firstLine="720"/>
      </w:pPr>
      <w:r w:rsidRPr="00B763D5">
        <w:t xml:space="preserve">El Subcomité de Diversidad que hace parte del Comité de Ambiente Laboral en la SE/CIDH avanzó durante el mes de diciembre con la impartición de un primer taller sobre la promoción de la diversidad y prevención de la discriminación en el espacio laboral. El Subcomité </w:t>
      </w:r>
      <w:r w:rsidRPr="00B763D5">
        <w:lastRenderedPageBreak/>
        <w:t>continúa su labor en la implementación de un cuestionario de autodefinición y el diseño de una política de inclusión y diversidad para la SE/CIDH.</w:t>
      </w:r>
    </w:p>
    <w:p w14:paraId="7B6A5FB6" w14:textId="77777777" w:rsidR="002001F7" w:rsidRPr="00B763D5" w:rsidRDefault="002001F7" w:rsidP="002001F7">
      <w:pPr>
        <w:pStyle w:val="paragraphs"/>
        <w:ind w:left="0" w:firstLine="720"/>
      </w:pPr>
      <w:r w:rsidRPr="00B763D5">
        <w:t xml:space="preserve">Como parte del plan de atención al ambiente laboral a iniciativa de la CIDH, se tiene como objetivo conocer la situación actual del clima laboral en la SE/CIDH para implementar acciones en conjunto y lograr construir un entorno de trabajo sano, seguro, participativo y transparente para todos y todas. Por solicitud de la CIDH se realizó la contratación de una consultoría en ambiente laboral. La empresa seleccionada inició su consultoría en el mes de noviembre reuniéndose con la CIDH, el Equipo Directivo de la Secretaría Ejecutiva y con la </w:t>
      </w:r>
      <w:proofErr w:type="spellStart"/>
      <w:r w:rsidRPr="00B763D5">
        <w:t>Ombudsperson</w:t>
      </w:r>
      <w:proofErr w:type="spellEnd"/>
      <w:r w:rsidRPr="00B763D5">
        <w:t>. Se realizó un evento virtual con todo el personal de la SE/CIDH donde se presentó el objetivo del estudio y el uso de diferentes metodologías e instrumentos de medición. Adicionalmente la empresa consultora sostendrá una reunión con los/as integrantes del Comité de Ambiente Laboral. Se estima contar con un reporte del diagnóstico y recomendaciones a finales del mes de enero de 2021.</w:t>
      </w:r>
    </w:p>
    <w:p w14:paraId="3AE6B278" w14:textId="77777777" w:rsidR="002001F7" w:rsidRDefault="002001F7" w:rsidP="002001F7">
      <w:pPr>
        <w:pStyle w:val="Heading1"/>
      </w:pPr>
      <w:r w:rsidRPr="00B763D5">
        <w:t>Recursos financieros y ejecución presupuestaria</w:t>
      </w:r>
    </w:p>
    <w:p w14:paraId="3F59680E" w14:textId="77777777" w:rsidR="002001F7" w:rsidRPr="00041E84" w:rsidRDefault="002001F7" w:rsidP="002001F7">
      <w:pPr>
        <w:rPr>
          <w:lang w:val="es-ES_tradnl"/>
        </w:rPr>
      </w:pPr>
    </w:p>
    <w:p w14:paraId="63F9BF58" w14:textId="77777777" w:rsidR="002001F7" w:rsidRPr="00B763D5" w:rsidRDefault="002001F7" w:rsidP="002001F7">
      <w:pPr>
        <w:pStyle w:val="paragraphs"/>
        <w:ind w:left="0" w:firstLine="720"/>
      </w:pPr>
      <w:r w:rsidRPr="00B763D5">
        <w:t>Para el año 2020, la Asamblea General aprobó un presupuesto a la CIDH de $10,627,900, del cual $7,741,200</w:t>
      </w:r>
      <w:r w:rsidRPr="00B763D5">
        <w:rPr>
          <w:rStyle w:val="Nenhum"/>
          <w:rFonts w:cs="Calibri Light"/>
          <w:bCs/>
          <w:u w:color="002060"/>
        </w:rPr>
        <w:t xml:space="preserve"> </w:t>
      </w:r>
      <w:r w:rsidRPr="00B763D5">
        <w:t xml:space="preserve">son para gastos de personal y $ 2,886,700 para gastos operacionales.  Con el aumento del presupuesto para el 2020, culmina la última etapa de duplicación del presupuesto regular que se dio tras el Acuerdo Cancún en el año 2017. </w:t>
      </w:r>
    </w:p>
    <w:p w14:paraId="0B8AB496" w14:textId="77777777" w:rsidR="007403CF" w:rsidRDefault="007403CF" w:rsidP="002001F7">
      <w:pPr>
        <w:pStyle w:val="Default"/>
        <w:ind w:firstLine="851"/>
        <w:jc w:val="center"/>
        <w:rPr>
          <w:rFonts w:ascii="Cambria" w:hAnsi="Cambria"/>
          <w:b/>
          <w:color w:val="auto"/>
          <w:sz w:val="20"/>
          <w:szCs w:val="20"/>
          <w:lang w:val="es-ES_tradnl"/>
        </w:rPr>
      </w:pPr>
    </w:p>
    <w:p w14:paraId="75A30409" w14:textId="77777777" w:rsidR="007403CF" w:rsidRDefault="007403CF" w:rsidP="002001F7">
      <w:pPr>
        <w:pStyle w:val="Default"/>
        <w:ind w:firstLine="851"/>
        <w:jc w:val="center"/>
        <w:rPr>
          <w:rFonts w:ascii="Cambria" w:hAnsi="Cambria"/>
          <w:b/>
          <w:color w:val="auto"/>
          <w:sz w:val="20"/>
          <w:szCs w:val="20"/>
          <w:lang w:val="es-ES_tradnl"/>
        </w:rPr>
      </w:pPr>
    </w:p>
    <w:p w14:paraId="4080CF1B" w14:textId="77777777" w:rsidR="007403CF" w:rsidRDefault="007403CF" w:rsidP="002001F7">
      <w:pPr>
        <w:pStyle w:val="Default"/>
        <w:ind w:firstLine="851"/>
        <w:jc w:val="center"/>
        <w:rPr>
          <w:rFonts w:ascii="Cambria" w:hAnsi="Cambria"/>
          <w:b/>
          <w:color w:val="auto"/>
          <w:sz w:val="20"/>
          <w:szCs w:val="20"/>
          <w:lang w:val="es-ES_tradnl"/>
        </w:rPr>
      </w:pPr>
    </w:p>
    <w:p w14:paraId="1FC3DAEC" w14:textId="77777777" w:rsidR="007403CF" w:rsidRDefault="007403CF" w:rsidP="002001F7">
      <w:pPr>
        <w:pStyle w:val="Default"/>
        <w:ind w:firstLine="851"/>
        <w:jc w:val="center"/>
        <w:rPr>
          <w:rFonts w:ascii="Cambria" w:hAnsi="Cambria"/>
          <w:b/>
          <w:color w:val="auto"/>
          <w:sz w:val="20"/>
          <w:szCs w:val="20"/>
          <w:lang w:val="es-ES_tradnl"/>
        </w:rPr>
      </w:pPr>
    </w:p>
    <w:p w14:paraId="4D225C48" w14:textId="77777777" w:rsidR="007403CF" w:rsidRDefault="007403CF" w:rsidP="002001F7">
      <w:pPr>
        <w:pStyle w:val="Default"/>
        <w:ind w:firstLine="851"/>
        <w:jc w:val="center"/>
        <w:rPr>
          <w:rFonts w:ascii="Cambria" w:hAnsi="Cambria"/>
          <w:b/>
          <w:color w:val="auto"/>
          <w:sz w:val="20"/>
          <w:szCs w:val="20"/>
          <w:lang w:val="es-ES_tradnl"/>
        </w:rPr>
      </w:pPr>
    </w:p>
    <w:p w14:paraId="04EA71F2" w14:textId="77777777" w:rsidR="007403CF" w:rsidRDefault="007403CF" w:rsidP="002001F7">
      <w:pPr>
        <w:pStyle w:val="Default"/>
        <w:ind w:firstLine="851"/>
        <w:jc w:val="center"/>
        <w:rPr>
          <w:rFonts w:ascii="Cambria" w:hAnsi="Cambria"/>
          <w:b/>
          <w:color w:val="auto"/>
          <w:sz w:val="20"/>
          <w:szCs w:val="20"/>
          <w:lang w:val="es-ES_tradnl"/>
        </w:rPr>
      </w:pPr>
    </w:p>
    <w:p w14:paraId="7FD5F018" w14:textId="77777777" w:rsidR="007403CF" w:rsidRDefault="007403CF" w:rsidP="002001F7">
      <w:pPr>
        <w:pStyle w:val="Default"/>
        <w:ind w:firstLine="851"/>
        <w:jc w:val="center"/>
        <w:rPr>
          <w:rFonts w:ascii="Cambria" w:hAnsi="Cambria"/>
          <w:b/>
          <w:color w:val="auto"/>
          <w:sz w:val="20"/>
          <w:szCs w:val="20"/>
          <w:lang w:val="es-ES_tradnl"/>
        </w:rPr>
      </w:pPr>
    </w:p>
    <w:p w14:paraId="46334B74" w14:textId="77777777" w:rsidR="007403CF" w:rsidRDefault="007403CF" w:rsidP="002001F7">
      <w:pPr>
        <w:pStyle w:val="Default"/>
        <w:ind w:firstLine="851"/>
        <w:jc w:val="center"/>
        <w:rPr>
          <w:rFonts w:ascii="Cambria" w:hAnsi="Cambria"/>
          <w:b/>
          <w:color w:val="auto"/>
          <w:sz w:val="20"/>
          <w:szCs w:val="20"/>
          <w:lang w:val="es-ES_tradnl"/>
        </w:rPr>
      </w:pPr>
    </w:p>
    <w:p w14:paraId="6180F8C7" w14:textId="77777777" w:rsidR="007403CF" w:rsidRDefault="007403CF" w:rsidP="002001F7">
      <w:pPr>
        <w:pStyle w:val="Default"/>
        <w:ind w:firstLine="851"/>
        <w:jc w:val="center"/>
        <w:rPr>
          <w:rFonts w:ascii="Cambria" w:hAnsi="Cambria"/>
          <w:b/>
          <w:color w:val="auto"/>
          <w:sz w:val="20"/>
          <w:szCs w:val="20"/>
          <w:lang w:val="es-ES_tradnl"/>
        </w:rPr>
      </w:pPr>
    </w:p>
    <w:p w14:paraId="2168C4FE" w14:textId="77777777" w:rsidR="007403CF" w:rsidRDefault="007403CF" w:rsidP="002001F7">
      <w:pPr>
        <w:pStyle w:val="Default"/>
        <w:ind w:firstLine="851"/>
        <w:jc w:val="center"/>
        <w:rPr>
          <w:rFonts w:ascii="Cambria" w:hAnsi="Cambria"/>
          <w:b/>
          <w:color w:val="auto"/>
          <w:sz w:val="20"/>
          <w:szCs w:val="20"/>
          <w:lang w:val="es-ES_tradnl"/>
        </w:rPr>
      </w:pPr>
    </w:p>
    <w:p w14:paraId="590BC9AF" w14:textId="77777777" w:rsidR="007403CF" w:rsidRDefault="007403CF" w:rsidP="002001F7">
      <w:pPr>
        <w:pStyle w:val="Default"/>
        <w:ind w:firstLine="851"/>
        <w:jc w:val="center"/>
        <w:rPr>
          <w:rFonts w:ascii="Cambria" w:hAnsi="Cambria"/>
          <w:b/>
          <w:color w:val="auto"/>
          <w:sz w:val="20"/>
          <w:szCs w:val="20"/>
          <w:lang w:val="es-ES_tradnl"/>
        </w:rPr>
      </w:pPr>
    </w:p>
    <w:p w14:paraId="5AA3C238" w14:textId="77777777" w:rsidR="007403CF" w:rsidRDefault="007403CF" w:rsidP="002001F7">
      <w:pPr>
        <w:pStyle w:val="Default"/>
        <w:ind w:firstLine="851"/>
        <w:jc w:val="center"/>
        <w:rPr>
          <w:rFonts w:ascii="Cambria" w:hAnsi="Cambria"/>
          <w:b/>
          <w:color w:val="auto"/>
          <w:sz w:val="20"/>
          <w:szCs w:val="20"/>
          <w:lang w:val="es-ES_tradnl"/>
        </w:rPr>
      </w:pPr>
    </w:p>
    <w:p w14:paraId="6BEBA548" w14:textId="77777777" w:rsidR="007403CF" w:rsidRDefault="007403CF" w:rsidP="002001F7">
      <w:pPr>
        <w:pStyle w:val="Default"/>
        <w:ind w:firstLine="851"/>
        <w:jc w:val="center"/>
        <w:rPr>
          <w:rFonts w:ascii="Cambria" w:hAnsi="Cambria"/>
          <w:b/>
          <w:color w:val="auto"/>
          <w:sz w:val="20"/>
          <w:szCs w:val="20"/>
          <w:lang w:val="es-ES_tradnl"/>
        </w:rPr>
      </w:pPr>
    </w:p>
    <w:p w14:paraId="480F86EF" w14:textId="77777777" w:rsidR="007403CF" w:rsidRDefault="007403CF" w:rsidP="002001F7">
      <w:pPr>
        <w:pStyle w:val="Default"/>
        <w:ind w:firstLine="851"/>
        <w:jc w:val="center"/>
        <w:rPr>
          <w:rFonts w:ascii="Cambria" w:hAnsi="Cambria"/>
          <w:b/>
          <w:color w:val="auto"/>
          <w:sz w:val="20"/>
          <w:szCs w:val="20"/>
          <w:lang w:val="es-ES_tradnl"/>
        </w:rPr>
      </w:pPr>
    </w:p>
    <w:p w14:paraId="38DAE72E" w14:textId="77777777" w:rsidR="007403CF" w:rsidRDefault="007403CF" w:rsidP="002001F7">
      <w:pPr>
        <w:pStyle w:val="Default"/>
        <w:ind w:firstLine="851"/>
        <w:jc w:val="center"/>
        <w:rPr>
          <w:rFonts w:ascii="Cambria" w:hAnsi="Cambria"/>
          <w:b/>
          <w:color w:val="auto"/>
          <w:sz w:val="20"/>
          <w:szCs w:val="20"/>
          <w:lang w:val="es-ES_tradnl"/>
        </w:rPr>
      </w:pPr>
    </w:p>
    <w:p w14:paraId="7984B109" w14:textId="77777777" w:rsidR="007403CF" w:rsidRDefault="007403CF" w:rsidP="002001F7">
      <w:pPr>
        <w:pStyle w:val="Default"/>
        <w:ind w:firstLine="851"/>
        <w:jc w:val="center"/>
        <w:rPr>
          <w:rFonts w:ascii="Cambria" w:hAnsi="Cambria"/>
          <w:b/>
          <w:color w:val="auto"/>
          <w:sz w:val="20"/>
          <w:szCs w:val="20"/>
          <w:lang w:val="es-ES_tradnl"/>
        </w:rPr>
      </w:pPr>
    </w:p>
    <w:p w14:paraId="01194E41" w14:textId="77777777" w:rsidR="007403CF" w:rsidRDefault="007403CF" w:rsidP="002001F7">
      <w:pPr>
        <w:pStyle w:val="Default"/>
        <w:ind w:firstLine="851"/>
        <w:jc w:val="center"/>
        <w:rPr>
          <w:rFonts w:ascii="Cambria" w:hAnsi="Cambria"/>
          <w:b/>
          <w:color w:val="auto"/>
          <w:sz w:val="20"/>
          <w:szCs w:val="20"/>
          <w:lang w:val="es-ES_tradnl"/>
        </w:rPr>
      </w:pPr>
    </w:p>
    <w:p w14:paraId="0535063D" w14:textId="77777777" w:rsidR="007403CF" w:rsidRDefault="007403CF" w:rsidP="002001F7">
      <w:pPr>
        <w:pStyle w:val="Default"/>
        <w:ind w:firstLine="851"/>
        <w:jc w:val="center"/>
        <w:rPr>
          <w:rFonts w:ascii="Cambria" w:hAnsi="Cambria"/>
          <w:b/>
          <w:color w:val="auto"/>
          <w:sz w:val="20"/>
          <w:szCs w:val="20"/>
          <w:lang w:val="es-ES_tradnl"/>
        </w:rPr>
      </w:pPr>
    </w:p>
    <w:p w14:paraId="65F4310C" w14:textId="77777777" w:rsidR="007403CF" w:rsidRDefault="007403CF" w:rsidP="002001F7">
      <w:pPr>
        <w:pStyle w:val="Default"/>
        <w:ind w:firstLine="851"/>
        <w:jc w:val="center"/>
        <w:rPr>
          <w:rFonts w:ascii="Cambria" w:hAnsi="Cambria"/>
          <w:b/>
          <w:color w:val="auto"/>
          <w:sz w:val="20"/>
          <w:szCs w:val="20"/>
          <w:lang w:val="es-ES_tradnl"/>
        </w:rPr>
      </w:pPr>
    </w:p>
    <w:p w14:paraId="056FDDF6" w14:textId="77777777" w:rsidR="007403CF" w:rsidRDefault="007403CF" w:rsidP="002001F7">
      <w:pPr>
        <w:pStyle w:val="Default"/>
        <w:ind w:firstLine="851"/>
        <w:jc w:val="center"/>
        <w:rPr>
          <w:rFonts w:ascii="Cambria" w:hAnsi="Cambria"/>
          <w:b/>
          <w:color w:val="auto"/>
          <w:sz w:val="20"/>
          <w:szCs w:val="20"/>
          <w:lang w:val="es-ES_tradnl"/>
        </w:rPr>
      </w:pPr>
    </w:p>
    <w:p w14:paraId="182F86C0" w14:textId="77777777" w:rsidR="007403CF" w:rsidRDefault="007403CF" w:rsidP="002001F7">
      <w:pPr>
        <w:pStyle w:val="Default"/>
        <w:ind w:firstLine="851"/>
        <w:jc w:val="center"/>
        <w:rPr>
          <w:rFonts w:ascii="Cambria" w:hAnsi="Cambria"/>
          <w:b/>
          <w:color w:val="auto"/>
          <w:sz w:val="20"/>
          <w:szCs w:val="20"/>
          <w:lang w:val="es-ES_tradnl"/>
        </w:rPr>
      </w:pPr>
    </w:p>
    <w:p w14:paraId="32A1DC78" w14:textId="77777777" w:rsidR="007403CF" w:rsidRDefault="007403CF" w:rsidP="002001F7">
      <w:pPr>
        <w:pStyle w:val="Default"/>
        <w:ind w:firstLine="851"/>
        <w:jc w:val="center"/>
        <w:rPr>
          <w:rFonts w:ascii="Cambria" w:hAnsi="Cambria"/>
          <w:b/>
          <w:color w:val="auto"/>
          <w:sz w:val="20"/>
          <w:szCs w:val="20"/>
          <w:lang w:val="es-ES_tradnl"/>
        </w:rPr>
      </w:pPr>
    </w:p>
    <w:p w14:paraId="6DCC8CDB" w14:textId="77777777" w:rsidR="007403CF" w:rsidRDefault="007403CF" w:rsidP="002001F7">
      <w:pPr>
        <w:pStyle w:val="Default"/>
        <w:ind w:firstLine="851"/>
        <w:jc w:val="center"/>
        <w:rPr>
          <w:rFonts w:ascii="Cambria" w:hAnsi="Cambria"/>
          <w:b/>
          <w:color w:val="auto"/>
          <w:sz w:val="20"/>
          <w:szCs w:val="20"/>
          <w:lang w:val="es-ES_tradnl"/>
        </w:rPr>
      </w:pPr>
    </w:p>
    <w:p w14:paraId="7235C154" w14:textId="77777777" w:rsidR="007403CF" w:rsidRDefault="007403CF" w:rsidP="002001F7">
      <w:pPr>
        <w:pStyle w:val="Default"/>
        <w:ind w:firstLine="851"/>
        <w:jc w:val="center"/>
        <w:rPr>
          <w:rFonts w:ascii="Cambria" w:hAnsi="Cambria"/>
          <w:b/>
          <w:color w:val="auto"/>
          <w:sz w:val="20"/>
          <w:szCs w:val="20"/>
          <w:lang w:val="es-ES_tradnl"/>
        </w:rPr>
      </w:pPr>
    </w:p>
    <w:p w14:paraId="19B453AA" w14:textId="77777777" w:rsidR="007403CF" w:rsidRDefault="007403CF" w:rsidP="002001F7">
      <w:pPr>
        <w:pStyle w:val="Default"/>
        <w:ind w:firstLine="851"/>
        <w:jc w:val="center"/>
        <w:rPr>
          <w:rFonts w:ascii="Cambria" w:hAnsi="Cambria"/>
          <w:b/>
          <w:color w:val="auto"/>
          <w:sz w:val="20"/>
          <w:szCs w:val="20"/>
          <w:lang w:val="es-ES_tradnl"/>
        </w:rPr>
      </w:pPr>
    </w:p>
    <w:p w14:paraId="63D6C16B" w14:textId="77777777" w:rsidR="007403CF" w:rsidRDefault="007403CF" w:rsidP="002001F7">
      <w:pPr>
        <w:pStyle w:val="Default"/>
        <w:ind w:firstLine="851"/>
        <w:jc w:val="center"/>
        <w:rPr>
          <w:rFonts w:ascii="Cambria" w:hAnsi="Cambria"/>
          <w:b/>
          <w:color w:val="auto"/>
          <w:sz w:val="20"/>
          <w:szCs w:val="20"/>
          <w:lang w:val="es-ES_tradnl"/>
        </w:rPr>
      </w:pPr>
    </w:p>
    <w:p w14:paraId="7F2E8023" w14:textId="35FA713B" w:rsidR="002001F7" w:rsidRPr="00B763D5" w:rsidRDefault="002001F7" w:rsidP="002001F7">
      <w:pPr>
        <w:pStyle w:val="Default"/>
        <w:ind w:firstLine="851"/>
        <w:jc w:val="center"/>
        <w:rPr>
          <w:rFonts w:ascii="Cambria" w:hAnsi="Cambria"/>
          <w:b/>
          <w:color w:val="auto"/>
          <w:sz w:val="20"/>
          <w:szCs w:val="20"/>
          <w:lang w:val="es-ES_tradnl"/>
        </w:rPr>
      </w:pPr>
      <w:r w:rsidRPr="00B763D5">
        <w:rPr>
          <w:rFonts w:ascii="Cambria" w:hAnsi="Cambria"/>
          <w:b/>
          <w:color w:val="auto"/>
          <w:sz w:val="20"/>
          <w:szCs w:val="20"/>
          <w:lang w:val="es-ES_tradnl"/>
        </w:rPr>
        <w:lastRenderedPageBreak/>
        <w:t>Figura 1.   Distribución del Presupuesto Aprobado del Fondo Regular de la OEA al 31 de diciembre de 2020 (en miles de USD)</w:t>
      </w:r>
      <w:r w:rsidRPr="00B763D5">
        <w:rPr>
          <w:rStyle w:val="FootnoteReference"/>
          <w:rFonts w:ascii="Cambria" w:hAnsi="Cambria"/>
          <w:b/>
          <w:color w:val="auto"/>
          <w:sz w:val="20"/>
          <w:szCs w:val="20"/>
          <w:lang w:val="es-ES_tradnl"/>
        </w:rPr>
        <w:footnoteReference w:id="1"/>
      </w:r>
    </w:p>
    <w:p w14:paraId="35F6B182" w14:textId="77777777" w:rsidR="002001F7" w:rsidRPr="00B763D5" w:rsidRDefault="002001F7" w:rsidP="002001F7">
      <w:pPr>
        <w:pStyle w:val="Default"/>
        <w:ind w:firstLine="851"/>
        <w:rPr>
          <w:rFonts w:ascii="Cambria" w:hAnsi="Cambria"/>
          <w:b/>
          <w:sz w:val="20"/>
          <w:szCs w:val="20"/>
          <w:lang w:val="es-ES_tradnl"/>
        </w:rPr>
      </w:pPr>
    </w:p>
    <w:p w14:paraId="3A7B79E5" w14:textId="40C70FAC" w:rsidR="002001F7" w:rsidRPr="007403CF" w:rsidRDefault="002001F7" w:rsidP="007403CF">
      <w:pPr>
        <w:pStyle w:val="Default"/>
        <w:ind w:firstLine="851"/>
        <w:rPr>
          <w:rFonts w:ascii="Cambria" w:hAnsi="Cambria"/>
          <w:b/>
          <w:sz w:val="20"/>
          <w:szCs w:val="20"/>
          <w:lang w:val="es-ES_tradnl"/>
        </w:rPr>
      </w:pPr>
      <w:r w:rsidRPr="00B763D5">
        <w:rPr>
          <w:rStyle w:val="Heading9Char"/>
          <w:rFonts w:ascii="Cambria" w:hAnsi="Cambria" w:cs="Calibri Light"/>
          <w:bCs/>
          <w:noProof/>
          <w:sz w:val="20"/>
          <w:szCs w:val="20"/>
          <w:u w:color="002060"/>
          <w:lang w:val="es-CO" w:eastAsia="es-CO"/>
        </w:rPr>
        <w:drawing>
          <wp:inline distT="0" distB="0" distL="0" distR="0" wp14:anchorId="46965DA6" wp14:editId="17C57EF1">
            <wp:extent cx="4286250" cy="379892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5040" cy="3824440"/>
                    </a:xfrm>
                    <a:prstGeom prst="rect">
                      <a:avLst/>
                    </a:prstGeom>
                    <a:noFill/>
                  </pic:spPr>
                </pic:pic>
              </a:graphicData>
            </a:graphic>
          </wp:inline>
        </w:drawing>
      </w:r>
    </w:p>
    <w:p w14:paraId="2E002281" w14:textId="42FC1987" w:rsidR="002001F7" w:rsidRPr="00B763D5" w:rsidRDefault="002001F7" w:rsidP="002001F7">
      <w:pPr>
        <w:pStyle w:val="paragraphs"/>
        <w:ind w:left="0" w:firstLine="720"/>
      </w:pPr>
      <w:r w:rsidRPr="00B763D5">
        <w:t>Al 31 de diciembre de 2020, el presupuesto del fondo regular original fue modificado a un total de $9,119,</w:t>
      </w:r>
      <w:r w:rsidR="00764687">
        <w:t>129</w:t>
      </w:r>
      <w:r w:rsidRPr="00B763D5">
        <w:t xml:space="preserve"> cuya distribución fue de $6,223,100 para gastos de personal y $2,</w:t>
      </w:r>
      <w:r w:rsidR="00AC3314">
        <w:t>896,029</w:t>
      </w:r>
      <w:r w:rsidRPr="00B763D5">
        <w:t xml:space="preserve"> para gastos de no-personal. La porción correspondiente a gastos de personal aparece sub-ejecutada debido a que durante el año 2020, la SE/CIDH no tuvo aprobación por parte de la SG/OEA para el lanzamiento a concurso de posiciones vacantes. Por lo anterior, la Secretaría Ejecutiva de la CIDH realizó varias solicitudes a la Secretaría de Administración y Finanzas de la SG/OEA para contar con mayor disponibilidad en la línea presupuestaría para gastos de no-personal. Desafortunadamente, dichas solicitudes de refuerzo fueron rechazadas.</w:t>
      </w:r>
    </w:p>
    <w:p w14:paraId="5638804F" w14:textId="1F247A9D" w:rsidR="002001F7" w:rsidRPr="00B763D5" w:rsidRDefault="002001F7" w:rsidP="002001F7">
      <w:pPr>
        <w:pStyle w:val="paragraphs"/>
        <w:ind w:left="0" w:firstLine="720"/>
      </w:pPr>
      <w:proofErr w:type="gramStart"/>
      <w:r w:rsidRPr="00B763D5">
        <w:t>En relación a</w:t>
      </w:r>
      <w:proofErr w:type="gramEnd"/>
      <w:r w:rsidRPr="00B763D5">
        <w:t xml:space="preserve"> la captación de fondos específicos, como fruto de la estrategia de la movilización de recursos y gracias a la confianza depositada en la CIDH, se ha conseguido recaudar USD $</w:t>
      </w:r>
      <w:r w:rsidR="00442ED4">
        <w:t>6,845,659</w:t>
      </w:r>
      <w:r w:rsidRPr="00B763D5">
        <w:t xml:space="preserve"> en el 2020. La siguiente gráfica muestra la distribución de fondos recibidos por la CIDH, por fuente de financiamiento. </w:t>
      </w:r>
    </w:p>
    <w:p w14:paraId="5B0D7068" w14:textId="77777777" w:rsidR="002001F7" w:rsidRPr="00B763D5" w:rsidRDefault="002001F7" w:rsidP="002001F7">
      <w:pPr>
        <w:pStyle w:val="Default"/>
        <w:rPr>
          <w:rFonts w:ascii="Cambria" w:hAnsi="Cambria"/>
          <w:b/>
          <w:sz w:val="20"/>
          <w:szCs w:val="20"/>
          <w:lang w:val="es-ES_tradnl"/>
        </w:rPr>
      </w:pPr>
    </w:p>
    <w:p w14:paraId="343CCB7C" w14:textId="77777777" w:rsidR="007403CF" w:rsidRDefault="007403CF" w:rsidP="002001F7">
      <w:pPr>
        <w:pStyle w:val="Default"/>
        <w:ind w:left="2127" w:hanging="2127"/>
        <w:jc w:val="center"/>
        <w:rPr>
          <w:rFonts w:ascii="Cambria" w:hAnsi="Cambria"/>
          <w:b/>
          <w:sz w:val="20"/>
          <w:szCs w:val="20"/>
          <w:lang w:val="es-ES_tradnl"/>
        </w:rPr>
      </w:pPr>
    </w:p>
    <w:p w14:paraId="79407DE0" w14:textId="77777777" w:rsidR="007403CF" w:rsidRDefault="007403CF" w:rsidP="002001F7">
      <w:pPr>
        <w:pStyle w:val="Default"/>
        <w:ind w:left="2127" w:hanging="2127"/>
        <w:jc w:val="center"/>
        <w:rPr>
          <w:rFonts w:ascii="Cambria" w:hAnsi="Cambria"/>
          <w:b/>
          <w:sz w:val="20"/>
          <w:szCs w:val="20"/>
          <w:lang w:val="es-ES_tradnl"/>
        </w:rPr>
      </w:pPr>
    </w:p>
    <w:p w14:paraId="78D7C1FD" w14:textId="77777777" w:rsidR="007403CF" w:rsidRDefault="007403CF" w:rsidP="002001F7">
      <w:pPr>
        <w:pStyle w:val="Default"/>
        <w:ind w:left="2127" w:hanging="2127"/>
        <w:jc w:val="center"/>
        <w:rPr>
          <w:rFonts w:ascii="Cambria" w:hAnsi="Cambria"/>
          <w:b/>
          <w:sz w:val="20"/>
          <w:szCs w:val="20"/>
          <w:lang w:val="es-ES_tradnl"/>
        </w:rPr>
      </w:pPr>
    </w:p>
    <w:p w14:paraId="36CAC2DD" w14:textId="77777777" w:rsidR="007403CF" w:rsidRDefault="007403CF" w:rsidP="002001F7">
      <w:pPr>
        <w:pStyle w:val="Default"/>
        <w:ind w:left="2127" w:hanging="2127"/>
        <w:jc w:val="center"/>
        <w:rPr>
          <w:rFonts w:ascii="Cambria" w:hAnsi="Cambria"/>
          <w:b/>
          <w:sz w:val="20"/>
          <w:szCs w:val="20"/>
          <w:lang w:val="es-ES_tradnl"/>
        </w:rPr>
      </w:pPr>
    </w:p>
    <w:p w14:paraId="2D9E1C53" w14:textId="083A11D5" w:rsidR="002001F7" w:rsidRPr="00B763D5" w:rsidRDefault="002001F7" w:rsidP="002001F7">
      <w:pPr>
        <w:pStyle w:val="Default"/>
        <w:ind w:left="2127" w:hanging="2127"/>
        <w:jc w:val="center"/>
        <w:rPr>
          <w:rFonts w:ascii="Cambria" w:hAnsi="Cambria"/>
          <w:b/>
          <w:sz w:val="20"/>
          <w:szCs w:val="20"/>
          <w:lang w:val="es-ES_tradnl"/>
        </w:rPr>
      </w:pPr>
      <w:r w:rsidRPr="00B763D5">
        <w:rPr>
          <w:rFonts w:ascii="Cambria" w:hAnsi="Cambria"/>
          <w:b/>
          <w:sz w:val="20"/>
          <w:szCs w:val="20"/>
          <w:lang w:val="es-ES_tradnl"/>
        </w:rPr>
        <w:lastRenderedPageBreak/>
        <w:t>Figura 2.     Fondos Recibidos por la CIDH en 2020 distribuidos por Fuente de Financiamiento</w:t>
      </w:r>
    </w:p>
    <w:p w14:paraId="25B16E20" w14:textId="77777777" w:rsidR="002001F7" w:rsidRPr="00B763D5" w:rsidRDefault="002001F7" w:rsidP="002001F7">
      <w:pPr>
        <w:pStyle w:val="Default"/>
        <w:ind w:left="2127" w:hanging="2127"/>
        <w:jc w:val="center"/>
        <w:rPr>
          <w:rFonts w:ascii="Cambria" w:hAnsi="Cambria"/>
          <w:b/>
          <w:color w:val="auto"/>
          <w:sz w:val="20"/>
          <w:szCs w:val="20"/>
          <w:lang w:val="es-ES_tradnl"/>
        </w:rPr>
      </w:pPr>
      <w:r w:rsidRPr="00B763D5">
        <w:rPr>
          <w:rFonts w:ascii="Cambria" w:hAnsi="Cambria"/>
          <w:b/>
          <w:color w:val="auto"/>
          <w:sz w:val="20"/>
          <w:szCs w:val="20"/>
          <w:lang w:val="es-ES_tradnl"/>
        </w:rPr>
        <w:t>(Valores en miles de USD, preliminares y no auditados)</w:t>
      </w:r>
    </w:p>
    <w:p w14:paraId="22DA9087" w14:textId="77777777" w:rsidR="002001F7" w:rsidRPr="00B763D5" w:rsidRDefault="002001F7" w:rsidP="002001F7">
      <w:pPr>
        <w:pStyle w:val="Default"/>
        <w:ind w:left="2127" w:hanging="2127"/>
        <w:jc w:val="center"/>
        <w:rPr>
          <w:rFonts w:ascii="Cambria" w:hAnsi="Cambria"/>
          <w:b/>
          <w:color w:val="auto"/>
          <w:sz w:val="20"/>
          <w:szCs w:val="20"/>
          <w:lang w:val="es-ES_tradnl"/>
        </w:rPr>
      </w:pPr>
    </w:p>
    <w:p w14:paraId="187A5052" w14:textId="11405368" w:rsidR="002001F7" w:rsidRPr="002001F7" w:rsidRDefault="00442ED4" w:rsidP="002001F7">
      <w:pPr>
        <w:pStyle w:val="Default"/>
        <w:ind w:left="2127" w:hanging="2127"/>
        <w:jc w:val="center"/>
        <w:rPr>
          <w:rFonts w:ascii="Cambria" w:hAnsi="Cambria"/>
          <w:b/>
          <w:color w:val="auto"/>
          <w:sz w:val="20"/>
          <w:szCs w:val="20"/>
          <w:lang w:val="es-ES_tradnl"/>
        </w:rPr>
      </w:pPr>
      <w:r>
        <w:rPr>
          <w:noProof/>
          <w:lang w:val="es-CO" w:eastAsia="es-CO"/>
        </w:rPr>
        <w:drawing>
          <wp:inline distT="0" distB="0" distL="0" distR="0" wp14:anchorId="6BCC8037" wp14:editId="1F5FAA1B">
            <wp:extent cx="4692203" cy="2807729"/>
            <wp:effectExtent l="0" t="0" r="13335" b="12065"/>
            <wp:docPr id="3" name="Chart 3">
              <a:extLst xmlns:a="http://schemas.openxmlformats.org/drawingml/2006/main">
                <a:ext uri="{FF2B5EF4-FFF2-40B4-BE49-F238E27FC236}">
                  <a16:creationId xmlns:a16="http://schemas.microsoft.com/office/drawing/2014/main" id="{303016AA-42AC-4AB2-BB86-53D76F42FE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F2A7F2" w14:textId="77777777" w:rsidR="007403CF" w:rsidRDefault="007403CF" w:rsidP="002001F7">
      <w:pPr>
        <w:pStyle w:val="Default"/>
        <w:ind w:left="2127" w:hanging="2127"/>
        <w:rPr>
          <w:rFonts w:ascii="Cambria" w:hAnsi="Cambria"/>
          <w:b/>
          <w:sz w:val="20"/>
          <w:szCs w:val="20"/>
          <w:lang w:val="es-ES_tradnl"/>
        </w:rPr>
      </w:pPr>
    </w:p>
    <w:p w14:paraId="4A3B8FD7" w14:textId="77777777" w:rsidR="002001F7" w:rsidRPr="00B763D5" w:rsidRDefault="002001F7" w:rsidP="002001F7">
      <w:pPr>
        <w:pStyle w:val="Default"/>
        <w:ind w:left="2127" w:hanging="2127"/>
        <w:rPr>
          <w:rFonts w:ascii="Cambria" w:hAnsi="Cambria"/>
          <w:b/>
          <w:sz w:val="20"/>
          <w:szCs w:val="20"/>
          <w:lang w:val="es-ES_tradnl"/>
        </w:rPr>
      </w:pPr>
    </w:p>
    <w:p w14:paraId="2E3E40C0" w14:textId="409FF074" w:rsidR="002001F7" w:rsidRPr="002001F7" w:rsidRDefault="002001F7" w:rsidP="002001F7">
      <w:pPr>
        <w:pStyle w:val="paragraphs"/>
        <w:ind w:left="0" w:firstLine="720"/>
      </w:pPr>
      <w:r w:rsidRPr="00B763D5">
        <w:t>La siguiente tabla muestra las contribuciones de fondos recibidos por la CIDH por fuente de financiamiento.</w:t>
      </w:r>
    </w:p>
    <w:p w14:paraId="4964E536" w14:textId="77777777" w:rsidR="007403CF" w:rsidRDefault="007403CF" w:rsidP="003C302A">
      <w:pPr>
        <w:spacing w:after="0" w:line="240" w:lineRule="auto"/>
        <w:jc w:val="center"/>
        <w:rPr>
          <w:rFonts w:ascii="Cambria" w:hAnsi="Cambria"/>
          <w:b/>
          <w:sz w:val="20"/>
          <w:szCs w:val="20"/>
          <w:lang w:val="es-ES_tradnl"/>
        </w:rPr>
      </w:pPr>
    </w:p>
    <w:p w14:paraId="064FCE1A" w14:textId="77777777" w:rsidR="007403CF" w:rsidRDefault="007403CF" w:rsidP="003C302A">
      <w:pPr>
        <w:spacing w:after="0" w:line="240" w:lineRule="auto"/>
        <w:jc w:val="center"/>
        <w:rPr>
          <w:rFonts w:ascii="Cambria" w:hAnsi="Cambria"/>
          <w:b/>
          <w:sz w:val="20"/>
          <w:szCs w:val="20"/>
          <w:lang w:val="es-ES_tradnl"/>
        </w:rPr>
      </w:pPr>
    </w:p>
    <w:p w14:paraId="782D096A" w14:textId="77777777" w:rsidR="007403CF" w:rsidRDefault="007403CF" w:rsidP="003C302A">
      <w:pPr>
        <w:spacing w:after="0" w:line="240" w:lineRule="auto"/>
        <w:jc w:val="center"/>
        <w:rPr>
          <w:rFonts w:ascii="Cambria" w:hAnsi="Cambria"/>
          <w:b/>
          <w:sz w:val="20"/>
          <w:szCs w:val="20"/>
          <w:lang w:val="es-ES_tradnl"/>
        </w:rPr>
      </w:pPr>
    </w:p>
    <w:p w14:paraId="0C481014" w14:textId="77777777" w:rsidR="007403CF" w:rsidRDefault="007403CF" w:rsidP="003C302A">
      <w:pPr>
        <w:spacing w:after="0" w:line="240" w:lineRule="auto"/>
        <w:jc w:val="center"/>
        <w:rPr>
          <w:rFonts w:ascii="Cambria" w:hAnsi="Cambria"/>
          <w:b/>
          <w:sz w:val="20"/>
          <w:szCs w:val="20"/>
          <w:lang w:val="es-ES_tradnl"/>
        </w:rPr>
      </w:pPr>
    </w:p>
    <w:p w14:paraId="0BC78F0B" w14:textId="77777777" w:rsidR="007403CF" w:rsidRDefault="007403CF" w:rsidP="003C302A">
      <w:pPr>
        <w:spacing w:after="0" w:line="240" w:lineRule="auto"/>
        <w:jc w:val="center"/>
        <w:rPr>
          <w:rFonts w:ascii="Cambria" w:hAnsi="Cambria"/>
          <w:b/>
          <w:sz w:val="20"/>
          <w:szCs w:val="20"/>
          <w:lang w:val="es-ES_tradnl"/>
        </w:rPr>
      </w:pPr>
    </w:p>
    <w:p w14:paraId="59262917" w14:textId="77777777" w:rsidR="007403CF" w:rsidRDefault="007403CF" w:rsidP="003C302A">
      <w:pPr>
        <w:spacing w:after="0" w:line="240" w:lineRule="auto"/>
        <w:jc w:val="center"/>
        <w:rPr>
          <w:rFonts w:ascii="Cambria" w:hAnsi="Cambria"/>
          <w:b/>
          <w:sz w:val="20"/>
          <w:szCs w:val="20"/>
          <w:lang w:val="es-ES_tradnl"/>
        </w:rPr>
      </w:pPr>
    </w:p>
    <w:p w14:paraId="1D60B565" w14:textId="77777777" w:rsidR="007403CF" w:rsidRDefault="007403CF" w:rsidP="003C302A">
      <w:pPr>
        <w:spacing w:after="0" w:line="240" w:lineRule="auto"/>
        <w:jc w:val="center"/>
        <w:rPr>
          <w:rFonts w:ascii="Cambria" w:hAnsi="Cambria"/>
          <w:b/>
          <w:sz w:val="20"/>
          <w:szCs w:val="20"/>
          <w:lang w:val="es-ES_tradnl"/>
        </w:rPr>
      </w:pPr>
    </w:p>
    <w:p w14:paraId="17BF7B94" w14:textId="77777777" w:rsidR="007403CF" w:rsidRDefault="007403CF" w:rsidP="003C302A">
      <w:pPr>
        <w:spacing w:after="0" w:line="240" w:lineRule="auto"/>
        <w:jc w:val="center"/>
        <w:rPr>
          <w:rFonts w:ascii="Cambria" w:hAnsi="Cambria"/>
          <w:b/>
          <w:sz w:val="20"/>
          <w:szCs w:val="20"/>
          <w:lang w:val="es-ES_tradnl"/>
        </w:rPr>
      </w:pPr>
    </w:p>
    <w:p w14:paraId="70845BB2" w14:textId="77777777" w:rsidR="007403CF" w:rsidRDefault="007403CF" w:rsidP="003C302A">
      <w:pPr>
        <w:spacing w:after="0" w:line="240" w:lineRule="auto"/>
        <w:jc w:val="center"/>
        <w:rPr>
          <w:rFonts w:ascii="Cambria" w:hAnsi="Cambria"/>
          <w:b/>
          <w:sz w:val="20"/>
          <w:szCs w:val="20"/>
          <w:lang w:val="es-ES_tradnl"/>
        </w:rPr>
      </w:pPr>
    </w:p>
    <w:p w14:paraId="4E87F8D9" w14:textId="77777777" w:rsidR="007403CF" w:rsidRDefault="007403CF" w:rsidP="003C302A">
      <w:pPr>
        <w:spacing w:after="0" w:line="240" w:lineRule="auto"/>
        <w:jc w:val="center"/>
        <w:rPr>
          <w:rFonts w:ascii="Cambria" w:hAnsi="Cambria"/>
          <w:b/>
          <w:sz w:val="20"/>
          <w:szCs w:val="20"/>
          <w:lang w:val="es-ES_tradnl"/>
        </w:rPr>
      </w:pPr>
    </w:p>
    <w:p w14:paraId="4AA30851" w14:textId="77777777" w:rsidR="007403CF" w:rsidRDefault="007403CF" w:rsidP="003C302A">
      <w:pPr>
        <w:spacing w:after="0" w:line="240" w:lineRule="auto"/>
        <w:jc w:val="center"/>
        <w:rPr>
          <w:rFonts w:ascii="Cambria" w:hAnsi="Cambria"/>
          <w:b/>
          <w:sz w:val="20"/>
          <w:szCs w:val="20"/>
          <w:lang w:val="es-ES_tradnl"/>
        </w:rPr>
      </w:pPr>
    </w:p>
    <w:p w14:paraId="1A7972A8" w14:textId="77777777" w:rsidR="007403CF" w:rsidRDefault="007403CF" w:rsidP="003C302A">
      <w:pPr>
        <w:spacing w:after="0" w:line="240" w:lineRule="auto"/>
        <w:jc w:val="center"/>
        <w:rPr>
          <w:rFonts w:ascii="Cambria" w:hAnsi="Cambria"/>
          <w:b/>
          <w:sz w:val="20"/>
          <w:szCs w:val="20"/>
          <w:lang w:val="es-ES_tradnl"/>
        </w:rPr>
      </w:pPr>
    </w:p>
    <w:p w14:paraId="1C52F91A" w14:textId="77777777" w:rsidR="007403CF" w:rsidRDefault="007403CF" w:rsidP="003C302A">
      <w:pPr>
        <w:spacing w:after="0" w:line="240" w:lineRule="auto"/>
        <w:jc w:val="center"/>
        <w:rPr>
          <w:rFonts w:ascii="Cambria" w:hAnsi="Cambria"/>
          <w:b/>
          <w:sz w:val="20"/>
          <w:szCs w:val="20"/>
          <w:lang w:val="es-ES_tradnl"/>
        </w:rPr>
      </w:pPr>
    </w:p>
    <w:p w14:paraId="2E7C947E" w14:textId="77777777" w:rsidR="007403CF" w:rsidRDefault="007403CF" w:rsidP="003C302A">
      <w:pPr>
        <w:spacing w:after="0" w:line="240" w:lineRule="auto"/>
        <w:jc w:val="center"/>
        <w:rPr>
          <w:rFonts w:ascii="Cambria" w:hAnsi="Cambria"/>
          <w:b/>
          <w:sz w:val="20"/>
          <w:szCs w:val="20"/>
          <w:lang w:val="es-ES_tradnl"/>
        </w:rPr>
      </w:pPr>
    </w:p>
    <w:p w14:paraId="0D512070" w14:textId="77777777" w:rsidR="007403CF" w:rsidRDefault="007403CF" w:rsidP="003C302A">
      <w:pPr>
        <w:spacing w:after="0" w:line="240" w:lineRule="auto"/>
        <w:jc w:val="center"/>
        <w:rPr>
          <w:rFonts w:ascii="Cambria" w:hAnsi="Cambria"/>
          <w:b/>
          <w:sz w:val="20"/>
          <w:szCs w:val="20"/>
          <w:lang w:val="es-ES_tradnl"/>
        </w:rPr>
      </w:pPr>
    </w:p>
    <w:p w14:paraId="116327D3" w14:textId="77777777" w:rsidR="007403CF" w:rsidRDefault="007403CF" w:rsidP="003C302A">
      <w:pPr>
        <w:spacing w:after="0" w:line="240" w:lineRule="auto"/>
        <w:jc w:val="center"/>
        <w:rPr>
          <w:rFonts w:ascii="Cambria" w:hAnsi="Cambria"/>
          <w:b/>
          <w:sz w:val="20"/>
          <w:szCs w:val="20"/>
          <w:lang w:val="es-ES_tradnl"/>
        </w:rPr>
      </w:pPr>
    </w:p>
    <w:p w14:paraId="04D08C13" w14:textId="77777777" w:rsidR="007403CF" w:rsidRDefault="007403CF" w:rsidP="003C302A">
      <w:pPr>
        <w:spacing w:after="0" w:line="240" w:lineRule="auto"/>
        <w:jc w:val="center"/>
        <w:rPr>
          <w:rFonts w:ascii="Cambria" w:hAnsi="Cambria"/>
          <w:b/>
          <w:sz w:val="20"/>
          <w:szCs w:val="20"/>
          <w:lang w:val="es-ES_tradnl"/>
        </w:rPr>
      </w:pPr>
    </w:p>
    <w:p w14:paraId="712A6857" w14:textId="77777777" w:rsidR="007403CF" w:rsidRDefault="007403CF" w:rsidP="003C302A">
      <w:pPr>
        <w:spacing w:after="0" w:line="240" w:lineRule="auto"/>
        <w:jc w:val="center"/>
        <w:rPr>
          <w:rFonts w:ascii="Cambria" w:hAnsi="Cambria"/>
          <w:b/>
          <w:sz w:val="20"/>
          <w:szCs w:val="20"/>
          <w:lang w:val="es-ES_tradnl"/>
        </w:rPr>
      </w:pPr>
    </w:p>
    <w:p w14:paraId="0F2AE50F" w14:textId="77777777" w:rsidR="007403CF" w:rsidRDefault="007403CF" w:rsidP="003C302A">
      <w:pPr>
        <w:spacing w:after="0" w:line="240" w:lineRule="auto"/>
        <w:jc w:val="center"/>
        <w:rPr>
          <w:rFonts w:ascii="Cambria" w:hAnsi="Cambria"/>
          <w:b/>
          <w:sz w:val="20"/>
          <w:szCs w:val="20"/>
          <w:lang w:val="es-ES_tradnl"/>
        </w:rPr>
      </w:pPr>
    </w:p>
    <w:p w14:paraId="146359A2" w14:textId="77777777" w:rsidR="007403CF" w:rsidRDefault="007403CF" w:rsidP="003C302A">
      <w:pPr>
        <w:spacing w:after="0" w:line="240" w:lineRule="auto"/>
        <w:jc w:val="center"/>
        <w:rPr>
          <w:rFonts w:ascii="Cambria" w:hAnsi="Cambria"/>
          <w:b/>
          <w:sz w:val="20"/>
          <w:szCs w:val="20"/>
          <w:lang w:val="es-ES_tradnl"/>
        </w:rPr>
      </w:pPr>
    </w:p>
    <w:p w14:paraId="35D02165" w14:textId="77777777" w:rsidR="007403CF" w:rsidRDefault="007403CF" w:rsidP="003C302A">
      <w:pPr>
        <w:spacing w:after="0" w:line="240" w:lineRule="auto"/>
        <w:jc w:val="center"/>
        <w:rPr>
          <w:rFonts w:ascii="Cambria" w:hAnsi="Cambria"/>
          <w:b/>
          <w:sz w:val="20"/>
          <w:szCs w:val="20"/>
          <w:lang w:val="es-ES_tradnl"/>
        </w:rPr>
      </w:pPr>
    </w:p>
    <w:p w14:paraId="244F5E83" w14:textId="77777777" w:rsidR="007403CF" w:rsidRDefault="007403CF" w:rsidP="003C302A">
      <w:pPr>
        <w:spacing w:after="0" w:line="240" w:lineRule="auto"/>
        <w:jc w:val="center"/>
        <w:rPr>
          <w:rFonts w:ascii="Cambria" w:hAnsi="Cambria"/>
          <w:b/>
          <w:sz w:val="20"/>
          <w:szCs w:val="20"/>
          <w:lang w:val="es-ES_tradnl"/>
        </w:rPr>
      </w:pPr>
    </w:p>
    <w:p w14:paraId="7F5C8A42" w14:textId="77777777" w:rsidR="007403CF" w:rsidRDefault="007403CF" w:rsidP="003C302A">
      <w:pPr>
        <w:spacing w:after="0" w:line="240" w:lineRule="auto"/>
        <w:jc w:val="center"/>
        <w:rPr>
          <w:rFonts w:ascii="Cambria" w:hAnsi="Cambria"/>
          <w:b/>
          <w:sz w:val="20"/>
          <w:szCs w:val="20"/>
          <w:lang w:val="es-ES_tradnl"/>
        </w:rPr>
      </w:pPr>
    </w:p>
    <w:p w14:paraId="1EDB2F11" w14:textId="77777777" w:rsidR="007403CF" w:rsidRDefault="007403CF" w:rsidP="003C302A">
      <w:pPr>
        <w:spacing w:after="0" w:line="240" w:lineRule="auto"/>
        <w:jc w:val="center"/>
        <w:rPr>
          <w:rFonts w:ascii="Cambria" w:hAnsi="Cambria"/>
          <w:b/>
          <w:sz w:val="20"/>
          <w:szCs w:val="20"/>
          <w:lang w:val="es-ES_tradnl"/>
        </w:rPr>
      </w:pPr>
    </w:p>
    <w:p w14:paraId="37C2BBD8" w14:textId="6E5E3032" w:rsidR="002001F7" w:rsidRDefault="002001F7" w:rsidP="003C302A">
      <w:pPr>
        <w:spacing w:after="0" w:line="240" w:lineRule="auto"/>
        <w:jc w:val="center"/>
        <w:rPr>
          <w:rFonts w:ascii="Cambria" w:hAnsi="Cambria"/>
          <w:b/>
          <w:sz w:val="20"/>
          <w:szCs w:val="20"/>
          <w:lang w:val="es-ES_tradnl"/>
        </w:rPr>
      </w:pPr>
      <w:r w:rsidRPr="00B763D5">
        <w:rPr>
          <w:rFonts w:ascii="Cambria" w:hAnsi="Cambria"/>
          <w:b/>
          <w:sz w:val="20"/>
          <w:szCs w:val="20"/>
          <w:lang w:val="es-ES_tradnl"/>
        </w:rPr>
        <w:lastRenderedPageBreak/>
        <w:t>Tabla 1.  Contribuciones de Fondos Recibidos por la CIDH en 2020</w:t>
      </w:r>
    </w:p>
    <w:p w14:paraId="2B356BF3" w14:textId="23F637AD" w:rsidR="002001F7" w:rsidRPr="002001F7" w:rsidRDefault="002001F7" w:rsidP="003C302A">
      <w:pPr>
        <w:spacing w:after="0" w:line="240" w:lineRule="auto"/>
        <w:jc w:val="center"/>
        <w:rPr>
          <w:rFonts w:ascii="Cambria" w:eastAsia="Times New Roman" w:hAnsi="Cambria" w:cs="Calibri"/>
          <w:b/>
          <w:color w:val="000000"/>
          <w:sz w:val="20"/>
          <w:szCs w:val="20"/>
          <w:lang w:val="es-ES_tradnl"/>
        </w:rPr>
      </w:pPr>
      <w:r w:rsidRPr="00B763D5">
        <w:rPr>
          <w:rFonts w:ascii="Cambria" w:hAnsi="Cambria"/>
          <w:b/>
          <w:sz w:val="20"/>
          <w:szCs w:val="20"/>
          <w:lang w:val="es-ES_tradnl"/>
        </w:rPr>
        <w:t>Por fuente de financiamiento y temática especial</w:t>
      </w:r>
    </w:p>
    <w:p w14:paraId="3B7B0E83" w14:textId="6697AB28" w:rsidR="002001F7" w:rsidRPr="00B763D5" w:rsidRDefault="002001F7" w:rsidP="003C302A">
      <w:pPr>
        <w:pStyle w:val="Default"/>
        <w:jc w:val="center"/>
        <w:rPr>
          <w:rFonts w:ascii="Cambria" w:hAnsi="Cambria"/>
          <w:b/>
          <w:sz w:val="20"/>
          <w:szCs w:val="20"/>
          <w:lang w:val="es-ES_tradnl"/>
        </w:rPr>
      </w:pPr>
      <w:r w:rsidRPr="00B763D5">
        <w:rPr>
          <w:rFonts w:ascii="Cambria" w:hAnsi="Cambria"/>
          <w:b/>
          <w:sz w:val="20"/>
          <w:szCs w:val="20"/>
          <w:lang w:val="es-ES_tradnl"/>
        </w:rPr>
        <w:t>(Valores en USD, preliminares y no auditados)</w:t>
      </w:r>
      <w:bookmarkStart w:id="0" w:name="OLE_LINK1"/>
      <w:r w:rsidRPr="00B763D5">
        <w:rPr>
          <w:rStyle w:val="FootnoteReference"/>
          <w:rFonts w:ascii="Cambria" w:hAnsi="Cambria"/>
          <w:b/>
          <w:sz w:val="20"/>
          <w:szCs w:val="20"/>
          <w:lang w:val="es-ES_tradnl"/>
        </w:rPr>
        <w:footnoteReference w:id="2"/>
      </w:r>
    </w:p>
    <w:p w14:paraId="7AE88B22" w14:textId="3007CD0F" w:rsidR="002001F7" w:rsidRPr="00B763D5" w:rsidRDefault="00442ED4" w:rsidP="002001F7">
      <w:pPr>
        <w:pStyle w:val="paragraphs"/>
        <w:numPr>
          <w:ilvl w:val="0"/>
          <w:numId w:val="0"/>
        </w:numPr>
        <w:jc w:val="center"/>
      </w:pPr>
      <w:r w:rsidRPr="00442ED4">
        <w:rPr>
          <w:noProof/>
        </w:rPr>
        <w:drawing>
          <wp:inline distT="0" distB="0" distL="0" distR="0" wp14:anchorId="40625CFD" wp14:editId="623A84E2">
            <wp:extent cx="4579396" cy="529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307" cy="5301580"/>
                    </a:xfrm>
                    <a:prstGeom prst="rect">
                      <a:avLst/>
                    </a:prstGeom>
                    <a:noFill/>
                    <a:ln>
                      <a:noFill/>
                    </a:ln>
                  </pic:spPr>
                </pic:pic>
              </a:graphicData>
            </a:graphic>
          </wp:inline>
        </w:drawing>
      </w:r>
    </w:p>
    <w:p w14:paraId="2FF01D83" w14:textId="29A8F2BF" w:rsidR="007403CF" w:rsidRDefault="007403CF" w:rsidP="007403CF">
      <w:pPr>
        <w:pStyle w:val="paragraphs"/>
        <w:numPr>
          <w:ilvl w:val="0"/>
          <w:numId w:val="0"/>
        </w:numPr>
        <w:ind w:left="720"/>
        <w:rPr>
          <w:rFonts w:eastAsia="Times New Roman" w:cs="Calibri"/>
          <w:b/>
        </w:rPr>
      </w:pPr>
    </w:p>
    <w:p w14:paraId="51756027" w14:textId="1EF69F0C" w:rsidR="007403CF" w:rsidRDefault="007403CF" w:rsidP="007403CF">
      <w:pPr>
        <w:pStyle w:val="paragraphs"/>
        <w:numPr>
          <w:ilvl w:val="0"/>
          <w:numId w:val="0"/>
        </w:numPr>
        <w:ind w:left="720"/>
        <w:rPr>
          <w:rFonts w:eastAsia="Times New Roman" w:cs="Calibri"/>
          <w:b/>
        </w:rPr>
      </w:pPr>
    </w:p>
    <w:p w14:paraId="764051E5" w14:textId="1C92A36C" w:rsidR="007403CF" w:rsidRDefault="007403CF" w:rsidP="007403CF">
      <w:pPr>
        <w:pStyle w:val="paragraphs"/>
        <w:numPr>
          <w:ilvl w:val="0"/>
          <w:numId w:val="0"/>
        </w:numPr>
        <w:ind w:left="720"/>
        <w:rPr>
          <w:rFonts w:eastAsia="Times New Roman" w:cs="Calibri"/>
          <w:b/>
        </w:rPr>
      </w:pPr>
    </w:p>
    <w:p w14:paraId="409428FF" w14:textId="77777777" w:rsidR="007403CF" w:rsidRPr="007403CF" w:rsidRDefault="007403CF" w:rsidP="007403CF">
      <w:pPr>
        <w:pStyle w:val="paragraphs"/>
        <w:numPr>
          <w:ilvl w:val="0"/>
          <w:numId w:val="0"/>
        </w:numPr>
        <w:ind w:left="720"/>
        <w:rPr>
          <w:rFonts w:eastAsia="Times New Roman" w:cs="Calibri"/>
          <w:b/>
        </w:rPr>
      </w:pPr>
    </w:p>
    <w:p w14:paraId="462E857F" w14:textId="7B48B90D" w:rsidR="002001F7" w:rsidRPr="002001F7" w:rsidRDefault="002001F7" w:rsidP="002001F7">
      <w:pPr>
        <w:pStyle w:val="paragraphs"/>
        <w:ind w:left="0" w:firstLine="720"/>
        <w:rPr>
          <w:rFonts w:eastAsia="Times New Roman" w:cs="Calibri"/>
          <w:b/>
        </w:rPr>
      </w:pPr>
      <w:r w:rsidRPr="00B763D5">
        <w:lastRenderedPageBreak/>
        <w:t>La siguiente tabla muestra el estado de variación en el saldo de los fondos de los proyectos financiados por fondos específicos de la CIDH al 31 de diciembre de 2020.</w:t>
      </w:r>
    </w:p>
    <w:p w14:paraId="3A7B5B00" w14:textId="77777777" w:rsidR="002001F7" w:rsidRPr="00B763D5" w:rsidRDefault="002001F7" w:rsidP="002001F7">
      <w:pPr>
        <w:pStyle w:val="paragraphs"/>
        <w:numPr>
          <w:ilvl w:val="0"/>
          <w:numId w:val="0"/>
        </w:numPr>
        <w:ind w:left="720"/>
        <w:rPr>
          <w:rFonts w:eastAsia="Times New Roman" w:cs="Calibri"/>
          <w:b/>
        </w:rPr>
      </w:pPr>
    </w:p>
    <w:p w14:paraId="01C43394" w14:textId="77777777" w:rsidR="002001F7" w:rsidRPr="00B763D5" w:rsidRDefault="002001F7" w:rsidP="002001F7">
      <w:pPr>
        <w:pStyle w:val="Default"/>
        <w:ind w:left="1843" w:hanging="850"/>
        <w:jc w:val="center"/>
        <w:rPr>
          <w:rFonts w:ascii="Cambria" w:hAnsi="Cambria"/>
          <w:b/>
          <w:sz w:val="20"/>
          <w:szCs w:val="20"/>
          <w:lang w:val="es-ES_tradnl"/>
        </w:rPr>
      </w:pPr>
      <w:r w:rsidRPr="00B763D5">
        <w:rPr>
          <w:rFonts w:ascii="Cambria" w:hAnsi="Cambria"/>
          <w:b/>
          <w:color w:val="auto"/>
          <w:sz w:val="20"/>
          <w:szCs w:val="20"/>
          <w:lang w:val="es-ES_tradnl"/>
        </w:rPr>
        <w:t>Tabla 2. Informe de Variaciones en el Saldo de Fondo de Fondos Específicos por     Proyectos. Información al 31 de diciembre de 2020</w:t>
      </w:r>
      <w:r w:rsidRPr="00B763D5">
        <w:rPr>
          <w:rStyle w:val="FootnoteReference"/>
          <w:rFonts w:ascii="Cambria" w:hAnsi="Cambria"/>
          <w:b/>
          <w:color w:val="auto"/>
          <w:sz w:val="20"/>
          <w:szCs w:val="20"/>
          <w:lang w:val="es-ES_tradnl"/>
        </w:rPr>
        <w:footnoteReference w:id="3"/>
      </w:r>
      <w:r w:rsidRPr="00B763D5">
        <w:rPr>
          <w:rFonts w:ascii="Cambria" w:hAnsi="Cambria"/>
          <w:b/>
          <w:color w:val="auto"/>
          <w:sz w:val="20"/>
          <w:szCs w:val="20"/>
          <w:vertAlign w:val="superscript"/>
          <w:lang w:val="es-ES_tradnl"/>
        </w:rPr>
        <w:t xml:space="preserve">, </w:t>
      </w:r>
      <w:r w:rsidRPr="00B763D5">
        <w:rPr>
          <w:rStyle w:val="FootnoteReference"/>
          <w:rFonts w:ascii="Cambria" w:hAnsi="Cambria"/>
          <w:b/>
          <w:color w:val="auto"/>
          <w:sz w:val="20"/>
          <w:szCs w:val="20"/>
          <w:lang w:val="es-ES_tradnl"/>
        </w:rPr>
        <w:footnoteReference w:id="4"/>
      </w:r>
    </w:p>
    <w:bookmarkEnd w:id="0"/>
    <w:p w14:paraId="5EFB7175" w14:textId="77777777" w:rsidR="002001F7" w:rsidRPr="00B763D5" w:rsidRDefault="002001F7" w:rsidP="002001F7">
      <w:pPr>
        <w:pStyle w:val="Default"/>
        <w:ind w:firstLine="993"/>
        <w:jc w:val="center"/>
        <w:rPr>
          <w:rFonts w:ascii="Cambria" w:hAnsi="Cambria"/>
          <w:b/>
          <w:color w:val="auto"/>
          <w:sz w:val="20"/>
          <w:szCs w:val="20"/>
          <w:lang w:val="es-ES_tradnl"/>
        </w:rPr>
      </w:pPr>
      <w:r w:rsidRPr="00B763D5">
        <w:rPr>
          <w:rFonts w:ascii="Cambria" w:hAnsi="Cambria"/>
          <w:b/>
          <w:color w:val="auto"/>
          <w:sz w:val="20"/>
          <w:szCs w:val="20"/>
          <w:lang w:val="es-ES_tradnl"/>
        </w:rPr>
        <w:t>(Valores en USD, preliminares y no auditados)</w:t>
      </w:r>
    </w:p>
    <w:p w14:paraId="6F3C744A" w14:textId="77777777" w:rsidR="002001F7" w:rsidRPr="00B763D5" w:rsidRDefault="002001F7" w:rsidP="002001F7">
      <w:pPr>
        <w:pStyle w:val="Default"/>
        <w:ind w:firstLine="993"/>
        <w:jc w:val="center"/>
        <w:rPr>
          <w:rFonts w:ascii="Cambria" w:hAnsi="Cambria"/>
          <w:sz w:val="20"/>
          <w:szCs w:val="20"/>
          <w:lang w:val="es-ES_tradnl"/>
        </w:rPr>
      </w:pPr>
    </w:p>
    <w:p w14:paraId="7D46231B" w14:textId="77777777" w:rsidR="002001F7" w:rsidRPr="00B763D5" w:rsidRDefault="002001F7" w:rsidP="002001F7">
      <w:pPr>
        <w:pStyle w:val="Default"/>
        <w:tabs>
          <w:tab w:val="left" w:pos="6600"/>
        </w:tabs>
        <w:ind w:firstLine="90"/>
        <w:jc w:val="center"/>
        <w:rPr>
          <w:rFonts w:ascii="Cambria" w:hAnsi="Cambria"/>
          <w:b/>
          <w:sz w:val="20"/>
          <w:szCs w:val="20"/>
          <w:lang w:val="es-ES_tradnl"/>
        </w:rPr>
      </w:pPr>
      <w:r w:rsidRPr="00B763D5">
        <w:rPr>
          <w:rFonts w:ascii="Cambria" w:hAnsi="Cambria"/>
          <w:noProof/>
          <w:sz w:val="20"/>
          <w:szCs w:val="20"/>
          <w:lang w:val="es-CO" w:eastAsia="es-CO"/>
        </w:rPr>
        <w:drawing>
          <wp:inline distT="0" distB="0" distL="0" distR="0" wp14:anchorId="69D4F90D" wp14:editId="2F2ACA03">
            <wp:extent cx="5523441" cy="292417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5483" cy="2925256"/>
                    </a:xfrm>
                    <a:prstGeom prst="rect">
                      <a:avLst/>
                    </a:prstGeom>
                    <a:noFill/>
                    <a:ln>
                      <a:noFill/>
                    </a:ln>
                  </pic:spPr>
                </pic:pic>
              </a:graphicData>
            </a:graphic>
          </wp:inline>
        </w:drawing>
      </w:r>
    </w:p>
    <w:p w14:paraId="06BDB621" w14:textId="77777777" w:rsidR="002001F7" w:rsidRDefault="002001F7" w:rsidP="002001F7">
      <w:pPr>
        <w:pStyle w:val="Default"/>
        <w:tabs>
          <w:tab w:val="left" w:pos="6600"/>
        </w:tabs>
        <w:ind w:firstLine="851"/>
        <w:rPr>
          <w:rFonts w:ascii="Cambria" w:hAnsi="Cambria"/>
          <w:b/>
          <w:sz w:val="20"/>
          <w:szCs w:val="20"/>
          <w:lang w:val="es-ES_tradnl"/>
        </w:rPr>
      </w:pPr>
    </w:p>
    <w:p w14:paraId="3700B215" w14:textId="77777777" w:rsidR="002001F7" w:rsidRDefault="002001F7" w:rsidP="002001F7">
      <w:pPr>
        <w:pStyle w:val="Default"/>
        <w:tabs>
          <w:tab w:val="left" w:pos="6600"/>
        </w:tabs>
        <w:ind w:firstLine="851"/>
        <w:rPr>
          <w:rFonts w:ascii="Cambria" w:hAnsi="Cambria"/>
          <w:b/>
          <w:sz w:val="20"/>
          <w:szCs w:val="20"/>
          <w:lang w:val="es-ES_tradnl"/>
        </w:rPr>
      </w:pPr>
    </w:p>
    <w:p w14:paraId="33D255E2" w14:textId="0EF59269" w:rsidR="002001F7" w:rsidRDefault="002001F7" w:rsidP="002001F7">
      <w:pPr>
        <w:pStyle w:val="Default"/>
        <w:tabs>
          <w:tab w:val="left" w:pos="6600"/>
        </w:tabs>
        <w:rPr>
          <w:rFonts w:ascii="Cambria" w:hAnsi="Cambria"/>
          <w:b/>
          <w:sz w:val="20"/>
          <w:szCs w:val="20"/>
          <w:lang w:val="es-ES_tradnl"/>
        </w:rPr>
      </w:pPr>
    </w:p>
    <w:p w14:paraId="7DFE7C77" w14:textId="26F9D585" w:rsidR="007403CF" w:rsidRDefault="007403CF" w:rsidP="002001F7">
      <w:pPr>
        <w:pStyle w:val="Default"/>
        <w:tabs>
          <w:tab w:val="left" w:pos="6600"/>
        </w:tabs>
        <w:rPr>
          <w:rFonts w:ascii="Cambria" w:hAnsi="Cambria"/>
          <w:b/>
          <w:sz w:val="20"/>
          <w:szCs w:val="20"/>
          <w:lang w:val="es-ES_tradnl"/>
        </w:rPr>
      </w:pPr>
    </w:p>
    <w:p w14:paraId="5981258F" w14:textId="4A8ABB69" w:rsidR="007403CF" w:rsidRDefault="007403CF" w:rsidP="002001F7">
      <w:pPr>
        <w:pStyle w:val="Default"/>
        <w:tabs>
          <w:tab w:val="left" w:pos="6600"/>
        </w:tabs>
        <w:rPr>
          <w:rFonts w:ascii="Cambria" w:hAnsi="Cambria"/>
          <w:b/>
          <w:sz w:val="20"/>
          <w:szCs w:val="20"/>
          <w:lang w:val="es-ES_tradnl"/>
        </w:rPr>
      </w:pPr>
    </w:p>
    <w:p w14:paraId="47448A87" w14:textId="2B833FA6" w:rsidR="007403CF" w:rsidRDefault="007403CF" w:rsidP="002001F7">
      <w:pPr>
        <w:pStyle w:val="Default"/>
        <w:tabs>
          <w:tab w:val="left" w:pos="6600"/>
        </w:tabs>
        <w:rPr>
          <w:rFonts w:ascii="Cambria" w:hAnsi="Cambria"/>
          <w:b/>
          <w:sz w:val="20"/>
          <w:szCs w:val="20"/>
          <w:lang w:val="es-ES_tradnl"/>
        </w:rPr>
      </w:pPr>
    </w:p>
    <w:p w14:paraId="652D9EA4" w14:textId="222BE387" w:rsidR="007403CF" w:rsidRDefault="007403CF" w:rsidP="002001F7">
      <w:pPr>
        <w:pStyle w:val="Default"/>
        <w:tabs>
          <w:tab w:val="left" w:pos="6600"/>
        </w:tabs>
        <w:rPr>
          <w:rFonts w:ascii="Cambria" w:hAnsi="Cambria"/>
          <w:b/>
          <w:sz w:val="20"/>
          <w:szCs w:val="20"/>
          <w:lang w:val="es-ES_tradnl"/>
        </w:rPr>
      </w:pPr>
    </w:p>
    <w:p w14:paraId="08C485BE" w14:textId="764B7960" w:rsidR="007403CF" w:rsidRDefault="007403CF" w:rsidP="002001F7">
      <w:pPr>
        <w:pStyle w:val="Default"/>
        <w:tabs>
          <w:tab w:val="left" w:pos="6600"/>
        </w:tabs>
        <w:rPr>
          <w:rFonts w:ascii="Cambria" w:hAnsi="Cambria"/>
          <w:b/>
          <w:sz w:val="20"/>
          <w:szCs w:val="20"/>
          <w:lang w:val="es-ES_tradnl"/>
        </w:rPr>
      </w:pPr>
    </w:p>
    <w:p w14:paraId="487C5049" w14:textId="6420D676" w:rsidR="007403CF" w:rsidRDefault="007403CF" w:rsidP="002001F7">
      <w:pPr>
        <w:pStyle w:val="Default"/>
        <w:tabs>
          <w:tab w:val="left" w:pos="6600"/>
        </w:tabs>
        <w:rPr>
          <w:rFonts w:ascii="Cambria" w:hAnsi="Cambria"/>
          <w:b/>
          <w:sz w:val="20"/>
          <w:szCs w:val="20"/>
          <w:lang w:val="es-ES_tradnl"/>
        </w:rPr>
      </w:pPr>
    </w:p>
    <w:p w14:paraId="5AD053D1" w14:textId="052C68CC" w:rsidR="007403CF" w:rsidRDefault="007403CF" w:rsidP="002001F7">
      <w:pPr>
        <w:pStyle w:val="Default"/>
        <w:tabs>
          <w:tab w:val="left" w:pos="6600"/>
        </w:tabs>
        <w:rPr>
          <w:rFonts w:ascii="Cambria" w:hAnsi="Cambria"/>
          <w:b/>
          <w:sz w:val="20"/>
          <w:szCs w:val="20"/>
          <w:lang w:val="es-ES_tradnl"/>
        </w:rPr>
      </w:pPr>
    </w:p>
    <w:p w14:paraId="13BD14DB" w14:textId="57D5D89E" w:rsidR="007403CF" w:rsidRDefault="007403CF" w:rsidP="002001F7">
      <w:pPr>
        <w:pStyle w:val="Default"/>
        <w:tabs>
          <w:tab w:val="left" w:pos="6600"/>
        </w:tabs>
        <w:rPr>
          <w:rFonts w:ascii="Cambria" w:hAnsi="Cambria"/>
          <w:b/>
          <w:sz w:val="20"/>
          <w:szCs w:val="20"/>
          <w:lang w:val="es-ES_tradnl"/>
        </w:rPr>
      </w:pPr>
    </w:p>
    <w:p w14:paraId="41E4150B" w14:textId="66081332" w:rsidR="007403CF" w:rsidRDefault="007403CF" w:rsidP="002001F7">
      <w:pPr>
        <w:pStyle w:val="Default"/>
        <w:tabs>
          <w:tab w:val="left" w:pos="6600"/>
        </w:tabs>
        <w:rPr>
          <w:rFonts w:ascii="Cambria" w:hAnsi="Cambria"/>
          <w:b/>
          <w:sz w:val="20"/>
          <w:szCs w:val="20"/>
          <w:lang w:val="es-ES_tradnl"/>
        </w:rPr>
      </w:pPr>
    </w:p>
    <w:p w14:paraId="5ED55AF3" w14:textId="3A0F0ACC" w:rsidR="007403CF" w:rsidRDefault="007403CF" w:rsidP="002001F7">
      <w:pPr>
        <w:pStyle w:val="Default"/>
        <w:tabs>
          <w:tab w:val="left" w:pos="6600"/>
        </w:tabs>
        <w:rPr>
          <w:rFonts w:ascii="Cambria" w:hAnsi="Cambria"/>
          <w:b/>
          <w:sz w:val="20"/>
          <w:szCs w:val="20"/>
          <w:lang w:val="es-ES_tradnl"/>
        </w:rPr>
      </w:pPr>
    </w:p>
    <w:p w14:paraId="6E1E0AE0" w14:textId="11941A41" w:rsidR="007403CF" w:rsidRDefault="007403CF" w:rsidP="002001F7">
      <w:pPr>
        <w:pStyle w:val="Default"/>
        <w:tabs>
          <w:tab w:val="left" w:pos="6600"/>
        </w:tabs>
        <w:rPr>
          <w:rFonts w:ascii="Cambria" w:hAnsi="Cambria"/>
          <w:b/>
          <w:sz w:val="20"/>
          <w:szCs w:val="20"/>
          <w:lang w:val="es-ES_tradnl"/>
        </w:rPr>
      </w:pPr>
    </w:p>
    <w:p w14:paraId="79BFF239" w14:textId="53BC60E7" w:rsidR="007403CF" w:rsidRDefault="007403CF" w:rsidP="002001F7">
      <w:pPr>
        <w:pStyle w:val="Default"/>
        <w:tabs>
          <w:tab w:val="left" w:pos="6600"/>
        </w:tabs>
        <w:rPr>
          <w:rFonts w:ascii="Cambria" w:hAnsi="Cambria"/>
          <w:b/>
          <w:sz w:val="20"/>
          <w:szCs w:val="20"/>
          <w:lang w:val="es-ES_tradnl"/>
        </w:rPr>
      </w:pPr>
    </w:p>
    <w:p w14:paraId="7CDE62D8" w14:textId="77777777" w:rsidR="007403CF" w:rsidRPr="00B763D5" w:rsidRDefault="007403CF" w:rsidP="002001F7">
      <w:pPr>
        <w:pStyle w:val="Default"/>
        <w:tabs>
          <w:tab w:val="left" w:pos="6600"/>
        </w:tabs>
        <w:rPr>
          <w:rFonts w:ascii="Cambria" w:hAnsi="Cambria"/>
          <w:b/>
          <w:sz w:val="20"/>
          <w:szCs w:val="20"/>
          <w:lang w:val="es-ES_tradnl"/>
        </w:rPr>
      </w:pPr>
    </w:p>
    <w:p w14:paraId="2735963F" w14:textId="77777777" w:rsidR="002001F7" w:rsidRPr="00B763D5" w:rsidRDefault="002001F7" w:rsidP="002001F7">
      <w:pPr>
        <w:pStyle w:val="paragraphs"/>
        <w:ind w:left="0" w:firstLine="720"/>
      </w:pPr>
      <w:r w:rsidRPr="00B763D5">
        <w:lastRenderedPageBreak/>
        <w:t>La siguiente figura muestra la distribución del gasto de la CIDH por fuente de financiamiento al 31 de diciembre de 2020. Los gastos financiados a través de los fondos específicos ascienden al 45% y del fondo regular, al 55%.</w:t>
      </w:r>
    </w:p>
    <w:p w14:paraId="4DD1ABE1" w14:textId="7A82EC01" w:rsidR="002001F7" w:rsidRPr="00B763D5" w:rsidRDefault="002001F7" w:rsidP="002001F7">
      <w:pPr>
        <w:rPr>
          <w:rFonts w:ascii="Cambria" w:eastAsia="Times New Roman" w:hAnsi="Cambria" w:cs="Calibri"/>
          <w:b/>
          <w:sz w:val="20"/>
          <w:szCs w:val="20"/>
          <w:lang w:val="es-ES_tradnl"/>
        </w:rPr>
      </w:pPr>
    </w:p>
    <w:p w14:paraId="7FBBAB07" w14:textId="77777777" w:rsidR="002001F7" w:rsidRPr="00B763D5" w:rsidRDefault="002001F7" w:rsidP="002001F7">
      <w:pPr>
        <w:pStyle w:val="Default"/>
        <w:ind w:left="1985" w:hanging="992"/>
        <w:jc w:val="center"/>
        <w:rPr>
          <w:rFonts w:ascii="Cambria" w:hAnsi="Cambria"/>
          <w:b/>
          <w:color w:val="auto"/>
          <w:sz w:val="20"/>
          <w:szCs w:val="20"/>
          <w:lang w:val="es-ES_tradnl"/>
        </w:rPr>
      </w:pPr>
      <w:r w:rsidRPr="00B763D5">
        <w:rPr>
          <w:rFonts w:ascii="Cambria" w:hAnsi="Cambria"/>
          <w:b/>
          <w:color w:val="auto"/>
          <w:sz w:val="20"/>
          <w:szCs w:val="20"/>
          <w:lang w:val="es-ES_tradnl"/>
        </w:rPr>
        <w:t>Figura 3. Distribución del Gasto de la CIDH por Fuente de Financiamiento al 31 de diciembre de 2020</w:t>
      </w:r>
    </w:p>
    <w:p w14:paraId="5D9D3902" w14:textId="77777777" w:rsidR="002001F7" w:rsidRPr="00B763D5" w:rsidRDefault="002001F7" w:rsidP="002001F7">
      <w:pPr>
        <w:pStyle w:val="Default"/>
        <w:ind w:left="1985" w:hanging="992"/>
        <w:jc w:val="center"/>
        <w:rPr>
          <w:rFonts w:ascii="Cambria" w:hAnsi="Cambria"/>
          <w:b/>
          <w:color w:val="auto"/>
          <w:sz w:val="20"/>
          <w:szCs w:val="20"/>
          <w:lang w:val="es-ES_tradnl"/>
        </w:rPr>
      </w:pPr>
      <w:r w:rsidRPr="00B763D5">
        <w:rPr>
          <w:rFonts w:ascii="Cambria" w:hAnsi="Cambria"/>
          <w:b/>
          <w:color w:val="auto"/>
          <w:sz w:val="20"/>
          <w:szCs w:val="20"/>
          <w:lang w:val="es-ES_tradnl"/>
        </w:rPr>
        <w:t>(Valores en miles de USD, preliminares y no auditados)</w:t>
      </w:r>
    </w:p>
    <w:p w14:paraId="73A0D92A" w14:textId="1DFD4A38" w:rsidR="002001F7" w:rsidRPr="00B763D5" w:rsidRDefault="00FF5B7A" w:rsidP="00FF5B7A">
      <w:pPr>
        <w:pStyle w:val="Default"/>
        <w:jc w:val="center"/>
        <w:rPr>
          <w:rFonts w:ascii="Cambria" w:hAnsi="Cambria"/>
          <w:b/>
          <w:color w:val="auto"/>
          <w:sz w:val="20"/>
          <w:szCs w:val="20"/>
          <w:lang w:val="es-ES_tradnl"/>
        </w:rPr>
      </w:pPr>
      <w:r>
        <w:rPr>
          <w:noProof/>
          <w:lang w:val="es-CO" w:eastAsia="es-CO"/>
        </w:rPr>
        <w:drawing>
          <wp:inline distT="0" distB="0" distL="0" distR="0" wp14:anchorId="1914FA6C" wp14:editId="54D7BDED">
            <wp:extent cx="4613609" cy="3343275"/>
            <wp:effectExtent l="0" t="0" r="0" b="9525"/>
            <wp:docPr id="12" name="Chart 12">
              <a:extLst xmlns:a="http://schemas.openxmlformats.org/drawingml/2006/main">
                <a:ext uri="{FF2B5EF4-FFF2-40B4-BE49-F238E27FC236}">
                  <a16:creationId xmlns:a16="http://schemas.microsoft.com/office/drawing/2014/main" id="{A8B46FB7-4C0B-4148-885C-7847B53F9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B81F7C" w14:textId="77777777" w:rsidR="002001F7" w:rsidRPr="00B763D5" w:rsidRDefault="002001F7" w:rsidP="002001F7">
      <w:pPr>
        <w:pStyle w:val="Default"/>
        <w:ind w:firstLine="851"/>
        <w:jc w:val="center"/>
        <w:rPr>
          <w:rFonts w:ascii="Cambria" w:hAnsi="Cambria"/>
          <w:sz w:val="20"/>
          <w:szCs w:val="20"/>
          <w:lang w:val="es-ES_tradnl"/>
        </w:rPr>
      </w:pPr>
    </w:p>
    <w:p w14:paraId="3E9CC25F" w14:textId="295EE64B" w:rsidR="002001F7" w:rsidRDefault="002001F7" w:rsidP="002001F7">
      <w:pPr>
        <w:pStyle w:val="paragraphs"/>
        <w:ind w:left="0" w:firstLine="720"/>
      </w:pPr>
      <w:r w:rsidRPr="00B763D5">
        <w:t>La siguiente tabla y gráfica muestran la distribución del gasto de la CIDH por fuente de financiamiento y objeto de gasto.</w:t>
      </w:r>
    </w:p>
    <w:p w14:paraId="38B5962D" w14:textId="77777777" w:rsidR="002001F7" w:rsidRPr="00B763D5" w:rsidRDefault="002001F7" w:rsidP="002001F7">
      <w:pPr>
        <w:pStyle w:val="paragraphs"/>
        <w:numPr>
          <w:ilvl w:val="0"/>
          <w:numId w:val="0"/>
        </w:numPr>
        <w:ind w:left="720"/>
      </w:pPr>
    </w:p>
    <w:p w14:paraId="1ED986C3" w14:textId="77777777" w:rsidR="002001F7" w:rsidRPr="00B763D5" w:rsidRDefault="002001F7" w:rsidP="002001F7">
      <w:pPr>
        <w:pStyle w:val="Default"/>
        <w:jc w:val="center"/>
        <w:rPr>
          <w:rFonts w:ascii="Cambria" w:hAnsi="Cambria"/>
          <w:b/>
          <w:color w:val="FF0000"/>
          <w:sz w:val="20"/>
          <w:szCs w:val="20"/>
          <w:lang w:val="es-ES_tradnl"/>
        </w:rPr>
      </w:pPr>
      <w:r w:rsidRPr="00B763D5">
        <w:rPr>
          <w:rFonts w:ascii="Cambria" w:hAnsi="Cambria"/>
          <w:b/>
          <w:sz w:val="20"/>
          <w:szCs w:val="20"/>
          <w:lang w:val="es-ES_tradnl"/>
        </w:rPr>
        <w:t xml:space="preserve">Tabla 3. Distribución del Gasto de la CIDH </w:t>
      </w:r>
      <w:r w:rsidRPr="00B763D5">
        <w:rPr>
          <w:rFonts w:ascii="Cambria" w:hAnsi="Cambria"/>
          <w:b/>
          <w:color w:val="auto"/>
          <w:sz w:val="20"/>
          <w:szCs w:val="20"/>
          <w:lang w:val="es-ES_tradnl"/>
        </w:rPr>
        <w:t>por Fuente de Financiamiento en el 2020 y Objeto de Gasto (Valores redondeados en USD, preliminares y no auditados) al 31 de diciembre de 2020.</w:t>
      </w:r>
    </w:p>
    <w:p w14:paraId="1A13AEEC" w14:textId="77777777" w:rsidR="002001F7" w:rsidRPr="00B763D5" w:rsidRDefault="002001F7" w:rsidP="002001F7">
      <w:pPr>
        <w:pStyle w:val="Default"/>
        <w:jc w:val="center"/>
        <w:rPr>
          <w:rFonts w:ascii="Cambria" w:hAnsi="Cambria"/>
          <w:b/>
          <w:color w:val="FF0000"/>
          <w:sz w:val="20"/>
          <w:szCs w:val="20"/>
          <w:lang w:val="es-ES_tradnl"/>
        </w:rPr>
      </w:pPr>
    </w:p>
    <w:tbl>
      <w:tblPr>
        <w:tblStyle w:val="GridTable4-Accent5"/>
        <w:tblW w:w="8784" w:type="dxa"/>
        <w:tblLayout w:type="fixed"/>
        <w:tblLook w:val="04A0" w:firstRow="1" w:lastRow="0" w:firstColumn="1" w:lastColumn="0" w:noHBand="0" w:noVBand="1"/>
      </w:tblPr>
      <w:tblGrid>
        <w:gridCol w:w="3114"/>
        <w:gridCol w:w="1984"/>
        <w:gridCol w:w="1843"/>
        <w:gridCol w:w="1843"/>
      </w:tblGrid>
      <w:tr w:rsidR="002001F7" w:rsidRPr="00B763D5" w14:paraId="22E7F44E" w14:textId="77777777" w:rsidTr="007403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02A638A" w14:textId="77777777" w:rsidR="002001F7" w:rsidRPr="00B763D5" w:rsidRDefault="002001F7" w:rsidP="00BB219D">
            <w:pPr>
              <w:rPr>
                <w:rFonts w:ascii="Cambria" w:hAnsi="Cambria" w:cstheme="minorHAnsi"/>
                <w:lang w:val="es-ES_tradnl"/>
              </w:rPr>
            </w:pPr>
            <w:r w:rsidRPr="00B763D5">
              <w:rPr>
                <w:rFonts w:ascii="Cambria" w:eastAsia="Times New Roman" w:hAnsi="Cambria" w:cstheme="minorHAnsi"/>
                <w:color w:val="FFFFFF"/>
                <w:lang w:val="es-ES_tradnl" w:eastAsia="es-CO"/>
              </w:rPr>
              <w:t>Objeto de Gasto</w:t>
            </w:r>
          </w:p>
        </w:tc>
        <w:tc>
          <w:tcPr>
            <w:tcW w:w="1984" w:type="dxa"/>
            <w:noWrap/>
            <w:hideMark/>
          </w:tcPr>
          <w:p w14:paraId="75394367" w14:textId="77777777" w:rsidR="002001F7" w:rsidRPr="00B763D5" w:rsidRDefault="002001F7" w:rsidP="00BB219D">
            <w:pPr>
              <w:cnfStyle w:val="100000000000" w:firstRow="1" w:lastRow="0" w:firstColumn="0" w:lastColumn="0" w:oddVBand="0" w:evenVBand="0" w:oddHBand="0" w:evenHBand="0" w:firstRowFirstColumn="0" w:firstRowLastColumn="0" w:lastRowFirstColumn="0" w:lastRowLastColumn="0"/>
              <w:rPr>
                <w:rFonts w:ascii="Cambria" w:hAnsi="Cambria" w:cstheme="minorHAnsi"/>
                <w:bCs w:val="0"/>
                <w:lang w:val="es-ES_tradnl"/>
              </w:rPr>
            </w:pPr>
            <w:r w:rsidRPr="00B763D5">
              <w:rPr>
                <w:rFonts w:ascii="Cambria" w:eastAsia="Times New Roman" w:hAnsi="Cambria" w:cstheme="minorHAnsi"/>
                <w:color w:val="FFFFFF"/>
                <w:lang w:val="es-ES_tradnl" w:eastAsia="es-CO"/>
              </w:rPr>
              <w:t>Fondo Regular</w:t>
            </w:r>
          </w:p>
        </w:tc>
        <w:tc>
          <w:tcPr>
            <w:tcW w:w="1843" w:type="dxa"/>
            <w:noWrap/>
            <w:hideMark/>
          </w:tcPr>
          <w:p w14:paraId="30DBAEF2" w14:textId="77777777" w:rsidR="002001F7" w:rsidRPr="00B763D5" w:rsidRDefault="002001F7" w:rsidP="00BB219D">
            <w:pPr>
              <w:cnfStyle w:val="100000000000" w:firstRow="1" w:lastRow="0" w:firstColumn="0" w:lastColumn="0" w:oddVBand="0" w:evenVBand="0" w:oddHBand="0" w:evenHBand="0" w:firstRowFirstColumn="0" w:firstRowLastColumn="0" w:lastRowFirstColumn="0" w:lastRowLastColumn="0"/>
              <w:rPr>
                <w:rFonts w:ascii="Cambria" w:hAnsi="Cambria" w:cstheme="minorHAnsi"/>
                <w:bCs w:val="0"/>
                <w:lang w:val="es-ES_tradnl"/>
              </w:rPr>
            </w:pPr>
            <w:r w:rsidRPr="00B763D5">
              <w:rPr>
                <w:rFonts w:ascii="Cambria" w:eastAsia="Times New Roman" w:hAnsi="Cambria" w:cstheme="minorHAnsi"/>
                <w:color w:val="FFFFFF"/>
                <w:lang w:val="es-ES_tradnl" w:eastAsia="es-CO"/>
              </w:rPr>
              <w:t>Fondo Específicos</w:t>
            </w:r>
          </w:p>
        </w:tc>
        <w:tc>
          <w:tcPr>
            <w:tcW w:w="1843" w:type="dxa"/>
            <w:noWrap/>
            <w:hideMark/>
          </w:tcPr>
          <w:p w14:paraId="76D34AC2" w14:textId="77777777" w:rsidR="002001F7" w:rsidRPr="00B763D5" w:rsidRDefault="002001F7" w:rsidP="00BB219D">
            <w:pPr>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bCs w:val="0"/>
                <w:lang w:val="es-ES_tradnl"/>
              </w:rPr>
            </w:pPr>
            <w:r w:rsidRPr="00B763D5">
              <w:rPr>
                <w:rFonts w:ascii="Cambria" w:eastAsia="Times New Roman" w:hAnsi="Cambria" w:cstheme="minorHAnsi"/>
                <w:color w:val="FFFFFF"/>
                <w:lang w:val="es-ES_tradnl" w:eastAsia="es-CO"/>
              </w:rPr>
              <w:t>Total</w:t>
            </w:r>
          </w:p>
        </w:tc>
      </w:tr>
      <w:tr w:rsidR="002001F7" w:rsidRPr="00B763D5" w14:paraId="254FA24C" w14:textId="77777777" w:rsidTr="007403C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79429AE" w14:textId="77777777" w:rsidR="002001F7" w:rsidRPr="00B763D5" w:rsidRDefault="002001F7" w:rsidP="00BB219D">
            <w:pPr>
              <w:rPr>
                <w:rFonts w:ascii="Cambria" w:hAnsi="Cambria" w:cstheme="minorHAnsi"/>
                <w:b w:val="0"/>
                <w:bCs w:val="0"/>
                <w:lang w:val="es-ES_tradnl"/>
              </w:rPr>
            </w:pPr>
            <w:r w:rsidRPr="00B763D5">
              <w:rPr>
                <w:rFonts w:ascii="Cambria" w:eastAsia="Times New Roman" w:hAnsi="Cambria" w:cstheme="minorHAnsi"/>
                <w:lang w:val="es-ES_tradnl" w:eastAsia="es-CO"/>
              </w:rPr>
              <w:t>Salarios</w:t>
            </w:r>
          </w:p>
        </w:tc>
        <w:tc>
          <w:tcPr>
            <w:tcW w:w="1984" w:type="dxa"/>
            <w:noWrap/>
            <w:hideMark/>
          </w:tcPr>
          <w:p w14:paraId="4A0FCDC7" w14:textId="416ED086" w:rsidR="002001F7" w:rsidRPr="00B763D5" w:rsidRDefault="007B3D03"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7B3D03">
              <w:rPr>
                <w:rFonts w:ascii="Cambria" w:hAnsi="Cambria" w:cstheme="minorHAnsi"/>
                <w:lang w:val="es-ES_tradnl"/>
              </w:rPr>
              <w:t>6,223,100.0</w:t>
            </w:r>
          </w:p>
        </w:tc>
        <w:tc>
          <w:tcPr>
            <w:tcW w:w="1843" w:type="dxa"/>
            <w:noWrap/>
            <w:hideMark/>
          </w:tcPr>
          <w:p w14:paraId="5B5635C4" w14:textId="37C113E7"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cstheme="minorHAnsi"/>
              </w:rPr>
              <w:t>883,572.2</w:t>
            </w:r>
          </w:p>
        </w:tc>
        <w:tc>
          <w:tcPr>
            <w:tcW w:w="1843" w:type="dxa"/>
            <w:noWrap/>
            <w:hideMark/>
          </w:tcPr>
          <w:p w14:paraId="15597E51" w14:textId="6C4CDE59" w:rsidR="002001F7" w:rsidRPr="00B763D5" w:rsidRDefault="007B3D03"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7B3D03">
              <w:rPr>
                <w:rFonts w:ascii="Cambria" w:hAnsi="Cambria" w:cstheme="minorHAnsi"/>
                <w:lang w:val="es-ES_tradnl"/>
              </w:rPr>
              <w:t>7,106,672.2</w:t>
            </w:r>
          </w:p>
        </w:tc>
      </w:tr>
      <w:tr w:rsidR="007B3D03" w:rsidRPr="00B763D5" w14:paraId="766177DA" w14:textId="77777777" w:rsidTr="007403CF">
        <w:trPr>
          <w:trHeight w:val="242"/>
        </w:trPr>
        <w:tc>
          <w:tcPr>
            <w:cnfStyle w:val="001000000000" w:firstRow="0" w:lastRow="0" w:firstColumn="1" w:lastColumn="0" w:oddVBand="0" w:evenVBand="0" w:oddHBand="0" w:evenHBand="0" w:firstRowFirstColumn="0" w:firstRowLastColumn="0" w:lastRowFirstColumn="0" w:lastRowLastColumn="0"/>
            <w:tcW w:w="3114" w:type="dxa"/>
            <w:noWrap/>
          </w:tcPr>
          <w:p w14:paraId="3EF07091" w14:textId="0F79A577" w:rsidR="007B3D03" w:rsidRPr="00B763D5" w:rsidRDefault="007B3D03" w:rsidP="00BB219D">
            <w:pPr>
              <w:rPr>
                <w:rFonts w:ascii="Cambria" w:eastAsia="Times New Roman" w:hAnsi="Cambria" w:cstheme="minorHAnsi"/>
                <w:lang w:val="es-ES_tradnl" w:eastAsia="es-CO"/>
              </w:rPr>
            </w:pPr>
            <w:r w:rsidRPr="007B3D03">
              <w:rPr>
                <w:rFonts w:ascii="Cambria" w:eastAsia="Times New Roman" w:hAnsi="Cambria" w:cstheme="minorHAnsi"/>
                <w:lang w:val="es-ES_tradnl" w:eastAsia="es-CO"/>
              </w:rPr>
              <w:t>Costos No Recurrentes (Personal)</w:t>
            </w:r>
          </w:p>
        </w:tc>
        <w:tc>
          <w:tcPr>
            <w:tcW w:w="1984" w:type="dxa"/>
            <w:noWrap/>
          </w:tcPr>
          <w:p w14:paraId="291B469D" w14:textId="1B118FEC" w:rsidR="007B3D03" w:rsidRPr="00B763D5" w:rsidRDefault="007B3D03"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rPr>
            </w:pPr>
            <w:r w:rsidRPr="007B3D03">
              <w:rPr>
                <w:rFonts w:ascii="Cambria" w:hAnsi="Cambria" w:cstheme="minorHAnsi"/>
              </w:rPr>
              <w:t>23,478.6</w:t>
            </w:r>
          </w:p>
        </w:tc>
        <w:tc>
          <w:tcPr>
            <w:tcW w:w="1843" w:type="dxa"/>
            <w:noWrap/>
          </w:tcPr>
          <w:p w14:paraId="1670CA02" w14:textId="05255F83" w:rsidR="007B3D03" w:rsidRPr="00B763D5" w:rsidRDefault="007B3D03"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rPr>
            </w:pPr>
            <w:r w:rsidRPr="007B3D03">
              <w:rPr>
                <w:rFonts w:ascii="Cambria" w:hAnsi="Cambria" w:cstheme="minorHAnsi"/>
              </w:rPr>
              <w:t>-</w:t>
            </w:r>
          </w:p>
        </w:tc>
        <w:tc>
          <w:tcPr>
            <w:tcW w:w="1843" w:type="dxa"/>
            <w:noWrap/>
          </w:tcPr>
          <w:p w14:paraId="00026175" w14:textId="78A5E299" w:rsidR="007B3D03" w:rsidRPr="00B763D5" w:rsidRDefault="007B3D03"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7B3D03">
              <w:rPr>
                <w:rFonts w:ascii="Cambria" w:hAnsi="Cambria" w:cstheme="minorHAnsi"/>
              </w:rPr>
              <w:t>23,478.6</w:t>
            </w:r>
          </w:p>
        </w:tc>
      </w:tr>
      <w:tr w:rsidR="002001F7" w:rsidRPr="00B763D5" w14:paraId="7657F5E2" w14:textId="77777777" w:rsidTr="007403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B121246" w14:textId="77777777" w:rsidR="002001F7" w:rsidRPr="00B763D5" w:rsidRDefault="002001F7" w:rsidP="00BB219D">
            <w:pPr>
              <w:rPr>
                <w:rFonts w:ascii="Cambria" w:hAnsi="Cambria" w:cstheme="minorHAnsi"/>
                <w:b w:val="0"/>
                <w:color w:val="000000"/>
                <w:lang w:val="es-ES_tradnl"/>
              </w:rPr>
            </w:pPr>
            <w:r w:rsidRPr="00B763D5">
              <w:rPr>
                <w:rFonts w:ascii="Cambria" w:eastAsia="Times New Roman" w:hAnsi="Cambria" w:cstheme="minorHAnsi"/>
                <w:color w:val="000000"/>
                <w:lang w:val="es-ES_tradnl" w:eastAsia="es-CO"/>
              </w:rPr>
              <w:t>Contratos por resultado</w:t>
            </w:r>
          </w:p>
        </w:tc>
        <w:tc>
          <w:tcPr>
            <w:tcW w:w="1984" w:type="dxa"/>
            <w:noWrap/>
            <w:hideMark/>
          </w:tcPr>
          <w:p w14:paraId="7F54115E" w14:textId="429F501A"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cstheme="minorHAnsi"/>
              </w:rPr>
              <w:t>1,991,747.0</w:t>
            </w:r>
          </w:p>
        </w:tc>
        <w:tc>
          <w:tcPr>
            <w:tcW w:w="1843" w:type="dxa"/>
            <w:noWrap/>
            <w:hideMark/>
          </w:tcPr>
          <w:p w14:paraId="572B52C9" w14:textId="087F22C6"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cstheme="minorHAnsi"/>
              </w:rPr>
              <w:t>4,851,115.0</w:t>
            </w:r>
          </w:p>
        </w:tc>
        <w:tc>
          <w:tcPr>
            <w:tcW w:w="1843" w:type="dxa"/>
            <w:noWrap/>
            <w:hideMark/>
          </w:tcPr>
          <w:p w14:paraId="3413CACD" w14:textId="2B134A9C"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rPr>
              <w:t>6,842,862.0</w:t>
            </w:r>
          </w:p>
        </w:tc>
      </w:tr>
      <w:tr w:rsidR="002001F7" w:rsidRPr="00B763D5" w14:paraId="5643B04E" w14:textId="77777777" w:rsidTr="007403CF">
        <w:trPr>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780D005" w14:textId="77777777" w:rsidR="002001F7" w:rsidRPr="00B763D5" w:rsidRDefault="002001F7" w:rsidP="00BB219D">
            <w:pPr>
              <w:rPr>
                <w:rFonts w:ascii="Cambria" w:hAnsi="Cambria" w:cstheme="minorHAnsi"/>
                <w:b w:val="0"/>
                <w:lang w:val="es-ES_tradnl"/>
              </w:rPr>
            </w:pPr>
            <w:r w:rsidRPr="00B763D5">
              <w:rPr>
                <w:rFonts w:ascii="Cambria" w:eastAsia="Times New Roman" w:hAnsi="Cambria" w:cstheme="minorHAnsi"/>
                <w:lang w:val="es-ES_tradnl" w:eastAsia="es-CO"/>
              </w:rPr>
              <w:t>Becas</w:t>
            </w:r>
          </w:p>
        </w:tc>
        <w:tc>
          <w:tcPr>
            <w:tcW w:w="1984" w:type="dxa"/>
            <w:noWrap/>
            <w:hideMark/>
          </w:tcPr>
          <w:p w14:paraId="13B91F78" w14:textId="18DE569E"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B763D5">
              <w:rPr>
                <w:rFonts w:ascii="Cambria" w:hAnsi="Cambria" w:cstheme="minorHAnsi"/>
              </w:rPr>
              <w:t>-</w:t>
            </w:r>
          </w:p>
        </w:tc>
        <w:tc>
          <w:tcPr>
            <w:tcW w:w="1843" w:type="dxa"/>
            <w:noWrap/>
            <w:hideMark/>
          </w:tcPr>
          <w:p w14:paraId="3FF8F54B" w14:textId="33810B60"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B763D5">
              <w:rPr>
                <w:rFonts w:ascii="Cambria" w:hAnsi="Cambria" w:cstheme="minorHAnsi"/>
              </w:rPr>
              <w:t>86,676.0</w:t>
            </w:r>
          </w:p>
        </w:tc>
        <w:tc>
          <w:tcPr>
            <w:tcW w:w="1843" w:type="dxa"/>
            <w:noWrap/>
            <w:hideMark/>
          </w:tcPr>
          <w:p w14:paraId="4CE708A6" w14:textId="68F2B253"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B763D5">
              <w:rPr>
                <w:rFonts w:ascii="Cambria" w:hAnsi="Cambria"/>
              </w:rPr>
              <w:t>86,676.0</w:t>
            </w:r>
          </w:p>
        </w:tc>
      </w:tr>
      <w:tr w:rsidR="002001F7" w:rsidRPr="00B763D5" w14:paraId="4F3E765B" w14:textId="77777777" w:rsidTr="007403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7DCF7EAB" w14:textId="77777777" w:rsidR="002001F7" w:rsidRPr="00B763D5" w:rsidRDefault="002001F7" w:rsidP="00BB219D">
            <w:pPr>
              <w:rPr>
                <w:rFonts w:ascii="Cambria" w:hAnsi="Cambria" w:cstheme="minorHAnsi"/>
                <w:b w:val="0"/>
                <w:lang w:val="es-ES_tradnl"/>
              </w:rPr>
            </w:pPr>
            <w:r w:rsidRPr="00B763D5">
              <w:rPr>
                <w:rFonts w:ascii="Cambria" w:eastAsia="Times New Roman" w:hAnsi="Cambria" w:cstheme="minorHAnsi"/>
                <w:lang w:val="es-ES_tradnl" w:eastAsia="es-CO"/>
              </w:rPr>
              <w:t>Viajes</w:t>
            </w:r>
          </w:p>
        </w:tc>
        <w:tc>
          <w:tcPr>
            <w:tcW w:w="1984" w:type="dxa"/>
            <w:noWrap/>
            <w:hideMark/>
          </w:tcPr>
          <w:p w14:paraId="1C3B5A43" w14:textId="17D995CF"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cstheme="minorHAnsi"/>
              </w:rPr>
              <w:t>202,520.8</w:t>
            </w:r>
          </w:p>
        </w:tc>
        <w:tc>
          <w:tcPr>
            <w:tcW w:w="1843" w:type="dxa"/>
            <w:noWrap/>
            <w:hideMark/>
          </w:tcPr>
          <w:p w14:paraId="2C0284CC" w14:textId="7FB3CD91"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cstheme="minorHAnsi"/>
              </w:rPr>
              <w:t>231,840.1</w:t>
            </w:r>
          </w:p>
        </w:tc>
        <w:tc>
          <w:tcPr>
            <w:tcW w:w="1843" w:type="dxa"/>
            <w:noWrap/>
            <w:hideMark/>
          </w:tcPr>
          <w:p w14:paraId="77AD5262" w14:textId="14320D62"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rPr>
              <w:t>434,360.9</w:t>
            </w:r>
          </w:p>
        </w:tc>
      </w:tr>
      <w:tr w:rsidR="002001F7" w:rsidRPr="007B3D03" w14:paraId="37EAD264" w14:textId="77777777" w:rsidTr="007403CF">
        <w:trPr>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2A4F6B89" w14:textId="77777777" w:rsidR="002001F7" w:rsidRPr="00B763D5" w:rsidRDefault="002001F7" w:rsidP="00BB219D">
            <w:pPr>
              <w:rPr>
                <w:rFonts w:ascii="Cambria" w:hAnsi="Cambria" w:cstheme="minorHAnsi"/>
                <w:b w:val="0"/>
                <w:color w:val="000000"/>
                <w:lang w:val="es-ES_tradnl"/>
              </w:rPr>
            </w:pPr>
            <w:r w:rsidRPr="00B763D5">
              <w:rPr>
                <w:rFonts w:ascii="Cambria" w:eastAsia="Times New Roman" w:hAnsi="Cambria" w:cstheme="minorHAnsi"/>
                <w:color w:val="000000"/>
                <w:lang w:val="es-ES_tradnl" w:eastAsia="es-CO"/>
              </w:rPr>
              <w:t>Documentos</w:t>
            </w:r>
          </w:p>
        </w:tc>
        <w:tc>
          <w:tcPr>
            <w:tcW w:w="1984" w:type="dxa"/>
            <w:noWrap/>
            <w:hideMark/>
          </w:tcPr>
          <w:p w14:paraId="43DD1E84" w14:textId="0A00F5C1"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B763D5">
              <w:rPr>
                <w:rFonts w:ascii="Cambria" w:hAnsi="Cambria" w:cstheme="minorHAnsi"/>
              </w:rPr>
              <w:t>24,106.0</w:t>
            </w:r>
          </w:p>
        </w:tc>
        <w:tc>
          <w:tcPr>
            <w:tcW w:w="1843" w:type="dxa"/>
            <w:noWrap/>
            <w:hideMark/>
          </w:tcPr>
          <w:p w14:paraId="14E88D31" w14:textId="0404556F"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B763D5">
              <w:rPr>
                <w:rFonts w:ascii="Cambria" w:hAnsi="Cambria" w:cstheme="minorHAnsi"/>
              </w:rPr>
              <w:t>8,899.8</w:t>
            </w:r>
          </w:p>
        </w:tc>
        <w:tc>
          <w:tcPr>
            <w:tcW w:w="1843" w:type="dxa"/>
            <w:noWrap/>
            <w:hideMark/>
          </w:tcPr>
          <w:p w14:paraId="387D3F1B" w14:textId="138DD42D" w:rsidR="002001F7" w:rsidRPr="00B763D5" w:rsidRDefault="007B3D03"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7B3D03">
              <w:rPr>
                <w:rFonts w:ascii="Cambria" w:hAnsi="Cambria"/>
                <w:lang w:val="es-CO"/>
              </w:rPr>
              <w:t>33,005.</w:t>
            </w:r>
            <w:r>
              <w:rPr>
                <w:rFonts w:ascii="Cambria" w:hAnsi="Cambria"/>
                <w:lang w:val="es-CO"/>
              </w:rPr>
              <w:t>8</w:t>
            </w:r>
          </w:p>
        </w:tc>
      </w:tr>
      <w:tr w:rsidR="002001F7" w:rsidRPr="007B3D03" w14:paraId="57D39885" w14:textId="77777777" w:rsidTr="007403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696092A" w14:textId="77777777" w:rsidR="002001F7" w:rsidRPr="00B763D5" w:rsidRDefault="002001F7" w:rsidP="00BB219D">
            <w:pPr>
              <w:rPr>
                <w:rFonts w:ascii="Cambria" w:hAnsi="Cambria" w:cstheme="minorHAnsi"/>
                <w:b w:val="0"/>
                <w:color w:val="000000"/>
                <w:lang w:val="es-ES_tradnl"/>
              </w:rPr>
            </w:pPr>
            <w:r w:rsidRPr="00B763D5">
              <w:rPr>
                <w:rFonts w:ascii="Cambria" w:eastAsia="Times New Roman" w:hAnsi="Cambria" w:cstheme="minorHAnsi"/>
                <w:color w:val="000000"/>
                <w:lang w:val="es-ES_tradnl" w:eastAsia="es-CO"/>
              </w:rPr>
              <w:lastRenderedPageBreak/>
              <w:t>Equipos y suministros</w:t>
            </w:r>
          </w:p>
        </w:tc>
        <w:tc>
          <w:tcPr>
            <w:tcW w:w="1984" w:type="dxa"/>
            <w:noWrap/>
            <w:hideMark/>
          </w:tcPr>
          <w:p w14:paraId="04EA6B00" w14:textId="0FC252C0"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7B3D03">
              <w:rPr>
                <w:rFonts w:ascii="Cambria" w:hAnsi="Cambria" w:cstheme="minorHAnsi"/>
                <w:lang w:val="es-CO"/>
              </w:rPr>
              <w:t>198,362.6</w:t>
            </w:r>
          </w:p>
        </w:tc>
        <w:tc>
          <w:tcPr>
            <w:tcW w:w="1843" w:type="dxa"/>
            <w:noWrap/>
            <w:hideMark/>
          </w:tcPr>
          <w:p w14:paraId="30179134" w14:textId="2632EE7E"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7B3D03">
              <w:rPr>
                <w:rFonts w:ascii="Cambria" w:hAnsi="Cambria" w:cstheme="minorHAnsi"/>
                <w:lang w:val="es-CO"/>
              </w:rPr>
              <w:t>44,802.0</w:t>
            </w:r>
          </w:p>
        </w:tc>
        <w:tc>
          <w:tcPr>
            <w:tcW w:w="1843" w:type="dxa"/>
            <w:noWrap/>
            <w:hideMark/>
          </w:tcPr>
          <w:p w14:paraId="132A4632" w14:textId="53121D5F"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7B3D03">
              <w:rPr>
                <w:rFonts w:ascii="Cambria" w:hAnsi="Cambria"/>
                <w:lang w:val="es-CO"/>
              </w:rPr>
              <w:t>243,164.6</w:t>
            </w:r>
          </w:p>
        </w:tc>
      </w:tr>
      <w:tr w:rsidR="002001F7" w:rsidRPr="007B3D03" w14:paraId="39980F73" w14:textId="77777777" w:rsidTr="007403CF">
        <w:trPr>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B8F1489" w14:textId="77777777" w:rsidR="002001F7" w:rsidRPr="00B763D5" w:rsidRDefault="002001F7" w:rsidP="00BB219D">
            <w:pPr>
              <w:rPr>
                <w:rFonts w:ascii="Cambria" w:hAnsi="Cambria" w:cstheme="minorHAnsi"/>
                <w:b w:val="0"/>
                <w:color w:val="000000"/>
                <w:lang w:val="es-ES_tradnl"/>
              </w:rPr>
            </w:pPr>
            <w:r w:rsidRPr="00B763D5">
              <w:rPr>
                <w:rFonts w:ascii="Cambria" w:eastAsia="Times New Roman" w:hAnsi="Cambria" w:cstheme="minorHAnsi"/>
                <w:color w:val="000000"/>
                <w:lang w:val="es-ES_tradnl" w:eastAsia="es-CO"/>
              </w:rPr>
              <w:t>Rentas de edificio y mantenimiento</w:t>
            </w:r>
          </w:p>
        </w:tc>
        <w:tc>
          <w:tcPr>
            <w:tcW w:w="1984" w:type="dxa"/>
            <w:noWrap/>
            <w:hideMark/>
          </w:tcPr>
          <w:p w14:paraId="6B13AD06" w14:textId="388E8690"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7B3D03">
              <w:rPr>
                <w:rFonts w:ascii="Cambria" w:hAnsi="Cambria" w:cstheme="minorHAnsi"/>
                <w:lang w:val="es-CO"/>
              </w:rPr>
              <w:t>25,258.5</w:t>
            </w:r>
          </w:p>
        </w:tc>
        <w:tc>
          <w:tcPr>
            <w:tcW w:w="1843" w:type="dxa"/>
            <w:noWrap/>
            <w:hideMark/>
          </w:tcPr>
          <w:p w14:paraId="6CE1B6B0" w14:textId="2A7C3B59"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7B3D03">
              <w:rPr>
                <w:rFonts w:ascii="Cambria" w:hAnsi="Cambria" w:cstheme="minorHAnsi"/>
                <w:lang w:val="es-CO"/>
              </w:rPr>
              <w:t>18,040.2</w:t>
            </w:r>
          </w:p>
        </w:tc>
        <w:tc>
          <w:tcPr>
            <w:tcW w:w="1843" w:type="dxa"/>
            <w:noWrap/>
            <w:hideMark/>
          </w:tcPr>
          <w:p w14:paraId="2A2A735A" w14:textId="69DF658F"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7B3D03">
              <w:rPr>
                <w:rFonts w:ascii="Cambria" w:hAnsi="Cambria"/>
                <w:lang w:val="es-CO"/>
              </w:rPr>
              <w:t>43,298.7</w:t>
            </w:r>
          </w:p>
        </w:tc>
      </w:tr>
      <w:tr w:rsidR="002001F7" w:rsidRPr="00B763D5" w14:paraId="15E4C66E" w14:textId="77777777" w:rsidTr="007403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19957AC2" w14:textId="77777777" w:rsidR="002001F7" w:rsidRPr="00B763D5" w:rsidRDefault="002001F7" w:rsidP="00BB219D">
            <w:pPr>
              <w:rPr>
                <w:rFonts w:ascii="Cambria" w:hAnsi="Cambria" w:cstheme="minorHAnsi"/>
                <w:b w:val="0"/>
                <w:lang w:val="es-ES_tradnl"/>
              </w:rPr>
            </w:pPr>
            <w:r w:rsidRPr="00B763D5">
              <w:rPr>
                <w:rFonts w:ascii="Cambria" w:eastAsia="Times New Roman" w:hAnsi="Cambria" w:cstheme="minorHAnsi"/>
                <w:lang w:val="es-ES_tradnl" w:eastAsia="es-CO"/>
              </w:rPr>
              <w:t>Otros costos</w:t>
            </w:r>
          </w:p>
        </w:tc>
        <w:tc>
          <w:tcPr>
            <w:tcW w:w="1984" w:type="dxa"/>
            <w:noWrap/>
            <w:hideMark/>
          </w:tcPr>
          <w:p w14:paraId="16931F00" w14:textId="779B9DFB"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cstheme="minorHAnsi"/>
              </w:rPr>
              <w:t>86,626.6</w:t>
            </w:r>
          </w:p>
        </w:tc>
        <w:tc>
          <w:tcPr>
            <w:tcW w:w="1843" w:type="dxa"/>
            <w:noWrap/>
            <w:hideMark/>
          </w:tcPr>
          <w:p w14:paraId="2518F128" w14:textId="6DCA4262"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cstheme="minorHAnsi"/>
              </w:rPr>
              <w:t>89,073.4</w:t>
            </w:r>
          </w:p>
        </w:tc>
        <w:tc>
          <w:tcPr>
            <w:tcW w:w="1843" w:type="dxa"/>
            <w:noWrap/>
            <w:hideMark/>
          </w:tcPr>
          <w:p w14:paraId="48E8612D" w14:textId="52FE898D"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lang w:val="es-ES_tradnl"/>
              </w:rPr>
            </w:pPr>
            <w:r w:rsidRPr="00B763D5">
              <w:rPr>
                <w:rFonts w:ascii="Cambria" w:hAnsi="Cambria"/>
              </w:rPr>
              <w:t>175,700.0</w:t>
            </w:r>
          </w:p>
        </w:tc>
      </w:tr>
      <w:tr w:rsidR="002001F7" w:rsidRPr="00B763D5" w14:paraId="0EB31607" w14:textId="77777777" w:rsidTr="007403CF">
        <w:trPr>
          <w:trHeight w:val="330"/>
        </w:trPr>
        <w:tc>
          <w:tcPr>
            <w:cnfStyle w:val="001000000000" w:firstRow="0" w:lastRow="0" w:firstColumn="1" w:lastColumn="0" w:oddVBand="0" w:evenVBand="0" w:oddHBand="0" w:evenHBand="0" w:firstRowFirstColumn="0" w:firstRowLastColumn="0" w:lastRowFirstColumn="0" w:lastRowLastColumn="0"/>
            <w:tcW w:w="3114" w:type="dxa"/>
            <w:hideMark/>
          </w:tcPr>
          <w:p w14:paraId="049D1D97" w14:textId="77777777" w:rsidR="002001F7" w:rsidRPr="00B763D5" w:rsidRDefault="002001F7" w:rsidP="00BB219D">
            <w:pPr>
              <w:rPr>
                <w:rFonts w:ascii="Cambria" w:hAnsi="Cambria" w:cstheme="minorHAnsi"/>
                <w:b w:val="0"/>
                <w:color w:val="000000"/>
                <w:lang w:val="es-ES_tradnl"/>
              </w:rPr>
            </w:pPr>
            <w:r w:rsidRPr="00B763D5">
              <w:rPr>
                <w:rFonts w:ascii="Cambria" w:eastAsia="Times New Roman" w:hAnsi="Cambria" w:cstheme="minorHAnsi"/>
                <w:color w:val="000000"/>
                <w:lang w:val="es-ES_tradnl" w:eastAsia="es-CO"/>
              </w:rPr>
              <w:t>Recuperación de costos indirectos (RCI)</w:t>
            </w:r>
          </w:p>
        </w:tc>
        <w:tc>
          <w:tcPr>
            <w:tcW w:w="1984" w:type="dxa"/>
            <w:noWrap/>
            <w:hideMark/>
          </w:tcPr>
          <w:p w14:paraId="1A84E31A" w14:textId="5153ED32"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B763D5">
              <w:rPr>
                <w:rFonts w:ascii="Cambria" w:hAnsi="Cambria" w:cstheme="minorHAnsi"/>
              </w:rPr>
              <w:t>-</w:t>
            </w:r>
          </w:p>
        </w:tc>
        <w:tc>
          <w:tcPr>
            <w:tcW w:w="1843" w:type="dxa"/>
            <w:noWrap/>
            <w:hideMark/>
          </w:tcPr>
          <w:p w14:paraId="77092D97" w14:textId="1992EE38"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B763D5">
              <w:rPr>
                <w:rFonts w:ascii="Cambria" w:hAnsi="Cambria" w:cstheme="minorHAnsi"/>
              </w:rPr>
              <w:t>1,088,931.2</w:t>
            </w:r>
          </w:p>
        </w:tc>
        <w:tc>
          <w:tcPr>
            <w:tcW w:w="1843" w:type="dxa"/>
            <w:noWrap/>
            <w:hideMark/>
          </w:tcPr>
          <w:p w14:paraId="3626EF32" w14:textId="36DBFA39" w:rsidR="002001F7" w:rsidRPr="00B763D5" w:rsidRDefault="002001F7" w:rsidP="00B83526">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lang w:val="es-ES_tradnl"/>
              </w:rPr>
            </w:pPr>
            <w:r w:rsidRPr="00B763D5">
              <w:rPr>
                <w:rFonts w:ascii="Cambria" w:hAnsi="Cambria"/>
              </w:rPr>
              <w:t>1,088,931.2</w:t>
            </w:r>
          </w:p>
        </w:tc>
      </w:tr>
      <w:tr w:rsidR="002001F7" w:rsidRPr="00B763D5" w14:paraId="58A45333" w14:textId="77777777" w:rsidTr="007403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760BB40" w14:textId="77777777" w:rsidR="002001F7" w:rsidRPr="00B763D5" w:rsidRDefault="002001F7" w:rsidP="00BB219D">
            <w:pPr>
              <w:rPr>
                <w:rFonts w:ascii="Cambria" w:hAnsi="Cambria" w:cstheme="minorHAnsi"/>
                <w:color w:val="000000"/>
                <w:lang w:val="es-ES_tradnl"/>
              </w:rPr>
            </w:pPr>
            <w:r w:rsidRPr="00B763D5">
              <w:rPr>
                <w:rFonts w:ascii="Cambria" w:hAnsi="Cambria" w:cstheme="minorHAnsi"/>
                <w:color w:val="000000"/>
                <w:lang w:val="es-ES_tradnl"/>
              </w:rPr>
              <w:t xml:space="preserve">Total </w:t>
            </w:r>
          </w:p>
        </w:tc>
        <w:tc>
          <w:tcPr>
            <w:tcW w:w="1984" w:type="dxa"/>
            <w:noWrap/>
            <w:hideMark/>
          </w:tcPr>
          <w:p w14:paraId="24FC3C46" w14:textId="1FE5C093"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bCs/>
                <w:color w:val="000000"/>
                <w:lang w:val="es-ES_tradnl"/>
              </w:rPr>
            </w:pPr>
            <w:r w:rsidRPr="00B763D5">
              <w:rPr>
                <w:rFonts w:ascii="Cambria" w:hAnsi="Cambria" w:cstheme="minorHAnsi"/>
                <w:b/>
              </w:rPr>
              <w:t>8,775,200.0</w:t>
            </w:r>
          </w:p>
        </w:tc>
        <w:tc>
          <w:tcPr>
            <w:tcW w:w="1843" w:type="dxa"/>
            <w:noWrap/>
            <w:hideMark/>
          </w:tcPr>
          <w:p w14:paraId="7BA121D7" w14:textId="0CAACBF3" w:rsidR="002001F7" w:rsidRPr="00B763D5" w:rsidRDefault="002001F7"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bCs/>
                <w:color w:val="000000"/>
                <w:lang w:val="es-ES_tradnl"/>
              </w:rPr>
            </w:pPr>
            <w:r w:rsidRPr="00B763D5">
              <w:rPr>
                <w:rFonts w:ascii="Cambria" w:hAnsi="Cambria" w:cstheme="minorHAnsi"/>
                <w:b/>
              </w:rPr>
              <w:t>7,302,949.9</w:t>
            </w:r>
          </w:p>
        </w:tc>
        <w:tc>
          <w:tcPr>
            <w:tcW w:w="1843" w:type="dxa"/>
            <w:noWrap/>
            <w:hideMark/>
          </w:tcPr>
          <w:p w14:paraId="6F9C4231" w14:textId="0F5EF269" w:rsidR="002001F7" w:rsidRPr="00B763D5" w:rsidRDefault="007B3D03" w:rsidP="00B83526">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bCs/>
                <w:color w:val="000000"/>
                <w:lang w:val="es-ES_tradnl"/>
              </w:rPr>
            </w:pPr>
            <w:r>
              <w:rPr>
                <w:rFonts w:ascii="Cambria" w:hAnsi="Cambria"/>
                <w:b/>
              </w:rPr>
              <w:t>16,078,150.0</w:t>
            </w:r>
          </w:p>
        </w:tc>
      </w:tr>
    </w:tbl>
    <w:p w14:paraId="2A48C56A" w14:textId="580218E7" w:rsidR="002001F7" w:rsidRPr="002001F7" w:rsidRDefault="002001F7" w:rsidP="002001F7">
      <w:pPr>
        <w:rPr>
          <w:rFonts w:ascii="Cambria" w:eastAsia="Times New Roman" w:hAnsi="Cambria" w:cs="Calibri"/>
          <w:b/>
          <w:sz w:val="20"/>
          <w:szCs w:val="20"/>
          <w:lang w:val="es-ES_tradnl"/>
        </w:rPr>
      </w:pPr>
    </w:p>
    <w:p w14:paraId="30893CD2" w14:textId="77777777" w:rsidR="002001F7" w:rsidRPr="00B763D5" w:rsidRDefault="002001F7" w:rsidP="00126E0C">
      <w:pPr>
        <w:pStyle w:val="Default"/>
        <w:jc w:val="center"/>
        <w:rPr>
          <w:rFonts w:ascii="Cambria" w:hAnsi="Cambria"/>
          <w:b/>
          <w:color w:val="auto"/>
          <w:sz w:val="20"/>
          <w:szCs w:val="20"/>
          <w:lang w:val="es-ES_tradnl"/>
        </w:rPr>
      </w:pPr>
      <w:r w:rsidRPr="00B763D5">
        <w:rPr>
          <w:rFonts w:ascii="Cambria" w:hAnsi="Cambria"/>
          <w:b/>
          <w:color w:val="auto"/>
          <w:sz w:val="20"/>
          <w:szCs w:val="20"/>
          <w:lang w:val="es-ES_tradnl"/>
        </w:rPr>
        <w:t xml:space="preserve">Figura 4. Distribución del Gasto de la CIDH por </w:t>
      </w:r>
      <w:r>
        <w:rPr>
          <w:rFonts w:ascii="Cambria" w:hAnsi="Cambria"/>
          <w:b/>
          <w:color w:val="auto"/>
          <w:sz w:val="20"/>
          <w:szCs w:val="20"/>
          <w:lang w:val="es-ES_tradnl"/>
        </w:rPr>
        <w:t xml:space="preserve">Objeto de Gasto </w:t>
      </w:r>
      <w:r w:rsidRPr="00B763D5">
        <w:rPr>
          <w:rFonts w:ascii="Cambria" w:hAnsi="Cambria"/>
          <w:b/>
          <w:color w:val="auto"/>
          <w:sz w:val="20"/>
          <w:szCs w:val="20"/>
          <w:lang w:val="es-ES_tradnl"/>
        </w:rPr>
        <w:t xml:space="preserve">al 31 de diciembre </w:t>
      </w:r>
      <w:r>
        <w:rPr>
          <w:rFonts w:ascii="Cambria" w:hAnsi="Cambria"/>
          <w:b/>
          <w:color w:val="auto"/>
          <w:sz w:val="20"/>
          <w:szCs w:val="20"/>
          <w:lang w:val="es-ES_tradnl"/>
        </w:rPr>
        <w:t xml:space="preserve">de 2020  </w:t>
      </w:r>
      <w:r w:rsidRPr="00B763D5">
        <w:rPr>
          <w:rFonts w:ascii="Cambria" w:hAnsi="Cambria"/>
          <w:b/>
          <w:color w:val="auto"/>
          <w:sz w:val="20"/>
          <w:szCs w:val="20"/>
          <w:lang w:val="es-ES_tradnl"/>
        </w:rPr>
        <w:t>(Valores en miles de USD, preliminares y no auditados)</w:t>
      </w:r>
      <w:r w:rsidRPr="00B763D5">
        <w:rPr>
          <w:rStyle w:val="FootnoteReference"/>
          <w:rFonts w:ascii="Cambria" w:hAnsi="Cambria"/>
          <w:b/>
          <w:color w:val="auto"/>
          <w:sz w:val="20"/>
          <w:szCs w:val="20"/>
          <w:lang w:val="es-ES_tradnl"/>
        </w:rPr>
        <w:footnoteReference w:id="5"/>
      </w:r>
      <w:r w:rsidRPr="00B763D5">
        <w:rPr>
          <w:rStyle w:val="FootnoteReference"/>
          <w:rFonts w:ascii="Cambria" w:hAnsi="Cambria"/>
          <w:b/>
          <w:color w:val="auto"/>
          <w:sz w:val="20"/>
          <w:szCs w:val="20"/>
          <w:lang w:val="es-ES_tradnl"/>
        </w:rPr>
        <w:footnoteReference w:id="6"/>
      </w:r>
      <w:r w:rsidRPr="00B763D5">
        <w:rPr>
          <w:rStyle w:val="FootnoteReference"/>
          <w:rFonts w:ascii="Cambria" w:hAnsi="Cambria"/>
          <w:b/>
          <w:color w:val="auto"/>
          <w:sz w:val="20"/>
          <w:szCs w:val="20"/>
          <w:lang w:val="es-ES_tradnl"/>
        </w:rPr>
        <w:footnoteReference w:id="7"/>
      </w:r>
      <w:r w:rsidRPr="00B763D5">
        <w:rPr>
          <w:rStyle w:val="FootnoteReference"/>
          <w:rFonts w:ascii="Cambria" w:hAnsi="Cambria"/>
          <w:b/>
          <w:color w:val="auto"/>
          <w:sz w:val="20"/>
          <w:szCs w:val="20"/>
          <w:lang w:val="es-ES_tradnl"/>
        </w:rPr>
        <w:footnoteReference w:id="8"/>
      </w:r>
    </w:p>
    <w:p w14:paraId="1BEF1E95" w14:textId="0AD4E6BB" w:rsidR="002001F7" w:rsidRPr="00B763D5" w:rsidRDefault="002001F7" w:rsidP="002001F7">
      <w:pPr>
        <w:pStyle w:val="Default"/>
        <w:ind w:left="1843" w:hanging="992"/>
        <w:rPr>
          <w:rFonts w:ascii="Cambria" w:hAnsi="Cambria"/>
          <w:b/>
          <w:sz w:val="20"/>
          <w:szCs w:val="20"/>
          <w:lang w:val="es-ES_tradnl"/>
        </w:rPr>
      </w:pPr>
    </w:p>
    <w:p w14:paraId="3F74E8E2" w14:textId="4D5B5087" w:rsidR="002001F7" w:rsidRPr="00B763D5" w:rsidRDefault="002001F7" w:rsidP="002001F7">
      <w:pPr>
        <w:pStyle w:val="Default"/>
        <w:ind w:firstLine="851"/>
        <w:rPr>
          <w:rFonts w:ascii="Cambria" w:hAnsi="Cambria"/>
          <w:sz w:val="20"/>
          <w:szCs w:val="20"/>
          <w:lang w:val="es-ES_tradnl"/>
        </w:rPr>
      </w:pPr>
    </w:p>
    <w:p w14:paraId="03170D22" w14:textId="62F9959D" w:rsidR="002001F7" w:rsidRPr="00B763D5" w:rsidRDefault="002001F7" w:rsidP="002001F7">
      <w:pPr>
        <w:pStyle w:val="Default"/>
        <w:jc w:val="center"/>
        <w:rPr>
          <w:rFonts w:ascii="Cambria" w:hAnsi="Cambria"/>
          <w:sz w:val="20"/>
          <w:szCs w:val="20"/>
          <w:lang w:val="es-ES_tradnl"/>
        </w:rPr>
      </w:pPr>
    </w:p>
    <w:p w14:paraId="38103ADB" w14:textId="5648B003" w:rsidR="002001F7" w:rsidRPr="00B763D5" w:rsidRDefault="00126E0C" w:rsidP="002001F7">
      <w:pPr>
        <w:rPr>
          <w:rFonts w:ascii="Cambria" w:hAnsi="Cambria"/>
          <w:sz w:val="20"/>
          <w:szCs w:val="20"/>
          <w:lang w:val="es-ES_tradnl"/>
        </w:rPr>
      </w:pPr>
      <w:r>
        <w:rPr>
          <w:noProof/>
          <w:lang w:val="es-CO" w:eastAsia="es-CO"/>
        </w:rPr>
        <w:drawing>
          <wp:inline distT="0" distB="0" distL="0" distR="0" wp14:anchorId="7DC93D13" wp14:editId="113F7F10">
            <wp:extent cx="5212080" cy="4157980"/>
            <wp:effectExtent l="0" t="0" r="7620" b="0"/>
            <wp:docPr id="15" name="Chart 15">
              <a:extLst xmlns:a="http://schemas.openxmlformats.org/drawingml/2006/main">
                <a:ext uri="{FF2B5EF4-FFF2-40B4-BE49-F238E27FC236}">
                  <a16:creationId xmlns:a16="http://schemas.microsoft.com/office/drawing/2014/main" id="{4683E48B-EA38-48A7-99BA-980C60039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AEBDFF" w14:textId="77777777" w:rsidR="002001F7" w:rsidRDefault="002001F7" w:rsidP="002001F7">
      <w:pPr>
        <w:pStyle w:val="Heading1"/>
      </w:pPr>
      <w:r w:rsidRPr="00B763D5">
        <w:lastRenderedPageBreak/>
        <w:t>Planeación, movilización de recursos y administración de proyectos</w:t>
      </w:r>
    </w:p>
    <w:p w14:paraId="07BBC2B2" w14:textId="77777777" w:rsidR="002001F7" w:rsidRPr="00041E84" w:rsidRDefault="002001F7" w:rsidP="002001F7">
      <w:pPr>
        <w:pStyle w:val="Heading2"/>
        <w:numPr>
          <w:ilvl w:val="0"/>
          <w:numId w:val="9"/>
        </w:numPr>
        <w:ind w:left="1440"/>
      </w:pPr>
      <w:r w:rsidRPr="00041E84">
        <w:t>Planeación financiera de la CIDH</w:t>
      </w:r>
    </w:p>
    <w:p w14:paraId="4928DF16" w14:textId="77777777" w:rsidR="002001F7" w:rsidRPr="00EA6D60" w:rsidRDefault="002001F7" w:rsidP="002001F7">
      <w:pPr>
        <w:pStyle w:val="paragraphs"/>
        <w:ind w:left="0" w:firstLine="720"/>
      </w:pPr>
      <w:r w:rsidRPr="00EA6D60">
        <w:t xml:space="preserve">La Secretaría Ejecutiva avanzó en la planeación financiera anual para 2021 con fuentes provenientes del fondo regular (total $10 millones) y de fondos específicos (estimado $6.3 millones) para un total de $16.3 millones. Para ello, fue revisado el estado de ejecución de los proyectos actuales, la proyección de posibles ingresos con base en los proyectos plurianuales y las negociaciones en curso. </w:t>
      </w:r>
    </w:p>
    <w:p w14:paraId="40032037" w14:textId="77777777" w:rsidR="002001F7" w:rsidRPr="00EA6D60" w:rsidRDefault="002001F7" w:rsidP="002001F7">
      <w:pPr>
        <w:pStyle w:val="Heading2"/>
      </w:pPr>
      <w:r w:rsidRPr="00EA6D60">
        <w:t>Proyectos ejecutados en 2020</w:t>
      </w:r>
    </w:p>
    <w:p w14:paraId="52F7B3EC" w14:textId="77777777" w:rsidR="002001F7" w:rsidRPr="00EA6D60" w:rsidRDefault="002001F7" w:rsidP="002001F7">
      <w:pPr>
        <w:pStyle w:val="paragraphs"/>
        <w:ind w:left="0" w:firstLine="720"/>
      </w:pPr>
      <w:r w:rsidRPr="00EA6D60">
        <w:t>Durante el 2020, la Secretaría Ejecutiva de la CIDH preparó y entregó 34 informes narrativos intermedios o finales, correspondientes a 21 proyectos. A continuación, se presenta un listado de los proyectos ejecutados y en ejecución durante el 2020 con sus respectivos donantes:</w:t>
      </w:r>
    </w:p>
    <w:tbl>
      <w:tblPr>
        <w:tblW w:w="89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20" w:firstRow="1" w:lastRow="0" w:firstColumn="0" w:lastColumn="0" w:noHBand="0" w:noVBand="1"/>
      </w:tblPr>
      <w:tblGrid>
        <w:gridCol w:w="464"/>
        <w:gridCol w:w="4236"/>
        <w:gridCol w:w="1314"/>
        <w:gridCol w:w="1426"/>
        <w:gridCol w:w="1486"/>
      </w:tblGrid>
      <w:tr w:rsidR="002001F7" w:rsidRPr="00321353" w14:paraId="634193B8" w14:textId="77777777" w:rsidTr="007403CF">
        <w:trPr>
          <w:trHeight w:val="602"/>
        </w:trPr>
        <w:tc>
          <w:tcPr>
            <w:tcW w:w="468" w:type="dxa"/>
            <w:tcBorders>
              <w:top w:val="single" w:sz="4" w:space="0" w:color="FFFFFF"/>
              <w:left w:val="single" w:sz="4" w:space="0" w:color="FFFFFF"/>
              <w:right w:val="nil"/>
            </w:tcBorders>
            <w:shd w:val="clear" w:color="auto" w:fill="5B9BD5"/>
            <w:vAlign w:val="center"/>
            <w:hideMark/>
          </w:tcPr>
          <w:p w14:paraId="03BE4BB1" w14:textId="77777777" w:rsidR="002001F7" w:rsidRPr="00321353" w:rsidRDefault="002001F7" w:rsidP="00BB219D">
            <w:pPr>
              <w:jc w:val="center"/>
              <w:rPr>
                <w:rFonts w:ascii="Cambria" w:eastAsia="Times New Roman" w:hAnsi="Cambria" w:cs="Arial"/>
                <w:b/>
                <w:bCs/>
                <w:color w:val="FFFFFF"/>
                <w:sz w:val="20"/>
                <w:szCs w:val="20"/>
                <w:lang w:val="es-ES_tradnl"/>
              </w:rPr>
            </w:pPr>
            <w:r>
              <w:rPr>
                <w:rFonts w:ascii="Cambria" w:eastAsia="Times New Roman" w:hAnsi="Cambria" w:cs="Arial"/>
                <w:b/>
                <w:bCs/>
                <w:color w:val="FFFFFF"/>
                <w:sz w:val="20"/>
                <w:szCs w:val="20"/>
                <w:lang w:val="es-ES_tradnl"/>
              </w:rPr>
              <w:t>Nº</w:t>
            </w:r>
          </w:p>
        </w:tc>
        <w:tc>
          <w:tcPr>
            <w:tcW w:w="4567" w:type="dxa"/>
            <w:tcBorders>
              <w:top w:val="single" w:sz="4" w:space="0" w:color="FFFFFF"/>
              <w:left w:val="nil"/>
              <w:right w:val="nil"/>
            </w:tcBorders>
            <w:shd w:val="clear" w:color="auto" w:fill="5B9BD5"/>
            <w:vAlign w:val="center"/>
            <w:hideMark/>
          </w:tcPr>
          <w:p w14:paraId="366A6871" w14:textId="77777777" w:rsidR="002001F7" w:rsidRPr="00321353" w:rsidRDefault="002001F7" w:rsidP="00BB219D">
            <w:pPr>
              <w:jc w:val="center"/>
              <w:rPr>
                <w:rFonts w:ascii="Cambria" w:eastAsia="Times New Roman" w:hAnsi="Cambria" w:cs="Arial"/>
                <w:b/>
                <w:bCs/>
                <w:color w:val="FFFFFF"/>
                <w:sz w:val="20"/>
                <w:szCs w:val="20"/>
                <w:lang w:val="es-ES_tradnl"/>
              </w:rPr>
            </w:pPr>
            <w:r w:rsidRPr="00321353">
              <w:rPr>
                <w:rFonts w:ascii="Cambria" w:eastAsia="Times New Roman" w:hAnsi="Cambria" w:cs="Arial"/>
                <w:b/>
                <w:bCs/>
                <w:color w:val="FFFFFF"/>
                <w:sz w:val="20"/>
                <w:szCs w:val="20"/>
                <w:lang w:val="es-ES_tradnl"/>
              </w:rPr>
              <w:t>PROYECTO</w:t>
            </w:r>
          </w:p>
        </w:tc>
        <w:tc>
          <w:tcPr>
            <w:tcW w:w="1325" w:type="dxa"/>
            <w:tcBorders>
              <w:top w:val="single" w:sz="4" w:space="0" w:color="FFFFFF"/>
              <w:left w:val="nil"/>
              <w:right w:val="nil"/>
            </w:tcBorders>
            <w:shd w:val="clear" w:color="auto" w:fill="5B9BD5"/>
            <w:vAlign w:val="center"/>
          </w:tcPr>
          <w:p w14:paraId="2B359829" w14:textId="77777777" w:rsidR="002001F7" w:rsidRPr="00321353" w:rsidRDefault="002001F7" w:rsidP="00BB219D">
            <w:pPr>
              <w:jc w:val="center"/>
              <w:rPr>
                <w:rFonts w:ascii="Cambria" w:eastAsia="Times New Roman" w:hAnsi="Cambria" w:cs="Arial"/>
                <w:b/>
                <w:bCs/>
                <w:color w:val="FFFFFF"/>
                <w:sz w:val="20"/>
                <w:szCs w:val="20"/>
                <w:lang w:val="es-ES_tradnl"/>
              </w:rPr>
            </w:pPr>
            <w:r w:rsidRPr="00321353">
              <w:rPr>
                <w:rFonts w:ascii="Cambria" w:eastAsia="Times New Roman" w:hAnsi="Cambria" w:cs="Arial"/>
                <w:b/>
                <w:bCs/>
                <w:color w:val="FFFFFF"/>
                <w:sz w:val="20"/>
                <w:szCs w:val="20"/>
                <w:lang w:val="es-ES_tradnl"/>
              </w:rPr>
              <w:t>MONTO TOTAL DEL PROYECTO</w:t>
            </w:r>
          </w:p>
        </w:tc>
        <w:tc>
          <w:tcPr>
            <w:tcW w:w="1464" w:type="dxa"/>
            <w:tcBorders>
              <w:top w:val="single" w:sz="4" w:space="0" w:color="FFFFFF"/>
              <w:left w:val="nil"/>
              <w:right w:val="nil"/>
            </w:tcBorders>
            <w:shd w:val="clear" w:color="auto" w:fill="5B9BD5"/>
            <w:vAlign w:val="center"/>
            <w:hideMark/>
          </w:tcPr>
          <w:p w14:paraId="421B1FF5" w14:textId="77777777" w:rsidR="002001F7" w:rsidRPr="00321353" w:rsidRDefault="002001F7" w:rsidP="00BB219D">
            <w:pPr>
              <w:jc w:val="center"/>
              <w:rPr>
                <w:rFonts w:ascii="Cambria" w:eastAsia="Times New Roman" w:hAnsi="Cambria" w:cs="Arial"/>
                <w:b/>
                <w:bCs/>
                <w:color w:val="FFFFFF"/>
                <w:sz w:val="20"/>
                <w:szCs w:val="20"/>
                <w:lang w:val="es-ES_tradnl"/>
              </w:rPr>
            </w:pPr>
            <w:r w:rsidRPr="00321353">
              <w:rPr>
                <w:rFonts w:ascii="Cambria" w:eastAsia="Times New Roman" w:hAnsi="Cambria" w:cs="Arial"/>
                <w:b/>
                <w:bCs/>
                <w:color w:val="FFFFFF"/>
                <w:sz w:val="20"/>
                <w:szCs w:val="20"/>
                <w:lang w:val="es-ES_tradnl"/>
              </w:rPr>
              <w:t>DONANTE</w:t>
            </w:r>
          </w:p>
        </w:tc>
        <w:tc>
          <w:tcPr>
            <w:tcW w:w="1102" w:type="dxa"/>
            <w:tcBorders>
              <w:top w:val="single" w:sz="4" w:space="0" w:color="FFFFFF"/>
              <w:left w:val="nil"/>
              <w:right w:val="single" w:sz="4" w:space="0" w:color="FFFFFF"/>
            </w:tcBorders>
            <w:shd w:val="clear" w:color="auto" w:fill="5B9BD5"/>
            <w:vAlign w:val="center"/>
            <w:hideMark/>
          </w:tcPr>
          <w:p w14:paraId="25A5C349" w14:textId="77777777" w:rsidR="002001F7" w:rsidRPr="00321353" w:rsidRDefault="002001F7" w:rsidP="00BB219D">
            <w:pPr>
              <w:jc w:val="center"/>
              <w:rPr>
                <w:rFonts w:ascii="Cambria" w:eastAsia="Times New Roman" w:hAnsi="Cambria" w:cs="Arial"/>
                <w:b/>
                <w:bCs/>
                <w:color w:val="FFFFFF"/>
                <w:sz w:val="20"/>
                <w:szCs w:val="20"/>
                <w:lang w:val="es-ES_tradnl"/>
              </w:rPr>
            </w:pPr>
            <w:r w:rsidRPr="00321353">
              <w:rPr>
                <w:rFonts w:ascii="Cambria" w:eastAsia="Times New Roman" w:hAnsi="Cambria" w:cs="Arial"/>
                <w:b/>
                <w:bCs/>
                <w:color w:val="FFFFFF"/>
                <w:sz w:val="20"/>
                <w:szCs w:val="20"/>
                <w:lang w:val="es-ES_tradnl"/>
              </w:rPr>
              <w:t>INFORMES ENTREGADOS</w:t>
            </w:r>
          </w:p>
        </w:tc>
      </w:tr>
      <w:tr w:rsidR="002001F7" w:rsidRPr="00321353" w14:paraId="57D43869" w14:textId="77777777" w:rsidTr="007403CF">
        <w:trPr>
          <w:trHeight w:val="540"/>
        </w:trPr>
        <w:tc>
          <w:tcPr>
            <w:tcW w:w="468" w:type="dxa"/>
            <w:shd w:val="clear" w:color="auto" w:fill="BDD6EE"/>
            <w:vAlign w:val="center"/>
          </w:tcPr>
          <w:p w14:paraId="65CCEFA1" w14:textId="77777777" w:rsidR="002001F7" w:rsidRPr="00321353" w:rsidRDefault="002001F7" w:rsidP="00BB219D">
            <w:pPr>
              <w:numPr>
                <w:ilvl w:val="0"/>
                <w:numId w:val="5"/>
              </w:numPr>
              <w:spacing w:after="200" w:line="276" w:lineRule="auto"/>
              <w:ind w:left="0" w:right="-389" w:firstLine="0"/>
              <w:jc w:val="center"/>
              <w:rPr>
                <w:rFonts w:ascii="Cambria" w:eastAsia="Times New Roman" w:hAnsi="Cambria" w:cs="Arial"/>
                <w:sz w:val="20"/>
                <w:szCs w:val="20"/>
                <w:lang w:val="es-ES_tradnl"/>
              </w:rPr>
            </w:pPr>
          </w:p>
        </w:tc>
        <w:tc>
          <w:tcPr>
            <w:tcW w:w="4567" w:type="dxa"/>
            <w:shd w:val="clear" w:color="auto" w:fill="BDD6EE"/>
            <w:vAlign w:val="center"/>
            <w:hideMark/>
          </w:tcPr>
          <w:p w14:paraId="0211E203"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“Beca sobre Protección Internacional y Desplazamiento interno y apoyo al fortalecimiento institucional 2019”</w:t>
            </w:r>
          </w:p>
        </w:tc>
        <w:tc>
          <w:tcPr>
            <w:tcW w:w="1325" w:type="dxa"/>
            <w:shd w:val="clear" w:color="auto" w:fill="BDD6EE"/>
            <w:vAlign w:val="center"/>
          </w:tcPr>
          <w:p w14:paraId="03183D7F" w14:textId="77777777" w:rsidR="002001F7" w:rsidRPr="00321353" w:rsidRDefault="002001F7" w:rsidP="00BB219D">
            <w:pPr>
              <w:tabs>
                <w:tab w:val="center" w:pos="948"/>
                <w:tab w:val="right" w:pos="1896"/>
              </w:tabs>
              <w:jc w:val="center"/>
              <w:rPr>
                <w:rFonts w:ascii="Cambria" w:eastAsia="Times New Roman" w:hAnsi="Cambria" w:cs="Arial"/>
                <w:sz w:val="20"/>
                <w:szCs w:val="20"/>
                <w:lang w:val="es-ES_tradnl"/>
              </w:rPr>
            </w:pPr>
            <w:r w:rsidRPr="00321353">
              <w:rPr>
                <w:rFonts w:ascii="Cambria" w:hAnsi="Cambria" w:cs="Arial"/>
                <w:sz w:val="20"/>
                <w:szCs w:val="20"/>
                <w:lang w:val="es-ES_tradnl"/>
              </w:rPr>
              <w:t xml:space="preserve">$141,650 </w:t>
            </w:r>
            <w:r w:rsidRPr="00321353">
              <w:rPr>
                <w:rFonts w:ascii="Cambria" w:eastAsia="Times New Roman" w:hAnsi="Cambria" w:cs="Arial"/>
                <w:sz w:val="20"/>
                <w:szCs w:val="20"/>
                <w:lang w:val="es-ES_tradnl"/>
              </w:rPr>
              <w:t xml:space="preserve"> USD</w:t>
            </w:r>
          </w:p>
        </w:tc>
        <w:tc>
          <w:tcPr>
            <w:tcW w:w="1464" w:type="dxa"/>
            <w:shd w:val="clear" w:color="auto" w:fill="BDD6EE"/>
            <w:vAlign w:val="center"/>
            <w:hideMark/>
          </w:tcPr>
          <w:p w14:paraId="53FBF1A7"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ACNUR</w:t>
            </w:r>
          </w:p>
        </w:tc>
        <w:tc>
          <w:tcPr>
            <w:tcW w:w="1102" w:type="dxa"/>
            <w:shd w:val="clear" w:color="auto" w:fill="BDD6EE"/>
            <w:vAlign w:val="center"/>
            <w:hideMark/>
          </w:tcPr>
          <w:p w14:paraId="03726D35"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final</w:t>
            </w:r>
          </w:p>
        </w:tc>
      </w:tr>
      <w:tr w:rsidR="002001F7" w:rsidRPr="00321353" w14:paraId="251AB49E" w14:textId="77777777" w:rsidTr="007403CF">
        <w:trPr>
          <w:trHeight w:val="540"/>
        </w:trPr>
        <w:tc>
          <w:tcPr>
            <w:tcW w:w="468" w:type="dxa"/>
            <w:shd w:val="clear" w:color="auto" w:fill="DEEAF6"/>
            <w:vAlign w:val="center"/>
          </w:tcPr>
          <w:p w14:paraId="0384E9CB"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tcPr>
          <w:p w14:paraId="1D09B577"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 xml:space="preserve">Fortalecimiento de la protección internacional de solicitantes de asilo, refugiadas, apátridas, desplazadas internas, así como otras personas y grupos en situación de movilidad humana en países de origen, tránsito, destino y retorno en las Américas. </w:t>
            </w:r>
            <w:r w:rsidRPr="00321353">
              <w:rPr>
                <w:rFonts w:ascii="Cambria" w:eastAsia="Times New Roman" w:hAnsi="Cambria" w:cs="Arial"/>
                <w:sz w:val="20"/>
                <w:szCs w:val="20"/>
                <w:lang w:val="es-ES"/>
              </w:rPr>
              <w:t>ACNUR 2020</w:t>
            </w:r>
          </w:p>
        </w:tc>
        <w:tc>
          <w:tcPr>
            <w:tcW w:w="1325" w:type="dxa"/>
            <w:shd w:val="clear" w:color="auto" w:fill="DEEAF6"/>
            <w:vAlign w:val="center"/>
          </w:tcPr>
          <w:p w14:paraId="188349DC" w14:textId="77777777" w:rsidR="002001F7" w:rsidRPr="00321353" w:rsidRDefault="002001F7" w:rsidP="00BB219D">
            <w:pPr>
              <w:tabs>
                <w:tab w:val="center" w:pos="948"/>
                <w:tab w:val="right" w:pos="1896"/>
              </w:tabs>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$80,000 USD</w:t>
            </w:r>
          </w:p>
        </w:tc>
        <w:tc>
          <w:tcPr>
            <w:tcW w:w="1464" w:type="dxa"/>
            <w:shd w:val="clear" w:color="auto" w:fill="DEEAF6"/>
            <w:vAlign w:val="center"/>
          </w:tcPr>
          <w:p w14:paraId="7FB5362A"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ACNUR</w:t>
            </w:r>
          </w:p>
        </w:tc>
        <w:tc>
          <w:tcPr>
            <w:tcW w:w="1102" w:type="dxa"/>
            <w:shd w:val="clear" w:color="auto" w:fill="DEEAF6"/>
            <w:vAlign w:val="center"/>
          </w:tcPr>
          <w:p w14:paraId="65EBE0C4"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intermedio</w:t>
            </w:r>
          </w:p>
        </w:tc>
      </w:tr>
      <w:tr w:rsidR="002001F7" w:rsidRPr="00321353" w14:paraId="1C50232A" w14:textId="77777777" w:rsidTr="007403CF">
        <w:trPr>
          <w:trHeight w:val="525"/>
        </w:trPr>
        <w:tc>
          <w:tcPr>
            <w:tcW w:w="468" w:type="dxa"/>
            <w:shd w:val="clear" w:color="auto" w:fill="BDD6EE"/>
            <w:vAlign w:val="center"/>
          </w:tcPr>
          <w:p w14:paraId="0C8FDD14" w14:textId="77777777" w:rsidR="002001F7" w:rsidRPr="00321353" w:rsidRDefault="002001F7" w:rsidP="00BB219D">
            <w:pPr>
              <w:numPr>
                <w:ilvl w:val="0"/>
                <w:numId w:val="5"/>
              </w:numPr>
              <w:spacing w:after="200" w:line="276" w:lineRule="auto"/>
              <w:ind w:left="360"/>
              <w:jc w:val="center"/>
              <w:rPr>
                <w:rFonts w:ascii="Cambria" w:eastAsia="Times New Roman" w:hAnsi="Cambria" w:cs="Arial"/>
                <w:sz w:val="20"/>
                <w:szCs w:val="20"/>
                <w:lang w:val="es-ES_tradnl"/>
              </w:rPr>
            </w:pPr>
          </w:p>
        </w:tc>
        <w:tc>
          <w:tcPr>
            <w:tcW w:w="4567" w:type="dxa"/>
            <w:shd w:val="clear" w:color="auto" w:fill="BDD6EE"/>
            <w:vAlign w:val="center"/>
          </w:tcPr>
          <w:p w14:paraId="06210D47" w14:textId="77777777" w:rsidR="002001F7" w:rsidRPr="00321353" w:rsidRDefault="002001F7" w:rsidP="00BB219D">
            <w:pPr>
              <w:jc w:val="both"/>
              <w:rPr>
                <w:rFonts w:ascii="Cambria" w:eastAsia="Times New Roman" w:hAnsi="Cambria" w:cs="Arial"/>
                <w:sz w:val="20"/>
                <w:szCs w:val="20"/>
              </w:rPr>
            </w:pPr>
            <w:r w:rsidRPr="00321353">
              <w:rPr>
                <w:rFonts w:ascii="Cambria" w:hAnsi="Cambria" w:cs="Arial"/>
                <w:sz w:val="20"/>
                <w:szCs w:val="20"/>
              </w:rPr>
              <w:t>Protection and promotion of the Rights of Lesbian, Gay, Bisexual, Trans and Intersex Persons</w:t>
            </w:r>
          </w:p>
        </w:tc>
        <w:tc>
          <w:tcPr>
            <w:tcW w:w="1325" w:type="dxa"/>
            <w:shd w:val="clear" w:color="auto" w:fill="BDD6EE"/>
            <w:vAlign w:val="center"/>
          </w:tcPr>
          <w:p w14:paraId="3D071B6F"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hAnsi="Cambria" w:cs="Arial"/>
                <w:sz w:val="20"/>
                <w:szCs w:val="20"/>
                <w:lang w:val="es-ES_tradnl"/>
              </w:rPr>
              <w:t xml:space="preserve">$100,000 </w:t>
            </w:r>
            <w:r w:rsidRPr="00321353">
              <w:rPr>
                <w:rFonts w:ascii="Cambria" w:eastAsia="Times New Roman" w:hAnsi="Cambria" w:cs="Arial"/>
                <w:sz w:val="20"/>
                <w:szCs w:val="20"/>
                <w:lang w:val="es-ES_tradnl"/>
              </w:rPr>
              <w:t>USD</w:t>
            </w:r>
          </w:p>
        </w:tc>
        <w:tc>
          <w:tcPr>
            <w:tcW w:w="1464" w:type="dxa"/>
            <w:shd w:val="clear" w:color="auto" w:fill="BDD6EE"/>
            <w:vAlign w:val="center"/>
          </w:tcPr>
          <w:p w14:paraId="54B44578"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ARCUS</w:t>
            </w:r>
          </w:p>
        </w:tc>
        <w:tc>
          <w:tcPr>
            <w:tcW w:w="1102" w:type="dxa"/>
            <w:shd w:val="clear" w:color="auto" w:fill="BDD6EE"/>
            <w:vAlign w:val="center"/>
          </w:tcPr>
          <w:p w14:paraId="22D9E5C3"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final</w:t>
            </w:r>
          </w:p>
        </w:tc>
      </w:tr>
      <w:tr w:rsidR="002001F7" w:rsidRPr="006D53D8" w14:paraId="4EE22113" w14:textId="77777777" w:rsidTr="007403CF">
        <w:trPr>
          <w:trHeight w:val="780"/>
        </w:trPr>
        <w:tc>
          <w:tcPr>
            <w:tcW w:w="468" w:type="dxa"/>
            <w:shd w:val="clear" w:color="auto" w:fill="DEEAF6"/>
            <w:vAlign w:val="center"/>
          </w:tcPr>
          <w:p w14:paraId="4961B403"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hideMark/>
          </w:tcPr>
          <w:p w14:paraId="4443A1F1"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“Promover el cumplimiento de recomendaciones y decisiones sobre los derechos de las mujeres y las niñas emitidas por la CIDH en los Estados Miembros de América Latina y el Caribe”.</w:t>
            </w:r>
          </w:p>
        </w:tc>
        <w:tc>
          <w:tcPr>
            <w:tcW w:w="1325" w:type="dxa"/>
            <w:shd w:val="clear" w:color="auto" w:fill="DEEAF6"/>
            <w:vAlign w:val="center"/>
          </w:tcPr>
          <w:p w14:paraId="71A885FF"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2,988,609 CAD</w:t>
            </w:r>
          </w:p>
        </w:tc>
        <w:tc>
          <w:tcPr>
            <w:tcW w:w="1464" w:type="dxa"/>
            <w:shd w:val="clear" w:color="auto" w:fill="DEEAF6"/>
            <w:vAlign w:val="center"/>
            <w:hideMark/>
          </w:tcPr>
          <w:p w14:paraId="6929739B"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Canadá</w:t>
            </w:r>
          </w:p>
        </w:tc>
        <w:tc>
          <w:tcPr>
            <w:tcW w:w="1102" w:type="dxa"/>
            <w:shd w:val="clear" w:color="auto" w:fill="DEEAF6"/>
            <w:vAlign w:val="center"/>
            <w:hideMark/>
          </w:tcPr>
          <w:p w14:paraId="7644F7C4" w14:textId="77777777" w:rsidR="002001F7" w:rsidRPr="00321353" w:rsidRDefault="002001F7" w:rsidP="00BB219D">
            <w:pPr>
              <w:jc w:val="right"/>
              <w:rPr>
                <w:rFonts w:ascii="Cambria" w:eastAsia="Times New Roman" w:hAnsi="Cambria" w:cs="Arial"/>
                <w:sz w:val="20"/>
                <w:szCs w:val="20"/>
                <w:lang w:val="pt-BR"/>
              </w:rPr>
            </w:pPr>
            <w:r w:rsidRPr="00321353">
              <w:rPr>
                <w:rFonts w:ascii="Cambria" w:eastAsia="Times New Roman" w:hAnsi="Cambria" w:cs="Arial"/>
                <w:sz w:val="20"/>
                <w:szCs w:val="20"/>
                <w:lang w:val="pt-BR"/>
              </w:rPr>
              <w:t xml:space="preserve">Informe Anual y Semi-anual </w:t>
            </w:r>
          </w:p>
        </w:tc>
      </w:tr>
      <w:tr w:rsidR="002001F7" w:rsidRPr="00321353" w14:paraId="779AEA25" w14:textId="77777777" w:rsidTr="007403CF">
        <w:trPr>
          <w:trHeight w:val="270"/>
        </w:trPr>
        <w:tc>
          <w:tcPr>
            <w:tcW w:w="468" w:type="dxa"/>
            <w:shd w:val="clear" w:color="auto" w:fill="BDD6EE"/>
            <w:vAlign w:val="center"/>
          </w:tcPr>
          <w:p w14:paraId="541BADF1"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pt-BR"/>
              </w:rPr>
            </w:pPr>
          </w:p>
        </w:tc>
        <w:tc>
          <w:tcPr>
            <w:tcW w:w="4567" w:type="dxa"/>
            <w:shd w:val="clear" w:color="auto" w:fill="BDD6EE"/>
            <w:vAlign w:val="center"/>
          </w:tcPr>
          <w:p w14:paraId="44ECE0CD" w14:textId="77777777" w:rsidR="002001F7" w:rsidRPr="00321353" w:rsidRDefault="002001F7" w:rsidP="00BB219D">
            <w:pPr>
              <w:jc w:val="both"/>
              <w:rPr>
                <w:rFonts w:ascii="Cambria" w:hAnsi="Cambria" w:cs="Arial"/>
                <w:sz w:val="20"/>
                <w:szCs w:val="20"/>
                <w:lang w:val="es-ES_tradnl"/>
              </w:rPr>
            </w:pPr>
            <w:r w:rsidRPr="00321353">
              <w:rPr>
                <w:rFonts w:ascii="Cambria" w:hAnsi="Cambria" w:cs="Arial"/>
                <w:sz w:val="20"/>
                <w:szCs w:val="20"/>
                <w:lang w:val="es-ES_tradnl"/>
              </w:rPr>
              <w:t>Acceso a la justicia internacional a través de peticiones individuales presentadas a la CIDH por presuntas víctimas de violaciones de derechos humanos en el hemisferio</w:t>
            </w:r>
          </w:p>
        </w:tc>
        <w:tc>
          <w:tcPr>
            <w:tcW w:w="1325" w:type="dxa"/>
            <w:shd w:val="clear" w:color="auto" w:fill="BDD6EE"/>
            <w:vAlign w:val="center"/>
          </w:tcPr>
          <w:p w14:paraId="4E78E1AD" w14:textId="77777777" w:rsidR="002001F7" w:rsidRPr="00321353" w:rsidRDefault="002001F7" w:rsidP="00BB219D">
            <w:pPr>
              <w:jc w:val="center"/>
              <w:rPr>
                <w:rFonts w:ascii="Cambria" w:hAnsi="Cambria" w:cs="Arial"/>
                <w:sz w:val="20"/>
                <w:szCs w:val="20"/>
                <w:lang w:val="es-ES_tradnl"/>
              </w:rPr>
            </w:pPr>
            <w:r w:rsidRPr="00321353">
              <w:rPr>
                <w:rFonts w:ascii="Cambria" w:hAnsi="Cambria" w:cs="Arial"/>
                <w:sz w:val="20"/>
                <w:szCs w:val="20"/>
                <w:lang w:val="es-ES_tradnl"/>
              </w:rPr>
              <w:t>1,000,000 euros</w:t>
            </w:r>
          </w:p>
        </w:tc>
        <w:tc>
          <w:tcPr>
            <w:tcW w:w="1464" w:type="dxa"/>
            <w:shd w:val="clear" w:color="auto" w:fill="BDD6EE"/>
            <w:vAlign w:val="center"/>
          </w:tcPr>
          <w:p w14:paraId="0E769573"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Comisión Europea</w:t>
            </w:r>
          </w:p>
        </w:tc>
        <w:tc>
          <w:tcPr>
            <w:tcW w:w="1102" w:type="dxa"/>
            <w:shd w:val="clear" w:color="auto" w:fill="BDD6EE"/>
            <w:vAlign w:val="center"/>
          </w:tcPr>
          <w:p w14:paraId="765009F5" w14:textId="77777777" w:rsidR="002001F7" w:rsidRPr="00321353" w:rsidRDefault="002001F7" w:rsidP="00BB219D">
            <w:pPr>
              <w:jc w:val="right"/>
              <w:rPr>
                <w:rFonts w:ascii="Cambria" w:eastAsia="Times New Roman" w:hAnsi="Cambria" w:cs="Calibri Light"/>
                <w:sz w:val="20"/>
                <w:szCs w:val="20"/>
                <w:lang w:val="es-ES_tradnl"/>
              </w:rPr>
            </w:pPr>
            <w:r w:rsidRPr="00321353">
              <w:rPr>
                <w:rFonts w:ascii="Cambria" w:eastAsia="Times New Roman" w:hAnsi="Cambria" w:cs="Calibri Light"/>
                <w:sz w:val="20"/>
                <w:szCs w:val="20"/>
                <w:lang w:val="es-ES_tradnl"/>
              </w:rPr>
              <w:t>Informe Anual</w:t>
            </w:r>
          </w:p>
        </w:tc>
      </w:tr>
      <w:tr w:rsidR="002001F7" w:rsidRPr="00321353" w14:paraId="434E3161" w14:textId="77777777" w:rsidTr="007403CF">
        <w:trPr>
          <w:trHeight w:val="358"/>
        </w:trPr>
        <w:tc>
          <w:tcPr>
            <w:tcW w:w="468" w:type="dxa"/>
            <w:shd w:val="clear" w:color="auto" w:fill="DEEAF6"/>
            <w:vAlign w:val="center"/>
          </w:tcPr>
          <w:p w14:paraId="0D158E3F"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tcPr>
          <w:p w14:paraId="0EFEC3A8" w14:textId="77777777" w:rsidR="002001F7" w:rsidRPr="00321353" w:rsidRDefault="002001F7" w:rsidP="00BB219D">
            <w:pPr>
              <w:tabs>
                <w:tab w:val="left" w:pos="1634"/>
              </w:tabs>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Protección y defensa de los derechos humanos en Nicaragua</w:t>
            </w:r>
          </w:p>
        </w:tc>
        <w:tc>
          <w:tcPr>
            <w:tcW w:w="1325" w:type="dxa"/>
            <w:shd w:val="clear" w:color="auto" w:fill="DEEAF6"/>
            <w:vAlign w:val="center"/>
          </w:tcPr>
          <w:p w14:paraId="5EA4C36B"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hAnsi="Cambria" w:cs="Arial"/>
                <w:sz w:val="20"/>
                <w:szCs w:val="20"/>
                <w:lang w:val="es-ES_tradnl"/>
              </w:rPr>
              <w:t>$739,317 euros</w:t>
            </w:r>
          </w:p>
        </w:tc>
        <w:tc>
          <w:tcPr>
            <w:tcW w:w="1464" w:type="dxa"/>
            <w:shd w:val="clear" w:color="auto" w:fill="DEEAF6"/>
            <w:vAlign w:val="center"/>
          </w:tcPr>
          <w:p w14:paraId="71E9D355"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Comisión Europea</w:t>
            </w:r>
          </w:p>
        </w:tc>
        <w:tc>
          <w:tcPr>
            <w:tcW w:w="1102" w:type="dxa"/>
            <w:shd w:val="clear" w:color="auto" w:fill="DEEAF6"/>
            <w:vAlign w:val="center"/>
          </w:tcPr>
          <w:p w14:paraId="325D6090"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interino</w:t>
            </w:r>
          </w:p>
        </w:tc>
      </w:tr>
      <w:tr w:rsidR="002001F7" w:rsidRPr="00321353" w14:paraId="44773D22" w14:textId="77777777" w:rsidTr="007403CF">
        <w:trPr>
          <w:trHeight w:val="270"/>
        </w:trPr>
        <w:tc>
          <w:tcPr>
            <w:tcW w:w="468" w:type="dxa"/>
            <w:shd w:val="clear" w:color="auto" w:fill="BDD6EE"/>
            <w:vAlign w:val="center"/>
          </w:tcPr>
          <w:p w14:paraId="29C93181"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BDD6EE"/>
            <w:vAlign w:val="center"/>
          </w:tcPr>
          <w:p w14:paraId="267CDE7B" w14:textId="77777777" w:rsidR="002001F7" w:rsidRPr="00321353" w:rsidRDefault="002001F7" w:rsidP="00BB219D">
            <w:pPr>
              <w:jc w:val="both"/>
              <w:rPr>
                <w:rFonts w:ascii="Cambria" w:hAnsi="Cambria" w:cs="Arial"/>
                <w:sz w:val="20"/>
                <w:szCs w:val="20"/>
                <w:lang w:val="es-ES_tradnl"/>
              </w:rPr>
            </w:pPr>
            <w:r w:rsidRPr="00321353">
              <w:rPr>
                <w:rFonts w:ascii="Cambria" w:hAnsi="Cambria" w:cs="Arial"/>
                <w:sz w:val="20"/>
                <w:szCs w:val="20"/>
                <w:lang w:val="es-ES_tradnl"/>
              </w:rPr>
              <w:t>Incrementar la efectividad  del trabajo de la Comisión Interamericana de Derechos Humanos durante 2018-2022.</w:t>
            </w:r>
          </w:p>
        </w:tc>
        <w:tc>
          <w:tcPr>
            <w:tcW w:w="1325" w:type="dxa"/>
            <w:shd w:val="clear" w:color="auto" w:fill="BDD6EE"/>
            <w:vAlign w:val="center"/>
          </w:tcPr>
          <w:p w14:paraId="1F6FEC80"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hAnsi="Cambria" w:cs="Arial"/>
                <w:sz w:val="20"/>
                <w:szCs w:val="20"/>
                <w:lang w:val="es-ES_tradnl"/>
              </w:rPr>
              <w:t xml:space="preserve">$9,338,888 </w:t>
            </w:r>
            <w:r w:rsidRPr="00321353">
              <w:rPr>
                <w:rFonts w:ascii="Cambria" w:eastAsia="Times New Roman" w:hAnsi="Cambria" w:cs="Arial"/>
                <w:sz w:val="20"/>
                <w:szCs w:val="20"/>
                <w:lang w:val="es-ES_tradnl"/>
              </w:rPr>
              <w:t>USD</w:t>
            </w:r>
          </w:p>
          <w:p w14:paraId="23D0BFD8" w14:textId="77777777" w:rsidR="002001F7" w:rsidRPr="00321353" w:rsidRDefault="002001F7" w:rsidP="00BB219D">
            <w:pPr>
              <w:jc w:val="center"/>
              <w:rPr>
                <w:rFonts w:ascii="Cambria" w:hAnsi="Cambria"/>
                <w:sz w:val="20"/>
                <w:szCs w:val="20"/>
                <w:lang w:val="es-ES_tradnl"/>
              </w:rPr>
            </w:pPr>
            <w:r w:rsidRPr="00321353">
              <w:rPr>
                <w:rFonts w:ascii="Cambria" w:eastAsia="Times New Roman" w:hAnsi="Cambria" w:cs="Arial"/>
                <w:sz w:val="20"/>
                <w:szCs w:val="20"/>
                <w:lang w:val="es-ES_tradnl"/>
              </w:rPr>
              <w:t xml:space="preserve">Adición </w:t>
            </w:r>
            <w:r w:rsidRPr="00321353">
              <w:rPr>
                <w:rFonts w:ascii="Cambria" w:hAnsi="Cambria"/>
                <w:sz w:val="20"/>
                <w:szCs w:val="20"/>
                <w:lang w:val="es-ES_tradnl"/>
              </w:rPr>
              <w:t>$4,924,999</w:t>
            </w:r>
          </w:p>
        </w:tc>
        <w:tc>
          <w:tcPr>
            <w:tcW w:w="1464" w:type="dxa"/>
            <w:shd w:val="clear" w:color="auto" w:fill="BDD6EE"/>
            <w:vAlign w:val="center"/>
          </w:tcPr>
          <w:p w14:paraId="1A5C970A"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Estados Unidos</w:t>
            </w:r>
          </w:p>
        </w:tc>
        <w:tc>
          <w:tcPr>
            <w:tcW w:w="1102" w:type="dxa"/>
            <w:shd w:val="clear" w:color="auto" w:fill="BDD6EE"/>
            <w:vAlign w:val="center"/>
          </w:tcPr>
          <w:p w14:paraId="6D1B1EBD" w14:textId="77777777" w:rsidR="002001F7" w:rsidRPr="00321353" w:rsidRDefault="002001F7" w:rsidP="00BB219D">
            <w:pPr>
              <w:jc w:val="right"/>
              <w:rPr>
                <w:rFonts w:ascii="Cambria" w:eastAsia="Times New Roman" w:hAnsi="Cambria" w:cs="Calibri Light"/>
                <w:sz w:val="20"/>
                <w:szCs w:val="20"/>
                <w:lang w:val="es-ES_tradnl"/>
              </w:rPr>
            </w:pPr>
            <w:r w:rsidRPr="00321353">
              <w:rPr>
                <w:rFonts w:ascii="Cambria" w:eastAsia="Times New Roman" w:hAnsi="Cambria" w:cs="Calibri Light"/>
                <w:sz w:val="20"/>
                <w:szCs w:val="20"/>
                <w:lang w:val="es-ES_tradnl"/>
              </w:rPr>
              <w:t>4 Informes trimestrales</w:t>
            </w:r>
          </w:p>
        </w:tc>
      </w:tr>
      <w:tr w:rsidR="002001F7" w:rsidRPr="00321353" w14:paraId="4C418B27" w14:textId="77777777" w:rsidTr="007403CF">
        <w:trPr>
          <w:trHeight w:val="270"/>
        </w:trPr>
        <w:tc>
          <w:tcPr>
            <w:tcW w:w="468" w:type="dxa"/>
            <w:shd w:val="clear" w:color="auto" w:fill="DEEAF6"/>
            <w:vAlign w:val="center"/>
          </w:tcPr>
          <w:p w14:paraId="2D712096"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tcPr>
          <w:p w14:paraId="67FBEF29" w14:textId="77777777" w:rsidR="002001F7" w:rsidRPr="00321353" w:rsidRDefault="002001F7" w:rsidP="00BB219D">
            <w:pPr>
              <w:jc w:val="both"/>
              <w:rPr>
                <w:rFonts w:ascii="Cambria" w:hAnsi="Cambria" w:cs="Arial"/>
                <w:sz w:val="20"/>
                <w:szCs w:val="20"/>
                <w:lang w:val="es-ES_tradnl"/>
              </w:rPr>
            </w:pPr>
            <w:r w:rsidRPr="00321353">
              <w:rPr>
                <w:rFonts w:ascii="Cambria" w:hAnsi="Cambria" w:cs="Arial"/>
                <w:sz w:val="20"/>
                <w:szCs w:val="20"/>
                <w:lang w:val="es-ES_tradnl"/>
              </w:rPr>
              <w:t>MESENI Nicaragua</w:t>
            </w:r>
          </w:p>
        </w:tc>
        <w:tc>
          <w:tcPr>
            <w:tcW w:w="1325" w:type="dxa"/>
            <w:shd w:val="clear" w:color="auto" w:fill="DEEAF6"/>
            <w:vAlign w:val="center"/>
          </w:tcPr>
          <w:p w14:paraId="4712DB79" w14:textId="77777777" w:rsidR="002001F7" w:rsidRPr="00321353" w:rsidRDefault="002001F7" w:rsidP="00BB219D">
            <w:pPr>
              <w:jc w:val="center"/>
              <w:rPr>
                <w:rFonts w:ascii="Cambria" w:hAnsi="Cambria" w:cs="Arial"/>
                <w:sz w:val="20"/>
                <w:szCs w:val="20"/>
                <w:lang w:val="es-ES_tradnl"/>
              </w:rPr>
            </w:pPr>
            <w:r w:rsidRPr="00321353">
              <w:rPr>
                <w:rFonts w:ascii="Cambria" w:hAnsi="Cambria" w:cs="Arial"/>
                <w:sz w:val="20"/>
                <w:szCs w:val="20"/>
                <w:lang w:val="es-ES_tradnl"/>
              </w:rPr>
              <w:t xml:space="preserve">$300,000 </w:t>
            </w:r>
            <w:r w:rsidRPr="00321353">
              <w:rPr>
                <w:rFonts w:ascii="Cambria" w:eastAsia="Times New Roman" w:hAnsi="Cambria" w:cs="Arial"/>
                <w:sz w:val="20"/>
                <w:szCs w:val="20"/>
                <w:lang w:val="es-ES_tradnl"/>
              </w:rPr>
              <w:t>USD</w:t>
            </w:r>
          </w:p>
        </w:tc>
        <w:tc>
          <w:tcPr>
            <w:tcW w:w="1464" w:type="dxa"/>
            <w:shd w:val="clear" w:color="auto" w:fill="DEEAF6"/>
            <w:vAlign w:val="center"/>
          </w:tcPr>
          <w:p w14:paraId="397A9A28"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Estados Unidos  DOS- CSO</w:t>
            </w:r>
          </w:p>
        </w:tc>
        <w:tc>
          <w:tcPr>
            <w:tcW w:w="1102" w:type="dxa"/>
            <w:shd w:val="clear" w:color="auto" w:fill="DEEAF6"/>
            <w:vAlign w:val="center"/>
          </w:tcPr>
          <w:p w14:paraId="2F78CB45" w14:textId="77777777" w:rsidR="002001F7" w:rsidRPr="00321353" w:rsidRDefault="002001F7" w:rsidP="00BB219D">
            <w:pPr>
              <w:jc w:val="right"/>
              <w:rPr>
                <w:rFonts w:ascii="Cambria" w:eastAsia="Times New Roman" w:hAnsi="Cambria" w:cs="Calibri Light"/>
                <w:sz w:val="20"/>
                <w:szCs w:val="20"/>
                <w:lang w:val="es-ES_tradnl"/>
              </w:rPr>
            </w:pPr>
            <w:r w:rsidRPr="00321353">
              <w:rPr>
                <w:rFonts w:ascii="Cambria" w:eastAsia="Times New Roman" w:hAnsi="Cambria" w:cs="Calibri Light"/>
                <w:sz w:val="20"/>
                <w:szCs w:val="20"/>
                <w:lang w:val="es-ES_tradnl"/>
              </w:rPr>
              <w:t>1 informe trimestrales</w:t>
            </w:r>
          </w:p>
          <w:p w14:paraId="481AEEA2" w14:textId="77777777" w:rsidR="002001F7" w:rsidRPr="00321353" w:rsidRDefault="002001F7" w:rsidP="00BB219D">
            <w:pPr>
              <w:jc w:val="right"/>
              <w:rPr>
                <w:rFonts w:ascii="Cambria" w:eastAsia="Times New Roman" w:hAnsi="Cambria" w:cs="Calibri Light"/>
                <w:sz w:val="20"/>
                <w:szCs w:val="20"/>
                <w:lang w:val="es-ES_tradnl"/>
              </w:rPr>
            </w:pPr>
            <w:r w:rsidRPr="00321353">
              <w:rPr>
                <w:rFonts w:ascii="Cambria" w:eastAsia="Times New Roman" w:hAnsi="Cambria" w:cs="Calibri Light"/>
                <w:sz w:val="20"/>
                <w:szCs w:val="20"/>
                <w:lang w:val="es-ES_tradnl"/>
              </w:rPr>
              <w:t>Informe Final</w:t>
            </w:r>
          </w:p>
        </w:tc>
      </w:tr>
      <w:tr w:rsidR="002001F7" w:rsidRPr="00321353" w14:paraId="62E422D7" w14:textId="77777777" w:rsidTr="007403CF">
        <w:trPr>
          <w:trHeight w:val="270"/>
        </w:trPr>
        <w:tc>
          <w:tcPr>
            <w:tcW w:w="468" w:type="dxa"/>
            <w:shd w:val="clear" w:color="auto" w:fill="BDD6EE"/>
            <w:vAlign w:val="center"/>
          </w:tcPr>
          <w:p w14:paraId="098429E4"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BDD6EE"/>
            <w:vAlign w:val="center"/>
          </w:tcPr>
          <w:p w14:paraId="2E47D7B0"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hAnsi="Cambria" w:cs="Arial"/>
                <w:sz w:val="20"/>
                <w:szCs w:val="20"/>
                <w:lang w:val="es-ES_tradnl"/>
              </w:rPr>
              <w:t>Fortalecimiento de Estándares Jurídicos y Recomendaciones para Combatir a La Discriminación Estructural Racial en las Américas</w:t>
            </w:r>
          </w:p>
        </w:tc>
        <w:tc>
          <w:tcPr>
            <w:tcW w:w="1325" w:type="dxa"/>
            <w:shd w:val="clear" w:color="auto" w:fill="BDD6EE"/>
            <w:vAlign w:val="center"/>
          </w:tcPr>
          <w:p w14:paraId="152A35D6"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hAnsi="Cambria" w:cs="Arial"/>
                <w:sz w:val="20"/>
                <w:szCs w:val="20"/>
                <w:lang w:val="es-ES_tradnl"/>
              </w:rPr>
              <w:t xml:space="preserve">$289,468 </w:t>
            </w:r>
            <w:r w:rsidRPr="00321353">
              <w:rPr>
                <w:rFonts w:ascii="Cambria" w:eastAsia="Times New Roman" w:hAnsi="Cambria" w:cs="Arial"/>
                <w:sz w:val="20"/>
                <w:szCs w:val="20"/>
                <w:lang w:val="es-ES_tradnl"/>
              </w:rPr>
              <w:t>USD</w:t>
            </w:r>
          </w:p>
        </w:tc>
        <w:tc>
          <w:tcPr>
            <w:tcW w:w="1464" w:type="dxa"/>
            <w:shd w:val="clear" w:color="auto" w:fill="BDD6EE"/>
            <w:vAlign w:val="center"/>
          </w:tcPr>
          <w:p w14:paraId="0F5FFD61"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Fondo Español para la OEA</w:t>
            </w:r>
          </w:p>
        </w:tc>
        <w:tc>
          <w:tcPr>
            <w:tcW w:w="1102" w:type="dxa"/>
            <w:shd w:val="clear" w:color="auto" w:fill="BDD6EE"/>
            <w:vAlign w:val="center"/>
          </w:tcPr>
          <w:p w14:paraId="70883346" w14:textId="77777777" w:rsidR="002001F7" w:rsidRPr="00321353" w:rsidRDefault="002001F7" w:rsidP="00BB219D">
            <w:pPr>
              <w:jc w:val="right"/>
              <w:rPr>
                <w:rFonts w:ascii="Cambria" w:eastAsia="Times New Roman" w:hAnsi="Cambria" w:cs="Calibri Light"/>
                <w:sz w:val="20"/>
                <w:szCs w:val="20"/>
                <w:lang w:val="es-ES_tradnl"/>
              </w:rPr>
            </w:pPr>
            <w:r w:rsidRPr="00321353">
              <w:rPr>
                <w:rFonts w:ascii="Cambria" w:eastAsia="Times New Roman" w:hAnsi="Cambria" w:cs="Calibri Light"/>
                <w:sz w:val="20"/>
                <w:szCs w:val="20"/>
                <w:lang w:val="es-ES_tradnl"/>
              </w:rPr>
              <w:t>Informe semestral</w:t>
            </w:r>
          </w:p>
          <w:p w14:paraId="3423F7BF"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Calibri Light"/>
                <w:sz w:val="20"/>
                <w:szCs w:val="20"/>
                <w:lang w:val="es-ES_tradnl"/>
              </w:rPr>
              <w:t xml:space="preserve">Informe Final </w:t>
            </w:r>
          </w:p>
        </w:tc>
      </w:tr>
      <w:tr w:rsidR="002001F7" w:rsidRPr="00321353" w14:paraId="4391A601" w14:textId="77777777" w:rsidTr="007403CF">
        <w:trPr>
          <w:trHeight w:val="525"/>
        </w:trPr>
        <w:tc>
          <w:tcPr>
            <w:tcW w:w="468" w:type="dxa"/>
            <w:shd w:val="clear" w:color="auto" w:fill="DEEAF6"/>
            <w:vAlign w:val="center"/>
          </w:tcPr>
          <w:p w14:paraId="651984BE"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tcPr>
          <w:p w14:paraId="1F0669C8" w14:textId="77777777" w:rsidR="002001F7" w:rsidRPr="00321353" w:rsidRDefault="002001F7" w:rsidP="00BB219D">
            <w:pPr>
              <w:tabs>
                <w:tab w:val="left" w:pos="1882"/>
              </w:tabs>
              <w:jc w:val="both"/>
              <w:rPr>
                <w:rFonts w:ascii="Cambria" w:eastAsia="Times New Roman" w:hAnsi="Cambria" w:cs="Arial"/>
                <w:sz w:val="20"/>
                <w:szCs w:val="20"/>
                <w:lang w:val="es-ES_tradnl"/>
              </w:rPr>
            </w:pPr>
            <w:r w:rsidRPr="00321353">
              <w:rPr>
                <w:rFonts w:ascii="Cambria" w:hAnsi="Cambria" w:cs="Arial"/>
                <w:sz w:val="20"/>
                <w:szCs w:val="20"/>
                <w:lang w:val="es-ES_tradnl"/>
              </w:rPr>
              <w:t>MESENI Nicaragua (CDH1707)</w:t>
            </w:r>
          </w:p>
        </w:tc>
        <w:tc>
          <w:tcPr>
            <w:tcW w:w="1325" w:type="dxa"/>
            <w:shd w:val="clear" w:color="auto" w:fill="DEEAF6"/>
            <w:vAlign w:val="center"/>
          </w:tcPr>
          <w:p w14:paraId="5414E1B1"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hAnsi="Cambria" w:cs="Arial"/>
                <w:sz w:val="20"/>
                <w:szCs w:val="20"/>
                <w:lang w:val="es-ES_tradnl"/>
              </w:rPr>
              <w:t xml:space="preserve">$116,160 </w:t>
            </w:r>
            <w:r w:rsidRPr="00321353">
              <w:rPr>
                <w:rFonts w:ascii="Cambria" w:eastAsia="Times New Roman" w:hAnsi="Cambria" w:cs="Arial"/>
                <w:sz w:val="20"/>
                <w:szCs w:val="20"/>
                <w:lang w:val="es-ES_tradnl"/>
              </w:rPr>
              <w:t>USD</w:t>
            </w:r>
          </w:p>
        </w:tc>
        <w:tc>
          <w:tcPr>
            <w:tcW w:w="1464" w:type="dxa"/>
            <w:shd w:val="clear" w:color="auto" w:fill="DEEAF6"/>
            <w:vAlign w:val="center"/>
          </w:tcPr>
          <w:p w14:paraId="40231A71"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Fondo Español para la OEA</w:t>
            </w:r>
          </w:p>
        </w:tc>
        <w:tc>
          <w:tcPr>
            <w:tcW w:w="1102" w:type="dxa"/>
            <w:shd w:val="clear" w:color="auto" w:fill="DEEAF6"/>
            <w:vAlign w:val="center"/>
          </w:tcPr>
          <w:p w14:paraId="1DBA4468"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Intermedio</w:t>
            </w:r>
          </w:p>
          <w:p w14:paraId="0DDF1E14"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Final</w:t>
            </w:r>
          </w:p>
        </w:tc>
      </w:tr>
      <w:tr w:rsidR="002001F7" w:rsidRPr="00321353" w14:paraId="6D342E23" w14:textId="77777777" w:rsidTr="007403CF">
        <w:trPr>
          <w:trHeight w:val="525"/>
        </w:trPr>
        <w:tc>
          <w:tcPr>
            <w:tcW w:w="468" w:type="dxa"/>
            <w:shd w:val="clear" w:color="auto" w:fill="BDD6EE"/>
            <w:vAlign w:val="center"/>
          </w:tcPr>
          <w:p w14:paraId="459A4BCE"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BDD6EE"/>
            <w:vAlign w:val="center"/>
          </w:tcPr>
          <w:p w14:paraId="4B5AF6B3" w14:textId="77777777" w:rsidR="002001F7" w:rsidRPr="00321353" w:rsidRDefault="002001F7" w:rsidP="00BB219D">
            <w:pPr>
              <w:tabs>
                <w:tab w:val="left" w:pos="1246"/>
              </w:tabs>
              <w:jc w:val="both"/>
              <w:rPr>
                <w:rFonts w:ascii="Cambria" w:hAnsi="Cambria" w:cs="Arial"/>
                <w:sz w:val="20"/>
                <w:szCs w:val="20"/>
                <w:lang w:val="es-ES_tradnl"/>
              </w:rPr>
            </w:pPr>
            <w:r w:rsidRPr="00321353">
              <w:rPr>
                <w:rFonts w:ascii="Cambria" w:hAnsi="Cambria" w:cs="Arial"/>
                <w:sz w:val="20"/>
                <w:szCs w:val="20"/>
                <w:lang w:val="es-ES_tradnl"/>
              </w:rPr>
              <w:t>Mejorar las herramientas disponibles que favorecen la protección de los derechos a la vida e integridad personal de los defensores de derechos humanos en Latinoamérica</w:t>
            </w:r>
          </w:p>
        </w:tc>
        <w:tc>
          <w:tcPr>
            <w:tcW w:w="1325" w:type="dxa"/>
            <w:shd w:val="clear" w:color="auto" w:fill="BDD6EE"/>
            <w:vAlign w:val="center"/>
          </w:tcPr>
          <w:p w14:paraId="7BB71B33" w14:textId="77777777" w:rsidR="002001F7" w:rsidRPr="00321353" w:rsidRDefault="002001F7" w:rsidP="00BB219D">
            <w:pPr>
              <w:tabs>
                <w:tab w:val="left" w:pos="1060"/>
              </w:tabs>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$131,675 USD</w:t>
            </w:r>
          </w:p>
        </w:tc>
        <w:tc>
          <w:tcPr>
            <w:tcW w:w="1464" w:type="dxa"/>
            <w:shd w:val="clear" w:color="auto" w:fill="BDD6EE"/>
            <w:vAlign w:val="center"/>
          </w:tcPr>
          <w:p w14:paraId="3A9B5C21"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Fondo Español para la OEA</w:t>
            </w:r>
          </w:p>
        </w:tc>
        <w:tc>
          <w:tcPr>
            <w:tcW w:w="1102" w:type="dxa"/>
            <w:shd w:val="clear" w:color="auto" w:fill="BDD6EE"/>
            <w:vAlign w:val="center"/>
          </w:tcPr>
          <w:p w14:paraId="752A2757"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2 Informes intermedio</w:t>
            </w:r>
          </w:p>
        </w:tc>
      </w:tr>
      <w:tr w:rsidR="002001F7" w:rsidRPr="006D53D8" w14:paraId="7195EFE5" w14:textId="77777777" w:rsidTr="007403CF">
        <w:trPr>
          <w:trHeight w:val="525"/>
        </w:trPr>
        <w:tc>
          <w:tcPr>
            <w:tcW w:w="468" w:type="dxa"/>
            <w:shd w:val="clear" w:color="auto" w:fill="DEEAF6"/>
            <w:vAlign w:val="center"/>
          </w:tcPr>
          <w:p w14:paraId="05DAE689"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tcPr>
          <w:p w14:paraId="39CAC5F3" w14:textId="77777777" w:rsidR="002001F7" w:rsidRPr="00321353" w:rsidRDefault="002001F7" w:rsidP="00BB219D">
            <w:pPr>
              <w:tabs>
                <w:tab w:val="left" w:pos="1246"/>
              </w:tabs>
              <w:jc w:val="both"/>
              <w:rPr>
                <w:rFonts w:ascii="Cambria" w:hAnsi="Cambria" w:cs="Arial"/>
                <w:sz w:val="20"/>
                <w:szCs w:val="20"/>
                <w:lang w:val="es-ES_tradnl"/>
              </w:rPr>
            </w:pPr>
            <w:r w:rsidRPr="00321353">
              <w:rPr>
                <w:rFonts w:ascii="Cambria" w:hAnsi="Cambria" w:cs="Arial"/>
                <w:sz w:val="20"/>
                <w:szCs w:val="20"/>
                <w:lang w:val="es-ES_tradnl"/>
              </w:rPr>
              <w:t>Promoción y protección de los derechos económicos sociales, culturales y ambientales en el Sistema Interamericano de Derechos Humanos – (Fase II)</w:t>
            </w:r>
          </w:p>
        </w:tc>
        <w:tc>
          <w:tcPr>
            <w:tcW w:w="1325" w:type="dxa"/>
            <w:shd w:val="clear" w:color="auto" w:fill="DEEAF6"/>
            <w:vAlign w:val="center"/>
          </w:tcPr>
          <w:p w14:paraId="3318CD40" w14:textId="77777777" w:rsidR="002001F7" w:rsidRPr="00321353" w:rsidRDefault="002001F7" w:rsidP="00BB219D">
            <w:pPr>
              <w:tabs>
                <w:tab w:val="left" w:pos="1060"/>
              </w:tabs>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$131,675 USD</w:t>
            </w:r>
          </w:p>
        </w:tc>
        <w:tc>
          <w:tcPr>
            <w:tcW w:w="1464" w:type="dxa"/>
            <w:shd w:val="clear" w:color="auto" w:fill="DEEAF6"/>
            <w:vAlign w:val="center"/>
          </w:tcPr>
          <w:p w14:paraId="5986DF26"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Fondo Español para la OEA</w:t>
            </w:r>
          </w:p>
        </w:tc>
        <w:tc>
          <w:tcPr>
            <w:tcW w:w="1102" w:type="dxa"/>
            <w:shd w:val="clear" w:color="auto" w:fill="DEEAF6"/>
            <w:vAlign w:val="center"/>
          </w:tcPr>
          <w:p w14:paraId="262B98E9"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intermedio e Informe Final</w:t>
            </w:r>
          </w:p>
        </w:tc>
      </w:tr>
      <w:tr w:rsidR="002001F7" w:rsidRPr="00321353" w14:paraId="64AFE503" w14:textId="77777777" w:rsidTr="007403CF">
        <w:trPr>
          <w:trHeight w:val="270"/>
        </w:trPr>
        <w:tc>
          <w:tcPr>
            <w:tcW w:w="468" w:type="dxa"/>
            <w:shd w:val="clear" w:color="auto" w:fill="BDD6EE"/>
            <w:vAlign w:val="center"/>
          </w:tcPr>
          <w:p w14:paraId="20210873"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BDD6EE"/>
            <w:vAlign w:val="center"/>
          </w:tcPr>
          <w:p w14:paraId="2E4DD8C1" w14:textId="77777777" w:rsidR="002001F7" w:rsidRPr="00321353" w:rsidRDefault="002001F7" w:rsidP="00BB219D">
            <w:pPr>
              <w:jc w:val="both"/>
              <w:rPr>
                <w:rFonts w:ascii="Cambria" w:hAnsi="Cambria" w:cs="Arial"/>
                <w:sz w:val="20"/>
                <w:szCs w:val="20"/>
              </w:rPr>
            </w:pPr>
            <w:r w:rsidRPr="00321353">
              <w:rPr>
                <w:rFonts w:ascii="Cambria" w:hAnsi="Cambria" w:cs="Arial"/>
                <w:sz w:val="20"/>
                <w:szCs w:val="20"/>
              </w:rPr>
              <w:t xml:space="preserve">Supporting the Special Group for the Supervision of Precautionary Measures, aimed at protecting social leaders and human rights defenders in Colombia, </w:t>
            </w:r>
            <w:r>
              <w:rPr>
                <w:rFonts w:ascii="Cambria" w:hAnsi="Cambria" w:cs="Arial"/>
                <w:sz w:val="20"/>
                <w:szCs w:val="20"/>
              </w:rPr>
              <w:t>Brazil, Mexico, Guatemala, Haiti</w:t>
            </w:r>
            <w:r w:rsidRPr="00321353">
              <w:rPr>
                <w:rFonts w:ascii="Cambria" w:hAnsi="Cambria" w:cs="Arial"/>
                <w:sz w:val="20"/>
                <w:szCs w:val="20"/>
              </w:rPr>
              <w:t xml:space="preserve"> and Honduras and the implementation of the SACROI COVID-19</w:t>
            </w:r>
          </w:p>
        </w:tc>
        <w:tc>
          <w:tcPr>
            <w:tcW w:w="1325" w:type="dxa"/>
            <w:shd w:val="clear" w:color="auto" w:fill="BDD6EE"/>
            <w:vAlign w:val="center"/>
          </w:tcPr>
          <w:p w14:paraId="7B8127B2" w14:textId="77777777" w:rsidR="002001F7" w:rsidRPr="00321353" w:rsidRDefault="002001F7" w:rsidP="00BB219D">
            <w:pPr>
              <w:jc w:val="center"/>
              <w:rPr>
                <w:rFonts w:ascii="Cambria" w:hAnsi="Cambria" w:cs="Arial"/>
                <w:sz w:val="20"/>
                <w:szCs w:val="20"/>
                <w:lang w:val="es-ES_tradnl"/>
              </w:rPr>
            </w:pPr>
            <w:r w:rsidRPr="00321353">
              <w:rPr>
                <w:rFonts w:ascii="Cambria" w:hAnsi="Cambria" w:cs="Arial"/>
                <w:sz w:val="20"/>
                <w:szCs w:val="20"/>
                <w:lang w:val="es-ES_tradnl"/>
              </w:rPr>
              <w:t>$350,000</w:t>
            </w:r>
            <w:r w:rsidRPr="00321353">
              <w:rPr>
                <w:rFonts w:ascii="Cambria" w:eastAsia="Times New Roman" w:hAnsi="Cambria" w:cs="Arial"/>
                <w:sz w:val="20"/>
                <w:szCs w:val="20"/>
                <w:lang w:val="es-ES_tradnl"/>
              </w:rPr>
              <w:t xml:space="preserve"> USD</w:t>
            </w:r>
          </w:p>
        </w:tc>
        <w:tc>
          <w:tcPr>
            <w:tcW w:w="1464" w:type="dxa"/>
            <w:shd w:val="clear" w:color="auto" w:fill="BDD6EE"/>
            <w:vAlign w:val="center"/>
          </w:tcPr>
          <w:p w14:paraId="24DCD1B9"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Fundación Ford</w:t>
            </w:r>
          </w:p>
        </w:tc>
        <w:tc>
          <w:tcPr>
            <w:tcW w:w="1102" w:type="dxa"/>
            <w:shd w:val="clear" w:color="auto" w:fill="BDD6EE"/>
            <w:vAlign w:val="center"/>
          </w:tcPr>
          <w:p w14:paraId="46667C00"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Intermedio</w:t>
            </w:r>
          </w:p>
        </w:tc>
      </w:tr>
      <w:tr w:rsidR="002001F7" w:rsidRPr="00321353" w14:paraId="5E8DE88B" w14:textId="77777777" w:rsidTr="007403CF">
        <w:trPr>
          <w:trHeight w:val="270"/>
        </w:trPr>
        <w:tc>
          <w:tcPr>
            <w:tcW w:w="468" w:type="dxa"/>
            <w:shd w:val="clear" w:color="auto" w:fill="DEEAF6"/>
            <w:vAlign w:val="center"/>
          </w:tcPr>
          <w:p w14:paraId="4AF19C33"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tcPr>
          <w:p w14:paraId="320230E3"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hAnsi="Cambria" w:cs="Arial"/>
                <w:sz w:val="20"/>
                <w:szCs w:val="20"/>
                <w:lang w:val="es-ES_tradnl"/>
              </w:rPr>
              <w:t xml:space="preserve">Apoyo al trabajo de la Relatoría de derechos de personas Lesbianas, </w:t>
            </w:r>
            <w:proofErr w:type="spellStart"/>
            <w:r w:rsidRPr="00321353">
              <w:rPr>
                <w:rFonts w:ascii="Cambria" w:hAnsi="Cambria" w:cs="Arial"/>
                <w:sz w:val="20"/>
                <w:szCs w:val="20"/>
                <w:lang w:val="es-ES_tradnl"/>
              </w:rPr>
              <w:t>Gays</w:t>
            </w:r>
            <w:proofErr w:type="spellEnd"/>
            <w:r w:rsidRPr="00321353">
              <w:rPr>
                <w:rFonts w:ascii="Cambria" w:hAnsi="Cambria" w:cs="Arial"/>
                <w:sz w:val="20"/>
                <w:szCs w:val="20"/>
                <w:lang w:val="es-ES_tradnl"/>
              </w:rPr>
              <w:t xml:space="preserve">, Bisexuales, </w:t>
            </w:r>
            <w:proofErr w:type="spellStart"/>
            <w:r w:rsidRPr="00321353">
              <w:rPr>
                <w:rFonts w:ascii="Cambria" w:hAnsi="Cambria" w:cs="Arial"/>
                <w:sz w:val="20"/>
                <w:szCs w:val="20"/>
                <w:lang w:val="es-ES_tradnl"/>
              </w:rPr>
              <w:t>Trans</w:t>
            </w:r>
            <w:proofErr w:type="spellEnd"/>
            <w:r w:rsidRPr="00321353">
              <w:rPr>
                <w:rFonts w:ascii="Cambria" w:hAnsi="Cambria" w:cs="Arial"/>
                <w:sz w:val="20"/>
                <w:szCs w:val="20"/>
                <w:lang w:val="es-ES_tradnl"/>
              </w:rPr>
              <w:t xml:space="preserve"> e </w:t>
            </w:r>
            <w:proofErr w:type="spellStart"/>
            <w:r w:rsidRPr="00321353">
              <w:rPr>
                <w:rFonts w:ascii="Cambria" w:hAnsi="Cambria" w:cs="Arial"/>
                <w:sz w:val="20"/>
                <w:szCs w:val="20"/>
                <w:lang w:val="es-ES_tradnl"/>
              </w:rPr>
              <w:t>Intersex</w:t>
            </w:r>
            <w:proofErr w:type="spellEnd"/>
            <w:r w:rsidRPr="00321353">
              <w:rPr>
                <w:rFonts w:ascii="Cambria" w:hAnsi="Cambria" w:cs="Arial"/>
                <w:sz w:val="20"/>
                <w:szCs w:val="20"/>
                <w:lang w:val="es-ES_tradnl"/>
              </w:rPr>
              <w:t xml:space="preserve"> de la CIDH. (2018)</w:t>
            </w:r>
          </w:p>
        </w:tc>
        <w:tc>
          <w:tcPr>
            <w:tcW w:w="1325" w:type="dxa"/>
            <w:shd w:val="clear" w:color="auto" w:fill="DEEAF6"/>
            <w:vAlign w:val="center"/>
          </w:tcPr>
          <w:p w14:paraId="191A3E92"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hAnsi="Cambria" w:cs="Arial"/>
                <w:sz w:val="20"/>
                <w:szCs w:val="20"/>
                <w:lang w:val="es-ES_tradnl"/>
              </w:rPr>
              <w:t>$250,000</w:t>
            </w:r>
            <w:r w:rsidRPr="00321353">
              <w:rPr>
                <w:rFonts w:ascii="Cambria" w:eastAsia="Times New Roman" w:hAnsi="Cambria" w:cs="Arial"/>
                <w:sz w:val="20"/>
                <w:szCs w:val="20"/>
                <w:lang w:val="es-ES_tradnl"/>
              </w:rPr>
              <w:t xml:space="preserve"> USD</w:t>
            </w:r>
          </w:p>
        </w:tc>
        <w:tc>
          <w:tcPr>
            <w:tcW w:w="1464" w:type="dxa"/>
            <w:shd w:val="clear" w:color="auto" w:fill="DEEAF6"/>
            <w:vAlign w:val="center"/>
          </w:tcPr>
          <w:p w14:paraId="1EDF332B"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Fundación para las Américas</w:t>
            </w:r>
          </w:p>
        </w:tc>
        <w:tc>
          <w:tcPr>
            <w:tcW w:w="1102" w:type="dxa"/>
            <w:shd w:val="clear" w:color="auto" w:fill="DEEAF6"/>
            <w:vAlign w:val="center"/>
          </w:tcPr>
          <w:p w14:paraId="73BAC113"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Intermedio</w:t>
            </w:r>
          </w:p>
        </w:tc>
      </w:tr>
      <w:tr w:rsidR="002001F7" w:rsidRPr="00321353" w14:paraId="2ACDAABD" w14:textId="77777777" w:rsidTr="007403CF">
        <w:trPr>
          <w:trHeight w:val="270"/>
        </w:trPr>
        <w:tc>
          <w:tcPr>
            <w:tcW w:w="468" w:type="dxa"/>
            <w:shd w:val="clear" w:color="auto" w:fill="BDD6EE"/>
            <w:vAlign w:val="center"/>
          </w:tcPr>
          <w:p w14:paraId="051EF30B"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BDD6EE"/>
            <w:vAlign w:val="center"/>
          </w:tcPr>
          <w:p w14:paraId="0F5E989C" w14:textId="77777777" w:rsidR="002001F7" w:rsidRPr="00321353" w:rsidRDefault="002001F7" w:rsidP="00BB219D">
            <w:pPr>
              <w:jc w:val="both"/>
              <w:rPr>
                <w:rFonts w:ascii="Cambria" w:hAnsi="Cambria" w:cs="Arial"/>
                <w:sz w:val="20"/>
                <w:szCs w:val="20"/>
                <w:lang w:val="es-ES_tradnl"/>
              </w:rPr>
            </w:pPr>
            <w:r w:rsidRPr="00321353">
              <w:rPr>
                <w:rFonts w:ascii="Cambria" w:hAnsi="Cambria" w:cs="Arial"/>
                <w:sz w:val="20"/>
                <w:szCs w:val="20"/>
                <w:lang w:val="es-ES_tradnl"/>
              </w:rPr>
              <w:t xml:space="preserve">Apoyo al trabajo de la Relatoría de derechos de personas  Lesbianas, </w:t>
            </w:r>
            <w:proofErr w:type="spellStart"/>
            <w:r w:rsidRPr="00321353">
              <w:rPr>
                <w:rFonts w:ascii="Cambria" w:hAnsi="Cambria" w:cs="Arial"/>
                <w:sz w:val="20"/>
                <w:szCs w:val="20"/>
                <w:lang w:val="es-ES_tradnl"/>
              </w:rPr>
              <w:t>Gays</w:t>
            </w:r>
            <w:proofErr w:type="spellEnd"/>
            <w:r w:rsidRPr="00321353">
              <w:rPr>
                <w:rFonts w:ascii="Cambria" w:hAnsi="Cambria" w:cs="Arial"/>
                <w:sz w:val="20"/>
                <w:szCs w:val="20"/>
                <w:lang w:val="es-ES_tradnl"/>
              </w:rPr>
              <w:t xml:space="preserve">, Bisexuales, </w:t>
            </w:r>
            <w:proofErr w:type="spellStart"/>
            <w:r w:rsidRPr="00321353">
              <w:rPr>
                <w:rFonts w:ascii="Cambria" w:hAnsi="Cambria" w:cs="Arial"/>
                <w:sz w:val="20"/>
                <w:szCs w:val="20"/>
                <w:lang w:val="es-ES_tradnl"/>
              </w:rPr>
              <w:t>Trans</w:t>
            </w:r>
            <w:proofErr w:type="spellEnd"/>
            <w:r w:rsidRPr="00321353">
              <w:rPr>
                <w:rFonts w:ascii="Cambria" w:hAnsi="Cambria" w:cs="Arial"/>
                <w:sz w:val="20"/>
                <w:szCs w:val="20"/>
                <w:lang w:val="es-ES_tradnl"/>
              </w:rPr>
              <w:t xml:space="preserve"> e </w:t>
            </w:r>
            <w:proofErr w:type="spellStart"/>
            <w:r w:rsidRPr="00321353">
              <w:rPr>
                <w:rFonts w:ascii="Cambria" w:hAnsi="Cambria" w:cs="Arial"/>
                <w:sz w:val="20"/>
                <w:szCs w:val="20"/>
                <w:lang w:val="es-ES_tradnl"/>
              </w:rPr>
              <w:t>Intersex</w:t>
            </w:r>
            <w:proofErr w:type="spellEnd"/>
            <w:r w:rsidRPr="00321353">
              <w:rPr>
                <w:rFonts w:ascii="Cambria" w:hAnsi="Cambria" w:cs="Arial"/>
                <w:sz w:val="20"/>
                <w:szCs w:val="20"/>
                <w:lang w:val="es-ES_tradnl"/>
              </w:rPr>
              <w:t xml:space="preserve"> de la CIDH.</w:t>
            </w:r>
          </w:p>
        </w:tc>
        <w:tc>
          <w:tcPr>
            <w:tcW w:w="1325" w:type="dxa"/>
            <w:shd w:val="clear" w:color="auto" w:fill="BDD6EE"/>
            <w:vAlign w:val="center"/>
          </w:tcPr>
          <w:p w14:paraId="3B114135" w14:textId="77777777" w:rsidR="002001F7" w:rsidRPr="00321353" w:rsidRDefault="002001F7" w:rsidP="00BB219D">
            <w:pPr>
              <w:jc w:val="center"/>
              <w:rPr>
                <w:rFonts w:ascii="Cambria" w:hAnsi="Cambria" w:cs="Arial"/>
                <w:sz w:val="20"/>
                <w:szCs w:val="20"/>
                <w:lang w:val="es-ES_tradnl"/>
              </w:rPr>
            </w:pPr>
            <w:r w:rsidRPr="00321353">
              <w:rPr>
                <w:rFonts w:ascii="Cambria" w:hAnsi="Cambria" w:cs="Arial"/>
                <w:sz w:val="20"/>
                <w:szCs w:val="20"/>
                <w:lang w:val="es-ES_tradnl"/>
              </w:rPr>
              <w:t>$450,000 USD</w:t>
            </w:r>
          </w:p>
        </w:tc>
        <w:tc>
          <w:tcPr>
            <w:tcW w:w="1464" w:type="dxa"/>
            <w:shd w:val="clear" w:color="auto" w:fill="BDD6EE"/>
            <w:vAlign w:val="center"/>
          </w:tcPr>
          <w:p w14:paraId="1FFF725C"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Fundación para las Américas</w:t>
            </w:r>
          </w:p>
        </w:tc>
        <w:tc>
          <w:tcPr>
            <w:tcW w:w="1102" w:type="dxa"/>
            <w:shd w:val="clear" w:color="auto" w:fill="BDD6EE"/>
            <w:vAlign w:val="center"/>
          </w:tcPr>
          <w:p w14:paraId="25D300AD"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En ejecución</w:t>
            </w:r>
          </w:p>
        </w:tc>
      </w:tr>
      <w:tr w:rsidR="002001F7" w:rsidRPr="00321353" w14:paraId="2F8E75D2" w14:textId="77777777" w:rsidTr="007403CF">
        <w:trPr>
          <w:trHeight w:val="525"/>
        </w:trPr>
        <w:tc>
          <w:tcPr>
            <w:tcW w:w="468" w:type="dxa"/>
            <w:shd w:val="clear" w:color="auto" w:fill="DEEAF6"/>
            <w:vAlign w:val="center"/>
          </w:tcPr>
          <w:p w14:paraId="2F1BEFD9"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tcPr>
          <w:p w14:paraId="5DCD33D8"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“Apoyar a la CIDH con la implementación de su Plan Estratégico 2017-2021”.</w:t>
            </w:r>
          </w:p>
        </w:tc>
        <w:tc>
          <w:tcPr>
            <w:tcW w:w="1325" w:type="dxa"/>
            <w:shd w:val="clear" w:color="auto" w:fill="DEEAF6"/>
            <w:vAlign w:val="center"/>
          </w:tcPr>
          <w:p w14:paraId="244AC168"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$1,120,000 USD</w:t>
            </w:r>
          </w:p>
        </w:tc>
        <w:tc>
          <w:tcPr>
            <w:tcW w:w="1464" w:type="dxa"/>
            <w:shd w:val="clear" w:color="auto" w:fill="DEEAF6"/>
            <w:vAlign w:val="center"/>
          </w:tcPr>
          <w:p w14:paraId="62EA87C0"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Holanda</w:t>
            </w:r>
          </w:p>
        </w:tc>
        <w:tc>
          <w:tcPr>
            <w:tcW w:w="1102" w:type="dxa"/>
            <w:shd w:val="clear" w:color="auto" w:fill="DEEAF6"/>
            <w:vAlign w:val="center"/>
          </w:tcPr>
          <w:p w14:paraId="5A66A9D7"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Anual</w:t>
            </w:r>
          </w:p>
        </w:tc>
      </w:tr>
      <w:tr w:rsidR="002001F7" w:rsidRPr="00321353" w14:paraId="0C697B6A" w14:textId="77777777" w:rsidTr="007403CF">
        <w:trPr>
          <w:trHeight w:val="525"/>
        </w:trPr>
        <w:tc>
          <w:tcPr>
            <w:tcW w:w="468" w:type="dxa"/>
            <w:shd w:val="clear" w:color="auto" w:fill="BDD6EE"/>
            <w:vAlign w:val="center"/>
          </w:tcPr>
          <w:p w14:paraId="074AD588"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BDD6EE"/>
            <w:vAlign w:val="center"/>
          </w:tcPr>
          <w:p w14:paraId="5CEE6685"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MESEVE Venezuela</w:t>
            </w:r>
          </w:p>
        </w:tc>
        <w:tc>
          <w:tcPr>
            <w:tcW w:w="1325" w:type="dxa"/>
            <w:shd w:val="clear" w:color="auto" w:fill="BDD6EE"/>
            <w:vAlign w:val="center"/>
          </w:tcPr>
          <w:p w14:paraId="40DFEB49"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$29,410 USD</w:t>
            </w:r>
          </w:p>
          <w:p w14:paraId="695229BB" w14:textId="77777777" w:rsidR="002001F7" w:rsidRPr="00321353" w:rsidRDefault="002001F7" w:rsidP="00BB219D">
            <w:pPr>
              <w:ind w:left="-30" w:right="-144"/>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lastRenderedPageBreak/>
              <w:t>Adición $108,500  USD</w:t>
            </w:r>
          </w:p>
        </w:tc>
        <w:tc>
          <w:tcPr>
            <w:tcW w:w="1464" w:type="dxa"/>
            <w:shd w:val="clear" w:color="auto" w:fill="BDD6EE"/>
            <w:vAlign w:val="center"/>
          </w:tcPr>
          <w:p w14:paraId="1017DF73"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lastRenderedPageBreak/>
              <w:t>Holanda</w:t>
            </w:r>
          </w:p>
        </w:tc>
        <w:tc>
          <w:tcPr>
            <w:tcW w:w="1102" w:type="dxa"/>
            <w:shd w:val="clear" w:color="auto" w:fill="BDD6EE"/>
            <w:vAlign w:val="center"/>
          </w:tcPr>
          <w:p w14:paraId="7EE4038F"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intermedio</w:t>
            </w:r>
          </w:p>
        </w:tc>
      </w:tr>
      <w:tr w:rsidR="002001F7" w:rsidRPr="00321353" w14:paraId="277067E2" w14:textId="77777777" w:rsidTr="007403CF">
        <w:trPr>
          <w:trHeight w:val="780"/>
        </w:trPr>
        <w:tc>
          <w:tcPr>
            <w:tcW w:w="468" w:type="dxa"/>
            <w:shd w:val="clear" w:color="auto" w:fill="DEEAF6"/>
            <w:vAlign w:val="center"/>
          </w:tcPr>
          <w:p w14:paraId="45B04BBA"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hideMark/>
          </w:tcPr>
          <w:p w14:paraId="1755FD95"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 xml:space="preserve">“Acceso a la justicia internacional a través de la atención a las peticiones presentadas ante la CIDH, para personas discriminadas en el Hemisferio” </w:t>
            </w:r>
          </w:p>
        </w:tc>
        <w:tc>
          <w:tcPr>
            <w:tcW w:w="1325" w:type="dxa"/>
            <w:shd w:val="clear" w:color="auto" w:fill="DEEAF6"/>
            <w:vAlign w:val="center"/>
          </w:tcPr>
          <w:p w14:paraId="58EDFCE4"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hAnsi="Cambria" w:cs="Arial"/>
                <w:sz w:val="20"/>
                <w:szCs w:val="20"/>
                <w:lang w:val="es-ES_tradnl"/>
              </w:rPr>
              <w:t>50,000 euros</w:t>
            </w:r>
          </w:p>
        </w:tc>
        <w:tc>
          <w:tcPr>
            <w:tcW w:w="1464" w:type="dxa"/>
            <w:shd w:val="clear" w:color="auto" w:fill="DEEAF6"/>
            <w:vAlign w:val="center"/>
            <w:hideMark/>
          </w:tcPr>
          <w:p w14:paraId="3D0BA6C6"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Irlanda</w:t>
            </w:r>
          </w:p>
        </w:tc>
        <w:tc>
          <w:tcPr>
            <w:tcW w:w="1102" w:type="dxa"/>
            <w:shd w:val="clear" w:color="auto" w:fill="DEEAF6"/>
            <w:vAlign w:val="center"/>
            <w:hideMark/>
          </w:tcPr>
          <w:p w14:paraId="0309BBA5"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interino Informe Final</w:t>
            </w:r>
          </w:p>
        </w:tc>
      </w:tr>
      <w:tr w:rsidR="002001F7" w:rsidRPr="00321353" w14:paraId="1AC31C9C" w14:textId="77777777" w:rsidTr="007403CF">
        <w:trPr>
          <w:trHeight w:val="525"/>
        </w:trPr>
        <w:tc>
          <w:tcPr>
            <w:tcW w:w="468" w:type="dxa"/>
            <w:shd w:val="clear" w:color="auto" w:fill="BDD6EE"/>
            <w:vAlign w:val="center"/>
          </w:tcPr>
          <w:p w14:paraId="1E4E12C3"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BDD6EE"/>
            <w:vAlign w:val="center"/>
          </w:tcPr>
          <w:p w14:paraId="34327C29"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MESENI- Nicaragua</w:t>
            </w:r>
          </w:p>
        </w:tc>
        <w:tc>
          <w:tcPr>
            <w:tcW w:w="1325" w:type="dxa"/>
            <w:shd w:val="clear" w:color="auto" w:fill="BDD6EE"/>
            <w:vAlign w:val="center"/>
          </w:tcPr>
          <w:p w14:paraId="0FD20903"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$80,000 USD</w:t>
            </w:r>
          </w:p>
        </w:tc>
        <w:tc>
          <w:tcPr>
            <w:tcW w:w="1464" w:type="dxa"/>
            <w:shd w:val="clear" w:color="auto" w:fill="BDD6EE"/>
            <w:vAlign w:val="center"/>
          </w:tcPr>
          <w:p w14:paraId="07B082F2"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Italia</w:t>
            </w:r>
          </w:p>
        </w:tc>
        <w:tc>
          <w:tcPr>
            <w:tcW w:w="1102" w:type="dxa"/>
            <w:shd w:val="clear" w:color="auto" w:fill="BDD6EE"/>
            <w:vAlign w:val="center"/>
          </w:tcPr>
          <w:p w14:paraId="199C4300"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Final</w:t>
            </w:r>
          </w:p>
        </w:tc>
      </w:tr>
      <w:tr w:rsidR="002001F7" w:rsidRPr="00321353" w14:paraId="4461D38A" w14:textId="77777777" w:rsidTr="007403CF">
        <w:trPr>
          <w:trHeight w:val="525"/>
        </w:trPr>
        <w:tc>
          <w:tcPr>
            <w:tcW w:w="468" w:type="dxa"/>
            <w:shd w:val="clear" w:color="auto" w:fill="DEEAF6"/>
            <w:vAlign w:val="center"/>
          </w:tcPr>
          <w:p w14:paraId="4A2D5CB2"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hideMark/>
          </w:tcPr>
          <w:p w14:paraId="4949F234"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 xml:space="preserve">“Promover y proteger los derechos humanos en el Triángulo Norte de América Central”.  </w:t>
            </w:r>
          </w:p>
        </w:tc>
        <w:tc>
          <w:tcPr>
            <w:tcW w:w="1325" w:type="dxa"/>
            <w:shd w:val="clear" w:color="auto" w:fill="DEEAF6"/>
            <w:vAlign w:val="center"/>
          </w:tcPr>
          <w:p w14:paraId="34DD910E"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$835,976 USD</w:t>
            </w:r>
          </w:p>
        </w:tc>
        <w:tc>
          <w:tcPr>
            <w:tcW w:w="1464" w:type="dxa"/>
            <w:shd w:val="clear" w:color="auto" w:fill="DEEAF6"/>
            <w:vAlign w:val="center"/>
            <w:hideMark/>
          </w:tcPr>
          <w:p w14:paraId="33128999"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PADF</w:t>
            </w:r>
          </w:p>
        </w:tc>
        <w:tc>
          <w:tcPr>
            <w:tcW w:w="1102" w:type="dxa"/>
            <w:shd w:val="clear" w:color="auto" w:fill="DEEAF6"/>
            <w:vAlign w:val="center"/>
            <w:hideMark/>
          </w:tcPr>
          <w:p w14:paraId="69357F4E"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 xml:space="preserve">4 Informes trimestrales </w:t>
            </w:r>
          </w:p>
        </w:tc>
      </w:tr>
      <w:tr w:rsidR="002001F7" w:rsidRPr="00321353" w14:paraId="373F2100" w14:textId="77777777" w:rsidTr="007403CF">
        <w:trPr>
          <w:trHeight w:val="525"/>
        </w:trPr>
        <w:tc>
          <w:tcPr>
            <w:tcW w:w="468" w:type="dxa"/>
            <w:shd w:val="clear" w:color="auto" w:fill="BDD6EE"/>
            <w:vAlign w:val="center"/>
          </w:tcPr>
          <w:p w14:paraId="77FD26CD"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BDD6EE"/>
            <w:vAlign w:val="center"/>
          </w:tcPr>
          <w:p w14:paraId="45C6863A"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Bases para Justicia Transicional en Nicaragua</w:t>
            </w:r>
          </w:p>
        </w:tc>
        <w:tc>
          <w:tcPr>
            <w:tcW w:w="1325" w:type="dxa"/>
            <w:shd w:val="clear" w:color="auto" w:fill="BDD6EE"/>
            <w:vAlign w:val="center"/>
          </w:tcPr>
          <w:p w14:paraId="6C182D5E"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$260,875 USD</w:t>
            </w:r>
          </w:p>
        </w:tc>
        <w:tc>
          <w:tcPr>
            <w:tcW w:w="1464" w:type="dxa"/>
            <w:shd w:val="clear" w:color="auto" w:fill="BDD6EE"/>
            <w:vAlign w:val="center"/>
          </w:tcPr>
          <w:p w14:paraId="7691683B"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PADF</w:t>
            </w:r>
          </w:p>
        </w:tc>
        <w:tc>
          <w:tcPr>
            <w:tcW w:w="1102" w:type="dxa"/>
            <w:shd w:val="clear" w:color="auto" w:fill="BDD6EE"/>
            <w:vAlign w:val="center"/>
          </w:tcPr>
          <w:p w14:paraId="43588DA7"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 trimestral</w:t>
            </w:r>
          </w:p>
        </w:tc>
      </w:tr>
      <w:tr w:rsidR="002001F7" w:rsidRPr="00321353" w14:paraId="425B3563" w14:textId="77777777" w:rsidTr="007403CF">
        <w:trPr>
          <w:trHeight w:val="358"/>
        </w:trPr>
        <w:tc>
          <w:tcPr>
            <w:tcW w:w="468" w:type="dxa"/>
            <w:shd w:val="clear" w:color="auto" w:fill="DEEAF6"/>
            <w:vAlign w:val="center"/>
          </w:tcPr>
          <w:p w14:paraId="0BE1D4F8" w14:textId="77777777" w:rsidR="002001F7" w:rsidRPr="00321353" w:rsidRDefault="002001F7" w:rsidP="00BB219D">
            <w:pPr>
              <w:numPr>
                <w:ilvl w:val="0"/>
                <w:numId w:val="5"/>
              </w:numPr>
              <w:spacing w:after="200" w:line="276" w:lineRule="auto"/>
              <w:ind w:left="360"/>
              <w:jc w:val="right"/>
              <w:rPr>
                <w:rFonts w:ascii="Cambria" w:eastAsia="Times New Roman" w:hAnsi="Cambria" w:cs="Arial"/>
                <w:sz w:val="20"/>
                <w:szCs w:val="20"/>
                <w:lang w:val="es-ES_tradnl"/>
              </w:rPr>
            </w:pPr>
          </w:p>
        </w:tc>
        <w:tc>
          <w:tcPr>
            <w:tcW w:w="4567" w:type="dxa"/>
            <w:shd w:val="clear" w:color="auto" w:fill="DEEAF6"/>
            <w:vAlign w:val="center"/>
            <w:hideMark/>
          </w:tcPr>
          <w:p w14:paraId="71B3EB02" w14:textId="77777777" w:rsidR="002001F7" w:rsidRPr="00321353" w:rsidRDefault="002001F7" w:rsidP="00BB219D">
            <w:pPr>
              <w:jc w:val="both"/>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“Fortalecimiento de la Gobernanza y los Derechos Humanos en América Central” Fase II</w:t>
            </w:r>
          </w:p>
        </w:tc>
        <w:tc>
          <w:tcPr>
            <w:tcW w:w="1325" w:type="dxa"/>
            <w:shd w:val="clear" w:color="auto" w:fill="DEEAF6"/>
            <w:vAlign w:val="center"/>
          </w:tcPr>
          <w:p w14:paraId="1E4B9F6B"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2,600,000 USD</w:t>
            </w:r>
          </w:p>
        </w:tc>
        <w:tc>
          <w:tcPr>
            <w:tcW w:w="1464" w:type="dxa"/>
            <w:shd w:val="clear" w:color="auto" w:fill="DEEAF6"/>
            <w:vAlign w:val="center"/>
            <w:hideMark/>
          </w:tcPr>
          <w:p w14:paraId="562F90BB" w14:textId="77777777" w:rsidR="002001F7" w:rsidRPr="00321353" w:rsidRDefault="002001F7" w:rsidP="00BB219D">
            <w:pPr>
              <w:jc w:val="center"/>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Suiza</w:t>
            </w:r>
          </w:p>
        </w:tc>
        <w:tc>
          <w:tcPr>
            <w:tcW w:w="1102" w:type="dxa"/>
            <w:shd w:val="clear" w:color="auto" w:fill="DEEAF6"/>
            <w:vAlign w:val="center"/>
            <w:hideMark/>
          </w:tcPr>
          <w:p w14:paraId="79D02CFF" w14:textId="77777777" w:rsidR="002001F7" w:rsidRPr="00321353" w:rsidRDefault="002001F7" w:rsidP="00BB219D">
            <w:pPr>
              <w:jc w:val="right"/>
              <w:rPr>
                <w:rFonts w:ascii="Cambria" w:eastAsia="Times New Roman" w:hAnsi="Cambria" w:cs="Arial"/>
                <w:sz w:val="20"/>
                <w:szCs w:val="20"/>
                <w:lang w:val="es-ES_tradnl"/>
              </w:rPr>
            </w:pPr>
            <w:r w:rsidRPr="00321353">
              <w:rPr>
                <w:rFonts w:ascii="Cambria" w:eastAsia="Times New Roman" w:hAnsi="Cambria" w:cs="Arial"/>
                <w:sz w:val="20"/>
                <w:szCs w:val="20"/>
                <w:lang w:val="es-ES_tradnl"/>
              </w:rPr>
              <w:t>Informes bimensuales, Informe intermedio</w:t>
            </w:r>
          </w:p>
        </w:tc>
      </w:tr>
    </w:tbl>
    <w:p w14:paraId="401BEF75" w14:textId="77777777" w:rsidR="002001F7" w:rsidRDefault="002001F7" w:rsidP="002001F7">
      <w:pPr>
        <w:rPr>
          <w:rFonts w:ascii="Cambria" w:eastAsia="Calibri" w:hAnsi="Cambria"/>
          <w:b/>
          <w:szCs w:val="20"/>
          <w:lang w:val="es-ES_tradnl"/>
        </w:rPr>
      </w:pPr>
    </w:p>
    <w:p w14:paraId="0ABE22D7" w14:textId="77777777" w:rsidR="002001F7" w:rsidRPr="00EA6D60" w:rsidRDefault="002001F7" w:rsidP="002001F7">
      <w:pPr>
        <w:pStyle w:val="Heading2"/>
      </w:pPr>
      <w:r w:rsidRPr="00EA6D60">
        <w:t>Propuestas de proyectos de financiamiento</w:t>
      </w:r>
    </w:p>
    <w:p w14:paraId="3B4B4296" w14:textId="77777777" w:rsidR="002001F7" w:rsidRPr="00EA6D60" w:rsidRDefault="002001F7" w:rsidP="002001F7">
      <w:pPr>
        <w:pStyle w:val="paragraphs"/>
        <w:ind w:left="0" w:firstLine="720"/>
      </w:pPr>
      <w:r w:rsidRPr="00EA6D60">
        <w:t>Durante el año 2020 la Secretaría Ejecutiva de la CIDH elaboró 16 propuestas de proyectos de financiamiento para presentar a donantes. La mayor parte de las propuestas fue aprobada.</w:t>
      </w:r>
    </w:p>
    <w:p w14:paraId="51463BF9"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Reformulación y presentación de proyecto para el Gobierno de la Comunidad Autónoma de Islas Baleares, sobre “Promoción y capacitación en el Sistema Interamericano de Derechos Humanos y formulación de políticas públicas con enfoque de derechos humanos en las Américas</w:t>
      </w:r>
      <w:r>
        <w:rPr>
          <w:rFonts w:ascii="Cambria" w:hAnsi="Cambria"/>
          <w:sz w:val="20"/>
          <w:szCs w:val="20"/>
          <w:lang w:val="es-ES_tradnl"/>
        </w:rPr>
        <w:t>"</w:t>
      </w:r>
      <w:r w:rsidRPr="00EA6D60">
        <w:rPr>
          <w:rFonts w:ascii="Cambria" w:hAnsi="Cambria"/>
          <w:sz w:val="20"/>
          <w:szCs w:val="20"/>
          <w:lang w:val="es-ES_tradnl"/>
        </w:rPr>
        <w:t>. El proyecto ha sido aplazado dado la pandemia COVID-19.</w:t>
      </w:r>
    </w:p>
    <w:p w14:paraId="0E77A43D"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 xml:space="preserve">Elaboración y presentación de propuesta con marco lógico y plan de monitoreo de indicadores para la extensión por un año más del proyecto para combatir la violencia y discriminación contra mujeres y niñas en Latinoamérica y el Caribe para Canadá – adición de $1,000,000 CAD. La solicitud fue aprobada y se encuentra en ejecución. </w:t>
      </w:r>
    </w:p>
    <w:p w14:paraId="1EE47767"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Elaboración y presentación de propuesta sobre el Mecanismo MESEVE presentada a Canadá y otros donantes. El proyecto se encuentra en movilización de fondos y ha sido presentada ante mesa de donantes.</w:t>
      </w:r>
    </w:p>
    <w:p w14:paraId="3DC56995"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Elaboración y presentación de propuesta para la implementación del GIEI Bolivia. La propuesta se encuentra en difusión para movilizar fondos. Realizada la primera mesa de donantes.</w:t>
      </w:r>
    </w:p>
    <w:p w14:paraId="597057B0"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 xml:space="preserve">Elaboración y presentación de propuesta al Gobierno de Canadá para el fortalecimiento de capacidades de la CIDH en la protección de derechos humanos en contextos de crisis.  En proceso de ajuste y redefinición. </w:t>
      </w:r>
    </w:p>
    <w:p w14:paraId="45E0DD9E"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Elaboración y presentación de proyecto sobre COVID-19 y derechos humanos para presentar a mesa de donantes. La propuesta se encuentra en difusión para movilizar fondos.</w:t>
      </w:r>
    </w:p>
    <w:p w14:paraId="5EA2D8B4"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lastRenderedPageBreak/>
        <w:t xml:space="preserve">Elaboración y presentación de Proyecto para fortalecimiento de la Relatoría de personas LGTBI para </w:t>
      </w:r>
      <w:proofErr w:type="spellStart"/>
      <w:r w:rsidRPr="00EA6D60">
        <w:rPr>
          <w:rFonts w:ascii="Cambria" w:hAnsi="Cambria"/>
          <w:sz w:val="20"/>
          <w:szCs w:val="20"/>
          <w:lang w:val="es-ES_tradnl"/>
        </w:rPr>
        <w:t>Wellspring</w:t>
      </w:r>
      <w:proofErr w:type="spellEnd"/>
      <w:r w:rsidRPr="00EA6D60">
        <w:rPr>
          <w:rFonts w:ascii="Cambria" w:hAnsi="Cambria"/>
          <w:sz w:val="20"/>
          <w:szCs w:val="20"/>
          <w:lang w:val="es-ES_tradnl"/>
        </w:rPr>
        <w:t>.</w:t>
      </w:r>
    </w:p>
    <w:p w14:paraId="28605738"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 xml:space="preserve">Elaboración y presentación de proyecto para fortalecimiento de la protección internacional de personas migrantes, desplazadas y refugiadas en países de origen, tránsito, destino y retorno en las Américas para ACNUR. El proyecto de valor $80,000 terminó su ejecución. </w:t>
      </w:r>
    </w:p>
    <w:p w14:paraId="12FED36B"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Elaboración y presentación de proyecto para el Reino de Holanda para adición de fondos de $108,500 para Mecanismo Especial de Seguimiento para Venezuela (MESEVE).</w:t>
      </w:r>
    </w:p>
    <w:p w14:paraId="55015BB4"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Elaboración y presentación de propuesta de proyecto presentada al Gobierno de España para Mecanismo Especial de Seguimiento para Nicaragua – Fase II. El proyecto fue aprobado por el valor de $119,870 e iniciará en 2021.</w:t>
      </w:r>
    </w:p>
    <w:p w14:paraId="3027EC32"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Elaboración y presentación de propuesta de proyecto presentada al Gobierno de España para fortalecimiento de estándares jurídicos y recomendaciones para combatir a la discriminación estructural racial en las Américas – Fase II. El proyecto fue aprobado por el valor de $299,675.00 e iniciará en 2021.</w:t>
      </w:r>
    </w:p>
    <w:p w14:paraId="069D11E9"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Elaboración y presentación de Nota conceptual sobre derechos laborales en Cuba para presentar propuesta conjunta con PADF. La propuesta fue aprobada por el valor de $470,000.</w:t>
      </w:r>
    </w:p>
    <w:p w14:paraId="52C4BFA8"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 xml:space="preserve">Elaboración y presentación al Departamento de Estado de los Estados Unidos de la propuesta para la adición de $4,924,999 del proyecto “Incrementar la efectividad del trabajo de la CIDH durante 2018-2020”. El proyecto fue aprobado y se encuentra en ejecución. </w:t>
      </w:r>
    </w:p>
    <w:p w14:paraId="60F969B8"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 xml:space="preserve">Elaboración y presentación de propuesta de actividades y adición al proyecto fortalecimiento de la democracia y derechos humanos en Triángulo Norte a PADF. La propuesta fue aprobada y se encuentra en ejecución. </w:t>
      </w:r>
    </w:p>
    <w:p w14:paraId="5B59A1F1"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Elaboración y presentación de propuesta para el proyecto “Acceso a la justicia internacional a través de la atención de peticiones presentadas a la CIDH pendientes de análisis de admisibilidad” para el Gobierno de Irlanda por 150.000 Euros. El proyecto fue aprobado para un año con 50,000 euros, el cual comenzó su ejecución el 1 de diciembre de 2020.</w:t>
      </w:r>
    </w:p>
    <w:p w14:paraId="18A67C2F" w14:textId="77777777" w:rsidR="002001F7" w:rsidRPr="00EA6D60" w:rsidRDefault="002001F7" w:rsidP="002001F7">
      <w:pPr>
        <w:pStyle w:val="ListParagraph"/>
        <w:numPr>
          <w:ilvl w:val="0"/>
          <w:numId w:val="4"/>
        </w:numPr>
        <w:ind w:left="1440" w:hanging="720"/>
        <w:jc w:val="both"/>
        <w:rPr>
          <w:rFonts w:ascii="Cambria" w:hAnsi="Cambria"/>
          <w:sz w:val="20"/>
          <w:szCs w:val="20"/>
          <w:lang w:val="es-ES_tradnl"/>
        </w:rPr>
      </w:pPr>
      <w:r w:rsidRPr="00EA6D60">
        <w:rPr>
          <w:rFonts w:ascii="Cambria" w:hAnsi="Cambria"/>
          <w:sz w:val="20"/>
          <w:szCs w:val="20"/>
          <w:lang w:val="es-ES_tradnl"/>
        </w:rPr>
        <w:t xml:space="preserve">Elaboración y presentación de Iniciativa conjunta – OIT, FAO, OIM con asistencia de CIDH para promover </w:t>
      </w:r>
      <w:r>
        <w:rPr>
          <w:rFonts w:ascii="Cambria" w:hAnsi="Cambria"/>
          <w:sz w:val="20"/>
          <w:szCs w:val="20"/>
          <w:lang w:val="es-ES_tradnl"/>
        </w:rPr>
        <w:t xml:space="preserve">los derechos </w:t>
      </w:r>
      <w:r w:rsidRPr="00EA6D60">
        <w:rPr>
          <w:rFonts w:ascii="Cambria" w:hAnsi="Cambria"/>
          <w:sz w:val="20"/>
          <w:szCs w:val="20"/>
          <w:lang w:val="es-ES_tradnl"/>
        </w:rPr>
        <w:t>de personas migrantes afectadas por COVID-19. La propuesta se encuentra actualmente en análisis.</w:t>
      </w:r>
    </w:p>
    <w:p w14:paraId="45F6E48D" w14:textId="77777777" w:rsidR="002001F7" w:rsidRPr="00B763D5" w:rsidRDefault="002001F7" w:rsidP="002001F7">
      <w:pPr>
        <w:rPr>
          <w:rFonts w:ascii="Cambria" w:hAnsi="Cambria"/>
          <w:b/>
          <w:sz w:val="20"/>
          <w:szCs w:val="20"/>
          <w:lang w:val="es-ES_tradnl"/>
        </w:rPr>
      </w:pPr>
    </w:p>
    <w:p w14:paraId="2BAAC805" w14:textId="77777777" w:rsidR="002001F7" w:rsidRPr="00B763D5" w:rsidRDefault="002001F7" w:rsidP="002001F7">
      <w:pPr>
        <w:pStyle w:val="Heading1"/>
      </w:pPr>
      <w:r w:rsidRPr="00B763D5">
        <w:t>Avances tecnológicos</w:t>
      </w:r>
    </w:p>
    <w:p w14:paraId="51C836A4" w14:textId="77777777" w:rsidR="002001F7" w:rsidRPr="00B763D5" w:rsidRDefault="002001F7" w:rsidP="002001F7">
      <w:pPr>
        <w:pStyle w:val="paragraphs"/>
        <w:numPr>
          <w:ilvl w:val="0"/>
          <w:numId w:val="0"/>
        </w:numPr>
        <w:spacing w:after="0"/>
        <w:ind w:left="720"/>
      </w:pPr>
    </w:p>
    <w:p w14:paraId="08E50EB8" w14:textId="77777777" w:rsidR="002001F7" w:rsidRPr="00B763D5" w:rsidRDefault="002001F7" w:rsidP="002001F7">
      <w:pPr>
        <w:pStyle w:val="paragraphs"/>
        <w:ind w:left="0" w:firstLine="720"/>
      </w:pPr>
      <w:r w:rsidRPr="00B763D5">
        <w:t xml:space="preserve">Dada la pandemia del COVID-19, uno de los objetivos principales de la Comisión ha sido mantener y desarrollar con la implementación de tecnologías de vanguardia, nuevas herramientas que permitieran una óptima interconexión para que el colegiado y el personal de la Secretaría Ejecutiva lograra cumplir con sus funciones sin interrupciones, así como el contacto directo de quienes confían y se acercan al Sistema Interamericano de Derechos Humanos (SIDH). La continuidad del trabajo remoto ha sido posible gracias al liderazgo de la Secretaría Ejecutiva (Sección de Tecnología y Sistemas - STS) en el rol de innovar y a la capacidad de adaptación a la nueva modalidad de trabajos, brindado el seguimiento y acompañamiento necesario para mejorar y mantener los procesos de trabajos virtualizados y en continuo avance. En miras de brindar reuniones y seminarios a distancia de forma trasformadora y eficiente, la STS ha prestado el soporte necesario en cuanto a investigaciones, pruebas, creación de escenarios reales a través de diferentes plataformas y configuraciones, funcionamientos y usos para toda la serie de </w:t>
      </w:r>
      <w:proofErr w:type="spellStart"/>
      <w:r w:rsidRPr="00B763D5">
        <w:rPr>
          <w:i/>
        </w:rPr>
        <w:t>webinars</w:t>
      </w:r>
      <w:proofErr w:type="spellEnd"/>
      <w:r w:rsidRPr="00B763D5">
        <w:t xml:space="preserve"> internos y externos que ha brindado la Comisión durante estos tiempos de pandemia, tanto para la SACROID COVID-19 como el resto de temáticas que precisan las reuniones, </w:t>
      </w:r>
      <w:r w:rsidRPr="00B763D5">
        <w:lastRenderedPageBreak/>
        <w:t xml:space="preserve">entrenamientos y seminarios a distancia. Se brindó asistencia a más de 140 panelistas, expertos en derechos humanos durante 23 seminarios virtuales temáticos en donde se contó la presencia de más de 1 millón de participantes. Esto ha sido posible gracias a las implementaciones de tecnologías y metodologías, acompañadas por incesantes investigaciones y recomendaciones en relación a las funcionalidades integrables a las plataformas tecnológicas de videoconferencia. </w:t>
      </w:r>
    </w:p>
    <w:p w14:paraId="567253DA" w14:textId="77777777" w:rsidR="002001F7" w:rsidRPr="00B763D5" w:rsidRDefault="002001F7" w:rsidP="002001F7">
      <w:pPr>
        <w:pStyle w:val="paragraphs"/>
        <w:ind w:left="0" w:firstLine="720"/>
      </w:pPr>
      <w:r w:rsidRPr="00B763D5">
        <w:t>Por primera vez se combinan el uso de tantas tecnologías de telecomunicaciones en la Comisión, proyectos que eran pilotos, como por ejemplo las reuniones de trabajo por videoconferencias, hoy sin duda marcaron un progreso que nos brinda una gran experiencia para adelantarnos a los problemas actuales. La tecnología ha contado con un papel importante para el desarrollo de muchas actividades durante el tiempo de pandemia, así ayudando en la obtención de muchos beneficios, entre los procesos en los cuales la tecnología nos ayuda</w:t>
      </w:r>
      <w:r>
        <w:t xml:space="preserve"> a avanzar podemos mencionar: Procesos óptimos; Mayor productividad; </w:t>
      </w:r>
      <w:r w:rsidRPr="00B763D5">
        <w:t xml:space="preserve">Disminución de </w:t>
      </w:r>
      <w:r>
        <w:t xml:space="preserve">las barreras de comunicación; </w:t>
      </w:r>
      <w:r w:rsidRPr="00B763D5">
        <w:t xml:space="preserve">Competitividad </w:t>
      </w:r>
      <w:r>
        <w:t xml:space="preserve">en los trabajos realizados; y </w:t>
      </w:r>
      <w:r w:rsidRPr="00B763D5">
        <w:t>Mejora en la toma de decisiones.</w:t>
      </w:r>
    </w:p>
    <w:p w14:paraId="7B07B612" w14:textId="77777777" w:rsidR="002001F7" w:rsidRPr="00B763D5" w:rsidRDefault="002001F7" w:rsidP="002001F7">
      <w:pPr>
        <w:pStyle w:val="paragraphs"/>
        <w:ind w:left="0" w:firstLine="720"/>
      </w:pPr>
      <w:r w:rsidRPr="00B763D5">
        <w:t>La conectividad es fundamental y debe ser utilizada de manera correcta para fortalecer las habilidades digitales. Hemos estado aprendiendo mucho más sobre lo que conocemos como trabajo remoto, ya que, es una solución efectiva no solo en el trabajo cotidiano sino además esencial en tiempos de pandemia. La transformación digital implica el desarrollo de capacidades internas dentro de las organizaciones apalancadas con el uso de las nuevas tecnologías, para atender los requerimientos de los usuarios que actualmente están operando en un entorno digital, y que se ha visto incrementado por el confinamiento producto de la pandemia. Lo cual notamos que conlleva a un procesamiento de información mucho más ágil. El impacto de COVID-19 produjo una acentuada aceleración en el uso de las herramientas tecnológicas en la gestión organizacional, demostrando una vez más que la tecnología de información más que un elemento esencial es un área clave, estratégica y de base fundamental para la ejecución de los procesos de trabajos y gestiones. La inmediatez que facilita la rapidez de la tecnología ha propiciado que durante la pandemia nuestros usuarios del SIDH de diferentes sectores, se alineen con las actividades de la Comisión en tiempo récord.</w:t>
      </w:r>
    </w:p>
    <w:p w14:paraId="71E0D59C" w14:textId="77777777" w:rsidR="002001F7" w:rsidRPr="00B763D5" w:rsidRDefault="002001F7" w:rsidP="002001F7">
      <w:pPr>
        <w:pStyle w:val="paragraphs"/>
        <w:ind w:left="0" w:firstLine="720"/>
      </w:pPr>
      <w:r w:rsidRPr="00B763D5">
        <w:t>La Comisión ha tenido como continuo propósito promover la innovación tecnológica ante las circunstancias especiales que estamos afrontando. Se investigaron las plataformas tecnológicas más seguras y con mejor desempeño para utilizar en nuestras reuniones y seminarios virtuales. Asimismo, se han integrado funcionalidades con el objetivo de crear videoconferencias eficientes con las herramientas de soporte necesarias para el desarrollo de las mismas. Con el fin de tener más funcionalidades disponibles y continuar con la innovación, se actualizó la suscripción y adquisición de nuestros servicios de videoconferencias virtuales. Con esto, se pudo contar con más planificación y desarrollo de reuniones paralelas, en las cuales el personal de la Secretaría Ejecutiva utilizó este recurso para programar diferentes encuentros virtuales y/o seminarios.</w:t>
      </w:r>
    </w:p>
    <w:p w14:paraId="596FB24A" w14:textId="77777777" w:rsidR="002001F7" w:rsidRPr="00B763D5" w:rsidRDefault="002001F7" w:rsidP="002001F7">
      <w:pPr>
        <w:pStyle w:val="paragraphs"/>
        <w:ind w:left="0" w:firstLine="720"/>
      </w:pPr>
      <w:r w:rsidRPr="00B763D5">
        <w:t xml:space="preserve">Ha sido un hecho histórico e inédito la realización de los períodos de sesiones 176°, 177° y 178°, con todos sus procesos virtualizados marcando así un momento especial para la Comisión con el desenvolvimiento de sesiones y audiencias a distancia. Para asegurar la correcta ejecución de los períodos de sesiones, se efectuaron numerosas pruebas en las plataformas de videoconferencias, con el fin de adaptar las metodologías de trabajo a nuestras nuevas prácticas. Por primera vez, se realizaron audiencias virtuales marcando un antes y después sobre las modalidades y versatilidades que ofrece la Comisión para seguir cumpliendo las expectativas de nuestros usuarios del SIDH. Se aseguró que las audiencias pudieran contar con la debida configuración para interpretación de varios idiomas, subtítulos en vivo y que la transmisión en vivo fuera desempeñada de manera correcta y eficiente en varias plataformas a la misma vez para asegurar un mayor alcance hacia nuestros usuarios. Gracias a la implementación </w:t>
      </w:r>
      <w:r w:rsidRPr="00B763D5">
        <w:lastRenderedPageBreak/>
        <w:t xml:space="preserve">virtual se han logrado presenciar 202.024 personas y 46 audiencias durante los períodos de sesiones. </w:t>
      </w:r>
    </w:p>
    <w:p w14:paraId="2D179B06" w14:textId="77777777" w:rsidR="002001F7" w:rsidRPr="00B763D5" w:rsidRDefault="002001F7" w:rsidP="002001F7">
      <w:pPr>
        <w:pStyle w:val="paragraphs"/>
        <w:ind w:left="0" w:firstLine="720"/>
      </w:pPr>
      <w:r w:rsidRPr="00B763D5">
        <w:t>La implementación de la funcionalidad de subtítulos en vivo fue utilizada para la integración de personas con discapacidad, dando así mayor alcance y accesibilidad a nuestros seminarios en línea y audiencias para quienes se conectan a seguirnos en el cumplimiento de nuestros mandatos. Esta funcionalidad fue puesta en marcha en varios idiomas a la vez para todas las audiencias del 178° período de sesiones, marcando así un momento inédito el mismo día que se celebraba en el Día Internacional de las Personas con Discapacidad.  Se pudo crear e implementar un cronómetro digital que marcara el tiempo indicado por la Comisión a las partes participantes durante las audiencias. Cabe destacar, en el marco del 178°</w:t>
      </w:r>
      <w:r>
        <w:t xml:space="preserve"> período de sesiones</w:t>
      </w:r>
      <w:r w:rsidRPr="00B763D5">
        <w:t xml:space="preserve">, se creó un canal de interpretación para el lenguaje indígena Náhuatl en correspondencia a la audiencia “Caso 13.425 - Ernestina Ascencio Rosario y Otras vs México” donde por primera vez tuvimos una audiencia interpretada en vivo en este lenguaje que permitió un mayor proyección en llegar a las personas de esta comunidad a través de este medio. La creación y configuración establecida de este canal de interpretación facilita el uso para futuras audiencias o reuniones que se necesiten con esta lengua nativa y así brindar más accesibilidad. </w:t>
      </w:r>
    </w:p>
    <w:p w14:paraId="7DA2FC5C" w14:textId="77777777" w:rsidR="002001F7" w:rsidRPr="00B763D5" w:rsidRDefault="002001F7" w:rsidP="002001F7">
      <w:pPr>
        <w:pStyle w:val="paragraphs"/>
        <w:ind w:left="0" w:firstLine="720"/>
      </w:pPr>
      <w:r w:rsidRPr="00B763D5">
        <w:t>Siguiendo esta línea de innovación en materia de tecnología, se han hecho gestiones para la adquisición de una herramienta que facilita el uso y manejo de data con diferentes tipos de clasificaciones, filtros, y reportes. Esta herramienta ayuda a los equipos de la Secretaría Ejecutiva a trabajar con nuevas tecnologías de manera más fluida y eficiente. Como uno de los beneficios más resaltantes de esta implementación, es el espacio de colaboración, en donde se puede intercambiar insumos en formato de multimedia y textos, archivos de información de diferentes tipos, fotos, entre otros. El personal de la Secretaría Ejecutiva recibió entrenamiento en el uso de la herramienta colaborativa.</w:t>
      </w:r>
    </w:p>
    <w:p w14:paraId="70B844B0" w14:textId="77777777" w:rsidR="002001F7" w:rsidRPr="00B763D5" w:rsidRDefault="002001F7" w:rsidP="002001F7">
      <w:pPr>
        <w:pStyle w:val="paragraphs"/>
        <w:ind w:left="0" w:firstLine="720"/>
      </w:pPr>
      <w:r w:rsidRPr="00B763D5">
        <w:t>Se ha implementado con éxito el Sistema de Votación Electrónica (E-Vote) para consultas de la Secretaría Ejecutiva a la Comisión. A través del E-Vote, hemos logrado automatizar y hacer aún más eficiente la comunicación para las consultas y tomas de decisiones de nuestro colegiado. Previo a la implementación del sistema, la votación era realizada a través de intercambios de múltiples correos electrónicos, el registro y monitoreo de los votos proferidos eran realizados de manera manual. Demandaba un cuidado y atención de las personas responsables en garantizar que la información llegara a los participantes de la votación, así como los recordatorios para aclarar los procesos de votación que seguían abiertos o pendientes. La memoria de la votación no quedaba registrada en un sistema centralizado. De igual forma, era necesario traducir cada consulta de cada correo por cada Comisionado en varios idiomas. El sistema ahora ofrece la traducción automática de las consultas y comentarios de los participantes. El sistema cuenta aún con una contabilización automática de votos por consulta, monitoreo y alertas de plazos, notificaciones automáticas, búsquedas avanzadas, generación electrónica de reportes inteligentes que se traducen en una mayor transparencia y eficiencia para la Comisión. Con la implementación de este sistema automatizado, la Comisión hace un mejor uso a las soluciones de tecnología de la información y aumenta la productividad y eficacia al control de votaciones.</w:t>
      </w:r>
    </w:p>
    <w:p w14:paraId="68300A19" w14:textId="77777777" w:rsidR="002001F7" w:rsidRPr="00B763D5" w:rsidRDefault="002001F7" w:rsidP="002001F7">
      <w:pPr>
        <w:pStyle w:val="paragraphs"/>
        <w:ind w:left="0" w:firstLine="720"/>
      </w:pPr>
      <w:r w:rsidRPr="00B763D5">
        <w:t xml:space="preserve">El Sistema de Monitoreo de Recomendaciones Interamericano (SIMORE), también fue implementado este año, se encuentra en total funcionamiento para todos nuestros usuarios, Estados Miembros y Sociedad Civil. El sistema ofrece recomendaciones a través de sus diferentes mecanismos tales como Acuerdos de Soluciones Amistosas, Capítulo IV.B del Informe Anual, Informes de Fondo Publicados, Informes de País y Resoluciones. Los usuarios pueden buscar la información deseada y descargar la misma en varios formatos. Asimismo, la creación de cuentas de los Estados y miembros de la Sociedad Civil permite una mayor participación al remitir </w:t>
      </w:r>
      <w:r w:rsidRPr="00B763D5">
        <w:lastRenderedPageBreak/>
        <w:t>información vinculada con el seguimiento de las recomendaciones emitidas por la Comisión. Siguiendo esta línea, resulta esencial la implementación del SIMORE para simplificar los procesos de organización de las recomendaciones a los Estados a través de informes de fondos y temáticos, audiencias en período de sesiones, comunicados de prensa, entre otros. Dichas recomendaciones eran comunicadas a través de distintos canales y no se encontraban clasificadas ni sistematizadas, por lo cual no estaban disponibles para que los usuarios realizaran búsquedas y den seguimiento. Con esta nueva herramienta disponible, se habilita la posibilidad de dar seguimiento a las decisiones y recomendaciones producidas por la Comisión, para la efectividad del SIDH. Una vez culminada la implementación, se dio una capacitación sobre el uso del SIMORE a los Estados Miembros y Sociedad Civil, explicando la seguridad informática del sistema, la creación y activación de cuentas y recomendaciones importantes en cuanto al uso, ventajas y funcionalidades del sistema. Sin duda este proyecto marca historia en la Comisión y proporciona una gran ayuda a todos nuestros usuarios, Estados Miembros y Sociedad Civil.</w:t>
      </w:r>
    </w:p>
    <w:p w14:paraId="16004C28" w14:textId="77777777" w:rsidR="002001F7" w:rsidRPr="00B763D5" w:rsidRDefault="002001F7" w:rsidP="002001F7">
      <w:pPr>
        <w:pStyle w:val="paragraphs"/>
        <w:ind w:left="0" w:firstLine="720"/>
      </w:pPr>
      <w:r w:rsidRPr="00B763D5">
        <w:t xml:space="preserve">Se dio continuación al análisis para la implementación de la Plataforma Integrada de Análisis y Gestión de la Información (PIAGI). Se ha fomentado la definición del alcance del proyecto, así como el análisis en cuanto al registro, gestión y producción de la información dentro de la plataforma. La revisión de las metas y objetivos de la plataforma y adicionalmente los requerimientos tecnológicos involucrados en la misma. La propuesta del marco lógico del proyecto ha sido desarrollada gracias a la participación y colaboración conjunta entre las diferentes áreas involucradas de la SE/CIDH. </w:t>
      </w:r>
    </w:p>
    <w:p w14:paraId="247663AA" w14:textId="77777777" w:rsidR="002001F7" w:rsidRPr="00B763D5" w:rsidRDefault="002001F7" w:rsidP="002001F7">
      <w:pPr>
        <w:pStyle w:val="paragraphs"/>
        <w:ind w:left="0" w:firstLine="720"/>
      </w:pPr>
      <w:r w:rsidRPr="00B763D5">
        <w:t>Por otro lado, culminamos la fase de modernización de equipos tecnológicos de la Secretaría Ejecutiva en donde se hizo una instalación de 69 equipos nuevos de cómputo. La modernización de equipos y tecnología es fundamental para el continuo avance tecnológico y mantenimiento del día al día con las tendencias que ayudan a innovar y actualizar a la Secretaría Ejecutiva.</w:t>
      </w:r>
    </w:p>
    <w:p w14:paraId="6CDA2F05" w14:textId="77777777" w:rsidR="002001F7" w:rsidRPr="00B763D5" w:rsidRDefault="002001F7" w:rsidP="002001F7">
      <w:pPr>
        <w:pStyle w:val="paragraphs"/>
        <w:ind w:left="0" w:firstLine="720"/>
      </w:pPr>
      <w:r w:rsidRPr="00B763D5">
        <w:t>Seguimos avanzando en el desarrollo del proyecto de redefinición de los sistemas centrales de la Comisión. Se ha avanzado con la recopilación de información, el análisis y consolidación de esta información recibida. Con la información recolectada, continuamos trabajando en la diagramación de los insumos y seguir avanzando en el diseño y desarrollo del sistema. El proyecto brindará al personal una mejor experiencia al momento de interactuar con el sistema, así como también permitirán avanzar de manera más pronta para la tramitación de la información, agilización de procesamiento de información interna y hacia nuestros usuarios externos, siendo el eje principal el estabilizar y mejorar el trabajo automatizado.</w:t>
      </w:r>
    </w:p>
    <w:p w14:paraId="094AD0D9" w14:textId="77777777" w:rsidR="002001F7" w:rsidRPr="00B763D5" w:rsidRDefault="002001F7" w:rsidP="002001F7">
      <w:pPr>
        <w:pStyle w:val="paragraphs"/>
        <w:ind w:left="0" w:firstLine="720"/>
      </w:pPr>
      <w:r w:rsidRPr="00B763D5">
        <w:t xml:space="preserve">Se realizaron 5 entrenamientos sobre los diferentes sistemas centrales de la Comisión y recursos tecnológicos con los que se cuentan para 65 usuarios, incluyendo funcionarios, consultores, becarios y pasantes. En las capacitaciones se les brindó además del material de entrenamiento y presentación, documentación adicional referente a protocolos y manuales de uso. </w:t>
      </w:r>
    </w:p>
    <w:p w14:paraId="163ADC64" w14:textId="77777777" w:rsidR="002001F7" w:rsidRPr="00B763D5" w:rsidRDefault="002001F7" w:rsidP="002001F7">
      <w:pPr>
        <w:pStyle w:val="paragraphs"/>
        <w:ind w:left="0" w:firstLine="720"/>
      </w:pPr>
      <w:r w:rsidRPr="00B763D5">
        <w:t xml:space="preserve">En el 2020 se han registrado 4.355 nuevas cuentas en el Portal del Sistema Individual de Peticiones. Del total de nuevas cuentas, 2.308 se encuentran activas. De igual forma, se atendió a más de 5.000 consultas de usuarios que llegaron al correo del Portal del Sistema durante este año. Es esencial la atención a nuestros usuarios y continuamos la labor para proporcionar asistencia técnica y de seguimiento al funcionamiento y uso del Portal. También, apoyamos en la campaña para fomentar el uso del Portal, especialmente ante las circunstancias de hoy en día, para así automatizar más procesos y responder a nuestros usuarios de forma rápida y efectiva. Contamos con la incorporación dos nuevos Estados, Panamá y República Dominicana, </w:t>
      </w:r>
      <w:r w:rsidRPr="00B763D5">
        <w:lastRenderedPageBreak/>
        <w:t>lo cual es un logro más para la comunicación directa y automatizada entre Estados, Peticionarios y la Comisión.</w:t>
      </w:r>
    </w:p>
    <w:p w14:paraId="6B25ADB6" w14:textId="77777777" w:rsidR="002001F7" w:rsidRPr="00B763D5" w:rsidRDefault="002001F7" w:rsidP="002001F7">
      <w:pPr>
        <w:pStyle w:val="paragraphs"/>
        <w:ind w:left="0" w:firstLine="720"/>
      </w:pPr>
      <w:r w:rsidRPr="00B763D5">
        <w:t>Los siguientes sistemas automatizados se pusieron en línea para colaborar en la recolección de información digitalmente, de manera gratuita y accesible para nuestros usuarios. Ayudándonos a mejorar la sistematización de data y tiempos de respuesta de diferentes áreas de la Secretaría Ejecutiva de la CIDH:</w:t>
      </w:r>
    </w:p>
    <w:p w14:paraId="1F86009A" w14:textId="77777777" w:rsidR="002001F7" w:rsidRPr="00B763D5" w:rsidRDefault="002001F7" w:rsidP="002001F7">
      <w:pPr>
        <w:pStyle w:val="paragraphs"/>
        <w:ind w:left="0" w:firstLine="720"/>
      </w:pPr>
      <w:r w:rsidRPr="00B763D5">
        <w:t xml:space="preserve">Solicitudes de Audiencia/Reunión de Trabajo - 175° PS, en los 4 idiomas oficiales – El sistema fue diseñado para recibir solicitudes de audiencias y/o reuniones de trabajo en el marco del periodo de sesiones 175°. Se organizó la información y se creó un reporte con el fin de seleccionar las audiencias y reuniones de trabajo que se presentaron en este periodo de sesiones que tuvo lugar en Haití. </w:t>
      </w:r>
    </w:p>
    <w:p w14:paraId="72D1D38F" w14:textId="77777777" w:rsidR="002001F7" w:rsidRPr="00B763D5" w:rsidRDefault="002001F7" w:rsidP="002001F7">
      <w:pPr>
        <w:pStyle w:val="paragraphs"/>
        <w:ind w:left="0" w:firstLine="720"/>
      </w:pPr>
      <w:r w:rsidRPr="00B763D5">
        <w:t xml:space="preserve">Convocatoria para participar en audiencia solicitada por Estado - 175° PS. Este sistema convocó a las organizaciones de la sociedad civil que deseaban participar en la audiencia celebrada en el PS 175° sobre: Vulneraciones de derechos humanos en el contexto electoral en Bolivia. </w:t>
      </w:r>
    </w:p>
    <w:p w14:paraId="76ADF6F4" w14:textId="77777777" w:rsidR="002001F7" w:rsidRPr="00B763D5" w:rsidRDefault="002001F7" w:rsidP="002001F7">
      <w:pPr>
        <w:pStyle w:val="paragraphs"/>
        <w:ind w:left="0" w:firstLine="720"/>
      </w:pPr>
      <w:r w:rsidRPr="00B763D5">
        <w:t xml:space="preserve">Solicitudes de Audiencia/Reunión de Trabajo - 176°,177°, y 178° PS virtual, en los 4 idiomas oficiales. Dada la situación de la pandemia debido al COVID-19, se abrió el sistema del PS 176° de solicitudes en dos etapas. En la segunda etapa nuevamente se abrió solo para reuniones de trabajo, ya que este Periodo de Sesiones pasó a tener lugar de manera virtual. Se realizó el reporte del PS 176° y se tomaron en cuenta las solicitudes obtenidas tanto en la primera como en la segunda etapa para los reportes. Seguidamente, se realizaron reportes con la información obtenida en cuanto a las solicitudes para el 177° y 178° PS Virtual, que facilitan la toma de decisiones a la CIDH en cuanto a la selección de audiencias y reuniones de trabajo a realizarse durante estos Períodos de Sesiones. </w:t>
      </w:r>
    </w:p>
    <w:p w14:paraId="0AE7DEF6" w14:textId="77777777" w:rsidR="002001F7" w:rsidRPr="00B763D5" w:rsidRDefault="002001F7" w:rsidP="002001F7">
      <w:pPr>
        <w:pStyle w:val="paragraphs"/>
        <w:ind w:left="0" w:firstLine="720"/>
      </w:pPr>
      <w:r w:rsidRPr="00B763D5">
        <w:t xml:space="preserve">Formulario de inscripción para participar en las reuniones con la sociedad civil, en el marco del 176°, 177° y 178° período de sesiones de la Comisión, en inglés y español.  Este sistema convocó a las organizaciones de la sociedad civil de las Américas a participar en las reuniones que se realizaron en el marco del 176°, 177° y 178° período de sesiones, que se desarrollaron en forma virtual a distancia. Adicionalmente, se crearon los reportes finales que recogen y sistematizan la información de las organizaciones interesadas y así poder facilitar las notificaciones para informarles a quienes participen sobre los detalles de conexión a las reuniones. </w:t>
      </w:r>
    </w:p>
    <w:p w14:paraId="7C6141A1" w14:textId="77777777" w:rsidR="002001F7" w:rsidRPr="00B763D5" w:rsidRDefault="002001F7" w:rsidP="002001F7">
      <w:pPr>
        <w:pStyle w:val="paragraphs"/>
        <w:ind w:left="0" w:firstLine="720"/>
      </w:pPr>
      <w:r w:rsidRPr="00B763D5">
        <w:t>Comentarios sobre Finalistas Relator/a Especial para la Libertad de Expresión (RELE). A través de este sistema la Comisión recibió comentarios sobre las personas finalistas para el cargo en postulación de Relator/a Especial para la Libertad de Expresión. Asimismo, estos comentarios fueron recibidos y mantenidos hasta la creación del reporte final que sistematiza la información y contribuye a la entrega de estos insumos a la Comisión de manera más eficiente para la toma de decisiones.</w:t>
      </w:r>
    </w:p>
    <w:p w14:paraId="3A1FBB85" w14:textId="77777777" w:rsidR="002001F7" w:rsidRPr="00B763D5" w:rsidRDefault="002001F7" w:rsidP="002001F7">
      <w:pPr>
        <w:pStyle w:val="paragraphs"/>
        <w:ind w:left="0" w:firstLine="720"/>
      </w:pPr>
      <w:r w:rsidRPr="00B763D5">
        <w:t xml:space="preserve">Beca Seguimiento de Recomendaciones de la CIDH. Este sistema abría la opción de solicitar una beca para ser parte del equipo de Seguimiento de Recomendaciones e Impacto, donde apoyará el trabajo de la Secretaria Ejecutiva, bajo la supervisión de sus especialistas durante el período de la beca. A través de este sistema, los solicitantes enviaron la información requerida y así poder tener la información de manera estratégica y accesible para determinar y seleccionar a la persona que ocupe la beca. </w:t>
      </w:r>
    </w:p>
    <w:p w14:paraId="6E69A4DF" w14:textId="77777777" w:rsidR="002001F7" w:rsidRPr="00B763D5" w:rsidRDefault="002001F7" w:rsidP="002001F7">
      <w:pPr>
        <w:pStyle w:val="paragraphs"/>
        <w:ind w:left="0" w:firstLine="720"/>
      </w:pPr>
      <w:r w:rsidRPr="00B763D5">
        <w:lastRenderedPageBreak/>
        <w:t xml:space="preserve">Beca sobre Derechos de Personas LGBTI. Con esta herramienta automatizada, las personas usuarias pudieron presentar la solicitud para ser parte de la Relatoría sobre los Derechos de Personas Lesbianas, Gay, Bisexuales, </w:t>
      </w:r>
      <w:proofErr w:type="spellStart"/>
      <w:r w:rsidRPr="00B763D5">
        <w:t>Trans</w:t>
      </w:r>
      <w:proofErr w:type="spellEnd"/>
      <w:r w:rsidRPr="00B763D5">
        <w:t xml:space="preserve"> e </w:t>
      </w:r>
      <w:proofErr w:type="spellStart"/>
      <w:r w:rsidRPr="00B763D5">
        <w:t>Intersex</w:t>
      </w:r>
      <w:proofErr w:type="spellEnd"/>
      <w:r w:rsidRPr="00B763D5">
        <w:t xml:space="preserve"> (LGBTI) de la Comisión. Poniendo en línea y al alcance de muchas personas interesadas en esta temática la opción de optar por esta Beca. Recopilamos la información presentada por los solicitantes y la compartimos con el equipo de la Relatoría LGBTI en un reporte acotado con toda la información recibida electrónicamente para facilitar el otorgamiento de la beca a la persona que corresponda gracias a la información recibida de manera sintetizada. </w:t>
      </w:r>
    </w:p>
    <w:p w14:paraId="65E6EAC2" w14:textId="77777777" w:rsidR="002001F7" w:rsidRPr="00B763D5" w:rsidRDefault="002001F7" w:rsidP="002001F7">
      <w:pPr>
        <w:pStyle w:val="paragraphs"/>
        <w:ind w:left="0" w:firstLine="720"/>
      </w:pPr>
      <w:r w:rsidRPr="00B763D5">
        <w:t xml:space="preserve">Convocatoria para participar en audiencia solicitada de oficio por la Comisión en el 177° PS. A través de esta aplicación en línea, la Comisión convocó a organizaciones de la sociedad civil que estuviesen interesadas en participar en la siguiente audiencia a celebrarse en el marco del 177º período ordinario de sesiones sobre: la Situación general de los derechos humanos en Bolivia. </w:t>
      </w:r>
    </w:p>
    <w:p w14:paraId="66C8F61B" w14:textId="77777777" w:rsidR="002001F7" w:rsidRPr="00B763D5" w:rsidRDefault="002001F7" w:rsidP="002001F7">
      <w:pPr>
        <w:pStyle w:val="paragraphs"/>
        <w:ind w:left="0" w:firstLine="720"/>
      </w:pPr>
      <w:r w:rsidRPr="00B763D5">
        <w:t xml:space="preserve">Comentarios sobre Candidatos Finalistas a Secretario/a Ejecutivo de la Comisión - A través de este sistema la Comisión recibirá comentarios sobre las personas finalistas para el cargo en postulación de Secretario/a Ejecutivo. Asimismo, estos comentarios serán recibidos y sistematizados para la creación del reporte final que apoya a la Comisión para la toma de decisiones.  </w:t>
      </w:r>
    </w:p>
    <w:p w14:paraId="2897619A" w14:textId="77777777" w:rsidR="003558E5" w:rsidRPr="002001F7" w:rsidRDefault="003558E5">
      <w:pPr>
        <w:rPr>
          <w:lang w:val="es-ES"/>
        </w:rPr>
      </w:pPr>
    </w:p>
    <w:sectPr w:rsidR="003558E5" w:rsidRPr="002001F7" w:rsidSect="006D53D8">
      <w:headerReference w:type="even" r:id="rId13"/>
      <w:headerReference w:type="default" r:id="rId14"/>
      <w:footerReference w:type="even" r:id="rId15"/>
      <w:footerReference w:type="default" r:id="rId16"/>
      <w:headerReference w:type="first" r:id="rId17"/>
      <w:pgSz w:w="12240" w:h="15840"/>
      <w:pgMar w:top="1440" w:right="1440" w:bottom="1440" w:left="2592" w:header="720" w:footer="720" w:gutter="0"/>
      <w:pgNumType w:start="121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7EA19" w14:textId="77777777" w:rsidR="00F50017" w:rsidRDefault="00F50017" w:rsidP="00D01007">
      <w:pPr>
        <w:spacing w:after="0" w:line="240" w:lineRule="auto"/>
      </w:pPr>
      <w:r>
        <w:separator/>
      </w:r>
    </w:p>
  </w:endnote>
  <w:endnote w:type="continuationSeparator" w:id="0">
    <w:p w14:paraId="34AD3722" w14:textId="77777777" w:rsidR="00F50017" w:rsidRDefault="00F50017"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DCD79EE" w14:textId="77777777" w:rsidR="00BB219D" w:rsidRDefault="00BB219D">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00126E0C">
          <w:rPr>
            <w:noProof/>
            <w:sz w:val="16"/>
            <w:szCs w:val="16"/>
          </w:rPr>
          <w:t>1234</w:t>
        </w:r>
        <w:r w:rsidRPr="00D01007">
          <w:rPr>
            <w:noProof/>
            <w:sz w:val="16"/>
            <w:szCs w:val="16"/>
          </w:rPr>
          <w:fldChar w:fldCharType="end"/>
        </w:r>
      </w:p>
    </w:sdtContent>
  </w:sdt>
  <w:p w14:paraId="4ECB9FF6" w14:textId="77777777" w:rsidR="00BB219D" w:rsidRDefault="00BB2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625365"/>
      <w:docPartObj>
        <w:docPartGallery w:val="Page Numbers (Bottom of Page)"/>
        <w:docPartUnique/>
      </w:docPartObj>
    </w:sdtPr>
    <w:sdtEndPr>
      <w:rPr>
        <w:noProof/>
      </w:rPr>
    </w:sdtEndPr>
    <w:sdtContent>
      <w:p w14:paraId="2C40B3F0" w14:textId="4A955849" w:rsidR="00BB219D" w:rsidRDefault="00BB219D">
        <w:pPr>
          <w:pStyle w:val="Footer"/>
          <w:jc w:val="center"/>
        </w:pPr>
        <w:r w:rsidRPr="002001F7">
          <w:rPr>
            <w:sz w:val="16"/>
            <w:szCs w:val="16"/>
          </w:rPr>
          <w:fldChar w:fldCharType="begin"/>
        </w:r>
        <w:r w:rsidRPr="002001F7">
          <w:rPr>
            <w:sz w:val="16"/>
            <w:szCs w:val="16"/>
          </w:rPr>
          <w:instrText xml:space="preserve"> PAGE   \* MERGEFORMAT </w:instrText>
        </w:r>
        <w:r w:rsidRPr="002001F7">
          <w:rPr>
            <w:sz w:val="16"/>
            <w:szCs w:val="16"/>
          </w:rPr>
          <w:fldChar w:fldCharType="separate"/>
        </w:r>
        <w:r w:rsidR="00126E0C">
          <w:rPr>
            <w:noProof/>
            <w:sz w:val="16"/>
            <w:szCs w:val="16"/>
          </w:rPr>
          <w:t>1235</w:t>
        </w:r>
        <w:r w:rsidRPr="002001F7">
          <w:rPr>
            <w:noProof/>
            <w:sz w:val="16"/>
            <w:szCs w:val="16"/>
          </w:rPr>
          <w:fldChar w:fldCharType="end"/>
        </w:r>
      </w:p>
    </w:sdtContent>
  </w:sdt>
  <w:p w14:paraId="15D3AFAE" w14:textId="77777777" w:rsidR="00BB219D" w:rsidRDefault="00BB2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5381" w14:textId="77777777" w:rsidR="00F50017" w:rsidRDefault="00F50017" w:rsidP="00D01007">
      <w:pPr>
        <w:spacing w:after="0" w:line="240" w:lineRule="auto"/>
      </w:pPr>
      <w:r>
        <w:separator/>
      </w:r>
    </w:p>
  </w:footnote>
  <w:footnote w:type="continuationSeparator" w:id="0">
    <w:p w14:paraId="07FC5204" w14:textId="77777777" w:rsidR="00F50017" w:rsidRDefault="00F50017" w:rsidP="00D01007">
      <w:pPr>
        <w:spacing w:after="0" w:line="240" w:lineRule="auto"/>
      </w:pPr>
      <w:r>
        <w:continuationSeparator/>
      </w:r>
    </w:p>
  </w:footnote>
  <w:footnote w:id="1">
    <w:p w14:paraId="18B4DAE1" w14:textId="77777777" w:rsidR="00BB219D" w:rsidRPr="00041E84" w:rsidRDefault="00BB219D" w:rsidP="002001F7">
      <w:pPr>
        <w:pStyle w:val="FootnoteText"/>
        <w:spacing w:after="120"/>
        <w:ind w:firstLine="720"/>
        <w:jc w:val="both"/>
        <w:rPr>
          <w:rFonts w:ascii="Cambria" w:hAnsi="Cambria"/>
          <w:sz w:val="16"/>
          <w:szCs w:val="16"/>
          <w:lang w:val="es-US"/>
        </w:rPr>
      </w:pPr>
      <w:r w:rsidRPr="00041E84">
        <w:rPr>
          <w:rStyle w:val="FootnoteReference"/>
          <w:rFonts w:ascii="Cambria" w:hAnsi="Cambria"/>
          <w:sz w:val="16"/>
          <w:szCs w:val="16"/>
        </w:rPr>
        <w:footnoteRef/>
      </w:r>
      <w:r w:rsidRPr="00041E84">
        <w:rPr>
          <w:rFonts w:ascii="Cambria" w:hAnsi="Cambria"/>
          <w:sz w:val="16"/>
          <w:szCs w:val="16"/>
          <w:lang w:val="es-US"/>
        </w:rPr>
        <w:t xml:space="preserve"> </w:t>
      </w:r>
      <w:r w:rsidRPr="00041E84">
        <w:rPr>
          <w:rFonts w:ascii="Cambria" w:eastAsia="Calibri" w:hAnsi="Cambria"/>
          <w:sz w:val="16"/>
          <w:szCs w:val="16"/>
          <w:lang w:val="es-US"/>
        </w:rPr>
        <w:t>Las cifras muestran la distribución del programa presupuesto aprobado el 27 de junio de 2019 mediante AG/RES. 2940 (XLIX-O/19) para el periodo del 1 de enero al 31 de diciembre de 2020. El valor señalado bajo Administración, corresponde a la Secretaria de Administración y Finanzas (Capítulo 11).</w:t>
      </w:r>
    </w:p>
  </w:footnote>
  <w:footnote w:id="2">
    <w:p w14:paraId="6D3D9E43" w14:textId="77777777" w:rsidR="00BB219D" w:rsidRPr="00041E84" w:rsidRDefault="00BB219D" w:rsidP="002001F7">
      <w:pPr>
        <w:pStyle w:val="FootnoteText"/>
        <w:spacing w:after="120"/>
        <w:ind w:firstLine="720"/>
        <w:jc w:val="both"/>
        <w:rPr>
          <w:rStyle w:val="FootnoteReference"/>
          <w:rFonts w:ascii="Cambria" w:hAnsi="Cambria"/>
          <w:sz w:val="16"/>
          <w:szCs w:val="16"/>
          <w:lang w:val="es-US"/>
        </w:rPr>
      </w:pPr>
      <w:r w:rsidRPr="00041E84">
        <w:rPr>
          <w:rStyle w:val="FootnoteReference"/>
          <w:rFonts w:ascii="Cambria" w:hAnsi="Cambria"/>
          <w:sz w:val="16"/>
          <w:szCs w:val="16"/>
        </w:rPr>
        <w:footnoteRef/>
      </w:r>
      <w:r w:rsidRPr="00041E84">
        <w:rPr>
          <w:rStyle w:val="FootnoteReference"/>
          <w:rFonts w:ascii="Cambria" w:hAnsi="Cambria"/>
          <w:sz w:val="16"/>
          <w:szCs w:val="16"/>
          <w:lang w:val="es-US"/>
        </w:rPr>
        <w:t xml:space="preserve"> </w:t>
      </w:r>
      <w:r w:rsidRPr="00041E84">
        <w:rPr>
          <w:rFonts w:ascii="Cambria" w:hAnsi="Cambria"/>
          <w:sz w:val="16"/>
          <w:szCs w:val="16"/>
          <w:lang w:val="es-US"/>
        </w:rPr>
        <w:t>La CIDH suscribió un acuerdo de asistencia con Estados Unidos por un valor de USD 14.2 millones para el periodo comprendido entre 2018 y 2022. Este acuerdo se implementa bajo la modalidad de envío de desembolsos contra la ejecución financiera del proyecto. La Relatoría Especial para la Libertad de Expresión tiene una asignación de USD 1.2M dentro de este acuerdo.</w:t>
      </w:r>
    </w:p>
  </w:footnote>
  <w:footnote w:id="3">
    <w:p w14:paraId="7F296286" w14:textId="77777777" w:rsidR="00BB219D" w:rsidRPr="00041E84" w:rsidRDefault="00BB219D" w:rsidP="002001F7">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Esta tabla es un resumen del Reporte “Estados de Variación en el Saldo de los Fondos” por actividad y donante, publicado por el Departamento de Servicios Financieros de la SG/OEA al 31 de diciembre de 2020.</w:t>
      </w:r>
    </w:p>
  </w:footnote>
  <w:footnote w:id="4">
    <w:p w14:paraId="71B5A896" w14:textId="77777777" w:rsidR="00BB219D" w:rsidRPr="00041E84" w:rsidRDefault="00BB219D" w:rsidP="002001F7">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Los saldos finales negativos se presentan dado que algunos convenios se implementan bajo la modalidad de envío de desembolsos contra la ejecución financiera del proyecto</w:t>
      </w:r>
    </w:p>
  </w:footnote>
  <w:footnote w:id="5">
    <w:p w14:paraId="611170B6" w14:textId="77777777" w:rsidR="00BB219D" w:rsidRPr="00041E84" w:rsidRDefault="00BB219D" w:rsidP="002001F7">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La distribución incluye sólo gastos al 31 de diciembre de 2020, los cuales fueron financiados con contribuciones recibidas durante el 2020 y años anteriores (en el caso de fondos específicos).</w:t>
      </w:r>
    </w:p>
  </w:footnote>
  <w:footnote w:id="6">
    <w:p w14:paraId="751DD772" w14:textId="77777777" w:rsidR="00BB219D" w:rsidRPr="00041E84" w:rsidRDefault="00BB219D" w:rsidP="002001F7">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En salarios se incluyen costos de Personal/Staff.</w:t>
      </w:r>
    </w:p>
  </w:footnote>
  <w:footnote w:id="7">
    <w:p w14:paraId="14DF2EBF" w14:textId="77777777" w:rsidR="00BB219D" w:rsidRPr="00041E84" w:rsidRDefault="00BB219D" w:rsidP="002001F7">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En Contratos por resultado se incluyen servicios de conferencias, honorarios, servicios especiales de los comisionados/as, interpretación, traducción, apoyo administrativo y profesional y consultores/as.</w:t>
      </w:r>
    </w:p>
  </w:footnote>
  <w:footnote w:id="8">
    <w:p w14:paraId="51111274" w14:textId="77777777" w:rsidR="00BB219D" w:rsidRPr="00041E84" w:rsidRDefault="00BB219D" w:rsidP="002001F7">
      <w:pPr>
        <w:pStyle w:val="FootnoteText"/>
        <w:spacing w:after="120"/>
        <w:ind w:firstLine="720"/>
        <w:jc w:val="both"/>
        <w:rPr>
          <w:rFonts w:ascii="Cambria" w:hAnsi="Cambria"/>
          <w:sz w:val="16"/>
          <w:szCs w:val="16"/>
          <w:lang w:val="es-CO"/>
        </w:rPr>
      </w:pPr>
      <w:r w:rsidRPr="00041E84">
        <w:rPr>
          <w:rStyle w:val="FootnoteReference"/>
          <w:rFonts w:ascii="Cambria" w:hAnsi="Cambria"/>
          <w:sz w:val="16"/>
          <w:szCs w:val="16"/>
        </w:rPr>
        <w:footnoteRef/>
      </w:r>
      <w:r w:rsidRPr="00041E84">
        <w:rPr>
          <w:rFonts w:ascii="Cambria" w:hAnsi="Cambria"/>
          <w:sz w:val="16"/>
          <w:szCs w:val="16"/>
          <w:lang w:val="es-CO"/>
        </w:rPr>
        <w:t xml:space="preserve"> Otros costos incluyen renta de oficinas y equipos, pago de courier, otros servicios de conferencias, red de área local (LAN), teléfono, transporte y gastos de oficina.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29FB" w14:textId="77777777" w:rsidR="00BB219D" w:rsidRDefault="00BB219D" w:rsidP="00D01007">
    <w:pPr>
      <w:ind w:hanging="2"/>
    </w:pPr>
  </w:p>
  <w:p w14:paraId="122C7C8B" w14:textId="77777777" w:rsidR="00BB219D" w:rsidRPr="00E21FA4" w:rsidRDefault="00BB219D"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lang w:val="es-CO" w:eastAsia="es-CO"/>
      </w:rPr>
      <w:drawing>
        <wp:anchor distT="0" distB="0" distL="114300" distR="114300" simplePos="0" relativeHeight="251668480" behindDoc="0" locked="0" layoutInCell="1" allowOverlap="1" wp14:anchorId="0850B18A" wp14:editId="1AB7C1CB">
          <wp:simplePos x="0" y="0"/>
          <wp:positionH relativeFrom="margin">
            <wp:align>left</wp:align>
          </wp:positionH>
          <wp:positionV relativeFrom="paragraph">
            <wp:posOffset>17780</wp:posOffset>
          </wp:positionV>
          <wp:extent cx="3304467" cy="200029"/>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4FB2ABB9" w14:textId="77777777" w:rsidR="00BB219D" w:rsidRPr="00E21FA4" w:rsidRDefault="00BB219D"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lang w:val="es-CO" w:eastAsia="es-CO"/>
      </w:rPr>
      <mc:AlternateContent>
        <mc:Choice Requires="wps">
          <w:drawing>
            <wp:anchor distT="0" distB="0" distL="114300" distR="114300" simplePos="0" relativeHeight="251667456" behindDoc="0" locked="0" layoutInCell="1" allowOverlap="1" wp14:anchorId="1692473D" wp14:editId="04C3B55F">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8CF39"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472C023" w14:textId="77777777" w:rsidR="00BB219D" w:rsidRPr="00D01007" w:rsidRDefault="00BB219D"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EF7BE" w14:textId="77777777" w:rsidR="00BB219D" w:rsidRDefault="00BB219D" w:rsidP="00D01007"/>
  <w:p w14:paraId="1372FBF5" w14:textId="77777777" w:rsidR="00BB219D" w:rsidRPr="00E21FA4" w:rsidRDefault="00BB219D"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lang w:val="es-CO" w:eastAsia="es-CO"/>
      </w:rPr>
      <w:drawing>
        <wp:anchor distT="0" distB="0" distL="114300" distR="114300" simplePos="0" relativeHeight="251671552" behindDoc="0" locked="0" layoutInCell="1" allowOverlap="1" wp14:anchorId="6311B88E" wp14:editId="39E1FE85">
          <wp:simplePos x="0" y="0"/>
          <wp:positionH relativeFrom="margin">
            <wp:align>right</wp:align>
          </wp:positionH>
          <wp:positionV relativeFrom="paragraph">
            <wp:posOffset>17780</wp:posOffset>
          </wp:positionV>
          <wp:extent cx="3303905" cy="200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3D38A7DE" w14:textId="77777777" w:rsidR="00BB219D" w:rsidRPr="00E70D07" w:rsidRDefault="00BB219D"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lang w:val="es-CO" w:eastAsia="es-CO"/>
      </w:rPr>
      <mc:AlternateContent>
        <mc:Choice Requires="wps">
          <w:drawing>
            <wp:anchor distT="0" distB="0" distL="114300" distR="114300" simplePos="0" relativeHeight="251670528" behindDoc="0" locked="0" layoutInCell="1" allowOverlap="1" wp14:anchorId="2DEE137A" wp14:editId="216DFD0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E7565"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418CBC86" w14:textId="77777777" w:rsidR="00BB219D" w:rsidRDefault="00BB2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F2C9" w14:textId="77777777" w:rsidR="00BB219D" w:rsidRPr="006B1F24" w:rsidRDefault="00BB219D" w:rsidP="00D01007">
    <w:pPr>
      <w:pStyle w:val="Header"/>
      <w:ind w:left="1" w:hanging="3"/>
      <w:rPr>
        <w:rFonts w:ascii="Arial" w:hAnsi="Arial" w:cs="Arial"/>
        <w:color w:val="3B3838" w:themeColor="background2" w:themeShade="40"/>
        <w:sz w:val="28"/>
        <w:szCs w:val="28"/>
        <w:lang w:val="es-ES"/>
      </w:rPr>
    </w:pPr>
    <w:r w:rsidRPr="006B1F24">
      <w:rPr>
        <w:noProof/>
        <w:sz w:val="28"/>
        <w:szCs w:val="28"/>
        <w:lang w:val="es-CO" w:eastAsia="es-CO"/>
      </w:rPr>
      <w:drawing>
        <wp:anchor distT="0" distB="0" distL="114300" distR="114300" simplePos="0" relativeHeight="251665408" behindDoc="0" locked="0" layoutInCell="1" allowOverlap="1" wp14:anchorId="13909085" wp14:editId="2C0500C8">
          <wp:simplePos x="0" y="0"/>
          <wp:positionH relativeFrom="column">
            <wp:posOffset>2887980</wp:posOffset>
          </wp:positionH>
          <wp:positionV relativeFrom="paragraph">
            <wp:posOffset>9525</wp:posOffset>
          </wp:positionV>
          <wp:extent cx="2296160" cy="4095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lang w:val="es-CO" w:eastAsia="es-CO"/>
      </w:rPr>
      <mc:AlternateContent>
        <mc:Choice Requires="wps">
          <w:drawing>
            <wp:anchor distT="0" distB="0" distL="114300" distR="114300" simplePos="0" relativeHeight="251663360" behindDoc="1" locked="0" layoutInCell="1" allowOverlap="1" wp14:anchorId="56FBB08D" wp14:editId="10B0FE65">
              <wp:simplePos x="0" y="0"/>
              <wp:positionH relativeFrom="column">
                <wp:posOffset>824643</wp:posOffset>
              </wp:positionH>
              <wp:positionV relativeFrom="paragraph">
                <wp:posOffset>-101771</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325F274D" w14:textId="77777777" w:rsidR="00BB219D" w:rsidRPr="00384068" w:rsidRDefault="00BB219D"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BB08D" id="_x0000_t202" coordsize="21600,21600" o:spt="202" path="m,l,21600r21600,l21600,xe">
              <v:stroke joinstyle="miter"/>
              <v:path gradientshapeok="t" o:connecttype="rect"/>
            </v:shapetype>
            <v:shape id="Text Box 1" o:spid="_x0000_s1026" type="#_x0000_t202" style="position:absolute;left:0;text-align:left;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" fillcolor="white [3201]" stroked="f" strokeweight=".5pt">
              <v:textbox>
                <w:txbxContent>
                  <w:p w14:paraId="325F274D" w14:textId="77777777" w:rsidR="00BB219D" w:rsidRPr="00384068" w:rsidRDefault="00BB219D"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0179D4C7" w14:textId="77777777" w:rsidR="00BB219D" w:rsidRPr="00384068" w:rsidRDefault="00BB219D" w:rsidP="00D01007">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39E47BE8" w14:textId="77777777" w:rsidR="00BB219D" w:rsidRPr="00566CD0" w:rsidRDefault="00BB219D"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lang w:val="es-CO" w:eastAsia="es-CO"/>
      </w:rPr>
      <mc:AlternateContent>
        <mc:Choice Requires="wps">
          <w:drawing>
            <wp:anchor distT="0" distB="0" distL="114300" distR="114300" simplePos="0" relativeHeight="251664384" behindDoc="0" locked="0" layoutInCell="1" allowOverlap="1" wp14:anchorId="711C351E" wp14:editId="622EA43A">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5D6B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0D72542B" w14:textId="77777777" w:rsidR="00BB219D" w:rsidRPr="00D01007" w:rsidRDefault="00BB219D"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6741B"/>
    <w:multiLevelType w:val="hybridMultilevel"/>
    <w:tmpl w:val="E3E8DB38"/>
    <w:lvl w:ilvl="0" w:tplc="C4BAC3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42EA2"/>
    <w:multiLevelType w:val="hybridMultilevel"/>
    <w:tmpl w:val="C8BEB4F0"/>
    <w:lvl w:ilvl="0" w:tplc="CC94FE9E">
      <w:start w:val="1"/>
      <w:numFmt w:val="upperLetter"/>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A58A3"/>
    <w:multiLevelType w:val="hybridMultilevel"/>
    <w:tmpl w:val="CF907448"/>
    <w:lvl w:ilvl="0" w:tplc="52AE471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23E0D"/>
    <w:multiLevelType w:val="multilevel"/>
    <w:tmpl w:val="655C0F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E7674D"/>
    <w:multiLevelType w:val="hybridMultilevel"/>
    <w:tmpl w:val="C376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4300F"/>
    <w:multiLevelType w:val="hybridMultilevel"/>
    <w:tmpl w:val="9FC039F8"/>
    <w:lvl w:ilvl="0" w:tplc="2C3A13DA">
      <w:start w:val="1"/>
      <w:numFmt w:val="decimal"/>
      <w:pStyle w:val="paragraphs"/>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7" w15:restartNumberingAfterBreak="0">
    <w:nsid w:val="7F635860"/>
    <w:multiLevelType w:val="hybridMultilevel"/>
    <w:tmpl w:val="23E438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7"/>
  </w:num>
  <w:num w:numId="5">
    <w:abstractNumId w:val="4"/>
  </w:num>
  <w:num w:numId="6">
    <w:abstractNumId w:val="6"/>
  </w:num>
  <w:num w:numId="7">
    <w:abstractNumId w:val="0"/>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mirrorMargins/>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F7"/>
    <w:rsid w:val="00126E0C"/>
    <w:rsid w:val="00135D1A"/>
    <w:rsid w:val="00142244"/>
    <w:rsid w:val="002001F7"/>
    <w:rsid w:val="003558E5"/>
    <w:rsid w:val="003C302A"/>
    <w:rsid w:val="00442ED4"/>
    <w:rsid w:val="005750BA"/>
    <w:rsid w:val="006828E0"/>
    <w:rsid w:val="006D53D8"/>
    <w:rsid w:val="007403CF"/>
    <w:rsid w:val="00764687"/>
    <w:rsid w:val="007B3D03"/>
    <w:rsid w:val="00AB4367"/>
    <w:rsid w:val="00AC3314"/>
    <w:rsid w:val="00B83526"/>
    <w:rsid w:val="00BB219D"/>
    <w:rsid w:val="00CD627C"/>
    <w:rsid w:val="00D01007"/>
    <w:rsid w:val="00D01A8A"/>
    <w:rsid w:val="00F50017"/>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A8340"/>
  <w15:chartTrackingRefBased/>
  <w15:docId w15:val="{1B874C02-9825-4EA5-BCC6-ABCE355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2001F7"/>
    <w:pPr>
      <w:numPr>
        <w:numId w:val="1"/>
      </w:numPr>
      <w:ind w:left="0" w:firstLine="720"/>
      <w:contextualSpacing w:val="0"/>
      <w:outlineLvl w:val="0"/>
    </w:pPr>
    <w:rPr>
      <w:rFonts w:ascii="Cambria" w:hAnsi="Cambria"/>
      <w:b/>
      <w:sz w:val="22"/>
      <w:szCs w:val="20"/>
      <w:lang w:val="es-ES_tradnl"/>
    </w:rPr>
  </w:style>
  <w:style w:type="paragraph" w:styleId="Heading2">
    <w:name w:val="heading 2"/>
    <w:basedOn w:val="ListParagraph"/>
    <w:next w:val="Normal"/>
    <w:link w:val="Heading2Char"/>
    <w:uiPriority w:val="9"/>
    <w:unhideWhenUsed/>
    <w:qFormat/>
    <w:rsid w:val="002001F7"/>
    <w:pPr>
      <w:numPr>
        <w:numId w:val="3"/>
      </w:numPr>
      <w:spacing w:before="240" w:after="240"/>
      <w:ind w:left="1440" w:hanging="720"/>
      <w:jc w:val="both"/>
      <w:outlineLvl w:val="1"/>
    </w:pPr>
    <w:rPr>
      <w:rFonts w:ascii="Cambria" w:eastAsia="Calibri" w:hAnsi="Cambria"/>
      <w:b/>
      <w:sz w:val="22"/>
      <w:szCs w:val="20"/>
      <w:lang w:val="es-ES_tradnl"/>
    </w:rPr>
  </w:style>
  <w:style w:type="paragraph" w:styleId="Heading9">
    <w:name w:val="heading 9"/>
    <w:basedOn w:val="Normal"/>
    <w:next w:val="Normal"/>
    <w:link w:val="Heading9Char"/>
    <w:uiPriority w:val="9"/>
    <w:semiHidden/>
    <w:unhideWhenUsed/>
    <w:qFormat/>
    <w:rsid w:val="002001F7"/>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2001F7"/>
    <w:rPr>
      <w:rFonts w:ascii="Cambria" w:hAnsi="Cambria"/>
      <w:b/>
      <w:szCs w:val="20"/>
      <w:lang w:val="es-ES_tradnl"/>
    </w:rPr>
  </w:style>
  <w:style w:type="character" w:customStyle="1" w:styleId="Heading2Char">
    <w:name w:val="Heading 2 Char"/>
    <w:basedOn w:val="DefaultParagraphFont"/>
    <w:link w:val="Heading2"/>
    <w:uiPriority w:val="9"/>
    <w:rsid w:val="002001F7"/>
    <w:rPr>
      <w:rFonts w:ascii="Cambria" w:eastAsia="Calibri" w:hAnsi="Cambria"/>
      <w:b/>
      <w:szCs w:val="20"/>
      <w:lang w:val="es-ES_tradnl"/>
    </w:rPr>
  </w:style>
  <w:style w:type="character" w:customStyle="1" w:styleId="Heading9Char">
    <w:name w:val="Heading 9 Char"/>
    <w:basedOn w:val="DefaultParagraphFont"/>
    <w:link w:val="Heading9"/>
    <w:uiPriority w:val="9"/>
    <w:semiHidden/>
    <w:rsid w:val="002001F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001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1F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001F7"/>
    <w:rPr>
      <w:b/>
      <w:bCs/>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34"/>
    <w:qFormat/>
    <w:rsid w:val="002001F7"/>
    <w:pPr>
      <w:spacing w:after="0" w:line="240" w:lineRule="auto"/>
      <w:ind w:left="720"/>
      <w:contextualSpacing/>
    </w:pPr>
    <w:rPr>
      <w:sz w:val="24"/>
      <w:szCs w:val="24"/>
    </w:rPr>
  </w:style>
  <w:style w:type="paragraph" w:styleId="Subtitle">
    <w:name w:val="Subtitle"/>
    <w:basedOn w:val="Normal"/>
    <w:next w:val="Normal"/>
    <w:link w:val="SubtitleChar"/>
    <w:uiPriority w:val="11"/>
    <w:qFormat/>
    <w:rsid w:val="002001F7"/>
    <w:pPr>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01F7"/>
    <w:rPr>
      <w:rFonts w:eastAsiaTheme="minorEastAsia"/>
      <w:color w:val="5A5A5A" w:themeColor="text1" w:themeTint="A5"/>
      <w:spacing w:val="15"/>
    </w:rPr>
  </w:style>
  <w:style w:type="table" w:styleId="TableGrid">
    <w:name w:val="Table Grid"/>
    <w:basedOn w:val="TableNormal"/>
    <w:uiPriority w:val="39"/>
    <w:rsid w:val="002001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001F7"/>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01F7"/>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01F7"/>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2001F7"/>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2001F7"/>
    <w:rPr>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2001F7"/>
    <w:rPr>
      <w:vertAlign w:val="superscript"/>
    </w:rPr>
  </w:style>
  <w:style w:type="paragraph" w:styleId="Caption">
    <w:name w:val="caption"/>
    <w:basedOn w:val="Normal"/>
    <w:next w:val="Normal"/>
    <w:uiPriority w:val="35"/>
    <w:unhideWhenUsed/>
    <w:qFormat/>
    <w:rsid w:val="002001F7"/>
    <w:pPr>
      <w:spacing w:after="200" w:line="240" w:lineRule="auto"/>
    </w:pPr>
    <w:rPr>
      <w:i/>
      <w:iCs/>
      <w:color w:val="44546A" w:themeColor="text2"/>
      <w:sz w:val="18"/>
      <w:szCs w:val="18"/>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locked/>
    <w:rsid w:val="002001F7"/>
    <w:rPr>
      <w:sz w:val="24"/>
      <w:szCs w:val="24"/>
    </w:rPr>
  </w:style>
  <w:style w:type="paragraph" w:customStyle="1" w:styleId="paragraphs">
    <w:name w:val="paragraphs"/>
    <w:basedOn w:val="Normal"/>
    <w:link w:val="paragraphsChar"/>
    <w:qFormat/>
    <w:rsid w:val="002001F7"/>
    <w:pPr>
      <w:numPr>
        <w:numId w:val="2"/>
      </w:numPr>
      <w:spacing w:after="240" w:line="240" w:lineRule="auto"/>
      <w:jc w:val="both"/>
    </w:pPr>
    <w:rPr>
      <w:rFonts w:ascii="Cambria" w:eastAsia="Calibri" w:hAnsi="Cambria" w:cs="Times New Roman"/>
      <w:sz w:val="20"/>
      <w:szCs w:val="20"/>
      <w:lang w:val="es-ES_tradnl"/>
    </w:rPr>
  </w:style>
  <w:style w:type="character" w:customStyle="1" w:styleId="paragraphsChar">
    <w:name w:val="paragraphs Char"/>
    <w:link w:val="paragraphs"/>
    <w:rsid w:val="002001F7"/>
    <w:rPr>
      <w:rFonts w:ascii="Cambria" w:eastAsia="Calibri" w:hAnsi="Cambria" w:cs="Times New Roman"/>
      <w:sz w:val="20"/>
      <w:szCs w:val="20"/>
      <w:lang w:val="es-ES_tradnl"/>
    </w:rPr>
  </w:style>
  <w:style w:type="paragraph" w:customStyle="1" w:styleId="Default">
    <w:name w:val="Default"/>
    <w:rsid w:val="002001F7"/>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har2">
    <w:name w:val="Char2"/>
    <w:basedOn w:val="Normal"/>
    <w:link w:val="FootnoteReference"/>
    <w:uiPriority w:val="99"/>
    <w:rsid w:val="002001F7"/>
    <w:pPr>
      <w:spacing w:line="240" w:lineRule="exact"/>
    </w:pPr>
    <w:rPr>
      <w:vertAlign w:val="superscript"/>
    </w:rPr>
  </w:style>
  <w:style w:type="table" w:styleId="GridTable4-Accent5">
    <w:name w:val="Grid Table 4 Accent 5"/>
    <w:basedOn w:val="TableNormal"/>
    <w:uiPriority w:val="49"/>
    <w:rsid w:val="002001F7"/>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enhum">
    <w:name w:val="Nenhum"/>
    <w:rsid w:val="002001F7"/>
  </w:style>
  <w:style w:type="character" w:styleId="CommentReference">
    <w:name w:val="annotation reference"/>
    <w:basedOn w:val="DefaultParagraphFont"/>
    <w:uiPriority w:val="99"/>
    <w:semiHidden/>
    <w:unhideWhenUsed/>
    <w:rsid w:val="002001F7"/>
    <w:rPr>
      <w:sz w:val="16"/>
      <w:szCs w:val="16"/>
    </w:rPr>
  </w:style>
  <w:style w:type="paragraph" w:styleId="CommentText">
    <w:name w:val="annotation text"/>
    <w:basedOn w:val="Normal"/>
    <w:link w:val="CommentTextChar"/>
    <w:uiPriority w:val="99"/>
    <w:semiHidden/>
    <w:unhideWhenUsed/>
    <w:rsid w:val="002001F7"/>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F7"/>
    <w:rPr>
      <w:sz w:val="20"/>
      <w:szCs w:val="20"/>
    </w:rPr>
  </w:style>
  <w:style w:type="paragraph" w:styleId="CommentSubject">
    <w:name w:val="annotation subject"/>
    <w:basedOn w:val="CommentText"/>
    <w:next w:val="CommentText"/>
    <w:link w:val="CommentSubjectChar"/>
    <w:uiPriority w:val="99"/>
    <w:semiHidden/>
    <w:unhideWhenUsed/>
    <w:rsid w:val="002001F7"/>
    <w:rPr>
      <w:b/>
      <w:bCs/>
    </w:rPr>
  </w:style>
  <w:style w:type="character" w:customStyle="1" w:styleId="CommentSubjectChar">
    <w:name w:val="Comment Subject Char"/>
    <w:basedOn w:val="CommentTextChar"/>
    <w:link w:val="CommentSubject"/>
    <w:uiPriority w:val="99"/>
    <w:semiHidden/>
    <w:rsid w:val="002001F7"/>
    <w:rPr>
      <w:b/>
      <w:bCs/>
      <w:sz w:val="20"/>
      <w:szCs w:val="20"/>
    </w:rPr>
  </w:style>
  <w:style w:type="paragraph" w:styleId="BalloonText">
    <w:name w:val="Balloon Text"/>
    <w:basedOn w:val="Normal"/>
    <w:link w:val="BalloonTextChar"/>
    <w:uiPriority w:val="99"/>
    <w:semiHidden/>
    <w:unhideWhenUsed/>
    <w:rsid w:val="00200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ICifuentes\Documents\CIDH-Ivonne\Informe%20Anual\2020\021121-CIDH%20Report%20Ejecucion%20Informe%20Anual%20al%2031-DEC-2020-IC.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ICifuentes\Documents\CIDH-Ivonne\Informe%20Anual\2020\021121-CIDH%20Report%20Ejecucion%20Informe%20Anual%20al%2031-DEC-2020-IC.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ICifuentes\Documents\CIDH-Ivonne\Informe%20Anual\2020\041521-CIDH%20Report%20Ejecucion%20Informe%20Anual%20al%2031-DEC-2020-I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explosion val="5"/>
            <c:extLst>
              <c:ext xmlns:c16="http://schemas.microsoft.com/office/drawing/2014/chart" uri="{C3380CC4-5D6E-409C-BE32-E72D297353CC}">
                <c16:uniqueId val="{00000000-09D2-D04B-89CE-697E1984BE4C}"/>
              </c:ext>
            </c:extLst>
          </c:dPt>
          <c:dPt>
            <c:idx val="1"/>
            <c:bubble3D val="0"/>
            <c:extLst>
              <c:ext xmlns:c16="http://schemas.microsoft.com/office/drawing/2014/chart" uri="{C3380CC4-5D6E-409C-BE32-E72D297353CC}">
                <c16:uniqueId val="{00000001-09D2-D04B-89CE-697E1984BE4C}"/>
              </c:ext>
            </c:extLst>
          </c:dPt>
          <c:dLbls>
            <c:dLbl>
              <c:idx val="0"/>
              <c:layout>
                <c:manualLayout>
                  <c:x val="0.11554613365636998"/>
                  <c:y val="-0.58033795942731237"/>
                </c:manualLayout>
              </c:layout>
              <c:spPr>
                <a:noFill/>
                <a:ln w="25400">
                  <a:noFill/>
                </a:ln>
              </c:spPr>
              <c:txPr>
                <a:bodyPr wrap="square" lIns="38100" tIns="19050" rIns="38100" bIns="19050" anchor="ctr">
                  <a:spAutoFit/>
                </a:bodyPr>
                <a:lstStyle/>
                <a:p>
                  <a:pPr>
                    <a:defRPr/>
                  </a:pPr>
                  <a:endParaRPr lang="en-CR"/>
                </a:p>
              </c:txPr>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09D2-D04B-89CE-697E1984BE4C}"/>
                </c:ext>
              </c:extLst>
            </c:dLbl>
            <c:dLbl>
              <c:idx val="1"/>
              <c:layout>
                <c:manualLayout>
                  <c:x val="-4.936338423284134E-2"/>
                  <c:y val="3.873173044004951E-2"/>
                </c:manualLayout>
              </c:layout>
              <c:spPr>
                <a:noFill/>
                <a:ln w="25400">
                  <a:noFill/>
                </a:ln>
              </c:spPr>
              <c:txPr>
                <a:bodyPr wrap="square" lIns="38100" tIns="19050" rIns="38100" bIns="19050" anchor="ctr">
                  <a:spAutoFit/>
                </a:bodyPr>
                <a:lstStyle/>
                <a:p>
                  <a:pPr>
                    <a:defRPr/>
                  </a:pPr>
                  <a:endParaRPr lang="en-CR"/>
                </a:p>
              </c:txPr>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09D2-D04B-89CE-697E1984BE4C}"/>
                </c:ext>
              </c:extLst>
            </c:dLbl>
            <c:spPr>
              <a:noFill/>
              <a:ln w="25400">
                <a:noFill/>
              </a:ln>
            </c:spPr>
            <c:dLblPos val="bestFit"/>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'[021121-CIDH Report Ejecucion Informe Anual al 31-DEC-2020-IC.xls]Figura 2-Fondos recibidos OCT20'!$A$4:$B$4</c:f>
              <c:strCache>
                <c:ptCount val="2"/>
                <c:pt idx="0">
                  <c:v>Fondo Regular </c:v>
                </c:pt>
                <c:pt idx="1">
                  <c:v>Fondos Específicos</c:v>
                </c:pt>
              </c:strCache>
            </c:strRef>
          </c:cat>
          <c:val>
            <c:numRef>
              <c:f>'[021121-CIDH Report Ejecucion Informe Anual al 31-DEC-2020-IC.xls]Figura 2-Fondos recibidos OCT20'!$A$5:$B$5</c:f>
              <c:numCache>
                <c:formatCode>_("$"* #,##0.0_);_("$"* \(#,##0.0\);_("$"* "-"??_);_(@_)</c:formatCode>
                <c:ptCount val="2"/>
                <c:pt idx="0">
                  <c:v>9119.1290000000008</c:v>
                </c:pt>
                <c:pt idx="1">
                  <c:v>6845.6587</c:v>
                </c:pt>
              </c:numCache>
            </c:numRef>
          </c:val>
          <c:extLst>
            <c:ext xmlns:c16="http://schemas.microsoft.com/office/drawing/2014/chart" uri="{C3380CC4-5D6E-409C-BE32-E72D297353CC}">
              <c16:uniqueId val="{00000002-09D2-D04B-89CE-697E1984BE4C}"/>
            </c:ext>
          </c:extLst>
        </c:ser>
        <c:dLbls>
          <c:showLegendKey val="0"/>
          <c:showVal val="0"/>
          <c:showCatName val="0"/>
          <c:showSerName val="0"/>
          <c:showPercent val="0"/>
          <c:showBubbleSize val="0"/>
          <c:showLeaderLines val="0"/>
        </c:dLbls>
        <c:firstSliceAng val="0"/>
      </c:pieChart>
      <c:spPr>
        <a:noFill/>
        <a:ln w="25400">
          <a:noFill/>
        </a:ln>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3"/>
          <c:dPt>
            <c:idx val="0"/>
            <c:bubble3D val="0"/>
            <c:extLst>
              <c:ext xmlns:c16="http://schemas.microsoft.com/office/drawing/2014/chart" uri="{C3380CC4-5D6E-409C-BE32-E72D297353CC}">
                <c16:uniqueId val="{00000000-5EFE-C648-BE21-7D10AE216396}"/>
              </c:ext>
            </c:extLst>
          </c:dPt>
          <c:dPt>
            <c:idx val="1"/>
            <c:bubble3D val="0"/>
            <c:explosion val="8"/>
            <c:extLst>
              <c:ext xmlns:c16="http://schemas.microsoft.com/office/drawing/2014/chart" uri="{C3380CC4-5D6E-409C-BE32-E72D297353CC}">
                <c16:uniqueId val="{00000001-5EFE-C648-BE21-7D10AE216396}"/>
              </c:ext>
            </c:extLst>
          </c:dPt>
          <c:dLbls>
            <c:dLbl>
              <c:idx val="0"/>
              <c:layout>
                <c:manualLayout>
                  <c:x val="-3.6192260145749902E-2"/>
                  <c:y val="-0.36173075645958463"/>
                </c:manualLayout>
              </c:layout>
              <c:spPr>
                <a:noFill/>
                <a:ln w="25400">
                  <a:noFill/>
                </a:ln>
              </c:spPr>
              <c:txPr>
                <a:bodyPr wrap="square" lIns="38100" tIns="19050" rIns="38100" bIns="19050" anchor="ctr">
                  <a:spAutoFit/>
                </a:bodyPr>
                <a:lstStyle/>
                <a:p>
                  <a:pPr>
                    <a:defRPr/>
                  </a:pPr>
                  <a:endParaRPr lang="en-CR"/>
                </a:p>
              </c:txPr>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5EFE-C648-BE21-7D10AE216396}"/>
                </c:ext>
              </c:extLst>
            </c:dLbl>
            <c:dLbl>
              <c:idx val="1"/>
              <c:layout>
                <c:manualLayout>
                  <c:x val="8.3333333333333332E-3"/>
                  <c:y val="-0.39351851851851855"/>
                </c:manualLayout>
              </c:layout>
              <c:spPr>
                <a:noFill/>
                <a:ln w="25400">
                  <a:noFill/>
                </a:ln>
              </c:spPr>
              <c:txPr>
                <a:bodyPr wrap="square" lIns="38100" tIns="19050" rIns="38100" bIns="19050" anchor="ctr">
                  <a:spAutoFit/>
                </a:bodyPr>
                <a:lstStyle/>
                <a:p>
                  <a:pPr>
                    <a:defRPr/>
                  </a:pPr>
                  <a:endParaRPr lang="en-CR"/>
                </a:p>
              </c:txPr>
              <c:dLblPos val="bestFit"/>
              <c:showLegendKey val="1"/>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5EFE-C648-BE21-7D10AE216396}"/>
                </c:ext>
              </c:extLst>
            </c:dLbl>
            <c:spPr>
              <a:noFill/>
              <a:ln w="25400">
                <a:noFill/>
              </a:ln>
            </c:spPr>
            <c:dLblPos val="outEnd"/>
            <c:showLegendKey val="1"/>
            <c:showVal val="1"/>
            <c:showCatName val="1"/>
            <c:showSerName val="0"/>
            <c:showPercent val="1"/>
            <c:showBubbleSize val="0"/>
            <c:separator>
</c:separator>
            <c:showLeaderLines val="0"/>
            <c:extLst>
              <c:ext xmlns:c15="http://schemas.microsoft.com/office/drawing/2012/chart" uri="{CE6537A1-D6FC-4f65-9D91-7224C49458BB}"/>
            </c:extLst>
          </c:dLbls>
          <c:cat>
            <c:strRef>
              <c:f>'[021121-CIDH Report Ejecucion Informe Anual al 31-DEC-2020-IC.xls]Figure 3'!$A$15:$B$15</c:f>
              <c:strCache>
                <c:ptCount val="2"/>
                <c:pt idx="0">
                  <c:v>Fondo Regular</c:v>
                </c:pt>
                <c:pt idx="1">
                  <c:v>Fondo Específico</c:v>
                </c:pt>
              </c:strCache>
            </c:strRef>
          </c:cat>
          <c:val>
            <c:numRef>
              <c:f>'[021121-CIDH Report Ejecucion Informe Anual al 31-DEC-2020-IC.xls]Figure 3'!$A$16:$B$16</c:f>
              <c:numCache>
                <c:formatCode>_("$"* #,##0.0_);_("$"* \(#,##0.0\);_("$"* "-"??_);_(@_)</c:formatCode>
                <c:ptCount val="2"/>
                <c:pt idx="0">
                  <c:v>8775.2001</c:v>
                </c:pt>
                <c:pt idx="1">
                  <c:v>7302.9499100000003</c:v>
                </c:pt>
              </c:numCache>
            </c:numRef>
          </c:val>
          <c:extLst>
            <c:ext xmlns:c16="http://schemas.microsoft.com/office/drawing/2014/chart" uri="{C3380CC4-5D6E-409C-BE32-E72D297353CC}">
              <c16:uniqueId val="{00000002-5EFE-C648-BE21-7D10AE216396}"/>
            </c:ext>
          </c:extLst>
        </c:ser>
        <c:dLbls>
          <c:showLegendKey val="0"/>
          <c:showVal val="0"/>
          <c:showCatName val="0"/>
          <c:showSerName val="0"/>
          <c:showPercent val="0"/>
          <c:showBubbleSize val="0"/>
          <c:showLeaderLines val="0"/>
        </c:dLbls>
      </c:pie3DChart>
      <c:spPr>
        <a:noFill/>
        <a:ln w="25400">
          <a:noFill/>
        </a:ln>
      </c:spPr>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15120483907814969"/>
          <c:y val="0.24254828068670403"/>
          <c:w val="0.67440391728668081"/>
          <c:h val="0.61105017514833992"/>
        </c:manualLayout>
      </c:layout>
      <c:pie3DChart>
        <c:varyColors val="1"/>
        <c:ser>
          <c:idx val="0"/>
          <c:order val="0"/>
          <c:dPt>
            <c:idx val="0"/>
            <c:bubble3D val="0"/>
            <c:extLst>
              <c:ext xmlns:c16="http://schemas.microsoft.com/office/drawing/2014/chart" uri="{C3380CC4-5D6E-409C-BE32-E72D297353CC}">
                <c16:uniqueId val="{00000000-D8FC-464B-85D8-90116C40CD4F}"/>
              </c:ext>
            </c:extLst>
          </c:dPt>
          <c:dPt>
            <c:idx val="1"/>
            <c:bubble3D val="0"/>
            <c:extLst>
              <c:ext xmlns:c16="http://schemas.microsoft.com/office/drawing/2014/chart" uri="{C3380CC4-5D6E-409C-BE32-E72D297353CC}">
                <c16:uniqueId val="{00000001-D8FC-464B-85D8-90116C40CD4F}"/>
              </c:ext>
            </c:extLst>
          </c:dPt>
          <c:dPt>
            <c:idx val="2"/>
            <c:bubble3D val="0"/>
            <c:extLst>
              <c:ext xmlns:c16="http://schemas.microsoft.com/office/drawing/2014/chart" uri="{C3380CC4-5D6E-409C-BE32-E72D297353CC}">
                <c16:uniqueId val="{00000002-D8FC-464B-85D8-90116C40CD4F}"/>
              </c:ext>
            </c:extLst>
          </c:dPt>
          <c:dPt>
            <c:idx val="3"/>
            <c:bubble3D val="0"/>
            <c:extLst>
              <c:ext xmlns:c16="http://schemas.microsoft.com/office/drawing/2014/chart" uri="{C3380CC4-5D6E-409C-BE32-E72D297353CC}">
                <c16:uniqueId val="{00000003-D8FC-464B-85D8-90116C40CD4F}"/>
              </c:ext>
            </c:extLst>
          </c:dPt>
          <c:dPt>
            <c:idx val="4"/>
            <c:bubble3D val="0"/>
            <c:extLst>
              <c:ext xmlns:c16="http://schemas.microsoft.com/office/drawing/2014/chart" uri="{C3380CC4-5D6E-409C-BE32-E72D297353CC}">
                <c16:uniqueId val="{00000004-D8FC-464B-85D8-90116C40CD4F}"/>
              </c:ext>
            </c:extLst>
          </c:dPt>
          <c:dPt>
            <c:idx val="5"/>
            <c:bubble3D val="0"/>
            <c:extLst>
              <c:ext xmlns:c16="http://schemas.microsoft.com/office/drawing/2014/chart" uri="{C3380CC4-5D6E-409C-BE32-E72D297353CC}">
                <c16:uniqueId val="{00000005-D8FC-464B-85D8-90116C40CD4F}"/>
              </c:ext>
            </c:extLst>
          </c:dPt>
          <c:dPt>
            <c:idx val="6"/>
            <c:bubble3D val="0"/>
            <c:extLst>
              <c:ext xmlns:c16="http://schemas.microsoft.com/office/drawing/2014/chart" uri="{C3380CC4-5D6E-409C-BE32-E72D297353CC}">
                <c16:uniqueId val="{00000006-D8FC-464B-85D8-90116C40CD4F}"/>
              </c:ext>
            </c:extLst>
          </c:dPt>
          <c:dPt>
            <c:idx val="7"/>
            <c:bubble3D val="0"/>
            <c:extLst>
              <c:ext xmlns:c16="http://schemas.microsoft.com/office/drawing/2014/chart" uri="{C3380CC4-5D6E-409C-BE32-E72D297353CC}">
                <c16:uniqueId val="{00000007-D8FC-464B-85D8-90116C40CD4F}"/>
              </c:ext>
            </c:extLst>
          </c:dPt>
          <c:dPt>
            <c:idx val="8"/>
            <c:bubble3D val="0"/>
            <c:extLst>
              <c:ext xmlns:c16="http://schemas.microsoft.com/office/drawing/2014/chart" uri="{C3380CC4-5D6E-409C-BE32-E72D297353CC}">
                <c16:uniqueId val="{00000008-D8FC-464B-85D8-90116C40CD4F}"/>
              </c:ext>
            </c:extLst>
          </c:dPt>
          <c:dLbls>
            <c:spPr>
              <a:noFill/>
              <a:ln>
                <a:noFill/>
              </a:ln>
              <a:effectLst/>
            </c:sp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'[041521-CIDH Report Ejecucion Informe Anual al 31-DEC-2020-IC.xls]Figure 4 final'!$A$3:$A$12</c:f>
              <c:strCache>
                <c:ptCount val="10"/>
                <c:pt idx="0">
                  <c:v>Salarios</c:v>
                </c:pt>
                <c:pt idx="1">
                  <c:v>Costos No Recurrentes (Personal)</c:v>
                </c:pt>
                <c:pt idx="2">
                  <c:v>Contratos por resultado</c:v>
                </c:pt>
                <c:pt idx="3">
                  <c:v>Becas</c:v>
                </c:pt>
                <c:pt idx="4">
                  <c:v>Viajes</c:v>
                </c:pt>
                <c:pt idx="5">
                  <c:v>Documentos</c:v>
                </c:pt>
                <c:pt idx="6">
                  <c:v>Equipos y suministros</c:v>
                </c:pt>
                <c:pt idx="7">
                  <c:v>Edificio y Mantenimiento</c:v>
                </c:pt>
                <c:pt idx="8">
                  <c:v>Otros costos</c:v>
                </c:pt>
                <c:pt idx="9">
                  <c:v>Recuperación de costos indirectos (RCI)</c:v>
                </c:pt>
              </c:strCache>
            </c:strRef>
          </c:cat>
          <c:val>
            <c:numRef>
              <c:f>'[041521-CIDH Report Ejecucion Informe Anual al 31-DEC-2020-IC.xls]Figure 4 final'!$B$3:$B$12</c:f>
              <c:numCache>
                <c:formatCode>_(* #,##0.0_);_(* \(#,##0.0\);_(* "-"??_);_(@_)</c:formatCode>
                <c:ptCount val="10"/>
                <c:pt idx="0">
                  <c:v>7106.6722099999997</c:v>
                </c:pt>
                <c:pt idx="1">
                  <c:v>23.478599999999627</c:v>
                </c:pt>
                <c:pt idx="2">
                  <c:v>6842.8620000000001</c:v>
                </c:pt>
                <c:pt idx="3">
                  <c:v>86.676000000000002</c:v>
                </c:pt>
                <c:pt idx="4">
                  <c:v>434.36090000000002</c:v>
                </c:pt>
                <c:pt idx="5">
                  <c:v>33.005800000000001</c:v>
                </c:pt>
                <c:pt idx="6">
                  <c:v>243.16460000000001</c:v>
                </c:pt>
                <c:pt idx="7">
                  <c:v>43.298699999999997</c:v>
                </c:pt>
                <c:pt idx="8">
                  <c:v>175.7</c:v>
                </c:pt>
                <c:pt idx="9">
                  <c:v>1088.9312</c:v>
                </c:pt>
              </c:numCache>
            </c:numRef>
          </c:val>
          <c:extLst>
            <c:ext xmlns:c16="http://schemas.microsoft.com/office/drawing/2014/chart" uri="{C3380CC4-5D6E-409C-BE32-E72D297353CC}">
              <c16:uniqueId val="{00000009-D8FC-464B-85D8-90116C40CD4F}"/>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0.67206</cdr:x>
      <cdr:y>0.79599</cdr:y>
    </cdr:from>
    <cdr:to>
      <cdr:x>1</cdr:x>
      <cdr:y>1</cdr:y>
    </cdr:to>
    <cdr:sp macro="" textlink="">
      <cdr:nvSpPr>
        <cdr:cNvPr id="2" name="TextBox 1"/>
        <cdr:cNvSpPr txBox="1"/>
      </cdr:nvSpPr>
      <cdr:spPr>
        <a:xfrm xmlns:a="http://schemas.openxmlformats.org/drawingml/2006/main">
          <a:off x="3162301" y="2266952"/>
          <a:ext cx="1543049" cy="581023"/>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s-CO" sz="1100" b="1"/>
            <a:t>Total: USD 15,964.8</a:t>
          </a:r>
        </a:p>
      </cdr:txBody>
    </cdr:sp>
  </cdr:relSizeAnchor>
</c:userShapes>
</file>

<file path=word/drawings/drawing2.xml><?xml version="1.0" encoding="utf-8"?>
<c:userShapes xmlns:c="http://schemas.openxmlformats.org/drawingml/2006/chart">
  <cdr:relSizeAnchor xmlns:cdr="http://schemas.openxmlformats.org/drawingml/2006/chartDrawing">
    <cdr:from>
      <cdr:x>0.60294</cdr:x>
      <cdr:y>0.84985</cdr:y>
    </cdr:from>
    <cdr:to>
      <cdr:x>1</cdr:x>
      <cdr:y>1</cdr:y>
    </cdr:to>
    <cdr:sp macro="" textlink="">
      <cdr:nvSpPr>
        <cdr:cNvPr id="3" name="TextBox 2"/>
        <cdr:cNvSpPr txBox="1"/>
      </cdr:nvSpPr>
      <cdr:spPr>
        <a:xfrm xmlns:a="http://schemas.openxmlformats.org/drawingml/2006/main">
          <a:off x="2716696" y="2840935"/>
          <a:ext cx="1789045" cy="501927"/>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CO" sz="1100" b="1"/>
            <a:t>Total: USD 16, 078.1</a:t>
          </a:r>
        </a:p>
      </cdr:txBody>
    </cdr:sp>
  </cdr:relSizeAnchor>
</c:userShapes>
</file>

<file path=word/drawings/drawing3.xml><?xml version="1.0" encoding="utf-8"?>
<c:userShapes xmlns:c="http://schemas.openxmlformats.org/drawingml/2006/chart">
  <cdr:relSizeAnchor xmlns:cdr="http://schemas.openxmlformats.org/drawingml/2006/chartDrawing">
    <cdr:from>
      <cdr:x>0.74174</cdr:x>
      <cdr:y>0.87598</cdr:y>
    </cdr:from>
    <cdr:to>
      <cdr:x>0.95299</cdr:x>
      <cdr:y>0.93463</cdr:y>
    </cdr:to>
    <cdr:pic>
      <cdr:nvPicPr>
        <cdr:cNvPr id="4" name="chart">
          <a:extLst xmlns:a="http://schemas.openxmlformats.org/drawingml/2006/main">
            <a:ext uri="{FF2B5EF4-FFF2-40B4-BE49-F238E27FC236}">
              <a16:creationId xmlns:a16="http://schemas.microsoft.com/office/drawing/2014/main" id="{BE930885-ED81-4541-8558-279F182574E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738279" y="4463861"/>
          <a:ext cx="1349486" cy="29887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112</TotalTime>
  <Pages>22</Pages>
  <Words>6447</Words>
  <Characters>36751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7</cp:revision>
  <dcterms:created xsi:type="dcterms:W3CDTF">2021-04-14T17:41:00Z</dcterms:created>
  <dcterms:modified xsi:type="dcterms:W3CDTF">2021-04-16T00:02:00Z</dcterms:modified>
</cp:coreProperties>
</file>