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63914" w14:textId="2C1E422E" w:rsidR="0070444B" w:rsidRDefault="0070444B" w:rsidP="00905480">
      <w:pPr>
        <w:spacing w:line="276" w:lineRule="auto"/>
        <w:jc w:val="center"/>
        <w:rPr>
          <w:rFonts w:ascii="Cambria" w:hAnsi="Cambria"/>
          <w:b/>
          <w:bCs/>
          <w:sz w:val="20"/>
          <w:szCs w:val="20"/>
          <w:lang w:val="es-ES"/>
        </w:rPr>
      </w:pPr>
    </w:p>
    <w:p w14:paraId="29D1BC52" w14:textId="38C6EAB0" w:rsidR="00FF51CC" w:rsidRPr="00ED01E0" w:rsidRDefault="00FF51CC" w:rsidP="00905480">
      <w:pPr>
        <w:spacing w:line="276" w:lineRule="auto"/>
        <w:jc w:val="center"/>
        <w:rPr>
          <w:rFonts w:ascii="Cambria" w:hAnsi="Cambria"/>
          <w:b/>
          <w:bCs/>
          <w:sz w:val="20"/>
          <w:szCs w:val="20"/>
          <w:lang w:val="fr-CA"/>
        </w:rPr>
      </w:pPr>
      <w:r w:rsidRPr="00746960">
        <w:rPr>
          <w:b/>
          <w:sz w:val="20"/>
          <w:szCs w:val="20"/>
          <w:lang w:val="fr"/>
        </w:rPr>
        <w:t>QUESTIONNAIRE</w:t>
      </w:r>
    </w:p>
    <w:p w14:paraId="7140E51D" w14:textId="77777777" w:rsidR="00641526" w:rsidRPr="00ED01E0" w:rsidRDefault="00641526" w:rsidP="00905480">
      <w:pPr>
        <w:spacing w:line="276" w:lineRule="auto"/>
        <w:jc w:val="center"/>
        <w:rPr>
          <w:rFonts w:ascii="Cambria" w:hAnsi="Cambria"/>
          <w:b/>
          <w:bCs/>
          <w:sz w:val="20"/>
          <w:szCs w:val="20"/>
          <w:lang w:val="fr-CA"/>
        </w:rPr>
      </w:pPr>
    </w:p>
    <w:p w14:paraId="6E326297" w14:textId="196FCB3D" w:rsidR="00FF51CC" w:rsidRPr="00ED01E0" w:rsidRDefault="00FF51CC" w:rsidP="00905480">
      <w:pPr>
        <w:spacing w:line="276" w:lineRule="auto"/>
        <w:jc w:val="center"/>
        <w:rPr>
          <w:rFonts w:ascii="Cambria" w:hAnsi="Cambria"/>
          <w:b/>
          <w:bCs/>
          <w:sz w:val="20"/>
          <w:szCs w:val="20"/>
          <w:lang w:val="fr-CA"/>
        </w:rPr>
      </w:pPr>
      <w:r w:rsidRPr="00746960">
        <w:rPr>
          <w:b/>
          <w:sz w:val="20"/>
          <w:szCs w:val="20"/>
          <w:lang w:val="fr"/>
        </w:rPr>
        <w:t>PAUVRETÉ, CHANGEMENT CLIMATIQUE ET DESC EN AMÉRIQUE CENTRALE ET AU MEXIQUE, DANS LE CONTEXTE DE LA MOBILITÉ HUMAINE</w:t>
      </w:r>
    </w:p>
    <w:p w14:paraId="1DFD1BAA" w14:textId="77777777" w:rsidR="00FF51CC" w:rsidRPr="00ED01E0" w:rsidRDefault="00FF51CC" w:rsidP="00905480">
      <w:pPr>
        <w:spacing w:line="276" w:lineRule="auto"/>
        <w:jc w:val="both"/>
        <w:rPr>
          <w:rFonts w:ascii="Cambria" w:hAnsi="Cambria"/>
          <w:sz w:val="20"/>
          <w:szCs w:val="20"/>
          <w:lang w:val="fr-CA"/>
        </w:rPr>
      </w:pPr>
      <w:r w:rsidRPr="00ED01E0">
        <w:rPr>
          <w:rFonts w:ascii="Cambria" w:hAnsi="Cambria"/>
          <w:sz w:val="20"/>
          <w:szCs w:val="20"/>
          <w:lang w:val="fr-CA"/>
        </w:rPr>
        <w:t xml:space="preserve"> </w:t>
      </w:r>
    </w:p>
    <w:p w14:paraId="121B1650" w14:textId="2DD25E60" w:rsidR="00FF51CC" w:rsidRPr="00C14759" w:rsidRDefault="00FF51CC" w:rsidP="00C14759">
      <w:pPr>
        <w:pStyle w:val="ListParagraph"/>
        <w:numPr>
          <w:ilvl w:val="0"/>
          <w:numId w:val="6"/>
        </w:numPr>
        <w:spacing w:line="276" w:lineRule="auto"/>
        <w:jc w:val="both"/>
        <w:rPr>
          <w:rFonts w:ascii="Cambria" w:hAnsi="Cambria"/>
          <w:b/>
          <w:bCs/>
          <w:sz w:val="20"/>
          <w:szCs w:val="20"/>
          <w:lang w:val="es-ES"/>
        </w:rPr>
      </w:pPr>
      <w:r w:rsidRPr="00C14759">
        <w:rPr>
          <w:b/>
          <w:sz w:val="20"/>
          <w:szCs w:val="20"/>
          <w:lang w:val="fr"/>
        </w:rPr>
        <w:t>Présentation et objectif</w:t>
      </w:r>
    </w:p>
    <w:p w14:paraId="3433AE77" w14:textId="77777777" w:rsidR="00FF51CC" w:rsidRPr="00746960" w:rsidRDefault="00FF51CC" w:rsidP="00905480">
      <w:pPr>
        <w:spacing w:line="276" w:lineRule="auto"/>
        <w:jc w:val="both"/>
        <w:rPr>
          <w:rFonts w:ascii="Cambria" w:hAnsi="Cambria"/>
          <w:sz w:val="20"/>
          <w:szCs w:val="20"/>
          <w:lang w:val="es-ES"/>
        </w:rPr>
      </w:pPr>
    </w:p>
    <w:p w14:paraId="3DB8D5EF" w14:textId="77931AC4" w:rsidR="00FF51CC" w:rsidRPr="00ED01E0" w:rsidRDefault="00FF51CC" w:rsidP="00905480">
      <w:pPr>
        <w:spacing w:line="276" w:lineRule="auto"/>
        <w:jc w:val="both"/>
        <w:rPr>
          <w:rFonts w:ascii="Cambria" w:hAnsi="Cambria"/>
          <w:sz w:val="20"/>
          <w:szCs w:val="20"/>
          <w:lang w:val="fr-CA"/>
        </w:rPr>
      </w:pPr>
      <w:r w:rsidRPr="00746960">
        <w:rPr>
          <w:sz w:val="20"/>
          <w:szCs w:val="20"/>
          <w:lang w:val="fr"/>
        </w:rPr>
        <w:t xml:space="preserve">Le Bureau du Rapporteur spécial sur les droits économiques, sociaux, culturels et environnementaux (DESC) de la Commission interaméricaine des droits de l’homme (CIDH) préparera un rapport thématique sur la pauvreté, le changement climatique et les DESC en Amérique centrale et au Mexique, dans le contexte de la mobilité humaine. L’objectif du rapport est de faire un diagnostic complet des raisons sous-jacentes à la mobilité humaine dans la sous-région du point de vue de la garantie des DESC, avec un accent particulier sur la dimension de la pauvreté, des inégalités et du changement climatique. </w:t>
      </w:r>
      <w:r w:rsidR="77E543DB" w:rsidRPr="6EE5D78B">
        <w:rPr>
          <w:sz w:val="20"/>
          <w:szCs w:val="20"/>
          <w:lang w:val="fr"/>
        </w:rPr>
        <w:t xml:space="preserve"> Le SRESCER considère que </w:t>
      </w:r>
      <w:r w:rsidR="77E543DB" w:rsidRPr="3E0FF395">
        <w:rPr>
          <w:sz w:val="20"/>
          <w:szCs w:val="20"/>
          <w:lang w:val="fr"/>
        </w:rPr>
        <w:t>ces</w:t>
      </w:r>
      <w:r w:rsidR="77E543DB" w:rsidRPr="6EE5D78B">
        <w:rPr>
          <w:sz w:val="20"/>
          <w:szCs w:val="20"/>
          <w:lang w:val="fr"/>
        </w:rPr>
        <w:t xml:space="preserve"> résultats </w:t>
      </w:r>
      <w:r w:rsidR="00EE318C" w:rsidRPr="000D60B9">
        <w:rPr>
          <w:sz w:val="20"/>
          <w:szCs w:val="20"/>
          <w:lang w:val="fr"/>
        </w:rPr>
        <w:t>contribueraient au diagnostic de la situation sous un angle nouveau et déterminé, qui, en plus d’identifier les problèmes, peut également contribuer à des solutions à partir d’une approche holistique des droits de l’homme.</w:t>
      </w:r>
      <w:r>
        <w:rPr>
          <w:lang w:val="fr"/>
        </w:rPr>
        <w:t xml:space="preserve"> </w:t>
      </w:r>
      <w:r w:rsidR="6A8FF0CF" w:rsidRPr="17CA5837">
        <w:rPr>
          <w:sz w:val="20"/>
          <w:szCs w:val="20"/>
          <w:lang w:val="fr"/>
        </w:rPr>
        <w:t xml:space="preserve"> À cette fin, le rapport cherche à systématiser </w:t>
      </w:r>
      <w:r>
        <w:rPr>
          <w:lang w:val="fr"/>
        </w:rPr>
        <w:t xml:space="preserve"> et à identifier </w:t>
      </w:r>
      <w:r w:rsidR="64AFD445" w:rsidRPr="0097362E">
        <w:rPr>
          <w:sz w:val="20"/>
          <w:szCs w:val="20"/>
          <w:lang w:val="fr"/>
        </w:rPr>
        <w:t>comment ces inégalités et les défis pour la réalisation des DESC sont encadrés dans les contextes complexes des mouvements massifs de personnes dans</w:t>
      </w:r>
      <w:r>
        <w:rPr>
          <w:lang w:val="fr"/>
        </w:rPr>
        <w:t xml:space="preserve"> les </w:t>
      </w:r>
      <w:r w:rsidR="002D2D83" w:rsidRPr="00746960">
        <w:rPr>
          <w:sz w:val="20"/>
          <w:szCs w:val="20"/>
          <w:lang w:val="fr"/>
        </w:rPr>
        <w:t xml:space="preserve"> pays d’Amérique centrale et du Mexique, ainsi qu’à</w:t>
      </w:r>
      <w:r w:rsidR="007627E4">
        <w:rPr>
          <w:sz w:val="20"/>
          <w:szCs w:val="20"/>
          <w:lang w:val="fr"/>
        </w:rPr>
        <w:t xml:space="preserve"> identifier </w:t>
      </w:r>
      <w:r>
        <w:rPr>
          <w:lang w:val="fr"/>
        </w:rPr>
        <w:t xml:space="preserve"> les </w:t>
      </w:r>
      <w:r w:rsidRPr="00746960">
        <w:rPr>
          <w:sz w:val="20"/>
          <w:szCs w:val="20"/>
          <w:lang w:val="fr"/>
        </w:rPr>
        <w:t xml:space="preserve">obligations spécifiques des États </w:t>
      </w:r>
      <w:r>
        <w:rPr>
          <w:lang w:val="fr"/>
        </w:rPr>
        <w:t xml:space="preserve"> pour  </w:t>
      </w:r>
      <w:r w:rsidR="508E6EAD" w:rsidRPr="6A14C448">
        <w:rPr>
          <w:sz w:val="20"/>
          <w:szCs w:val="20"/>
          <w:lang w:val="fr"/>
        </w:rPr>
        <w:t>les garantir</w:t>
      </w:r>
      <w:r w:rsidR="6F718BD1" w:rsidRPr="3EF93F07">
        <w:rPr>
          <w:sz w:val="20"/>
          <w:szCs w:val="20"/>
          <w:lang w:val="fr"/>
        </w:rPr>
        <w:t>,</w:t>
      </w:r>
      <w:r w:rsidRPr="00746960">
        <w:rPr>
          <w:sz w:val="20"/>
          <w:szCs w:val="20"/>
          <w:lang w:val="fr"/>
        </w:rPr>
        <w:t xml:space="preserve"> en particulier </w:t>
      </w:r>
      <w:r w:rsidR="0639BD00" w:rsidRPr="594AEAC6">
        <w:rPr>
          <w:sz w:val="20"/>
          <w:szCs w:val="20"/>
          <w:lang w:val="fr"/>
        </w:rPr>
        <w:t xml:space="preserve"> </w:t>
      </w:r>
      <w:r w:rsidR="5D3F8F8C" w:rsidRPr="22A56719">
        <w:rPr>
          <w:sz w:val="20"/>
          <w:szCs w:val="20"/>
          <w:lang w:val="fr"/>
        </w:rPr>
        <w:t>pour</w:t>
      </w:r>
      <w:r w:rsidRPr="00746960">
        <w:rPr>
          <w:sz w:val="20"/>
          <w:szCs w:val="20"/>
          <w:lang w:val="fr"/>
        </w:rPr>
        <w:t xml:space="preserve">  Les personnes qui sont en </w:t>
      </w:r>
      <w:r w:rsidR="549BE4A8" w:rsidRPr="1545B49B">
        <w:rPr>
          <w:sz w:val="20"/>
          <w:szCs w:val="20"/>
          <w:lang w:val="fr"/>
        </w:rPr>
        <w:t>situation</w:t>
      </w:r>
      <w:r w:rsidRPr="00746960">
        <w:rPr>
          <w:sz w:val="20"/>
          <w:szCs w:val="20"/>
          <w:lang w:val="fr"/>
        </w:rPr>
        <w:t xml:space="preserve"> de mobilité humaine.</w:t>
      </w:r>
    </w:p>
    <w:p w14:paraId="095E7C12" w14:textId="77777777" w:rsidR="00FF51CC" w:rsidRPr="00ED01E0" w:rsidRDefault="00FF51CC" w:rsidP="00905480">
      <w:pPr>
        <w:spacing w:line="276" w:lineRule="auto"/>
        <w:jc w:val="both"/>
        <w:rPr>
          <w:rFonts w:ascii="Cambria" w:hAnsi="Cambria"/>
          <w:sz w:val="20"/>
          <w:szCs w:val="20"/>
          <w:lang w:val="fr-CA"/>
        </w:rPr>
      </w:pPr>
    </w:p>
    <w:p w14:paraId="62E59D74" w14:textId="5F336BE9" w:rsidR="00837BA7" w:rsidRPr="00ED01E0" w:rsidRDefault="007705DD" w:rsidP="00905480">
      <w:pPr>
        <w:spacing w:line="276" w:lineRule="auto"/>
        <w:jc w:val="both"/>
        <w:rPr>
          <w:rFonts w:ascii="Cambria" w:hAnsi="Cambria"/>
          <w:sz w:val="20"/>
          <w:szCs w:val="20"/>
          <w:lang w:val="fr-CA"/>
        </w:rPr>
      </w:pPr>
      <w:r w:rsidRPr="00746960">
        <w:rPr>
          <w:sz w:val="20"/>
          <w:szCs w:val="20"/>
          <w:lang w:val="fr"/>
        </w:rPr>
        <w:t xml:space="preserve">La pauvreté, l’inégalité et les limitations dans l’accès et la jouissance des DESC sont des réalités courantes dans les pays d’Amérique centrale et du Mexique, qui ont entraîné un manque de possibilités de développement humain, aggravé par la pandémie et la crise climatique, et dans cette mesure sont actuellement l’une des principales causes sous-jacentes des grands mouvements de population dans cette sous-région. Dans le même temps, la région est confrontée à de sérieux défis face au développement humain, compte tenu des indices disponibles les plus pertinents, </w:t>
      </w:r>
      <w:r w:rsidR="006930AC">
        <w:rPr>
          <w:rStyle w:val="FootnoteReference"/>
          <w:sz w:val="20"/>
          <w:szCs w:val="20"/>
          <w:lang w:val="fr"/>
        </w:rPr>
        <w:footnoteReference w:id="2"/>
      </w:r>
      <w:r w:rsidR="00327415">
        <w:rPr>
          <w:sz w:val="20"/>
          <w:szCs w:val="20"/>
          <w:lang w:val="fr"/>
        </w:rPr>
        <w:t xml:space="preserve">tels que </w:t>
      </w:r>
      <w:r w:rsidR="00FF51CC" w:rsidRPr="00746960">
        <w:rPr>
          <w:sz w:val="20"/>
          <w:szCs w:val="20"/>
          <w:lang w:val="fr"/>
        </w:rPr>
        <w:t>ceux qui mesurent le développement humain (IDH), les inégalités (GINI), l’éducation (PISA), la corruption (IPC), la liberté économique (FE) et la performance du PIB, entre autres. L’analyse intersectionnelle de ces indices tient compte de la situation socioéconomique actuelle de la sous-région, ainsi que de la faible composition de la matrice de production et de travail qui ne soutiendrait pas la croissance et l’expansion des secteurs à forte productivité</w:t>
      </w:r>
      <w:r>
        <w:rPr>
          <w:lang w:val="fr"/>
        </w:rPr>
        <w:t xml:space="preserve">, </w:t>
      </w:r>
      <w:r w:rsidR="00B52AAF" w:rsidRPr="00746960">
        <w:rPr>
          <w:rStyle w:val="FootnoteReference"/>
          <w:sz w:val="20"/>
          <w:szCs w:val="20"/>
          <w:lang w:val="fr"/>
        </w:rPr>
        <w:footnoteReference w:id="3"/>
      </w:r>
      <w:r w:rsidR="00B52AAF" w:rsidRPr="00746960">
        <w:rPr>
          <w:rStyle w:val="FootnoteReference"/>
          <w:sz w:val="20"/>
          <w:szCs w:val="20"/>
          <w:lang w:val="fr"/>
        </w:rPr>
        <w:footnoteReference w:id="4"/>
      </w:r>
      <w:r w:rsidR="00B52AAF" w:rsidRPr="00746960">
        <w:rPr>
          <w:rStyle w:val="FootnoteReference"/>
          <w:sz w:val="20"/>
          <w:szCs w:val="20"/>
          <w:lang w:val="fr"/>
        </w:rPr>
        <w:footnoteReference w:id="5"/>
      </w:r>
      <w:r w:rsidR="00B52AAF" w:rsidRPr="00746960">
        <w:rPr>
          <w:rStyle w:val="FootnoteReference"/>
          <w:sz w:val="20"/>
          <w:szCs w:val="20"/>
          <w:lang w:val="fr"/>
        </w:rPr>
        <w:footnoteReference w:id="6"/>
      </w:r>
      <w:r w:rsidR="00286EF7" w:rsidRPr="00746960">
        <w:rPr>
          <w:rStyle w:val="FootnoteReference"/>
          <w:sz w:val="20"/>
          <w:szCs w:val="20"/>
          <w:lang w:val="fr"/>
        </w:rPr>
        <w:footnoteReference w:id="7"/>
      </w:r>
      <w:r w:rsidR="00286EF7" w:rsidRPr="00746960">
        <w:rPr>
          <w:rStyle w:val="FootnoteReference"/>
          <w:sz w:val="20"/>
          <w:szCs w:val="20"/>
          <w:lang w:val="fr"/>
        </w:rPr>
        <w:footnoteReference w:id="8"/>
      </w:r>
      <w:r w:rsidR="00913A32">
        <w:rPr>
          <w:sz w:val="20"/>
          <w:szCs w:val="20"/>
          <w:lang w:val="fr"/>
        </w:rPr>
        <w:t xml:space="preserve"> mais, au contraire, tendrait à accroître les inégalités et les niveaux de pauvreté</w:t>
      </w:r>
      <w:r w:rsidR="00327415">
        <w:rPr>
          <w:rStyle w:val="FootnoteReference"/>
          <w:sz w:val="20"/>
          <w:szCs w:val="20"/>
          <w:lang w:val="fr"/>
        </w:rPr>
        <w:footnoteReference w:id="9"/>
      </w:r>
      <w:r w:rsidR="00837BA7" w:rsidRPr="00746960">
        <w:rPr>
          <w:sz w:val="20"/>
          <w:szCs w:val="20"/>
          <w:lang w:val="fr"/>
        </w:rPr>
        <w:t>.</w:t>
      </w:r>
    </w:p>
    <w:p w14:paraId="40913DD0" w14:textId="77777777" w:rsidR="00837BA7" w:rsidRPr="00ED01E0" w:rsidRDefault="00837BA7" w:rsidP="00905480">
      <w:pPr>
        <w:spacing w:line="276" w:lineRule="auto"/>
        <w:jc w:val="both"/>
        <w:rPr>
          <w:rFonts w:ascii="Cambria" w:hAnsi="Cambria"/>
          <w:sz w:val="20"/>
          <w:szCs w:val="20"/>
          <w:lang w:val="fr-CA"/>
        </w:rPr>
      </w:pPr>
    </w:p>
    <w:p w14:paraId="4EA2AB8A" w14:textId="1C03A0EE" w:rsidR="002D2D83" w:rsidRPr="00ED01E0" w:rsidRDefault="00913A32" w:rsidP="00905480">
      <w:pPr>
        <w:spacing w:line="276" w:lineRule="auto"/>
        <w:jc w:val="both"/>
        <w:rPr>
          <w:rFonts w:ascii="Cambria" w:hAnsi="Cambria"/>
          <w:sz w:val="20"/>
          <w:szCs w:val="20"/>
          <w:lang w:val="fr-CA"/>
        </w:rPr>
      </w:pPr>
      <w:r>
        <w:rPr>
          <w:sz w:val="20"/>
          <w:szCs w:val="20"/>
          <w:lang w:val="fr"/>
        </w:rPr>
        <w:t xml:space="preserve">Pour sa part, </w:t>
      </w:r>
      <w:r w:rsidR="148805DE" w:rsidRPr="6B5CF299">
        <w:rPr>
          <w:sz w:val="20"/>
          <w:szCs w:val="20"/>
          <w:lang w:val="fr"/>
        </w:rPr>
        <w:t>l’urgence</w:t>
      </w:r>
      <w:r>
        <w:rPr>
          <w:lang w:val="fr"/>
        </w:rPr>
        <w:t xml:space="preserve"> </w:t>
      </w:r>
      <w:r w:rsidR="00837BA7" w:rsidRPr="00746960">
        <w:rPr>
          <w:sz w:val="20"/>
          <w:szCs w:val="20"/>
          <w:lang w:val="fr"/>
        </w:rPr>
        <w:t xml:space="preserve"> climatique </w:t>
      </w:r>
      <w:r w:rsidR="48CCB7B2" w:rsidRPr="179E9AE0">
        <w:rPr>
          <w:sz w:val="20"/>
          <w:szCs w:val="20"/>
          <w:lang w:val="fr"/>
        </w:rPr>
        <w:t>génère également</w:t>
      </w:r>
      <w:r>
        <w:rPr>
          <w:lang w:val="fr"/>
        </w:rPr>
        <w:t xml:space="preserve"> des </w:t>
      </w:r>
      <w:r w:rsidR="00837BA7" w:rsidRPr="00746960">
        <w:rPr>
          <w:sz w:val="20"/>
          <w:szCs w:val="20"/>
          <w:lang w:val="fr"/>
        </w:rPr>
        <w:t xml:space="preserve"> effets directs et indirects sur la mobilité humaine, soit à la suite de catastrophes naturelles, soit d’impacts</w:t>
      </w:r>
      <w:r>
        <w:rPr>
          <w:lang w:val="fr"/>
        </w:rPr>
        <w:t xml:space="preserve"> </w:t>
      </w:r>
      <w:r w:rsidR="006147C3">
        <w:rPr>
          <w:sz w:val="20"/>
          <w:szCs w:val="20"/>
          <w:lang w:val="fr"/>
        </w:rPr>
        <w:t>à évolution lente,</w:t>
      </w:r>
      <w:r w:rsidR="00327415">
        <w:rPr>
          <w:sz w:val="20"/>
          <w:szCs w:val="20"/>
          <w:lang w:val="fr"/>
        </w:rPr>
        <w:t xml:space="preserve"> </w:t>
      </w:r>
      <w:r>
        <w:rPr>
          <w:lang w:val="fr"/>
        </w:rPr>
        <w:t xml:space="preserve"> qui se traduisent </w:t>
      </w:r>
      <w:r w:rsidR="00837BA7" w:rsidRPr="00746960">
        <w:rPr>
          <w:sz w:val="20"/>
          <w:szCs w:val="20"/>
          <w:lang w:val="fr"/>
        </w:rPr>
        <w:t xml:space="preserve"> par les changements </w:t>
      </w:r>
      <w:r w:rsidR="00837BA7" w:rsidRPr="00746960">
        <w:rPr>
          <w:sz w:val="20"/>
          <w:szCs w:val="20"/>
          <w:lang w:val="fr"/>
        </w:rPr>
        <w:lastRenderedPageBreak/>
        <w:t>brusques des</w:t>
      </w:r>
      <w:r w:rsidR="006147C3">
        <w:rPr>
          <w:sz w:val="20"/>
          <w:szCs w:val="20"/>
          <w:lang w:val="fr"/>
        </w:rPr>
        <w:t xml:space="preserve"> phénomènes</w:t>
      </w:r>
      <w:r w:rsidR="00837BA7" w:rsidRPr="00746960">
        <w:rPr>
          <w:sz w:val="20"/>
          <w:szCs w:val="20"/>
          <w:lang w:val="fr"/>
        </w:rPr>
        <w:t xml:space="preserve">  climatiques</w:t>
      </w:r>
      <w:r w:rsidR="00081017">
        <w:rPr>
          <w:sz w:val="20"/>
          <w:szCs w:val="20"/>
          <w:lang w:val="fr"/>
        </w:rPr>
        <w:t xml:space="preserve"> ou </w:t>
      </w:r>
      <w:r w:rsidR="00837BA7" w:rsidRPr="00746960">
        <w:rPr>
          <w:sz w:val="20"/>
          <w:szCs w:val="20"/>
          <w:lang w:val="fr"/>
        </w:rPr>
        <w:t xml:space="preserve"> qui ont une incidence sur la qualité du sol, de l’eau et de l’air et qui ont une incidence directe sur la production économique des cultures, des pêches et du bétail.</w:t>
      </w:r>
      <w:r>
        <w:rPr>
          <w:lang w:val="fr"/>
        </w:rPr>
        <w:t xml:space="preserve"> </w:t>
      </w:r>
      <w:r w:rsidR="009F5076">
        <w:rPr>
          <w:sz w:val="20"/>
          <w:szCs w:val="20"/>
          <w:lang w:val="fr"/>
        </w:rPr>
        <w:t xml:space="preserve"> À cet égard</w:t>
      </w:r>
      <w:r w:rsidR="34280BD7" w:rsidRPr="194E0F10">
        <w:rPr>
          <w:sz w:val="20"/>
          <w:szCs w:val="20"/>
          <w:lang w:val="fr"/>
        </w:rPr>
        <w:t xml:space="preserve">, la Commission </w:t>
      </w:r>
      <w:r w:rsidR="34280BD7" w:rsidRPr="2C7EE181">
        <w:rPr>
          <w:sz w:val="20"/>
          <w:szCs w:val="20"/>
          <w:lang w:val="fr"/>
        </w:rPr>
        <w:t xml:space="preserve">et </w:t>
      </w:r>
      <w:r>
        <w:rPr>
          <w:lang w:val="fr"/>
        </w:rPr>
        <w:t xml:space="preserve"> le </w:t>
      </w:r>
      <w:r w:rsidR="34280BD7" w:rsidRPr="0DF1C44D">
        <w:rPr>
          <w:sz w:val="20"/>
          <w:szCs w:val="20"/>
          <w:lang w:val="fr"/>
        </w:rPr>
        <w:t xml:space="preserve">SRESCER ont </w:t>
      </w:r>
      <w:r>
        <w:rPr>
          <w:lang w:val="fr"/>
        </w:rPr>
        <w:t xml:space="preserve"> suivi de </w:t>
      </w:r>
      <w:r w:rsidR="34280BD7" w:rsidRPr="07CF9914">
        <w:rPr>
          <w:sz w:val="20"/>
          <w:szCs w:val="20"/>
          <w:lang w:val="fr"/>
        </w:rPr>
        <w:t>près</w:t>
      </w:r>
      <w:r>
        <w:rPr>
          <w:lang w:val="fr"/>
        </w:rPr>
        <w:t xml:space="preserve"> les </w:t>
      </w:r>
      <w:r w:rsidR="34280BD7" w:rsidRPr="194E0F10">
        <w:rPr>
          <w:sz w:val="20"/>
          <w:szCs w:val="20"/>
          <w:lang w:val="fr"/>
        </w:rPr>
        <w:t xml:space="preserve"> effets </w:t>
      </w:r>
      <w:r w:rsidR="34280BD7" w:rsidRPr="7B260018">
        <w:rPr>
          <w:sz w:val="20"/>
          <w:szCs w:val="20"/>
          <w:lang w:val="fr"/>
        </w:rPr>
        <w:t>disproportionnés</w:t>
      </w:r>
      <w:r w:rsidR="34280BD7" w:rsidRPr="194E0F10">
        <w:rPr>
          <w:sz w:val="20"/>
          <w:szCs w:val="20"/>
          <w:lang w:val="fr"/>
        </w:rPr>
        <w:t xml:space="preserve"> de l’urgence climatique sur les pays d’Amérique centrale. Selon la CEPALC, il a été constaté que l’intensité et la fréquence accrue des tempêtes tropicales</w:t>
      </w:r>
      <w:r>
        <w:rPr>
          <w:lang w:val="fr"/>
        </w:rPr>
        <w:t xml:space="preserve">, des </w:t>
      </w:r>
      <w:r w:rsidR="34280BD7" w:rsidRPr="194E0F10">
        <w:rPr>
          <w:sz w:val="20"/>
          <w:szCs w:val="20"/>
          <w:lang w:val="fr"/>
        </w:rPr>
        <w:t>ouragans et des sécheresses prolongées ont affecté les modes de vie des populations de cette région en provoquant des déplacements internes dus au manque de possibilités et à la destruction des infrastructures, entre autres facteurs. Dans cette mesure, des questions telles que</w:t>
      </w:r>
      <w:r>
        <w:rPr>
          <w:lang w:val="fr"/>
        </w:rPr>
        <w:t xml:space="preserve"> la </w:t>
      </w:r>
      <w:r w:rsidR="34280BD7" w:rsidRPr="7A678CD4">
        <w:rPr>
          <w:sz w:val="20"/>
          <w:szCs w:val="20"/>
          <w:lang w:val="fr"/>
        </w:rPr>
        <w:t xml:space="preserve"> crise alimentaire</w:t>
      </w:r>
      <w:r>
        <w:rPr>
          <w:lang w:val="fr"/>
        </w:rPr>
        <w:t xml:space="preserve">, la question de la mobilité humaine et des inégalités et les </w:t>
      </w:r>
      <w:r w:rsidR="009F5076" w:rsidRPr="194E0F10">
        <w:rPr>
          <w:sz w:val="20"/>
          <w:szCs w:val="20"/>
          <w:lang w:val="fr"/>
        </w:rPr>
        <w:t xml:space="preserve"> taux de pauvreté pourraient être aggravées de manière disproportionnée, mettant en péril la résilience et l’adaptation de ces pays pour améliorer les conditions de vie des personnes qui les habitent</w:t>
      </w:r>
      <w:r w:rsidRPr="7A678CD4">
        <w:rPr>
          <w:rStyle w:val="FootnoteReference"/>
          <w:sz w:val="20"/>
          <w:szCs w:val="20"/>
          <w:lang w:val="fr"/>
        </w:rPr>
        <w:footnoteReference w:id="10"/>
      </w:r>
      <w:r w:rsidR="44598CAA" w:rsidRPr="7A678CD4">
        <w:rPr>
          <w:sz w:val="20"/>
          <w:szCs w:val="20"/>
          <w:lang w:val="fr"/>
        </w:rPr>
        <w:t>.</w:t>
      </w:r>
    </w:p>
    <w:p w14:paraId="09FF9E0C" w14:textId="77777777" w:rsidR="00207E79" w:rsidRPr="00ED01E0" w:rsidRDefault="00207E79" w:rsidP="002D2D83">
      <w:pPr>
        <w:spacing w:line="276" w:lineRule="auto"/>
        <w:jc w:val="both"/>
        <w:rPr>
          <w:rFonts w:ascii="Cambria" w:hAnsi="Cambria"/>
          <w:sz w:val="20"/>
          <w:szCs w:val="20"/>
          <w:lang w:val="fr-CA"/>
        </w:rPr>
      </w:pPr>
    </w:p>
    <w:p w14:paraId="639DC25C" w14:textId="3C4201AF" w:rsidR="002D2D83" w:rsidRPr="00ED01E0" w:rsidRDefault="240AD68F" w:rsidP="00357181">
      <w:pPr>
        <w:spacing w:line="276" w:lineRule="auto"/>
        <w:jc w:val="both"/>
        <w:rPr>
          <w:rFonts w:ascii="Cambria" w:hAnsi="Cambria"/>
          <w:sz w:val="20"/>
          <w:szCs w:val="20"/>
          <w:lang w:val="fr-CA"/>
        </w:rPr>
      </w:pPr>
      <w:r w:rsidRPr="00746960">
        <w:rPr>
          <w:sz w:val="20"/>
          <w:szCs w:val="20"/>
          <w:lang w:val="fr"/>
        </w:rPr>
        <w:t xml:space="preserve">En conséquence, les tendances des flux de mobilité humaine dans la région et la sous-région n’ont cessé de s’accentuer ces dernières années, non seulement en raison de l’instabilité politique et des niveaux de violence et d’insécurité des citoyens enregistrés au cours des dernières décennies, mais aussi en raison de </w:t>
      </w:r>
      <w:r w:rsidR="001313DA">
        <w:rPr>
          <w:sz w:val="20"/>
          <w:szCs w:val="20"/>
          <w:lang w:val="fr"/>
        </w:rPr>
        <w:t xml:space="preserve">facteurs liés à </w:t>
      </w:r>
      <w:r>
        <w:rPr>
          <w:lang w:val="fr"/>
        </w:rPr>
        <w:t xml:space="preserve"> la </w:t>
      </w:r>
      <w:r w:rsidR="00357181" w:rsidRPr="00746960">
        <w:rPr>
          <w:sz w:val="20"/>
          <w:szCs w:val="20"/>
          <w:lang w:val="fr"/>
        </w:rPr>
        <w:t xml:space="preserve">pauvreté, au sous-développement et à la faible croissance économique. Par conséquent, l’absence de garantie dans l’accès et la jouissance des DESC et l’absence de perspectives d’amélioration des conditions de base du développement humain dans les États d’origine, ajoutent aux </w:t>
      </w:r>
      <w:r w:rsidR="00327415">
        <w:rPr>
          <w:rStyle w:val="FootnoteReference"/>
          <w:sz w:val="20"/>
          <w:szCs w:val="20"/>
          <w:lang w:val="fr"/>
        </w:rPr>
        <w:footnoteReference w:id="11"/>
      </w:r>
      <w:r w:rsidR="0001460E">
        <w:rPr>
          <w:sz w:val="20"/>
          <w:szCs w:val="20"/>
          <w:lang w:val="fr"/>
        </w:rPr>
        <w:t>principales</w:t>
      </w:r>
      <w:r w:rsidR="00357181" w:rsidRPr="00746960">
        <w:rPr>
          <w:sz w:val="20"/>
          <w:szCs w:val="20"/>
          <w:lang w:val="fr"/>
        </w:rPr>
        <w:t xml:space="preserve"> causes de la mobilité humaine dans cette région.</w:t>
      </w:r>
    </w:p>
    <w:p w14:paraId="63BA0B5D" w14:textId="77777777" w:rsidR="002D2D83" w:rsidRPr="00ED01E0" w:rsidRDefault="002D2D83" w:rsidP="00905480">
      <w:pPr>
        <w:spacing w:line="276" w:lineRule="auto"/>
        <w:jc w:val="both"/>
        <w:rPr>
          <w:rFonts w:ascii="Cambria" w:hAnsi="Cambria"/>
          <w:sz w:val="20"/>
          <w:szCs w:val="20"/>
          <w:lang w:val="fr-CA"/>
        </w:rPr>
      </w:pPr>
    </w:p>
    <w:p w14:paraId="2159D71B" w14:textId="77777777" w:rsidR="00931833" w:rsidRPr="00ED01E0" w:rsidRDefault="00913A32" w:rsidP="00905480">
      <w:pPr>
        <w:spacing w:line="276" w:lineRule="auto"/>
        <w:jc w:val="both"/>
        <w:rPr>
          <w:rFonts w:ascii="Cambria" w:hAnsi="Cambria"/>
          <w:sz w:val="20"/>
          <w:szCs w:val="20"/>
          <w:lang w:val="fr-CA"/>
        </w:rPr>
      </w:pPr>
      <w:r>
        <w:rPr>
          <w:sz w:val="20"/>
          <w:szCs w:val="20"/>
          <w:lang w:val="fr"/>
        </w:rPr>
        <w:t>Ces</w:t>
      </w:r>
      <w:r w:rsidR="00F61D7A" w:rsidRPr="00746960">
        <w:rPr>
          <w:sz w:val="20"/>
          <w:szCs w:val="20"/>
          <w:lang w:val="fr"/>
        </w:rPr>
        <w:t xml:space="preserve">tendances des flux migratoires représentent un défi supplémentaire en termes de DESC : il est également nécessaire d’analyser et de déterminer comment assurer l’accès et la jouissance des DESC tant dans les États d’origine </w:t>
      </w:r>
      <w:r>
        <w:rPr>
          <w:lang w:val="fr"/>
        </w:rPr>
        <w:t xml:space="preserve"> </w:t>
      </w:r>
      <w:r w:rsidR="007627E4">
        <w:rPr>
          <w:sz w:val="20"/>
          <w:szCs w:val="20"/>
          <w:lang w:val="fr"/>
        </w:rPr>
        <w:t xml:space="preserve">que dans les États de </w:t>
      </w:r>
      <w:r w:rsidR="00FF51CC" w:rsidRPr="00746960">
        <w:rPr>
          <w:sz w:val="20"/>
          <w:szCs w:val="20"/>
          <w:lang w:val="fr"/>
        </w:rPr>
        <w:t xml:space="preserve">transit </w:t>
      </w:r>
      <w:r w:rsidR="007627E4">
        <w:rPr>
          <w:sz w:val="20"/>
          <w:szCs w:val="20"/>
          <w:lang w:val="fr"/>
        </w:rPr>
        <w:t xml:space="preserve">et </w:t>
      </w:r>
      <w:r w:rsidR="00F61D7A" w:rsidRPr="00746960">
        <w:rPr>
          <w:sz w:val="20"/>
          <w:szCs w:val="20"/>
          <w:lang w:val="fr"/>
        </w:rPr>
        <w:t>d’accueil des migrations</w:t>
      </w:r>
      <w:r>
        <w:rPr>
          <w:lang w:val="fr"/>
        </w:rPr>
        <w:t xml:space="preserve"> </w:t>
      </w:r>
      <w:r w:rsidR="00F61D7A" w:rsidRPr="22690022">
        <w:rPr>
          <w:sz w:val="20"/>
          <w:szCs w:val="20"/>
          <w:lang w:val="fr"/>
        </w:rPr>
        <w:t>;</w:t>
      </w:r>
      <w:r>
        <w:rPr>
          <w:lang w:val="fr"/>
        </w:rPr>
        <w:t xml:space="preserve"> à </w:t>
      </w:r>
      <w:r w:rsidR="00F61D7A" w:rsidRPr="00746960">
        <w:rPr>
          <w:sz w:val="20"/>
          <w:szCs w:val="20"/>
          <w:lang w:val="fr"/>
        </w:rPr>
        <w:t xml:space="preserve"> cette fin, il est nécessaire d’identifier et d’établir des normes pour la protection des DESC et des obligations générales des États, à la fois le développement immédiat et progressif dans le contexte de la mobilité humaine, en accordant une attention particulière aux situations particulières telles que la crise sanitaire causée par la pandémie de COVID-19 et les catastrophes naturelles, toujours dans une perspective de genre et d’intersectionnalité des groupes et des individus en situation de vulnérabilité et à partir d’une analyse  interdisciplinaire qui aborde les différents bords du sujet à analyser.</w:t>
      </w:r>
    </w:p>
    <w:p w14:paraId="4A093800" w14:textId="77777777" w:rsidR="00931833" w:rsidRPr="00ED01E0" w:rsidRDefault="00931833" w:rsidP="00905480">
      <w:pPr>
        <w:spacing w:line="276" w:lineRule="auto"/>
        <w:jc w:val="both"/>
        <w:rPr>
          <w:rFonts w:ascii="Cambria" w:hAnsi="Cambria"/>
          <w:sz w:val="20"/>
          <w:szCs w:val="20"/>
          <w:lang w:val="fr-CA"/>
        </w:rPr>
      </w:pPr>
    </w:p>
    <w:p w14:paraId="3BB984BD" w14:textId="5D3B611B" w:rsidR="009E502F" w:rsidRPr="00ED01E0" w:rsidRDefault="00F61D7A" w:rsidP="00905480">
      <w:pPr>
        <w:spacing w:line="276" w:lineRule="auto"/>
        <w:jc w:val="both"/>
        <w:rPr>
          <w:rFonts w:ascii="Cambria" w:hAnsi="Cambria"/>
          <w:sz w:val="20"/>
          <w:szCs w:val="20"/>
          <w:lang w:val="fr-CA"/>
        </w:rPr>
      </w:pPr>
      <w:r w:rsidRPr="00746960">
        <w:rPr>
          <w:sz w:val="20"/>
          <w:szCs w:val="20"/>
          <w:lang w:val="fr"/>
        </w:rPr>
        <w:t>Cela fournira des orientations aux États, à la société civile et aux autres acteurs concernés pour l’adoption de mesures et de politiques publiques axées sur la lutte contre ces causes de la mobilité humaine et sur la promotion de réponses coordonnées, rapides et efficaces</w:t>
      </w:r>
      <w:r>
        <w:rPr>
          <w:lang w:val="fr"/>
        </w:rPr>
        <w:t xml:space="preserve">, </w:t>
      </w:r>
      <w:r w:rsidRPr="00746960">
        <w:rPr>
          <w:sz w:val="20"/>
          <w:szCs w:val="20"/>
          <w:lang w:val="fr"/>
        </w:rPr>
        <w:t xml:space="preserve"> non seulement dans l’intérêt d’une plus grande sécurité des citoyens, mais aussi dans l’intérêt de la protection sociale.</w:t>
      </w:r>
    </w:p>
    <w:p w14:paraId="42BBB318" w14:textId="77777777" w:rsidR="00F61D7A" w:rsidRPr="00ED01E0" w:rsidRDefault="00F61D7A" w:rsidP="00905480">
      <w:pPr>
        <w:spacing w:line="276" w:lineRule="auto"/>
        <w:jc w:val="both"/>
        <w:rPr>
          <w:rFonts w:ascii="Cambria" w:hAnsi="Cambria"/>
          <w:sz w:val="20"/>
          <w:szCs w:val="20"/>
          <w:lang w:val="fr-CA"/>
        </w:rPr>
      </w:pPr>
    </w:p>
    <w:p w14:paraId="54771768" w14:textId="4E7C5B3A" w:rsidR="005F425F" w:rsidRPr="00ED01E0" w:rsidRDefault="00FF51CC" w:rsidP="0001460E">
      <w:pPr>
        <w:pStyle w:val="FootnoteText"/>
        <w:spacing w:line="276" w:lineRule="auto"/>
        <w:jc w:val="both"/>
        <w:rPr>
          <w:rFonts w:ascii="Cambria" w:hAnsi="Cambria"/>
          <w:lang w:val="fr-CA"/>
        </w:rPr>
      </w:pPr>
      <w:r w:rsidRPr="00746960">
        <w:rPr>
          <w:lang w:val="fr"/>
        </w:rPr>
        <w:t xml:space="preserve">Aux fins du rapport à </w:t>
      </w:r>
      <w:r w:rsidR="00116B3C" w:rsidRPr="00116B3C">
        <w:rPr>
          <w:lang w:val="fr"/>
        </w:rPr>
        <w:t xml:space="preserve">établir, les pays qui composent l’Amérique centrale seront </w:t>
      </w:r>
      <w:r>
        <w:rPr>
          <w:lang w:val="fr"/>
        </w:rPr>
        <w:t xml:space="preserve"> le </w:t>
      </w:r>
      <w:r w:rsidR="1B80A6F0" w:rsidRPr="0F733E3B">
        <w:rPr>
          <w:lang w:val="fr"/>
        </w:rPr>
        <w:t>Belize</w:t>
      </w:r>
      <w:r>
        <w:rPr>
          <w:lang w:val="fr"/>
        </w:rPr>
        <w:t xml:space="preserve">, le </w:t>
      </w:r>
      <w:r w:rsidR="00116B3C" w:rsidRPr="0F0604B0">
        <w:rPr>
          <w:lang w:val="fr"/>
        </w:rPr>
        <w:t>Costa</w:t>
      </w:r>
      <w:r>
        <w:rPr>
          <w:lang w:val="fr"/>
        </w:rPr>
        <w:t xml:space="preserve"> Rica, El Salvador, le Honduras, le </w:t>
      </w:r>
      <w:r w:rsidR="00116B3C" w:rsidRPr="00116B3C">
        <w:rPr>
          <w:lang w:val="fr"/>
        </w:rPr>
        <w:t xml:space="preserve"> Guatemala, le Panama et le Nicaragua</w:t>
      </w:r>
      <w:r w:rsidR="5A47ED8B" w:rsidRPr="70472F3E">
        <w:rPr>
          <w:lang w:val="fr"/>
        </w:rPr>
        <w:t>.</w:t>
      </w:r>
      <w:r>
        <w:rPr>
          <w:lang w:val="fr"/>
        </w:rPr>
        <w:t xml:space="preserve"> </w:t>
      </w:r>
      <w:r w:rsidR="7FCDA2A9" w:rsidRPr="3DEBDEBD">
        <w:rPr>
          <w:lang w:val="fr"/>
        </w:rPr>
        <w:t xml:space="preserve"> Le Mexique</w:t>
      </w:r>
      <w:r w:rsidR="00116B3C" w:rsidRPr="00116B3C">
        <w:rPr>
          <w:lang w:val="fr"/>
        </w:rPr>
        <w:t xml:space="preserve"> est également inclus en raison de sa proximité géographique et de son importance géopolitique.</w:t>
      </w:r>
      <w:r>
        <w:rPr>
          <w:lang w:val="fr"/>
        </w:rPr>
        <w:t xml:space="preserve"> </w:t>
      </w:r>
      <w:r w:rsidR="213800F5" w:rsidRPr="3B192E96">
        <w:rPr>
          <w:lang w:val="fr"/>
        </w:rPr>
        <w:t xml:space="preserve"> Aux</w:t>
      </w:r>
      <w:r>
        <w:rPr>
          <w:lang w:val="fr"/>
        </w:rPr>
        <w:t xml:space="preserve"> </w:t>
      </w:r>
      <w:r w:rsidR="00116B3C">
        <w:rPr>
          <w:lang w:val="fr"/>
        </w:rPr>
        <w:t xml:space="preserve"> fins du présent rapport</w:t>
      </w:r>
      <w:r>
        <w:rPr>
          <w:lang w:val="fr"/>
        </w:rPr>
        <w:t xml:space="preserve">, </w:t>
      </w:r>
      <w:r w:rsidR="00F61D7A" w:rsidRPr="00116B3C">
        <w:rPr>
          <w:lang w:val="fr"/>
        </w:rPr>
        <w:t>le phénomène de la</w:t>
      </w:r>
      <w:r>
        <w:rPr>
          <w:lang w:val="fr"/>
        </w:rPr>
        <w:t xml:space="preserve"> mobilité </w:t>
      </w:r>
      <w:r w:rsidR="00F61D7A" w:rsidRPr="00746960">
        <w:rPr>
          <w:lang w:val="fr"/>
        </w:rPr>
        <w:t xml:space="preserve"> humaine</w:t>
      </w:r>
      <w:r>
        <w:rPr>
          <w:lang w:val="fr"/>
        </w:rPr>
        <w:t xml:space="preserve"> </w:t>
      </w:r>
      <w:r w:rsidR="06B53193" w:rsidRPr="6E4A3F97">
        <w:rPr>
          <w:lang w:val="fr"/>
        </w:rPr>
        <w:t xml:space="preserve"> sera analysé</w:t>
      </w:r>
      <w:r>
        <w:rPr>
          <w:lang w:val="fr"/>
        </w:rPr>
        <w:t xml:space="preserve"> de </w:t>
      </w:r>
      <w:r w:rsidR="00F61D7A" w:rsidRPr="00746960">
        <w:rPr>
          <w:lang w:val="fr"/>
        </w:rPr>
        <w:t xml:space="preserve"> manière globale</w:t>
      </w:r>
      <w:r>
        <w:rPr>
          <w:lang w:val="fr"/>
        </w:rPr>
        <w:t xml:space="preserve">, c’est-à-dire en couvrant les différentes formes de </w:t>
      </w:r>
      <w:r w:rsidR="0001460E">
        <w:rPr>
          <w:lang w:val="fr"/>
        </w:rPr>
        <w:t xml:space="preserve">flux massifs de personnes, qu’il s’agisse de </w:t>
      </w:r>
      <w:r w:rsidR="005F425F" w:rsidRPr="00746960">
        <w:rPr>
          <w:lang w:val="fr"/>
        </w:rPr>
        <w:t>déplacements internes ou transfrontaliers</w:t>
      </w:r>
      <w:r w:rsidR="0001460E">
        <w:rPr>
          <w:lang w:val="fr"/>
        </w:rPr>
        <w:t xml:space="preserve">, </w:t>
      </w:r>
      <w:r w:rsidR="005F425F" w:rsidRPr="00746960">
        <w:rPr>
          <w:lang w:val="fr"/>
        </w:rPr>
        <w:t xml:space="preserve">sans distinguer les aspects qui caractérisent </w:t>
      </w:r>
      <w:r w:rsidR="005F425F" w:rsidRPr="00746960">
        <w:rPr>
          <w:lang w:val="fr"/>
        </w:rPr>
        <w:lastRenderedPageBreak/>
        <w:t xml:space="preserve">chacun des </w:t>
      </w:r>
      <w:r w:rsidR="00116B3C">
        <w:rPr>
          <w:lang w:val="fr"/>
        </w:rPr>
        <w:t xml:space="preserve"> </w:t>
      </w:r>
      <w:r w:rsidR="005F425F" w:rsidRPr="00746960">
        <w:rPr>
          <w:lang w:val="fr"/>
        </w:rPr>
        <w:t xml:space="preserve">   manifestations de mobilité - migration, refuge, asile, déplacement interne,</w:t>
      </w:r>
      <w:r>
        <w:rPr>
          <w:lang w:val="fr"/>
        </w:rPr>
        <w:t xml:space="preserve"> </w:t>
      </w:r>
      <w:r w:rsidR="00F53205">
        <w:rPr>
          <w:lang w:val="fr"/>
        </w:rPr>
        <w:t>etc.</w:t>
      </w:r>
      <w:r>
        <w:rPr>
          <w:lang w:val="fr"/>
        </w:rPr>
        <w:t xml:space="preserve"> </w:t>
      </w:r>
      <w:r w:rsidR="005B2EE6" w:rsidRPr="00746960">
        <w:rPr>
          <w:lang w:val="fr"/>
        </w:rPr>
        <w:t xml:space="preserve">- en ce qui concerne la portée et la protection nationale et internationale de leurs droits de l’homme. </w:t>
      </w:r>
    </w:p>
    <w:p w14:paraId="4F0B5B13" w14:textId="77777777" w:rsidR="00FF51CC" w:rsidRPr="00ED01E0" w:rsidRDefault="00FF51CC" w:rsidP="00905480">
      <w:pPr>
        <w:spacing w:line="276" w:lineRule="auto"/>
        <w:jc w:val="both"/>
        <w:rPr>
          <w:rFonts w:ascii="Cambria" w:hAnsi="Cambria"/>
          <w:sz w:val="20"/>
          <w:szCs w:val="20"/>
          <w:lang w:val="fr-CA"/>
        </w:rPr>
      </w:pPr>
    </w:p>
    <w:p w14:paraId="01B1B77B" w14:textId="7AFD76A9" w:rsidR="00FF51CC" w:rsidRPr="00ED01E0" w:rsidRDefault="00FF51CC" w:rsidP="00905480">
      <w:pPr>
        <w:spacing w:line="276" w:lineRule="auto"/>
        <w:jc w:val="both"/>
        <w:rPr>
          <w:rFonts w:ascii="Cambria" w:hAnsi="Cambria"/>
          <w:sz w:val="20"/>
          <w:szCs w:val="20"/>
          <w:lang w:val="fr-CA"/>
        </w:rPr>
      </w:pPr>
    </w:p>
    <w:p w14:paraId="242DEE0D" w14:textId="7AFD76A9" w:rsidR="00CD5EC9" w:rsidRPr="00ED01E0" w:rsidRDefault="00CD5EC9" w:rsidP="00905480">
      <w:pPr>
        <w:spacing w:line="276" w:lineRule="auto"/>
        <w:jc w:val="both"/>
        <w:rPr>
          <w:rFonts w:ascii="Cambria" w:hAnsi="Cambria"/>
          <w:sz w:val="20"/>
          <w:szCs w:val="20"/>
          <w:lang w:val="fr-CA"/>
        </w:rPr>
      </w:pPr>
    </w:p>
    <w:p w14:paraId="016B8433" w14:textId="7AFD76A9" w:rsidR="00CD5EC9" w:rsidRPr="00ED01E0" w:rsidRDefault="00CD5EC9" w:rsidP="00905480">
      <w:pPr>
        <w:spacing w:line="276" w:lineRule="auto"/>
        <w:jc w:val="both"/>
        <w:rPr>
          <w:rFonts w:ascii="Cambria" w:hAnsi="Cambria"/>
          <w:sz w:val="20"/>
          <w:szCs w:val="20"/>
          <w:lang w:val="fr-CA"/>
        </w:rPr>
      </w:pPr>
    </w:p>
    <w:p w14:paraId="70C14FA3" w14:textId="7AFD76A9" w:rsidR="00CD5EC9" w:rsidRPr="00ED01E0" w:rsidRDefault="00CD5EC9" w:rsidP="00905480">
      <w:pPr>
        <w:spacing w:line="276" w:lineRule="auto"/>
        <w:jc w:val="both"/>
        <w:rPr>
          <w:rFonts w:ascii="Cambria" w:hAnsi="Cambria"/>
          <w:sz w:val="20"/>
          <w:szCs w:val="20"/>
          <w:lang w:val="fr-CA"/>
        </w:rPr>
      </w:pPr>
    </w:p>
    <w:p w14:paraId="33E562C7" w14:textId="7AFD76A9" w:rsidR="00CD5EC9" w:rsidRPr="00ED01E0" w:rsidRDefault="00CD5EC9" w:rsidP="00905480">
      <w:pPr>
        <w:spacing w:line="276" w:lineRule="auto"/>
        <w:jc w:val="both"/>
        <w:rPr>
          <w:rFonts w:ascii="Cambria" w:hAnsi="Cambria"/>
          <w:sz w:val="20"/>
          <w:szCs w:val="20"/>
          <w:lang w:val="fr-CA"/>
        </w:rPr>
      </w:pPr>
    </w:p>
    <w:p w14:paraId="68F7556B" w14:textId="77777777" w:rsidR="000326A8" w:rsidRPr="00ED01E0" w:rsidRDefault="000326A8" w:rsidP="000326A8">
      <w:pPr>
        <w:pStyle w:val="ListParagraph"/>
        <w:spacing w:line="276" w:lineRule="auto"/>
        <w:jc w:val="both"/>
        <w:rPr>
          <w:rFonts w:ascii="Cambria" w:hAnsi="Cambria"/>
          <w:b/>
          <w:bCs/>
          <w:sz w:val="20"/>
          <w:szCs w:val="20"/>
          <w:lang w:val="fr-CA"/>
        </w:rPr>
      </w:pPr>
    </w:p>
    <w:p w14:paraId="19D8996A" w14:textId="09E699AF" w:rsidR="00FF51CC" w:rsidRDefault="00FF51CC" w:rsidP="000326A8">
      <w:pPr>
        <w:pStyle w:val="ListParagraph"/>
        <w:numPr>
          <w:ilvl w:val="0"/>
          <w:numId w:val="6"/>
        </w:numPr>
        <w:spacing w:line="276" w:lineRule="auto"/>
        <w:jc w:val="both"/>
        <w:rPr>
          <w:rFonts w:ascii="Cambria" w:hAnsi="Cambria"/>
          <w:b/>
          <w:bCs/>
          <w:sz w:val="20"/>
          <w:szCs w:val="20"/>
          <w:lang w:val="es-ES"/>
        </w:rPr>
      </w:pPr>
      <w:r w:rsidRPr="000326A8">
        <w:rPr>
          <w:b/>
          <w:sz w:val="20"/>
          <w:szCs w:val="20"/>
          <w:lang w:val="fr"/>
        </w:rPr>
        <w:t>Instructions</w:t>
      </w:r>
    </w:p>
    <w:p w14:paraId="61D8F651" w14:textId="77777777" w:rsidR="000326A8" w:rsidRPr="000326A8" w:rsidRDefault="000326A8" w:rsidP="000326A8">
      <w:pPr>
        <w:pStyle w:val="ListParagraph"/>
        <w:spacing w:line="276" w:lineRule="auto"/>
        <w:jc w:val="both"/>
        <w:rPr>
          <w:rFonts w:ascii="Cambria" w:hAnsi="Cambria"/>
          <w:b/>
          <w:bCs/>
          <w:sz w:val="20"/>
          <w:szCs w:val="20"/>
          <w:lang w:val="es-ES"/>
        </w:rPr>
      </w:pPr>
    </w:p>
    <w:p w14:paraId="25824609" w14:textId="669A59E4" w:rsidR="00FF51CC" w:rsidRPr="00ED01E0" w:rsidRDefault="00CE39CF" w:rsidP="00905480">
      <w:pPr>
        <w:spacing w:line="276" w:lineRule="auto"/>
        <w:jc w:val="both"/>
        <w:rPr>
          <w:rFonts w:ascii="Cambria" w:hAnsi="Cambria"/>
          <w:sz w:val="20"/>
          <w:szCs w:val="20"/>
          <w:lang w:val="fr-CA"/>
        </w:rPr>
      </w:pPr>
      <w:r w:rsidRPr="00746960">
        <w:rPr>
          <w:sz w:val="20"/>
          <w:szCs w:val="20"/>
          <w:lang w:val="fr"/>
        </w:rPr>
        <w:t xml:space="preserve">Le SRESCER invite les personnes et institutions intéressées à envoyer leurs réponses à ce questionnaire avec des informations sur les données statistiques, le cadre réglementaire, les politiques publiques, les mécanismes de protection, les défis et les </w:t>
      </w:r>
      <w:r w:rsidR="7D4D51EE" w:rsidRPr="6995F07B">
        <w:rPr>
          <w:sz w:val="20"/>
          <w:szCs w:val="20"/>
          <w:lang w:val="fr"/>
        </w:rPr>
        <w:t>bonnes</w:t>
      </w:r>
      <w:r w:rsidR="00FF51CC" w:rsidRPr="00746960">
        <w:rPr>
          <w:sz w:val="20"/>
          <w:szCs w:val="20"/>
          <w:lang w:val="fr"/>
        </w:rPr>
        <w:t xml:space="preserve"> pratiques, au plus tard </w:t>
      </w:r>
      <w:r>
        <w:rPr>
          <w:lang w:val="fr"/>
        </w:rPr>
        <w:t xml:space="preserve"> le </w:t>
      </w:r>
      <w:r w:rsidR="00FF51CC" w:rsidRPr="00AB4369">
        <w:rPr>
          <w:sz w:val="20"/>
          <w:szCs w:val="20"/>
          <w:lang w:val="fr"/>
        </w:rPr>
        <w:t>31 mars 2023,</w:t>
      </w:r>
      <w:r w:rsidR="00FF51CC" w:rsidRPr="00746960">
        <w:rPr>
          <w:sz w:val="20"/>
          <w:szCs w:val="20"/>
          <w:lang w:val="fr"/>
        </w:rPr>
        <w:t xml:space="preserve"> à l’adresse suivante :</w:t>
      </w:r>
    </w:p>
    <w:p w14:paraId="11C59F8A" w14:textId="77777777" w:rsidR="00FF51CC" w:rsidRPr="00ED01E0" w:rsidRDefault="00FF51CC" w:rsidP="00905480">
      <w:pPr>
        <w:spacing w:line="276" w:lineRule="auto"/>
        <w:jc w:val="both"/>
        <w:rPr>
          <w:rFonts w:ascii="Cambria" w:hAnsi="Cambria"/>
          <w:sz w:val="20"/>
          <w:szCs w:val="20"/>
          <w:lang w:val="fr-CA"/>
        </w:rPr>
      </w:pPr>
    </w:p>
    <w:p w14:paraId="6586238F" w14:textId="3BFF1CAB" w:rsidR="00FF51CC" w:rsidRPr="00ED01E0" w:rsidRDefault="00FF51CC" w:rsidP="00207E79">
      <w:pPr>
        <w:spacing w:line="276" w:lineRule="auto"/>
        <w:jc w:val="center"/>
        <w:rPr>
          <w:rFonts w:ascii="Cambria" w:hAnsi="Cambria"/>
          <w:sz w:val="20"/>
          <w:szCs w:val="20"/>
          <w:lang w:val="fr-CA"/>
        </w:rPr>
      </w:pPr>
      <w:r w:rsidRPr="00746960">
        <w:rPr>
          <w:sz w:val="20"/>
          <w:szCs w:val="20"/>
          <w:lang w:val="fr"/>
        </w:rPr>
        <w:t>Bureau du Rapporteur spécial sur les droits économiques, sociaux, culturels et environnementaux (DESC)</w:t>
      </w:r>
    </w:p>
    <w:p w14:paraId="660F0827" w14:textId="77777777" w:rsidR="00FF51CC" w:rsidRPr="00ED01E0" w:rsidRDefault="00FF51CC" w:rsidP="00207E79">
      <w:pPr>
        <w:spacing w:line="276" w:lineRule="auto"/>
        <w:jc w:val="center"/>
        <w:rPr>
          <w:rFonts w:ascii="Cambria" w:hAnsi="Cambria"/>
          <w:sz w:val="20"/>
          <w:szCs w:val="20"/>
          <w:lang w:val="fr-CA"/>
        </w:rPr>
      </w:pPr>
      <w:r w:rsidRPr="00746960">
        <w:rPr>
          <w:sz w:val="20"/>
          <w:szCs w:val="20"/>
          <w:lang w:val="fr"/>
        </w:rPr>
        <w:t>Commission interaméricaine des droits de l’homme</w:t>
      </w:r>
    </w:p>
    <w:p w14:paraId="69B8ACE3" w14:textId="77777777" w:rsidR="00FF51CC" w:rsidRPr="00ED01E0" w:rsidRDefault="00FF51CC" w:rsidP="00207E79">
      <w:pPr>
        <w:spacing w:line="276" w:lineRule="auto"/>
        <w:jc w:val="center"/>
        <w:rPr>
          <w:rFonts w:ascii="Cambria" w:hAnsi="Cambria"/>
          <w:sz w:val="20"/>
          <w:szCs w:val="20"/>
          <w:lang w:val="fr-CA"/>
        </w:rPr>
      </w:pPr>
      <w:r w:rsidRPr="00746960">
        <w:rPr>
          <w:sz w:val="20"/>
          <w:szCs w:val="20"/>
          <w:lang w:val="fr"/>
        </w:rPr>
        <w:t>Organisation des États américains</w:t>
      </w:r>
    </w:p>
    <w:p w14:paraId="20472EE5" w14:textId="77777777" w:rsidR="00FF51CC" w:rsidRPr="00ED01E0" w:rsidRDefault="00FF51CC" w:rsidP="00207E79">
      <w:pPr>
        <w:spacing w:line="276" w:lineRule="auto"/>
        <w:jc w:val="center"/>
        <w:rPr>
          <w:rFonts w:ascii="Cambria" w:hAnsi="Cambria"/>
          <w:sz w:val="20"/>
          <w:szCs w:val="20"/>
          <w:lang w:val="fr-CA"/>
        </w:rPr>
      </w:pPr>
      <w:r w:rsidRPr="00746960">
        <w:rPr>
          <w:sz w:val="20"/>
          <w:szCs w:val="20"/>
          <w:lang w:val="fr"/>
        </w:rPr>
        <w:t>1889, rue F Nord-Ouest</w:t>
      </w:r>
    </w:p>
    <w:p w14:paraId="65DEC0CF" w14:textId="77777777" w:rsidR="00FF51CC" w:rsidRPr="00746960" w:rsidRDefault="00FF51CC" w:rsidP="00207E79">
      <w:pPr>
        <w:spacing w:line="276" w:lineRule="auto"/>
        <w:jc w:val="center"/>
        <w:rPr>
          <w:rFonts w:ascii="Cambria" w:hAnsi="Cambria"/>
          <w:sz w:val="20"/>
          <w:szCs w:val="20"/>
        </w:rPr>
      </w:pPr>
      <w:r w:rsidRPr="00ED01E0">
        <w:rPr>
          <w:sz w:val="20"/>
          <w:szCs w:val="20"/>
        </w:rPr>
        <w:t>Washington, DC 20006</w:t>
      </w:r>
    </w:p>
    <w:p w14:paraId="2D97B931" w14:textId="77777777" w:rsidR="00FF51CC" w:rsidRPr="00ED01E0" w:rsidRDefault="00FF51CC" w:rsidP="00207E79">
      <w:pPr>
        <w:spacing w:line="276" w:lineRule="auto"/>
        <w:jc w:val="center"/>
        <w:rPr>
          <w:rFonts w:ascii="Cambria" w:hAnsi="Cambria"/>
          <w:sz w:val="20"/>
          <w:szCs w:val="20"/>
          <w:u w:val="single"/>
        </w:rPr>
      </w:pPr>
      <w:r w:rsidRPr="00ED01E0">
        <w:rPr>
          <w:sz w:val="20"/>
          <w:szCs w:val="20"/>
          <w:u w:val="single"/>
        </w:rPr>
        <w:t>CIDH_DESCA@oas.org</w:t>
      </w:r>
    </w:p>
    <w:p w14:paraId="0BA0DD87" w14:textId="77777777" w:rsidR="00207E79" w:rsidRPr="00ED01E0" w:rsidRDefault="00207E79" w:rsidP="00905480">
      <w:pPr>
        <w:spacing w:line="276" w:lineRule="auto"/>
        <w:jc w:val="both"/>
        <w:rPr>
          <w:rFonts w:ascii="Cambria" w:hAnsi="Cambria"/>
          <w:sz w:val="20"/>
          <w:szCs w:val="20"/>
        </w:rPr>
      </w:pPr>
    </w:p>
    <w:p w14:paraId="30A8472C" w14:textId="77E42A66" w:rsidR="00FF51CC" w:rsidRPr="00ED01E0" w:rsidRDefault="00FF51CC" w:rsidP="00905480">
      <w:pPr>
        <w:spacing w:line="276" w:lineRule="auto"/>
        <w:jc w:val="both"/>
        <w:rPr>
          <w:rFonts w:ascii="Cambria" w:hAnsi="Cambria"/>
          <w:sz w:val="20"/>
          <w:szCs w:val="20"/>
          <w:lang w:val="fr-CA"/>
        </w:rPr>
      </w:pPr>
      <w:r w:rsidRPr="00746960">
        <w:rPr>
          <w:sz w:val="20"/>
          <w:szCs w:val="20"/>
          <w:lang w:val="fr"/>
        </w:rPr>
        <w:t>En cas de réponse électronique, veuillez inclure dans l’objet de l’e-mail: « Questionnaire - Pauvreté, changement climatique et DESC en Amérique centrale et au Mexique</w:t>
      </w:r>
      <w:r w:rsidR="001E374F">
        <w:rPr>
          <w:sz w:val="20"/>
          <w:szCs w:val="20"/>
          <w:lang w:val="fr"/>
        </w:rPr>
        <w:t>,</w:t>
      </w:r>
      <w:r w:rsidRPr="00746960">
        <w:rPr>
          <w:sz w:val="20"/>
          <w:szCs w:val="20"/>
          <w:lang w:val="fr"/>
        </w:rPr>
        <w:t xml:space="preserve"> dans le contexte de la mobilité humaine ».</w:t>
      </w:r>
    </w:p>
    <w:p w14:paraId="42BF2991" w14:textId="77777777" w:rsidR="00FF51CC" w:rsidRPr="00ED01E0" w:rsidRDefault="00FF51CC" w:rsidP="00905480">
      <w:pPr>
        <w:spacing w:line="276" w:lineRule="auto"/>
        <w:jc w:val="both"/>
        <w:rPr>
          <w:rFonts w:ascii="Cambria" w:hAnsi="Cambria"/>
          <w:sz w:val="20"/>
          <w:szCs w:val="20"/>
          <w:lang w:val="fr-CA"/>
        </w:rPr>
      </w:pPr>
    </w:p>
    <w:p w14:paraId="3AAA7D90" w14:textId="36213862" w:rsidR="00FF51CC" w:rsidRPr="00ED01E0" w:rsidRDefault="00FF51CC" w:rsidP="00905480">
      <w:pPr>
        <w:spacing w:line="276" w:lineRule="auto"/>
        <w:jc w:val="both"/>
        <w:rPr>
          <w:rFonts w:ascii="Cambria" w:hAnsi="Cambria"/>
          <w:sz w:val="20"/>
          <w:szCs w:val="20"/>
          <w:lang w:val="fr-CA"/>
        </w:rPr>
      </w:pPr>
      <w:r w:rsidRPr="00746960">
        <w:rPr>
          <w:sz w:val="20"/>
          <w:szCs w:val="20"/>
          <w:lang w:val="fr"/>
        </w:rPr>
        <w:t xml:space="preserve">             Les informations envoyées en réponse à ce questionnaire peuvent porter sur tout ou partie des points demandés. Les informations peuvent être fournies en espagnol, anglais, portugais ou français. Il est demandé d’indiquer le nombre de questions auxquelles il sera répondu dans le document envoyé. De même, vous êtes invités à répondre directement à chacune des questions posées, en fournissant des informations concrètes et spécifiques sur ce que vous considérez comme le plus pertinent, significatif et / ou pertinent.</w:t>
      </w:r>
    </w:p>
    <w:p w14:paraId="399FC7A4" w14:textId="77777777" w:rsidR="00FF51CC" w:rsidRPr="00ED01E0" w:rsidRDefault="00FF51CC" w:rsidP="00905480">
      <w:pPr>
        <w:spacing w:line="276" w:lineRule="auto"/>
        <w:jc w:val="both"/>
        <w:rPr>
          <w:rFonts w:ascii="Cambria" w:hAnsi="Cambria"/>
          <w:sz w:val="20"/>
          <w:szCs w:val="20"/>
          <w:lang w:val="fr-CA"/>
        </w:rPr>
      </w:pPr>
    </w:p>
    <w:p w14:paraId="41BABF9C" w14:textId="409C0759" w:rsidR="00FF51CC" w:rsidRPr="00ED01E0" w:rsidRDefault="00FF51CC" w:rsidP="00905480">
      <w:pPr>
        <w:spacing w:line="276" w:lineRule="auto"/>
        <w:jc w:val="both"/>
        <w:rPr>
          <w:rFonts w:ascii="Cambria" w:hAnsi="Cambria"/>
          <w:sz w:val="20"/>
          <w:szCs w:val="20"/>
          <w:lang w:val="fr-CA"/>
        </w:rPr>
      </w:pPr>
      <w:r w:rsidRPr="00746960">
        <w:rPr>
          <w:sz w:val="20"/>
          <w:szCs w:val="20"/>
          <w:lang w:val="fr"/>
        </w:rPr>
        <w:t xml:space="preserve">             Lorsque des annexes sont soumises, il est demandé de les identifier clairement et de les différencier du document principal. Il est possible, en annexe, de soumettre des rapports déjà publiés.</w:t>
      </w:r>
    </w:p>
    <w:p w14:paraId="3455A621" w14:textId="77777777" w:rsidR="00FF51CC" w:rsidRPr="00ED01E0" w:rsidRDefault="00FF51CC" w:rsidP="00905480">
      <w:pPr>
        <w:spacing w:line="276" w:lineRule="auto"/>
        <w:jc w:val="both"/>
        <w:rPr>
          <w:rFonts w:ascii="Cambria" w:hAnsi="Cambria"/>
          <w:sz w:val="20"/>
          <w:szCs w:val="20"/>
          <w:lang w:val="fr-CA"/>
        </w:rPr>
      </w:pPr>
      <w:r w:rsidRPr="00ED01E0">
        <w:rPr>
          <w:rFonts w:ascii="Cambria" w:hAnsi="Cambria"/>
          <w:sz w:val="20"/>
          <w:szCs w:val="20"/>
          <w:lang w:val="fr-CA"/>
        </w:rPr>
        <w:t xml:space="preserve">  </w:t>
      </w:r>
    </w:p>
    <w:p w14:paraId="1AD7AE8C" w14:textId="77777777" w:rsidR="00D43836" w:rsidRPr="00ED01E0" w:rsidRDefault="00D43836" w:rsidP="00905480">
      <w:pPr>
        <w:spacing w:line="276" w:lineRule="auto"/>
        <w:jc w:val="both"/>
        <w:rPr>
          <w:rFonts w:ascii="Cambria" w:hAnsi="Cambria"/>
          <w:b/>
          <w:bCs/>
          <w:sz w:val="20"/>
          <w:szCs w:val="20"/>
          <w:lang w:val="fr-CA"/>
        </w:rPr>
      </w:pPr>
    </w:p>
    <w:p w14:paraId="54D30D63" w14:textId="1F400CEA" w:rsidR="00FF51CC" w:rsidRPr="00746960" w:rsidRDefault="00FF51CC" w:rsidP="11FED4A6">
      <w:pPr>
        <w:pStyle w:val="ListParagraph"/>
        <w:numPr>
          <w:ilvl w:val="0"/>
          <w:numId w:val="6"/>
        </w:numPr>
        <w:spacing w:line="276" w:lineRule="auto"/>
        <w:jc w:val="both"/>
        <w:rPr>
          <w:rFonts w:ascii="Cambria" w:hAnsi="Cambria"/>
          <w:b/>
          <w:bCs/>
          <w:sz w:val="20"/>
          <w:szCs w:val="20"/>
          <w:lang w:val="es-ES"/>
        </w:rPr>
      </w:pPr>
      <w:r w:rsidRPr="11FED4A6">
        <w:rPr>
          <w:b/>
          <w:sz w:val="20"/>
          <w:szCs w:val="20"/>
          <w:lang w:val="fr"/>
        </w:rPr>
        <w:t>Informations</w:t>
      </w:r>
      <w:r w:rsidRPr="00746960">
        <w:rPr>
          <w:b/>
          <w:sz w:val="20"/>
          <w:szCs w:val="20"/>
          <w:lang w:val="fr"/>
        </w:rPr>
        <w:t xml:space="preserve"> demandées</w:t>
      </w:r>
    </w:p>
    <w:p w14:paraId="746D82BD" w14:textId="77777777" w:rsidR="00207E79" w:rsidRPr="00746960" w:rsidRDefault="00207E79" w:rsidP="00905480">
      <w:pPr>
        <w:spacing w:line="276" w:lineRule="auto"/>
        <w:jc w:val="both"/>
        <w:rPr>
          <w:rFonts w:ascii="Cambria" w:hAnsi="Cambria"/>
          <w:sz w:val="20"/>
          <w:szCs w:val="20"/>
          <w:lang w:val="es-ES"/>
        </w:rPr>
      </w:pPr>
    </w:p>
    <w:p w14:paraId="3FB58128" w14:textId="1D3C122A" w:rsidR="00FF51CC" w:rsidRPr="00746960" w:rsidRDefault="00FF51CC" w:rsidP="00CE39CF">
      <w:pPr>
        <w:pStyle w:val="ListParagraph"/>
        <w:numPr>
          <w:ilvl w:val="0"/>
          <w:numId w:val="1"/>
        </w:numPr>
        <w:spacing w:line="276" w:lineRule="auto"/>
        <w:jc w:val="both"/>
        <w:rPr>
          <w:rFonts w:ascii="Cambria" w:hAnsi="Cambria"/>
          <w:b/>
          <w:sz w:val="20"/>
          <w:szCs w:val="20"/>
          <w:u w:val="single"/>
          <w:lang w:val="es-ES"/>
        </w:rPr>
      </w:pPr>
      <w:r w:rsidRPr="11FED4A6">
        <w:rPr>
          <w:b/>
          <w:sz w:val="20"/>
          <w:szCs w:val="20"/>
          <w:u w:val="single"/>
          <w:lang w:val="fr"/>
        </w:rPr>
        <w:t>Informations statistiques</w:t>
      </w:r>
    </w:p>
    <w:p w14:paraId="7D43630E" w14:textId="77777777" w:rsidR="00CE39CF" w:rsidRPr="00746960" w:rsidRDefault="00CE39CF" w:rsidP="00CE39CF">
      <w:pPr>
        <w:spacing w:line="276" w:lineRule="auto"/>
        <w:ind w:left="360"/>
        <w:jc w:val="both"/>
        <w:rPr>
          <w:rFonts w:ascii="Cambria" w:hAnsi="Cambria"/>
          <w:b/>
          <w:bCs/>
          <w:sz w:val="20"/>
          <w:szCs w:val="20"/>
          <w:lang w:val="es-ES"/>
        </w:rPr>
      </w:pPr>
    </w:p>
    <w:p w14:paraId="3128AE7A" w14:textId="41325EFA" w:rsidR="00FF51CC" w:rsidRPr="00ED01E0" w:rsidRDefault="00361026" w:rsidP="00905480">
      <w:pPr>
        <w:spacing w:line="276" w:lineRule="auto"/>
        <w:jc w:val="both"/>
        <w:rPr>
          <w:rFonts w:ascii="Cambria" w:hAnsi="Cambria"/>
          <w:sz w:val="20"/>
          <w:szCs w:val="20"/>
          <w:lang w:val="fr-CA"/>
        </w:rPr>
      </w:pPr>
      <w:r>
        <w:rPr>
          <w:sz w:val="20"/>
          <w:szCs w:val="20"/>
          <w:lang w:val="fr"/>
        </w:rPr>
        <w:t>A</w:t>
      </w:r>
      <w:r w:rsidR="00FF51CC" w:rsidRPr="00746960">
        <w:rPr>
          <w:sz w:val="20"/>
          <w:szCs w:val="20"/>
          <w:lang w:val="fr"/>
        </w:rPr>
        <w:t xml:space="preserve">. Veuillez indiquer si l’État dispose de données statistiques officielles ou s’il existe des données statistiques fiables provenant d’organisations  non gouvernementales pour les cinq dernières années, de préférence avec </w:t>
      </w:r>
      <w:r>
        <w:rPr>
          <w:lang w:val="fr"/>
        </w:rPr>
        <w:t xml:space="preserve"> une </w:t>
      </w:r>
      <w:r w:rsidR="00746960">
        <w:rPr>
          <w:sz w:val="20"/>
          <w:szCs w:val="20"/>
          <w:lang w:val="fr"/>
        </w:rPr>
        <w:t>ventilation</w:t>
      </w:r>
      <w:r w:rsidR="00FF51CC" w:rsidRPr="00746960">
        <w:rPr>
          <w:sz w:val="20"/>
          <w:szCs w:val="20"/>
          <w:lang w:val="fr"/>
        </w:rPr>
        <w:t xml:space="preserve"> géographique</w:t>
      </w:r>
      <w:r w:rsidR="00746960">
        <w:rPr>
          <w:sz w:val="20"/>
          <w:szCs w:val="20"/>
          <w:lang w:val="fr"/>
        </w:rPr>
        <w:t xml:space="preserve"> ou locale</w:t>
      </w:r>
      <w:r w:rsidR="00FF51CC" w:rsidRPr="00746960">
        <w:rPr>
          <w:sz w:val="20"/>
          <w:szCs w:val="20"/>
          <w:lang w:val="fr"/>
        </w:rPr>
        <w:t xml:space="preserve"> le cas échéant, des</w:t>
      </w:r>
      <w:r>
        <w:rPr>
          <w:lang w:val="fr"/>
        </w:rPr>
        <w:t xml:space="preserve"> données concernant:</w:t>
      </w:r>
    </w:p>
    <w:p w14:paraId="00BA5B16" w14:textId="77777777" w:rsidR="00FF51CC" w:rsidRPr="00ED01E0" w:rsidRDefault="00FF51CC" w:rsidP="00905480">
      <w:pPr>
        <w:spacing w:line="276" w:lineRule="auto"/>
        <w:jc w:val="both"/>
        <w:rPr>
          <w:rFonts w:ascii="Cambria" w:hAnsi="Cambria"/>
          <w:sz w:val="20"/>
          <w:szCs w:val="20"/>
          <w:lang w:val="fr-CA"/>
        </w:rPr>
      </w:pPr>
    </w:p>
    <w:p w14:paraId="08450987" w14:textId="0DCB94C0" w:rsidR="00FF51CC" w:rsidRPr="00ED01E0" w:rsidRDefault="00113B38" w:rsidP="00361026">
      <w:pPr>
        <w:pStyle w:val="ListParagraph"/>
        <w:numPr>
          <w:ilvl w:val="0"/>
          <w:numId w:val="2"/>
        </w:numPr>
        <w:spacing w:line="276" w:lineRule="auto"/>
        <w:jc w:val="both"/>
        <w:rPr>
          <w:rFonts w:ascii="Cambria" w:hAnsi="Cambria"/>
          <w:sz w:val="20"/>
          <w:szCs w:val="20"/>
          <w:lang w:val="fr-CA"/>
        </w:rPr>
      </w:pPr>
      <w:r>
        <w:rPr>
          <w:sz w:val="20"/>
          <w:szCs w:val="20"/>
          <w:lang w:val="fr"/>
        </w:rPr>
        <w:lastRenderedPageBreak/>
        <w:t>Indicateurs de la</w:t>
      </w:r>
      <w:r w:rsidR="00FF51CC" w:rsidRPr="00361026">
        <w:rPr>
          <w:sz w:val="20"/>
          <w:szCs w:val="20"/>
          <w:lang w:val="fr"/>
        </w:rPr>
        <w:t xml:space="preserve"> mobilité humaine</w:t>
      </w:r>
      <w:r>
        <w:rPr>
          <w:lang w:val="fr"/>
        </w:rPr>
        <w:t xml:space="preserve">, </w:t>
      </w:r>
      <w:r w:rsidR="003B2703">
        <w:rPr>
          <w:sz w:val="20"/>
          <w:szCs w:val="20"/>
          <w:lang w:val="fr"/>
        </w:rPr>
        <w:t xml:space="preserve"> à la fois</w:t>
      </w:r>
      <w:r>
        <w:rPr>
          <w:lang w:val="fr"/>
        </w:rPr>
        <w:t xml:space="preserve"> les </w:t>
      </w:r>
      <w:r w:rsidR="003B2703" w:rsidRPr="003B2703">
        <w:rPr>
          <w:sz w:val="20"/>
          <w:szCs w:val="20"/>
          <w:lang w:val="fr"/>
        </w:rPr>
        <w:t xml:space="preserve"> migrations</w:t>
      </w:r>
      <w:r>
        <w:rPr>
          <w:lang w:val="fr"/>
        </w:rPr>
        <w:t xml:space="preserve"> déclarées, l’indice de </w:t>
      </w:r>
      <w:r w:rsidR="070BFAD1" w:rsidRPr="34609100">
        <w:rPr>
          <w:sz w:val="20"/>
          <w:szCs w:val="20"/>
          <w:lang w:val="fr"/>
        </w:rPr>
        <w:t>transit</w:t>
      </w:r>
      <w:r>
        <w:rPr>
          <w:lang w:val="fr"/>
        </w:rPr>
        <w:t xml:space="preserve"> </w:t>
      </w:r>
      <w:r w:rsidR="003B2703" w:rsidRPr="003B2703">
        <w:rPr>
          <w:sz w:val="20"/>
          <w:szCs w:val="20"/>
          <w:lang w:val="fr"/>
        </w:rPr>
        <w:t xml:space="preserve"> et </w:t>
      </w:r>
      <w:r>
        <w:rPr>
          <w:lang w:val="fr"/>
        </w:rPr>
        <w:t xml:space="preserve"> les taux de </w:t>
      </w:r>
      <w:r w:rsidR="003B2703" w:rsidRPr="003B2703">
        <w:rPr>
          <w:sz w:val="20"/>
          <w:szCs w:val="20"/>
          <w:lang w:val="fr"/>
        </w:rPr>
        <w:t xml:space="preserve"> déplacement signalés</w:t>
      </w:r>
      <w:r>
        <w:rPr>
          <w:lang w:val="fr"/>
        </w:rPr>
        <w:t xml:space="preserve">, ventilés de </w:t>
      </w:r>
      <w:r w:rsidR="00FF51CC" w:rsidRPr="00361026">
        <w:rPr>
          <w:sz w:val="20"/>
          <w:szCs w:val="20"/>
          <w:lang w:val="fr"/>
        </w:rPr>
        <w:t xml:space="preserve"> préférence </w:t>
      </w:r>
      <w:r w:rsidR="00746960" w:rsidRPr="00361026">
        <w:rPr>
          <w:sz w:val="20"/>
          <w:szCs w:val="20"/>
          <w:lang w:val="fr"/>
        </w:rPr>
        <w:t xml:space="preserve"> par sexe, origine ethnique ou raciale, nationalité, niveau socioéconomique, âge, entre </w:t>
      </w:r>
      <w:r w:rsidR="6CE1B255" w:rsidRPr="2DE6F5CA">
        <w:rPr>
          <w:sz w:val="20"/>
          <w:szCs w:val="20"/>
          <w:lang w:val="fr"/>
        </w:rPr>
        <w:t>autres facteurs</w:t>
      </w:r>
      <w:r w:rsidR="7BAA1C47" w:rsidRPr="4549865F">
        <w:rPr>
          <w:sz w:val="20"/>
          <w:szCs w:val="20"/>
          <w:lang w:val="fr"/>
        </w:rPr>
        <w:t>,</w:t>
      </w:r>
      <w:r>
        <w:rPr>
          <w:lang w:val="fr"/>
        </w:rPr>
        <w:t xml:space="preserve"> </w:t>
      </w:r>
      <w:r w:rsidR="6F364240" w:rsidRPr="5545EA54">
        <w:rPr>
          <w:sz w:val="20"/>
          <w:szCs w:val="20"/>
          <w:lang w:val="fr"/>
        </w:rPr>
        <w:t>ainsi que</w:t>
      </w:r>
      <w:r>
        <w:rPr>
          <w:lang w:val="fr"/>
        </w:rPr>
        <w:t xml:space="preserve"> des </w:t>
      </w:r>
      <w:r>
        <w:rPr>
          <w:sz w:val="20"/>
          <w:szCs w:val="20"/>
          <w:lang w:val="fr"/>
        </w:rPr>
        <w:t xml:space="preserve"> indicateurs des principales causes </w:t>
      </w:r>
      <w:r w:rsidR="00591E39">
        <w:rPr>
          <w:sz w:val="20"/>
          <w:szCs w:val="20"/>
          <w:lang w:val="fr"/>
        </w:rPr>
        <w:t xml:space="preserve">ou motivations </w:t>
      </w:r>
      <w:r>
        <w:rPr>
          <w:sz w:val="20"/>
          <w:szCs w:val="20"/>
          <w:lang w:val="fr"/>
        </w:rPr>
        <w:t xml:space="preserve"> de ces flux migratoires</w:t>
      </w:r>
      <w:r w:rsidR="003B2703">
        <w:rPr>
          <w:sz w:val="20"/>
          <w:szCs w:val="20"/>
          <w:lang w:val="fr"/>
        </w:rPr>
        <w:t>.</w:t>
      </w:r>
    </w:p>
    <w:p w14:paraId="5B8B2BCD" w14:textId="77777777" w:rsidR="00FF51CC" w:rsidRPr="00ED01E0" w:rsidRDefault="00FF51CC" w:rsidP="00905480">
      <w:pPr>
        <w:spacing w:line="276" w:lineRule="auto"/>
        <w:jc w:val="both"/>
        <w:rPr>
          <w:rFonts w:ascii="Cambria" w:hAnsi="Cambria"/>
          <w:sz w:val="20"/>
          <w:szCs w:val="20"/>
          <w:lang w:val="fr-CA"/>
        </w:rPr>
      </w:pPr>
    </w:p>
    <w:p w14:paraId="5E49CE77" w14:textId="1B7440AD" w:rsidR="00FF51CC" w:rsidRPr="00ED01E0" w:rsidRDefault="00FF51CC" w:rsidP="00A01CDE">
      <w:pPr>
        <w:pStyle w:val="ListParagraph"/>
        <w:numPr>
          <w:ilvl w:val="0"/>
          <w:numId w:val="2"/>
        </w:numPr>
        <w:spacing w:line="276" w:lineRule="auto"/>
        <w:jc w:val="both"/>
        <w:rPr>
          <w:rFonts w:ascii="Cambria" w:hAnsi="Cambria"/>
          <w:sz w:val="20"/>
          <w:szCs w:val="20"/>
          <w:lang w:val="fr-CA"/>
        </w:rPr>
      </w:pPr>
      <w:r w:rsidRPr="00361026">
        <w:rPr>
          <w:sz w:val="20"/>
          <w:szCs w:val="20"/>
          <w:lang w:val="fr"/>
        </w:rPr>
        <w:t xml:space="preserve">Performance des États au regard des principaux indices de développement humain internationalement reconnus, tels que le développement humain (IDH), l’éducation (PISA), l’inégalité des revenus (GINI), la corruption (IPC), la liberté économique et d’autres indices pertinents qui peuvent être pertinents pour l’analyse des niveaux de développement socioéconomique, de pauvreté et d’inégalité; </w:t>
      </w:r>
      <w:r w:rsidR="00113B38" w:rsidRPr="00A01CDE">
        <w:rPr>
          <w:sz w:val="20"/>
          <w:szCs w:val="20"/>
          <w:lang w:val="fr"/>
        </w:rPr>
        <w:t xml:space="preserve"> Indicateurs </w:t>
      </w:r>
      <w:r>
        <w:rPr>
          <w:lang w:val="fr"/>
        </w:rPr>
        <w:t xml:space="preserve"> du développement </w:t>
      </w:r>
      <w:r w:rsidR="001E374F">
        <w:rPr>
          <w:sz w:val="20"/>
          <w:szCs w:val="20"/>
          <w:lang w:val="fr"/>
        </w:rPr>
        <w:t>macroéconomique</w:t>
      </w:r>
      <w:r>
        <w:rPr>
          <w:lang w:val="fr"/>
        </w:rPr>
        <w:t xml:space="preserve"> </w:t>
      </w:r>
      <w:r w:rsidRPr="00A01CDE">
        <w:rPr>
          <w:sz w:val="20"/>
          <w:szCs w:val="20"/>
          <w:lang w:val="fr"/>
        </w:rPr>
        <w:t>de l’État, en particulier la performance du PIB</w:t>
      </w:r>
      <w:r w:rsidR="001E374F">
        <w:rPr>
          <w:sz w:val="20"/>
          <w:szCs w:val="20"/>
          <w:lang w:val="fr"/>
        </w:rPr>
        <w:t xml:space="preserve"> et l’emploi formel.</w:t>
      </w:r>
    </w:p>
    <w:p w14:paraId="51AC64D6" w14:textId="77777777" w:rsidR="00A01CDE" w:rsidRPr="00ED01E0" w:rsidRDefault="00A01CDE" w:rsidP="00A01CDE">
      <w:pPr>
        <w:pStyle w:val="ListParagraph"/>
        <w:rPr>
          <w:rFonts w:ascii="Cambria" w:hAnsi="Cambria"/>
          <w:sz w:val="20"/>
          <w:szCs w:val="20"/>
          <w:lang w:val="fr-CA"/>
        </w:rPr>
      </w:pPr>
    </w:p>
    <w:p w14:paraId="6008EE57" w14:textId="19EAD399" w:rsidR="00A01CDE" w:rsidRPr="00ED01E0" w:rsidRDefault="00A01CDE" w:rsidP="00A01CDE">
      <w:pPr>
        <w:pStyle w:val="ListParagraph"/>
        <w:numPr>
          <w:ilvl w:val="0"/>
          <w:numId w:val="2"/>
        </w:numPr>
        <w:spacing w:line="276" w:lineRule="auto"/>
        <w:jc w:val="both"/>
        <w:rPr>
          <w:rFonts w:ascii="Cambria" w:hAnsi="Cambria"/>
          <w:sz w:val="20"/>
          <w:szCs w:val="20"/>
          <w:lang w:val="fr-CA"/>
        </w:rPr>
      </w:pPr>
      <w:r w:rsidRPr="00361026">
        <w:rPr>
          <w:sz w:val="20"/>
          <w:szCs w:val="20"/>
          <w:lang w:val="fr"/>
        </w:rPr>
        <w:t>Principaux indicateurs du marché du travail, y compris les chiffres de la population active par rapport à la population totale, la durée moyenne du travail, les taux d’activité, le niveau d’éducation de la main-d’œuvre, entre autres indicateurs du travail; les indicateurs de liberté économique; et les données qualitatives et quantitatives sur les petites et moyennes entreprises (PME). Les indicateurs et les données sont de préférence ventilés</w:t>
      </w:r>
      <w:r>
        <w:rPr>
          <w:lang w:val="fr"/>
        </w:rPr>
        <w:t xml:space="preserve">, </w:t>
      </w:r>
      <w:r w:rsidR="544F3B00" w:rsidRPr="14CE0214">
        <w:rPr>
          <w:sz w:val="20"/>
          <w:szCs w:val="20"/>
          <w:lang w:val="fr"/>
        </w:rPr>
        <w:t>géographiquement</w:t>
      </w:r>
      <w:r>
        <w:rPr>
          <w:lang w:val="fr"/>
        </w:rPr>
        <w:t xml:space="preserve">, </w:t>
      </w:r>
      <w:r w:rsidR="3DE604BA" w:rsidRPr="2A54C28C">
        <w:rPr>
          <w:sz w:val="20"/>
          <w:szCs w:val="20"/>
          <w:lang w:val="fr"/>
        </w:rPr>
        <w:t xml:space="preserve"> par </w:t>
      </w:r>
      <w:r>
        <w:rPr>
          <w:lang w:val="fr"/>
        </w:rPr>
        <w:t xml:space="preserve"> sexe, origine </w:t>
      </w:r>
      <w:r w:rsidRPr="00361026">
        <w:rPr>
          <w:sz w:val="20"/>
          <w:szCs w:val="20"/>
          <w:lang w:val="fr"/>
        </w:rPr>
        <w:t xml:space="preserve">ethnique ou raciale, nationalité, niveau socioéconomique, âge, </w:t>
      </w:r>
      <w:r w:rsidR="19612B39" w:rsidRPr="13D0F0D5">
        <w:rPr>
          <w:sz w:val="20"/>
          <w:szCs w:val="20"/>
          <w:lang w:val="fr"/>
        </w:rPr>
        <w:t xml:space="preserve"> </w:t>
      </w:r>
      <w:r>
        <w:rPr>
          <w:lang w:val="fr"/>
        </w:rPr>
        <w:t xml:space="preserve"> entre </w:t>
      </w:r>
      <w:r w:rsidR="544F3B00" w:rsidRPr="2A54C28C">
        <w:rPr>
          <w:sz w:val="20"/>
          <w:szCs w:val="20"/>
          <w:lang w:val="fr"/>
        </w:rPr>
        <w:t>autres facteurs</w:t>
      </w:r>
      <w:r w:rsidRPr="00361026">
        <w:rPr>
          <w:sz w:val="20"/>
          <w:szCs w:val="20"/>
          <w:lang w:val="fr"/>
        </w:rPr>
        <w:t>.</w:t>
      </w:r>
    </w:p>
    <w:p w14:paraId="50828658" w14:textId="77777777" w:rsidR="00FF51CC" w:rsidRPr="00ED01E0" w:rsidRDefault="00FF51CC" w:rsidP="00905480">
      <w:pPr>
        <w:spacing w:line="276" w:lineRule="auto"/>
        <w:jc w:val="both"/>
        <w:rPr>
          <w:rFonts w:ascii="Cambria" w:hAnsi="Cambria"/>
          <w:sz w:val="20"/>
          <w:szCs w:val="20"/>
          <w:lang w:val="fr-CA"/>
        </w:rPr>
      </w:pPr>
    </w:p>
    <w:p w14:paraId="6C5C0C6E" w14:textId="4AB12237" w:rsidR="00746960" w:rsidRPr="00ED01E0" w:rsidRDefault="00113B38" w:rsidP="00361026">
      <w:pPr>
        <w:pStyle w:val="ListParagraph"/>
        <w:numPr>
          <w:ilvl w:val="0"/>
          <w:numId w:val="2"/>
        </w:numPr>
        <w:spacing w:line="276" w:lineRule="auto"/>
        <w:jc w:val="both"/>
        <w:rPr>
          <w:rFonts w:ascii="Cambria" w:hAnsi="Cambria"/>
          <w:sz w:val="20"/>
          <w:szCs w:val="20"/>
          <w:lang w:val="fr-CA"/>
        </w:rPr>
      </w:pPr>
      <w:r>
        <w:rPr>
          <w:sz w:val="20"/>
          <w:szCs w:val="20"/>
          <w:lang w:val="fr"/>
        </w:rPr>
        <w:t xml:space="preserve">Indicateurs et chiffres </w:t>
      </w:r>
      <w:r w:rsidR="00746960" w:rsidRPr="00361026">
        <w:rPr>
          <w:sz w:val="20"/>
          <w:szCs w:val="20"/>
          <w:lang w:val="fr"/>
        </w:rPr>
        <w:t xml:space="preserve">relatifs à l’urgence </w:t>
      </w:r>
      <w:r w:rsidR="7F75B241" w:rsidRPr="0A0C20D5">
        <w:rPr>
          <w:sz w:val="20"/>
          <w:szCs w:val="20"/>
          <w:lang w:val="fr"/>
        </w:rPr>
        <w:t>climatique</w:t>
      </w:r>
      <w:r>
        <w:rPr>
          <w:lang w:val="fr"/>
        </w:rPr>
        <w:t xml:space="preserve"> et à  ses </w:t>
      </w:r>
      <w:r w:rsidR="6DFE06B0" w:rsidRPr="290EF21B">
        <w:rPr>
          <w:sz w:val="20"/>
          <w:szCs w:val="20"/>
          <w:lang w:val="fr"/>
        </w:rPr>
        <w:t>impacts au niveau de l’État ou de la région</w:t>
      </w:r>
      <w:r>
        <w:rPr>
          <w:lang w:val="fr"/>
        </w:rPr>
        <w:t xml:space="preserve">, y compris les </w:t>
      </w:r>
      <w:r w:rsidR="00746960" w:rsidRPr="00361026">
        <w:rPr>
          <w:sz w:val="20"/>
          <w:szCs w:val="20"/>
          <w:lang w:val="fr"/>
        </w:rPr>
        <w:t xml:space="preserve"> changements de température</w:t>
      </w:r>
      <w:r>
        <w:rPr>
          <w:lang w:val="fr"/>
        </w:rPr>
        <w:t xml:space="preserve">, de </w:t>
      </w:r>
      <w:r w:rsidR="4993FE42" w:rsidRPr="0209C5C4">
        <w:rPr>
          <w:sz w:val="20"/>
          <w:szCs w:val="20"/>
          <w:lang w:val="fr"/>
        </w:rPr>
        <w:t>précipitations</w:t>
      </w:r>
      <w:r>
        <w:rPr>
          <w:lang w:val="fr"/>
        </w:rPr>
        <w:t xml:space="preserve">, de qualité de </w:t>
      </w:r>
      <w:r w:rsidR="3ED7F019" w:rsidRPr="33351232">
        <w:rPr>
          <w:sz w:val="20"/>
          <w:szCs w:val="20"/>
          <w:lang w:val="fr"/>
        </w:rPr>
        <w:t>l’air</w:t>
      </w:r>
      <w:r w:rsidR="6DFE06B0" w:rsidRPr="1EBF9CC5">
        <w:rPr>
          <w:sz w:val="20"/>
          <w:szCs w:val="20"/>
          <w:lang w:val="fr"/>
        </w:rPr>
        <w:t>,</w:t>
      </w:r>
      <w:r w:rsidR="7F75B241" w:rsidRPr="1E6CC4FE">
        <w:rPr>
          <w:sz w:val="20"/>
          <w:szCs w:val="20"/>
          <w:lang w:val="fr"/>
        </w:rPr>
        <w:t xml:space="preserve"> </w:t>
      </w:r>
      <w:r>
        <w:rPr>
          <w:lang w:val="fr"/>
        </w:rPr>
        <w:t xml:space="preserve"> de niveau </w:t>
      </w:r>
      <w:r w:rsidR="6DFE06B0" w:rsidRPr="71ED1634">
        <w:rPr>
          <w:sz w:val="20"/>
          <w:szCs w:val="20"/>
          <w:lang w:val="fr"/>
        </w:rPr>
        <w:t xml:space="preserve"> </w:t>
      </w:r>
      <w:r>
        <w:rPr>
          <w:lang w:val="fr"/>
        </w:rPr>
        <w:t xml:space="preserve">de </w:t>
      </w:r>
      <w:r w:rsidR="00746960" w:rsidRPr="00361026">
        <w:rPr>
          <w:sz w:val="20"/>
          <w:szCs w:val="20"/>
          <w:lang w:val="fr"/>
        </w:rPr>
        <w:t xml:space="preserve"> la mer</w:t>
      </w:r>
      <w:r w:rsidR="4408BFDE" w:rsidRPr="0EC13F97">
        <w:rPr>
          <w:sz w:val="20"/>
          <w:szCs w:val="20"/>
          <w:lang w:val="fr"/>
        </w:rPr>
        <w:t xml:space="preserve"> et </w:t>
      </w:r>
      <w:r>
        <w:rPr>
          <w:lang w:val="fr"/>
        </w:rPr>
        <w:t xml:space="preserve"> de perte </w:t>
      </w:r>
      <w:r w:rsidR="4408BFDE" w:rsidRPr="5B1DF49A">
        <w:rPr>
          <w:sz w:val="20"/>
          <w:szCs w:val="20"/>
          <w:lang w:val="fr"/>
        </w:rPr>
        <w:t xml:space="preserve">de </w:t>
      </w:r>
      <w:r w:rsidR="4408BFDE" w:rsidRPr="1531E2DC">
        <w:rPr>
          <w:sz w:val="20"/>
          <w:szCs w:val="20"/>
          <w:lang w:val="fr"/>
        </w:rPr>
        <w:t>côtes.</w:t>
      </w:r>
      <w:r w:rsidR="00746960" w:rsidRPr="00361026">
        <w:rPr>
          <w:sz w:val="20"/>
          <w:szCs w:val="20"/>
          <w:lang w:val="fr"/>
        </w:rPr>
        <w:t xml:space="preserve">  </w:t>
      </w:r>
      <w:r>
        <w:rPr>
          <w:lang w:val="fr"/>
        </w:rPr>
        <w:t xml:space="preserve"> </w:t>
      </w:r>
      <w:r w:rsidR="00746960" w:rsidRPr="00361026">
        <w:rPr>
          <w:sz w:val="20"/>
          <w:szCs w:val="20"/>
          <w:lang w:val="fr"/>
        </w:rPr>
        <w:t xml:space="preserve"> De même, les données relatives aux </w:t>
      </w:r>
      <w:r w:rsidR="001C6E84">
        <w:rPr>
          <w:sz w:val="20"/>
          <w:szCs w:val="20"/>
          <w:lang w:val="fr"/>
        </w:rPr>
        <w:t xml:space="preserve">zones ou </w:t>
      </w:r>
      <w:r w:rsidR="00FF51CC" w:rsidRPr="00361026">
        <w:rPr>
          <w:sz w:val="20"/>
          <w:szCs w:val="20"/>
          <w:lang w:val="fr"/>
        </w:rPr>
        <w:t>régions touchées par les catastrophes naturelles, les effets d’érosion et les impacts environnementaux sur la production économique des cultures, de la pêche et de l’élevage au cours des cinq dernières années,</w:t>
      </w:r>
      <w:r>
        <w:rPr>
          <w:lang w:val="fr"/>
        </w:rPr>
        <w:t xml:space="preserve"> </w:t>
      </w:r>
      <w:r w:rsidR="7AE4C7CF" w:rsidRPr="5F098B29">
        <w:rPr>
          <w:sz w:val="20"/>
          <w:szCs w:val="20"/>
          <w:lang w:val="fr"/>
        </w:rPr>
        <w:t xml:space="preserve">ainsi que </w:t>
      </w:r>
      <w:r>
        <w:rPr>
          <w:lang w:val="fr"/>
        </w:rPr>
        <w:t xml:space="preserve"> les </w:t>
      </w:r>
      <w:r w:rsidR="00CA451D">
        <w:rPr>
          <w:sz w:val="20"/>
          <w:szCs w:val="20"/>
          <w:lang w:val="fr"/>
        </w:rPr>
        <w:t xml:space="preserve"> chiffres sur la perte de biodiversité parmi d’autres indicateurs des </w:t>
      </w:r>
      <w:r w:rsidR="00DE1039">
        <w:rPr>
          <w:sz w:val="20"/>
          <w:szCs w:val="20"/>
          <w:lang w:val="fr"/>
        </w:rPr>
        <w:t>processus accélérés de dégradation de l’environnement</w:t>
      </w:r>
      <w:r w:rsidR="00956314">
        <w:rPr>
          <w:sz w:val="20"/>
          <w:szCs w:val="20"/>
          <w:lang w:val="fr"/>
        </w:rPr>
        <w:t>par les activités et</w:t>
      </w:r>
      <w:r w:rsidR="001D2A45">
        <w:rPr>
          <w:sz w:val="20"/>
          <w:szCs w:val="20"/>
          <w:lang w:val="fr"/>
        </w:rPr>
        <w:t>les économies.</w:t>
      </w:r>
    </w:p>
    <w:p w14:paraId="3A68B303" w14:textId="2255BA58" w:rsidR="00FF51CC" w:rsidRPr="00ED01E0" w:rsidRDefault="00FF51CC" w:rsidP="00905480">
      <w:pPr>
        <w:spacing w:line="276" w:lineRule="auto"/>
        <w:jc w:val="both"/>
        <w:rPr>
          <w:rFonts w:ascii="Cambria" w:hAnsi="Cambria"/>
          <w:sz w:val="20"/>
          <w:szCs w:val="20"/>
          <w:lang w:val="fr-CA"/>
        </w:rPr>
      </w:pPr>
    </w:p>
    <w:p w14:paraId="254F7229" w14:textId="4B43690B" w:rsidR="00746960" w:rsidRPr="00ED01E0" w:rsidRDefault="358A0277" w:rsidP="00361026">
      <w:pPr>
        <w:pStyle w:val="ListParagraph"/>
        <w:numPr>
          <w:ilvl w:val="0"/>
          <w:numId w:val="2"/>
        </w:numPr>
        <w:spacing w:line="276" w:lineRule="auto"/>
        <w:jc w:val="both"/>
        <w:rPr>
          <w:rFonts w:ascii="Cambria" w:hAnsi="Cambria"/>
          <w:sz w:val="20"/>
          <w:szCs w:val="20"/>
          <w:lang w:val="fr-CA"/>
        </w:rPr>
      </w:pPr>
      <w:r w:rsidRPr="2D74F17D">
        <w:rPr>
          <w:sz w:val="20"/>
          <w:szCs w:val="20"/>
          <w:lang w:val="fr"/>
        </w:rPr>
        <w:t xml:space="preserve">Chiffres socioéconomiques, notamment sur : i) la pauvreté et l’extrême pauvreté dans le pays; ii) les chiffres de la population bénéficiant des systèmes de santé, des soins médicaux primaires et/ou de la sécurité sociale; iii) le pourcentage d’informations sur la population ayant accès à l’enseignement de base, secondaire et supérieur ou à l’université, ainsi que les taux de scolarisation et d’abandon scolaire aux différents niveaux de l’enseignement; iv) nombre de personnes souffrant de la faim, de la sous-alimentation, de l’insécurité alimentaire ou nutritionnelle, du surpoids, de l’obésité et du retard de croissance; recensements de la population et du logement; v) les chiffres relatifs à l’accès à d’autres services publics de base ou essentiels tels que l’électricité, le gaz naturel, l’eau potable, l’internet, les transports publics, le nettoyage urbain et ménager. Ces indicateurs et chiffres doivent de préférence être ventilés au niveau géographique (par départements ou localités), par sexe, origine ethnique ou raciale, nationalité, niveau socioéconomique, âge, entre autres facteurs. </w:t>
      </w:r>
    </w:p>
    <w:p w14:paraId="770FD9D2" w14:textId="645F9E43" w:rsidR="00746960" w:rsidRPr="00ED01E0" w:rsidRDefault="00746960" w:rsidP="43EB2D83">
      <w:pPr>
        <w:spacing w:line="276" w:lineRule="auto"/>
        <w:jc w:val="both"/>
        <w:rPr>
          <w:rFonts w:ascii="Cambria" w:hAnsi="Cambria"/>
          <w:sz w:val="20"/>
          <w:szCs w:val="20"/>
          <w:lang w:val="fr-CA"/>
        </w:rPr>
      </w:pPr>
    </w:p>
    <w:p w14:paraId="4AB6D985" w14:textId="74F751CE" w:rsidR="00FF51CC" w:rsidRPr="00ED01E0" w:rsidRDefault="00361026" w:rsidP="00905480">
      <w:pPr>
        <w:spacing w:line="276" w:lineRule="auto"/>
        <w:jc w:val="both"/>
        <w:rPr>
          <w:rFonts w:ascii="Cambria" w:hAnsi="Cambria"/>
          <w:sz w:val="20"/>
          <w:szCs w:val="20"/>
          <w:lang w:val="fr-CA"/>
        </w:rPr>
      </w:pPr>
      <w:r>
        <w:rPr>
          <w:sz w:val="20"/>
          <w:szCs w:val="20"/>
          <w:lang w:val="fr"/>
        </w:rPr>
        <w:t>B</w:t>
      </w:r>
      <w:r w:rsidR="00FF51CC" w:rsidRPr="00746960">
        <w:rPr>
          <w:sz w:val="20"/>
          <w:szCs w:val="20"/>
          <w:lang w:val="fr"/>
        </w:rPr>
        <w:t xml:space="preserve">. Si possible, étayez </w:t>
      </w:r>
      <w:r>
        <w:rPr>
          <w:sz w:val="20"/>
          <w:szCs w:val="20"/>
          <w:lang w:val="fr"/>
        </w:rPr>
        <w:t xml:space="preserve"> </w:t>
      </w:r>
      <w:r w:rsidR="00FF51CC" w:rsidRPr="00746960">
        <w:rPr>
          <w:sz w:val="20"/>
          <w:szCs w:val="20"/>
          <w:lang w:val="fr"/>
        </w:rPr>
        <w:t>ces renseignements statistiques ou indiquez où ils sont disponibles et accessibles. S’ils existent, indiquez plusieurs sources pour ces données, y compris des statistiques étatiques et non étatiques.</w:t>
      </w:r>
    </w:p>
    <w:p w14:paraId="63C3B0EF" w14:textId="77777777" w:rsidR="00FF51CC" w:rsidRPr="00ED01E0" w:rsidRDefault="00FF51CC" w:rsidP="00905480">
      <w:pPr>
        <w:spacing w:line="276" w:lineRule="auto"/>
        <w:jc w:val="both"/>
        <w:rPr>
          <w:rFonts w:ascii="Cambria" w:hAnsi="Cambria"/>
          <w:sz w:val="20"/>
          <w:szCs w:val="20"/>
          <w:lang w:val="fr-CA"/>
        </w:rPr>
      </w:pPr>
    </w:p>
    <w:p w14:paraId="6567B70F" w14:textId="30A008B1" w:rsidR="00FF51CC" w:rsidRPr="00ED01E0" w:rsidRDefault="00FF51CC" w:rsidP="00007215">
      <w:pPr>
        <w:spacing w:line="276" w:lineRule="auto"/>
        <w:ind w:firstLine="720"/>
        <w:jc w:val="both"/>
        <w:rPr>
          <w:rFonts w:ascii="Cambria" w:hAnsi="Cambria"/>
          <w:b/>
          <w:bCs/>
          <w:sz w:val="20"/>
          <w:szCs w:val="20"/>
          <w:lang w:val="fr-CA"/>
        </w:rPr>
      </w:pPr>
      <w:r w:rsidRPr="00007215">
        <w:rPr>
          <w:b/>
          <w:sz w:val="20"/>
          <w:szCs w:val="20"/>
          <w:lang w:val="fr"/>
        </w:rPr>
        <w:t>2. Cadre réglementaire</w:t>
      </w:r>
    </w:p>
    <w:p w14:paraId="193A60C4" w14:textId="77777777" w:rsidR="00361026" w:rsidRPr="00ED01E0" w:rsidRDefault="00361026" w:rsidP="00905480">
      <w:pPr>
        <w:spacing w:line="276" w:lineRule="auto"/>
        <w:jc w:val="both"/>
        <w:rPr>
          <w:rFonts w:ascii="Cambria" w:hAnsi="Cambria"/>
          <w:sz w:val="20"/>
          <w:szCs w:val="20"/>
          <w:lang w:val="fr-CA"/>
        </w:rPr>
      </w:pPr>
    </w:p>
    <w:p w14:paraId="1620CDC6" w14:textId="27846A30" w:rsidR="00FF51CC" w:rsidRPr="00ED01E0" w:rsidRDefault="00F12B06" w:rsidP="00905480">
      <w:pPr>
        <w:spacing w:line="276" w:lineRule="auto"/>
        <w:jc w:val="both"/>
        <w:rPr>
          <w:rFonts w:ascii="Cambria" w:hAnsi="Cambria"/>
          <w:sz w:val="20"/>
          <w:szCs w:val="20"/>
          <w:lang w:val="fr-CA"/>
        </w:rPr>
      </w:pPr>
      <w:r>
        <w:rPr>
          <w:sz w:val="20"/>
          <w:szCs w:val="20"/>
          <w:lang w:val="fr"/>
        </w:rPr>
        <w:t>A</w:t>
      </w:r>
      <w:r w:rsidR="00FF51CC" w:rsidRPr="00746960">
        <w:rPr>
          <w:sz w:val="20"/>
          <w:szCs w:val="20"/>
          <w:lang w:val="fr"/>
        </w:rPr>
        <w:t xml:space="preserve">. </w:t>
      </w:r>
      <w:r>
        <w:rPr>
          <w:lang w:val="fr"/>
        </w:rPr>
        <w:t xml:space="preserve"> </w:t>
      </w:r>
      <w:r>
        <w:rPr>
          <w:sz w:val="20"/>
          <w:szCs w:val="20"/>
          <w:lang w:val="fr"/>
        </w:rPr>
        <w:t>Indiquer</w:t>
      </w:r>
      <w:r>
        <w:rPr>
          <w:lang w:val="fr"/>
        </w:rPr>
        <w:t xml:space="preserve">, </w:t>
      </w:r>
      <w:r w:rsidR="00FF51CC" w:rsidRPr="00746960">
        <w:rPr>
          <w:sz w:val="20"/>
          <w:szCs w:val="20"/>
          <w:lang w:val="fr"/>
        </w:rPr>
        <w:t xml:space="preserve">le cas échéant, quelles sont les règles actuelles du </w:t>
      </w:r>
      <w:r>
        <w:rPr>
          <w:lang w:val="fr"/>
        </w:rPr>
        <w:t xml:space="preserve"> cadre juridique, </w:t>
      </w:r>
      <w:r>
        <w:rPr>
          <w:sz w:val="20"/>
          <w:szCs w:val="20"/>
          <w:lang w:val="fr"/>
        </w:rPr>
        <w:t xml:space="preserve">qu’il soit </w:t>
      </w:r>
      <w:r w:rsidR="00FF51CC" w:rsidRPr="00746960">
        <w:rPr>
          <w:sz w:val="20"/>
          <w:szCs w:val="20"/>
          <w:lang w:val="fr"/>
        </w:rPr>
        <w:t>national</w:t>
      </w:r>
      <w:r>
        <w:rPr>
          <w:lang w:val="fr"/>
        </w:rPr>
        <w:t xml:space="preserve"> ou </w:t>
      </w:r>
      <w:r w:rsidR="00FF51CC" w:rsidRPr="00746960">
        <w:rPr>
          <w:sz w:val="20"/>
          <w:szCs w:val="20"/>
          <w:lang w:val="fr"/>
        </w:rPr>
        <w:t xml:space="preserve"> local</w:t>
      </w:r>
      <w:r>
        <w:rPr>
          <w:lang w:val="fr"/>
        </w:rPr>
        <w:t xml:space="preserve">, </w:t>
      </w:r>
      <w:r w:rsidR="00FF51CC" w:rsidRPr="00746960">
        <w:rPr>
          <w:sz w:val="20"/>
          <w:szCs w:val="20"/>
          <w:lang w:val="fr"/>
        </w:rPr>
        <w:t xml:space="preserve"> qui  visent à reconnaître</w:t>
      </w:r>
      <w:r>
        <w:rPr>
          <w:sz w:val="20"/>
          <w:szCs w:val="20"/>
          <w:lang w:val="fr"/>
        </w:rPr>
        <w:t>,</w:t>
      </w:r>
      <w:r w:rsidR="00FF51CC" w:rsidRPr="00746960">
        <w:rPr>
          <w:sz w:val="20"/>
          <w:szCs w:val="20"/>
          <w:lang w:val="fr"/>
        </w:rPr>
        <w:t xml:space="preserve"> garantir </w:t>
      </w:r>
      <w:r>
        <w:rPr>
          <w:sz w:val="20"/>
          <w:szCs w:val="20"/>
          <w:lang w:val="fr"/>
        </w:rPr>
        <w:t xml:space="preserve">ou développer </w:t>
      </w:r>
      <w:r w:rsidR="00166028">
        <w:rPr>
          <w:sz w:val="20"/>
          <w:szCs w:val="20"/>
          <w:lang w:val="fr"/>
        </w:rPr>
        <w:t>les droits</w:t>
      </w:r>
      <w:r>
        <w:rPr>
          <w:lang w:val="fr"/>
        </w:rPr>
        <w:t xml:space="preserve"> </w:t>
      </w:r>
      <w:r w:rsidR="00FF51CC" w:rsidRPr="00746960">
        <w:rPr>
          <w:sz w:val="20"/>
          <w:szCs w:val="20"/>
          <w:lang w:val="fr"/>
        </w:rPr>
        <w:t>suivants:</w:t>
      </w:r>
      <w:r>
        <w:rPr>
          <w:sz w:val="20"/>
          <w:szCs w:val="20"/>
          <w:lang w:val="fr"/>
        </w:rPr>
        <w:t xml:space="preserve"> </w:t>
      </w:r>
    </w:p>
    <w:p w14:paraId="4AA5BD63" w14:textId="77777777" w:rsidR="00FF51CC" w:rsidRPr="00ED01E0" w:rsidRDefault="00FF51CC" w:rsidP="00905480">
      <w:pPr>
        <w:spacing w:line="276" w:lineRule="auto"/>
        <w:jc w:val="both"/>
        <w:rPr>
          <w:rFonts w:ascii="Cambria" w:hAnsi="Cambria"/>
          <w:sz w:val="20"/>
          <w:szCs w:val="20"/>
          <w:lang w:val="fr-CA"/>
        </w:rPr>
      </w:pPr>
    </w:p>
    <w:p w14:paraId="4DF2AB9B" w14:textId="77777777" w:rsidR="00166028" w:rsidRPr="002221A3" w:rsidRDefault="00FF51CC" w:rsidP="002221A3">
      <w:pPr>
        <w:pStyle w:val="ListParagraph"/>
        <w:numPr>
          <w:ilvl w:val="0"/>
          <w:numId w:val="3"/>
        </w:numPr>
        <w:spacing w:line="276" w:lineRule="auto"/>
        <w:jc w:val="both"/>
        <w:rPr>
          <w:rFonts w:ascii="Cambria" w:hAnsi="Cambria"/>
          <w:sz w:val="20"/>
          <w:szCs w:val="20"/>
          <w:lang w:val="es-ES"/>
        </w:rPr>
      </w:pPr>
      <w:r w:rsidRPr="002221A3">
        <w:rPr>
          <w:sz w:val="20"/>
          <w:szCs w:val="20"/>
          <w:lang w:val="fr"/>
        </w:rPr>
        <w:t>Droit à la santé</w:t>
      </w:r>
    </w:p>
    <w:p w14:paraId="4332075F" w14:textId="77777777" w:rsidR="00166028" w:rsidRDefault="00166028" w:rsidP="00905480">
      <w:pPr>
        <w:spacing w:line="276" w:lineRule="auto"/>
        <w:jc w:val="both"/>
        <w:rPr>
          <w:rFonts w:ascii="Cambria" w:hAnsi="Cambria"/>
          <w:sz w:val="20"/>
          <w:szCs w:val="20"/>
          <w:lang w:val="es-ES"/>
        </w:rPr>
      </w:pPr>
    </w:p>
    <w:p w14:paraId="535F5535" w14:textId="7DF126E4" w:rsidR="00FF51CC" w:rsidRPr="002221A3" w:rsidRDefault="00166028" w:rsidP="002221A3">
      <w:pPr>
        <w:pStyle w:val="ListParagraph"/>
        <w:numPr>
          <w:ilvl w:val="0"/>
          <w:numId w:val="3"/>
        </w:numPr>
        <w:spacing w:line="276" w:lineRule="auto"/>
        <w:jc w:val="both"/>
        <w:rPr>
          <w:rFonts w:ascii="Cambria" w:hAnsi="Cambria"/>
          <w:sz w:val="20"/>
          <w:szCs w:val="20"/>
          <w:lang w:val="es-ES"/>
        </w:rPr>
      </w:pPr>
      <w:r w:rsidRPr="002221A3">
        <w:rPr>
          <w:sz w:val="20"/>
          <w:szCs w:val="20"/>
          <w:lang w:val="fr"/>
        </w:rPr>
        <w:t xml:space="preserve">Droit à l’éducation  </w:t>
      </w:r>
    </w:p>
    <w:p w14:paraId="276DEB05" w14:textId="3EDDF1C3" w:rsidR="00166028" w:rsidRDefault="00166028" w:rsidP="00905480">
      <w:pPr>
        <w:spacing w:line="276" w:lineRule="auto"/>
        <w:jc w:val="both"/>
        <w:rPr>
          <w:rFonts w:ascii="Cambria" w:hAnsi="Cambria"/>
          <w:sz w:val="20"/>
          <w:szCs w:val="20"/>
          <w:lang w:val="es-ES"/>
        </w:rPr>
      </w:pPr>
    </w:p>
    <w:p w14:paraId="0B54AEB8" w14:textId="1DD1843B" w:rsidR="00FF51CC" w:rsidRPr="00ED01E0" w:rsidRDefault="00FF51CC" w:rsidP="002221A3">
      <w:pPr>
        <w:pStyle w:val="ListParagraph"/>
        <w:numPr>
          <w:ilvl w:val="0"/>
          <w:numId w:val="3"/>
        </w:numPr>
        <w:spacing w:line="276" w:lineRule="auto"/>
        <w:jc w:val="both"/>
        <w:rPr>
          <w:rFonts w:ascii="Cambria" w:hAnsi="Cambria"/>
          <w:sz w:val="20"/>
          <w:szCs w:val="20"/>
          <w:lang w:val="fr-CA"/>
        </w:rPr>
      </w:pPr>
      <w:r w:rsidRPr="002221A3">
        <w:rPr>
          <w:sz w:val="20"/>
          <w:szCs w:val="20"/>
          <w:lang w:val="fr"/>
        </w:rPr>
        <w:t>Droit à un niveau de vie suffisant</w:t>
      </w:r>
    </w:p>
    <w:p w14:paraId="4F739776" w14:textId="77777777" w:rsidR="00166028" w:rsidRPr="00ED01E0" w:rsidRDefault="00166028" w:rsidP="00905480">
      <w:pPr>
        <w:spacing w:line="276" w:lineRule="auto"/>
        <w:jc w:val="both"/>
        <w:rPr>
          <w:rFonts w:ascii="Cambria" w:hAnsi="Cambria"/>
          <w:sz w:val="20"/>
          <w:szCs w:val="20"/>
          <w:lang w:val="fr-CA"/>
        </w:rPr>
      </w:pPr>
    </w:p>
    <w:p w14:paraId="102257B0" w14:textId="46321D7B" w:rsidR="00FF51CC" w:rsidRPr="00ED01E0" w:rsidRDefault="00FF51CC" w:rsidP="002221A3">
      <w:pPr>
        <w:pStyle w:val="ListParagraph"/>
        <w:numPr>
          <w:ilvl w:val="0"/>
          <w:numId w:val="3"/>
        </w:numPr>
        <w:spacing w:line="276" w:lineRule="auto"/>
        <w:jc w:val="both"/>
        <w:rPr>
          <w:rFonts w:ascii="Cambria" w:hAnsi="Cambria"/>
          <w:sz w:val="20"/>
          <w:szCs w:val="20"/>
          <w:lang w:val="fr-CA"/>
        </w:rPr>
      </w:pPr>
      <w:r w:rsidRPr="002221A3">
        <w:rPr>
          <w:sz w:val="20"/>
          <w:szCs w:val="20"/>
          <w:lang w:val="fr"/>
        </w:rPr>
        <w:t>Droit au travail</w:t>
      </w:r>
      <w:r w:rsidR="001E513F">
        <w:rPr>
          <w:sz w:val="20"/>
          <w:szCs w:val="20"/>
          <w:lang w:val="fr"/>
        </w:rPr>
        <w:t>;</w:t>
      </w:r>
      <w:r>
        <w:rPr>
          <w:lang w:val="fr"/>
        </w:rPr>
        <w:t xml:space="preserve"> </w:t>
      </w:r>
      <w:r w:rsidR="000D3164">
        <w:rPr>
          <w:sz w:val="20"/>
          <w:szCs w:val="20"/>
          <w:lang w:val="fr"/>
        </w:rPr>
        <w:t xml:space="preserve"> Droit à des conditions de travail justes, justes et favorables et droits syndicaux</w:t>
      </w:r>
    </w:p>
    <w:p w14:paraId="7B61D8D6" w14:textId="73C87D6E" w:rsidR="00166028" w:rsidRPr="00ED01E0" w:rsidRDefault="00166028" w:rsidP="00166028">
      <w:pPr>
        <w:spacing w:line="276" w:lineRule="auto"/>
        <w:jc w:val="both"/>
        <w:rPr>
          <w:rFonts w:ascii="Cambria" w:hAnsi="Cambria"/>
          <w:sz w:val="20"/>
          <w:szCs w:val="20"/>
          <w:lang w:val="fr-CA"/>
        </w:rPr>
      </w:pPr>
    </w:p>
    <w:p w14:paraId="6D80D02E" w14:textId="288D8B69" w:rsidR="00166028" w:rsidRPr="002221A3" w:rsidRDefault="00166028" w:rsidP="002221A3">
      <w:pPr>
        <w:pStyle w:val="ListParagraph"/>
        <w:numPr>
          <w:ilvl w:val="0"/>
          <w:numId w:val="3"/>
        </w:numPr>
        <w:spacing w:line="276" w:lineRule="auto"/>
        <w:jc w:val="both"/>
        <w:rPr>
          <w:rFonts w:ascii="Cambria" w:hAnsi="Cambria"/>
          <w:sz w:val="20"/>
          <w:szCs w:val="20"/>
          <w:lang w:val="es-ES"/>
        </w:rPr>
      </w:pPr>
      <w:r w:rsidRPr="002221A3">
        <w:rPr>
          <w:sz w:val="20"/>
          <w:szCs w:val="20"/>
          <w:lang w:val="fr"/>
        </w:rPr>
        <w:t xml:space="preserve">Droit à la liberté économique </w:t>
      </w:r>
    </w:p>
    <w:p w14:paraId="108AAA85" w14:textId="77777777" w:rsidR="00FF51CC" w:rsidRPr="00746960" w:rsidRDefault="00FF51CC" w:rsidP="00905480">
      <w:pPr>
        <w:spacing w:line="276" w:lineRule="auto"/>
        <w:jc w:val="both"/>
        <w:rPr>
          <w:rFonts w:ascii="Cambria" w:hAnsi="Cambria"/>
          <w:sz w:val="20"/>
          <w:szCs w:val="20"/>
          <w:lang w:val="es-ES"/>
        </w:rPr>
      </w:pPr>
    </w:p>
    <w:p w14:paraId="32BC70E8" w14:textId="7A972343" w:rsidR="00FF51CC" w:rsidRPr="002221A3" w:rsidRDefault="00FF51CC" w:rsidP="002221A3">
      <w:pPr>
        <w:pStyle w:val="ListParagraph"/>
        <w:numPr>
          <w:ilvl w:val="0"/>
          <w:numId w:val="3"/>
        </w:numPr>
        <w:spacing w:line="276" w:lineRule="auto"/>
        <w:jc w:val="both"/>
        <w:rPr>
          <w:rFonts w:ascii="Cambria" w:hAnsi="Cambria"/>
          <w:sz w:val="20"/>
          <w:szCs w:val="20"/>
          <w:lang w:val="es-ES"/>
        </w:rPr>
      </w:pPr>
      <w:r w:rsidRPr="002221A3">
        <w:rPr>
          <w:sz w:val="20"/>
          <w:szCs w:val="20"/>
          <w:lang w:val="fr"/>
        </w:rPr>
        <w:t>Droit à une alimentation suffisante</w:t>
      </w:r>
    </w:p>
    <w:p w14:paraId="7F10C77F" w14:textId="77777777" w:rsidR="00166028" w:rsidRDefault="00166028" w:rsidP="00905480">
      <w:pPr>
        <w:spacing w:line="276" w:lineRule="auto"/>
        <w:jc w:val="both"/>
        <w:rPr>
          <w:rFonts w:ascii="Cambria" w:hAnsi="Cambria"/>
          <w:sz w:val="20"/>
          <w:szCs w:val="20"/>
          <w:lang w:val="es-ES"/>
        </w:rPr>
      </w:pPr>
    </w:p>
    <w:p w14:paraId="02443DCA" w14:textId="3D863AB8" w:rsidR="00FF51CC" w:rsidRPr="00ED01E0" w:rsidRDefault="00FF51CC" w:rsidP="002221A3">
      <w:pPr>
        <w:pStyle w:val="ListParagraph"/>
        <w:numPr>
          <w:ilvl w:val="0"/>
          <w:numId w:val="3"/>
        </w:numPr>
        <w:spacing w:line="276" w:lineRule="auto"/>
        <w:jc w:val="both"/>
        <w:rPr>
          <w:rFonts w:ascii="Cambria" w:hAnsi="Cambria"/>
          <w:sz w:val="20"/>
          <w:szCs w:val="20"/>
          <w:lang w:val="fr-CA"/>
        </w:rPr>
      </w:pPr>
      <w:r w:rsidRPr="002221A3">
        <w:rPr>
          <w:sz w:val="20"/>
          <w:szCs w:val="20"/>
          <w:lang w:val="fr"/>
        </w:rPr>
        <w:t>Droit</w:t>
      </w:r>
      <w:r w:rsidR="001E513F">
        <w:rPr>
          <w:sz w:val="20"/>
          <w:szCs w:val="20"/>
          <w:lang w:val="fr"/>
        </w:rPr>
        <w:t xml:space="preserve"> d’accès </w:t>
      </w:r>
      <w:r>
        <w:rPr>
          <w:lang w:val="fr"/>
        </w:rPr>
        <w:t xml:space="preserve"> à l’eau </w:t>
      </w:r>
      <w:r w:rsidR="001E513F">
        <w:rPr>
          <w:sz w:val="20"/>
          <w:szCs w:val="20"/>
          <w:lang w:val="fr"/>
        </w:rPr>
        <w:t xml:space="preserve">potable </w:t>
      </w:r>
      <w:r>
        <w:rPr>
          <w:lang w:val="fr"/>
        </w:rPr>
        <w:t xml:space="preserve"> et à </w:t>
      </w:r>
      <w:r w:rsidRPr="002221A3">
        <w:rPr>
          <w:sz w:val="20"/>
          <w:szCs w:val="20"/>
          <w:lang w:val="fr"/>
        </w:rPr>
        <w:t xml:space="preserve">l’assainissement </w:t>
      </w:r>
    </w:p>
    <w:p w14:paraId="79755D7D" w14:textId="77777777" w:rsidR="00166028" w:rsidRPr="00ED01E0" w:rsidRDefault="00166028" w:rsidP="00905480">
      <w:pPr>
        <w:spacing w:line="276" w:lineRule="auto"/>
        <w:jc w:val="both"/>
        <w:rPr>
          <w:rFonts w:ascii="Cambria" w:hAnsi="Cambria"/>
          <w:sz w:val="20"/>
          <w:szCs w:val="20"/>
          <w:lang w:val="fr-CA"/>
        </w:rPr>
      </w:pPr>
    </w:p>
    <w:p w14:paraId="0F032921" w14:textId="577FD10E" w:rsidR="00FF51CC" w:rsidRPr="002221A3" w:rsidRDefault="00FF51CC" w:rsidP="002221A3">
      <w:pPr>
        <w:pStyle w:val="ListParagraph"/>
        <w:numPr>
          <w:ilvl w:val="0"/>
          <w:numId w:val="3"/>
        </w:numPr>
        <w:spacing w:line="276" w:lineRule="auto"/>
        <w:jc w:val="both"/>
        <w:rPr>
          <w:rFonts w:ascii="Cambria" w:hAnsi="Cambria"/>
          <w:sz w:val="20"/>
          <w:szCs w:val="20"/>
          <w:lang w:val="es-ES"/>
        </w:rPr>
      </w:pPr>
      <w:r w:rsidRPr="002221A3">
        <w:rPr>
          <w:sz w:val="20"/>
          <w:szCs w:val="20"/>
          <w:lang w:val="fr"/>
        </w:rPr>
        <w:t>Droit à un environnement sain</w:t>
      </w:r>
    </w:p>
    <w:p w14:paraId="0F61A0DE" w14:textId="2951A054" w:rsidR="00FF51CC" w:rsidRPr="00746960" w:rsidRDefault="00FF51CC" w:rsidP="00905480">
      <w:pPr>
        <w:spacing w:line="276" w:lineRule="auto"/>
        <w:jc w:val="both"/>
        <w:rPr>
          <w:rFonts w:ascii="Cambria" w:hAnsi="Cambria"/>
          <w:sz w:val="20"/>
          <w:szCs w:val="20"/>
          <w:lang w:val="es-ES"/>
        </w:rPr>
      </w:pPr>
    </w:p>
    <w:p w14:paraId="2F650E89" w14:textId="4C5FF98D" w:rsidR="00FF51CC" w:rsidRPr="002221A3" w:rsidRDefault="00FF51CC" w:rsidP="002221A3">
      <w:pPr>
        <w:pStyle w:val="ListParagraph"/>
        <w:numPr>
          <w:ilvl w:val="0"/>
          <w:numId w:val="3"/>
        </w:numPr>
        <w:spacing w:line="276" w:lineRule="auto"/>
        <w:jc w:val="both"/>
        <w:rPr>
          <w:rFonts w:ascii="Cambria" w:hAnsi="Cambria"/>
          <w:sz w:val="20"/>
          <w:szCs w:val="20"/>
          <w:lang w:val="es-ES"/>
        </w:rPr>
      </w:pPr>
      <w:r w:rsidRPr="002221A3">
        <w:rPr>
          <w:sz w:val="20"/>
          <w:szCs w:val="20"/>
          <w:lang w:val="fr"/>
        </w:rPr>
        <w:t>Droit au logement</w:t>
      </w:r>
    </w:p>
    <w:p w14:paraId="2BAF2BFF" w14:textId="32D4B8DE" w:rsidR="00FF51CC" w:rsidRDefault="00FF51CC" w:rsidP="00905480">
      <w:pPr>
        <w:spacing w:line="276" w:lineRule="auto"/>
        <w:jc w:val="both"/>
        <w:rPr>
          <w:rFonts w:ascii="Cambria" w:hAnsi="Cambria"/>
          <w:sz w:val="20"/>
          <w:szCs w:val="20"/>
          <w:lang w:val="es-ES"/>
        </w:rPr>
      </w:pPr>
    </w:p>
    <w:p w14:paraId="0A1A27E5" w14:textId="4239C2F4" w:rsidR="00166028" w:rsidRPr="00ED01E0" w:rsidRDefault="74AD3EDF" w:rsidP="00655B78">
      <w:pPr>
        <w:pStyle w:val="ListParagraph"/>
        <w:numPr>
          <w:ilvl w:val="0"/>
          <w:numId w:val="2"/>
        </w:numPr>
        <w:spacing w:line="276" w:lineRule="auto"/>
        <w:jc w:val="both"/>
        <w:rPr>
          <w:rFonts w:ascii="Cambria" w:hAnsi="Cambria"/>
          <w:sz w:val="20"/>
          <w:szCs w:val="20"/>
          <w:lang w:val="fr-CA"/>
        </w:rPr>
      </w:pPr>
      <w:r w:rsidRPr="43EB2D83">
        <w:rPr>
          <w:sz w:val="20"/>
          <w:szCs w:val="20"/>
          <w:lang w:val="fr"/>
        </w:rPr>
        <w:t>Le principe d’égalité et de non-discrimination, en ce qui concerne les droits économiques, sociaux, culturels et environnementaux, en particulier les droits énumérés ci-dessus.</w:t>
      </w:r>
    </w:p>
    <w:p w14:paraId="5D2EBB26" w14:textId="031BF054" w:rsidR="00166028" w:rsidRPr="00ED01E0" w:rsidRDefault="00166028" w:rsidP="00DA6EB8">
      <w:pPr>
        <w:pStyle w:val="ListParagraph"/>
        <w:spacing w:line="276" w:lineRule="auto"/>
        <w:jc w:val="both"/>
        <w:rPr>
          <w:rFonts w:ascii="Cambria" w:hAnsi="Cambria"/>
          <w:sz w:val="20"/>
          <w:szCs w:val="20"/>
          <w:lang w:val="fr-CA"/>
        </w:rPr>
      </w:pPr>
    </w:p>
    <w:p w14:paraId="3EAA8DC4" w14:textId="3CE53A65" w:rsidR="00166028" w:rsidRPr="00ED01E0" w:rsidRDefault="3F944871" w:rsidP="00655B78">
      <w:pPr>
        <w:pStyle w:val="ListParagraph"/>
        <w:numPr>
          <w:ilvl w:val="0"/>
          <w:numId w:val="2"/>
        </w:numPr>
        <w:spacing w:line="276" w:lineRule="auto"/>
        <w:jc w:val="both"/>
        <w:rPr>
          <w:rFonts w:ascii="Cambria" w:hAnsi="Cambria"/>
          <w:sz w:val="20"/>
          <w:szCs w:val="20"/>
          <w:lang w:val="fr-CA"/>
        </w:rPr>
      </w:pPr>
      <w:r w:rsidRPr="43EB2D83">
        <w:rPr>
          <w:sz w:val="20"/>
          <w:szCs w:val="20"/>
          <w:lang w:val="fr"/>
        </w:rPr>
        <w:t>Indiquer les dispositions normatives qui accordent une protection spéciale de ces droits ou des droits supplémentaires aux personnes en situation de mobilité humaine, ainsi que des protections spéciales fondées sur le sexe, l’origine ethnique ou raciale, le niveau socioéconomique, l’âge, entre autres circonstances de vulnérabilité potentielle.</w:t>
      </w:r>
    </w:p>
    <w:p w14:paraId="25C4EA5A" w14:textId="77777777" w:rsidR="00F12B06" w:rsidRPr="00ED01E0" w:rsidRDefault="00F12B06" w:rsidP="00905480">
      <w:pPr>
        <w:spacing w:line="276" w:lineRule="auto"/>
        <w:jc w:val="both"/>
        <w:rPr>
          <w:rFonts w:ascii="Cambria" w:hAnsi="Cambria"/>
          <w:sz w:val="20"/>
          <w:szCs w:val="20"/>
          <w:lang w:val="fr-CA"/>
        </w:rPr>
      </w:pPr>
    </w:p>
    <w:p w14:paraId="7A379A45" w14:textId="1A733687" w:rsidR="00FF51CC" w:rsidRPr="00ED01E0" w:rsidRDefault="00166028" w:rsidP="002221A3">
      <w:pPr>
        <w:pStyle w:val="ListParagraph"/>
        <w:numPr>
          <w:ilvl w:val="0"/>
          <w:numId w:val="3"/>
        </w:numPr>
        <w:spacing w:line="276" w:lineRule="auto"/>
        <w:jc w:val="both"/>
        <w:rPr>
          <w:rFonts w:ascii="Cambria" w:hAnsi="Cambria"/>
          <w:sz w:val="20"/>
          <w:szCs w:val="20"/>
          <w:lang w:val="fr-CA"/>
        </w:rPr>
      </w:pPr>
      <w:r w:rsidRPr="002221A3">
        <w:rPr>
          <w:sz w:val="20"/>
          <w:szCs w:val="20"/>
          <w:lang w:val="fr"/>
        </w:rPr>
        <w:t xml:space="preserve">Le droit </w:t>
      </w:r>
      <w:r w:rsidR="00781AF9">
        <w:rPr>
          <w:sz w:val="20"/>
          <w:szCs w:val="20"/>
          <w:lang w:val="fr"/>
        </w:rPr>
        <w:t>d’avoir accès à</w:t>
      </w:r>
      <w:r>
        <w:rPr>
          <w:lang w:val="fr"/>
        </w:rPr>
        <w:t xml:space="preserve"> des </w:t>
      </w:r>
      <w:r w:rsidR="00FF51CC" w:rsidRPr="002221A3">
        <w:rPr>
          <w:sz w:val="20"/>
          <w:szCs w:val="20"/>
          <w:lang w:val="fr"/>
        </w:rPr>
        <w:t xml:space="preserve"> recours effectifs (administratifs ou judiciaires) contre les violations des droits susmentionnés</w:t>
      </w:r>
      <w:r w:rsidR="7BF82898" w:rsidRPr="460A24B2">
        <w:rPr>
          <w:sz w:val="20"/>
          <w:szCs w:val="20"/>
          <w:lang w:val="fr"/>
        </w:rPr>
        <w:t xml:space="preserve">. </w:t>
      </w:r>
    </w:p>
    <w:p w14:paraId="42263197" w14:textId="77777777" w:rsidR="00FF51CC" w:rsidRPr="00ED01E0" w:rsidRDefault="00FF51CC" w:rsidP="00905480">
      <w:pPr>
        <w:spacing w:line="276" w:lineRule="auto"/>
        <w:jc w:val="both"/>
        <w:rPr>
          <w:rFonts w:ascii="Cambria" w:hAnsi="Cambria"/>
          <w:sz w:val="20"/>
          <w:szCs w:val="20"/>
          <w:lang w:val="fr-CA"/>
        </w:rPr>
      </w:pPr>
    </w:p>
    <w:p w14:paraId="4E4956AE" w14:textId="7F9944B6" w:rsidR="00FF51CC" w:rsidRPr="00ED01E0" w:rsidRDefault="00F12B06" w:rsidP="00905480">
      <w:pPr>
        <w:spacing w:line="276" w:lineRule="auto"/>
        <w:jc w:val="both"/>
        <w:rPr>
          <w:rFonts w:ascii="Cambria" w:hAnsi="Cambria"/>
          <w:sz w:val="20"/>
          <w:szCs w:val="20"/>
          <w:lang w:val="fr-CA"/>
        </w:rPr>
      </w:pPr>
      <w:r>
        <w:rPr>
          <w:sz w:val="20"/>
          <w:szCs w:val="20"/>
          <w:lang w:val="fr"/>
        </w:rPr>
        <w:t>B</w:t>
      </w:r>
      <w:r w:rsidR="00FF51CC" w:rsidRPr="00746960">
        <w:rPr>
          <w:sz w:val="20"/>
          <w:szCs w:val="20"/>
          <w:lang w:val="fr"/>
        </w:rPr>
        <w:t xml:space="preserve">. Si possible, fournir les </w:t>
      </w:r>
      <w:r>
        <w:rPr>
          <w:lang w:val="fr"/>
        </w:rPr>
        <w:t xml:space="preserve"> textes </w:t>
      </w:r>
      <w:r w:rsidR="002221A3">
        <w:rPr>
          <w:sz w:val="20"/>
          <w:szCs w:val="20"/>
          <w:lang w:val="fr"/>
        </w:rPr>
        <w:t>normatifs</w:t>
      </w:r>
      <w:r>
        <w:rPr>
          <w:lang w:val="fr"/>
        </w:rPr>
        <w:t xml:space="preserve"> et/ou </w:t>
      </w:r>
      <w:r w:rsidR="00FF51CC" w:rsidRPr="00746960">
        <w:rPr>
          <w:sz w:val="20"/>
          <w:szCs w:val="20"/>
          <w:lang w:val="fr"/>
        </w:rPr>
        <w:t xml:space="preserve">les décisions judiciaires qui reconnaissent et </w:t>
      </w:r>
      <w:r w:rsidR="002221A3">
        <w:rPr>
          <w:sz w:val="20"/>
          <w:szCs w:val="20"/>
          <w:lang w:val="fr"/>
        </w:rPr>
        <w:t xml:space="preserve">développent </w:t>
      </w:r>
      <w:r w:rsidR="00FF51CC" w:rsidRPr="00746960">
        <w:rPr>
          <w:sz w:val="20"/>
          <w:szCs w:val="20"/>
          <w:lang w:val="fr"/>
        </w:rPr>
        <w:t xml:space="preserve">ces droits, ou </w:t>
      </w:r>
      <w:r w:rsidR="002221A3">
        <w:rPr>
          <w:sz w:val="20"/>
          <w:szCs w:val="20"/>
          <w:lang w:val="fr"/>
        </w:rPr>
        <w:t xml:space="preserve">  </w:t>
      </w:r>
      <w:r w:rsidR="00FF51CC" w:rsidRPr="00746960">
        <w:rPr>
          <w:sz w:val="20"/>
          <w:szCs w:val="20"/>
          <w:lang w:val="fr"/>
        </w:rPr>
        <w:t xml:space="preserve">indiquer où ils peuvent être consultés. </w:t>
      </w:r>
    </w:p>
    <w:p w14:paraId="6E8F2F78" w14:textId="77777777" w:rsidR="00FF51CC" w:rsidRPr="00ED01E0" w:rsidRDefault="00FF51CC" w:rsidP="00905480">
      <w:pPr>
        <w:spacing w:line="276" w:lineRule="auto"/>
        <w:jc w:val="both"/>
        <w:rPr>
          <w:rFonts w:ascii="Cambria" w:hAnsi="Cambria"/>
          <w:sz w:val="20"/>
          <w:szCs w:val="20"/>
          <w:lang w:val="fr-CA"/>
        </w:rPr>
      </w:pPr>
    </w:p>
    <w:p w14:paraId="061CFBC5" w14:textId="1040EA68" w:rsidR="00FF51CC" w:rsidRPr="00ED01E0" w:rsidRDefault="00FF51CC" w:rsidP="00905480">
      <w:pPr>
        <w:spacing w:line="276" w:lineRule="auto"/>
        <w:jc w:val="both"/>
        <w:rPr>
          <w:rFonts w:ascii="Cambria" w:hAnsi="Cambria"/>
          <w:sz w:val="20"/>
          <w:szCs w:val="20"/>
          <w:lang w:val="fr-CA"/>
        </w:rPr>
      </w:pPr>
      <w:r w:rsidRPr="00746960">
        <w:rPr>
          <w:sz w:val="20"/>
          <w:szCs w:val="20"/>
          <w:lang w:val="fr"/>
        </w:rPr>
        <w:t>C. Indiquer si l’État a signé et</w:t>
      </w:r>
      <w:r w:rsidR="019997BB" w:rsidRPr="2C6FE64F">
        <w:rPr>
          <w:sz w:val="20"/>
          <w:szCs w:val="20"/>
          <w:lang w:val="fr"/>
        </w:rPr>
        <w:t>/ou</w:t>
      </w:r>
      <w:r w:rsidRPr="00746960">
        <w:rPr>
          <w:sz w:val="20"/>
          <w:szCs w:val="20"/>
          <w:lang w:val="fr"/>
        </w:rPr>
        <w:t xml:space="preserve"> ratifié </w:t>
      </w:r>
      <w:r>
        <w:rPr>
          <w:lang w:val="fr"/>
        </w:rPr>
        <w:t xml:space="preserve"> les </w:t>
      </w:r>
      <w:r w:rsidR="7FEDED48" w:rsidRPr="52FDABCF">
        <w:rPr>
          <w:sz w:val="20"/>
          <w:szCs w:val="20"/>
          <w:lang w:val="fr"/>
        </w:rPr>
        <w:t>instruments</w:t>
      </w:r>
      <w:r>
        <w:rPr>
          <w:lang w:val="fr"/>
        </w:rPr>
        <w:t xml:space="preserve"> </w:t>
      </w:r>
      <w:r w:rsidR="7FEDED48" w:rsidRPr="11881AD8">
        <w:rPr>
          <w:sz w:val="20"/>
          <w:szCs w:val="20"/>
          <w:lang w:val="fr"/>
        </w:rPr>
        <w:t xml:space="preserve">interaméricains </w:t>
      </w:r>
      <w:r>
        <w:rPr>
          <w:lang w:val="fr"/>
        </w:rPr>
        <w:t xml:space="preserve"> pertinents, </w:t>
      </w:r>
      <w:r w:rsidR="7FEDED48" w:rsidRPr="03073BAA">
        <w:rPr>
          <w:sz w:val="20"/>
          <w:szCs w:val="20"/>
          <w:lang w:val="fr"/>
        </w:rPr>
        <w:t>ainsi que</w:t>
      </w:r>
      <w:r w:rsidRPr="00746960">
        <w:rPr>
          <w:sz w:val="20"/>
          <w:szCs w:val="20"/>
          <w:lang w:val="fr"/>
        </w:rPr>
        <w:t xml:space="preserve"> le Pacte international relatif aux droits économiques, sociaux et culturels</w:t>
      </w:r>
      <w:r w:rsidR="00655B78">
        <w:rPr>
          <w:sz w:val="20"/>
          <w:szCs w:val="20"/>
          <w:lang w:val="fr"/>
        </w:rPr>
        <w:t>;</w:t>
      </w:r>
      <w:r w:rsidR="7FEDED48" w:rsidRPr="3DC9C31E">
        <w:rPr>
          <w:sz w:val="20"/>
          <w:szCs w:val="20"/>
          <w:lang w:val="fr"/>
        </w:rPr>
        <w:t xml:space="preserve"> </w:t>
      </w:r>
      <w:r>
        <w:rPr>
          <w:lang w:val="fr"/>
        </w:rPr>
        <w:t xml:space="preserve"> la </w:t>
      </w:r>
      <w:r w:rsidR="00655B78" w:rsidRPr="00655B78">
        <w:rPr>
          <w:sz w:val="20"/>
          <w:szCs w:val="20"/>
          <w:lang w:val="fr"/>
        </w:rPr>
        <w:t xml:space="preserve">Convention </w:t>
      </w:r>
      <w:r w:rsidR="000925AB">
        <w:rPr>
          <w:sz w:val="20"/>
          <w:szCs w:val="20"/>
          <w:lang w:val="fr"/>
        </w:rPr>
        <w:t>internationale</w:t>
      </w:r>
      <w:r>
        <w:rPr>
          <w:lang w:val="fr"/>
        </w:rPr>
        <w:t xml:space="preserve"> </w:t>
      </w:r>
      <w:r w:rsidR="00655B78" w:rsidRPr="00655B78">
        <w:rPr>
          <w:sz w:val="20"/>
          <w:szCs w:val="20"/>
          <w:lang w:val="fr"/>
        </w:rPr>
        <w:t>sur la protection des droits de tous les travailleurs migrants et des membres de leur famille</w:t>
      </w:r>
      <w:r w:rsidR="00655B78">
        <w:rPr>
          <w:sz w:val="20"/>
          <w:szCs w:val="20"/>
          <w:lang w:val="fr"/>
        </w:rPr>
        <w:t xml:space="preserve">; </w:t>
      </w:r>
      <w:r>
        <w:rPr>
          <w:lang w:val="fr"/>
        </w:rPr>
        <w:t xml:space="preserve"> </w:t>
      </w:r>
      <w:r w:rsidR="000925AB">
        <w:rPr>
          <w:sz w:val="20"/>
          <w:szCs w:val="20"/>
          <w:lang w:val="fr"/>
        </w:rPr>
        <w:t xml:space="preserve"> </w:t>
      </w:r>
      <w:r>
        <w:rPr>
          <w:lang w:val="fr"/>
        </w:rPr>
        <w:t xml:space="preserve"> </w:t>
      </w:r>
      <w:r w:rsidRPr="00746960">
        <w:rPr>
          <w:sz w:val="20"/>
          <w:szCs w:val="20"/>
          <w:lang w:val="fr"/>
        </w:rPr>
        <w:t xml:space="preserve">les conventions de l’OIT sur les droits </w:t>
      </w:r>
      <w:r>
        <w:rPr>
          <w:lang w:val="fr"/>
        </w:rPr>
        <w:t xml:space="preserve"> du travail</w:t>
      </w:r>
      <w:r w:rsidR="00655B78">
        <w:rPr>
          <w:sz w:val="20"/>
          <w:szCs w:val="20"/>
          <w:lang w:val="fr"/>
        </w:rPr>
        <w:t>;</w:t>
      </w:r>
      <w:r>
        <w:rPr>
          <w:lang w:val="fr"/>
        </w:rPr>
        <w:t xml:space="preserve"> </w:t>
      </w:r>
      <w:r w:rsidR="00655B78" w:rsidRPr="00746960">
        <w:rPr>
          <w:sz w:val="20"/>
          <w:szCs w:val="20"/>
          <w:lang w:val="fr"/>
        </w:rPr>
        <w:t xml:space="preserve"> l’Accord de Paris</w:t>
      </w:r>
      <w:r w:rsidR="00655B78">
        <w:rPr>
          <w:sz w:val="20"/>
          <w:szCs w:val="20"/>
          <w:lang w:val="fr"/>
        </w:rPr>
        <w:t xml:space="preserve">; </w:t>
      </w:r>
      <w:r>
        <w:rPr>
          <w:lang w:val="fr"/>
        </w:rPr>
        <w:t xml:space="preserve"> </w:t>
      </w:r>
      <w:r w:rsidRPr="00746960">
        <w:rPr>
          <w:sz w:val="20"/>
          <w:szCs w:val="20"/>
          <w:lang w:val="fr"/>
        </w:rPr>
        <w:t>l’Accord d’Escazú</w:t>
      </w:r>
      <w:r w:rsidR="00655B78">
        <w:rPr>
          <w:sz w:val="20"/>
          <w:szCs w:val="20"/>
          <w:lang w:val="fr"/>
        </w:rPr>
        <w:t>, ou tout autre traité ou convention internationale qui traite</w:t>
      </w:r>
      <w:r>
        <w:rPr>
          <w:lang w:val="fr"/>
        </w:rPr>
        <w:t xml:space="preserve"> de la protection des droits énumérés ci-dessus </w:t>
      </w:r>
      <w:r w:rsidR="00941C35">
        <w:rPr>
          <w:sz w:val="20"/>
          <w:szCs w:val="20"/>
          <w:lang w:val="fr"/>
        </w:rPr>
        <w:t xml:space="preserve"> ou des accords bilatéraux pour la protection des personnes en situation de mobilité humaine.</w:t>
      </w:r>
    </w:p>
    <w:p w14:paraId="20F35AB5" w14:textId="77777777" w:rsidR="00FF51CC" w:rsidRPr="00ED01E0" w:rsidRDefault="00FF51CC" w:rsidP="00905480">
      <w:pPr>
        <w:spacing w:line="276" w:lineRule="auto"/>
        <w:jc w:val="both"/>
        <w:rPr>
          <w:rFonts w:ascii="Cambria" w:hAnsi="Cambria"/>
          <w:sz w:val="20"/>
          <w:szCs w:val="20"/>
          <w:lang w:val="fr-CA"/>
        </w:rPr>
      </w:pPr>
      <w:r w:rsidRPr="00ED01E0">
        <w:rPr>
          <w:rFonts w:ascii="Cambria" w:hAnsi="Cambria"/>
          <w:sz w:val="20"/>
          <w:szCs w:val="20"/>
          <w:lang w:val="fr-CA"/>
        </w:rPr>
        <w:t xml:space="preserve"> </w:t>
      </w:r>
    </w:p>
    <w:p w14:paraId="32EB96B0" w14:textId="77777777" w:rsidR="00FF51CC" w:rsidRPr="00ED01E0" w:rsidRDefault="00FF51CC" w:rsidP="00007215">
      <w:pPr>
        <w:spacing w:line="276" w:lineRule="auto"/>
        <w:ind w:firstLine="720"/>
        <w:jc w:val="both"/>
        <w:rPr>
          <w:rFonts w:ascii="Cambria" w:hAnsi="Cambria"/>
          <w:b/>
          <w:bCs/>
          <w:sz w:val="20"/>
          <w:szCs w:val="20"/>
          <w:lang w:val="fr-CA"/>
        </w:rPr>
      </w:pPr>
      <w:r w:rsidRPr="00007215">
        <w:rPr>
          <w:b/>
          <w:sz w:val="20"/>
          <w:szCs w:val="20"/>
          <w:lang w:val="fr"/>
        </w:rPr>
        <w:lastRenderedPageBreak/>
        <w:t>3. Politiques publiques</w:t>
      </w:r>
    </w:p>
    <w:p w14:paraId="2424703D" w14:textId="77777777" w:rsidR="004219B3" w:rsidRPr="00ED01E0" w:rsidRDefault="004219B3" w:rsidP="00905480">
      <w:pPr>
        <w:spacing w:line="276" w:lineRule="auto"/>
        <w:jc w:val="both"/>
        <w:rPr>
          <w:rFonts w:ascii="Cambria" w:hAnsi="Cambria"/>
          <w:sz w:val="20"/>
          <w:szCs w:val="20"/>
          <w:lang w:val="fr-CA"/>
        </w:rPr>
      </w:pPr>
    </w:p>
    <w:p w14:paraId="1300BBFA" w14:textId="46039606" w:rsidR="00FF51CC" w:rsidRPr="00ED01E0" w:rsidRDefault="00FD0A3F" w:rsidP="00905480">
      <w:pPr>
        <w:spacing w:line="276" w:lineRule="auto"/>
        <w:jc w:val="both"/>
        <w:rPr>
          <w:rFonts w:ascii="Cambria" w:hAnsi="Cambria"/>
          <w:sz w:val="20"/>
          <w:szCs w:val="20"/>
          <w:lang w:val="fr-CA"/>
        </w:rPr>
      </w:pPr>
      <w:r>
        <w:rPr>
          <w:sz w:val="20"/>
          <w:szCs w:val="20"/>
          <w:lang w:val="fr"/>
        </w:rPr>
        <w:t>A</w:t>
      </w:r>
      <w:r w:rsidR="00FF51CC" w:rsidRPr="00746960">
        <w:rPr>
          <w:sz w:val="20"/>
          <w:szCs w:val="20"/>
          <w:lang w:val="fr"/>
        </w:rPr>
        <w:t>. Décrire les politiques, programmes, plans et mesures publics</w:t>
      </w:r>
      <w:r>
        <w:rPr>
          <w:lang w:val="fr"/>
        </w:rPr>
        <w:t xml:space="preserve"> </w:t>
      </w:r>
      <w:r w:rsidR="00093203">
        <w:rPr>
          <w:sz w:val="20"/>
          <w:szCs w:val="20"/>
          <w:lang w:val="fr"/>
        </w:rPr>
        <w:t>de nature sociale, économique ou fiscale</w:t>
      </w:r>
      <w:r>
        <w:rPr>
          <w:lang w:val="fr"/>
        </w:rPr>
        <w:t xml:space="preserve"> nationale ou </w:t>
      </w:r>
      <w:r w:rsidR="00FF51CC" w:rsidRPr="00746960">
        <w:rPr>
          <w:sz w:val="20"/>
          <w:szCs w:val="20"/>
          <w:lang w:val="fr"/>
        </w:rPr>
        <w:t xml:space="preserve"> nationale que l’État a mis en œuvre au cours des cinq dernières années ou qu’il </w:t>
      </w:r>
      <w:r>
        <w:rPr>
          <w:lang w:val="fr"/>
        </w:rPr>
        <w:t xml:space="preserve"> met actuellement </w:t>
      </w:r>
      <w:r w:rsidR="00093203">
        <w:rPr>
          <w:sz w:val="20"/>
          <w:szCs w:val="20"/>
          <w:lang w:val="fr"/>
        </w:rPr>
        <w:t xml:space="preserve">en œuvre </w:t>
      </w:r>
      <w:r>
        <w:rPr>
          <w:lang w:val="fr"/>
        </w:rPr>
        <w:t xml:space="preserve"> </w:t>
      </w:r>
      <w:r w:rsidR="00FF51CC" w:rsidRPr="00746960">
        <w:rPr>
          <w:sz w:val="20"/>
          <w:szCs w:val="20"/>
          <w:lang w:val="fr"/>
        </w:rPr>
        <w:t>afin de</w:t>
      </w:r>
      <w:r w:rsidR="7BBC8DB6" w:rsidRPr="3C4572CD">
        <w:rPr>
          <w:sz w:val="20"/>
          <w:szCs w:val="20"/>
          <w:lang w:val="fr"/>
        </w:rPr>
        <w:t xml:space="preserve"> progresser</w:t>
      </w:r>
      <w:r>
        <w:rPr>
          <w:lang w:val="fr"/>
        </w:rPr>
        <w:t xml:space="preserve"> à </w:t>
      </w:r>
      <w:r w:rsidR="008C7F08">
        <w:rPr>
          <w:sz w:val="20"/>
          <w:szCs w:val="20"/>
          <w:lang w:val="fr"/>
        </w:rPr>
        <w:t xml:space="preserve"> court, moyen ou long terme dans les </w:t>
      </w:r>
      <w:r>
        <w:rPr>
          <w:lang w:val="fr"/>
        </w:rPr>
        <w:t xml:space="preserve"> domaines </w:t>
      </w:r>
      <w:r w:rsidR="008C7F08">
        <w:rPr>
          <w:sz w:val="20"/>
          <w:szCs w:val="20"/>
          <w:lang w:val="fr"/>
        </w:rPr>
        <w:t xml:space="preserve"> suivants </w:t>
      </w:r>
      <w:r w:rsidR="23E8438F" w:rsidRPr="2CE963B5">
        <w:rPr>
          <w:sz w:val="20"/>
          <w:szCs w:val="20"/>
          <w:lang w:val="fr"/>
        </w:rPr>
        <w:t>:</w:t>
      </w:r>
    </w:p>
    <w:p w14:paraId="4FDC2F75" w14:textId="77777777" w:rsidR="00093203" w:rsidRPr="00ED01E0" w:rsidRDefault="00093203" w:rsidP="00905480">
      <w:pPr>
        <w:spacing w:line="276" w:lineRule="auto"/>
        <w:jc w:val="both"/>
        <w:rPr>
          <w:rFonts w:ascii="Cambria" w:hAnsi="Cambria"/>
          <w:sz w:val="20"/>
          <w:szCs w:val="20"/>
          <w:lang w:val="fr-CA"/>
        </w:rPr>
      </w:pPr>
    </w:p>
    <w:p w14:paraId="1F8AD1BA" w14:textId="0327B6AD" w:rsidR="00093203" w:rsidRPr="00ED01E0" w:rsidRDefault="00093203" w:rsidP="005F3B50">
      <w:pPr>
        <w:pStyle w:val="ListParagraph"/>
        <w:numPr>
          <w:ilvl w:val="0"/>
          <w:numId w:val="5"/>
        </w:numPr>
        <w:spacing w:line="276" w:lineRule="auto"/>
        <w:jc w:val="both"/>
        <w:rPr>
          <w:rFonts w:ascii="Cambria" w:hAnsi="Cambria"/>
          <w:sz w:val="20"/>
          <w:szCs w:val="20"/>
          <w:lang w:val="fr-CA"/>
        </w:rPr>
      </w:pPr>
      <w:r w:rsidRPr="00770F3E">
        <w:rPr>
          <w:sz w:val="20"/>
          <w:szCs w:val="20"/>
          <w:lang w:val="fr"/>
        </w:rPr>
        <w:t>Prévenir ou combattre les niveaux de</w:t>
      </w:r>
      <w:r w:rsidRPr="005F3B50">
        <w:rPr>
          <w:sz w:val="20"/>
          <w:szCs w:val="20"/>
          <w:lang w:val="fr"/>
        </w:rPr>
        <w:t xml:space="preserve"> pauvreté, d’inégalité ou de vulnérabilité sociale, ou promouvoir le développement économique</w:t>
      </w:r>
      <w:r>
        <w:rPr>
          <w:lang w:val="fr"/>
        </w:rPr>
        <w:t xml:space="preserve"> et social</w:t>
      </w:r>
      <w:r w:rsidR="004338D1">
        <w:rPr>
          <w:sz w:val="20"/>
          <w:szCs w:val="20"/>
          <w:lang w:val="fr"/>
        </w:rPr>
        <w:t>, y compris les programmes de protection sociale et les incitations à l’investissement</w:t>
      </w:r>
      <w:r w:rsidRPr="005F3B50">
        <w:rPr>
          <w:sz w:val="20"/>
          <w:szCs w:val="20"/>
          <w:lang w:val="fr"/>
        </w:rPr>
        <w:t>.</w:t>
      </w:r>
    </w:p>
    <w:p w14:paraId="268BABC1" w14:textId="5748E4F4" w:rsidR="000E43EC" w:rsidRPr="00ED01E0" w:rsidRDefault="000E43EC" w:rsidP="00905480">
      <w:pPr>
        <w:spacing w:line="276" w:lineRule="auto"/>
        <w:jc w:val="both"/>
        <w:rPr>
          <w:rFonts w:ascii="Cambria" w:hAnsi="Cambria"/>
          <w:sz w:val="20"/>
          <w:szCs w:val="20"/>
          <w:lang w:val="fr-CA"/>
        </w:rPr>
      </w:pPr>
    </w:p>
    <w:p w14:paraId="22843651" w14:textId="323748F1" w:rsidR="000E43EC" w:rsidRPr="00ED01E0" w:rsidRDefault="000E43EC" w:rsidP="005F3B50">
      <w:pPr>
        <w:pStyle w:val="ListParagraph"/>
        <w:numPr>
          <w:ilvl w:val="0"/>
          <w:numId w:val="5"/>
        </w:numPr>
        <w:spacing w:line="276" w:lineRule="auto"/>
        <w:jc w:val="both"/>
        <w:rPr>
          <w:rFonts w:ascii="Cambria" w:hAnsi="Cambria"/>
          <w:sz w:val="20"/>
          <w:szCs w:val="20"/>
          <w:lang w:val="fr-CA"/>
        </w:rPr>
      </w:pPr>
      <w:r w:rsidRPr="005F3B50">
        <w:rPr>
          <w:sz w:val="20"/>
          <w:szCs w:val="20"/>
          <w:lang w:val="fr"/>
        </w:rPr>
        <w:t xml:space="preserve">Faire face aux situations de mobilité humaine interne et transfrontalière et mener une politique migratoire, à la fois en tant qu’État d’origine, de transit ou d’accueil. </w:t>
      </w:r>
    </w:p>
    <w:p w14:paraId="1D4562B6" w14:textId="77777777" w:rsidR="008C7F08" w:rsidRPr="00ED01E0" w:rsidRDefault="008C7F08" w:rsidP="00905480">
      <w:pPr>
        <w:spacing w:line="276" w:lineRule="auto"/>
        <w:jc w:val="both"/>
        <w:rPr>
          <w:rFonts w:ascii="Cambria" w:hAnsi="Cambria"/>
          <w:sz w:val="20"/>
          <w:szCs w:val="20"/>
          <w:lang w:val="fr-CA"/>
        </w:rPr>
      </w:pPr>
    </w:p>
    <w:p w14:paraId="26A6BC17" w14:textId="3E13D064" w:rsidR="00093203" w:rsidRPr="00ED01E0" w:rsidRDefault="00093203" w:rsidP="005F3B50">
      <w:pPr>
        <w:pStyle w:val="ListParagraph"/>
        <w:numPr>
          <w:ilvl w:val="0"/>
          <w:numId w:val="5"/>
        </w:numPr>
        <w:spacing w:line="276" w:lineRule="auto"/>
        <w:jc w:val="both"/>
        <w:rPr>
          <w:rFonts w:ascii="Cambria" w:hAnsi="Cambria"/>
          <w:sz w:val="20"/>
          <w:szCs w:val="20"/>
          <w:lang w:val="fr-CA"/>
        </w:rPr>
      </w:pPr>
      <w:r w:rsidRPr="005F3B50">
        <w:rPr>
          <w:sz w:val="20"/>
          <w:szCs w:val="20"/>
          <w:lang w:val="fr"/>
        </w:rPr>
        <w:t>Renforcer la garantie, la jouissance et l’accès aux droits économiques, sociaux, culturels ou environnementaux, en particulier les droits à la santé, à l’éducation, à un niveau de vie suffisant, au travail et aux conditions de travail, aux droits syndicaux, à la liberté économique, à une alimentation suffisante, à l’eau</w:t>
      </w:r>
      <w:r w:rsidR="00770F3E">
        <w:rPr>
          <w:sz w:val="20"/>
          <w:szCs w:val="20"/>
          <w:lang w:val="fr"/>
        </w:rPr>
        <w:t xml:space="preserve"> potable</w:t>
      </w:r>
      <w:r>
        <w:rPr>
          <w:lang w:val="fr"/>
        </w:rPr>
        <w:t xml:space="preserve"> et à </w:t>
      </w:r>
      <w:r w:rsidRPr="005F3B50">
        <w:rPr>
          <w:sz w:val="20"/>
          <w:szCs w:val="20"/>
          <w:lang w:val="fr"/>
        </w:rPr>
        <w:t xml:space="preserve"> l’assainissement, à un environnement sain et au logement.</w:t>
      </w:r>
    </w:p>
    <w:p w14:paraId="4CD2D964" w14:textId="37A68D8D" w:rsidR="00093203" w:rsidRPr="00ED01E0" w:rsidRDefault="00093203" w:rsidP="005F3B50">
      <w:pPr>
        <w:spacing w:line="276" w:lineRule="auto"/>
        <w:ind w:firstLine="40"/>
        <w:jc w:val="both"/>
        <w:rPr>
          <w:rFonts w:ascii="Cambria" w:hAnsi="Cambria"/>
          <w:sz w:val="20"/>
          <w:szCs w:val="20"/>
          <w:lang w:val="fr-CA"/>
        </w:rPr>
      </w:pPr>
    </w:p>
    <w:p w14:paraId="1723B355" w14:textId="5BC11BF1" w:rsidR="00FF51CC" w:rsidRPr="00ED01E0" w:rsidRDefault="000E43EC" w:rsidP="005F3B50">
      <w:pPr>
        <w:pStyle w:val="ListParagraph"/>
        <w:numPr>
          <w:ilvl w:val="0"/>
          <w:numId w:val="5"/>
        </w:numPr>
        <w:spacing w:line="276" w:lineRule="auto"/>
        <w:jc w:val="both"/>
        <w:rPr>
          <w:rFonts w:ascii="Cambria" w:hAnsi="Cambria"/>
          <w:sz w:val="20"/>
          <w:szCs w:val="20"/>
          <w:lang w:val="fr-CA"/>
        </w:rPr>
      </w:pPr>
      <w:r w:rsidRPr="005F3B50">
        <w:rPr>
          <w:sz w:val="20"/>
          <w:szCs w:val="20"/>
          <w:lang w:val="fr"/>
        </w:rPr>
        <w:t xml:space="preserve">Faire face à </w:t>
      </w:r>
      <w:r w:rsidR="1BD7EAEC" w:rsidRPr="5B3CABA2">
        <w:rPr>
          <w:sz w:val="20"/>
          <w:szCs w:val="20"/>
          <w:lang w:val="fr"/>
        </w:rPr>
        <w:t>l’urgence</w:t>
      </w:r>
      <w:r>
        <w:rPr>
          <w:lang w:val="fr"/>
        </w:rPr>
        <w:t xml:space="preserve"> climatique et </w:t>
      </w:r>
      <w:r w:rsidRPr="005F3B50">
        <w:rPr>
          <w:sz w:val="20"/>
          <w:szCs w:val="20"/>
          <w:lang w:val="fr"/>
        </w:rPr>
        <w:t xml:space="preserve"> lutter contre </w:t>
      </w:r>
      <w:r w:rsidR="4468F957" w:rsidRPr="6BDC58A3">
        <w:rPr>
          <w:sz w:val="20"/>
          <w:szCs w:val="20"/>
          <w:lang w:val="fr"/>
        </w:rPr>
        <w:t>ses</w:t>
      </w:r>
      <w:r w:rsidRPr="005F3B50">
        <w:rPr>
          <w:sz w:val="20"/>
          <w:szCs w:val="20"/>
          <w:lang w:val="fr"/>
        </w:rPr>
        <w:t xml:space="preserve"> causes et </w:t>
      </w:r>
      <w:r w:rsidR="1669E4C6" w:rsidRPr="6BDC58A3">
        <w:rPr>
          <w:sz w:val="20"/>
          <w:szCs w:val="20"/>
          <w:lang w:val="fr"/>
        </w:rPr>
        <w:t>ses effets</w:t>
      </w:r>
      <w:r w:rsidR="00FF51CC" w:rsidRPr="005F3B50">
        <w:rPr>
          <w:sz w:val="20"/>
          <w:szCs w:val="20"/>
          <w:lang w:val="fr"/>
        </w:rPr>
        <w:t>.</w:t>
      </w:r>
    </w:p>
    <w:p w14:paraId="4E0F8541" w14:textId="77777777" w:rsidR="00FF51CC" w:rsidRPr="00ED01E0" w:rsidRDefault="00FF51CC" w:rsidP="00905480">
      <w:pPr>
        <w:spacing w:line="276" w:lineRule="auto"/>
        <w:jc w:val="both"/>
        <w:rPr>
          <w:rFonts w:ascii="Cambria" w:hAnsi="Cambria"/>
          <w:sz w:val="20"/>
          <w:szCs w:val="20"/>
          <w:lang w:val="fr-CA"/>
        </w:rPr>
      </w:pPr>
    </w:p>
    <w:p w14:paraId="4477F378" w14:textId="47BDB3F3" w:rsidR="00FF51CC" w:rsidRPr="00ED01E0" w:rsidRDefault="000E43EC" w:rsidP="00905480">
      <w:pPr>
        <w:spacing w:line="276" w:lineRule="auto"/>
        <w:jc w:val="both"/>
        <w:rPr>
          <w:rFonts w:ascii="Cambria" w:hAnsi="Cambria"/>
          <w:sz w:val="20"/>
          <w:szCs w:val="20"/>
          <w:lang w:val="fr-CA"/>
        </w:rPr>
      </w:pPr>
      <w:r>
        <w:rPr>
          <w:sz w:val="20"/>
          <w:szCs w:val="20"/>
          <w:lang w:val="fr"/>
        </w:rPr>
        <w:t xml:space="preserve">B. Mentionner les indicateurs et les </w:t>
      </w:r>
      <w:r w:rsidR="00FF51CC" w:rsidRPr="00746960">
        <w:rPr>
          <w:sz w:val="20"/>
          <w:szCs w:val="20"/>
          <w:lang w:val="fr"/>
        </w:rPr>
        <w:t xml:space="preserve">mécanismes institutionnels pour </w:t>
      </w:r>
      <w:r>
        <w:rPr>
          <w:sz w:val="20"/>
          <w:szCs w:val="20"/>
          <w:lang w:val="fr"/>
        </w:rPr>
        <w:t xml:space="preserve">gérer, exécuter, </w:t>
      </w:r>
      <w:r w:rsidR="00FF51CC" w:rsidRPr="00746960">
        <w:rPr>
          <w:sz w:val="20"/>
          <w:szCs w:val="20"/>
          <w:lang w:val="fr"/>
        </w:rPr>
        <w:t>suivre et évaluer les progrès de ces politiques publiques. S’ils n’existent pas, indiquez les indicateurs et les mécanismes de suivi que vous jugez les plus appropriés.</w:t>
      </w:r>
    </w:p>
    <w:p w14:paraId="18978060" w14:textId="77777777" w:rsidR="000E43EC" w:rsidRPr="00ED01E0" w:rsidRDefault="000E43EC" w:rsidP="00905480">
      <w:pPr>
        <w:spacing w:line="276" w:lineRule="auto"/>
        <w:jc w:val="both"/>
        <w:rPr>
          <w:rFonts w:ascii="Cambria" w:hAnsi="Cambria"/>
          <w:sz w:val="20"/>
          <w:szCs w:val="20"/>
          <w:lang w:val="fr-CA"/>
        </w:rPr>
      </w:pPr>
    </w:p>
    <w:p w14:paraId="48C408CD" w14:textId="6C5388D5" w:rsidR="00FF51CC" w:rsidRPr="00ED01E0" w:rsidRDefault="00FF51CC" w:rsidP="00905480">
      <w:pPr>
        <w:spacing w:line="276" w:lineRule="auto"/>
        <w:jc w:val="both"/>
        <w:rPr>
          <w:rFonts w:ascii="Cambria" w:hAnsi="Cambria"/>
          <w:sz w:val="20"/>
          <w:szCs w:val="20"/>
          <w:lang w:val="fr-CA"/>
        </w:rPr>
      </w:pPr>
      <w:r w:rsidRPr="00746960">
        <w:rPr>
          <w:sz w:val="20"/>
          <w:szCs w:val="20"/>
          <w:lang w:val="fr"/>
        </w:rPr>
        <w:t xml:space="preserve">C. </w:t>
      </w:r>
      <w:r w:rsidR="000E43EC">
        <w:rPr>
          <w:sz w:val="20"/>
          <w:szCs w:val="20"/>
          <w:lang w:val="fr"/>
        </w:rPr>
        <w:t xml:space="preserve">Fournir </w:t>
      </w:r>
      <w:r w:rsidRPr="00746960">
        <w:rPr>
          <w:sz w:val="20"/>
          <w:szCs w:val="20"/>
          <w:lang w:val="fr"/>
        </w:rPr>
        <w:t>des informations sur les défis et les progrès réalisés dans la conception, la formulation, la mise en œuvre, l’exécution, le suivi et l’évaluation de ces politiques publiques.</w:t>
      </w:r>
    </w:p>
    <w:p w14:paraId="239281E2" w14:textId="77777777" w:rsidR="00FF51CC" w:rsidRPr="00ED01E0" w:rsidRDefault="00FF51CC" w:rsidP="00905480">
      <w:pPr>
        <w:spacing w:line="276" w:lineRule="auto"/>
        <w:jc w:val="both"/>
        <w:rPr>
          <w:rFonts w:ascii="Cambria" w:hAnsi="Cambria"/>
          <w:sz w:val="20"/>
          <w:szCs w:val="20"/>
          <w:lang w:val="fr-CA"/>
        </w:rPr>
      </w:pPr>
    </w:p>
    <w:p w14:paraId="468D73AC" w14:textId="77777777" w:rsidR="00FF51CC" w:rsidRPr="00ED01E0" w:rsidRDefault="00FF51CC" w:rsidP="00007215">
      <w:pPr>
        <w:spacing w:line="276" w:lineRule="auto"/>
        <w:ind w:firstLine="720"/>
        <w:jc w:val="both"/>
        <w:rPr>
          <w:rFonts w:ascii="Cambria" w:hAnsi="Cambria"/>
          <w:b/>
          <w:bCs/>
          <w:sz w:val="20"/>
          <w:szCs w:val="20"/>
          <w:lang w:val="fr-CA"/>
        </w:rPr>
      </w:pPr>
      <w:r w:rsidRPr="00007215">
        <w:rPr>
          <w:b/>
          <w:sz w:val="20"/>
          <w:szCs w:val="20"/>
          <w:lang w:val="fr"/>
        </w:rPr>
        <w:t>4. Mécanismes de protection judiciaire et extrajudiciaire</w:t>
      </w:r>
    </w:p>
    <w:p w14:paraId="4F1EAE28" w14:textId="77777777" w:rsidR="00007215" w:rsidRPr="00ED01E0" w:rsidRDefault="00007215" w:rsidP="00905480">
      <w:pPr>
        <w:spacing w:line="276" w:lineRule="auto"/>
        <w:jc w:val="both"/>
        <w:rPr>
          <w:rFonts w:ascii="Cambria" w:hAnsi="Cambria"/>
          <w:sz w:val="20"/>
          <w:szCs w:val="20"/>
          <w:lang w:val="fr-CA"/>
        </w:rPr>
      </w:pPr>
    </w:p>
    <w:p w14:paraId="3B9B6CA5" w14:textId="01DC161A" w:rsidR="00FF51CC" w:rsidRPr="00ED01E0" w:rsidRDefault="00FF51CC" w:rsidP="00905480">
      <w:pPr>
        <w:spacing w:line="276" w:lineRule="auto"/>
        <w:jc w:val="both"/>
        <w:rPr>
          <w:rFonts w:ascii="Cambria" w:hAnsi="Cambria"/>
          <w:sz w:val="20"/>
          <w:szCs w:val="20"/>
          <w:lang w:val="fr-CA"/>
        </w:rPr>
      </w:pPr>
      <w:r w:rsidRPr="00746960">
        <w:rPr>
          <w:sz w:val="20"/>
          <w:szCs w:val="20"/>
          <w:lang w:val="fr"/>
        </w:rPr>
        <w:t xml:space="preserve">Indiquer quels mécanismes judiciaires et extrajudiciaires sont disponibles pour protéger et garantir l’accès des  personnes </w:t>
      </w:r>
      <w:r w:rsidR="223D2E32" w:rsidRPr="4EC3CFCA">
        <w:rPr>
          <w:sz w:val="20"/>
          <w:szCs w:val="20"/>
          <w:lang w:val="fr"/>
        </w:rPr>
        <w:t xml:space="preserve">en </w:t>
      </w:r>
      <w:r>
        <w:rPr>
          <w:lang w:val="fr"/>
        </w:rPr>
        <w:t xml:space="preserve"> déplacement aux biens et services liés aux droits économiques, sociaux, culturels </w:t>
      </w:r>
      <w:r w:rsidR="00007215">
        <w:rPr>
          <w:sz w:val="20"/>
          <w:szCs w:val="20"/>
          <w:lang w:val="fr"/>
        </w:rPr>
        <w:t xml:space="preserve">et environnementaux </w:t>
      </w:r>
      <w:r w:rsidRPr="00746960">
        <w:rPr>
          <w:sz w:val="20"/>
          <w:szCs w:val="20"/>
          <w:lang w:val="fr"/>
        </w:rPr>
        <w:t xml:space="preserve"> .</w:t>
      </w:r>
    </w:p>
    <w:p w14:paraId="54A3C3A4" w14:textId="77777777" w:rsidR="00FF51CC" w:rsidRPr="00ED01E0" w:rsidRDefault="00FF51CC" w:rsidP="00905480">
      <w:pPr>
        <w:spacing w:line="276" w:lineRule="auto"/>
        <w:jc w:val="both"/>
        <w:rPr>
          <w:rFonts w:ascii="Cambria" w:hAnsi="Cambria"/>
          <w:sz w:val="20"/>
          <w:szCs w:val="20"/>
          <w:lang w:val="fr-CA"/>
        </w:rPr>
      </w:pPr>
    </w:p>
    <w:p w14:paraId="24B3811B" w14:textId="7BDEE14E" w:rsidR="1EC820C8" w:rsidRPr="00ED01E0" w:rsidRDefault="00FF51CC" w:rsidP="3DCAF20E">
      <w:pPr>
        <w:spacing w:line="276" w:lineRule="auto"/>
        <w:ind w:firstLine="720"/>
        <w:jc w:val="both"/>
        <w:rPr>
          <w:rFonts w:ascii="Cambria" w:hAnsi="Cambria"/>
          <w:b/>
          <w:bCs/>
          <w:sz w:val="20"/>
          <w:szCs w:val="20"/>
          <w:lang w:val="fr-CA"/>
        </w:rPr>
      </w:pPr>
      <w:r w:rsidRPr="00007215">
        <w:rPr>
          <w:b/>
          <w:sz w:val="20"/>
          <w:szCs w:val="20"/>
          <w:lang w:val="fr"/>
        </w:rPr>
        <w:t>5. Défis</w:t>
      </w:r>
    </w:p>
    <w:p w14:paraId="503DF2FE" w14:textId="5082ED78" w:rsidR="3DCAF20E" w:rsidRPr="00ED01E0" w:rsidRDefault="3DCAF20E" w:rsidP="3DCAF20E">
      <w:pPr>
        <w:spacing w:line="276" w:lineRule="auto"/>
        <w:ind w:firstLine="720"/>
        <w:jc w:val="both"/>
        <w:rPr>
          <w:rFonts w:ascii="Cambria" w:hAnsi="Cambria"/>
          <w:b/>
          <w:bCs/>
          <w:sz w:val="20"/>
          <w:szCs w:val="20"/>
          <w:lang w:val="fr-CA"/>
        </w:rPr>
      </w:pPr>
    </w:p>
    <w:p w14:paraId="6082569E" w14:textId="287F1981" w:rsidR="00FF51CC" w:rsidRPr="00ED01E0" w:rsidRDefault="00FF51CC" w:rsidP="00905480">
      <w:pPr>
        <w:spacing w:line="276" w:lineRule="auto"/>
        <w:jc w:val="both"/>
        <w:rPr>
          <w:rFonts w:ascii="Cambria" w:hAnsi="Cambria"/>
          <w:sz w:val="20"/>
          <w:szCs w:val="20"/>
          <w:lang w:val="fr-CA"/>
        </w:rPr>
      </w:pPr>
      <w:r w:rsidRPr="00746960">
        <w:rPr>
          <w:sz w:val="20"/>
          <w:szCs w:val="20"/>
          <w:lang w:val="fr"/>
        </w:rPr>
        <w:t>Indiquer les principaux défis structurels, juridiques, sociaux, économiques</w:t>
      </w:r>
      <w:r>
        <w:rPr>
          <w:lang w:val="fr"/>
        </w:rPr>
        <w:t xml:space="preserve">, culturels, environnementaux et politiques à mettre en œuvre et à exécuter des politiques, des </w:t>
      </w:r>
      <w:r w:rsidR="00007215" w:rsidRPr="001C3513">
        <w:rPr>
          <w:sz w:val="20"/>
          <w:szCs w:val="20"/>
          <w:lang w:val="fr"/>
        </w:rPr>
        <w:t xml:space="preserve"> programmes, des plans et/ou des normes juridiques qui visent à (i) éliminer les obstacles à l’accès aux droits économiques, sociaux, culturels et environnementaux, en </w:t>
      </w:r>
      <w:r w:rsidR="23248E59" w:rsidRPr="507DF28C">
        <w:rPr>
          <w:sz w:val="20"/>
          <w:szCs w:val="20"/>
          <w:lang w:val="fr"/>
        </w:rPr>
        <w:t xml:space="preserve">mettant </w:t>
      </w:r>
      <w:r w:rsidR="23248E59" w:rsidRPr="433C8ADB">
        <w:rPr>
          <w:sz w:val="20"/>
          <w:szCs w:val="20"/>
          <w:lang w:val="fr"/>
        </w:rPr>
        <w:t>particulièrement l’accent sur</w:t>
      </w:r>
      <w:r w:rsidR="00007215">
        <w:rPr>
          <w:sz w:val="20"/>
          <w:szCs w:val="20"/>
          <w:lang w:val="fr"/>
        </w:rPr>
        <w:t xml:space="preserve"> </w:t>
      </w:r>
      <w:r w:rsidRPr="00746960">
        <w:rPr>
          <w:sz w:val="20"/>
          <w:szCs w:val="20"/>
          <w:lang w:val="fr"/>
        </w:rPr>
        <w:t xml:space="preserve"> </w:t>
      </w:r>
      <w:r w:rsidRPr="001C3513">
        <w:rPr>
          <w:sz w:val="20"/>
          <w:szCs w:val="20"/>
          <w:lang w:val="fr"/>
        </w:rPr>
        <w:t xml:space="preserve">  les personnes en situation de mobilité humaine, et ii) veiller à ce que la pleine réalisation et l’exercice de ces droits soient accessibles à </w:t>
      </w:r>
      <w:r w:rsidRPr="76C21AEE">
        <w:rPr>
          <w:sz w:val="20"/>
          <w:szCs w:val="20"/>
          <w:lang w:val="fr"/>
        </w:rPr>
        <w:t>tous</w:t>
      </w:r>
      <w:r w:rsidRPr="001C3513">
        <w:rPr>
          <w:sz w:val="20"/>
          <w:szCs w:val="20"/>
          <w:lang w:val="fr"/>
        </w:rPr>
        <w:t xml:space="preserve">, en particulier aux populations en </w:t>
      </w:r>
      <w:r w:rsidR="1DA0F097" w:rsidRPr="60B85D04">
        <w:rPr>
          <w:sz w:val="20"/>
          <w:szCs w:val="20"/>
          <w:lang w:val="fr"/>
        </w:rPr>
        <w:t>situation</w:t>
      </w:r>
      <w:r>
        <w:rPr>
          <w:lang w:val="fr"/>
        </w:rPr>
        <w:t xml:space="preserve"> de vulnérabilité</w:t>
      </w:r>
      <w:r w:rsidRPr="001C3513">
        <w:rPr>
          <w:sz w:val="20"/>
          <w:szCs w:val="20"/>
          <w:lang w:val="fr"/>
        </w:rPr>
        <w:t>.</w:t>
      </w:r>
    </w:p>
    <w:p w14:paraId="0341C9AA" w14:textId="77777777" w:rsidR="00FF51CC" w:rsidRPr="00ED01E0" w:rsidRDefault="00FF51CC" w:rsidP="00905480">
      <w:pPr>
        <w:spacing w:line="276" w:lineRule="auto"/>
        <w:jc w:val="both"/>
        <w:rPr>
          <w:rFonts w:ascii="Cambria" w:hAnsi="Cambria"/>
          <w:sz w:val="20"/>
          <w:szCs w:val="20"/>
          <w:lang w:val="fr-CA"/>
        </w:rPr>
      </w:pPr>
    </w:p>
    <w:p w14:paraId="0DE21F35" w14:textId="200E4E71" w:rsidR="00FF51CC" w:rsidRPr="00ED01E0" w:rsidRDefault="6E1BB6F8" w:rsidP="00007215">
      <w:pPr>
        <w:spacing w:line="276" w:lineRule="auto"/>
        <w:ind w:firstLine="720"/>
        <w:jc w:val="both"/>
        <w:rPr>
          <w:rFonts w:ascii="Cambria" w:hAnsi="Cambria"/>
          <w:b/>
          <w:bCs/>
          <w:sz w:val="20"/>
          <w:szCs w:val="20"/>
          <w:lang w:val="fr-CA"/>
        </w:rPr>
      </w:pPr>
      <w:r w:rsidRPr="7608767C">
        <w:rPr>
          <w:b/>
          <w:sz w:val="20"/>
          <w:szCs w:val="20"/>
          <w:lang w:val="fr"/>
        </w:rPr>
        <w:t>6. Bonnes pratiques</w:t>
      </w:r>
    </w:p>
    <w:p w14:paraId="0D0C2790" w14:textId="200E4E71" w:rsidR="004148B3" w:rsidRPr="00ED01E0" w:rsidRDefault="004148B3" w:rsidP="03BF1CEF">
      <w:pPr>
        <w:spacing w:line="276" w:lineRule="auto"/>
        <w:jc w:val="both"/>
        <w:rPr>
          <w:rFonts w:ascii="Cambria" w:hAnsi="Cambria"/>
          <w:sz w:val="20"/>
          <w:szCs w:val="20"/>
          <w:lang w:val="fr-CA"/>
        </w:rPr>
      </w:pPr>
    </w:p>
    <w:p w14:paraId="3E8B3292" w14:textId="4B90CCC3" w:rsidR="00FF51CC" w:rsidRPr="00ED01E0" w:rsidRDefault="00FF51CC" w:rsidP="03BF1CEF">
      <w:pPr>
        <w:spacing w:line="276" w:lineRule="auto"/>
        <w:jc w:val="both"/>
        <w:rPr>
          <w:rFonts w:ascii="Cambria" w:hAnsi="Cambria"/>
          <w:sz w:val="20"/>
          <w:szCs w:val="20"/>
          <w:lang w:val="fr-CA"/>
        </w:rPr>
      </w:pPr>
      <w:r w:rsidRPr="03BF1CEF">
        <w:rPr>
          <w:sz w:val="20"/>
          <w:szCs w:val="20"/>
          <w:lang w:val="fr"/>
        </w:rPr>
        <w:t>Si elles n’ont pas été mentionnées ci-dessus, indiquer quelles bonnes pratiques ont été mises en œuvre au niveau régional, par les États ou par la société civile et dont l’objectif est i) d’éliminer les obstacles à l’accès aux droits économiques, sociaux, culturels et environnementaux, en accordant une attention particulière aux personnes en situation de mobilité humaine, et ii) de veiller à ce que la pleine réalisation et l’exercice desdits droits soient accessibles à tous,  en particulier des populations en situation de vulnérabilité.</w:t>
      </w:r>
    </w:p>
    <w:p w14:paraId="78590304" w14:textId="77777777" w:rsidR="009430DD" w:rsidRPr="00ED01E0" w:rsidRDefault="009430DD" w:rsidP="03BF1CEF">
      <w:pPr>
        <w:spacing w:line="276" w:lineRule="auto"/>
        <w:jc w:val="both"/>
        <w:rPr>
          <w:rFonts w:ascii="Cambria" w:hAnsi="Cambria"/>
          <w:sz w:val="20"/>
          <w:szCs w:val="20"/>
          <w:lang w:val="fr-CA"/>
        </w:rPr>
      </w:pPr>
    </w:p>
    <w:p w14:paraId="3A28566C" w14:textId="08F38849" w:rsidR="009430DD" w:rsidRPr="00ED01E0" w:rsidRDefault="009430DD" w:rsidP="03BF1CEF">
      <w:pPr>
        <w:spacing w:line="276" w:lineRule="auto"/>
        <w:jc w:val="both"/>
        <w:rPr>
          <w:rFonts w:ascii="Cambria" w:hAnsi="Cambria"/>
          <w:b/>
          <w:bCs/>
          <w:sz w:val="20"/>
          <w:szCs w:val="20"/>
          <w:lang w:val="fr-CA"/>
        </w:rPr>
      </w:pPr>
      <w:r>
        <w:rPr>
          <w:sz w:val="20"/>
          <w:szCs w:val="20"/>
          <w:lang w:val="fr"/>
        </w:rPr>
        <w:tab/>
      </w:r>
      <w:r>
        <w:rPr>
          <w:b/>
          <w:sz w:val="20"/>
          <w:szCs w:val="20"/>
          <w:lang w:val="fr"/>
        </w:rPr>
        <w:t xml:space="preserve">7. </w:t>
      </w:r>
      <w:r w:rsidR="00760990">
        <w:rPr>
          <w:b/>
          <w:sz w:val="20"/>
          <w:szCs w:val="20"/>
          <w:lang w:val="fr"/>
        </w:rPr>
        <w:t>Informations supplémentaires</w:t>
      </w:r>
    </w:p>
    <w:p w14:paraId="26155D27" w14:textId="77777777" w:rsidR="00946E96" w:rsidRPr="00ED01E0" w:rsidRDefault="00946E96" w:rsidP="03BF1CEF">
      <w:pPr>
        <w:spacing w:line="276" w:lineRule="auto"/>
        <w:jc w:val="both"/>
        <w:rPr>
          <w:rFonts w:ascii="Cambria" w:hAnsi="Cambria"/>
          <w:sz w:val="20"/>
          <w:szCs w:val="20"/>
          <w:lang w:val="fr-CA"/>
        </w:rPr>
      </w:pPr>
    </w:p>
    <w:p w14:paraId="3F70C91F" w14:textId="1BF94231" w:rsidR="00760990" w:rsidRPr="00ED01E0" w:rsidRDefault="1E3A903E" w:rsidP="03BF1CEF">
      <w:pPr>
        <w:spacing w:line="276" w:lineRule="auto"/>
        <w:jc w:val="both"/>
        <w:rPr>
          <w:rFonts w:ascii="Cambria" w:hAnsi="Cambria"/>
          <w:sz w:val="20"/>
          <w:szCs w:val="20"/>
          <w:lang w:val="fr-CA"/>
        </w:rPr>
      </w:pPr>
      <w:r w:rsidRPr="7608767C">
        <w:rPr>
          <w:sz w:val="20"/>
          <w:szCs w:val="20"/>
          <w:lang w:val="fr"/>
        </w:rPr>
        <w:t>Toute autre information supplémentaire qu’il juge pertinente pour la connaissance du SRESCER sur ces questions.</w:t>
      </w:r>
    </w:p>
    <w:p w14:paraId="14CA6FCD" w14:textId="3F5FD1E0" w:rsidR="00FF51CC" w:rsidRPr="00ED01E0" w:rsidRDefault="00FF51CC" w:rsidP="00905480">
      <w:pPr>
        <w:spacing w:line="276" w:lineRule="auto"/>
        <w:jc w:val="both"/>
        <w:rPr>
          <w:rFonts w:ascii="Cambria" w:hAnsi="Cambria"/>
          <w:sz w:val="20"/>
          <w:szCs w:val="20"/>
          <w:lang w:val="fr-CA"/>
        </w:rPr>
      </w:pPr>
    </w:p>
    <w:p w14:paraId="4D256A1C" w14:textId="09D0D8EA" w:rsidR="002D0078" w:rsidRPr="00ED01E0" w:rsidRDefault="4AE397BC" w:rsidP="00905480">
      <w:pPr>
        <w:spacing w:line="276" w:lineRule="auto"/>
        <w:jc w:val="both"/>
        <w:rPr>
          <w:rFonts w:ascii="Cambria" w:hAnsi="Cambria"/>
          <w:sz w:val="20"/>
          <w:szCs w:val="20"/>
          <w:lang w:val="fr-CA"/>
        </w:rPr>
      </w:pPr>
      <w:r w:rsidRPr="7608767C">
        <w:rPr>
          <w:sz w:val="20"/>
          <w:szCs w:val="20"/>
          <w:lang w:val="fr"/>
        </w:rPr>
        <w:t>Nous apprécions votre participation et la diffusion que vous pouvez donner à ce document.</w:t>
      </w:r>
    </w:p>
    <w:sectPr w:rsidR="002D0078" w:rsidRPr="00ED01E0" w:rsidSect="000B5CD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82F6" w14:textId="77777777" w:rsidR="002B37EC" w:rsidRDefault="002B37EC" w:rsidP="00905480">
      <w:r>
        <w:rPr>
          <w:lang w:val="fr"/>
        </w:rPr>
        <w:separator/>
      </w:r>
    </w:p>
  </w:endnote>
  <w:endnote w:type="continuationSeparator" w:id="0">
    <w:p w14:paraId="2EF66E1A" w14:textId="77777777" w:rsidR="002B37EC" w:rsidRDefault="002B37EC" w:rsidP="00905480">
      <w:r>
        <w:rPr>
          <w:lang w:val="fr"/>
        </w:rPr>
        <w:continuationSeparator/>
      </w:r>
    </w:p>
  </w:endnote>
  <w:endnote w:type="continuationNotice" w:id="1">
    <w:p w14:paraId="4942D0D8" w14:textId="77777777" w:rsidR="002B37EC" w:rsidRDefault="002B37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88B8A" w14:textId="77777777" w:rsidR="002B37EC" w:rsidRDefault="002B37EC" w:rsidP="00905480">
      <w:r>
        <w:rPr>
          <w:lang w:val="fr"/>
        </w:rPr>
        <w:separator/>
      </w:r>
    </w:p>
  </w:footnote>
  <w:footnote w:type="continuationSeparator" w:id="0">
    <w:p w14:paraId="28E0B2E1" w14:textId="77777777" w:rsidR="002B37EC" w:rsidRDefault="002B37EC" w:rsidP="00905480">
      <w:r>
        <w:rPr>
          <w:lang w:val="fr"/>
        </w:rPr>
        <w:continuationSeparator/>
      </w:r>
    </w:p>
  </w:footnote>
  <w:footnote w:type="continuationNotice" w:id="1">
    <w:p w14:paraId="29D78313" w14:textId="77777777" w:rsidR="002B37EC" w:rsidRDefault="002B37EC"/>
  </w:footnote>
  <w:footnote w:id="2">
    <w:p w14:paraId="69245B74" w14:textId="005060D8" w:rsidR="006930AC" w:rsidRPr="00ED01E0" w:rsidRDefault="006930AC" w:rsidP="006930AC">
      <w:pPr>
        <w:pStyle w:val="FootnoteText"/>
        <w:jc w:val="both"/>
        <w:rPr>
          <w:rFonts w:ascii="Cambria" w:hAnsi="Cambria"/>
          <w:sz w:val="18"/>
          <w:szCs w:val="18"/>
          <w:lang w:val="fr-CA"/>
        </w:rPr>
      </w:pPr>
      <w:r>
        <w:rPr>
          <w:rStyle w:val="FootnoteReference"/>
          <w:lang w:val="fr"/>
        </w:rPr>
        <w:footnoteRef/>
      </w:r>
      <w:r w:rsidRPr="006930AC">
        <w:rPr>
          <w:lang w:val="fr"/>
        </w:rPr>
        <w:t xml:space="preserve"> </w:t>
      </w:r>
      <w:r w:rsidRPr="006930AC">
        <w:rPr>
          <w:sz w:val="18"/>
          <w:szCs w:val="18"/>
          <w:lang w:val="fr"/>
        </w:rPr>
        <w:t xml:space="preserve">PNUD, USAID, </w:t>
      </w:r>
      <w:hyperlink r:id="rId1" w:history="1">
        <w:r w:rsidRPr="00F57413">
          <w:rPr>
            <w:rStyle w:val="Hyperlink"/>
            <w:sz w:val="18"/>
            <w:szCs w:val="18"/>
            <w:lang w:val="fr"/>
          </w:rPr>
          <w:t>Sécurité des citoyens, mobilité humaine et développement dans les pays du nord de l’Amérique centrale</w:t>
        </w:r>
      </w:hyperlink>
      <w:r w:rsidRPr="006930AC">
        <w:rPr>
          <w:sz w:val="18"/>
          <w:szCs w:val="18"/>
          <w:lang w:val="fr"/>
        </w:rPr>
        <w:t>, septembre 2020, p. 4.</w:t>
      </w:r>
    </w:p>
  </w:footnote>
  <w:footnote w:id="3">
    <w:p w14:paraId="5AF88809" w14:textId="29F5491E" w:rsidR="00B52AAF" w:rsidRPr="00ED01E0" w:rsidRDefault="00B52AAF">
      <w:pPr>
        <w:pStyle w:val="FootnoteText"/>
        <w:rPr>
          <w:rFonts w:ascii="Cambria" w:hAnsi="Cambria"/>
          <w:sz w:val="18"/>
          <w:szCs w:val="18"/>
          <w:lang w:val="fr-CA"/>
        </w:rPr>
      </w:pPr>
      <w:r w:rsidRPr="002A539B">
        <w:rPr>
          <w:rStyle w:val="FootnoteReference"/>
          <w:sz w:val="18"/>
          <w:szCs w:val="18"/>
          <w:lang w:val="fr"/>
        </w:rPr>
        <w:footnoteRef/>
      </w:r>
      <w:r w:rsidRPr="00322F0A">
        <w:rPr>
          <w:sz w:val="18"/>
          <w:szCs w:val="18"/>
          <w:lang w:val="fr"/>
        </w:rPr>
        <w:t xml:space="preserve"> </w:t>
      </w:r>
      <w:r w:rsidR="00322F0A" w:rsidRPr="00322F0A">
        <w:rPr>
          <w:sz w:val="18"/>
          <w:szCs w:val="18"/>
          <w:lang w:val="fr"/>
        </w:rPr>
        <w:t>PN</w:t>
      </w:r>
      <w:r w:rsidR="00322F0A">
        <w:rPr>
          <w:sz w:val="18"/>
          <w:szCs w:val="18"/>
          <w:lang w:val="fr"/>
        </w:rPr>
        <w:t xml:space="preserve">DEHORS </w:t>
      </w:r>
      <w:hyperlink r:id="rId2" w:anchor="/indicies/HDI" w:history="1">
        <w:r w:rsidR="00322F0A" w:rsidRPr="004223DB">
          <w:rPr>
            <w:rStyle w:val="Hyperlink"/>
            <w:sz w:val="18"/>
            <w:szCs w:val="18"/>
            <w:lang w:val="fr"/>
          </w:rPr>
          <w:t xml:space="preserve">Indice des </w:t>
        </w:r>
        <w:r w:rsidR="001C3866" w:rsidRPr="004223DB">
          <w:rPr>
            <w:rStyle w:val="Hyperlink"/>
            <w:sz w:val="18"/>
            <w:szCs w:val="18"/>
            <w:lang w:val="fr"/>
          </w:rPr>
          <w:t>Développement humain</w:t>
        </w:r>
      </w:hyperlink>
    </w:p>
  </w:footnote>
  <w:footnote w:id="4">
    <w:p w14:paraId="0E3DDA4F" w14:textId="6EC8D6FA" w:rsidR="00B52AAF" w:rsidRPr="00ED01E0" w:rsidRDefault="00B52AAF">
      <w:pPr>
        <w:pStyle w:val="FootnoteText"/>
        <w:rPr>
          <w:rFonts w:ascii="Cambria" w:hAnsi="Cambria"/>
          <w:sz w:val="18"/>
          <w:szCs w:val="18"/>
          <w:lang w:val="fr-CA"/>
        </w:rPr>
      </w:pPr>
      <w:r w:rsidRPr="002A539B">
        <w:rPr>
          <w:rStyle w:val="FootnoteReference"/>
          <w:sz w:val="18"/>
          <w:szCs w:val="18"/>
          <w:lang w:val="fr"/>
        </w:rPr>
        <w:footnoteRef/>
      </w:r>
      <w:r w:rsidRPr="00322F0A">
        <w:rPr>
          <w:sz w:val="18"/>
          <w:szCs w:val="18"/>
          <w:lang w:val="fr"/>
        </w:rPr>
        <w:t xml:space="preserve"> </w:t>
      </w:r>
      <w:r w:rsidR="006E7AE4">
        <w:rPr>
          <w:sz w:val="18"/>
          <w:szCs w:val="18"/>
          <w:lang w:val="fr"/>
        </w:rPr>
        <w:t xml:space="preserve">Banque mondiale </w:t>
      </w:r>
      <w:hyperlink r:id="rId3" w:history="1">
        <w:r w:rsidR="006E7AE4" w:rsidRPr="006E7AE4">
          <w:rPr>
            <w:rStyle w:val="Hyperlink"/>
            <w:sz w:val="18"/>
            <w:szCs w:val="18"/>
            <w:lang w:val="fr"/>
          </w:rPr>
          <w:t>Indice GINI</w:t>
        </w:r>
      </w:hyperlink>
    </w:p>
  </w:footnote>
  <w:footnote w:id="5">
    <w:p w14:paraId="42668397" w14:textId="28DBCBFB" w:rsidR="00B52AAF" w:rsidRPr="00ED01E0" w:rsidRDefault="00B52AAF">
      <w:pPr>
        <w:pStyle w:val="FootnoteText"/>
        <w:rPr>
          <w:rFonts w:ascii="Cambria" w:hAnsi="Cambria"/>
          <w:sz w:val="18"/>
          <w:szCs w:val="18"/>
          <w:lang w:val="fr-CA"/>
        </w:rPr>
      </w:pPr>
      <w:r w:rsidRPr="002A539B">
        <w:rPr>
          <w:rStyle w:val="FootnoteReference"/>
          <w:sz w:val="18"/>
          <w:szCs w:val="18"/>
          <w:lang w:val="fr"/>
        </w:rPr>
        <w:footnoteRef/>
      </w:r>
      <w:r w:rsidRPr="002A539B">
        <w:rPr>
          <w:sz w:val="18"/>
          <w:szCs w:val="18"/>
          <w:lang w:val="fr"/>
        </w:rPr>
        <w:t xml:space="preserve"> </w:t>
      </w:r>
      <w:r w:rsidR="006E7AE4">
        <w:rPr>
          <w:sz w:val="18"/>
          <w:szCs w:val="18"/>
          <w:lang w:val="fr"/>
        </w:rPr>
        <w:t xml:space="preserve">OCDE </w:t>
      </w:r>
      <w:hyperlink r:id="rId4" w:history="1">
        <w:r w:rsidR="006E7AE4" w:rsidRPr="006E7AE4">
          <w:rPr>
            <w:rStyle w:val="Hyperlink"/>
            <w:sz w:val="18"/>
            <w:szCs w:val="18"/>
            <w:lang w:val="fr"/>
          </w:rPr>
          <w:t>Indicateur PISA</w:t>
        </w:r>
      </w:hyperlink>
    </w:p>
  </w:footnote>
  <w:footnote w:id="6">
    <w:p w14:paraId="68DCE4E4" w14:textId="2EC2A576" w:rsidR="00B52AAF" w:rsidRPr="00ED01E0" w:rsidRDefault="00B52AAF">
      <w:pPr>
        <w:pStyle w:val="FootnoteText"/>
        <w:rPr>
          <w:rFonts w:ascii="Cambria" w:hAnsi="Cambria"/>
          <w:sz w:val="18"/>
          <w:szCs w:val="18"/>
          <w:lang w:val="fr-CA"/>
        </w:rPr>
      </w:pPr>
      <w:r w:rsidRPr="002A539B">
        <w:rPr>
          <w:rStyle w:val="FootnoteReference"/>
          <w:sz w:val="18"/>
          <w:szCs w:val="18"/>
          <w:lang w:val="fr"/>
        </w:rPr>
        <w:footnoteRef/>
      </w:r>
      <w:r w:rsidRPr="002A539B">
        <w:rPr>
          <w:sz w:val="18"/>
          <w:szCs w:val="18"/>
          <w:lang w:val="fr"/>
        </w:rPr>
        <w:t xml:space="preserve"> https://www.transparency.org/en/cpi/2022</w:t>
      </w:r>
    </w:p>
  </w:footnote>
  <w:footnote w:id="7">
    <w:p w14:paraId="0B83C23B" w14:textId="27AD8691" w:rsidR="00286EF7" w:rsidRPr="00ED01E0" w:rsidRDefault="00286EF7">
      <w:pPr>
        <w:pStyle w:val="FootnoteText"/>
        <w:rPr>
          <w:rFonts w:ascii="Cambria" w:hAnsi="Cambria"/>
          <w:sz w:val="18"/>
          <w:szCs w:val="18"/>
          <w:lang w:val="fr-CA"/>
        </w:rPr>
      </w:pPr>
      <w:r w:rsidRPr="002A539B">
        <w:rPr>
          <w:rStyle w:val="FootnoteReference"/>
          <w:sz w:val="18"/>
          <w:szCs w:val="18"/>
          <w:lang w:val="fr"/>
        </w:rPr>
        <w:footnoteRef/>
      </w:r>
      <w:r w:rsidRPr="002A539B">
        <w:rPr>
          <w:sz w:val="18"/>
          <w:szCs w:val="18"/>
          <w:lang w:val="fr"/>
        </w:rPr>
        <w:t xml:space="preserve"> https://indexdotnet.azurewebsites.net/index/ranking</w:t>
      </w:r>
    </w:p>
  </w:footnote>
  <w:footnote w:id="8">
    <w:p w14:paraId="02088755" w14:textId="42410A5D" w:rsidR="00286EF7" w:rsidRPr="00ED01E0" w:rsidRDefault="00286EF7">
      <w:pPr>
        <w:pStyle w:val="FootnoteText"/>
        <w:rPr>
          <w:rFonts w:ascii="Cambria" w:hAnsi="Cambria"/>
          <w:sz w:val="18"/>
          <w:szCs w:val="18"/>
          <w:lang w:val="fr-CA"/>
        </w:rPr>
      </w:pPr>
      <w:r w:rsidRPr="002A539B">
        <w:rPr>
          <w:rStyle w:val="FootnoteReference"/>
          <w:sz w:val="18"/>
          <w:szCs w:val="18"/>
          <w:lang w:val="fr"/>
        </w:rPr>
        <w:footnoteRef/>
      </w:r>
      <w:r w:rsidRPr="002A539B">
        <w:rPr>
          <w:sz w:val="18"/>
          <w:szCs w:val="18"/>
          <w:lang w:val="fr"/>
        </w:rPr>
        <w:t xml:space="preserve"> https://data.worldbank.org/indicator/NY.GDP.MKTP.KD.ZG</w:t>
      </w:r>
    </w:p>
  </w:footnote>
  <w:footnote w:id="9">
    <w:p w14:paraId="6A1C37CF" w14:textId="0F99A32B" w:rsidR="00327415" w:rsidRPr="00ED01E0" w:rsidRDefault="00327415">
      <w:pPr>
        <w:pStyle w:val="FootnoteText"/>
        <w:rPr>
          <w:rFonts w:ascii="Cambria" w:hAnsi="Cambria"/>
          <w:sz w:val="18"/>
          <w:szCs w:val="18"/>
          <w:lang w:val="fr-CA"/>
        </w:rPr>
      </w:pPr>
      <w:r>
        <w:rPr>
          <w:rStyle w:val="FootnoteReference"/>
          <w:lang w:val="fr"/>
        </w:rPr>
        <w:footnoteRef/>
      </w:r>
      <w:r w:rsidRPr="00327415">
        <w:rPr>
          <w:lang w:val="fr"/>
        </w:rPr>
        <w:t xml:space="preserve"> </w:t>
      </w:r>
      <w:r w:rsidRPr="00327415">
        <w:rPr>
          <w:sz w:val="18"/>
          <w:szCs w:val="18"/>
          <w:lang w:val="fr"/>
        </w:rPr>
        <w:t xml:space="preserve">CEPALC, </w:t>
      </w:r>
      <w:hyperlink r:id="rId5" w:history="1">
        <w:r w:rsidRPr="00327415">
          <w:rPr>
            <w:rStyle w:val="Hyperlink"/>
            <w:sz w:val="18"/>
            <w:szCs w:val="18"/>
            <w:lang w:val="fr"/>
          </w:rPr>
          <w:t>Développement et migration : défis et opportunités dans les pays du nord de l’Amérique centrale</w:t>
        </w:r>
      </w:hyperlink>
      <w:r w:rsidRPr="00327415">
        <w:rPr>
          <w:sz w:val="18"/>
          <w:szCs w:val="18"/>
          <w:lang w:val="fr"/>
        </w:rPr>
        <w:t xml:space="preserve">, LC/MEX/TS.2019/7, juin 2019, p. 71. </w:t>
      </w:r>
    </w:p>
  </w:footnote>
  <w:footnote w:id="10">
    <w:p w14:paraId="0C6F5B82" w14:textId="2735392C" w:rsidR="7A678CD4" w:rsidRPr="00ED01E0" w:rsidRDefault="7A678CD4" w:rsidP="7A678CD4">
      <w:pPr>
        <w:pStyle w:val="FootnoteText"/>
        <w:rPr>
          <w:rFonts w:ascii="Cambria" w:eastAsia="Cambria" w:hAnsi="Cambria" w:cs="Cambria"/>
          <w:sz w:val="18"/>
          <w:szCs w:val="18"/>
          <w:lang w:val="fr-CA"/>
        </w:rPr>
      </w:pPr>
      <w:r w:rsidRPr="2B5E53DD">
        <w:rPr>
          <w:rStyle w:val="FootnoteReference"/>
          <w:sz w:val="18"/>
          <w:szCs w:val="18"/>
          <w:lang w:val="fr"/>
        </w:rPr>
        <w:footnoteRef/>
      </w:r>
      <w:r w:rsidRPr="00AB4369">
        <w:rPr>
          <w:sz w:val="18"/>
          <w:szCs w:val="18"/>
          <w:lang w:val="fr"/>
        </w:rPr>
        <w:t xml:space="preserve"> CIDH et REDESCER. </w:t>
      </w:r>
      <w:hyperlink r:id="rId6">
        <w:r w:rsidR="5D41BA9B" w:rsidRPr="00AB4369">
          <w:rPr>
            <w:rStyle w:val="Hyperlink"/>
            <w:sz w:val="18"/>
            <w:szCs w:val="18"/>
            <w:lang w:val="fr"/>
          </w:rPr>
          <w:t xml:space="preserve">Urgence climatique Portée et obligations interaméricaines en matière de droits de l’homme. </w:t>
        </w:r>
        <w:r w:rsidR="5D41BA9B" w:rsidRPr="00F21F60">
          <w:rPr>
            <w:rStyle w:val="Hyperlink"/>
            <w:sz w:val="18"/>
            <w:szCs w:val="18"/>
            <w:lang w:val="fr"/>
          </w:rPr>
          <w:t>Résolution 3/21</w:t>
        </w:r>
      </w:hyperlink>
      <w:r w:rsidR="5D41BA9B" w:rsidRPr="00F21F60">
        <w:rPr>
          <w:sz w:val="18"/>
          <w:szCs w:val="18"/>
          <w:lang w:val="fr"/>
        </w:rPr>
        <w:t>,</w:t>
      </w:r>
      <w:r w:rsidR="69477312" w:rsidRPr="00F21F60">
        <w:rPr>
          <w:sz w:val="18"/>
          <w:szCs w:val="18"/>
          <w:lang w:val="fr"/>
        </w:rPr>
        <w:t xml:space="preserve"> Décembre 2021</w:t>
      </w:r>
    </w:p>
  </w:footnote>
  <w:footnote w:id="11">
    <w:p w14:paraId="441BDE8D" w14:textId="5A62770C" w:rsidR="00327415" w:rsidRPr="00327415" w:rsidRDefault="00327415">
      <w:pPr>
        <w:pStyle w:val="FootnoteText"/>
        <w:rPr>
          <w:lang w:val="es-ES"/>
        </w:rPr>
      </w:pPr>
      <w:r>
        <w:rPr>
          <w:rStyle w:val="FootnoteReference"/>
          <w:lang w:val="fr"/>
        </w:rPr>
        <w:footnoteRef/>
      </w:r>
      <w:r w:rsidRPr="00327415">
        <w:rPr>
          <w:lang w:val="fr"/>
        </w:rPr>
        <w:t xml:space="preserve"> </w:t>
      </w:r>
      <w:r w:rsidRPr="00327415">
        <w:rPr>
          <w:sz w:val="18"/>
          <w:szCs w:val="18"/>
          <w:lang w:val="fr"/>
        </w:rPr>
        <w:t xml:space="preserve">CEPALC, </w:t>
      </w:r>
      <w:hyperlink r:id="rId7" w:history="1">
        <w:r w:rsidRPr="00327415">
          <w:rPr>
            <w:rStyle w:val="Hyperlink"/>
            <w:sz w:val="18"/>
            <w:szCs w:val="18"/>
            <w:lang w:val="fr"/>
          </w:rPr>
          <w:t>Développement et migration : défis et opportunités dans les pays du nord de l’Amérique centrale</w:t>
        </w:r>
      </w:hyperlink>
      <w:r w:rsidRPr="00327415">
        <w:rPr>
          <w:sz w:val="18"/>
          <w:szCs w:val="18"/>
          <w:lang w:val="fr"/>
        </w:rPr>
        <w:t xml:space="preserve">, </w:t>
      </w:r>
      <w:r>
        <w:rPr>
          <w:sz w:val="18"/>
          <w:szCs w:val="18"/>
          <w:lang w:val="fr"/>
        </w:rPr>
        <w:t>Cit.</w:t>
      </w:r>
      <w:r w:rsidRPr="00327415">
        <w:rPr>
          <w:sz w:val="18"/>
          <w:szCs w:val="18"/>
          <w:lang w:val="fr"/>
        </w:rPr>
        <w:t>, Page</w:t>
      </w:r>
      <w:r>
        <w:rPr>
          <w:sz w:val="18"/>
          <w:szCs w:val="18"/>
          <w:lang w:val="fr"/>
        </w:rPr>
        <w:t>s.</w:t>
      </w:r>
      <w:r w:rsidRPr="00327415">
        <w:rPr>
          <w:sz w:val="18"/>
          <w:szCs w:val="18"/>
          <w:lang w:val="fr"/>
        </w:rPr>
        <w:t xml:space="preserve">. </w:t>
      </w:r>
      <w:r>
        <w:rPr>
          <w:sz w:val="18"/>
          <w:szCs w:val="18"/>
          <w:lang w:val="fr"/>
        </w:rPr>
        <w:t>3</w:t>
      </w:r>
      <w:r w:rsidRPr="00327415">
        <w:rPr>
          <w:sz w:val="18"/>
          <w:szCs w:val="18"/>
          <w:lang w:val="fr"/>
        </w:rPr>
        <w:t>1</w:t>
      </w:r>
      <w:r>
        <w:rPr>
          <w:sz w:val="18"/>
          <w:szCs w:val="18"/>
          <w:lang w:val="fr"/>
        </w:rPr>
        <w:t>, 72</w:t>
      </w:r>
      <w:r w:rsidRPr="00327415">
        <w:rPr>
          <w:sz w:val="18"/>
          <w:szCs w:val="18"/>
          <w:lang w:val="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CA475" w14:textId="38631600" w:rsidR="00B16ECF" w:rsidRDefault="00210EC0">
    <w:pPr>
      <w:pStyle w:val="Header"/>
    </w:pPr>
    <w:r>
      <w:rPr>
        <w:noProof/>
        <w:lang w:val="fr"/>
      </w:rPr>
      <w:drawing>
        <wp:inline distT="0" distB="0" distL="0" distR="0" wp14:anchorId="169056A1" wp14:editId="3A582632">
          <wp:extent cx="2042160" cy="396240"/>
          <wp:effectExtent l="0" t="0" r="0" b="3810"/>
          <wp:docPr id="5" name="Picture 5" descr="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396240"/>
                  </a:xfrm>
                  <a:prstGeom prst="rect">
                    <a:avLst/>
                  </a:prstGeom>
                  <a:noFill/>
                </pic:spPr>
              </pic:pic>
            </a:graphicData>
          </a:graphic>
        </wp:inline>
      </w:drawing>
    </w:r>
    <w:r>
      <w:rPr>
        <w:lang w:val="fr"/>
      </w:rPr>
      <w:t xml:space="preserve">     </w:t>
    </w:r>
    <w:r w:rsidR="00B16ECF">
      <w:rPr>
        <w:noProof/>
        <w:lang w:val="fr"/>
      </w:rPr>
      <w:drawing>
        <wp:inline distT="0" distB="0" distL="0" distR="0" wp14:anchorId="4513C382" wp14:editId="6F0B67BC">
          <wp:extent cx="1643240" cy="566420"/>
          <wp:effectExtent l="0" t="0" r="0" b="5080"/>
          <wp:docPr id="1" name="Picture 1" descr="Interface utilisateur graphique&#10;&#10;Description générée automatiquement avec un niveau de confiance mo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rotWithShape="1">
                  <a:blip r:embed="rId2">
                    <a:extLst>
                      <a:ext uri="{28A0092B-C50C-407E-A947-70E740481C1C}">
                        <a14:useLocalDpi xmlns:a14="http://schemas.microsoft.com/office/drawing/2010/main" val="0"/>
                      </a:ext>
                    </a:extLst>
                  </a:blip>
                  <a:srcRect l="7371" t="11119" r="8013" b="19095"/>
                  <a:stretch/>
                </pic:blipFill>
                <pic:spPr bwMode="auto">
                  <a:xfrm>
                    <a:off x="0" y="0"/>
                    <a:ext cx="1677852" cy="578351"/>
                  </a:xfrm>
                  <a:prstGeom prst="rect">
                    <a:avLst/>
                  </a:prstGeom>
                  <a:ln>
                    <a:noFill/>
                  </a:ln>
                  <a:extLst>
                    <a:ext uri="{53640926-AAD7-44D8-BBD7-CCE9431645EC}">
                      <a14:shadowObscured xmlns:a14="http://schemas.microsoft.com/office/drawing/2010/main"/>
                    </a:ext>
                  </a:extLst>
                </pic:spPr>
              </pic:pic>
            </a:graphicData>
          </a:graphic>
        </wp:inline>
      </w:drawing>
    </w:r>
    <w:r w:rsidR="00306089">
      <w:rPr>
        <w:lang w:val="fr"/>
      </w:rPr>
      <w:t xml:space="preserve">   </w:t>
    </w:r>
    <w:r>
      <w:rPr>
        <w:lang w:val="fr"/>
      </w:rPr>
      <w:t xml:space="preserve">     </w:t>
    </w:r>
    <w:r w:rsidR="00306089">
      <w:rPr>
        <w:noProof/>
        <w:lang w:val="fr"/>
      </w:rPr>
      <w:drawing>
        <wp:inline distT="0" distB="0" distL="0" distR="0" wp14:anchorId="62D5CD60" wp14:editId="3BD0506B">
          <wp:extent cx="179260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2605" cy="457200"/>
                  </a:xfrm>
                  <a:prstGeom prst="rect">
                    <a:avLst/>
                  </a:prstGeom>
                  <a:noFill/>
                </pic:spPr>
              </pic:pic>
            </a:graphicData>
          </a:graphic>
        </wp:inline>
      </w:drawing>
    </w:r>
  </w:p>
  <w:p w14:paraId="2C9EABA4" w14:textId="451614CE" w:rsidR="00D92E54" w:rsidRDefault="00AF3EC1">
    <w:pPr>
      <w:pStyle w:val="Header"/>
    </w:pPr>
    <w:r>
      <w:rPr>
        <w:noProof/>
        <w:lang w:val="fr"/>
      </w:rPr>
      <w:pict w14:anchorId="5E2B7AE2">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A7D77"/>
    <w:multiLevelType w:val="hybridMultilevel"/>
    <w:tmpl w:val="31D2A4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1001A"/>
    <w:multiLevelType w:val="hybridMultilevel"/>
    <w:tmpl w:val="86E8D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E6461B"/>
    <w:multiLevelType w:val="hybridMultilevel"/>
    <w:tmpl w:val="6B6435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762D32"/>
    <w:multiLevelType w:val="hybridMultilevel"/>
    <w:tmpl w:val="056096F2"/>
    <w:lvl w:ilvl="0" w:tplc="0409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53871A90"/>
    <w:multiLevelType w:val="hybridMultilevel"/>
    <w:tmpl w:val="31D2A4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1444917"/>
    <w:multiLevelType w:val="hybridMultilevel"/>
    <w:tmpl w:val="69DC99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758156">
    <w:abstractNumId w:val="1"/>
  </w:num>
  <w:num w:numId="2" w16cid:durableId="495389458">
    <w:abstractNumId w:val="5"/>
  </w:num>
  <w:num w:numId="3" w16cid:durableId="1864784168">
    <w:abstractNumId w:val="0"/>
  </w:num>
  <w:num w:numId="4" w16cid:durableId="1049259157">
    <w:abstractNumId w:val="4"/>
  </w:num>
  <w:num w:numId="5" w16cid:durableId="410199877">
    <w:abstractNumId w:val="2"/>
  </w:num>
  <w:num w:numId="6" w16cid:durableId="143863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removePersonalInformation/>
  <w:removeDateAndTime/>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1CC"/>
    <w:rsid w:val="000014EB"/>
    <w:rsid w:val="00003584"/>
    <w:rsid w:val="00006528"/>
    <w:rsid w:val="00007215"/>
    <w:rsid w:val="000072E9"/>
    <w:rsid w:val="00014141"/>
    <w:rsid w:val="0001460E"/>
    <w:rsid w:val="00017F5E"/>
    <w:rsid w:val="00022765"/>
    <w:rsid w:val="000326A8"/>
    <w:rsid w:val="00070391"/>
    <w:rsid w:val="00071207"/>
    <w:rsid w:val="00075625"/>
    <w:rsid w:val="000759D6"/>
    <w:rsid w:val="00080E1B"/>
    <w:rsid w:val="00081017"/>
    <w:rsid w:val="0008151C"/>
    <w:rsid w:val="00082EDF"/>
    <w:rsid w:val="000853A7"/>
    <w:rsid w:val="00086CE1"/>
    <w:rsid w:val="000925AB"/>
    <w:rsid w:val="00093203"/>
    <w:rsid w:val="00095313"/>
    <w:rsid w:val="0009588F"/>
    <w:rsid w:val="000A697C"/>
    <w:rsid w:val="000B5587"/>
    <w:rsid w:val="000B5CD5"/>
    <w:rsid w:val="000C3F9D"/>
    <w:rsid w:val="000D0715"/>
    <w:rsid w:val="000D2D8F"/>
    <w:rsid w:val="000D3164"/>
    <w:rsid w:val="000D3D72"/>
    <w:rsid w:val="000D60B9"/>
    <w:rsid w:val="000D61A4"/>
    <w:rsid w:val="000E43EC"/>
    <w:rsid w:val="000E6BFB"/>
    <w:rsid w:val="000E77CD"/>
    <w:rsid w:val="000E7AAF"/>
    <w:rsid w:val="00100625"/>
    <w:rsid w:val="00100AE1"/>
    <w:rsid w:val="00100FC0"/>
    <w:rsid w:val="00106986"/>
    <w:rsid w:val="00110BA9"/>
    <w:rsid w:val="00111185"/>
    <w:rsid w:val="00113B38"/>
    <w:rsid w:val="0011511C"/>
    <w:rsid w:val="00116B3C"/>
    <w:rsid w:val="001204ED"/>
    <w:rsid w:val="001313DA"/>
    <w:rsid w:val="00132A64"/>
    <w:rsid w:val="00137586"/>
    <w:rsid w:val="00140992"/>
    <w:rsid w:val="0014BC4A"/>
    <w:rsid w:val="00150BA5"/>
    <w:rsid w:val="00165B63"/>
    <w:rsid w:val="00166028"/>
    <w:rsid w:val="00167747"/>
    <w:rsid w:val="00173E2A"/>
    <w:rsid w:val="001842B9"/>
    <w:rsid w:val="001868B3"/>
    <w:rsid w:val="00187C15"/>
    <w:rsid w:val="001904C4"/>
    <w:rsid w:val="001906D9"/>
    <w:rsid w:val="00191989"/>
    <w:rsid w:val="001C3513"/>
    <w:rsid w:val="001C3866"/>
    <w:rsid w:val="001C6E84"/>
    <w:rsid w:val="001D2A45"/>
    <w:rsid w:val="001E3096"/>
    <w:rsid w:val="001E374F"/>
    <w:rsid w:val="001E513F"/>
    <w:rsid w:val="001F0E30"/>
    <w:rsid w:val="001F45EA"/>
    <w:rsid w:val="001F4718"/>
    <w:rsid w:val="00203193"/>
    <w:rsid w:val="00207E79"/>
    <w:rsid w:val="00210C5C"/>
    <w:rsid w:val="00210EC0"/>
    <w:rsid w:val="00211E01"/>
    <w:rsid w:val="00212299"/>
    <w:rsid w:val="00213AC5"/>
    <w:rsid w:val="002221A3"/>
    <w:rsid w:val="00226757"/>
    <w:rsid w:val="0022789F"/>
    <w:rsid w:val="00230E87"/>
    <w:rsid w:val="00232B04"/>
    <w:rsid w:val="00237BBF"/>
    <w:rsid w:val="0024085E"/>
    <w:rsid w:val="00244091"/>
    <w:rsid w:val="0024463E"/>
    <w:rsid w:val="00247CE9"/>
    <w:rsid w:val="002658F3"/>
    <w:rsid w:val="002678C3"/>
    <w:rsid w:val="00270EC6"/>
    <w:rsid w:val="00282B34"/>
    <w:rsid w:val="0028300A"/>
    <w:rsid w:val="002840A3"/>
    <w:rsid w:val="00285F72"/>
    <w:rsid w:val="00286EF7"/>
    <w:rsid w:val="00297320"/>
    <w:rsid w:val="002A0069"/>
    <w:rsid w:val="002A058D"/>
    <w:rsid w:val="002A2216"/>
    <w:rsid w:val="002A539B"/>
    <w:rsid w:val="002B065F"/>
    <w:rsid w:val="002B37EC"/>
    <w:rsid w:val="002B76FF"/>
    <w:rsid w:val="002C0C40"/>
    <w:rsid w:val="002C6D54"/>
    <w:rsid w:val="002D0078"/>
    <w:rsid w:val="002D2D83"/>
    <w:rsid w:val="002E0592"/>
    <w:rsid w:val="002E4D76"/>
    <w:rsid w:val="002E6931"/>
    <w:rsid w:val="002F23A2"/>
    <w:rsid w:val="0030339F"/>
    <w:rsid w:val="00306089"/>
    <w:rsid w:val="003071EA"/>
    <w:rsid w:val="00315576"/>
    <w:rsid w:val="00316622"/>
    <w:rsid w:val="00322C20"/>
    <w:rsid w:val="00322F0A"/>
    <w:rsid w:val="0032590E"/>
    <w:rsid w:val="00325936"/>
    <w:rsid w:val="00327415"/>
    <w:rsid w:val="00335A9E"/>
    <w:rsid w:val="00336EBB"/>
    <w:rsid w:val="00345170"/>
    <w:rsid w:val="00357181"/>
    <w:rsid w:val="00361026"/>
    <w:rsid w:val="003647CA"/>
    <w:rsid w:val="00366605"/>
    <w:rsid w:val="003668A4"/>
    <w:rsid w:val="00372606"/>
    <w:rsid w:val="0037385F"/>
    <w:rsid w:val="003760E7"/>
    <w:rsid w:val="00381CF3"/>
    <w:rsid w:val="0038415A"/>
    <w:rsid w:val="00393D72"/>
    <w:rsid w:val="0039454D"/>
    <w:rsid w:val="00396F1C"/>
    <w:rsid w:val="0039708F"/>
    <w:rsid w:val="0039715F"/>
    <w:rsid w:val="003A4B12"/>
    <w:rsid w:val="003B2703"/>
    <w:rsid w:val="003C04B2"/>
    <w:rsid w:val="003C3894"/>
    <w:rsid w:val="003C7B66"/>
    <w:rsid w:val="003D0417"/>
    <w:rsid w:val="003D509B"/>
    <w:rsid w:val="003E22B3"/>
    <w:rsid w:val="003F5BCE"/>
    <w:rsid w:val="00403463"/>
    <w:rsid w:val="0041169D"/>
    <w:rsid w:val="00411B83"/>
    <w:rsid w:val="004148B3"/>
    <w:rsid w:val="004219B3"/>
    <w:rsid w:val="004223DB"/>
    <w:rsid w:val="004277B8"/>
    <w:rsid w:val="00431A0D"/>
    <w:rsid w:val="004338D1"/>
    <w:rsid w:val="00433955"/>
    <w:rsid w:val="0043408B"/>
    <w:rsid w:val="00434CA0"/>
    <w:rsid w:val="00436F67"/>
    <w:rsid w:val="00441213"/>
    <w:rsid w:val="004529CA"/>
    <w:rsid w:val="0045716A"/>
    <w:rsid w:val="00461044"/>
    <w:rsid w:val="00466DE9"/>
    <w:rsid w:val="0047411F"/>
    <w:rsid w:val="00485DE3"/>
    <w:rsid w:val="00486633"/>
    <w:rsid w:val="00487330"/>
    <w:rsid w:val="00487613"/>
    <w:rsid w:val="004901AC"/>
    <w:rsid w:val="00491A43"/>
    <w:rsid w:val="004944BA"/>
    <w:rsid w:val="004A0A64"/>
    <w:rsid w:val="004A3A1E"/>
    <w:rsid w:val="004A58A5"/>
    <w:rsid w:val="004C0C3A"/>
    <w:rsid w:val="004C6373"/>
    <w:rsid w:val="004D0019"/>
    <w:rsid w:val="004D3665"/>
    <w:rsid w:val="004D703E"/>
    <w:rsid w:val="004E0D15"/>
    <w:rsid w:val="004F4EF8"/>
    <w:rsid w:val="004F565A"/>
    <w:rsid w:val="00503269"/>
    <w:rsid w:val="00504644"/>
    <w:rsid w:val="00513D5D"/>
    <w:rsid w:val="005141EA"/>
    <w:rsid w:val="00523254"/>
    <w:rsid w:val="00534703"/>
    <w:rsid w:val="005363CC"/>
    <w:rsid w:val="0053694D"/>
    <w:rsid w:val="00541BEA"/>
    <w:rsid w:val="00550594"/>
    <w:rsid w:val="00553ACE"/>
    <w:rsid w:val="00560246"/>
    <w:rsid w:val="00562950"/>
    <w:rsid w:val="00562B34"/>
    <w:rsid w:val="0056748F"/>
    <w:rsid w:val="005679CD"/>
    <w:rsid w:val="00571016"/>
    <w:rsid w:val="0057484D"/>
    <w:rsid w:val="00582575"/>
    <w:rsid w:val="0058389B"/>
    <w:rsid w:val="00587EC4"/>
    <w:rsid w:val="00591E39"/>
    <w:rsid w:val="005920F3"/>
    <w:rsid w:val="00595251"/>
    <w:rsid w:val="00596234"/>
    <w:rsid w:val="005A10D1"/>
    <w:rsid w:val="005A269B"/>
    <w:rsid w:val="005A7853"/>
    <w:rsid w:val="005B0F27"/>
    <w:rsid w:val="005B29D4"/>
    <w:rsid w:val="005B2EE6"/>
    <w:rsid w:val="005B47BC"/>
    <w:rsid w:val="005B4E2E"/>
    <w:rsid w:val="005C1385"/>
    <w:rsid w:val="005C236A"/>
    <w:rsid w:val="005C30C2"/>
    <w:rsid w:val="005C5BD4"/>
    <w:rsid w:val="005D1591"/>
    <w:rsid w:val="005D1D84"/>
    <w:rsid w:val="005E11E2"/>
    <w:rsid w:val="005F1862"/>
    <w:rsid w:val="005F2193"/>
    <w:rsid w:val="005F3B50"/>
    <w:rsid w:val="005F425F"/>
    <w:rsid w:val="005F4349"/>
    <w:rsid w:val="00600E74"/>
    <w:rsid w:val="00605112"/>
    <w:rsid w:val="006051E8"/>
    <w:rsid w:val="00606BBC"/>
    <w:rsid w:val="0061029D"/>
    <w:rsid w:val="00610301"/>
    <w:rsid w:val="006121E1"/>
    <w:rsid w:val="0061402B"/>
    <w:rsid w:val="006147C3"/>
    <w:rsid w:val="006201BD"/>
    <w:rsid w:val="0062192A"/>
    <w:rsid w:val="00626958"/>
    <w:rsid w:val="00630C04"/>
    <w:rsid w:val="00632503"/>
    <w:rsid w:val="00635B05"/>
    <w:rsid w:val="00636271"/>
    <w:rsid w:val="00641526"/>
    <w:rsid w:val="00645E66"/>
    <w:rsid w:val="00646AB1"/>
    <w:rsid w:val="006517B3"/>
    <w:rsid w:val="00652714"/>
    <w:rsid w:val="00655B78"/>
    <w:rsid w:val="00661F48"/>
    <w:rsid w:val="00664293"/>
    <w:rsid w:val="00671522"/>
    <w:rsid w:val="006727A8"/>
    <w:rsid w:val="00674F3A"/>
    <w:rsid w:val="00681C22"/>
    <w:rsid w:val="00690CA3"/>
    <w:rsid w:val="00691596"/>
    <w:rsid w:val="006930AC"/>
    <w:rsid w:val="006A3E38"/>
    <w:rsid w:val="006A6527"/>
    <w:rsid w:val="006B2955"/>
    <w:rsid w:val="006B3BDE"/>
    <w:rsid w:val="006B5C40"/>
    <w:rsid w:val="006C0348"/>
    <w:rsid w:val="006C146F"/>
    <w:rsid w:val="006C2A21"/>
    <w:rsid w:val="006D4151"/>
    <w:rsid w:val="006E7AE4"/>
    <w:rsid w:val="006F0D56"/>
    <w:rsid w:val="006F3921"/>
    <w:rsid w:val="00703FB9"/>
    <w:rsid w:val="0070444B"/>
    <w:rsid w:val="007059E4"/>
    <w:rsid w:val="0071065C"/>
    <w:rsid w:val="00717F9D"/>
    <w:rsid w:val="00731C9B"/>
    <w:rsid w:val="00732A9E"/>
    <w:rsid w:val="00734C6E"/>
    <w:rsid w:val="00746960"/>
    <w:rsid w:val="0075103D"/>
    <w:rsid w:val="00760990"/>
    <w:rsid w:val="0076256C"/>
    <w:rsid w:val="007627E4"/>
    <w:rsid w:val="00767AC6"/>
    <w:rsid w:val="007705DD"/>
    <w:rsid w:val="00770F3E"/>
    <w:rsid w:val="00775F22"/>
    <w:rsid w:val="00781AF9"/>
    <w:rsid w:val="007840B7"/>
    <w:rsid w:val="007843EE"/>
    <w:rsid w:val="00786C3E"/>
    <w:rsid w:val="007901AE"/>
    <w:rsid w:val="00790B54"/>
    <w:rsid w:val="00794986"/>
    <w:rsid w:val="00794B50"/>
    <w:rsid w:val="00795148"/>
    <w:rsid w:val="007A19DA"/>
    <w:rsid w:val="007A757F"/>
    <w:rsid w:val="007B755C"/>
    <w:rsid w:val="007B77DF"/>
    <w:rsid w:val="007C091B"/>
    <w:rsid w:val="007C2370"/>
    <w:rsid w:val="007C4FB2"/>
    <w:rsid w:val="007E0791"/>
    <w:rsid w:val="007E6963"/>
    <w:rsid w:val="007E762F"/>
    <w:rsid w:val="007F2635"/>
    <w:rsid w:val="007F64C7"/>
    <w:rsid w:val="007F6F0B"/>
    <w:rsid w:val="00805CF0"/>
    <w:rsid w:val="00816966"/>
    <w:rsid w:val="00822E57"/>
    <w:rsid w:val="00825B69"/>
    <w:rsid w:val="00827AA3"/>
    <w:rsid w:val="008305A4"/>
    <w:rsid w:val="00832BEE"/>
    <w:rsid w:val="00836D58"/>
    <w:rsid w:val="00837BA7"/>
    <w:rsid w:val="0084482C"/>
    <w:rsid w:val="0085170E"/>
    <w:rsid w:val="00851F99"/>
    <w:rsid w:val="00852D3F"/>
    <w:rsid w:val="008736F3"/>
    <w:rsid w:val="00874B8A"/>
    <w:rsid w:val="008823EE"/>
    <w:rsid w:val="0088389F"/>
    <w:rsid w:val="00891383"/>
    <w:rsid w:val="00896746"/>
    <w:rsid w:val="008A0363"/>
    <w:rsid w:val="008A6BF6"/>
    <w:rsid w:val="008B0B64"/>
    <w:rsid w:val="008B3717"/>
    <w:rsid w:val="008C15EE"/>
    <w:rsid w:val="008C4A46"/>
    <w:rsid w:val="008C5DC9"/>
    <w:rsid w:val="008C7960"/>
    <w:rsid w:val="008C7F08"/>
    <w:rsid w:val="008D3EB8"/>
    <w:rsid w:val="008D492B"/>
    <w:rsid w:val="008D6048"/>
    <w:rsid w:val="008D69D7"/>
    <w:rsid w:val="008E0BFC"/>
    <w:rsid w:val="008F1DDF"/>
    <w:rsid w:val="008F31A1"/>
    <w:rsid w:val="008F34F7"/>
    <w:rsid w:val="008F40C1"/>
    <w:rsid w:val="008F52DE"/>
    <w:rsid w:val="00905480"/>
    <w:rsid w:val="00906800"/>
    <w:rsid w:val="00906EBD"/>
    <w:rsid w:val="0090746C"/>
    <w:rsid w:val="0091362D"/>
    <w:rsid w:val="00913A32"/>
    <w:rsid w:val="00916197"/>
    <w:rsid w:val="00917EBD"/>
    <w:rsid w:val="00923709"/>
    <w:rsid w:val="00924874"/>
    <w:rsid w:val="00931833"/>
    <w:rsid w:val="00941156"/>
    <w:rsid w:val="00941C35"/>
    <w:rsid w:val="009430DD"/>
    <w:rsid w:val="00946E96"/>
    <w:rsid w:val="00953E05"/>
    <w:rsid w:val="00954384"/>
    <w:rsid w:val="00956314"/>
    <w:rsid w:val="00956B0B"/>
    <w:rsid w:val="00971004"/>
    <w:rsid w:val="0097362E"/>
    <w:rsid w:val="00975127"/>
    <w:rsid w:val="009830FA"/>
    <w:rsid w:val="0099520B"/>
    <w:rsid w:val="009B780F"/>
    <w:rsid w:val="009C034B"/>
    <w:rsid w:val="009C06A9"/>
    <w:rsid w:val="009C2746"/>
    <w:rsid w:val="009C3A4F"/>
    <w:rsid w:val="009C44C6"/>
    <w:rsid w:val="009C569B"/>
    <w:rsid w:val="009C7B54"/>
    <w:rsid w:val="009D42AF"/>
    <w:rsid w:val="009D695B"/>
    <w:rsid w:val="009E502F"/>
    <w:rsid w:val="009E701B"/>
    <w:rsid w:val="009F11F8"/>
    <w:rsid w:val="009F5076"/>
    <w:rsid w:val="009F7B45"/>
    <w:rsid w:val="00A01CDE"/>
    <w:rsid w:val="00A034B6"/>
    <w:rsid w:val="00A07655"/>
    <w:rsid w:val="00A119AF"/>
    <w:rsid w:val="00A12F16"/>
    <w:rsid w:val="00A13A46"/>
    <w:rsid w:val="00A1485B"/>
    <w:rsid w:val="00A2054A"/>
    <w:rsid w:val="00A2606E"/>
    <w:rsid w:val="00A26469"/>
    <w:rsid w:val="00A27652"/>
    <w:rsid w:val="00A35922"/>
    <w:rsid w:val="00A42103"/>
    <w:rsid w:val="00A45E0C"/>
    <w:rsid w:val="00A46894"/>
    <w:rsid w:val="00A47F78"/>
    <w:rsid w:val="00A51015"/>
    <w:rsid w:val="00A53153"/>
    <w:rsid w:val="00A54E05"/>
    <w:rsid w:val="00A558E5"/>
    <w:rsid w:val="00A55EB6"/>
    <w:rsid w:val="00A65CFE"/>
    <w:rsid w:val="00A7214F"/>
    <w:rsid w:val="00A73193"/>
    <w:rsid w:val="00A821AD"/>
    <w:rsid w:val="00A905E4"/>
    <w:rsid w:val="00A93984"/>
    <w:rsid w:val="00A947C0"/>
    <w:rsid w:val="00A948E6"/>
    <w:rsid w:val="00A94C7D"/>
    <w:rsid w:val="00AA1BA9"/>
    <w:rsid w:val="00AB4369"/>
    <w:rsid w:val="00AC581A"/>
    <w:rsid w:val="00AC6FB8"/>
    <w:rsid w:val="00AC750F"/>
    <w:rsid w:val="00AD0AEF"/>
    <w:rsid w:val="00AD1957"/>
    <w:rsid w:val="00AD3846"/>
    <w:rsid w:val="00AE19D3"/>
    <w:rsid w:val="00AE1E62"/>
    <w:rsid w:val="00AE3EF2"/>
    <w:rsid w:val="00AE6B87"/>
    <w:rsid w:val="00AF014D"/>
    <w:rsid w:val="00AF23AC"/>
    <w:rsid w:val="00AF3EC1"/>
    <w:rsid w:val="00B00F29"/>
    <w:rsid w:val="00B01B44"/>
    <w:rsid w:val="00B02560"/>
    <w:rsid w:val="00B048A9"/>
    <w:rsid w:val="00B112CA"/>
    <w:rsid w:val="00B16ECF"/>
    <w:rsid w:val="00B21786"/>
    <w:rsid w:val="00B21C64"/>
    <w:rsid w:val="00B22FF8"/>
    <w:rsid w:val="00B27BF2"/>
    <w:rsid w:val="00B31B04"/>
    <w:rsid w:val="00B33112"/>
    <w:rsid w:val="00B34859"/>
    <w:rsid w:val="00B40620"/>
    <w:rsid w:val="00B4627E"/>
    <w:rsid w:val="00B463BE"/>
    <w:rsid w:val="00B52AAF"/>
    <w:rsid w:val="00B53A0A"/>
    <w:rsid w:val="00B54270"/>
    <w:rsid w:val="00B565E2"/>
    <w:rsid w:val="00B62021"/>
    <w:rsid w:val="00B63AE2"/>
    <w:rsid w:val="00B656D5"/>
    <w:rsid w:val="00B72492"/>
    <w:rsid w:val="00B77E5A"/>
    <w:rsid w:val="00B87AD1"/>
    <w:rsid w:val="00B974EB"/>
    <w:rsid w:val="00BA7E4B"/>
    <w:rsid w:val="00BB3652"/>
    <w:rsid w:val="00BB4FC1"/>
    <w:rsid w:val="00BB507B"/>
    <w:rsid w:val="00BD3616"/>
    <w:rsid w:val="00BD5A1C"/>
    <w:rsid w:val="00BE05E9"/>
    <w:rsid w:val="00BE0634"/>
    <w:rsid w:val="00BE1D1D"/>
    <w:rsid w:val="00BE5D39"/>
    <w:rsid w:val="00BF6881"/>
    <w:rsid w:val="00BF6D29"/>
    <w:rsid w:val="00C133B2"/>
    <w:rsid w:val="00C14759"/>
    <w:rsid w:val="00C1616B"/>
    <w:rsid w:val="00C202AA"/>
    <w:rsid w:val="00C30559"/>
    <w:rsid w:val="00C343A9"/>
    <w:rsid w:val="00C40F1F"/>
    <w:rsid w:val="00C42B0F"/>
    <w:rsid w:val="00C47A66"/>
    <w:rsid w:val="00C52E91"/>
    <w:rsid w:val="00C56B42"/>
    <w:rsid w:val="00C67A2A"/>
    <w:rsid w:val="00C84103"/>
    <w:rsid w:val="00C858DE"/>
    <w:rsid w:val="00C95C66"/>
    <w:rsid w:val="00CA288A"/>
    <w:rsid w:val="00CA451D"/>
    <w:rsid w:val="00CA51F0"/>
    <w:rsid w:val="00CA607D"/>
    <w:rsid w:val="00CA7068"/>
    <w:rsid w:val="00CA7EC7"/>
    <w:rsid w:val="00CB30BF"/>
    <w:rsid w:val="00CB4403"/>
    <w:rsid w:val="00CB4AA0"/>
    <w:rsid w:val="00CC2B7B"/>
    <w:rsid w:val="00CC5530"/>
    <w:rsid w:val="00CC733E"/>
    <w:rsid w:val="00CC7A99"/>
    <w:rsid w:val="00CD0DEF"/>
    <w:rsid w:val="00CD1A8F"/>
    <w:rsid w:val="00CD1DD0"/>
    <w:rsid w:val="00CD5EC9"/>
    <w:rsid w:val="00CE39CF"/>
    <w:rsid w:val="00CF17D7"/>
    <w:rsid w:val="00CF24C6"/>
    <w:rsid w:val="00CF674D"/>
    <w:rsid w:val="00D00A32"/>
    <w:rsid w:val="00D05918"/>
    <w:rsid w:val="00D06D99"/>
    <w:rsid w:val="00D06F97"/>
    <w:rsid w:val="00D10519"/>
    <w:rsid w:val="00D1386E"/>
    <w:rsid w:val="00D1508D"/>
    <w:rsid w:val="00D316DD"/>
    <w:rsid w:val="00D32E92"/>
    <w:rsid w:val="00D370E8"/>
    <w:rsid w:val="00D42140"/>
    <w:rsid w:val="00D43836"/>
    <w:rsid w:val="00D44C16"/>
    <w:rsid w:val="00D47CFC"/>
    <w:rsid w:val="00D47E54"/>
    <w:rsid w:val="00D52023"/>
    <w:rsid w:val="00D62E8F"/>
    <w:rsid w:val="00D6425B"/>
    <w:rsid w:val="00D656B6"/>
    <w:rsid w:val="00D65EA2"/>
    <w:rsid w:val="00D71BBC"/>
    <w:rsid w:val="00D76D1E"/>
    <w:rsid w:val="00D84EE2"/>
    <w:rsid w:val="00D874D3"/>
    <w:rsid w:val="00D87B23"/>
    <w:rsid w:val="00D91BDA"/>
    <w:rsid w:val="00D9256D"/>
    <w:rsid w:val="00D92E54"/>
    <w:rsid w:val="00D94F90"/>
    <w:rsid w:val="00D97C52"/>
    <w:rsid w:val="00DA4827"/>
    <w:rsid w:val="00DA6CB7"/>
    <w:rsid w:val="00DA6EB8"/>
    <w:rsid w:val="00DA7753"/>
    <w:rsid w:val="00DB50BF"/>
    <w:rsid w:val="00DB596D"/>
    <w:rsid w:val="00DB605E"/>
    <w:rsid w:val="00DC42AB"/>
    <w:rsid w:val="00DC633D"/>
    <w:rsid w:val="00DD3501"/>
    <w:rsid w:val="00DD3F37"/>
    <w:rsid w:val="00DD5B2B"/>
    <w:rsid w:val="00DD5D25"/>
    <w:rsid w:val="00DE1039"/>
    <w:rsid w:val="00DE26F8"/>
    <w:rsid w:val="00DE4B08"/>
    <w:rsid w:val="00DE76B5"/>
    <w:rsid w:val="00DF526C"/>
    <w:rsid w:val="00DF574D"/>
    <w:rsid w:val="00DF636D"/>
    <w:rsid w:val="00DF7401"/>
    <w:rsid w:val="00E02F53"/>
    <w:rsid w:val="00E0378D"/>
    <w:rsid w:val="00E1268F"/>
    <w:rsid w:val="00E17A35"/>
    <w:rsid w:val="00E20204"/>
    <w:rsid w:val="00E20AC6"/>
    <w:rsid w:val="00E24956"/>
    <w:rsid w:val="00E25FC8"/>
    <w:rsid w:val="00E33944"/>
    <w:rsid w:val="00E36D64"/>
    <w:rsid w:val="00E479BC"/>
    <w:rsid w:val="00E52387"/>
    <w:rsid w:val="00E527A1"/>
    <w:rsid w:val="00E53E64"/>
    <w:rsid w:val="00E562D6"/>
    <w:rsid w:val="00E56A84"/>
    <w:rsid w:val="00E62837"/>
    <w:rsid w:val="00E711CD"/>
    <w:rsid w:val="00E737D7"/>
    <w:rsid w:val="00E75075"/>
    <w:rsid w:val="00E81F24"/>
    <w:rsid w:val="00E85E87"/>
    <w:rsid w:val="00E9073D"/>
    <w:rsid w:val="00E94AA4"/>
    <w:rsid w:val="00E9527B"/>
    <w:rsid w:val="00E95F8B"/>
    <w:rsid w:val="00EA21D4"/>
    <w:rsid w:val="00EB1362"/>
    <w:rsid w:val="00EB1ED1"/>
    <w:rsid w:val="00EB2FC7"/>
    <w:rsid w:val="00EB6D0C"/>
    <w:rsid w:val="00EB7ACC"/>
    <w:rsid w:val="00EC2FCE"/>
    <w:rsid w:val="00EC3558"/>
    <w:rsid w:val="00EC5150"/>
    <w:rsid w:val="00ED01E0"/>
    <w:rsid w:val="00ED5BCF"/>
    <w:rsid w:val="00EE318C"/>
    <w:rsid w:val="00EE42ED"/>
    <w:rsid w:val="00EE7A15"/>
    <w:rsid w:val="00EF21DA"/>
    <w:rsid w:val="00EF2F3E"/>
    <w:rsid w:val="00EF7853"/>
    <w:rsid w:val="00F00D56"/>
    <w:rsid w:val="00F05739"/>
    <w:rsid w:val="00F06CEA"/>
    <w:rsid w:val="00F12B06"/>
    <w:rsid w:val="00F1369B"/>
    <w:rsid w:val="00F21F60"/>
    <w:rsid w:val="00F2205D"/>
    <w:rsid w:val="00F25C8A"/>
    <w:rsid w:val="00F37AB8"/>
    <w:rsid w:val="00F418C6"/>
    <w:rsid w:val="00F45ED0"/>
    <w:rsid w:val="00F466F1"/>
    <w:rsid w:val="00F46D19"/>
    <w:rsid w:val="00F46D1F"/>
    <w:rsid w:val="00F47A40"/>
    <w:rsid w:val="00F52927"/>
    <w:rsid w:val="00F52C0A"/>
    <w:rsid w:val="00F53205"/>
    <w:rsid w:val="00F54D2D"/>
    <w:rsid w:val="00F55EA8"/>
    <w:rsid w:val="00F5655E"/>
    <w:rsid w:val="00F573D3"/>
    <w:rsid w:val="00F57413"/>
    <w:rsid w:val="00F60DDE"/>
    <w:rsid w:val="00F61454"/>
    <w:rsid w:val="00F61D7A"/>
    <w:rsid w:val="00F62263"/>
    <w:rsid w:val="00F63835"/>
    <w:rsid w:val="00F6393B"/>
    <w:rsid w:val="00F700AD"/>
    <w:rsid w:val="00F70DCB"/>
    <w:rsid w:val="00F71E15"/>
    <w:rsid w:val="00F73F9B"/>
    <w:rsid w:val="00F77CE9"/>
    <w:rsid w:val="00F81EA7"/>
    <w:rsid w:val="00F83C92"/>
    <w:rsid w:val="00F843BF"/>
    <w:rsid w:val="00F8485C"/>
    <w:rsid w:val="00F94390"/>
    <w:rsid w:val="00FA1226"/>
    <w:rsid w:val="00FA4284"/>
    <w:rsid w:val="00FA68EF"/>
    <w:rsid w:val="00FAE331"/>
    <w:rsid w:val="00FB041C"/>
    <w:rsid w:val="00FB51BF"/>
    <w:rsid w:val="00FB5D0F"/>
    <w:rsid w:val="00FB6A61"/>
    <w:rsid w:val="00FC0956"/>
    <w:rsid w:val="00FC6090"/>
    <w:rsid w:val="00FC7EEC"/>
    <w:rsid w:val="00FD0A3F"/>
    <w:rsid w:val="00FD2BEC"/>
    <w:rsid w:val="00FD6725"/>
    <w:rsid w:val="00FD7A89"/>
    <w:rsid w:val="00FF00A6"/>
    <w:rsid w:val="00FF0249"/>
    <w:rsid w:val="00FF409C"/>
    <w:rsid w:val="00FF51CC"/>
    <w:rsid w:val="0140342F"/>
    <w:rsid w:val="019997BB"/>
    <w:rsid w:val="01F2C15B"/>
    <w:rsid w:val="0209C5C4"/>
    <w:rsid w:val="02DA48C0"/>
    <w:rsid w:val="02FE46BE"/>
    <w:rsid w:val="03073BAA"/>
    <w:rsid w:val="03203BCE"/>
    <w:rsid w:val="032F3FEF"/>
    <w:rsid w:val="0340EC0F"/>
    <w:rsid w:val="034E6840"/>
    <w:rsid w:val="035B7532"/>
    <w:rsid w:val="0397E723"/>
    <w:rsid w:val="03BF1CEF"/>
    <w:rsid w:val="0421A32B"/>
    <w:rsid w:val="049D2256"/>
    <w:rsid w:val="04A5FC94"/>
    <w:rsid w:val="04C28D5C"/>
    <w:rsid w:val="05E3D5EE"/>
    <w:rsid w:val="0639BD00"/>
    <w:rsid w:val="06590B80"/>
    <w:rsid w:val="0664D32E"/>
    <w:rsid w:val="069B027F"/>
    <w:rsid w:val="06B53193"/>
    <w:rsid w:val="070BFAD1"/>
    <w:rsid w:val="079DEF7E"/>
    <w:rsid w:val="07B5D93F"/>
    <w:rsid w:val="07CF9914"/>
    <w:rsid w:val="08355013"/>
    <w:rsid w:val="0851CC3D"/>
    <w:rsid w:val="089739B0"/>
    <w:rsid w:val="08D5602C"/>
    <w:rsid w:val="08DD1AE1"/>
    <w:rsid w:val="08F90F62"/>
    <w:rsid w:val="090E3E1B"/>
    <w:rsid w:val="0980CFCC"/>
    <w:rsid w:val="09CDB6A6"/>
    <w:rsid w:val="0A0C20D5"/>
    <w:rsid w:val="0A4E61EF"/>
    <w:rsid w:val="0A62B83D"/>
    <w:rsid w:val="0A8D2609"/>
    <w:rsid w:val="0AF5F358"/>
    <w:rsid w:val="0BC48ED3"/>
    <w:rsid w:val="0C4EA505"/>
    <w:rsid w:val="0CB14FB6"/>
    <w:rsid w:val="0CF1B419"/>
    <w:rsid w:val="0CF77595"/>
    <w:rsid w:val="0D4131E1"/>
    <w:rsid w:val="0DF1C44D"/>
    <w:rsid w:val="0EC13F97"/>
    <w:rsid w:val="0F0604B0"/>
    <w:rsid w:val="0F4BCE62"/>
    <w:rsid w:val="0F52E82A"/>
    <w:rsid w:val="0F733E3B"/>
    <w:rsid w:val="0F8210BB"/>
    <w:rsid w:val="0FD10996"/>
    <w:rsid w:val="10118D44"/>
    <w:rsid w:val="1042E225"/>
    <w:rsid w:val="10E37201"/>
    <w:rsid w:val="11881AD8"/>
    <w:rsid w:val="11FED4A6"/>
    <w:rsid w:val="12589DD4"/>
    <w:rsid w:val="12605889"/>
    <w:rsid w:val="1293242B"/>
    <w:rsid w:val="12F81CA7"/>
    <w:rsid w:val="12FDEABE"/>
    <w:rsid w:val="13640719"/>
    <w:rsid w:val="13D0F0D5"/>
    <w:rsid w:val="141B0AD5"/>
    <w:rsid w:val="146D6BDA"/>
    <w:rsid w:val="148805DE"/>
    <w:rsid w:val="14CE0214"/>
    <w:rsid w:val="1531E2DC"/>
    <w:rsid w:val="153D7AC0"/>
    <w:rsid w:val="1545B49B"/>
    <w:rsid w:val="1669E4C6"/>
    <w:rsid w:val="1763AC19"/>
    <w:rsid w:val="179E9AE0"/>
    <w:rsid w:val="17C9BBE1"/>
    <w:rsid w:val="17CA5837"/>
    <w:rsid w:val="194E0F10"/>
    <w:rsid w:val="1951688F"/>
    <w:rsid w:val="19612B39"/>
    <w:rsid w:val="19F6B0C1"/>
    <w:rsid w:val="1A070642"/>
    <w:rsid w:val="1A409CD9"/>
    <w:rsid w:val="1A69F21E"/>
    <w:rsid w:val="1B0D50BE"/>
    <w:rsid w:val="1B80A6F0"/>
    <w:rsid w:val="1B98F5BB"/>
    <w:rsid w:val="1BD7EAEC"/>
    <w:rsid w:val="1CB01B00"/>
    <w:rsid w:val="1CFA9820"/>
    <w:rsid w:val="1D4ED0E0"/>
    <w:rsid w:val="1DA0F097"/>
    <w:rsid w:val="1DB5D942"/>
    <w:rsid w:val="1E3A903E"/>
    <w:rsid w:val="1E6CC4FE"/>
    <w:rsid w:val="1EA54C88"/>
    <w:rsid w:val="1EBB6EE0"/>
    <w:rsid w:val="1EBF9CC5"/>
    <w:rsid w:val="1EC820C8"/>
    <w:rsid w:val="1F02F3F1"/>
    <w:rsid w:val="1F697234"/>
    <w:rsid w:val="1F74414E"/>
    <w:rsid w:val="1F901FC1"/>
    <w:rsid w:val="1FCF2263"/>
    <w:rsid w:val="20616173"/>
    <w:rsid w:val="21069BD7"/>
    <w:rsid w:val="210F6429"/>
    <w:rsid w:val="213800F5"/>
    <w:rsid w:val="215ED759"/>
    <w:rsid w:val="21BAA545"/>
    <w:rsid w:val="21CCF7A4"/>
    <w:rsid w:val="21D22C90"/>
    <w:rsid w:val="223D2E32"/>
    <w:rsid w:val="22690022"/>
    <w:rsid w:val="22A56719"/>
    <w:rsid w:val="22CB1A82"/>
    <w:rsid w:val="23248E59"/>
    <w:rsid w:val="23426130"/>
    <w:rsid w:val="2363CF2C"/>
    <w:rsid w:val="23744EFC"/>
    <w:rsid w:val="23DDCA4B"/>
    <w:rsid w:val="23E5E6AA"/>
    <w:rsid w:val="23E8438F"/>
    <w:rsid w:val="23FA8079"/>
    <w:rsid w:val="240AD68F"/>
    <w:rsid w:val="24E56E66"/>
    <w:rsid w:val="25509C45"/>
    <w:rsid w:val="255A4834"/>
    <w:rsid w:val="256B1E64"/>
    <w:rsid w:val="25CAD147"/>
    <w:rsid w:val="261F7A0E"/>
    <w:rsid w:val="262649AF"/>
    <w:rsid w:val="267414AD"/>
    <w:rsid w:val="2689448B"/>
    <w:rsid w:val="27A7BE43"/>
    <w:rsid w:val="27ECDF51"/>
    <w:rsid w:val="2822C1A4"/>
    <w:rsid w:val="2861C446"/>
    <w:rsid w:val="290EF21B"/>
    <w:rsid w:val="2918C72F"/>
    <w:rsid w:val="299A7E28"/>
    <w:rsid w:val="29A8DB05"/>
    <w:rsid w:val="29FA94B7"/>
    <w:rsid w:val="2A0A6EC8"/>
    <w:rsid w:val="2A54C28C"/>
    <w:rsid w:val="2A8353A5"/>
    <w:rsid w:val="2A878285"/>
    <w:rsid w:val="2A8D4401"/>
    <w:rsid w:val="2B11F9AF"/>
    <w:rsid w:val="2B27662E"/>
    <w:rsid w:val="2B5E53DD"/>
    <w:rsid w:val="2B8F26B4"/>
    <w:rsid w:val="2BA0F79D"/>
    <w:rsid w:val="2C1979C7"/>
    <w:rsid w:val="2C6FE64F"/>
    <w:rsid w:val="2C7CDEAB"/>
    <w:rsid w:val="2C7ECB97"/>
    <w:rsid w:val="2C7EE181"/>
    <w:rsid w:val="2CE963B5"/>
    <w:rsid w:val="2CF6F0CC"/>
    <w:rsid w:val="2D2421D0"/>
    <w:rsid w:val="2D74F17D"/>
    <w:rsid w:val="2DE6F5CA"/>
    <w:rsid w:val="2E4B2DFE"/>
    <w:rsid w:val="2EEC2FDA"/>
    <w:rsid w:val="2EFD1892"/>
    <w:rsid w:val="2F2AC0EC"/>
    <w:rsid w:val="2FAFED28"/>
    <w:rsid w:val="300282CB"/>
    <w:rsid w:val="307BAEB5"/>
    <w:rsid w:val="318FC1AF"/>
    <w:rsid w:val="31BB2B9A"/>
    <w:rsid w:val="33351232"/>
    <w:rsid w:val="33BD9339"/>
    <w:rsid w:val="34280BD7"/>
    <w:rsid w:val="34609100"/>
    <w:rsid w:val="3526FD41"/>
    <w:rsid w:val="358A0277"/>
    <w:rsid w:val="3612D8E4"/>
    <w:rsid w:val="362B0BFA"/>
    <w:rsid w:val="369720C0"/>
    <w:rsid w:val="37B48613"/>
    <w:rsid w:val="3844C370"/>
    <w:rsid w:val="38B6CEC9"/>
    <w:rsid w:val="3B192E96"/>
    <w:rsid w:val="3B6196CE"/>
    <w:rsid w:val="3BACEE84"/>
    <w:rsid w:val="3BC3B901"/>
    <w:rsid w:val="3BE96075"/>
    <w:rsid w:val="3C4572CD"/>
    <w:rsid w:val="3C8BB6FF"/>
    <w:rsid w:val="3DC9C31E"/>
    <w:rsid w:val="3DCAF20E"/>
    <w:rsid w:val="3DE604BA"/>
    <w:rsid w:val="3DEBDEBD"/>
    <w:rsid w:val="3E0FF395"/>
    <w:rsid w:val="3ED7F019"/>
    <w:rsid w:val="3EF93F07"/>
    <w:rsid w:val="3F944871"/>
    <w:rsid w:val="4039A250"/>
    <w:rsid w:val="403C0AC8"/>
    <w:rsid w:val="40523E26"/>
    <w:rsid w:val="40C66B3C"/>
    <w:rsid w:val="411EC397"/>
    <w:rsid w:val="41546E78"/>
    <w:rsid w:val="416528C0"/>
    <w:rsid w:val="42B424A2"/>
    <w:rsid w:val="43013175"/>
    <w:rsid w:val="433C8ADB"/>
    <w:rsid w:val="43EB2D83"/>
    <w:rsid w:val="4408BFDE"/>
    <w:rsid w:val="44598CAA"/>
    <w:rsid w:val="4468F957"/>
    <w:rsid w:val="44BAA053"/>
    <w:rsid w:val="44F35D13"/>
    <w:rsid w:val="45178175"/>
    <w:rsid w:val="4549865F"/>
    <w:rsid w:val="454D4F9D"/>
    <w:rsid w:val="455DB691"/>
    <w:rsid w:val="460A24B2"/>
    <w:rsid w:val="460B9010"/>
    <w:rsid w:val="46282E87"/>
    <w:rsid w:val="46700850"/>
    <w:rsid w:val="480F8CF8"/>
    <w:rsid w:val="481229C0"/>
    <w:rsid w:val="48CCB7B2"/>
    <w:rsid w:val="49563B86"/>
    <w:rsid w:val="4993FE42"/>
    <w:rsid w:val="4A19B490"/>
    <w:rsid w:val="4AB72418"/>
    <w:rsid w:val="4AE397BC"/>
    <w:rsid w:val="4B06700A"/>
    <w:rsid w:val="4B2221CE"/>
    <w:rsid w:val="4B32736D"/>
    <w:rsid w:val="4BA5F975"/>
    <w:rsid w:val="4C5FFCE1"/>
    <w:rsid w:val="4C9030B3"/>
    <w:rsid w:val="4DA3EA0F"/>
    <w:rsid w:val="4DAE6C46"/>
    <w:rsid w:val="4EC3CFCA"/>
    <w:rsid w:val="4F675C6D"/>
    <w:rsid w:val="501A74E3"/>
    <w:rsid w:val="507DF28C"/>
    <w:rsid w:val="508E6EAD"/>
    <w:rsid w:val="50952ED5"/>
    <w:rsid w:val="52FDABCF"/>
    <w:rsid w:val="5355F53C"/>
    <w:rsid w:val="5360EE45"/>
    <w:rsid w:val="53F8F6A6"/>
    <w:rsid w:val="544F3B00"/>
    <w:rsid w:val="545DE8EA"/>
    <w:rsid w:val="5470DF64"/>
    <w:rsid w:val="549BE4A8"/>
    <w:rsid w:val="54B8C14C"/>
    <w:rsid w:val="551E17D1"/>
    <w:rsid w:val="5545EA54"/>
    <w:rsid w:val="558C4304"/>
    <w:rsid w:val="56120C9A"/>
    <w:rsid w:val="561E8CAC"/>
    <w:rsid w:val="5620487C"/>
    <w:rsid w:val="569C980A"/>
    <w:rsid w:val="5712B446"/>
    <w:rsid w:val="58890471"/>
    <w:rsid w:val="58F47E3E"/>
    <w:rsid w:val="591122E4"/>
    <w:rsid w:val="593035FB"/>
    <w:rsid w:val="594AEAC6"/>
    <w:rsid w:val="5977A7F8"/>
    <w:rsid w:val="598BD72C"/>
    <w:rsid w:val="599DE6E4"/>
    <w:rsid w:val="59C650DF"/>
    <w:rsid w:val="5A47ED8B"/>
    <w:rsid w:val="5A65910B"/>
    <w:rsid w:val="5A9173AF"/>
    <w:rsid w:val="5ADD123E"/>
    <w:rsid w:val="5AE3EA26"/>
    <w:rsid w:val="5B1DF49A"/>
    <w:rsid w:val="5B3CABA2"/>
    <w:rsid w:val="5B4B2D67"/>
    <w:rsid w:val="5BD9DEF9"/>
    <w:rsid w:val="5C2CC924"/>
    <w:rsid w:val="5C427293"/>
    <w:rsid w:val="5D3F8F8C"/>
    <w:rsid w:val="5D41BA9B"/>
    <w:rsid w:val="5D52E851"/>
    <w:rsid w:val="5DB048E2"/>
    <w:rsid w:val="5DF922B7"/>
    <w:rsid w:val="5E854B4A"/>
    <w:rsid w:val="5EA870B8"/>
    <w:rsid w:val="5F098B29"/>
    <w:rsid w:val="5FDA8484"/>
    <w:rsid w:val="60B85D04"/>
    <w:rsid w:val="612BC864"/>
    <w:rsid w:val="617A34DF"/>
    <w:rsid w:val="61EA267A"/>
    <w:rsid w:val="62B7D3E9"/>
    <w:rsid w:val="62C45C69"/>
    <w:rsid w:val="6333771D"/>
    <w:rsid w:val="6360192E"/>
    <w:rsid w:val="63A57BA2"/>
    <w:rsid w:val="64AFD445"/>
    <w:rsid w:val="6571AAA6"/>
    <w:rsid w:val="6619536D"/>
    <w:rsid w:val="6632571E"/>
    <w:rsid w:val="66838D29"/>
    <w:rsid w:val="66CD3EDD"/>
    <w:rsid w:val="66E406EA"/>
    <w:rsid w:val="6863EFD2"/>
    <w:rsid w:val="687E1353"/>
    <w:rsid w:val="688DBA93"/>
    <w:rsid w:val="68B72C40"/>
    <w:rsid w:val="69477312"/>
    <w:rsid w:val="697C2B49"/>
    <w:rsid w:val="6995F07B"/>
    <w:rsid w:val="69D741EA"/>
    <w:rsid w:val="6A14C448"/>
    <w:rsid w:val="6A78D6E6"/>
    <w:rsid w:val="6A8FF0CF"/>
    <w:rsid w:val="6ADD7DE3"/>
    <w:rsid w:val="6B27D5BB"/>
    <w:rsid w:val="6B5CF299"/>
    <w:rsid w:val="6B62A226"/>
    <w:rsid w:val="6BDC58A3"/>
    <w:rsid w:val="6BEC0A7B"/>
    <w:rsid w:val="6BF8E49C"/>
    <w:rsid w:val="6C481D2E"/>
    <w:rsid w:val="6C7DB30E"/>
    <w:rsid w:val="6CE1B255"/>
    <w:rsid w:val="6D066B86"/>
    <w:rsid w:val="6DFE06B0"/>
    <w:rsid w:val="6E1BB6F8"/>
    <w:rsid w:val="6E4A3F97"/>
    <w:rsid w:val="6EE5D78B"/>
    <w:rsid w:val="6F24070F"/>
    <w:rsid w:val="6F364240"/>
    <w:rsid w:val="6F718BD1"/>
    <w:rsid w:val="6F9A5084"/>
    <w:rsid w:val="70472F3E"/>
    <w:rsid w:val="70CBF73E"/>
    <w:rsid w:val="71A62707"/>
    <w:rsid w:val="71CB87AC"/>
    <w:rsid w:val="71EA21D7"/>
    <w:rsid w:val="71ED1634"/>
    <w:rsid w:val="72A9185F"/>
    <w:rsid w:val="7335DBFD"/>
    <w:rsid w:val="734E777A"/>
    <w:rsid w:val="739138C2"/>
    <w:rsid w:val="73E63B98"/>
    <w:rsid w:val="74AD3EDF"/>
    <w:rsid w:val="74C29C96"/>
    <w:rsid w:val="7501B1F1"/>
    <w:rsid w:val="751549C6"/>
    <w:rsid w:val="7608767C"/>
    <w:rsid w:val="763ABDC1"/>
    <w:rsid w:val="76B52475"/>
    <w:rsid w:val="76C21AEE"/>
    <w:rsid w:val="76F06300"/>
    <w:rsid w:val="77A66972"/>
    <w:rsid w:val="77E543DB"/>
    <w:rsid w:val="799D30F6"/>
    <w:rsid w:val="7A2B4F4B"/>
    <w:rsid w:val="7A678CD4"/>
    <w:rsid w:val="7AA3CCEF"/>
    <w:rsid w:val="7AE4C7CF"/>
    <w:rsid w:val="7AF51175"/>
    <w:rsid w:val="7B0ADDD5"/>
    <w:rsid w:val="7B260018"/>
    <w:rsid w:val="7BAA1C47"/>
    <w:rsid w:val="7BBC8DB6"/>
    <w:rsid w:val="7BCF131A"/>
    <w:rsid w:val="7BF82898"/>
    <w:rsid w:val="7C16F5EC"/>
    <w:rsid w:val="7C94A06F"/>
    <w:rsid w:val="7C94B6DC"/>
    <w:rsid w:val="7D4D51EE"/>
    <w:rsid w:val="7D4FEC3C"/>
    <w:rsid w:val="7D6EA303"/>
    <w:rsid w:val="7DBC724B"/>
    <w:rsid w:val="7E181273"/>
    <w:rsid w:val="7E189AC6"/>
    <w:rsid w:val="7EE984A6"/>
    <w:rsid w:val="7F12C5D2"/>
    <w:rsid w:val="7F455E8E"/>
    <w:rsid w:val="7F72AA8B"/>
    <w:rsid w:val="7F75B241"/>
    <w:rsid w:val="7FCDA2A9"/>
    <w:rsid w:val="7FEDED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AEF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EA2"/>
  </w:style>
  <w:style w:type="paragraph" w:styleId="Heading1">
    <w:name w:val="heading 1"/>
    <w:basedOn w:val="Normal"/>
    <w:next w:val="Normal"/>
    <w:link w:val="Heading1Char"/>
    <w:uiPriority w:val="9"/>
    <w:qFormat/>
    <w:rsid w:val="0016602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746960"/>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05480"/>
    <w:rPr>
      <w:sz w:val="20"/>
      <w:szCs w:val="20"/>
    </w:rPr>
  </w:style>
  <w:style w:type="character" w:customStyle="1" w:styleId="FootnoteTextChar">
    <w:name w:val="Footnote Text Char"/>
    <w:basedOn w:val="DefaultParagraphFont"/>
    <w:link w:val="FootnoteText"/>
    <w:uiPriority w:val="99"/>
    <w:rsid w:val="00905480"/>
    <w:rPr>
      <w:sz w:val="20"/>
      <w:szCs w:val="20"/>
    </w:rPr>
  </w:style>
  <w:style w:type="character" w:styleId="FootnoteReference">
    <w:name w:val="footnote reference"/>
    <w:basedOn w:val="DefaultParagraphFont"/>
    <w:uiPriority w:val="99"/>
    <w:semiHidden/>
    <w:unhideWhenUsed/>
    <w:rsid w:val="00905480"/>
    <w:rPr>
      <w:vertAlign w:val="superscript"/>
    </w:rPr>
  </w:style>
  <w:style w:type="character" w:customStyle="1" w:styleId="ts-alignment-element">
    <w:name w:val="ts-alignment-element"/>
    <w:basedOn w:val="DefaultParagraphFont"/>
    <w:rsid w:val="00905480"/>
  </w:style>
  <w:style w:type="character" w:customStyle="1" w:styleId="ts-alignment-element-highlighted">
    <w:name w:val="ts-alignment-element-highlighted"/>
    <w:basedOn w:val="DefaultParagraphFont"/>
    <w:rsid w:val="00905480"/>
  </w:style>
  <w:style w:type="paragraph" w:styleId="ListParagraph">
    <w:name w:val="List Paragraph"/>
    <w:basedOn w:val="Normal"/>
    <w:uiPriority w:val="34"/>
    <w:qFormat/>
    <w:rsid w:val="00CE39CF"/>
    <w:pPr>
      <w:ind w:left="720"/>
      <w:contextualSpacing/>
    </w:pPr>
  </w:style>
  <w:style w:type="character" w:customStyle="1" w:styleId="Heading4Char">
    <w:name w:val="Heading 4 Char"/>
    <w:basedOn w:val="DefaultParagraphFont"/>
    <w:link w:val="Heading4"/>
    <w:uiPriority w:val="9"/>
    <w:rsid w:val="00746960"/>
    <w:rPr>
      <w:rFonts w:ascii="Times New Roman" w:eastAsia="Times New Roman" w:hAnsi="Times New Roman" w:cs="Times New Roman"/>
      <w:b/>
      <w:bCs/>
    </w:rPr>
  </w:style>
  <w:style w:type="character" w:customStyle="1" w:styleId="apple-converted-space">
    <w:name w:val="apple-converted-space"/>
    <w:basedOn w:val="DefaultParagraphFont"/>
    <w:rsid w:val="00746960"/>
  </w:style>
  <w:style w:type="character" w:customStyle="1" w:styleId="Heading1Char">
    <w:name w:val="Heading 1 Char"/>
    <w:basedOn w:val="DefaultParagraphFont"/>
    <w:link w:val="Heading1"/>
    <w:uiPriority w:val="9"/>
    <w:rsid w:val="0016602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E43EC"/>
    <w:rPr>
      <w:color w:val="0000FF"/>
      <w:u w:val="single"/>
    </w:rPr>
  </w:style>
  <w:style w:type="character" w:styleId="UnresolvedMention">
    <w:name w:val="Unresolved Mention"/>
    <w:basedOn w:val="DefaultParagraphFont"/>
    <w:uiPriority w:val="99"/>
    <w:semiHidden/>
    <w:unhideWhenUsed/>
    <w:rsid w:val="00F57413"/>
    <w:rPr>
      <w:color w:val="605E5C"/>
      <w:shd w:val="clear" w:color="auto" w:fill="E1DFDD"/>
    </w:rPr>
  </w:style>
  <w:style w:type="paragraph" w:styleId="Header">
    <w:name w:val="header"/>
    <w:basedOn w:val="Normal"/>
    <w:link w:val="HeaderChar"/>
    <w:uiPriority w:val="99"/>
    <w:unhideWhenUsed/>
    <w:rsid w:val="009C2746"/>
    <w:pPr>
      <w:tabs>
        <w:tab w:val="center" w:pos="4513"/>
        <w:tab w:val="right" w:pos="9026"/>
      </w:tabs>
    </w:pPr>
  </w:style>
  <w:style w:type="character" w:customStyle="1" w:styleId="HeaderChar">
    <w:name w:val="Header Char"/>
    <w:basedOn w:val="DefaultParagraphFont"/>
    <w:link w:val="Header"/>
    <w:uiPriority w:val="99"/>
    <w:rsid w:val="009C2746"/>
  </w:style>
  <w:style w:type="paragraph" w:styleId="Footer">
    <w:name w:val="footer"/>
    <w:basedOn w:val="Normal"/>
    <w:link w:val="FooterChar"/>
    <w:uiPriority w:val="99"/>
    <w:unhideWhenUsed/>
    <w:rsid w:val="009C2746"/>
    <w:pPr>
      <w:tabs>
        <w:tab w:val="center" w:pos="4513"/>
        <w:tab w:val="right" w:pos="9026"/>
      </w:tabs>
    </w:pPr>
  </w:style>
  <w:style w:type="character" w:customStyle="1" w:styleId="FooterChar">
    <w:name w:val="Footer Char"/>
    <w:basedOn w:val="DefaultParagraphFont"/>
    <w:link w:val="Footer"/>
    <w:uiPriority w:val="99"/>
    <w:rsid w:val="009C2746"/>
  </w:style>
  <w:style w:type="paragraph" w:styleId="Revision">
    <w:name w:val="Revision"/>
    <w:hidden/>
    <w:uiPriority w:val="99"/>
    <w:semiHidden/>
    <w:rsid w:val="00D06D99"/>
  </w:style>
  <w:style w:type="paragraph" w:styleId="NormalWeb">
    <w:name w:val="Normal (Web)"/>
    <w:basedOn w:val="Normal"/>
    <w:uiPriority w:val="99"/>
    <w:unhideWhenUsed/>
    <w:rsid w:val="00A73193"/>
    <w:rPr>
      <w:rFonts w:ascii="Calibri" w:hAnsi="Calibri" w:cs="Calibri"/>
      <w:sz w:val="22"/>
      <w:szCs w:val="22"/>
      <w:lang w:val="es-419" w:eastAsia="es-419"/>
    </w:rPr>
  </w:style>
  <w:style w:type="character" w:customStyle="1" w:styleId="contentpasted0">
    <w:name w:val="contentpasted0"/>
    <w:basedOn w:val="DefaultParagraphFont"/>
    <w:rsid w:val="00A73193"/>
  </w:style>
  <w:style w:type="character" w:styleId="PlaceholderText">
    <w:name w:val="Placeholder Text"/>
    <w:basedOn w:val="DefaultParagraphFont"/>
    <w:uiPriority w:val="99"/>
    <w:semiHidden/>
    <w:rsid w:val="00ED01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82792">
      <w:bodyDiv w:val="1"/>
      <w:marLeft w:val="0"/>
      <w:marRight w:val="0"/>
      <w:marTop w:val="0"/>
      <w:marBottom w:val="0"/>
      <w:divBdr>
        <w:top w:val="none" w:sz="0" w:space="0" w:color="auto"/>
        <w:left w:val="none" w:sz="0" w:space="0" w:color="auto"/>
        <w:bottom w:val="none" w:sz="0" w:space="0" w:color="auto"/>
        <w:right w:val="none" w:sz="0" w:space="0" w:color="auto"/>
      </w:divBdr>
      <w:divsChild>
        <w:div w:id="1583175537">
          <w:marLeft w:val="0"/>
          <w:marRight w:val="0"/>
          <w:marTop w:val="0"/>
          <w:marBottom w:val="0"/>
          <w:divBdr>
            <w:top w:val="none" w:sz="0" w:space="0" w:color="auto"/>
            <w:left w:val="none" w:sz="0" w:space="0" w:color="auto"/>
            <w:bottom w:val="none" w:sz="0" w:space="0" w:color="auto"/>
            <w:right w:val="none" w:sz="0" w:space="0" w:color="auto"/>
          </w:divBdr>
          <w:divsChild>
            <w:div w:id="1125388802">
              <w:marLeft w:val="0"/>
              <w:marRight w:val="0"/>
              <w:marTop w:val="0"/>
              <w:marBottom w:val="0"/>
              <w:divBdr>
                <w:top w:val="none" w:sz="0" w:space="0" w:color="auto"/>
                <w:left w:val="none" w:sz="0" w:space="0" w:color="auto"/>
                <w:bottom w:val="none" w:sz="0" w:space="0" w:color="auto"/>
                <w:right w:val="none" w:sz="0" w:space="0" w:color="auto"/>
              </w:divBdr>
              <w:divsChild>
                <w:div w:id="2131052571">
                  <w:marLeft w:val="0"/>
                  <w:marRight w:val="0"/>
                  <w:marTop w:val="0"/>
                  <w:marBottom w:val="0"/>
                  <w:divBdr>
                    <w:top w:val="none" w:sz="0" w:space="0" w:color="auto"/>
                    <w:left w:val="none" w:sz="0" w:space="0" w:color="auto"/>
                    <w:bottom w:val="none" w:sz="0" w:space="0" w:color="auto"/>
                    <w:right w:val="none" w:sz="0" w:space="0" w:color="auto"/>
                  </w:divBdr>
                  <w:divsChild>
                    <w:div w:id="120948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012865">
      <w:bodyDiv w:val="1"/>
      <w:marLeft w:val="0"/>
      <w:marRight w:val="0"/>
      <w:marTop w:val="0"/>
      <w:marBottom w:val="0"/>
      <w:divBdr>
        <w:top w:val="none" w:sz="0" w:space="0" w:color="auto"/>
        <w:left w:val="none" w:sz="0" w:space="0" w:color="auto"/>
        <w:bottom w:val="none" w:sz="0" w:space="0" w:color="auto"/>
        <w:right w:val="none" w:sz="0" w:space="0" w:color="auto"/>
      </w:divBdr>
    </w:div>
    <w:div w:id="209292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ata.worldbank.org/indicator/SI.POV.GINI" TargetMode="External"/><Relationship Id="rId7" Type="http://schemas.openxmlformats.org/officeDocument/2006/relationships/hyperlink" Target="https://repositorio.cepal.org/bitstream/handle/11362/44649/1/S1000454_es.pdf" TargetMode="External"/><Relationship Id="rId2" Type="http://schemas.openxmlformats.org/officeDocument/2006/relationships/hyperlink" Target="https://hdr.undp.org/data-center/human-development-index" TargetMode="External"/><Relationship Id="rId1" Type="http://schemas.openxmlformats.org/officeDocument/2006/relationships/hyperlink" Target="https://www.sdg16hub.org/system/files/2020-11/Seguridad-y-movilidad-humana-30sep2020.pdf" TargetMode="External"/><Relationship Id="rId6" Type="http://schemas.openxmlformats.org/officeDocument/2006/relationships/hyperlink" Target="https://www.oas.org/es/cidh/decisiones/pdf/2021/resolucion_3-21_spa.pdf" TargetMode="External"/><Relationship Id="rId5" Type="http://schemas.openxmlformats.org/officeDocument/2006/relationships/hyperlink" Target="https://repositorio.cepal.org/bitstream/handle/11362/44649/1/S1000454_es.pdf" TargetMode="External"/><Relationship Id="rId4" Type="http://schemas.openxmlformats.org/officeDocument/2006/relationships/hyperlink" Target="https://www.oecd.org/pis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DDEF3-633E-2044-AAF4-BA557DCB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2578</Words>
  <Characters>14698</Characters>
  <Application>Microsoft Office Word</Application>
  <DocSecurity>0</DocSecurity>
  <Lines>122</Lines>
  <Paragraphs>34</Paragraphs>
  <ScaleCrop>false</ScaleCrop>
  <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2023-02-21T22:54:00Z</dcterms:created>
  <dcterms:modified xsi:type="dcterms:W3CDTF">2023-02-21T22:54:00Z</dcterms:modified>
  <cp:category/>
</cp:coreProperties>
</file>