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EDC1" w14:textId="77777777" w:rsidR="00724050" w:rsidRPr="00724050" w:rsidRDefault="00724050" w:rsidP="00724050">
      <w:pPr>
        <w:pStyle w:val="Heading1"/>
        <w:rPr>
          <w:rFonts w:ascii="Cambria" w:hAnsi="Cambria"/>
          <w:sz w:val="28"/>
          <w:szCs w:val="28"/>
          <w:lang w:val="en-US"/>
        </w:rPr>
      </w:pPr>
      <w:bookmarkStart w:id="0" w:name="_Hlk151035571"/>
      <w:r w:rsidRPr="00724050">
        <w:rPr>
          <w:rFonts w:ascii="Cambria" w:hAnsi="Cambria"/>
          <w:sz w:val="28"/>
          <w:szCs w:val="28"/>
          <w:lang w:val="en-US"/>
        </w:rPr>
        <w:t xml:space="preserve">Questionnaire for the preparation of the third regional report </w:t>
      </w:r>
      <w:proofErr w:type="gramStart"/>
      <w:r w:rsidRPr="00724050">
        <w:rPr>
          <w:rFonts w:ascii="Cambria" w:hAnsi="Cambria"/>
          <w:sz w:val="28"/>
          <w:szCs w:val="28"/>
          <w:lang w:val="en-US"/>
        </w:rPr>
        <w:t>on the situation of</w:t>
      </w:r>
      <w:proofErr w:type="gramEnd"/>
      <w:r w:rsidRPr="00724050">
        <w:rPr>
          <w:rFonts w:ascii="Cambria" w:hAnsi="Cambria"/>
          <w:sz w:val="28"/>
          <w:szCs w:val="28"/>
          <w:lang w:val="en-US"/>
        </w:rPr>
        <w:t xml:space="preserve"> human rights defenders in the Americas</w:t>
      </w:r>
    </w:p>
    <w:p w14:paraId="3899EA41" w14:textId="1718FAB9" w:rsidR="00724050" w:rsidRPr="00724050" w:rsidRDefault="00724050" w:rsidP="00724050">
      <w:pPr>
        <w:pStyle w:val="Heading1"/>
        <w:jc w:val="both"/>
        <w:rPr>
          <w:rFonts w:ascii="Cambria" w:hAnsi="Cambria"/>
          <w:b w:val="0"/>
          <w:bCs w:val="0"/>
          <w:sz w:val="22"/>
          <w:szCs w:val="22"/>
          <w:lang w:val="en-US"/>
        </w:rPr>
      </w:pPr>
      <w:r w:rsidRPr="00724050">
        <w:rPr>
          <w:rFonts w:ascii="Cambria" w:hAnsi="Cambria"/>
          <w:b w:val="0"/>
          <w:bCs w:val="0"/>
          <w:sz w:val="22"/>
          <w:szCs w:val="22"/>
          <w:lang w:val="en-US"/>
        </w:rPr>
        <w:t xml:space="preserve">The Inter-American Commission on Human Rights (IACHR) will prepare a third report on the human rights situation of human rights defenders in the Americas. The objective of this third report is to present the current </w:t>
      </w:r>
      <w:r w:rsidR="00D75F3E">
        <w:rPr>
          <w:rFonts w:ascii="Cambria" w:hAnsi="Cambria"/>
          <w:b w:val="0"/>
          <w:bCs w:val="0"/>
          <w:sz w:val="22"/>
          <w:szCs w:val="22"/>
          <w:lang w:val="en-US"/>
        </w:rPr>
        <w:t>situation</w:t>
      </w:r>
      <w:r w:rsidR="00D75F3E" w:rsidRPr="00724050">
        <w:rPr>
          <w:rFonts w:ascii="Cambria" w:hAnsi="Cambria"/>
          <w:b w:val="0"/>
          <w:bCs w:val="0"/>
          <w:sz w:val="22"/>
          <w:szCs w:val="22"/>
          <w:lang w:val="en-US"/>
        </w:rPr>
        <w:t xml:space="preserve"> </w:t>
      </w:r>
      <w:r w:rsidRPr="00724050">
        <w:rPr>
          <w:rFonts w:ascii="Cambria" w:hAnsi="Cambria"/>
          <w:b w:val="0"/>
          <w:bCs w:val="0"/>
          <w:sz w:val="22"/>
          <w:szCs w:val="22"/>
          <w:lang w:val="en-US"/>
        </w:rPr>
        <w:t>under which human rights defenders operate regionally and</w:t>
      </w:r>
      <w:r w:rsidR="0023537B">
        <w:rPr>
          <w:rFonts w:ascii="Cambria" w:hAnsi="Cambria"/>
          <w:b w:val="0"/>
          <w:bCs w:val="0"/>
          <w:sz w:val="22"/>
          <w:szCs w:val="22"/>
          <w:lang w:val="en-US"/>
        </w:rPr>
        <w:t xml:space="preserve"> in an intersectional way</w:t>
      </w:r>
      <w:r w:rsidRPr="00724050">
        <w:rPr>
          <w:rFonts w:ascii="Cambria" w:hAnsi="Cambria"/>
          <w:b w:val="0"/>
          <w:bCs w:val="0"/>
          <w:sz w:val="22"/>
          <w:szCs w:val="22"/>
          <w:lang w:val="en-US"/>
        </w:rPr>
        <w:t>, identifying the main risks and threats they face stemming from their defense activities, as well as the challenges presented for their effective protection.</w:t>
      </w:r>
    </w:p>
    <w:p w14:paraId="730A8352" w14:textId="7F05C9F0" w:rsidR="00724050" w:rsidRPr="00724050" w:rsidRDefault="00724050" w:rsidP="00724050">
      <w:pPr>
        <w:pStyle w:val="Heading1"/>
        <w:jc w:val="both"/>
        <w:rPr>
          <w:rFonts w:ascii="Cambria" w:hAnsi="Cambria"/>
          <w:b w:val="0"/>
          <w:bCs w:val="0"/>
          <w:sz w:val="22"/>
          <w:szCs w:val="22"/>
          <w:lang w:val="en-US"/>
        </w:rPr>
      </w:pPr>
      <w:r w:rsidRPr="00724050">
        <w:rPr>
          <w:rFonts w:ascii="Cambria" w:hAnsi="Cambria"/>
          <w:b w:val="0"/>
          <w:bCs w:val="0"/>
          <w:sz w:val="22"/>
          <w:szCs w:val="22"/>
          <w:lang w:val="en-US"/>
        </w:rPr>
        <w:t xml:space="preserve">Eleven years after the publication of the </w:t>
      </w:r>
      <w:hyperlink r:id="rId7" w:history="1">
        <w:r w:rsidRPr="00131261">
          <w:rPr>
            <w:rStyle w:val="Hyperlink"/>
            <w:rFonts w:ascii="Cambria" w:hAnsi="Cambria"/>
            <w:b w:val="0"/>
            <w:bCs w:val="0"/>
            <w:sz w:val="22"/>
            <w:szCs w:val="22"/>
            <w:lang w:val="en-US"/>
          </w:rPr>
          <w:t>Second Report on the Situation of Human Rights Defenders in the Americas</w:t>
        </w:r>
      </w:hyperlink>
      <w:r w:rsidRPr="00724050">
        <w:rPr>
          <w:rFonts w:ascii="Cambria" w:hAnsi="Cambria"/>
          <w:b w:val="0"/>
          <w:bCs w:val="0"/>
          <w:sz w:val="22"/>
          <w:szCs w:val="22"/>
          <w:lang w:val="en-US"/>
        </w:rPr>
        <w:t xml:space="preserve">, the IACHR considers it relevant to have an update on the current challenges faced by these groups in comparison to what was observed </w:t>
      </w:r>
      <w:r w:rsidR="00A74C33">
        <w:rPr>
          <w:rFonts w:ascii="Cambria" w:hAnsi="Cambria"/>
          <w:b w:val="0"/>
          <w:bCs w:val="0"/>
          <w:sz w:val="22"/>
          <w:szCs w:val="22"/>
          <w:lang w:val="en-US"/>
        </w:rPr>
        <w:t>before</w:t>
      </w:r>
      <w:r w:rsidRPr="00724050">
        <w:rPr>
          <w:rFonts w:ascii="Cambria" w:hAnsi="Cambria"/>
          <w:b w:val="0"/>
          <w:bCs w:val="0"/>
          <w:sz w:val="22"/>
          <w:szCs w:val="22"/>
          <w:lang w:val="en-US"/>
        </w:rPr>
        <w:t>. In particular, the report aims to address the dynamics of violence and the contexts affecting the effective performance of their work, the most affected geographical areas</w:t>
      </w:r>
      <w:r w:rsidR="001F4D9D">
        <w:rPr>
          <w:rFonts w:ascii="Cambria" w:hAnsi="Cambria"/>
          <w:b w:val="0"/>
          <w:bCs w:val="0"/>
          <w:sz w:val="22"/>
          <w:szCs w:val="22"/>
          <w:lang w:val="en-US"/>
        </w:rPr>
        <w:t xml:space="preserve">, and </w:t>
      </w:r>
      <w:r w:rsidRPr="00724050">
        <w:rPr>
          <w:rFonts w:ascii="Cambria" w:hAnsi="Cambria"/>
          <w:b w:val="0"/>
          <w:bCs w:val="0"/>
          <w:sz w:val="22"/>
          <w:szCs w:val="22"/>
          <w:lang w:val="en-US"/>
        </w:rPr>
        <w:t>defense groups</w:t>
      </w:r>
      <w:r w:rsidR="001F4D9D">
        <w:rPr>
          <w:rFonts w:ascii="Cambria" w:hAnsi="Cambria"/>
          <w:b w:val="0"/>
          <w:bCs w:val="0"/>
          <w:sz w:val="22"/>
          <w:szCs w:val="22"/>
          <w:lang w:val="en-US"/>
        </w:rPr>
        <w:t>,</w:t>
      </w:r>
      <w:r w:rsidRPr="00724050">
        <w:rPr>
          <w:rFonts w:ascii="Cambria" w:hAnsi="Cambria"/>
          <w:b w:val="0"/>
          <w:bCs w:val="0"/>
          <w:sz w:val="22"/>
          <w:szCs w:val="22"/>
          <w:lang w:val="en-US"/>
        </w:rPr>
        <w:t xml:space="preserve"> under an intersectional approach</w:t>
      </w:r>
      <w:r w:rsidR="001F4D9D">
        <w:rPr>
          <w:rFonts w:ascii="Cambria" w:hAnsi="Cambria"/>
          <w:b w:val="0"/>
          <w:bCs w:val="0"/>
          <w:sz w:val="22"/>
          <w:szCs w:val="22"/>
          <w:lang w:val="en-US"/>
        </w:rPr>
        <w:t xml:space="preserve"> </w:t>
      </w:r>
      <w:r w:rsidRPr="00724050">
        <w:rPr>
          <w:rFonts w:ascii="Cambria" w:hAnsi="Cambria"/>
          <w:b w:val="0"/>
          <w:bCs w:val="0"/>
          <w:sz w:val="22"/>
          <w:szCs w:val="22"/>
          <w:lang w:val="en-US"/>
        </w:rPr>
        <w:t xml:space="preserve">in a region that is increasingly polarized and tumultuous. The report also seeks to identify possible advances made by </w:t>
      </w:r>
      <w:r w:rsidR="001F4D9D">
        <w:rPr>
          <w:rFonts w:ascii="Cambria" w:hAnsi="Cambria"/>
          <w:b w:val="0"/>
          <w:bCs w:val="0"/>
          <w:sz w:val="22"/>
          <w:szCs w:val="22"/>
          <w:lang w:val="en-US"/>
        </w:rPr>
        <w:t>S</w:t>
      </w:r>
      <w:r w:rsidRPr="00724050">
        <w:rPr>
          <w:rFonts w:ascii="Cambria" w:hAnsi="Cambria"/>
          <w:b w:val="0"/>
          <w:bCs w:val="0"/>
          <w:sz w:val="22"/>
          <w:szCs w:val="22"/>
          <w:lang w:val="en-US"/>
        </w:rPr>
        <w:t>tates in the region to guarantee the human rights of these collectives.</w:t>
      </w:r>
    </w:p>
    <w:p w14:paraId="073EA14D" w14:textId="39167DCB" w:rsidR="00724050" w:rsidRPr="00724050" w:rsidRDefault="00724050" w:rsidP="00724050">
      <w:pPr>
        <w:pStyle w:val="Heading1"/>
        <w:jc w:val="both"/>
        <w:rPr>
          <w:rFonts w:ascii="Cambria" w:hAnsi="Cambria"/>
          <w:b w:val="0"/>
          <w:bCs w:val="0"/>
          <w:sz w:val="22"/>
          <w:szCs w:val="22"/>
          <w:lang w:val="en-US"/>
        </w:rPr>
      </w:pPr>
      <w:r w:rsidRPr="00724050">
        <w:rPr>
          <w:rFonts w:ascii="Cambria" w:hAnsi="Cambria"/>
          <w:b w:val="0"/>
          <w:bCs w:val="0"/>
          <w:sz w:val="22"/>
          <w:szCs w:val="22"/>
          <w:lang w:val="en-US"/>
        </w:rPr>
        <w:t xml:space="preserve">In this context, the Commission invites </w:t>
      </w:r>
      <w:r w:rsidR="00282EBD">
        <w:rPr>
          <w:rFonts w:ascii="Cambria" w:hAnsi="Cambria"/>
          <w:b w:val="0"/>
          <w:bCs w:val="0"/>
          <w:sz w:val="22"/>
          <w:szCs w:val="22"/>
          <w:lang w:val="en-US"/>
        </w:rPr>
        <w:t>S</w:t>
      </w:r>
      <w:r w:rsidRPr="00724050">
        <w:rPr>
          <w:rFonts w:ascii="Cambria" w:hAnsi="Cambria"/>
          <w:b w:val="0"/>
          <w:bCs w:val="0"/>
          <w:sz w:val="22"/>
          <w:szCs w:val="22"/>
          <w:lang w:val="en-US"/>
        </w:rPr>
        <w:t>tates, civil society organizations, human rights defenders, academic institutions, and interested individuals to submit information on the following topics:</w:t>
      </w:r>
    </w:p>
    <w:p w14:paraId="1A9E8173" w14:textId="261F2781" w:rsidR="00724050" w:rsidRPr="00724050" w:rsidRDefault="00724050" w:rsidP="00724050">
      <w:pPr>
        <w:pStyle w:val="Heading1"/>
        <w:jc w:val="both"/>
        <w:rPr>
          <w:rFonts w:ascii="Cambria" w:hAnsi="Cambria"/>
          <w:b w:val="0"/>
          <w:bCs w:val="0"/>
          <w:sz w:val="22"/>
          <w:szCs w:val="22"/>
          <w:lang w:val="en-US"/>
        </w:rPr>
      </w:pPr>
      <w:r w:rsidRPr="00724050">
        <w:rPr>
          <w:rFonts w:ascii="Cambria" w:hAnsi="Cambria"/>
          <w:b w:val="0"/>
          <w:bCs w:val="0"/>
          <w:sz w:val="22"/>
          <w:szCs w:val="22"/>
          <w:lang w:val="en-US"/>
        </w:rPr>
        <w:t>Rega</w:t>
      </w:r>
      <w:r>
        <w:rPr>
          <w:rFonts w:ascii="Cambria" w:hAnsi="Cambria"/>
          <w:b w:val="0"/>
          <w:bCs w:val="0"/>
          <w:sz w:val="22"/>
          <w:szCs w:val="22"/>
          <w:lang w:val="en-US"/>
        </w:rPr>
        <w:t>r</w:t>
      </w:r>
      <w:r w:rsidRPr="00724050">
        <w:rPr>
          <w:rFonts w:ascii="Cambria" w:hAnsi="Cambria"/>
          <w:b w:val="0"/>
          <w:bCs w:val="0"/>
          <w:sz w:val="22"/>
          <w:szCs w:val="22"/>
          <w:lang w:val="en-US"/>
        </w:rPr>
        <w:t>ding forms of violence against human rights defenders:</w:t>
      </w:r>
    </w:p>
    <w:p w14:paraId="21F91BEB" w14:textId="77777777" w:rsidR="00160116" w:rsidRDefault="00724050" w:rsidP="00160116">
      <w:pPr>
        <w:pStyle w:val="Heading1"/>
        <w:ind w:left="708"/>
        <w:jc w:val="both"/>
        <w:rPr>
          <w:rFonts w:ascii="Cambria" w:hAnsi="Cambria"/>
          <w:b w:val="0"/>
          <w:bCs w:val="0"/>
          <w:sz w:val="22"/>
          <w:szCs w:val="22"/>
          <w:lang w:val="en-US"/>
        </w:rPr>
      </w:pPr>
      <w:r>
        <w:rPr>
          <w:rFonts w:ascii="Cambria" w:hAnsi="Cambria"/>
          <w:b w:val="0"/>
          <w:bCs w:val="0"/>
          <w:sz w:val="22"/>
          <w:szCs w:val="22"/>
          <w:lang w:val="en-US"/>
        </w:rPr>
        <w:t xml:space="preserve">1. </w:t>
      </w:r>
      <w:r w:rsidRPr="00724050">
        <w:rPr>
          <w:rFonts w:ascii="Cambria" w:hAnsi="Cambria"/>
          <w:b w:val="0"/>
          <w:bCs w:val="0"/>
          <w:sz w:val="22"/>
          <w:szCs w:val="22"/>
          <w:lang w:val="en-US"/>
        </w:rPr>
        <w:t xml:space="preserve">Main groups at risk due to their defense work and the main risk situations they </w:t>
      </w:r>
      <w:proofErr w:type="gramStart"/>
      <w:r w:rsidRPr="00724050">
        <w:rPr>
          <w:rFonts w:ascii="Cambria" w:hAnsi="Cambria"/>
          <w:b w:val="0"/>
          <w:bCs w:val="0"/>
          <w:sz w:val="22"/>
          <w:szCs w:val="22"/>
          <w:lang w:val="en-US"/>
        </w:rPr>
        <w:t>face;</w:t>
      </w:r>
      <w:proofErr w:type="gramEnd"/>
    </w:p>
    <w:p w14:paraId="7B5685B0" w14:textId="1D5A2A5A" w:rsidR="00724050" w:rsidRDefault="00160116" w:rsidP="00160116">
      <w:pPr>
        <w:pStyle w:val="Heading1"/>
        <w:ind w:left="708"/>
        <w:jc w:val="both"/>
        <w:rPr>
          <w:rFonts w:ascii="Cambria" w:hAnsi="Cambria"/>
          <w:b w:val="0"/>
          <w:bCs w:val="0"/>
          <w:sz w:val="22"/>
          <w:szCs w:val="22"/>
          <w:lang w:val="en-US"/>
        </w:rPr>
      </w:pPr>
      <w:r>
        <w:rPr>
          <w:rFonts w:ascii="Cambria" w:hAnsi="Cambria"/>
          <w:b w:val="0"/>
          <w:bCs w:val="0"/>
          <w:sz w:val="22"/>
          <w:szCs w:val="22"/>
          <w:lang w:val="en-US"/>
        </w:rPr>
        <w:t xml:space="preserve">2. </w:t>
      </w:r>
      <w:r w:rsidR="00724050" w:rsidRPr="00724050">
        <w:rPr>
          <w:rFonts w:ascii="Cambria" w:hAnsi="Cambria"/>
          <w:b w:val="0"/>
          <w:bCs w:val="0"/>
          <w:sz w:val="22"/>
          <w:szCs w:val="22"/>
          <w:lang w:val="en-US"/>
        </w:rPr>
        <w:t xml:space="preserve">Types of identified aggressions against human rights defenders (including threats, murders, criminalization, defamation, etc.). Breakdown of figures by type of aggression, </w:t>
      </w:r>
      <w:r w:rsidR="00724050" w:rsidRPr="00131261">
        <w:rPr>
          <w:rFonts w:ascii="Cambria" w:hAnsi="Cambria"/>
          <w:b w:val="0"/>
          <w:bCs w:val="0"/>
          <w:sz w:val="22"/>
          <w:szCs w:val="22"/>
          <w:lang w:val="en-US"/>
        </w:rPr>
        <w:t>activity of the attacked human rights defender</w:t>
      </w:r>
      <w:r w:rsidR="00724050" w:rsidRPr="00724050">
        <w:rPr>
          <w:rFonts w:ascii="Cambria" w:hAnsi="Cambria"/>
          <w:b w:val="0"/>
          <w:bCs w:val="0"/>
          <w:sz w:val="22"/>
          <w:szCs w:val="22"/>
          <w:lang w:val="en-US"/>
        </w:rPr>
        <w:t xml:space="preserve">, gender, geographical area, and possible </w:t>
      </w:r>
      <w:proofErr w:type="gramStart"/>
      <w:r w:rsidR="00724050" w:rsidRPr="00724050">
        <w:rPr>
          <w:rFonts w:ascii="Cambria" w:hAnsi="Cambria"/>
          <w:b w:val="0"/>
          <w:bCs w:val="0"/>
          <w:sz w:val="22"/>
          <w:szCs w:val="22"/>
          <w:lang w:val="en-US"/>
        </w:rPr>
        <w:t>perpetrator</w:t>
      </w:r>
      <w:r>
        <w:rPr>
          <w:rFonts w:ascii="Cambria" w:hAnsi="Cambria"/>
          <w:b w:val="0"/>
          <w:bCs w:val="0"/>
          <w:sz w:val="22"/>
          <w:szCs w:val="22"/>
          <w:lang w:val="en-US"/>
        </w:rPr>
        <w:t>s</w:t>
      </w:r>
      <w:r w:rsidR="00724050" w:rsidRPr="00724050">
        <w:rPr>
          <w:rFonts w:ascii="Cambria" w:hAnsi="Cambria"/>
          <w:b w:val="0"/>
          <w:bCs w:val="0"/>
          <w:sz w:val="22"/>
          <w:szCs w:val="22"/>
          <w:lang w:val="en-US"/>
        </w:rPr>
        <w:t>;</w:t>
      </w:r>
      <w:proofErr w:type="gramEnd"/>
    </w:p>
    <w:p w14:paraId="4F8E2F34" w14:textId="2082759B" w:rsidR="00724050" w:rsidRDefault="00724050" w:rsidP="00160116">
      <w:pPr>
        <w:pStyle w:val="Heading1"/>
        <w:ind w:left="708"/>
        <w:jc w:val="both"/>
        <w:rPr>
          <w:rFonts w:ascii="Cambria" w:hAnsi="Cambria"/>
          <w:b w:val="0"/>
          <w:bCs w:val="0"/>
          <w:sz w:val="22"/>
          <w:szCs w:val="22"/>
          <w:lang w:val="en-US"/>
        </w:rPr>
      </w:pPr>
      <w:r>
        <w:rPr>
          <w:rFonts w:ascii="Cambria" w:hAnsi="Cambria"/>
          <w:b w:val="0"/>
          <w:bCs w:val="0"/>
          <w:sz w:val="22"/>
          <w:szCs w:val="22"/>
          <w:lang w:val="en-US"/>
        </w:rPr>
        <w:t xml:space="preserve">3. </w:t>
      </w:r>
      <w:r w:rsidRPr="00724050">
        <w:rPr>
          <w:rFonts w:ascii="Cambria" w:hAnsi="Cambria"/>
          <w:b w:val="0"/>
          <w:bCs w:val="0"/>
          <w:sz w:val="22"/>
          <w:szCs w:val="22"/>
          <w:lang w:val="en-US"/>
        </w:rPr>
        <w:t xml:space="preserve">Main risk factors, origins, and possible perpetrators of acts of violence against human rights defenders. </w:t>
      </w:r>
      <w:r w:rsidR="00131261">
        <w:rPr>
          <w:rFonts w:ascii="Cambria" w:hAnsi="Cambria"/>
          <w:b w:val="0"/>
          <w:bCs w:val="0"/>
          <w:sz w:val="22"/>
          <w:szCs w:val="22"/>
          <w:lang w:val="en-US"/>
        </w:rPr>
        <w:t>E</w:t>
      </w:r>
      <w:r w:rsidR="00131261" w:rsidRPr="00724050">
        <w:rPr>
          <w:rFonts w:ascii="Cambria" w:hAnsi="Cambria"/>
          <w:b w:val="0"/>
          <w:bCs w:val="0"/>
          <w:sz w:val="22"/>
          <w:szCs w:val="22"/>
          <w:lang w:val="en-US"/>
        </w:rPr>
        <w:t>xisting</w:t>
      </w:r>
      <w:r w:rsidR="00131261" w:rsidRPr="00131261">
        <w:rPr>
          <w:rFonts w:ascii="Cambria" w:hAnsi="Cambria"/>
          <w:b w:val="0"/>
          <w:bCs w:val="0"/>
          <w:sz w:val="22"/>
          <w:szCs w:val="22"/>
          <w:lang w:val="en-US"/>
        </w:rPr>
        <w:t xml:space="preserve"> </w:t>
      </w:r>
      <w:r w:rsidR="00131261">
        <w:rPr>
          <w:rFonts w:ascii="Cambria" w:hAnsi="Cambria"/>
          <w:b w:val="0"/>
          <w:bCs w:val="0"/>
          <w:sz w:val="22"/>
          <w:szCs w:val="22"/>
          <w:lang w:val="en-US"/>
        </w:rPr>
        <w:t>c</w:t>
      </w:r>
      <w:r w:rsidRPr="00131261">
        <w:rPr>
          <w:rFonts w:ascii="Cambria" w:hAnsi="Cambria"/>
          <w:b w:val="0"/>
          <w:bCs w:val="0"/>
          <w:sz w:val="22"/>
          <w:szCs w:val="22"/>
          <w:lang w:val="en-US"/>
        </w:rPr>
        <w:t>ontexts</w:t>
      </w:r>
      <w:r w:rsidRPr="00724050">
        <w:rPr>
          <w:rFonts w:ascii="Cambria" w:hAnsi="Cambria"/>
          <w:b w:val="0"/>
          <w:bCs w:val="0"/>
          <w:sz w:val="22"/>
          <w:szCs w:val="22"/>
          <w:lang w:val="en-US"/>
        </w:rPr>
        <w:t xml:space="preserve"> or structural situations in countries that have influenced the persistence of situations that put them at </w:t>
      </w:r>
      <w:proofErr w:type="gramStart"/>
      <w:r w:rsidRPr="00724050">
        <w:rPr>
          <w:rFonts w:ascii="Cambria" w:hAnsi="Cambria"/>
          <w:b w:val="0"/>
          <w:bCs w:val="0"/>
          <w:sz w:val="22"/>
          <w:szCs w:val="22"/>
          <w:lang w:val="en-US"/>
        </w:rPr>
        <w:t>risk;</w:t>
      </w:r>
      <w:proofErr w:type="gramEnd"/>
    </w:p>
    <w:p w14:paraId="2B0BFE7F" w14:textId="77777777" w:rsidR="00724050" w:rsidRDefault="00724050" w:rsidP="00160116">
      <w:pPr>
        <w:pStyle w:val="Heading1"/>
        <w:ind w:left="708"/>
        <w:jc w:val="both"/>
        <w:rPr>
          <w:rFonts w:ascii="Cambria" w:hAnsi="Cambria"/>
          <w:b w:val="0"/>
          <w:bCs w:val="0"/>
          <w:sz w:val="22"/>
          <w:szCs w:val="22"/>
          <w:lang w:val="en-US"/>
        </w:rPr>
      </w:pPr>
      <w:r>
        <w:rPr>
          <w:rFonts w:ascii="Cambria" w:hAnsi="Cambria"/>
          <w:b w:val="0"/>
          <w:bCs w:val="0"/>
          <w:sz w:val="22"/>
          <w:szCs w:val="22"/>
          <w:lang w:val="en-US"/>
        </w:rPr>
        <w:t xml:space="preserve">4. </w:t>
      </w:r>
      <w:r w:rsidRPr="00724050">
        <w:rPr>
          <w:rFonts w:ascii="Cambria" w:hAnsi="Cambria"/>
          <w:b w:val="0"/>
          <w:bCs w:val="0"/>
          <w:sz w:val="22"/>
          <w:szCs w:val="22"/>
          <w:lang w:val="en-US"/>
        </w:rPr>
        <w:t xml:space="preserve">Particular impacts identified on women human rights defenders and defenders of the rights of the LGBTI </w:t>
      </w:r>
      <w:proofErr w:type="gramStart"/>
      <w:r w:rsidRPr="00724050">
        <w:rPr>
          <w:rFonts w:ascii="Cambria" w:hAnsi="Cambria"/>
          <w:b w:val="0"/>
          <w:bCs w:val="0"/>
          <w:sz w:val="22"/>
          <w:szCs w:val="22"/>
          <w:lang w:val="en-US"/>
        </w:rPr>
        <w:t>community;</w:t>
      </w:r>
      <w:proofErr w:type="gramEnd"/>
    </w:p>
    <w:p w14:paraId="07E119E2" w14:textId="77777777" w:rsidR="00724050" w:rsidRDefault="00724050" w:rsidP="00160116">
      <w:pPr>
        <w:pStyle w:val="Heading1"/>
        <w:ind w:left="708"/>
        <w:jc w:val="both"/>
        <w:rPr>
          <w:rFonts w:ascii="Cambria" w:hAnsi="Cambria"/>
          <w:b w:val="0"/>
          <w:bCs w:val="0"/>
          <w:sz w:val="22"/>
          <w:szCs w:val="22"/>
          <w:lang w:val="en-US"/>
        </w:rPr>
      </w:pPr>
      <w:r>
        <w:rPr>
          <w:rFonts w:ascii="Cambria" w:hAnsi="Cambria"/>
          <w:b w:val="0"/>
          <w:bCs w:val="0"/>
          <w:sz w:val="22"/>
          <w:szCs w:val="22"/>
          <w:lang w:val="en-US"/>
        </w:rPr>
        <w:t xml:space="preserve">5. </w:t>
      </w:r>
      <w:r w:rsidRPr="00724050">
        <w:rPr>
          <w:rFonts w:ascii="Cambria" w:hAnsi="Cambria"/>
          <w:b w:val="0"/>
          <w:bCs w:val="0"/>
          <w:sz w:val="22"/>
          <w:szCs w:val="22"/>
          <w:lang w:val="en-US"/>
        </w:rPr>
        <w:t xml:space="preserve">Advances and/or challenges identified to prevent and protect human rights defenders in the Americas in situations of </w:t>
      </w:r>
      <w:proofErr w:type="gramStart"/>
      <w:r w:rsidRPr="00724050">
        <w:rPr>
          <w:rFonts w:ascii="Cambria" w:hAnsi="Cambria"/>
          <w:b w:val="0"/>
          <w:bCs w:val="0"/>
          <w:sz w:val="22"/>
          <w:szCs w:val="22"/>
          <w:lang w:val="en-US"/>
        </w:rPr>
        <w:t>risk;</w:t>
      </w:r>
      <w:proofErr w:type="gramEnd"/>
    </w:p>
    <w:p w14:paraId="0AD46889" w14:textId="1AF5783A" w:rsidR="00724050" w:rsidRPr="00724050" w:rsidRDefault="00724050" w:rsidP="00160116">
      <w:pPr>
        <w:pStyle w:val="Heading1"/>
        <w:ind w:left="708"/>
        <w:jc w:val="both"/>
        <w:rPr>
          <w:rFonts w:ascii="Cambria" w:hAnsi="Cambria"/>
          <w:b w:val="0"/>
          <w:bCs w:val="0"/>
          <w:sz w:val="22"/>
          <w:szCs w:val="22"/>
          <w:lang w:val="en-US"/>
        </w:rPr>
      </w:pPr>
      <w:r>
        <w:rPr>
          <w:rFonts w:ascii="Cambria" w:hAnsi="Cambria"/>
          <w:b w:val="0"/>
          <w:bCs w:val="0"/>
          <w:sz w:val="22"/>
          <w:szCs w:val="22"/>
          <w:lang w:val="en-US"/>
        </w:rPr>
        <w:t xml:space="preserve">6. </w:t>
      </w:r>
      <w:r w:rsidRPr="00724050">
        <w:rPr>
          <w:rFonts w:ascii="Cambria" w:hAnsi="Cambria"/>
          <w:b w:val="0"/>
          <w:bCs w:val="0"/>
          <w:sz w:val="22"/>
          <w:szCs w:val="22"/>
          <w:lang w:val="en-US"/>
        </w:rPr>
        <w:t xml:space="preserve">Advances and challenges in the fight against impunity for crimes committed against human rights defenders. In particular, detailed information on the status of investigations and identified specific </w:t>
      </w:r>
      <w:proofErr w:type="gramStart"/>
      <w:r w:rsidRPr="00724050">
        <w:rPr>
          <w:rFonts w:ascii="Cambria" w:hAnsi="Cambria"/>
          <w:b w:val="0"/>
          <w:bCs w:val="0"/>
          <w:sz w:val="22"/>
          <w:szCs w:val="22"/>
          <w:lang w:val="en-US"/>
        </w:rPr>
        <w:t>challenges;</w:t>
      </w:r>
      <w:proofErr w:type="gramEnd"/>
    </w:p>
    <w:p w14:paraId="4314E92C" w14:textId="77777777" w:rsidR="00724050" w:rsidRDefault="00724050" w:rsidP="00724050">
      <w:pPr>
        <w:pStyle w:val="Heading1"/>
        <w:jc w:val="both"/>
        <w:rPr>
          <w:rFonts w:ascii="Cambria" w:hAnsi="Cambria"/>
          <w:b w:val="0"/>
          <w:bCs w:val="0"/>
          <w:sz w:val="22"/>
          <w:szCs w:val="22"/>
          <w:lang w:val="en-US"/>
        </w:rPr>
      </w:pPr>
    </w:p>
    <w:p w14:paraId="48E7F200" w14:textId="77777777" w:rsidR="00724050" w:rsidRDefault="00724050" w:rsidP="00724050">
      <w:pPr>
        <w:pStyle w:val="Heading1"/>
        <w:jc w:val="both"/>
        <w:rPr>
          <w:rFonts w:ascii="Cambria" w:hAnsi="Cambria"/>
          <w:b w:val="0"/>
          <w:bCs w:val="0"/>
          <w:sz w:val="22"/>
          <w:szCs w:val="22"/>
          <w:lang w:val="en-US"/>
        </w:rPr>
      </w:pPr>
    </w:p>
    <w:p w14:paraId="50108732" w14:textId="1442273C" w:rsidR="00724050" w:rsidRPr="00724050" w:rsidRDefault="00724050" w:rsidP="00724050">
      <w:pPr>
        <w:pStyle w:val="Heading1"/>
        <w:jc w:val="both"/>
        <w:rPr>
          <w:rFonts w:ascii="Cambria" w:hAnsi="Cambria"/>
          <w:b w:val="0"/>
          <w:bCs w:val="0"/>
          <w:sz w:val="22"/>
          <w:szCs w:val="22"/>
          <w:lang w:val="en-US"/>
        </w:rPr>
      </w:pPr>
      <w:r w:rsidRPr="00724050">
        <w:rPr>
          <w:rFonts w:ascii="Cambria" w:hAnsi="Cambria"/>
          <w:b w:val="0"/>
          <w:bCs w:val="0"/>
          <w:sz w:val="22"/>
          <w:szCs w:val="22"/>
          <w:lang w:val="en-US"/>
        </w:rPr>
        <w:t>Regarding obstacles that prevent the free exercise of the right to defend human rights:</w:t>
      </w:r>
    </w:p>
    <w:p w14:paraId="30F726BD" w14:textId="77777777" w:rsidR="00724050" w:rsidRDefault="00724050" w:rsidP="00160116">
      <w:pPr>
        <w:pStyle w:val="Heading1"/>
        <w:ind w:left="708"/>
        <w:jc w:val="both"/>
        <w:rPr>
          <w:rFonts w:ascii="Cambria" w:hAnsi="Cambria"/>
          <w:b w:val="0"/>
          <w:bCs w:val="0"/>
          <w:sz w:val="22"/>
          <w:szCs w:val="22"/>
          <w:lang w:val="en-US"/>
        </w:rPr>
      </w:pPr>
      <w:r w:rsidRPr="00724050">
        <w:rPr>
          <w:rFonts w:ascii="Cambria" w:hAnsi="Cambria"/>
          <w:b w:val="0"/>
          <w:bCs w:val="0"/>
          <w:sz w:val="22"/>
          <w:szCs w:val="22"/>
          <w:lang w:val="en-US"/>
        </w:rPr>
        <w:t xml:space="preserve">7. Advances and/or challenges identified to avoid the issuance of stigmatizing speeches or defamation campaigns against human rights </w:t>
      </w:r>
      <w:proofErr w:type="gramStart"/>
      <w:r w:rsidRPr="00724050">
        <w:rPr>
          <w:rFonts w:ascii="Cambria" w:hAnsi="Cambria"/>
          <w:b w:val="0"/>
          <w:bCs w:val="0"/>
          <w:sz w:val="22"/>
          <w:szCs w:val="22"/>
          <w:lang w:val="en-US"/>
        </w:rPr>
        <w:t>defenders;</w:t>
      </w:r>
      <w:proofErr w:type="gramEnd"/>
    </w:p>
    <w:p w14:paraId="0E31DE43" w14:textId="77777777" w:rsidR="00724050" w:rsidRDefault="00724050" w:rsidP="002723CA">
      <w:pPr>
        <w:pStyle w:val="Heading1"/>
        <w:ind w:left="708"/>
        <w:jc w:val="both"/>
        <w:rPr>
          <w:rFonts w:ascii="Cambria" w:hAnsi="Cambria"/>
          <w:b w:val="0"/>
          <w:bCs w:val="0"/>
          <w:sz w:val="22"/>
          <w:szCs w:val="22"/>
          <w:lang w:val="en-US"/>
        </w:rPr>
      </w:pPr>
      <w:r>
        <w:rPr>
          <w:rFonts w:ascii="Cambria" w:hAnsi="Cambria"/>
          <w:b w:val="0"/>
          <w:bCs w:val="0"/>
          <w:sz w:val="22"/>
          <w:szCs w:val="22"/>
          <w:lang w:val="en-US"/>
        </w:rPr>
        <w:t xml:space="preserve">8. </w:t>
      </w:r>
      <w:r w:rsidRPr="00724050">
        <w:rPr>
          <w:rFonts w:ascii="Cambria" w:hAnsi="Cambria"/>
          <w:b w:val="0"/>
          <w:bCs w:val="0"/>
          <w:sz w:val="22"/>
          <w:szCs w:val="22"/>
          <w:lang w:val="en-US"/>
        </w:rPr>
        <w:t xml:space="preserve">Main factors that promote the criminalization of human rights defenders and criminal and/or civil charges employed. If aware of specific cases, please </w:t>
      </w:r>
      <w:proofErr w:type="gramStart"/>
      <w:r w:rsidRPr="00724050">
        <w:rPr>
          <w:rFonts w:ascii="Cambria" w:hAnsi="Cambria"/>
          <w:b w:val="0"/>
          <w:bCs w:val="0"/>
          <w:sz w:val="22"/>
          <w:szCs w:val="22"/>
          <w:lang w:val="en-US"/>
        </w:rPr>
        <w:t>indicate;</w:t>
      </w:r>
      <w:proofErr w:type="gramEnd"/>
    </w:p>
    <w:p w14:paraId="02F71F56" w14:textId="663E2B71" w:rsidR="00724050" w:rsidRPr="00724050" w:rsidRDefault="00724050" w:rsidP="00160116">
      <w:pPr>
        <w:pStyle w:val="Heading1"/>
        <w:ind w:left="708"/>
        <w:jc w:val="both"/>
        <w:rPr>
          <w:rFonts w:ascii="Cambria" w:hAnsi="Cambria"/>
          <w:b w:val="0"/>
          <w:bCs w:val="0"/>
          <w:sz w:val="22"/>
          <w:szCs w:val="22"/>
          <w:lang w:val="en-US"/>
        </w:rPr>
      </w:pPr>
      <w:r>
        <w:rPr>
          <w:rFonts w:ascii="Cambria" w:hAnsi="Cambria"/>
          <w:b w:val="0"/>
          <w:bCs w:val="0"/>
          <w:sz w:val="22"/>
          <w:szCs w:val="22"/>
          <w:lang w:val="en-US"/>
        </w:rPr>
        <w:t xml:space="preserve">9. </w:t>
      </w:r>
      <w:r w:rsidRPr="00724050">
        <w:rPr>
          <w:rFonts w:ascii="Cambria" w:hAnsi="Cambria"/>
          <w:b w:val="0"/>
          <w:bCs w:val="0"/>
          <w:sz w:val="22"/>
          <w:szCs w:val="22"/>
          <w:lang w:val="en-US"/>
        </w:rPr>
        <w:t xml:space="preserve">Advances and/or challenges identified for the free exercise of the freedom of association and assembly. </w:t>
      </w:r>
      <w:proofErr w:type="gramStart"/>
      <w:r w:rsidRPr="00724050">
        <w:rPr>
          <w:rFonts w:ascii="Cambria" w:hAnsi="Cambria"/>
          <w:b w:val="0"/>
          <w:bCs w:val="0"/>
          <w:sz w:val="22"/>
          <w:szCs w:val="22"/>
          <w:lang w:val="en-US"/>
        </w:rPr>
        <w:t>In particular, legislative</w:t>
      </w:r>
      <w:proofErr w:type="gramEnd"/>
      <w:r w:rsidRPr="00724050">
        <w:rPr>
          <w:rFonts w:ascii="Cambria" w:hAnsi="Cambria"/>
          <w:b w:val="0"/>
          <w:bCs w:val="0"/>
          <w:sz w:val="22"/>
          <w:szCs w:val="22"/>
          <w:lang w:val="en-US"/>
        </w:rPr>
        <w:t xml:space="preserve"> or administrative measures that are being implemented and that could restrict the right of association of defending organizations.</w:t>
      </w:r>
    </w:p>
    <w:p w14:paraId="24D64E36" w14:textId="11681085" w:rsidR="00724050" w:rsidRPr="00724050" w:rsidRDefault="00724050" w:rsidP="00724050">
      <w:pPr>
        <w:pStyle w:val="Heading1"/>
        <w:jc w:val="both"/>
        <w:rPr>
          <w:rFonts w:ascii="Cambria" w:hAnsi="Cambria"/>
          <w:b w:val="0"/>
          <w:bCs w:val="0"/>
          <w:sz w:val="22"/>
          <w:szCs w:val="22"/>
          <w:lang w:val="en-US"/>
        </w:rPr>
      </w:pPr>
      <w:r w:rsidRPr="00724050">
        <w:rPr>
          <w:rFonts w:ascii="Cambria" w:hAnsi="Cambria"/>
          <w:b w:val="0"/>
          <w:bCs w:val="0"/>
          <w:sz w:val="22"/>
          <w:szCs w:val="22"/>
          <w:lang w:val="en-US"/>
        </w:rPr>
        <w:t xml:space="preserve">Regarding measures implemented by states to fulfill their obligations </w:t>
      </w:r>
      <w:r w:rsidR="00D75F3E">
        <w:rPr>
          <w:rFonts w:ascii="Cambria" w:hAnsi="Cambria"/>
          <w:b w:val="0"/>
          <w:bCs w:val="0"/>
          <w:sz w:val="22"/>
          <w:szCs w:val="22"/>
          <w:lang w:val="en-US"/>
        </w:rPr>
        <w:t>concerning</w:t>
      </w:r>
      <w:r w:rsidR="00D75F3E" w:rsidRPr="00724050">
        <w:rPr>
          <w:rFonts w:ascii="Cambria" w:hAnsi="Cambria"/>
          <w:b w:val="0"/>
          <w:bCs w:val="0"/>
          <w:sz w:val="22"/>
          <w:szCs w:val="22"/>
          <w:lang w:val="en-US"/>
        </w:rPr>
        <w:t xml:space="preserve"> </w:t>
      </w:r>
      <w:r w:rsidRPr="00724050">
        <w:rPr>
          <w:rFonts w:ascii="Cambria" w:hAnsi="Cambria"/>
          <w:b w:val="0"/>
          <w:bCs w:val="0"/>
          <w:sz w:val="22"/>
          <w:szCs w:val="22"/>
          <w:lang w:val="en-US"/>
        </w:rPr>
        <w:t>the protection and guarantee of the rights of human rights defenders:</w:t>
      </w:r>
    </w:p>
    <w:p w14:paraId="0133B4A9" w14:textId="77777777" w:rsidR="00724050" w:rsidRDefault="00724050" w:rsidP="00160116">
      <w:pPr>
        <w:pStyle w:val="Heading1"/>
        <w:ind w:left="708"/>
        <w:jc w:val="both"/>
        <w:rPr>
          <w:rFonts w:ascii="Cambria" w:hAnsi="Cambria"/>
          <w:b w:val="0"/>
          <w:bCs w:val="0"/>
          <w:sz w:val="22"/>
          <w:szCs w:val="22"/>
          <w:lang w:val="en-US"/>
        </w:rPr>
      </w:pPr>
      <w:r w:rsidRPr="00724050">
        <w:rPr>
          <w:rFonts w:ascii="Cambria" w:hAnsi="Cambria"/>
          <w:b w:val="0"/>
          <w:bCs w:val="0"/>
          <w:sz w:val="22"/>
          <w:szCs w:val="22"/>
          <w:lang w:val="en-US"/>
        </w:rPr>
        <w:t xml:space="preserve">10. Measures being implemented by states to promote the recognition of the right to defend human rights and the importance of human rights </w:t>
      </w:r>
      <w:proofErr w:type="gramStart"/>
      <w:r w:rsidRPr="00724050">
        <w:rPr>
          <w:rFonts w:ascii="Cambria" w:hAnsi="Cambria"/>
          <w:b w:val="0"/>
          <w:bCs w:val="0"/>
          <w:sz w:val="22"/>
          <w:szCs w:val="22"/>
          <w:lang w:val="en-US"/>
        </w:rPr>
        <w:t>defenders;</w:t>
      </w:r>
      <w:proofErr w:type="gramEnd"/>
    </w:p>
    <w:p w14:paraId="24EBDFD4" w14:textId="77777777" w:rsidR="00724050" w:rsidRDefault="00724050" w:rsidP="00160116">
      <w:pPr>
        <w:pStyle w:val="Heading1"/>
        <w:ind w:left="708"/>
        <w:jc w:val="both"/>
        <w:rPr>
          <w:rFonts w:ascii="Cambria" w:hAnsi="Cambria"/>
          <w:b w:val="0"/>
          <w:bCs w:val="0"/>
          <w:sz w:val="22"/>
          <w:szCs w:val="22"/>
          <w:lang w:val="en-US"/>
        </w:rPr>
      </w:pPr>
      <w:r>
        <w:rPr>
          <w:rFonts w:ascii="Cambria" w:hAnsi="Cambria"/>
          <w:b w:val="0"/>
          <w:bCs w:val="0"/>
          <w:sz w:val="22"/>
          <w:szCs w:val="22"/>
          <w:lang w:val="en-US"/>
        </w:rPr>
        <w:t xml:space="preserve">11. </w:t>
      </w:r>
      <w:r w:rsidRPr="00724050">
        <w:rPr>
          <w:rFonts w:ascii="Cambria" w:hAnsi="Cambria"/>
          <w:b w:val="0"/>
          <w:bCs w:val="0"/>
          <w:sz w:val="22"/>
          <w:szCs w:val="22"/>
          <w:lang w:val="en-US"/>
        </w:rPr>
        <w:t>For states with national protection programs: a) indicate progress made by protection mechanisms in risk mitigation for human rights defenders; b) identify the main challenges for the proper implementation of effective national protection programs.</w:t>
      </w:r>
    </w:p>
    <w:p w14:paraId="045E9F74" w14:textId="77777777" w:rsidR="00724050" w:rsidRDefault="00724050" w:rsidP="00160116">
      <w:pPr>
        <w:pStyle w:val="Heading1"/>
        <w:ind w:left="708"/>
        <w:jc w:val="both"/>
        <w:rPr>
          <w:rFonts w:ascii="Cambria" w:hAnsi="Cambria"/>
          <w:b w:val="0"/>
          <w:bCs w:val="0"/>
          <w:sz w:val="22"/>
          <w:szCs w:val="22"/>
          <w:lang w:val="en-US"/>
        </w:rPr>
      </w:pPr>
      <w:r>
        <w:rPr>
          <w:rFonts w:ascii="Cambria" w:hAnsi="Cambria"/>
          <w:b w:val="0"/>
          <w:bCs w:val="0"/>
          <w:sz w:val="22"/>
          <w:szCs w:val="22"/>
          <w:lang w:val="en-US"/>
        </w:rPr>
        <w:t xml:space="preserve">12. </w:t>
      </w:r>
      <w:r w:rsidRPr="00724050">
        <w:rPr>
          <w:rFonts w:ascii="Cambria" w:hAnsi="Cambria"/>
          <w:b w:val="0"/>
          <w:bCs w:val="0"/>
          <w:sz w:val="22"/>
          <w:szCs w:val="22"/>
          <w:lang w:val="en-US"/>
        </w:rPr>
        <w:t xml:space="preserve">Advances and/or challenges in the effective compliance with precautionary measures granted by the IACHR in favor of human rights </w:t>
      </w:r>
      <w:proofErr w:type="gramStart"/>
      <w:r w:rsidRPr="00724050">
        <w:rPr>
          <w:rFonts w:ascii="Cambria" w:hAnsi="Cambria"/>
          <w:b w:val="0"/>
          <w:bCs w:val="0"/>
          <w:sz w:val="22"/>
          <w:szCs w:val="22"/>
          <w:lang w:val="en-US"/>
        </w:rPr>
        <w:t>defenders;</w:t>
      </w:r>
      <w:proofErr w:type="gramEnd"/>
    </w:p>
    <w:p w14:paraId="602AC0E8" w14:textId="67955341" w:rsidR="00724050" w:rsidRPr="00724050" w:rsidRDefault="00724050" w:rsidP="00160116">
      <w:pPr>
        <w:pStyle w:val="Heading1"/>
        <w:ind w:left="708"/>
        <w:jc w:val="both"/>
        <w:rPr>
          <w:rFonts w:ascii="Cambria" w:hAnsi="Cambria"/>
          <w:b w:val="0"/>
          <w:bCs w:val="0"/>
          <w:sz w:val="22"/>
          <w:szCs w:val="22"/>
          <w:lang w:val="en-US"/>
        </w:rPr>
      </w:pPr>
      <w:r>
        <w:rPr>
          <w:rFonts w:ascii="Cambria" w:hAnsi="Cambria"/>
          <w:b w:val="0"/>
          <w:bCs w:val="0"/>
          <w:sz w:val="22"/>
          <w:szCs w:val="22"/>
          <w:lang w:val="en-US"/>
        </w:rPr>
        <w:t xml:space="preserve">13. </w:t>
      </w:r>
      <w:r w:rsidRPr="00724050">
        <w:rPr>
          <w:rFonts w:ascii="Cambria" w:hAnsi="Cambria"/>
          <w:b w:val="0"/>
          <w:bCs w:val="0"/>
          <w:sz w:val="22"/>
          <w:szCs w:val="22"/>
          <w:lang w:val="en-US"/>
        </w:rPr>
        <w:t>Measures being implemented by states to guarantee access to justice for human rights defenders who are victims of a crime.</w:t>
      </w:r>
    </w:p>
    <w:p w14:paraId="61D73241" w14:textId="77777777" w:rsidR="00724050" w:rsidRPr="00724050" w:rsidRDefault="00724050" w:rsidP="00724050">
      <w:pPr>
        <w:pStyle w:val="Heading1"/>
        <w:jc w:val="both"/>
        <w:rPr>
          <w:rFonts w:ascii="Cambria" w:hAnsi="Cambria"/>
          <w:b w:val="0"/>
          <w:bCs w:val="0"/>
          <w:sz w:val="22"/>
          <w:szCs w:val="22"/>
          <w:lang w:val="en-US"/>
        </w:rPr>
      </w:pPr>
      <w:r w:rsidRPr="00724050">
        <w:rPr>
          <w:rFonts w:ascii="Cambria" w:hAnsi="Cambria"/>
          <w:b w:val="0"/>
          <w:bCs w:val="0"/>
          <w:sz w:val="22"/>
          <w:szCs w:val="22"/>
          <w:lang w:val="en-US"/>
        </w:rPr>
        <w:t>The questionnaire can be answered partially or in its entirety, depending on the available information; prepared and/or published investigations, reports, and other relevant documents can be submitted. The IACHR appreciates in advance the contributions received as inputs for the preparation of this report.</w:t>
      </w:r>
    </w:p>
    <w:p w14:paraId="4FB6AD1E" w14:textId="0F7E3ADA" w:rsidR="00724050" w:rsidRPr="00724050" w:rsidRDefault="00724050" w:rsidP="00724050">
      <w:pPr>
        <w:pStyle w:val="Heading1"/>
        <w:jc w:val="both"/>
        <w:rPr>
          <w:rFonts w:ascii="Cambria" w:hAnsi="Cambria"/>
          <w:b w:val="0"/>
          <w:bCs w:val="0"/>
          <w:sz w:val="22"/>
          <w:szCs w:val="22"/>
          <w:lang w:val="en-US"/>
        </w:rPr>
      </w:pPr>
      <w:r w:rsidRPr="00724050">
        <w:rPr>
          <w:rFonts w:ascii="Cambria" w:hAnsi="Cambria"/>
          <w:b w:val="0"/>
          <w:bCs w:val="0"/>
          <w:sz w:val="22"/>
          <w:szCs w:val="22"/>
          <w:lang w:val="en-US"/>
        </w:rPr>
        <w:t xml:space="preserve">The IACHR will receive the requested information from today until midnight on December 11, 2023 (Washington, D.C. time) via email: </w:t>
      </w:r>
      <w:r w:rsidR="00160116">
        <w:rPr>
          <w:rFonts w:ascii="Cambria" w:hAnsi="Cambria"/>
          <w:b w:val="0"/>
          <w:bCs w:val="0"/>
          <w:sz w:val="22"/>
          <w:szCs w:val="22"/>
          <w:lang w:val="en-US"/>
        </w:rPr>
        <w:t>cidhmonitoreo</w:t>
      </w:r>
      <w:r w:rsidRPr="00724050">
        <w:rPr>
          <w:rFonts w:ascii="Cambria" w:hAnsi="Cambria"/>
          <w:b w:val="0"/>
          <w:bCs w:val="0"/>
          <w:sz w:val="22"/>
          <w:szCs w:val="22"/>
          <w:lang w:val="en-US"/>
        </w:rPr>
        <w:t>@oas.org. The information can be sent in Spanish, English, French, and/or Portuguese. The information to be submitted should be concise, objective, with verifiable sources, and related to events that have occurred in the last 5 years.</w:t>
      </w:r>
    </w:p>
    <w:p w14:paraId="519F1261" w14:textId="22872CBB" w:rsidR="00510D71" w:rsidRPr="002723CA" w:rsidRDefault="00724050" w:rsidP="002723CA">
      <w:pPr>
        <w:pStyle w:val="Heading1"/>
        <w:jc w:val="both"/>
        <w:rPr>
          <w:rFonts w:ascii="Cambria" w:hAnsi="Cambria"/>
          <w:b w:val="0"/>
          <w:bCs w:val="0"/>
          <w:sz w:val="22"/>
          <w:szCs w:val="22"/>
          <w:lang w:val="en-US"/>
        </w:rPr>
      </w:pPr>
      <w:r w:rsidRPr="00724050">
        <w:rPr>
          <w:rFonts w:ascii="Cambria" w:hAnsi="Cambria"/>
          <w:b w:val="0"/>
          <w:bCs w:val="0"/>
          <w:sz w:val="22"/>
          <w:szCs w:val="22"/>
          <w:lang w:val="en-US"/>
        </w:rPr>
        <w:t>The IACHR is a principal and autonomous organ of the Organization of American States (OAS), whose mandate arises from the OAS Charter and the American Convention on Human Rights. The Inter-American Commission has the mandate to promote the observance and defense of human rights in the region and acts as an advisory body to the OAS in this matter. The IACHR is composed of seven independent members who are elected by the OAS General Assembly on a personal basis and do not represent their countries of origin or residence.</w:t>
      </w:r>
      <w:bookmarkEnd w:id="0"/>
    </w:p>
    <w:sectPr w:rsidR="00510D71" w:rsidRPr="002723CA" w:rsidSect="004F533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AF1A" w14:textId="77777777" w:rsidR="00A5742C" w:rsidRDefault="00A5742C" w:rsidP="00AC18E3">
      <w:r>
        <w:separator/>
      </w:r>
    </w:p>
  </w:endnote>
  <w:endnote w:type="continuationSeparator" w:id="0">
    <w:p w14:paraId="59C97ACA" w14:textId="77777777" w:rsidR="00A5742C" w:rsidRDefault="00A5742C" w:rsidP="00AC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797591"/>
      <w:docPartObj>
        <w:docPartGallery w:val="Page Numbers (Bottom of Page)"/>
        <w:docPartUnique/>
      </w:docPartObj>
    </w:sdtPr>
    <w:sdtEndPr>
      <w:rPr>
        <w:rFonts w:ascii="Cambria" w:hAnsi="Cambria"/>
        <w:noProof/>
        <w:sz w:val="16"/>
        <w:szCs w:val="16"/>
      </w:rPr>
    </w:sdtEndPr>
    <w:sdtContent>
      <w:p w14:paraId="25E9773F" w14:textId="007FC8F6" w:rsidR="00A4042D" w:rsidRPr="00A4042D" w:rsidRDefault="00A4042D">
        <w:pPr>
          <w:pStyle w:val="Footer"/>
          <w:jc w:val="right"/>
          <w:rPr>
            <w:rFonts w:ascii="Cambria" w:hAnsi="Cambria"/>
            <w:sz w:val="16"/>
            <w:szCs w:val="16"/>
          </w:rPr>
        </w:pPr>
        <w:r w:rsidRPr="00A4042D">
          <w:rPr>
            <w:rFonts w:ascii="Cambria" w:hAnsi="Cambria"/>
            <w:sz w:val="16"/>
            <w:szCs w:val="16"/>
          </w:rPr>
          <w:fldChar w:fldCharType="begin"/>
        </w:r>
        <w:r w:rsidRPr="00A4042D">
          <w:rPr>
            <w:rFonts w:ascii="Cambria" w:hAnsi="Cambria"/>
            <w:sz w:val="16"/>
            <w:szCs w:val="16"/>
          </w:rPr>
          <w:instrText xml:space="preserve"> PAGE   \* MERGEFORMAT </w:instrText>
        </w:r>
        <w:r w:rsidRPr="00A4042D">
          <w:rPr>
            <w:rFonts w:ascii="Cambria" w:hAnsi="Cambria"/>
            <w:sz w:val="16"/>
            <w:szCs w:val="16"/>
          </w:rPr>
          <w:fldChar w:fldCharType="separate"/>
        </w:r>
        <w:r w:rsidRPr="00A4042D">
          <w:rPr>
            <w:rFonts w:ascii="Cambria" w:hAnsi="Cambria"/>
            <w:noProof/>
            <w:sz w:val="16"/>
            <w:szCs w:val="16"/>
          </w:rPr>
          <w:t>2</w:t>
        </w:r>
        <w:r w:rsidRPr="00A4042D">
          <w:rPr>
            <w:rFonts w:ascii="Cambria" w:hAnsi="Cambria"/>
            <w:noProof/>
            <w:sz w:val="16"/>
            <w:szCs w:val="16"/>
          </w:rPr>
          <w:fldChar w:fldCharType="end"/>
        </w:r>
      </w:p>
    </w:sdtContent>
  </w:sdt>
  <w:p w14:paraId="3C907B85" w14:textId="77777777" w:rsidR="00AC18E3" w:rsidRPr="00C62371" w:rsidRDefault="00AC18E3" w:rsidP="00C62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D275" w14:textId="77777777" w:rsidR="00A5742C" w:rsidRDefault="00A5742C" w:rsidP="00AC18E3">
      <w:r>
        <w:separator/>
      </w:r>
    </w:p>
  </w:footnote>
  <w:footnote w:type="continuationSeparator" w:id="0">
    <w:p w14:paraId="53956CF9" w14:textId="77777777" w:rsidR="00A5742C" w:rsidRDefault="00A5742C" w:rsidP="00AC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2223" w14:textId="37F26FAC" w:rsidR="00EA628E" w:rsidRPr="00C62371" w:rsidRDefault="001D1377" w:rsidP="002723CA">
    <w:pPr>
      <w:pStyle w:val="Header"/>
      <w:pBdr>
        <w:bottom w:val="single" w:sz="4" w:space="1" w:color="AEAAAA" w:themeColor="background2" w:themeShade="BF"/>
      </w:pBdr>
    </w:pPr>
    <w:r w:rsidRPr="002723CA">
      <w:rPr>
        <w:noProof/>
        <w:sz w:val="22"/>
        <w:szCs w:val="22"/>
      </w:rPr>
      <w:drawing>
        <wp:inline distT="0" distB="0" distL="0" distR="0" wp14:anchorId="3B9C25CF" wp14:editId="42B258AF">
          <wp:extent cx="1787236" cy="318401"/>
          <wp:effectExtent l="0" t="0" r="381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424" cy="339991"/>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245D"/>
    <w:multiLevelType w:val="hybridMultilevel"/>
    <w:tmpl w:val="A418C640"/>
    <w:lvl w:ilvl="0" w:tplc="7FF44328">
      <w:start w:val="4"/>
      <w:numFmt w:val="bullet"/>
      <w:lvlText w:val="-"/>
      <w:lvlJc w:val="left"/>
      <w:pPr>
        <w:ind w:left="720" w:hanging="360"/>
      </w:pPr>
      <w:rPr>
        <w:rFonts w:ascii="Cambria" w:eastAsia="Times New Roman" w:hAnsi="Cambria" w:cs="Segoe UI"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2B0AD0"/>
    <w:multiLevelType w:val="hybridMultilevel"/>
    <w:tmpl w:val="D0840E38"/>
    <w:lvl w:ilvl="0" w:tplc="D4B2419E">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 w15:restartNumberingAfterBreak="0">
    <w:nsid w:val="1B1B0A68"/>
    <w:multiLevelType w:val="hybridMultilevel"/>
    <w:tmpl w:val="5F164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16506"/>
    <w:multiLevelType w:val="hybridMultilevel"/>
    <w:tmpl w:val="FE7EBE72"/>
    <w:lvl w:ilvl="0" w:tplc="8F7035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B5F6B"/>
    <w:multiLevelType w:val="hybridMultilevel"/>
    <w:tmpl w:val="A4BC5C9C"/>
    <w:lvl w:ilvl="0" w:tplc="B66032B4">
      <w:start w:val="4"/>
      <w:numFmt w:val="bullet"/>
      <w:lvlText w:val="-"/>
      <w:lvlJc w:val="left"/>
      <w:pPr>
        <w:ind w:left="720" w:hanging="360"/>
      </w:pPr>
      <w:rPr>
        <w:rFonts w:ascii="Cambria" w:eastAsia="Times New Roman" w:hAnsi="Cambria" w:cs="Segoe UI"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861293"/>
    <w:multiLevelType w:val="hybridMultilevel"/>
    <w:tmpl w:val="818405E6"/>
    <w:lvl w:ilvl="0" w:tplc="B276FF48">
      <w:start w:val="1"/>
      <w:numFmt w:val="decimal"/>
      <w:lvlText w:val="%1."/>
      <w:lvlJc w:val="left"/>
      <w:pPr>
        <w:ind w:left="720" w:hanging="360"/>
      </w:pPr>
    </w:lvl>
    <w:lvl w:ilvl="1" w:tplc="173473D6">
      <w:start w:val="1"/>
      <w:numFmt w:val="lowerLetter"/>
      <w:lvlText w:val="%2."/>
      <w:lvlJc w:val="left"/>
      <w:pPr>
        <w:ind w:left="1440" w:hanging="360"/>
      </w:pPr>
    </w:lvl>
    <w:lvl w:ilvl="2" w:tplc="31BECFBE">
      <w:start w:val="1"/>
      <w:numFmt w:val="lowerRoman"/>
      <w:lvlText w:val="%3."/>
      <w:lvlJc w:val="right"/>
      <w:pPr>
        <w:ind w:left="2160" w:hanging="180"/>
      </w:pPr>
    </w:lvl>
    <w:lvl w:ilvl="3" w:tplc="48985D50">
      <w:start w:val="1"/>
      <w:numFmt w:val="decimal"/>
      <w:lvlText w:val="%4."/>
      <w:lvlJc w:val="left"/>
      <w:pPr>
        <w:ind w:left="2880" w:hanging="360"/>
      </w:pPr>
    </w:lvl>
    <w:lvl w:ilvl="4" w:tplc="282C9C3C">
      <w:start w:val="1"/>
      <w:numFmt w:val="lowerLetter"/>
      <w:lvlText w:val="%5."/>
      <w:lvlJc w:val="left"/>
      <w:pPr>
        <w:ind w:left="3600" w:hanging="360"/>
      </w:pPr>
    </w:lvl>
    <w:lvl w:ilvl="5" w:tplc="1018A3F0">
      <w:start w:val="1"/>
      <w:numFmt w:val="lowerRoman"/>
      <w:lvlText w:val="%6."/>
      <w:lvlJc w:val="right"/>
      <w:pPr>
        <w:ind w:left="4320" w:hanging="180"/>
      </w:pPr>
    </w:lvl>
    <w:lvl w:ilvl="6" w:tplc="9A924B7C">
      <w:start w:val="1"/>
      <w:numFmt w:val="decimal"/>
      <w:lvlText w:val="%7."/>
      <w:lvlJc w:val="left"/>
      <w:pPr>
        <w:ind w:left="5040" w:hanging="360"/>
      </w:pPr>
    </w:lvl>
    <w:lvl w:ilvl="7" w:tplc="32CE55A6">
      <w:start w:val="1"/>
      <w:numFmt w:val="lowerLetter"/>
      <w:lvlText w:val="%8."/>
      <w:lvlJc w:val="left"/>
      <w:pPr>
        <w:ind w:left="5760" w:hanging="360"/>
      </w:pPr>
    </w:lvl>
    <w:lvl w:ilvl="8" w:tplc="15E2FEC0">
      <w:start w:val="1"/>
      <w:numFmt w:val="lowerRoman"/>
      <w:lvlText w:val="%9."/>
      <w:lvlJc w:val="right"/>
      <w:pPr>
        <w:ind w:left="6480" w:hanging="180"/>
      </w:pPr>
    </w:lvl>
  </w:abstractNum>
  <w:abstractNum w:abstractNumId="6" w15:restartNumberingAfterBreak="0">
    <w:nsid w:val="3FBC4E19"/>
    <w:multiLevelType w:val="hybridMultilevel"/>
    <w:tmpl w:val="30B29656"/>
    <w:lvl w:ilvl="0" w:tplc="FFFFFFFF">
      <w:start w:val="1"/>
      <w:numFmt w:val="upperRoman"/>
      <w:lvlText w:val="%1."/>
      <w:lvlJc w:val="left"/>
      <w:pPr>
        <w:ind w:left="1080" w:hanging="720"/>
      </w:pPr>
      <w:rPr>
        <w:rFonts w:hint="default"/>
      </w:rPr>
    </w:lvl>
    <w:lvl w:ilvl="1" w:tplc="CCC6600A">
      <w:start w:val="1"/>
      <w:numFmt w:val="lowerLetter"/>
      <w:lvlText w:val="%2."/>
      <w:lvlJc w:val="left"/>
      <w:pPr>
        <w:ind w:left="1800" w:hanging="360"/>
      </w:pPr>
      <w:rPr>
        <w:sz w:val="22"/>
        <w:szCs w:val="22"/>
      </w:rPr>
    </w:lvl>
    <w:lvl w:ilvl="2" w:tplc="FFFFFFFF">
      <w:start w:val="1"/>
      <w:numFmt w:val="lowerRoman"/>
      <w:lvlText w:val="%3."/>
      <w:lvlJc w:val="right"/>
      <w:pPr>
        <w:ind w:left="2160" w:hanging="180"/>
      </w:pPr>
      <w:rPr>
        <w:i w:val="0"/>
        <w:iCs w:val="0"/>
      </w:rPr>
    </w:lvl>
    <w:lvl w:ilvl="3" w:tplc="FDF8A300">
      <w:start w:val="2"/>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E7077E"/>
    <w:multiLevelType w:val="hybridMultilevel"/>
    <w:tmpl w:val="5F1646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277495"/>
    <w:multiLevelType w:val="hybridMultilevel"/>
    <w:tmpl w:val="7D3264DE"/>
    <w:lvl w:ilvl="0" w:tplc="5276D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04DB3"/>
    <w:multiLevelType w:val="hybridMultilevel"/>
    <w:tmpl w:val="1206D7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8608460">
    <w:abstractNumId w:val="5"/>
  </w:num>
  <w:num w:numId="2" w16cid:durableId="1850178609">
    <w:abstractNumId w:val="1"/>
  </w:num>
  <w:num w:numId="3" w16cid:durableId="1364551693">
    <w:abstractNumId w:val="0"/>
  </w:num>
  <w:num w:numId="4" w16cid:durableId="2127387726">
    <w:abstractNumId w:val="4"/>
  </w:num>
  <w:num w:numId="5" w16cid:durableId="1432244097">
    <w:abstractNumId w:val="9"/>
  </w:num>
  <w:num w:numId="6" w16cid:durableId="1359354597">
    <w:abstractNumId w:val="8"/>
  </w:num>
  <w:num w:numId="7" w16cid:durableId="2015183656">
    <w:abstractNumId w:val="6"/>
  </w:num>
  <w:num w:numId="8" w16cid:durableId="1098020179">
    <w:abstractNumId w:val="3"/>
  </w:num>
  <w:num w:numId="9" w16cid:durableId="1833057631">
    <w:abstractNumId w:val="2"/>
  </w:num>
  <w:num w:numId="10" w16cid:durableId="268780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87"/>
    <w:rsid w:val="0003708E"/>
    <w:rsid w:val="00040791"/>
    <w:rsid w:val="000A5C54"/>
    <w:rsid w:val="000C0C86"/>
    <w:rsid w:val="00106FEE"/>
    <w:rsid w:val="00131261"/>
    <w:rsid w:val="0013441E"/>
    <w:rsid w:val="001354CC"/>
    <w:rsid w:val="00160116"/>
    <w:rsid w:val="001C116E"/>
    <w:rsid w:val="001D1377"/>
    <w:rsid w:val="001D1BF8"/>
    <w:rsid w:val="001D4571"/>
    <w:rsid w:val="001F4D9D"/>
    <w:rsid w:val="0023537B"/>
    <w:rsid w:val="00262B18"/>
    <w:rsid w:val="00267F2C"/>
    <w:rsid w:val="002723CA"/>
    <w:rsid w:val="00274E11"/>
    <w:rsid w:val="00282EBD"/>
    <w:rsid w:val="0029511D"/>
    <w:rsid w:val="002C5D66"/>
    <w:rsid w:val="002E3EBD"/>
    <w:rsid w:val="00334275"/>
    <w:rsid w:val="0034310E"/>
    <w:rsid w:val="0038702E"/>
    <w:rsid w:val="003B181E"/>
    <w:rsid w:val="003B3A3D"/>
    <w:rsid w:val="003C05FD"/>
    <w:rsid w:val="003F53BB"/>
    <w:rsid w:val="003F656C"/>
    <w:rsid w:val="00467A17"/>
    <w:rsid w:val="00467FA6"/>
    <w:rsid w:val="004873AF"/>
    <w:rsid w:val="00491ABB"/>
    <w:rsid w:val="004A59FC"/>
    <w:rsid w:val="004A7D7B"/>
    <w:rsid w:val="004C1DA6"/>
    <w:rsid w:val="004D5C9C"/>
    <w:rsid w:val="004F533C"/>
    <w:rsid w:val="00510D71"/>
    <w:rsid w:val="00544852"/>
    <w:rsid w:val="00607F7D"/>
    <w:rsid w:val="00633168"/>
    <w:rsid w:val="00636E87"/>
    <w:rsid w:val="00676BBD"/>
    <w:rsid w:val="0068049B"/>
    <w:rsid w:val="006A393A"/>
    <w:rsid w:val="006F2105"/>
    <w:rsid w:val="007124DF"/>
    <w:rsid w:val="00724050"/>
    <w:rsid w:val="00752A8C"/>
    <w:rsid w:val="007770B5"/>
    <w:rsid w:val="007B53FF"/>
    <w:rsid w:val="007C646D"/>
    <w:rsid w:val="007E53B3"/>
    <w:rsid w:val="008715B6"/>
    <w:rsid w:val="00882F39"/>
    <w:rsid w:val="008E65AE"/>
    <w:rsid w:val="00907AAB"/>
    <w:rsid w:val="00911F86"/>
    <w:rsid w:val="00983909"/>
    <w:rsid w:val="00A0239C"/>
    <w:rsid w:val="00A153B5"/>
    <w:rsid w:val="00A30E26"/>
    <w:rsid w:val="00A4042D"/>
    <w:rsid w:val="00A4613D"/>
    <w:rsid w:val="00A522DD"/>
    <w:rsid w:val="00A56E06"/>
    <w:rsid w:val="00A5742C"/>
    <w:rsid w:val="00A71B5C"/>
    <w:rsid w:val="00A74C33"/>
    <w:rsid w:val="00A96BBD"/>
    <w:rsid w:val="00AA1D4F"/>
    <w:rsid w:val="00AA27C7"/>
    <w:rsid w:val="00AB1015"/>
    <w:rsid w:val="00AC18E3"/>
    <w:rsid w:val="00AD647F"/>
    <w:rsid w:val="00AF12E1"/>
    <w:rsid w:val="00B76475"/>
    <w:rsid w:val="00B848CF"/>
    <w:rsid w:val="00BA5C2A"/>
    <w:rsid w:val="00C22DB8"/>
    <w:rsid w:val="00C36819"/>
    <w:rsid w:val="00C52AE7"/>
    <w:rsid w:val="00C62371"/>
    <w:rsid w:val="00C8790B"/>
    <w:rsid w:val="00CD38F5"/>
    <w:rsid w:val="00CE17F4"/>
    <w:rsid w:val="00CF2DA8"/>
    <w:rsid w:val="00CF6F5F"/>
    <w:rsid w:val="00D162CD"/>
    <w:rsid w:val="00D22400"/>
    <w:rsid w:val="00D501CA"/>
    <w:rsid w:val="00D75F3E"/>
    <w:rsid w:val="00DC4F12"/>
    <w:rsid w:val="00DE4952"/>
    <w:rsid w:val="00E0759B"/>
    <w:rsid w:val="00E1470E"/>
    <w:rsid w:val="00E14AAD"/>
    <w:rsid w:val="00E34DB7"/>
    <w:rsid w:val="00E62787"/>
    <w:rsid w:val="00EA628E"/>
    <w:rsid w:val="00F674EC"/>
    <w:rsid w:val="00FD2D66"/>
    <w:rsid w:val="00FF749F"/>
    <w:rsid w:val="0186C33C"/>
    <w:rsid w:val="10F4D998"/>
    <w:rsid w:val="15CE0562"/>
    <w:rsid w:val="163C4A6B"/>
    <w:rsid w:val="2E652312"/>
    <w:rsid w:val="3C1460A3"/>
    <w:rsid w:val="3DD3396E"/>
    <w:rsid w:val="4CE699D1"/>
    <w:rsid w:val="62AAEF57"/>
    <w:rsid w:val="66D74275"/>
    <w:rsid w:val="67680772"/>
    <w:rsid w:val="7BD4CD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318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2787"/>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Heading4">
    <w:name w:val="heading 4"/>
    <w:basedOn w:val="Normal"/>
    <w:link w:val="Heading4Char"/>
    <w:uiPriority w:val="9"/>
    <w:qFormat/>
    <w:rsid w:val="00E62787"/>
    <w:pPr>
      <w:spacing w:before="100" w:beforeAutospacing="1" w:after="100" w:afterAutospacing="1"/>
      <w:outlineLvl w:val="3"/>
    </w:pPr>
    <w:rPr>
      <w:rFonts w:ascii="Times New Roman" w:eastAsia="Times New Roman" w:hAnsi="Times New Roman" w:cs="Times New Roman"/>
      <w:b/>
      <w:bCs/>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787"/>
    <w:rPr>
      <w:rFonts w:ascii="Times New Roman" w:eastAsia="Times New Roman" w:hAnsi="Times New Roman" w:cs="Times New Roman"/>
      <w:b/>
      <w:bCs/>
      <w:kern w:val="36"/>
      <w:sz w:val="48"/>
      <w:szCs w:val="48"/>
      <w:lang w:eastAsia="es-MX"/>
    </w:rPr>
  </w:style>
  <w:style w:type="character" w:customStyle="1" w:styleId="Heading4Char">
    <w:name w:val="Heading 4 Char"/>
    <w:basedOn w:val="DefaultParagraphFont"/>
    <w:link w:val="Heading4"/>
    <w:uiPriority w:val="9"/>
    <w:rsid w:val="00E62787"/>
    <w:rPr>
      <w:rFonts w:ascii="Times New Roman" w:eastAsia="Times New Roman" w:hAnsi="Times New Roman" w:cs="Times New Roman"/>
      <w:b/>
      <w:bCs/>
      <w:lang w:eastAsia="es-MX"/>
    </w:rPr>
  </w:style>
  <w:style w:type="paragraph" w:styleId="NormalWeb">
    <w:name w:val="Normal (Web)"/>
    <w:basedOn w:val="Normal"/>
    <w:uiPriority w:val="99"/>
    <w:unhideWhenUsed/>
    <w:rsid w:val="00E62787"/>
    <w:pPr>
      <w:spacing w:before="100" w:beforeAutospacing="1" w:after="100" w:afterAutospacing="1"/>
    </w:pPr>
    <w:rPr>
      <w:rFonts w:ascii="Times New Roman" w:eastAsia="Times New Roman" w:hAnsi="Times New Roman" w:cs="Times New Roman"/>
      <w:lang w:eastAsia="es-MX"/>
    </w:rPr>
  </w:style>
  <w:style w:type="character" w:styleId="Hyperlink">
    <w:name w:val="Hyperlink"/>
    <w:basedOn w:val="DefaultParagraphFont"/>
    <w:uiPriority w:val="99"/>
    <w:unhideWhenUsed/>
    <w:rsid w:val="00E62787"/>
    <w:rPr>
      <w:color w:val="0000FF"/>
      <w:u w:val="single"/>
    </w:rPr>
  </w:style>
  <w:style w:type="paragraph" w:styleId="ListParagraph">
    <w:name w:val="List Paragraph"/>
    <w:basedOn w:val="Normal"/>
    <w:uiPriority w:val="34"/>
    <w:qFormat/>
    <w:rsid w:val="00DE4952"/>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AA1D4F"/>
    <w:rPr>
      <w:color w:val="605E5C"/>
      <w:shd w:val="clear" w:color="auto" w:fill="E1DFDD"/>
    </w:rPr>
  </w:style>
  <w:style w:type="paragraph" w:styleId="Header">
    <w:name w:val="header"/>
    <w:basedOn w:val="Normal"/>
    <w:link w:val="HeaderChar"/>
    <w:uiPriority w:val="99"/>
    <w:unhideWhenUsed/>
    <w:rsid w:val="00AC18E3"/>
    <w:pPr>
      <w:tabs>
        <w:tab w:val="center" w:pos="4680"/>
        <w:tab w:val="right" w:pos="9360"/>
      </w:tabs>
    </w:pPr>
  </w:style>
  <w:style w:type="character" w:customStyle="1" w:styleId="HeaderChar">
    <w:name w:val="Header Char"/>
    <w:basedOn w:val="DefaultParagraphFont"/>
    <w:link w:val="Header"/>
    <w:uiPriority w:val="99"/>
    <w:rsid w:val="00AC18E3"/>
  </w:style>
  <w:style w:type="paragraph" w:styleId="Footer">
    <w:name w:val="footer"/>
    <w:basedOn w:val="Normal"/>
    <w:link w:val="FooterChar"/>
    <w:uiPriority w:val="99"/>
    <w:unhideWhenUsed/>
    <w:rsid w:val="00AC18E3"/>
    <w:pPr>
      <w:tabs>
        <w:tab w:val="center" w:pos="4680"/>
        <w:tab w:val="right" w:pos="9360"/>
      </w:tabs>
    </w:pPr>
  </w:style>
  <w:style w:type="character" w:customStyle="1" w:styleId="FooterChar">
    <w:name w:val="Footer Char"/>
    <w:basedOn w:val="DefaultParagraphFont"/>
    <w:link w:val="Footer"/>
    <w:uiPriority w:val="99"/>
    <w:rsid w:val="00AC18E3"/>
  </w:style>
  <w:style w:type="table" w:styleId="TableGrid">
    <w:name w:val="Table Grid"/>
    <w:basedOn w:val="TableNormal"/>
    <w:uiPriority w:val="39"/>
    <w:rsid w:val="00A96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7AAB"/>
  </w:style>
  <w:style w:type="paragraph" w:styleId="CommentSubject">
    <w:name w:val="annotation subject"/>
    <w:basedOn w:val="CommentText"/>
    <w:next w:val="CommentText"/>
    <w:link w:val="CommentSubjectChar"/>
    <w:uiPriority w:val="99"/>
    <w:semiHidden/>
    <w:unhideWhenUsed/>
    <w:rsid w:val="00131261"/>
    <w:rPr>
      <w:b/>
      <w:bCs/>
    </w:rPr>
  </w:style>
  <w:style w:type="character" w:customStyle="1" w:styleId="CommentSubjectChar">
    <w:name w:val="Comment Subject Char"/>
    <w:basedOn w:val="CommentTextChar"/>
    <w:link w:val="CommentSubject"/>
    <w:uiPriority w:val="99"/>
    <w:semiHidden/>
    <w:rsid w:val="001312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620">
      <w:bodyDiv w:val="1"/>
      <w:marLeft w:val="0"/>
      <w:marRight w:val="0"/>
      <w:marTop w:val="0"/>
      <w:marBottom w:val="0"/>
      <w:divBdr>
        <w:top w:val="none" w:sz="0" w:space="0" w:color="auto"/>
        <w:left w:val="none" w:sz="0" w:space="0" w:color="auto"/>
        <w:bottom w:val="none" w:sz="0" w:space="0" w:color="auto"/>
        <w:right w:val="none" w:sz="0" w:space="0" w:color="auto"/>
      </w:divBdr>
    </w:div>
    <w:div w:id="410272100">
      <w:bodyDiv w:val="1"/>
      <w:marLeft w:val="0"/>
      <w:marRight w:val="0"/>
      <w:marTop w:val="0"/>
      <w:marBottom w:val="0"/>
      <w:divBdr>
        <w:top w:val="none" w:sz="0" w:space="0" w:color="auto"/>
        <w:left w:val="none" w:sz="0" w:space="0" w:color="auto"/>
        <w:bottom w:val="none" w:sz="0" w:space="0" w:color="auto"/>
        <w:right w:val="none" w:sz="0" w:space="0" w:color="auto"/>
      </w:divBdr>
    </w:div>
    <w:div w:id="515734277">
      <w:bodyDiv w:val="1"/>
      <w:marLeft w:val="0"/>
      <w:marRight w:val="0"/>
      <w:marTop w:val="0"/>
      <w:marBottom w:val="0"/>
      <w:divBdr>
        <w:top w:val="none" w:sz="0" w:space="0" w:color="auto"/>
        <w:left w:val="none" w:sz="0" w:space="0" w:color="auto"/>
        <w:bottom w:val="none" w:sz="0" w:space="0" w:color="auto"/>
        <w:right w:val="none" w:sz="0" w:space="0" w:color="auto"/>
      </w:divBdr>
    </w:div>
    <w:div w:id="580793305">
      <w:bodyDiv w:val="1"/>
      <w:marLeft w:val="0"/>
      <w:marRight w:val="0"/>
      <w:marTop w:val="0"/>
      <w:marBottom w:val="0"/>
      <w:divBdr>
        <w:top w:val="none" w:sz="0" w:space="0" w:color="auto"/>
        <w:left w:val="none" w:sz="0" w:space="0" w:color="auto"/>
        <w:bottom w:val="none" w:sz="0" w:space="0" w:color="auto"/>
        <w:right w:val="none" w:sz="0" w:space="0" w:color="auto"/>
      </w:divBdr>
      <w:divsChild>
        <w:div w:id="2139445696">
          <w:marLeft w:val="225"/>
          <w:marRight w:val="0"/>
          <w:marTop w:val="0"/>
          <w:marBottom w:val="150"/>
          <w:divBdr>
            <w:top w:val="none" w:sz="0" w:space="0" w:color="auto"/>
            <w:left w:val="none" w:sz="0" w:space="0" w:color="auto"/>
            <w:bottom w:val="none" w:sz="0" w:space="0" w:color="auto"/>
            <w:right w:val="none" w:sz="0" w:space="0" w:color="auto"/>
          </w:divBdr>
          <w:divsChild>
            <w:div w:id="601500905">
              <w:marLeft w:val="0"/>
              <w:marRight w:val="0"/>
              <w:marTop w:val="0"/>
              <w:marBottom w:val="0"/>
              <w:divBdr>
                <w:top w:val="none" w:sz="0" w:space="0" w:color="auto"/>
                <w:left w:val="none" w:sz="0" w:space="0" w:color="auto"/>
                <w:bottom w:val="none" w:sz="0" w:space="0" w:color="auto"/>
                <w:right w:val="none" w:sz="0" w:space="0" w:color="auto"/>
              </w:divBdr>
            </w:div>
            <w:div w:id="222906684">
              <w:marLeft w:val="150"/>
              <w:marRight w:val="0"/>
              <w:marTop w:val="150"/>
              <w:marBottom w:val="225"/>
              <w:divBdr>
                <w:top w:val="none" w:sz="0" w:space="0" w:color="auto"/>
                <w:left w:val="none" w:sz="0" w:space="0" w:color="auto"/>
                <w:bottom w:val="none" w:sz="0" w:space="0" w:color="auto"/>
                <w:right w:val="none" w:sz="0" w:space="0" w:color="auto"/>
              </w:divBdr>
            </w:div>
            <w:div w:id="581109272">
              <w:marLeft w:val="0"/>
              <w:marRight w:val="0"/>
              <w:marTop w:val="0"/>
              <w:marBottom w:val="0"/>
              <w:divBdr>
                <w:top w:val="none" w:sz="0" w:space="0" w:color="auto"/>
                <w:left w:val="none" w:sz="0" w:space="0" w:color="auto"/>
                <w:bottom w:val="none" w:sz="0" w:space="0" w:color="auto"/>
                <w:right w:val="none" w:sz="0" w:space="0" w:color="auto"/>
              </w:divBdr>
            </w:div>
            <w:div w:id="1273898677">
              <w:marLeft w:val="150"/>
              <w:marRight w:val="0"/>
              <w:marTop w:val="150"/>
              <w:marBottom w:val="225"/>
              <w:divBdr>
                <w:top w:val="none" w:sz="0" w:space="0" w:color="auto"/>
                <w:left w:val="none" w:sz="0" w:space="0" w:color="auto"/>
                <w:bottom w:val="none" w:sz="0" w:space="0" w:color="auto"/>
                <w:right w:val="none" w:sz="0" w:space="0" w:color="auto"/>
              </w:divBdr>
            </w:div>
            <w:div w:id="1886018672">
              <w:marLeft w:val="0"/>
              <w:marRight w:val="0"/>
              <w:marTop w:val="0"/>
              <w:marBottom w:val="0"/>
              <w:divBdr>
                <w:top w:val="none" w:sz="0" w:space="0" w:color="auto"/>
                <w:left w:val="none" w:sz="0" w:space="0" w:color="auto"/>
                <w:bottom w:val="none" w:sz="0" w:space="0" w:color="auto"/>
                <w:right w:val="none" w:sz="0" w:space="0" w:color="auto"/>
              </w:divBdr>
            </w:div>
            <w:div w:id="1735739430">
              <w:marLeft w:val="150"/>
              <w:marRight w:val="0"/>
              <w:marTop w:val="150"/>
              <w:marBottom w:val="0"/>
              <w:divBdr>
                <w:top w:val="none" w:sz="0" w:space="0" w:color="auto"/>
                <w:left w:val="none" w:sz="0" w:space="0" w:color="auto"/>
                <w:bottom w:val="none" w:sz="0" w:space="0" w:color="auto"/>
                <w:right w:val="none" w:sz="0" w:space="0" w:color="auto"/>
              </w:divBdr>
            </w:div>
          </w:divsChild>
        </w:div>
        <w:div w:id="246428139">
          <w:marLeft w:val="0"/>
          <w:marRight w:val="0"/>
          <w:marTop w:val="0"/>
          <w:marBottom w:val="0"/>
          <w:divBdr>
            <w:top w:val="none" w:sz="0" w:space="0" w:color="auto"/>
            <w:left w:val="none" w:sz="0" w:space="0" w:color="auto"/>
            <w:bottom w:val="none" w:sz="0" w:space="0" w:color="auto"/>
            <w:right w:val="none" w:sz="0" w:space="0" w:color="auto"/>
          </w:divBdr>
          <w:divsChild>
            <w:div w:id="808521234">
              <w:marLeft w:val="150"/>
              <w:marRight w:val="0"/>
              <w:marTop w:val="0"/>
              <w:marBottom w:val="150"/>
              <w:divBdr>
                <w:top w:val="single" w:sz="6" w:space="4" w:color="auto"/>
                <w:left w:val="single" w:sz="6" w:space="4" w:color="auto"/>
                <w:bottom w:val="single" w:sz="6" w:space="4" w:color="auto"/>
                <w:right w:val="single" w:sz="6" w:space="4" w:color="auto"/>
              </w:divBdr>
            </w:div>
            <w:div w:id="1154492683">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09537586">
      <w:bodyDiv w:val="1"/>
      <w:marLeft w:val="0"/>
      <w:marRight w:val="0"/>
      <w:marTop w:val="0"/>
      <w:marBottom w:val="0"/>
      <w:divBdr>
        <w:top w:val="none" w:sz="0" w:space="0" w:color="auto"/>
        <w:left w:val="none" w:sz="0" w:space="0" w:color="auto"/>
        <w:bottom w:val="none" w:sz="0" w:space="0" w:color="auto"/>
        <w:right w:val="none" w:sz="0" w:space="0" w:color="auto"/>
      </w:divBdr>
    </w:div>
    <w:div w:id="1347101361">
      <w:bodyDiv w:val="1"/>
      <w:marLeft w:val="0"/>
      <w:marRight w:val="0"/>
      <w:marTop w:val="0"/>
      <w:marBottom w:val="0"/>
      <w:divBdr>
        <w:top w:val="none" w:sz="0" w:space="0" w:color="auto"/>
        <w:left w:val="none" w:sz="0" w:space="0" w:color="auto"/>
        <w:bottom w:val="none" w:sz="0" w:space="0" w:color="auto"/>
        <w:right w:val="none" w:sz="0" w:space="0" w:color="auto"/>
      </w:divBdr>
    </w:div>
    <w:div w:id="1785726575">
      <w:bodyDiv w:val="1"/>
      <w:marLeft w:val="0"/>
      <w:marRight w:val="0"/>
      <w:marTop w:val="0"/>
      <w:marBottom w:val="0"/>
      <w:divBdr>
        <w:top w:val="none" w:sz="0" w:space="0" w:color="auto"/>
        <w:left w:val="none" w:sz="0" w:space="0" w:color="auto"/>
        <w:bottom w:val="none" w:sz="0" w:space="0" w:color="auto"/>
        <w:right w:val="none" w:sz="0" w:space="0" w:color="auto"/>
      </w:divBdr>
    </w:div>
    <w:div w:id="1858426731">
      <w:bodyDiv w:val="1"/>
      <w:marLeft w:val="0"/>
      <w:marRight w:val="0"/>
      <w:marTop w:val="0"/>
      <w:marBottom w:val="0"/>
      <w:divBdr>
        <w:top w:val="none" w:sz="0" w:space="0" w:color="auto"/>
        <w:left w:val="none" w:sz="0" w:space="0" w:color="auto"/>
        <w:bottom w:val="none" w:sz="0" w:space="0" w:color="auto"/>
        <w:right w:val="none" w:sz="0" w:space="0" w:color="auto"/>
      </w:divBdr>
    </w:div>
    <w:div w:id="206085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as.org/en/iachr/defenders/docs/pdf/defenders20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4495</Characters>
  <Application>Microsoft Office Word</Application>
  <DocSecurity>0</DocSecurity>
  <Lines>73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2023-11-28T19:30:00Z</dcterms:created>
  <dcterms:modified xsi:type="dcterms:W3CDTF">2023-11-28T19:30:00Z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f5595cb51562bc807bd2ee9abb0ecd24f4e338d8f90e85e5de8cce6c9115e9b7</vt:lpwstr>
  </property>
</Properties>
</file>