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AE1E" w14:textId="239E3FD6" w:rsidR="00E34DB7" w:rsidRPr="00A96BBD" w:rsidRDefault="00C22DB8" w:rsidP="00A96BBD">
      <w:pPr>
        <w:pStyle w:val="Heading1"/>
        <w:rPr>
          <w:rFonts w:ascii="Cambria" w:hAnsi="Cambria"/>
          <w:sz w:val="28"/>
          <w:szCs w:val="28"/>
          <w:lang w:val="es-ES"/>
        </w:rPr>
      </w:pPr>
      <w:bookmarkStart w:id="0" w:name="_Hlk151035571"/>
      <w:r w:rsidRPr="00A96BBD">
        <w:rPr>
          <w:rFonts w:ascii="Cambria" w:hAnsi="Cambria"/>
          <w:sz w:val="28"/>
          <w:szCs w:val="28"/>
          <w:lang w:val="es-ES"/>
        </w:rPr>
        <w:t>C</w:t>
      </w:r>
      <w:r w:rsidR="00E34DB7" w:rsidRPr="00A96BBD">
        <w:rPr>
          <w:rFonts w:ascii="Cambria" w:hAnsi="Cambria"/>
          <w:sz w:val="28"/>
          <w:szCs w:val="28"/>
          <w:lang w:val="es-ES"/>
        </w:rPr>
        <w:t xml:space="preserve">uestionario </w:t>
      </w:r>
      <w:r w:rsidR="003F53BB" w:rsidRPr="00A96BBD">
        <w:rPr>
          <w:rFonts w:ascii="Cambria" w:hAnsi="Cambria"/>
          <w:sz w:val="28"/>
          <w:szCs w:val="28"/>
          <w:lang w:val="es-ES"/>
        </w:rPr>
        <w:t xml:space="preserve">para elaboración del tercer informe regional sobre </w:t>
      </w:r>
      <w:r w:rsidR="00E34DB7" w:rsidRPr="00A96BBD">
        <w:rPr>
          <w:rFonts w:ascii="Cambria" w:hAnsi="Cambria"/>
          <w:sz w:val="28"/>
          <w:szCs w:val="28"/>
          <w:lang w:val="es-ES"/>
        </w:rPr>
        <w:t>la situación de personas defensoras de derechos humanos</w:t>
      </w:r>
      <w:r w:rsidR="00B76475" w:rsidRPr="00A96BBD">
        <w:rPr>
          <w:rFonts w:ascii="Cambria" w:hAnsi="Cambria"/>
          <w:sz w:val="28"/>
          <w:szCs w:val="28"/>
          <w:lang w:val="es-ES"/>
        </w:rPr>
        <w:t xml:space="preserve"> en las Américas</w:t>
      </w:r>
      <w:r w:rsidR="00E34DB7" w:rsidRPr="00A96BBD">
        <w:rPr>
          <w:rFonts w:ascii="Cambria" w:hAnsi="Cambria"/>
          <w:sz w:val="28"/>
          <w:szCs w:val="28"/>
          <w:lang w:val="es-ES"/>
        </w:rPr>
        <w:t xml:space="preserve"> </w:t>
      </w:r>
    </w:p>
    <w:p w14:paraId="12EED6F5" w14:textId="2416EE9D" w:rsidR="007E53B3" w:rsidRPr="00A96BBD" w:rsidRDefault="00C22DB8" w:rsidP="00334275">
      <w:pPr>
        <w:shd w:val="clear" w:color="auto" w:fill="FFFFFF"/>
        <w:spacing w:before="192" w:after="192"/>
        <w:ind w:right="144"/>
        <w:jc w:val="both"/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</w:pPr>
      <w:bookmarkStart w:id="1" w:name="_Hlk151035457"/>
      <w:bookmarkEnd w:id="0"/>
      <w:r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>L</w:t>
      </w:r>
      <w:r w:rsidR="00E62787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a Comisión Interamericana de Derechos Humanos (CIDH) </w:t>
      </w:r>
      <w:r w:rsidR="007E53B3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elaborará un </w:t>
      </w:r>
      <w:r w:rsidR="008715B6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tercer </w:t>
      </w:r>
      <w:r w:rsidR="007E53B3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informe sobre la situación de derechos humanos de personas defensoras </w:t>
      </w:r>
      <w:r w:rsidR="00AA27C7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de derechos humanos en las Américas. </w:t>
      </w:r>
    </w:p>
    <w:p w14:paraId="31D5D4BB" w14:textId="77777777" w:rsidR="00AA1D4F" w:rsidRPr="00A96BBD" w:rsidRDefault="0029511D" w:rsidP="10F4D998">
      <w:pPr>
        <w:shd w:val="clear" w:color="auto" w:fill="FFFFFF" w:themeFill="background1"/>
        <w:spacing w:before="192" w:after="192"/>
        <w:ind w:right="144"/>
        <w:jc w:val="both"/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</w:pPr>
      <w:r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>El objetivo de este tercer informe es presentar el panorama actual bajo el cual las personas defensoras defienden los derechos humanos de forma regional e interseccional, identificando los principales riesgos y amenazas a los que se enfrentan y que derivan de sus actividades de defensa y los desafíos presentados para su efectiva protección.</w:t>
      </w:r>
      <w:r w:rsidR="003F656C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 </w:t>
      </w:r>
    </w:p>
    <w:bookmarkEnd w:id="1"/>
    <w:p w14:paraId="62CBAC8B" w14:textId="61EB90C7" w:rsidR="0029511D" w:rsidRPr="00A96BBD" w:rsidRDefault="0003708E" w:rsidP="10F4D998">
      <w:pPr>
        <w:shd w:val="clear" w:color="auto" w:fill="FFFFFF" w:themeFill="background1"/>
        <w:spacing w:before="192" w:after="192"/>
        <w:ind w:right="144"/>
        <w:jc w:val="both"/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</w:pPr>
      <w:r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>A once años de la publicación del</w:t>
      </w:r>
      <w:r w:rsidR="00882F39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 </w:t>
      </w:r>
      <w:hyperlink r:id="rId7" w:history="1">
        <w:r w:rsidR="000A5C54" w:rsidRPr="00A96BBD">
          <w:rPr>
            <w:rStyle w:val="Hyperlink"/>
            <w:rFonts w:ascii="Cambria" w:eastAsia="Times New Roman" w:hAnsi="Cambria" w:cs="Tahoma"/>
            <w:sz w:val="22"/>
            <w:szCs w:val="22"/>
            <w:lang w:val="es-ES" w:eastAsia="es-MX"/>
          </w:rPr>
          <w:t>Segundo Informe sobre la Situación de las Defensoras y Defensores de Derechos Humanos</w:t>
        </w:r>
        <w:r w:rsidR="00AA1D4F" w:rsidRPr="00A96BBD">
          <w:rPr>
            <w:rStyle w:val="Hyperlink"/>
            <w:rFonts w:ascii="Cambria" w:eastAsia="Times New Roman" w:hAnsi="Cambria" w:cs="Tahoma"/>
            <w:sz w:val="22"/>
            <w:szCs w:val="22"/>
            <w:lang w:val="es-ES" w:eastAsia="es-MX"/>
          </w:rPr>
          <w:t xml:space="preserve"> en las Américas</w:t>
        </w:r>
      </w:hyperlink>
      <w:r w:rsidR="00AA1D4F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, la CIDH </w:t>
      </w:r>
      <w:r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>considera relevante contar con una actualización sobre los desafíos presentes que enfrentan estos grupos en comparación con lo observado anteriormente</w:t>
      </w:r>
      <w:r w:rsidR="00F674EC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. </w:t>
      </w:r>
      <w:r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En particular, </w:t>
      </w:r>
      <w:r w:rsidR="00F674EC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>el informe busca</w:t>
      </w:r>
      <w:r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 abordar las dinámicas de la violencia y los contextos que afectan la realización efectiva de su labor, las áreas geográficas más afectadas, así como los grupos de </w:t>
      </w:r>
      <w:r w:rsidR="00983909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defensa </w:t>
      </w:r>
      <w:r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>más afectados bajo un enfoque interseccional, en una región cada día más polarizada y convulsa.</w:t>
      </w:r>
      <w:r w:rsidR="00DC4F12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 E</w:t>
      </w:r>
      <w:r w:rsidR="00BA5C2A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l informe </w:t>
      </w:r>
      <w:r w:rsidR="00DC4F12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también </w:t>
      </w:r>
      <w:r w:rsidR="00C8790B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busca identificar los posibles avances </w:t>
      </w:r>
      <w:r w:rsidR="003B3A3D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>realizados por Estados de la región</w:t>
      </w:r>
      <w:r w:rsidR="00C8790B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 para </w:t>
      </w:r>
      <w:r w:rsidR="003B3A3D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garantizar los derechos humanos de estos colectivos. </w:t>
      </w:r>
    </w:p>
    <w:p w14:paraId="5CBC8EE2" w14:textId="77777777" w:rsidR="00E14AAD" w:rsidRPr="00A96BBD" w:rsidRDefault="00E62787" w:rsidP="00E14AAD">
      <w:p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</w:pPr>
      <w:bookmarkStart w:id="2" w:name="_Hlk151035472"/>
      <w:r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>En este marco, la Comisión invita a</w:t>
      </w:r>
      <w:r w:rsidR="007E53B3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 los Estados, organizaciones de</w:t>
      </w:r>
      <w:r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 la sociedad civil, personas </w:t>
      </w:r>
      <w:r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 xml:space="preserve">defensoras de derechos humanos, organizaciones académicas, instituciones y personas interesadas, </w:t>
      </w:r>
      <w:r w:rsidR="007B53FF"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>remitir información sobre los siguientes temas</w:t>
      </w:r>
      <w:r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>:</w:t>
      </w:r>
    </w:p>
    <w:bookmarkEnd w:id="2"/>
    <w:p w14:paraId="27C5DF57" w14:textId="1E1718C4" w:rsidR="00E14AAD" w:rsidRPr="00A96BBD" w:rsidRDefault="00E14AAD" w:rsidP="00E14AAD">
      <w:p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</w:pPr>
      <w:r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>En relación con las formas de violencia en contra de personas defensoras de derechos humanos:</w:t>
      </w:r>
    </w:p>
    <w:p w14:paraId="14554709" w14:textId="4E484480" w:rsidR="00D162CD" w:rsidRPr="00A96BBD" w:rsidRDefault="00D162CD" w:rsidP="00D162CD">
      <w:pPr>
        <w:pStyle w:val="NormalWeb"/>
        <w:numPr>
          <w:ilvl w:val="0"/>
          <w:numId w:val="9"/>
        </w:numPr>
        <w:shd w:val="clear" w:color="auto" w:fill="FFFFFF" w:themeFill="background1"/>
        <w:ind w:right="142"/>
        <w:contextualSpacing/>
        <w:jc w:val="both"/>
        <w:rPr>
          <w:rFonts w:ascii="Cambria" w:eastAsia="Cambria" w:hAnsi="Cambria" w:cs="Cambria"/>
          <w:color w:val="333333"/>
          <w:sz w:val="22"/>
          <w:szCs w:val="22"/>
          <w:lang w:val="es-ES"/>
        </w:rPr>
      </w:pPr>
      <w:r w:rsidRPr="00A96BBD">
        <w:rPr>
          <w:rFonts w:ascii="Cambria" w:eastAsia="Cambria" w:hAnsi="Cambria" w:cs="Cambria"/>
          <w:color w:val="333333"/>
          <w:sz w:val="22"/>
          <w:szCs w:val="22"/>
          <w:lang w:val="es-ES"/>
        </w:rPr>
        <w:t xml:space="preserve">Principales grupos en riesgo </w:t>
      </w:r>
      <w:r w:rsidR="0034310E" w:rsidRPr="00A96BBD">
        <w:rPr>
          <w:rFonts w:ascii="Cambria" w:eastAsia="Cambria" w:hAnsi="Cambria" w:cs="Cambria"/>
          <w:color w:val="333333"/>
          <w:sz w:val="22"/>
          <w:szCs w:val="22"/>
          <w:lang w:val="es-ES"/>
        </w:rPr>
        <w:t>por</w:t>
      </w:r>
      <w:r w:rsidRPr="00A96BBD">
        <w:rPr>
          <w:rFonts w:ascii="Cambria" w:eastAsia="Cambria" w:hAnsi="Cambria" w:cs="Cambria"/>
          <w:color w:val="333333"/>
          <w:sz w:val="22"/>
          <w:szCs w:val="22"/>
          <w:lang w:val="es-ES"/>
        </w:rPr>
        <w:t xml:space="preserve"> su labor de defensa y las principales situaciones de riesgo que enfrentan;</w:t>
      </w:r>
    </w:p>
    <w:p w14:paraId="2692F199" w14:textId="77777777" w:rsidR="00D162CD" w:rsidRPr="00A96BBD" w:rsidRDefault="00D162CD" w:rsidP="00D162CD">
      <w:pPr>
        <w:pStyle w:val="NormalWeb"/>
        <w:shd w:val="clear" w:color="auto" w:fill="FFFFFF" w:themeFill="background1"/>
        <w:ind w:right="142"/>
        <w:contextualSpacing/>
        <w:jc w:val="both"/>
        <w:rPr>
          <w:rFonts w:ascii="Cambria" w:eastAsia="Cambria" w:hAnsi="Cambria" w:cs="Cambria"/>
          <w:color w:val="333333"/>
          <w:sz w:val="22"/>
          <w:szCs w:val="22"/>
          <w:lang w:val="es-ES"/>
        </w:rPr>
      </w:pPr>
    </w:p>
    <w:p w14:paraId="42FDFDE8" w14:textId="77777777" w:rsidR="00262B18" w:rsidRPr="00A96BBD" w:rsidRDefault="00D162CD" w:rsidP="00262B18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right="142"/>
        <w:contextualSpacing/>
        <w:jc w:val="both"/>
        <w:rPr>
          <w:rFonts w:ascii="Cambria" w:eastAsia="Cambria" w:hAnsi="Cambria" w:cs="Cambria"/>
          <w:color w:val="333333"/>
          <w:sz w:val="22"/>
          <w:szCs w:val="22"/>
          <w:lang w:val="es-ES"/>
        </w:rPr>
      </w:pPr>
      <w:r w:rsidRPr="00A96BBD">
        <w:rPr>
          <w:rFonts w:ascii="Cambria" w:eastAsia="Cambria" w:hAnsi="Cambria" w:cs="Cambria"/>
          <w:color w:val="333333"/>
          <w:sz w:val="22"/>
          <w:szCs w:val="22"/>
          <w:lang w:val="es-ES"/>
        </w:rPr>
        <w:t>Tipos de agresiones identificadas contra personas defensoras (incluyendo amenazas, asesinatos, criminalización, difamación, etc.). Desagregar cifras por tipo de agresión, actividad de persona defensora agredida, género, área geográfica y posible perpetrador/a;</w:t>
      </w:r>
    </w:p>
    <w:p w14:paraId="25028061" w14:textId="77777777" w:rsidR="00262B18" w:rsidRPr="00A96BBD" w:rsidRDefault="00262B18" w:rsidP="00262B18">
      <w:pPr>
        <w:pStyle w:val="ListParagraph"/>
        <w:rPr>
          <w:rFonts w:ascii="Cambria" w:eastAsia="Cambria" w:hAnsi="Cambria" w:cs="Cambria"/>
          <w:color w:val="333333"/>
          <w:sz w:val="22"/>
          <w:szCs w:val="22"/>
          <w:lang w:val="es-ES"/>
        </w:rPr>
      </w:pPr>
    </w:p>
    <w:p w14:paraId="5C3C98CC" w14:textId="757B693C" w:rsidR="00262B18" w:rsidRPr="00A96BBD" w:rsidRDefault="00262B18" w:rsidP="00262B18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right="142"/>
        <w:contextualSpacing/>
        <w:jc w:val="both"/>
        <w:rPr>
          <w:rFonts w:ascii="Cambria" w:eastAsia="Cambria" w:hAnsi="Cambria" w:cs="Cambria"/>
          <w:color w:val="333333"/>
          <w:sz w:val="22"/>
          <w:szCs w:val="22"/>
          <w:lang w:val="es-ES"/>
        </w:rPr>
      </w:pPr>
      <w:r w:rsidRPr="00A96BBD">
        <w:rPr>
          <w:rFonts w:ascii="Cambria" w:eastAsia="Cambria" w:hAnsi="Cambria" w:cs="Cambria"/>
          <w:color w:val="333333"/>
          <w:sz w:val="22"/>
          <w:szCs w:val="22"/>
          <w:lang w:val="es-ES"/>
        </w:rPr>
        <w:t>P</w:t>
      </w:r>
      <w:r w:rsidR="00D22400" w:rsidRPr="00A96BBD">
        <w:rPr>
          <w:rFonts w:ascii="Cambria" w:eastAsia="Cambria" w:hAnsi="Cambria" w:cs="Cambria"/>
          <w:color w:val="333333"/>
          <w:sz w:val="22"/>
          <w:szCs w:val="22"/>
          <w:lang w:val="es-ES"/>
        </w:rPr>
        <w:t>rincipales factores de riesgo, orígenes y posibles responsables de los actos de violencia cometidos en contra de personas defensoras de derechos humanos</w:t>
      </w:r>
      <w:r w:rsidRPr="00A96BBD">
        <w:rPr>
          <w:rFonts w:ascii="Cambria" w:eastAsia="Cambria" w:hAnsi="Cambria" w:cs="Cambria"/>
          <w:color w:val="333333"/>
          <w:sz w:val="22"/>
          <w:szCs w:val="22"/>
          <w:lang w:val="es-ES"/>
        </w:rPr>
        <w:t xml:space="preserve">. </w:t>
      </w:r>
      <w:r w:rsidRPr="00A96BBD">
        <w:rPr>
          <w:rFonts w:ascii="Cambria" w:hAnsi="Cambria" w:cs="Tahoma"/>
          <w:color w:val="333333"/>
          <w:sz w:val="22"/>
          <w:szCs w:val="22"/>
          <w:lang w:val="es-ES"/>
        </w:rPr>
        <w:t xml:space="preserve">Contextos o situaciones estructurales existentes en los países que han influido en la persistencia de situaciones que ponen en riesgo; </w:t>
      </w:r>
    </w:p>
    <w:p w14:paraId="65A47A21" w14:textId="77777777" w:rsidR="003C05FD" w:rsidRPr="00A96BBD" w:rsidRDefault="003C05FD" w:rsidP="003C05FD">
      <w:pPr>
        <w:pStyle w:val="ListParagraph"/>
        <w:rPr>
          <w:rFonts w:ascii="Cambria" w:eastAsia="Cambria" w:hAnsi="Cambria" w:cs="Cambria"/>
          <w:color w:val="333333"/>
          <w:sz w:val="22"/>
          <w:szCs w:val="22"/>
          <w:lang w:val="es-ES"/>
        </w:rPr>
      </w:pPr>
    </w:p>
    <w:p w14:paraId="1A8118E3" w14:textId="32FB7E6C" w:rsidR="003C05FD" w:rsidRPr="00A96BBD" w:rsidRDefault="003C05FD" w:rsidP="00262B18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right="142"/>
        <w:contextualSpacing/>
        <w:jc w:val="both"/>
        <w:rPr>
          <w:rFonts w:ascii="Cambria" w:eastAsia="Cambria" w:hAnsi="Cambria" w:cs="Cambria"/>
          <w:color w:val="333333"/>
          <w:sz w:val="22"/>
          <w:szCs w:val="22"/>
          <w:lang w:val="es-ES"/>
        </w:rPr>
      </w:pPr>
      <w:r w:rsidRPr="00A96BBD">
        <w:rPr>
          <w:rFonts w:ascii="Cambria" w:eastAsia="Cambria" w:hAnsi="Cambria" w:cs="Cambria"/>
          <w:color w:val="333333"/>
          <w:sz w:val="22"/>
          <w:szCs w:val="22"/>
          <w:lang w:val="es-ES"/>
        </w:rPr>
        <w:t xml:space="preserve">Afectaciones particulares </w:t>
      </w:r>
      <w:r w:rsidR="00AD647F" w:rsidRPr="00A96BBD">
        <w:rPr>
          <w:rFonts w:ascii="Cambria" w:eastAsia="Cambria" w:hAnsi="Cambria" w:cs="Cambria"/>
          <w:color w:val="333333"/>
          <w:sz w:val="22"/>
          <w:szCs w:val="22"/>
          <w:lang w:val="es-ES"/>
        </w:rPr>
        <w:t xml:space="preserve">identificadas </w:t>
      </w:r>
      <w:r w:rsidRPr="00A96BBD">
        <w:rPr>
          <w:rFonts w:ascii="Cambria" w:eastAsia="Cambria" w:hAnsi="Cambria" w:cs="Cambria"/>
          <w:color w:val="333333"/>
          <w:sz w:val="22"/>
          <w:szCs w:val="22"/>
          <w:lang w:val="es-ES"/>
        </w:rPr>
        <w:t xml:space="preserve">a </w:t>
      </w:r>
      <w:r w:rsidR="00AD647F" w:rsidRPr="00A96BBD">
        <w:rPr>
          <w:rFonts w:ascii="Cambria" w:eastAsia="Cambria" w:hAnsi="Cambria" w:cs="Cambria"/>
          <w:color w:val="333333"/>
          <w:sz w:val="22"/>
          <w:szCs w:val="22"/>
          <w:lang w:val="es-ES"/>
        </w:rPr>
        <w:t>mujeres defensoras de derechos humanos y personas defensoras de los derechos LGBTI</w:t>
      </w:r>
      <w:r w:rsidR="003B181E" w:rsidRPr="00A96BBD">
        <w:rPr>
          <w:rFonts w:ascii="Cambria" w:eastAsia="Cambria" w:hAnsi="Cambria" w:cs="Cambria"/>
          <w:color w:val="333333"/>
          <w:sz w:val="22"/>
          <w:szCs w:val="22"/>
          <w:lang w:val="es-ES"/>
        </w:rPr>
        <w:t>;</w:t>
      </w:r>
    </w:p>
    <w:p w14:paraId="336C2DA9" w14:textId="77777777" w:rsidR="001354CC" w:rsidRPr="00A96BBD" w:rsidRDefault="001354CC" w:rsidP="00262B18">
      <w:pPr>
        <w:pStyle w:val="NormalWeb"/>
        <w:shd w:val="clear" w:color="auto" w:fill="FFFFFF" w:themeFill="background1"/>
        <w:spacing w:before="0" w:beforeAutospacing="0"/>
        <w:ind w:right="142"/>
        <w:contextualSpacing/>
        <w:jc w:val="both"/>
        <w:rPr>
          <w:rFonts w:ascii="Cambria" w:eastAsia="Cambria" w:hAnsi="Cambria" w:cs="Cambria"/>
          <w:color w:val="333333"/>
          <w:sz w:val="22"/>
          <w:szCs w:val="22"/>
          <w:lang w:val="es-ES"/>
        </w:rPr>
      </w:pPr>
    </w:p>
    <w:p w14:paraId="118C3A74" w14:textId="256B182F" w:rsidR="004A7D7B" w:rsidRPr="00A96BBD" w:rsidRDefault="001354CC" w:rsidP="00262B18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/>
        <w:ind w:right="142"/>
        <w:contextualSpacing/>
        <w:jc w:val="both"/>
        <w:rPr>
          <w:rFonts w:ascii="Cambria" w:eastAsia="Cambria" w:hAnsi="Cambria" w:cs="Cambria"/>
          <w:color w:val="333333"/>
          <w:sz w:val="22"/>
          <w:szCs w:val="22"/>
          <w:lang w:val="es-ES"/>
        </w:rPr>
      </w:pPr>
      <w:r w:rsidRPr="00A96BBD">
        <w:rPr>
          <w:rFonts w:ascii="Cambria" w:eastAsia="Cambria" w:hAnsi="Cambria" w:cs="Cambria"/>
          <w:color w:val="333333"/>
          <w:sz w:val="22"/>
          <w:szCs w:val="22"/>
          <w:lang w:val="es-ES"/>
        </w:rPr>
        <w:t>Avances y/o desafíos identificados para prevenir y proteger</w:t>
      </w:r>
      <w:r w:rsidRPr="00A96BBD">
        <w:rPr>
          <w:lang w:val="es-ES"/>
        </w:rPr>
        <w:t xml:space="preserve"> </w:t>
      </w:r>
      <w:r w:rsidRPr="00A96BBD">
        <w:rPr>
          <w:rFonts w:ascii="Cambria" w:eastAsia="Cambria" w:hAnsi="Cambria" w:cs="Cambria"/>
          <w:color w:val="333333"/>
          <w:sz w:val="22"/>
          <w:szCs w:val="22"/>
          <w:lang w:val="es-ES"/>
        </w:rPr>
        <w:t>personas defensoras de derechos humanos en las América</w:t>
      </w:r>
      <w:r w:rsidR="00A4613D" w:rsidRPr="00A96BBD">
        <w:rPr>
          <w:rFonts w:ascii="Cambria" w:eastAsia="Cambria" w:hAnsi="Cambria" w:cs="Cambria"/>
          <w:color w:val="333333"/>
          <w:sz w:val="22"/>
          <w:szCs w:val="22"/>
          <w:lang w:val="es-ES"/>
        </w:rPr>
        <w:t>s en situaciones de riesgo;</w:t>
      </w:r>
    </w:p>
    <w:p w14:paraId="3CFBC69B" w14:textId="77777777" w:rsidR="00C52AE7" w:rsidRPr="00A96BBD" w:rsidRDefault="00C52AE7" w:rsidP="00C52AE7">
      <w:pPr>
        <w:pStyle w:val="ListParagraph"/>
        <w:rPr>
          <w:rFonts w:ascii="Cambria" w:eastAsia="Cambria" w:hAnsi="Cambria" w:cs="Cambria"/>
          <w:color w:val="333333"/>
          <w:sz w:val="22"/>
          <w:szCs w:val="22"/>
          <w:lang w:val="es-ES"/>
        </w:rPr>
      </w:pPr>
    </w:p>
    <w:p w14:paraId="188B8F0E" w14:textId="208EF164" w:rsidR="00C52AE7" w:rsidRPr="00A96BBD" w:rsidRDefault="00C52AE7" w:rsidP="00911F86">
      <w:pPr>
        <w:pStyle w:val="NormalWeb"/>
        <w:numPr>
          <w:ilvl w:val="0"/>
          <w:numId w:val="9"/>
        </w:numPr>
        <w:shd w:val="clear" w:color="auto" w:fill="FFFFFF" w:themeFill="background1"/>
        <w:ind w:right="142"/>
        <w:contextualSpacing/>
        <w:jc w:val="both"/>
        <w:rPr>
          <w:rFonts w:ascii="Cambria" w:eastAsia="Cambria" w:hAnsi="Cambria" w:cs="Cambria"/>
          <w:color w:val="333333"/>
          <w:sz w:val="22"/>
          <w:szCs w:val="22"/>
          <w:lang w:val="es-ES"/>
        </w:rPr>
      </w:pPr>
      <w:r w:rsidRPr="00A96BBD">
        <w:rPr>
          <w:rFonts w:ascii="Cambria" w:eastAsia="Cambria" w:hAnsi="Cambria" w:cs="Cambria"/>
          <w:color w:val="333333"/>
          <w:sz w:val="22"/>
          <w:szCs w:val="22"/>
          <w:lang w:val="es-ES"/>
        </w:rPr>
        <w:t>Avances y desafíos en la lucha contra la impunidad los delitos cometidos contra personas defensoras de derechos humanos. En particular, información detallada sobre el estado de investigaciones y retos particulares identificados;</w:t>
      </w:r>
    </w:p>
    <w:p w14:paraId="771DC967" w14:textId="3995A19F" w:rsidR="00E14AAD" w:rsidRPr="00A96BBD" w:rsidRDefault="00B848CF" w:rsidP="00B848CF">
      <w:p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</w:pPr>
      <w:r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 xml:space="preserve">En relación con los obstáculos </w:t>
      </w:r>
      <w:r w:rsidR="00D501CA"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>que impiden</w:t>
      </w:r>
      <w:r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 xml:space="preserve"> el libre ejercicio del derecho a defender derechos humanos:</w:t>
      </w:r>
    </w:p>
    <w:p w14:paraId="2AD452DA" w14:textId="5F431FFA" w:rsidR="00FD2D66" w:rsidRPr="00A96BBD" w:rsidRDefault="00FD2D66" w:rsidP="00FD2D66">
      <w:pPr>
        <w:pStyle w:val="ListParagraph"/>
        <w:numPr>
          <w:ilvl w:val="0"/>
          <w:numId w:val="9"/>
        </w:num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</w:pPr>
      <w:r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>Avances y/o desafíos identificados para evitar la emisión de discursos estigmatizantes o campañas de difamación en contra de personas defensoras de derechos humanos</w:t>
      </w:r>
    </w:p>
    <w:p w14:paraId="6E95EF8E" w14:textId="3F7B6E5B" w:rsidR="00274E11" w:rsidRPr="00A96BBD" w:rsidRDefault="00274E11" w:rsidP="00274E11">
      <w:pPr>
        <w:pStyle w:val="NormalWeb"/>
        <w:numPr>
          <w:ilvl w:val="0"/>
          <w:numId w:val="9"/>
        </w:numPr>
        <w:shd w:val="clear" w:color="auto" w:fill="FFFFFF" w:themeFill="background1"/>
        <w:ind w:right="142"/>
        <w:contextualSpacing/>
        <w:jc w:val="both"/>
        <w:rPr>
          <w:rFonts w:ascii="Cambria" w:eastAsia="Cambria" w:hAnsi="Cambria" w:cs="Cambria"/>
          <w:color w:val="333333"/>
          <w:sz w:val="22"/>
          <w:szCs w:val="22"/>
          <w:lang w:val="es-ES"/>
        </w:rPr>
      </w:pPr>
      <w:r w:rsidRPr="00A96BBD">
        <w:rPr>
          <w:rFonts w:ascii="Cambria" w:eastAsia="Cambria" w:hAnsi="Cambria" w:cs="Cambria"/>
          <w:color w:val="333333"/>
          <w:sz w:val="22"/>
          <w:szCs w:val="22"/>
          <w:lang w:val="es-ES"/>
        </w:rPr>
        <w:t>Principales factores que fomentan la criminalización de personas defensoras de derechos humanos y figuras penales y/o civiles</w:t>
      </w:r>
      <w:r w:rsidR="00267F2C" w:rsidRPr="00A96BBD">
        <w:rPr>
          <w:rFonts w:ascii="Cambria" w:eastAsia="Cambria" w:hAnsi="Cambria" w:cs="Cambria"/>
          <w:color w:val="333333"/>
          <w:sz w:val="22"/>
          <w:szCs w:val="22"/>
          <w:lang w:val="es-ES"/>
        </w:rPr>
        <w:t xml:space="preserve"> </w:t>
      </w:r>
      <w:r w:rsidRPr="00A96BBD">
        <w:rPr>
          <w:rFonts w:ascii="Cambria" w:eastAsia="Cambria" w:hAnsi="Cambria" w:cs="Cambria"/>
          <w:color w:val="333333"/>
          <w:sz w:val="22"/>
          <w:szCs w:val="22"/>
          <w:lang w:val="es-ES"/>
        </w:rPr>
        <w:t>empleadas. De conocer casos específicos señalar;</w:t>
      </w:r>
    </w:p>
    <w:p w14:paraId="2D2E91A3" w14:textId="2C015B0B" w:rsidR="00274E11" w:rsidRPr="00A96BBD" w:rsidRDefault="00607F7D" w:rsidP="001D1BF8">
      <w:pPr>
        <w:pStyle w:val="ListParagraph"/>
        <w:numPr>
          <w:ilvl w:val="0"/>
          <w:numId w:val="9"/>
        </w:num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</w:pPr>
      <w:r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 xml:space="preserve"> </w:t>
      </w:r>
      <w:r w:rsidR="00E0759B"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>Avances y/o desafíos</w:t>
      </w:r>
      <w:r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 xml:space="preserve"> identificados para </w:t>
      </w:r>
      <w:r w:rsidR="00E0759B"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>el libre ejercicio de la libertad de asociación y de reunión</w:t>
      </w:r>
      <w:r w:rsidR="008E65AE"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 xml:space="preserve">. En particular, medidas legislativas o administrativas que estén siendo implementadas y que pudieran restringir el derecho de </w:t>
      </w:r>
      <w:r w:rsidR="001D1BF8"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 xml:space="preserve">asociación de organizaciones defensoras. </w:t>
      </w:r>
    </w:p>
    <w:p w14:paraId="779E9988" w14:textId="7335A54E" w:rsidR="00911F86" w:rsidRPr="00A96BBD" w:rsidRDefault="00911F86" w:rsidP="00911F86">
      <w:p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</w:pPr>
      <w:r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 xml:space="preserve">En relación con las medidas implementadas por los Estados para cumplir con sus obligaciones en materia de protección y garantía de los derechos de personas defensoras: </w:t>
      </w:r>
    </w:p>
    <w:p w14:paraId="4047ED79" w14:textId="3EB4F9E4" w:rsidR="006F2105" w:rsidRPr="00A96BBD" w:rsidRDefault="006F2105" w:rsidP="00A30E26">
      <w:pPr>
        <w:pStyle w:val="ListParagraph"/>
        <w:numPr>
          <w:ilvl w:val="0"/>
          <w:numId w:val="9"/>
        </w:num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</w:pPr>
      <w:r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 xml:space="preserve">Medidas que estén siendo implementadas por los Estados para promover el reconocimiento del derecho a defender derechos humanos, y la importancia de personas defensoras; </w:t>
      </w:r>
    </w:p>
    <w:p w14:paraId="13E210C1" w14:textId="77777777" w:rsidR="00A30E26" w:rsidRPr="00A96BBD" w:rsidRDefault="00A30E26" w:rsidP="00A30E26">
      <w:pPr>
        <w:pStyle w:val="ListParagraph"/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</w:pPr>
    </w:p>
    <w:p w14:paraId="25D14E77" w14:textId="7E8B8B65" w:rsidR="006F2105" w:rsidRPr="00A96BBD" w:rsidRDefault="00CF6F5F" w:rsidP="00B848CF">
      <w:pPr>
        <w:pStyle w:val="ListParagraph"/>
        <w:numPr>
          <w:ilvl w:val="0"/>
          <w:numId w:val="9"/>
        </w:num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</w:pPr>
      <w:r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>Para los Estados que cuentan con programas nacionales de protección: a) indicar avances que los mecanismos de protección en materia de mitigación de riesgos para personas defensoras de derechos humanos; b) señalar los principales desafíos para la correcta implementación de programas nacionales de protección efectivos.</w:t>
      </w:r>
    </w:p>
    <w:p w14:paraId="51B24BE1" w14:textId="77777777" w:rsidR="007124DF" w:rsidRPr="00A96BBD" w:rsidRDefault="007124DF" w:rsidP="007124DF">
      <w:pPr>
        <w:pStyle w:val="ListParagraph"/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</w:pPr>
    </w:p>
    <w:p w14:paraId="4E0EE6D9" w14:textId="77777777" w:rsidR="00467A17" w:rsidRPr="00A96BBD" w:rsidRDefault="00467A17" w:rsidP="00467A17">
      <w:pPr>
        <w:pStyle w:val="ListParagraph"/>
        <w:numPr>
          <w:ilvl w:val="0"/>
          <w:numId w:val="9"/>
        </w:num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</w:pPr>
      <w:r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>Avances y/o desafíos en el cumplimiento efectivo de medidas cautelares otorgadas por la CIDH en favor de personas defensoras;</w:t>
      </w:r>
    </w:p>
    <w:p w14:paraId="2CBAE315" w14:textId="77777777" w:rsidR="00467A17" w:rsidRPr="00A96BBD" w:rsidRDefault="00467A17" w:rsidP="00467A17">
      <w:pPr>
        <w:pStyle w:val="ListParagraph"/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</w:pPr>
    </w:p>
    <w:p w14:paraId="38D8012F" w14:textId="0E78355D" w:rsidR="007124DF" w:rsidRPr="00A96BBD" w:rsidRDefault="007124DF" w:rsidP="00467A17">
      <w:pPr>
        <w:pStyle w:val="ListParagraph"/>
        <w:numPr>
          <w:ilvl w:val="0"/>
          <w:numId w:val="9"/>
        </w:num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</w:pPr>
      <w:r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>Medidas que estén siendo implementadas por los Estados para garantizar el acceso a la justicia a personas defensoras víctimas de algún delito</w:t>
      </w:r>
      <w:r w:rsidR="00467A17" w:rsidRPr="00A96BBD"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  <w:t>.</w:t>
      </w:r>
    </w:p>
    <w:p w14:paraId="3424A816" w14:textId="77777777" w:rsidR="0013441E" w:rsidRPr="00A96BBD" w:rsidRDefault="0013441E" w:rsidP="0013441E">
      <w:pPr>
        <w:pStyle w:val="ListParagraph"/>
        <w:rPr>
          <w:rFonts w:ascii="Cambria" w:eastAsia="Cambria" w:hAnsi="Cambria" w:cs="Cambria"/>
          <w:color w:val="333333"/>
          <w:sz w:val="22"/>
          <w:szCs w:val="22"/>
          <w:lang w:val="es-ES" w:eastAsia="es-MX"/>
        </w:rPr>
      </w:pPr>
    </w:p>
    <w:p w14:paraId="4311ACF9" w14:textId="574D6243" w:rsidR="00E62787" w:rsidRPr="00A96BBD" w:rsidRDefault="00E62787" w:rsidP="00FF749F">
      <w:pPr>
        <w:pStyle w:val="NormalWeb"/>
        <w:shd w:val="clear" w:color="auto" w:fill="FFFFFF"/>
        <w:spacing w:before="192" w:beforeAutospacing="0" w:after="192" w:afterAutospacing="0"/>
        <w:ind w:right="144"/>
        <w:jc w:val="both"/>
        <w:rPr>
          <w:rFonts w:ascii="Cambria" w:hAnsi="Cambria" w:cs="Tahoma"/>
          <w:color w:val="333333"/>
          <w:sz w:val="22"/>
          <w:szCs w:val="22"/>
          <w:lang w:val="es-ES"/>
        </w:rPr>
      </w:pPr>
      <w:r w:rsidRPr="00A96BBD">
        <w:rPr>
          <w:rFonts w:ascii="Cambria" w:hAnsi="Cambria" w:cs="Tahoma"/>
          <w:color w:val="333333"/>
          <w:sz w:val="22"/>
          <w:szCs w:val="22"/>
          <w:lang w:val="es-ES"/>
        </w:rPr>
        <w:t>El cuestionario puede contestarse de forma parcial o total, dependiendo de la información disponible; se pueden presentar investigaciones, informes, y otros documentos ya preparados y/o publicados que sean pertinentes al tema. Desde ya, la CIDH agradece las contribuciones que se reciban como insumos para la elaboración del presente informe</w:t>
      </w:r>
      <w:r w:rsidR="00636E87" w:rsidRPr="00A96BBD">
        <w:rPr>
          <w:rFonts w:ascii="Cambria" w:hAnsi="Cambria" w:cs="Tahoma"/>
          <w:color w:val="333333"/>
          <w:sz w:val="22"/>
          <w:szCs w:val="22"/>
          <w:lang w:val="es-ES"/>
        </w:rPr>
        <w:t xml:space="preserve">. </w:t>
      </w:r>
    </w:p>
    <w:p w14:paraId="7863039E" w14:textId="3F793DC3" w:rsidR="007E53B3" w:rsidRPr="00A96BBD" w:rsidRDefault="007E53B3" w:rsidP="00FF749F">
      <w:pPr>
        <w:shd w:val="clear" w:color="auto" w:fill="FFFFFF"/>
        <w:spacing w:before="192" w:after="192"/>
        <w:ind w:right="144"/>
        <w:jc w:val="both"/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</w:pPr>
      <w:bookmarkStart w:id="3" w:name="_Hlk151035505"/>
      <w:r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La CIDH recibirá a partir de hoy y hasta la medianoche del </w:t>
      </w:r>
      <w:r w:rsidR="002E3EBD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11 </w:t>
      </w:r>
      <w:r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de </w:t>
      </w:r>
      <w:r w:rsidR="002E3EBD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>diciembre</w:t>
      </w:r>
      <w:r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 de 202</w:t>
      </w:r>
      <w:r w:rsidR="003B3A3D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>3</w:t>
      </w:r>
      <w:r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 (horario de Washington, D.C.) la información solicitada al correo electrónico:</w:t>
      </w:r>
      <w:r w:rsidR="00CA11B8" w:rsidRPr="00CA11B8">
        <w:t xml:space="preserve"> </w:t>
      </w:r>
      <w:hyperlink r:id="rId8" w:history="1">
        <w:r w:rsidR="00CA11B8" w:rsidRPr="00CA11B8">
          <w:rPr>
            <w:rStyle w:val="Hyperlink"/>
            <w:rFonts w:ascii="Cambria" w:eastAsia="Times New Roman" w:hAnsi="Cambria" w:cs="Tahoma"/>
            <w:sz w:val="22"/>
            <w:szCs w:val="22"/>
            <w:lang w:val="es-ES" w:eastAsia="es-MX"/>
          </w:rPr>
          <w:t>CIDH</w:t>
        </w:r>
        <w:r w:rsidR="00CA11B8" w:rsidRPr="00CA11B8">
          <w:rPr>
            <w:rStyle w:val="Hyperlink"/>
            <w:rFonts w:ascii="Cambria" w:eastAsia="Times New Roman" w:hAnsi="Cambria" w:cs="Tahoma"/>
            <w:sz w:val="22"/>
            <w:szCs w:val="22"/>
            <w:lang w:val="es-ES" w:eastAsia="es-MX"/>
          </w:rPr>
          <w:t>M</w:t>
        </w:r>
        <w:r w:rsidR="00CA11B8" w:rsidRPr="00CA11B8">
          <w:rPr>
            <w:rStyle w:val="Hyperlink"/>
            <w:rFonts w:ascii="Cambria" w:eastAsia="Times New Roman" w:hAnsi="Cambria" w:cs="Tahoma"/>
            <w:sz w:val="22"/>
            <w:szCs w:val="22"/>
            <w:lang w:val="es-ES" w:eastAsia="es-MX"/>
          </w:rPr>
          <w:t>onitoreo@oas.org</w:t>
        </w:r>
      </w:hyperlink>
      <w:r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. La información puede ser enviada en español, inglés, francés y/o portugués. </w:t>
      </w:r>
      <w:r w:rsidR="003B3A3D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>La información para enviar</w:t>
      </w:r>
      <w:r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 debe ser concisa, objetiva, con fuentes verificables, y referente a hechos ocurridos en los últimos </w:t>
      </w:r>
      <w:r w:rsidR="00636E87"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>5</w:t>
      </w:r>
      <w:r w:rsidRPr="00A96BBD">
        <w:rPr>
          <w:rFonts w:ascii="Cambria" w:eastAsia="Times New Roman" w:hAnsi="Cambria" w:cs="Tahoma"/>
          <w:color w:val="333333"/>
          <w:sz w:val="22"/>
          <w:szCs w:val="22"/>
          <w:lang w:val="es-ES" w:eastAsia="es-MX"/>
        </w:rPr>
        <w:t xml:space="preserve"> años.</w:t>
      </w:r>
    </w:p>
    <w:bookmarkEnd w:id="3"/>
    <w:p w14:paraId="519F1261" w14:textId="72011AC4" w:rsidR="00510D71" w:rsidRPr="00A96BBD" w:rsidRDefault="00E62787" w:rsidP="00FF749F">
      <w:pPr>
        <w:pStyle w:val="NormalWeb"/>
        <w:shd w:val="clear" w:color="auto" w:fill="FFFFFF"/>
        <w:spacing w:before="192" w:beforeAutospacing="0" w:after="192" w:afterAutospacing="0"/>
        <w:ind w:right="144"/>
        <w:jc w:val="both"/>
        <w:rPr>
          <w:rFonts w:ascii="Cambria" w:hAnsi="Cambria"/>
          <w:sz w:val="22"/>
          <w:szCs w:val="22"/>
          <w:lang w:val="es-ES"/>
        </w:rPr>
      </w:pPr>
      <w:r w:rsidRPr="00A96BBD">
        <w:rPr>
          <w:rFonts w:ascii="Cambria" w:hAnsi="Cambria" w:cs="Tahoma"/>
          <w:color w:val="333333"/>
          <w:sz w:val="22"/>
          <w:szCs w:val="22"/>
          <w:lang w:val="es-ES"/>
        </w:rPr>
        <w:lastRenderedPageBreak/>
        <w:t>La CIDH es un órgano principal y autónomo de la Organización de los Estados Americanos (OEA), cuyo mandato surge de la Carta de la OEA y de la Convención Americana sobre Derechos Humanos. La Comisión Interamericana tiene el mandato de promover la observancia y la defensa de los derechos humanos en la región y actúa como órgano consultivo de la OEA en la materia. La CIDH está integrada por siete miembros independientes que son elegidos por la Asamblea General de la OEA a título personal, y no representan sus países de origen o residencia</w:t>
      </w:r>
      <w:r w:rsidR="00FF749F" w:rsidRPr="00A96BBD">
        <w:rPr>
          <w:rFonts w:ascii="Cambria" w:hAnsi="Cambria" w:cs="Tahoma"/>
          <w:color w:val="333333"/>
          <w:sz w:val="22"/>
          <w:szCs w:val="22"/>
          <w:lang w:val="es-ES"/>
        </w:rPr>
        <w:t>.</w:t>
      </w:r>
      <w:r w:rsidR="00DE4952" w:rsidRPr="00A96BBD">
        <w:rPr>
          <w:rFonts w:ascii="Cambria" w:hAnsi="Cambria"/>
          <w:sz w:val="22"/>
          <w:szCs w:val="22"/>
          <w:lang w:val="es-ES"/>
        </w:rPr>
        <w:t xml:space="preserve"> </w:t>
      </w:r>
    </w:p>
    <w:sectPr w:rsidR="00510D71" w:rsidRPr="00A96BBD" w:rsidSect="004F533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F989" w14:textId="77777777" w:rsidR="00676BBD" w:rsidRDefault="00676BBD" w:rsidP="00AC18E3">
      <w:r>
        <w:separator/>
      </w:r>
    </w:p>
  </w:endnote>
  <w:endnote w:type="continuationSeparator" w:id="0">
    <w:p w14:paraId="76430314" w14:textId="77777777" w:rsidR="00676BBD" w:rsidRDefault="00676BBD" w:rsidP="00AC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3797591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16"/>
        <w:szCs w:val="16"/>
      </w:rPr>
    </w:sdtEndPr>
    <w:sdtContent>
      <w:p w14:paraId="25E9773F" w14:textId="007FC8F6" w:rsidR="00A4042D" w:rsidRPr="00A4042D" w:rsidRDefault="00A4042D">
        <w:pPr>
          <w:pStyle w:val="Footer"/>
          <w:jc w:val="right"/>
          <w:rPr>
            <w:rFonts w:ascii="Cambria" w:hAnsi="Cambria"/>
            <w:sz w:val="16"/>
            <w:szCs w:val="16"/>
          </w:rPr>
        </w:pPr>
        <w:r w:rsidRPr="00A4042D">
          <w:rPr>
            <w:rFonts w:ascii="Cambria" w:hAnsi="Cambria"/>
            <w:sz w:val="16"/>
            <w:szCs w:val="16"/>
          </w:rPr>
          <w:fldChar w:fldCharType="begin"/>
        </w:r>
        <w:r w:rsidRPr="00A4042D">
          <w:rPr>
            <w:rFonts w:ascii="Cambria" w:hAnsi="Cambria"/>
            <w:sz w:val="16"/>
            <w:szCs w:val="16"/>
          </w:rPr>
          <w:instrText xml:space="preserve"> PAGE   \* MERGEFORMAT </w:instrText>
        </w:r>
        <w:r w:rsidRPr="00A4042D">
          <w:rPr>
            <w:rFonts w:ascii="Cambria" w:hAnsi="Cambria"/>
            <w:sz w:val="16"/>
            <w:szCs w:val="16"/>
          </w:rPr>
          <w:fldChar w:fldCharType="separate"/>
        </w:r>
        <w:r w:rsidRPr="00A4042D">
          <w:rPr>
            <w:rFonts w:ascii="Cambria" w:hAnsi="Cambria"/>
            <w:noProof/>
            <w:sz w:val="16"/>
            <w:szCs w:val="16"/>
          </w:rPr>
          <w:t>2</w:t>
        </w:r>
        <w:r w:rsidRPr="00A4042D">
          <w:rPr>
            <w:rFonts w:ascii="Cambria" w:hAnsi="Cambria"/>
            <w:noProof/>
            <w:sz w:val="16"/>
            <w:szCs w:val="16"/>
          </w:rPr>
          <w:fldChar w:fldCharType="end"/>
        </w:r>
      </w:p>
    </w:sdtContent>
  </w:sdt>
  <w:p w14:paraId="3C907B85" w14:textId="77777777" w:rsidR="00AC18E3" w:rsidRPr="00C62371" w:rsidRDefault="00AC18E3" w:rsidP="00C62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E1E7" w14:textId="77777777" w:rsidR="00676BBD" w:rsidRDefault="00676BBD" w:rsidP="00AC18E3">
      <w:r>
        <w:separator/>
      </w:r>
    </w:p>
  </w:footnote>
  <w:footnote w:type="continuationSeparator" w:id="0">
    <w:p w14:paraId="2529361F" w14:textId="77777777" w:rsidR="00676BBD" w:rsidRDefault="00676BBD" w:rsidP="00AC1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2F42" w14:textId="44FD80C0" w:rsidR="00A96BBD" w:rsidRDefault="00EA628E" w:rsidP="00EA628E">
    <w:pPr>
      <w:pStyle w:val="Header"/>
      <w:pBdr>
        <w:bottom w:val="single" w:sz="4" w:space="1" w:color="AEAAAA" w:themeColor="background2" w:themeShade="BF"/>
      </w:pBdr>
    </w:pPr>
    <w:r>
      <w:rPr>
        <w:noProof/>
      </w:rPr>
      <w:drawing>
        <wp:inline distT="0" distB="0" distL="0" distR="0" wp14:anchorId="5D867117" wp14:editId="53F83469">
          <wp:extent cx="1935217" cy="457200"/>
          <wp:effectExtent l="0" t="0" r="0" b="0"/>
          <wp:docPr id="4" name="Picture 4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21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412223" w14:textId="77777777" w:rsidR="00EA628E" w:rsidRPr="00C62371" w:rsidRDefault="00EA628E" w:rsidP="00C62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45D"/>
    <w:multiLevelType w:val="hybridMultilevel"/>
    <w:tmpl w:val="A418C640"/>
    <w:lvl w:ilvl="0" w:tplc="7FF44328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Segoe UI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B0AD0"/>
    <w:multiLevelType w:val="hybridMultilevel"/>
    <w:tmpl w:val="D0840E38"/>
    <w:lvl w:ilvl="0" w:tplc="D4B2419E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B1B0A68"/>
    <w:multiLevelType w:val="hybridMultilevel"/>
    <w:tmpl w:val="5F164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16506"/>
    <w:multiLevelType w:val="hybridMultilevel"/>
    <w:tmpl w:val="FE7EBE72"/>
    <w:lvl w:ilvl="0" w:tplc="8F7035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B5F6B"/>
    <w:multiLevelType w:val="hybridMultilevel"/>
    <w:tmpl w:val="A4BC5C9C"/>
    <w:lvl w:ilvl="0" w:tplc="B66032B4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Segoe UI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61293"/>
    <w:multiLevelType w:val="hybridMultilevel"/>
    <w:tmpl w:val="818405E6"/>
    <w:lvl w:ilvl="0" w:tplc="B276FF48">
      <w:start w:val="1"/>
      <w:numFmt w:val="decimal"/>
      <w:lvlText w:val="%1."/>
      <w:lvlJc w:val="left"/>
      <w:pPr>
        <w:ind w:left="720" w:hanging="360"/>
      </w:pPr>
    </w:lvl>
    <w:lvl w:ilvl="1" w:tplc="173473D6">
      <w:start w:val="1"/>
      <w:numFmt w:val="lowerLetter"/>
      <w:lvlText w:val="%2."/>
      <w:lvlJc w:val="left"/>
      <w:pPr>
        <w:ind w:left="1440" w:hanging="360"/>
      </w:pPr>
    </w:lvl>
    <w:lvl w:ilvl="2" w:tplc="31BECFBE">
      <w:start w:val="1"/>
      <w:numFmt w:val="lowerRoman"/>
      <w:lvlText w:val="%3."/>
      <w:lvlJc w:val="right"/>
      <w:pPr>
        <w:ind w:left="2160" w:hanging="180"/>
      </w:pPr>
    </w:lvl>
    <w:lvl w:ilvl="3" w:tplc="48985D50">
      <w:start w:val="1"/>
      <w:numFmt w:val="decimal"/>
      <w:lvlText w:val="%4."/>
      <w:lvlJc w:val="left"/>
      <w:pPr>
        <w:ind w:left="2880" w:hanging="360"/>
      </w:pPr>
    </w:lvl>
    <w:lvl w:ilvl="4" w:tplc="282C9C3C">
      <w:start w:val="1"/>
      <w:numFmt w:val="lowerLetter"/>
      <w:lvlText w:val="%5."/>
      <w:lvlJc w:val="left"/>
      <w:pPr>
        <w:ind w:left="3600" w:hanging="360"/>
      </w:pPr>
    </w:lvl>
    <w:lvl w:ilvl="5" w:tplc="1018A3F0">
      <w:start w:val="1"/>
      <w:numFmt w:val="lowerRoman"/>
      <w:lvlText w:val="%6."/>
      <w:lvlJc w:val="right"/>
      <w:pPr>
        <w:ind w:left="4320" w:hanging="180"/>
      </w:pPr>
    </w:lvl>
    <w:lvl w:ilvl="6" w:tplc="9A924B7C">
      <w:start w:val="1"/>
      <w:numFmt w:val="decimal"/>
      <w:lvlText w:val="%7."/>
      <w:lvlJc w:val="left"/>
      <w:pPr>
        <w:ind w:left="5040" w:hanging="360"/>
      </w:pPr>
    </w:lvl>
    <w:lvl w:ilvl="7" w:tplc="32CE55A6">
      <w:start w:val="1"/>
      <w:numFmt w:val="lowerLetter"/>
      <w:lvlText w:val="%8."/>
      <w:lvlJc w:val="left"/>
      <w:pPr>
        <w:ind w:left="5760" w:hanging="360"/>
      </w:pPr>
    </w:lvl>
    <w:lvl w:ilvl="8" w:tplc="15E2FEC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C4E19"/>
    <w:multiLevelType w:val="hybridMultilevel"/>
    <w:tmpl w:val="30B296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C6600A">
      <w:start w:val="1"/>
      <w:numFmt w:val="lowerLetter"/>
      <w:lvlText w:val="%2."/>
      <w:lvlJc w:val="left"/>
      <w:pPr>
        <w:ind w:left="1800" w:hanging="360"/>
      </w:pPr>
      <w:rPr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FDF8A300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7077E"/>
    <w:multiLevelType w:val="hybridMultilevel"/>
    <w:tmpl w:val="5F164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7495"/>
    <w:multiLevelType w:val="hybridMultilevel"/>
    <w:tmpl w:val="7D3264DE"/>
    <w:lvl w:ilvl="0" w:tplc="5276D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04DB3"/>
    <w:multiLevelType w:val="hybridMultilevel"/>
    <w:tmpl w:val="1206D7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08460">
    <w:abstractNumId w:val="5"/>
  </w:num>
  <w:num w:numId="2" w16cid:durableId="1850178609">
    <w:abstractNumId w:val="1"/>
  </w:num>
  <w:num w:numId="3" w16cid:durableId="1364551693">
    <w:abstractNumId w:val="0"/>
  </w:num>
  <w:num w:numId="4" w16cid:durableId="2127387726">
    <w:abstractNumId w:val="4"/>
  </w:num>
  <w:num w:numId="5" w16cid:durableId="1432244097">
    <w:abstractNumId w:val="9"/>
  </w:num>
  <w:num w:numId="6" w16cid:durableId="1359354597">
    <w:abstractNumId w:val="8"/>
  </w:num>
  <w:num w:numId="7" w16cid:durableId="2015183656">
    <w:abstractNumId w:val="6"/>
  </w:num>
  <w:num w:numId="8" w16cid:durableId="1098020179">
    <w:abstractNumId w:val="3"/>
  </w:num>
  <w:num w:numId="9" w16cid:durableId="1833057631">
    <w:abstractNumId w:val="2"/>
  </w:num>
  <w:num w:numId="10" w16cid:durableId="268780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87"/>
    <w:rsid w:val="0003708E"/>
    <w:rsid w:val="00040791"/>
    <w:rsid w:val="000A5C54"/>
    <w:rsid w:val="000C0C86"/>
    <w:rsid w:val="00106FEE"/>
    <w:rsid w:val="0013441E"/>
    <w:rsid w:val="001354CC"/>
    <w:rsid w:val="001C116E"/>
    <w:rsid w:val="001D1BF8"/>
    <w:rsid w:val="001D4571"/>
    <w:rsid w:val="00262B18"/>
    <w:rsid w:val="00267F2C"/>
    <w:rsid w:val="00274E11"/>
    <w:rsid w:val="0029511D"/>
    <w:rsid w:val="002C5D66"/>
    <w:rsid w:val="002E3EBD"/>
    <w:rsid w:val="00334275"/>
    <w:rsid w:val="0034310E"/>
    <w:rsid w:val="0038702E"/>
    <w:rsid w:val="003B181E"/>
    <w:rsid w:val="003B3A3D"/>
    <w:rsid w:val="003C05FD"/>
    <w:rsid w:val="003F53BB"/>
    <w:rsid w:val="003F656C"/>
    <w:rsid w:val="00467A17"/>
    <w:rsid w:val="00467FA6"/>
    <w:rsid w:val="00491ABB"/>
    <w:rsid w:val="004A59FC"/>
    <w:rsid w:val="004A7D7B"/>
    <w:rsid w:val="004C1DA6"/>
    <w:rsid w:val="004D5C9C"/>
    <w:rsid w:val="004F533C"/>
    <w:rsid w:val="00510D71"/>
    <w:rsid w:val="00544852"/>
    <w:rsid w:val="00607F7D"/>
    <w:rsid w:val="00633168"/>
    <w:rsid w:val="00636E87"/>
    <w:rsid w:val="00676BBD"/>
    <w:rsid w:val="0068049B"/>
    <w:rsid w:val="006A393A"/>
    <w:rsid w:val="006F2105"/>
    <w:rsid w:val="007124DF"/>
    <w:rsid w:val="00752A8C"/>
    <w:rsid w:val="007770B5"/>
    <w:rsid w:val="007B53FF"/>
    <w:rsid w:val="007E53B3"/>
    <w:rsid w:val="008715B6"/>
    <w:rsid w:val="00882F39"/>
    <w:rsid w:val="008E65AE"/>
    <w:rsid w:val="00911F86"/>
    <w:rsid w:val="00983909"/>
    <w:rsid w:val="00A153B5"/>
    <w:rsid w:val="00A30E26"/>
    <w:rsid w:val="00A4042D"/>
    <w:rsid w:val="00A4613D"/>
    <w:rsid w:val="00A522DD"/>
    <w:rsid w:val="00A56E06"/>
    <w:rsid w:val="00A71B5C"/>
    <w:rsid w:val="00A96BBD"/>
    <w:rsid w:val="00AA1D4F"/>
    <w:rsid w:val="00AA27C7"/>
    <w:rsid w:val="00AB1015"/>
    <w:rsid w:val="00AC18E3"/>
    <w:rsid w:val="00AD647F"/>
    <w:rsid w:val="00AF12E1"/>
    <w:rsid w:val="00B76475"/>
    <w:rsid w:val="00B848CF"/>
    <w:rsid w:val="00BA5C2A"/>
    <w:rsid w:val="00C22DB8"/>
    <w:rsid w:val="00C36819"/>
    <w:rsid w:val="00C52AE7"/>
    <w:rsid w:val="00C62371"/>
    <w:rsid w:val="00C8790B"/>
    <w:rsid w:val="00CA11B8"/>
    <w:rsid w:val="00CD38F5"/>
    <w:rsid w:val="00CE17F4"/>
    <w:rsid w:val="00CF2DA8"/>
    <w:rsid w:val="00CF6F5F"/>
    <w:rsid w:val="00D162CD"/>
    <w:rsid w:val="00D22400"/>
    <w:rsid w:val="00D501CA"/>
    <w:rsid w:val="00DC4F12"/>
    <w:rsid w:val="00DE4952"/>
    <w:rsid w:val="00E0759B"/>
    <w:rsid w:val="00E1470E"/>
    <w:rsid w:val="00E14AAD"/>
    <w:rsid w:val="00E34DB7"/>
    <w:rsid w:val="00E62787"/>
    <w:rsid w:val="00EA628E"/>
    <w:rsid w:val="00F674EC"/>
    <w:rsid w:val="00FD2D66"/>
    <w:rsid w:val="00FF749F"/>
    <w:rsid w:val="0186C33C"/>
    <w:rsid w:val="10F4D998"/>
    <w:rsid w:val="15CE0562"/>
    <w:rsid w:val="163C4A6B"/>
    <w:rsid w:val="2E652312"/>
    <w:rsid w:val="3C1460A3"/>
    <w:rsid w:val="3DD3396E"/>
    <w:rsid w:val="4CE699D1"/>
    <w:rsid w:val="62AAEF57"/>
    <w:rsid w:val="66D74275"/>
    <w:rsid w:val="67680772"/>
    <w:rsid w:val="7BD4C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A318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27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Heading4">
    <w:name w:val="heading 4"/>
    <w:basedOn w:val="Normal"/>
    <w:link w:val="Heading4Char"/>
    <w:uiPriority w:val="9"/>
    <w:qFormat/>
    <w:rsid w:val="00E6278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78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Heading4Char">
    <w:name w:val="Heading 4 Char"/>
    <w:basedOn w:val="DefaultParagraphFont"/>
    <w:link w:val="Heading4"/>
    <w:uiPriority w:val="9"/>
    <w:rsid w:val="00E62787"/>
    <w:rPr>
      <w:rFonts w:ascii="Times New Roman" w:eastAsia="Times New Roman" w:hAnsi="Times New Roman" w:cs="Times New Roman"/>
      <w:b/>
      <w:bCs/>
      <w:lang w:eastAsia="es-MX"/>
    </w:rPr>
  </w:style>
  <w:style w:type="paragraph" w:styleId="NormalWeb">
    <w:name w:val="Normal (Web)"/>
    <w:basedOn w:val="Normal"/>
    <w:uiPriority w:val="99"/>
    <w:unhideWhenUsed/>
    <w:rsid w:val="00E627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yperlink">
    <w:name w:val="Hyperlink"/>
    <w:basedOn w:val="DefaultParagraphFont"/>
    <w:uiPriority w:val="99"/>
    <w:unhideWhenUsed/>
    <w:rsid w:val="00E627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495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A1D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1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8E3"/>
  </w:style>
  <w:style w:type="paragraph" w:styleId="Footer">
    <w:name w:val="footer"/>
    <w:basedOn w:val="Normal"/>
    <w:link w:val="FooterChar"/>
    <w:uiPriority w:val="99"/>
    <w:unhideWhenUsed/>
    <w:rsid w:val="00AC1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8E3"/>
  </w:style>
  <w:style w:type="table" w:styleId="TableGrid">
    <w:name w:val="Table Grid"/>
    <w:basedOn w:val="TableNormal"/>
    <w:uiPriority w:val="39"/>
    <w:rsid w:val="00A96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5696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6684">
              <w:marLeft w:val="15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8677">
              <w:marLeft w:val="15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9430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1234">
              <w:marLeft w:val="150"/>
              <w:marRight w:val="0"/>
              <w:marTop w:val="0"/>
              <w:marBottom w:val="15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154492683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IDHMonitoreo@oa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as.org/es/cidh/defensores/docs/pdf/defensores201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2023-11-17T14:22:00Z</dcterms:created>
  <dcterms:modified xsi:type="dcterms:W3CDTF">2023-11-21T19:54:00Z</dcterms:modified>
</cp:coreProperties>
</file>