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C048D" w14:textId="77777777" w:rsidR="001A105D" w:rsidRDefault="00000000">
      <w:pPr>
        <w:pStyle w:val="Footnote"/>
        <w:spacing w:line="288" w:lineRule="auto"/>
        <w:ind w:left="173" w:hanging="173"/>
        <w:jc w:val="right"/>
        <w:rPr>
          <w:rFonts w:ascii="Helvetica LT Std Roman" w:eastAsia="Helvetica LT Std Roman" w:hAnsi="Helvetica LT Std Roman" w:cs="Helvetica LT Std Roman"/>
          <w:color w:val="535353"/>
          <w:spacing w:val="-1"/>
          <w:sz w:val="18"/>
          <w:szCs w:val="18"/>
          <w:u w:color="404040"/>
        </w:rPr>
      </w:pPr>
      <w:r>
        <w:rPr>
          <w:noProof/>
        </w:rPr>
        <w:drawing>
          <wp:anchor distT="152400" distB="152400" distL="152400" distR="152400" simplePos="0" relativeHeight="251659264" behindDoc="0" locked="0" layoutInCell="1" allowOverlap="1" wp14:anchorId="6799ED51" wp14:editId="17321E5C">
            <wp:simplePos x="0" y="0"/>
            <wp:positionH relativeFrom="page">
              <wp:posOffset>0</wp:posOffset>
            </wp:positionH>
            <wp:positionV relativeFrom="page">
              <wp:posOffset>0</wp:posOffset>
            </wp:positionV>
            <wp:extent cx="6400800" cy="9144000"/>
            <wp:effectExtent l="0" t="0" r="0" b="0"/>
            <wp:wrapTopAndBottom distT="152400" distB="152400"/>
            <wp:docPr id="1073741825" name="officeArt object" descr="Informe-Discapacidad-portada-FINAL.png"/>
            <wp:cNvGraphicFramePr/>
            <a:graphic xmlns:a="http://schemas.openxmlformats.org/drawingml/2006/main">
              <a:graphicData uri="http://schemas.openxmlformats.org/drawingml/2006/picture">
                <pic:pic xmlns:pic="http://schemas.openxmlformats.org/drawingml/2006/picture">
                  <pic:nvPicPr>
                    <pic:cNvPr id="1073741825" name="Informe-Discapacidad-portada-FINAL.png" descr="Informe-Discapacidad-portada-FINAL.png"/>
                    <pic:cNvPicPr>
                      <a:picLocks noChangeAspect="1"/>
                    </pic:cNvPicPr>
                  </pic:nvPicPr>
                  <pic:blipFill>
                    <a:blip r:embed="rId7"/>
                    <a:stretch>
                      <a:fillRect/>
                    </a:stretch>
                  </pic:blipFill>
                  <pic:spPr>
                    <a:xfrm>
                      <a:off x="0" y="0"/>
                      <a:ext cx="6400800" cy="9144000"/>
                    </a:xfrm>
                    <a:prstGeom prst="rect">
                      <a:avLst/>
                    </a:prstGeom>
                    <a:ln w="12700" cap="flat">
                      <a:noFill/>
                      <a:miter lim="400000"/>
                    </a:ln>
                    <a:effectLst/>
                  </pic:spPr>
                </pic:pic>
              </a:graphicData>
            </a:graphic>
          </wp:anchor>
        </w:drawing>
      </w:r>
    </w:p>
    <w:p w14:paraId="31B717A8" w14:textId="77777777" w:rsidR="00270AC1" w:rsidRDefault="00270AC1">
      <w:pPr>
        <w:pStyle w:val="Footnote"/>
        <w:spacing w:line="288" w:lineRule="auto"/>
        <w:ind w:left="173" w:hanging="173"/>
        <w:jc w:val="right"/>
        <w:rPr>
          <w:rFonts w:ascii="Helvetica LT Std Roman" w:hAnsi="Helvetica LT Std Roman"/>
          <w:color w:val="535353"/>
          <w:spacing w:val="-1"/>
          <w:sz w:val="18"/>
          <w:szCs w:val="18"/>
          <w:u w:color="414141"/>
        </w:rPr>
      </w:pPr>
    </w:p>
    <w:p w14:paraId="65876385" w14:textId="0962E350" w:rsidR="001A105D" w:rsidRDefault="00270AC1">
      <w:pPr>
        <w:pStyle w:val="Footnote"/>
        <w:spacing w:line="288" w:lineRule="auto"/>
        <w:ind w:left="173" w:hanging="173"/>
        <w:jc w:val="right"/>
        <w:rPr>
          <w:rFonts w:ascii="Helvetica LT Std Roman" w:eastAsia="Helvetica LT Std Roman" w:hAnsi="Helvetica LT Std Roman" w:cs="Helvetica LT Std Roman"/>
          <w:color w:val="535353"/>
          <w:spacing w:val="-1"/>
          <w:sz w:val="18"/>
          <w:szCs w:val="18"/>
          <w:u w:color="404040"/>
        </w:rPr>
      </w:pPr>
      <w:r w:rsidRPr="00270AC1">
        <w:rPr>
          <w:rFonts w:ascii="Helvetica LT Std Bold" w:hAnsi="Helvetica LT Std Bold"/>
          <w:caps/>
          <w:color w:val="22527C"/>
        </w:rPr>
        <w:drawing>
          <wp:anchor distT="0" distB="0" distL="114300" distR="114300" simplePos="0" relativeHeight="251681792" behindDoc="0" locked="0" layoutInCell="1" allowOverlap="1" wp14:anchorId="12B271E9" wp14:editId="1F27126F">
            <wp:simplePos x="0" y="0"/>
            <wp:positionH relativeFrom="column">
              <wp:posOffset>3175</wp:posOffset>
            </wp:positionH>
            <wp:positionV relativeFrom="paragraph">
              <wp:posOffset>-473880</wp:posOffset>
            </wp:positionV>
            <wp:extent cx="4608830" cy="396875"/>
            <wp:effectExtent l="0" t="0" r="1270" b="0"/>
            <wp:wrapNone/>
            <wp:docPr id="91263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33785" name=""/>
                    <pic:cNvPicPr/>
                  </pic:nvPicPr>
                  <pic:blipFill>
                    <a:blip r:embed="rId8">
                      <a:extLst>
                        <a:ext uri="{28A0092B-C50C-407E-A947-70E740481C1C}">
                          <a14:useLocalDpi xmlns:a14="http://schemas.microsoft.com/office/drawing/2010/main" val="0"/>
                        </a:ext>
                      </a:extLst>
                    </a:blip>
                    <a:stretch>
                      <a:fillRect/>
                    </a:stretch>
                  </pic:blipFill>
                  <pic:spPr>
                    <a:xfrm>
                      <a:off x="0" y="0"/>
                      <a:ext cx="4608830" cy="396875"/>
                    </a:xfrm>
                    <a:prstGeom prst="rect">
                      <a:avLst/>
                    </a:prstGeom>
                  </pic:spPr>
                </pic:pic>
              </a:graphicData>
            </a:graphic>
            <wp14:sizeRelH relativeFrom="page">
              <wp14:pctWidth>0</wp14:pctWidth>
            </wp14:sizeRelH>
            <wp14:sizeRelV relativeFrom="page">
              <wp14:pctHeight>0</wp14:pctHeight>
            </wp14:sizeRelV>
          </wp:anchor>
        </w:drawing>
      </w:r>
      <w:r w:rsidR="00000000">
        <w:rPr>
          <w:rFonts w:ascii="Helvetica LT Std Roman" w:hAnsi="Helvetica LT Std Roman"/>
          <w:color w:val="535353"/>
          <w:spacing w:val="-1"/>
          <w:sz w:val="18"/>
          <w:szCs w:val="18"/>
          <w:u w:color="414141"/>
        </w:rPr>
        <w:t>OEA/</w:t>
      </w:r>
      <w:proofErr w:type="spellStart"/>
      <w:r w:rsidR="00000000">
        <w:rPr>
          <w:rFonts w:ascii="Helvetica LT Std Roman" w:hAnsi="Helvetica LT Std Roman"/>
          <w:color w:val="535353"/>
          <w:spacing w:val="-1"/>
          <w:sz w:val="18"/>
          <w:szCs w:val="18"/>
          <w:u w:color="414141"/>
        </w:rPr>
        <w:t>Ser.L</w:t>
      </w:r>
      <w:proofErr w:type="spellEnd"/>
      <w:r w:rsidR="00000000">
        <w:rPr>
          <w:rFonts w:ascii="Helvetica LT Std Roman" w:hAnsi="Helvetica LT Std Roman"/>
          <w:color w:val="535353"/>
          <w:spacing w:val="-1"/>
          <w:sz w:val="18"/>
          <w:szCs w:val="18"/>
          <w:u w:color="414141"/>
        </w:rPr>
        <w:t>/V/II</w:t>
      </w:r>
      <w:r w:rsidR="00000000">
        <w:rPr>
          <w:rFonts w:ascii="Helvetica LT Std Roman" w:hAnsi="Helvetica LT Std Roman"/>
          <w:color w:val="535353"/>
          <w:spacing w:val="-1"/>
          <w:sz w:val="18"/>
          <w:szCs w:val="18"/>
          <w:u w:color="404040"/>
        </w:rPr>
        <w:t xml:space="preserve"> </w:t>
      </w:r>
    </w:p>
    <w:p w14:paraId="1601DE67" w14:textId="77777777" w:rsidR="001A105D" w:rsidRDefault="00000000">
      <w:pPr>
        <w:pStyle w:val="Footnote"/>
        <w:spacing w:line="288" w:lineRule="auto"/>
        <w:ind w:left="357" w:hanging="357"/>
        <w:jc w:val="right"/>
        <w:rPr>
          <w:rFonts w:ascii="Helvetica LT Std Roman" w:eastAsia="Helvetica LT Std Roman" w:hAnsi="Helvetica LT Std Roman" w:cs="Helvetica LT Std Roman"/>
          <w:color w:val="535353"/>
          <w:spacing w:val="-1"/>
          <w:sz w:val="18"/>
          <w:szCs w:val="18"/>
          <w:u w:color="404040"/>
        </w:rPr>
      </w:pPr>
      <w:r>
        <w:rPr>
          <w:rFonts w:ascii="Helvetica LT Std Roman" w:hAnsi="Helvetica LT Std Roman"/>
          <w:color w:val="535353"/>
          <w:spacing w:val="-1"/>
          <w:sz w:val="18"/>
          <w:szCs w:val="18"/>
          <w:u w:color="404040"/>
          <w:lang w:val="de-DE"/>
        </w:rPr>
        <w:t>Doc</w:t>
      </w:r>
      <w:r>
        <w:rPr>
          <w:rFonts w:ascii="Helvetica LT Std Roman" w:hAnsi="Helvetica LT Std Roman"/>
          <w:color w:val="535353"/>
          <w:spacing w:val="-1"/>
          <w:sz w:val="18"/>
          <w:szCs w:val="18"/>
          <w:u w:color="414141"/>
        </w:rPr>
        <w:t>. 1/25</w:t>
      </w:r>
    </w:p>
    <w:p w14:paraId="60BDDD46" w14:textId="77777777" w:rsidR="001A105D" w:rsidRDefault="00000000">
      <w:pPr>
        <w:pStyle w:val="Footnote"/>
        <w:spacing w:line="288" w:lineRule="auto"/>
        <w:ind w:left="357" w:hanging="357"/>
        <w:jc w:val="right"/>
        <w:rPr>
          <w:rFonts w:ascii="Helvetica LT Std Roman" w:eastAsia="Helvetica LT Std Roman" w:hAnsi="Helvetica LT Std Roman" w:cs="Helvetica LT Std Roman"/>
          <w:color w:val="535353"/>
          <w:spacing w:val="-1"/>
          <w:sz w:val="18"/>
          <w:szCs w:val="18"/>
          <w:u w:color="404040"/>
        </w:rPr>
      </w:pPr>
      <w:r>
        <w:rPr>
          <w:rFonts w:ascii="Helvetica LT Std Roman" w:hAnsi="Helvetica LT Std Roman"/>
          <w:color w:val="535353"/>
          <w:spacing w:val="-1"/>
          <w:sz w:val="18"/>
          <w:szCs w:val="18"/>
          <w:u w:color="404040"/>
        </w:rPr>
        <w:t xml:space="preserve">31 de </w:t>
      </w:r>
      <w:proofErr w:type="spellStart"/>
      <w:r>
        <w:rPr>
          <w:rFonts w:ascii="Helvetica LT Std Roman" w:hAnsi="Helvetica LT Std Roman"/>
          <w:color w:val="535353"/>
          <w:spacing w:val="-1"/>
          <w:sz w:val="18"/>
          <w:szCs w:val="18"/>
          <w:u w:color="404040"/>
        </w:rPr>
        <w:t>enero</w:t>
      </w:r>
      <w:proofErr w:type="spellEnd"/>
      <w:r>
        <w:rPr>
          <w:rFonts w:ascii="Helvetica LT Std Roman" w:hAnsi="Helvetica LT Std Roman"/>
          <w:color w:val="535353"/>
          <w:spacing w:val="-1"/>
          <w:sz w:val="18"/>
          <w:szCs w:val="18"/>
          <w:u w:color="404040"/>
        </w:rPr>
        <w:t xml:space="preserve"> de 2025</w:t>
      </w:r>
    </w:p>
    <w:p w14:paraId="6EDEA7AF" w14:textId="77777777" w:rsidR="001A105D" w:rsidRDefault="00000000">
      <w:pPr>
        <w:pStyle w:val="Footnote"/>
        <w:spacing w:line="288" w:lineRule="auto"/>
        <w:ind w:left="357" w:hanging="357"/>
        <w:jc w:val="right"/>
        <w:rPr>
          <w:rFonts w:ascii="Helvetica LT Std Roman" w:eastAsia="Helvetica LT Std Roman" w:hAnsi="Helvetica LT Std Roman" w:cs="Helvetica LT Std Roman"/>
          <w:color w:val="535353"/>
          <w:spacing w:val="-1"/>
          <w:sz w:val="18"/>
          <w:szCs w:val="18"/>
          <w:u w:color="404040"/>
        </w:rPr>
      </w:pPr>
      <w:r>
        <w:rPr>
          <w:rFonts w:ascii="Helvetica LT Std Roman" w:hAnsi="Helvetica LT Std Roman"/>
          <w:color w:val="535353"/>
          <w:spacing w:val="-1"/>
          <w:sz w:val="18"/>
          <w:szCs w:val="18"/>
          <w:u w:color="404040"/>
        </w:rPr>
        <w:t xml:space="preserve">Original: </w:t>
      </w:r>
      <w:proofErr w:type="spellStart"/>
      <w:r>
        <w:rPr>
          <w:rFonts w:ascii="Helvetica LT Std Roman" w:hAnsi="Helvetica LT Std Roman"/>
          <w:color w:val="535353"/>
          <w:spacing w:val="-1"/>
          <w:sz w:val="18"/>
          <w:szCs w:val="18"/>
          <w:u w:color="404040"/>
        </w:rPr>
        <w:t>Español</w:t>
      </w:r>
      <w:proofErr w:type="spellEnd"/>
    </w:p>
    <w:p w14:paraId="6ED3DBEF" w14:textId="77777777" w:rsidR="001A105D" w:rsidRDefault="001A105D">
      <w:pPr>
        <w:pStyle w:val="Body"/>
        <w:spacing w:after="160" w:line="276" w:lineRule="auto"/>
      </w:pPr>
    </w:p>
    <w:p w14:paraId="50A9474D" w14:textId="77777777" w:rsidR="001A105D" w:rsidRDefault="001A105D">
      <w:pPr>
        <w:pStyle w:val="Body"/>
        <w:spacing w:after="160" w:line="276" w:lineRule="auto"/>
      </w:pPr>
    </w:p>
    <w:p w14:paraId="092128F9" w14:textId="77777777" w:rsidR="001A105D" w:rsidRDefault="001A105D">
      <w:pPr>
        <w:pStyle w:val="Body"/>
        <w:spacing w:after="160" w:line="276" w:lineRule="auto"/>
      </w:pPr>
    </w:p>
    <w:p w14:paraId="582D7D52" w14:textId="77777777" w:rsidR="001A105D" w:rsidRDefault="001A105D">
      <w:pPr>
        <w:pStyle w:val="Body"/>
        <w:spacing w:after="160" w:line="276" w:lineRule="auto"/>
      </w:pPr>
    </w:p>
    <w:p w14:paraId="642D9AB6" w14:textId="77777777" w:rsidR="001A105D" w:rsidRDefault="00000000">
      <w:pPr>
        <w:pStyle w:val="Body"/>
        <w:spacing w:after="160" w:line="288" w:lineRule="auto"/>
        <w:rPr>
          <w:color w:val="808080"/>
          <w:sz w:val="20"/>
          <w:szCs w:val="20"/>
        </w:rPr>
      </w:pPr>
      <w:r>
        <w:rPr>
          <w:rFonts w:ascii="Arial Unicode MS" w:eastAsia="Arial Unicode MS" w:hAnsi="Arial Unicode MS" w:cs="Arial Unicode MS"/>
          <w:color w:val="535353"/>
          <w:sz w:val="22"/>
          <w:szCs w:val="22"/>
          <w:lang w:val="en-US"/>
        </w:rPr>
        <w:t>Comisión</w:t>
      </w:r>
      <w:r>
        <w:rPr>
          <w:color w:val="535353"/>
          <w:sz w:val="22"/>
          <w:szCs w:val="22"/>
          <w:lang w:val="en-US"/>
        </w:rPr>
        <w:t xml:space="preserve"> </w:t>
      </w:r>
      <w:proofErr w:type="spellStart"/>
      <w:r>
        <w:rPr>
          <w:rFonts w:ascii="Arial Unicode MS" w:eastAsia="Arial Unicode MS" w:hAnsi="Arial Unicode MS" w:cs="Arial Unicode MS"/>
          <w:color w:val="535353"/>
          <w:sz w:val="22"/>
          <w:szCs w:val="22"/>
          <w:lang w:val="en-US"/>
        </w:rPr>
        <w:t>Interamericana</w:t>
      </w:r>
      <w:proofErr w:type="spellEnd"/>
      <w:r>
        <w:rPr>
          <w:color w:val="535353"/>
          <w:sz w:val="22"/>
          <w:szCs w:val="22"/>
          <w:lang w:val="en-US"/>
        </w:rPr>
        <w:t xml:space="preserve"> </w:t>
      </w:r>
      <w:r>
        <w:rPr>
          <w:rFonts w:ascii="Arial Unicode MS" w:eastAsia="Arial Unicode MS" w:hAnsi="Arial Unicode MS" w:cs="Arial Unicode MS"/>
          <w:color w:val="535353"/>
          <w:sz w:val="22"/>
          <w:szCs w:val="22"/>
          <w:lang w:val="en-US"/>
        </w:rPr>
        <w:t>de</w:t>
      </w:r>
      <w:r>
        <w:rPr>
          <w:color w:val="535353"/>
          <w:sz w:val="22"/>
          <w:szCs w:val="22"/>
          <w:lang w:val="en-US"/>
        </w:rPr>
        <w:t xml:space="preserve"> </w:t>
      </w:r>
      <w:r>
        <w:rPr>
          <w:rFonts w:ascii="Arial Unicode MS" w:eastAsia="Arial Unicode MS" w:hAnsi="Arial Unicode MS" w:cs="Arial Unicode MS"/>
          <w:color w:val="535353"/>
          <w:sz w:val="22"/>
          <w:szCs w:val="22"/>
          <w:lang w:val="en-US"/>
        </w:rPr>
        <w:t>Derechos</w:t>
      </w:r>
      <w:r>
        <w:rPr>
          <w:color w:val="535353"/>
          <w:sz w:val="22"/>
          <w:szCs w:val="22"/>
          <w:lang w:val="en-US"/>
        </w:rPr>
        <w:t xml:space="preserve"> </w:t>
      </w:r>
      <w:r>
        <w:rPr>
          <w:rFonts w:ascii="Arial Unicode MS" w:eastAsia="Arial Unicode MS" w:hAnsi="Arial Unicode MS" w:cs="Arial Unicode MS"/>
          <w:color w:val="535353"/>
          <w:sz w:val="22"/>
          <w:szCs w:val="22"/>
          <w:lang w:val="en-US"/>
        </w:rPr>
        <w:t>Humanos</w:t>
      </w:r>
    </w:p>
    <w:p w14:paraId="449535D9" w14:textId="77777777" w:rsidR="001A105D" w:rsidRDefault="00000000">
      <w:pPr>
        <w:pStyle w:val="Body"/>
        <w:spacing w:after="160" w:line="288" w:lineRule="auto"/>
        <w:jc w:val="left"/>
        <w:rPr>
          <w:rFonts w:ascii="Helvetica LT Std Roman" w:eastAsia="Helvetica LT Std Roman" w:hAnsi="Helvetica LT Std Roman" w:cs="Helvetica LT Std Roman"/>
          <w:sz w:val="42"/>
          <w:szCs w:val="42"/>
        </w:rPr>
      </w:pPr>
      <w:r>
        <w:rPr>
          <w:rFonts w:ascii="Helvetica LT Std Roman" w:hAnsi="Helvetica LT Std Roman"/>
          <w:sz w:val="42"/>
          <w:szCs w:val="42"/>
          <w:lang w:val="en-US"/>
        </w:rPr>
        <w:t xml:space="preserve">Informe </w:t>
      </w:r>
      <w:proofErr w:type="spellStart"/>
      <w:r>
        <w:rPr>
          <w:rFonts w:ascii="Helvetica LT Std Bold" w:hAnsi="Helvetica LT Std Bold"/>
          <w:sz w:val="42"/>
          <w:szCs w:val="42"/>
          <w:lang w:val="en-US"/>
        </w:rPr>
        <w:t>Situación</w:t>
      </w:r>
      <w:proofErr w:type="spellEnd"/>
      <w:r>
        <w:rPr>
          <w:rFonts w:ascii="Helvetica LT Std Bold" w:hAnsi="Helvetica LT Std Bold"/>
          <w:sz w:val="42"/>
          <w:szCs w:val="42"/>
          <w:lang w:val="en-US"/>
        </w:rPr>
        <w:t xml:space="preserve"> de </w:t>
      </w:r>
      <w:proofErr w:type="spellStart"/>
      <w:r>
        <w:rPr>
          <w:rFonts w:ascii="Helvetica LT Std Bold" w:hAnsi="Helvetica LT Std Bold"/>
          <w:sz w:val="42"/>
          <w:szCs w:val="42"/>
          <w:lang w:val="en-US"/>
        </w:rPr>
        <w:t>los</w:t>
      </w:r>
      <w:proofErr w:type="spellEnd"/>
      <w:r>
        <w:rPr>
          <w:rFonts w:ascii="Helvetica LT Std Bold" w:hAnsi="Helvetica LT Std Bold"/>
          <w:sz w:val="42"/>
          <w:szCs w:val="42"/>
          <w:lang w:val="en-US"/>
        </w:rPr>
        <w:t xml:space="preserve"> derechos </w:t>
      </w:r>
      <w:proofErr w:type="spellStart"/>
      <w:r>
        <w:rPr>
          <w:rFonts w:ascii="Helvetica LT Std Bold" w:hAnsi="Helvetica LT Std Bold"/>
          <w:sz w:val="42"/>
          <w:szCs w:val="42"/>
          <w:lang w:val="en-US"/>
        </w:rPr>
        <w:t>humanos</w:t>
      </w:r>
      <w:proofErr w:type="spellEnd"/>
      <w:r>
        <w:rPr>
          <w:rFonts w:ascii="Helvetica LT Std Bold" w:hAnsi="Helvetica LT Std Bold"/>
          <w:sz w:val="42"/>
          <w:szCs w:val="42"/>
          <w:lang w:val="en-US"/>
        </w:rPr>
        <w:t xml:space="preserve"> de las personas con </w:t>
      </w:r>
      <w:proofErr w:type="spellStart"/>
      <w:r>
        <w:rPr>
          <w:rFonts w:ascii="Helvetica LT Std Bold" w:hAnsi="Helvetica LT Std Bold"/>
          <w:sz w:val="42"/>
          <w:szCs w:val="42"/>
          <w:lang w:val="en-US"/>
        </w:rPr>
        <w:t>discapacidad</w:t>
      </w:r>
      <w:proofErr w:type="spellEnd"/>
      <w:r>
        <w:rPr>
          <w:rFonts w:ascii="Helvetica LT Std Bold" w:hAnsi="Helvetica LT Std Bold"/>
          <w:sz w:val="42"/>
          <w:szCs w:val="42"/>
          <w:lang w:val="en-US"/>
        </w:rPr>
        <w:t xml:space="preserve"> </w:t>
      </w:r>
      <w:proofErr w:type="spellStart"/>
      <w:r>
        <w:rPr>
          <w:rFonts w:ascii="Helvetica LT Std Bold" w:hAnsi="Helvetica LT Std Bold"/>
          <w:sz w:val="42"/>
          <w:szCs w:val="42"/>
          <w:lang w:val="en-US"/>
        </w:rPr>
        <w:t>en</w:t>
      </w:r>
      <w:proofErr w:type="spellEnd"/>
      <w:r>
        <w:rPr>
          <w:rFonts w:ascii="Helvetica LT Std Bold" w:hAnsi="Helvetica LT Std Bold"/>
          <w:sz w:val="42"/>
          <w:szCs w:val="42"/>
          <w:lang w:val="en-US"/>
        </w:rPr>
        <w:t xml:space="preserve"> las </w:t>
      </w:r>
      <w:proofErr w:type="spellStart"/>
      <w:r>
        <w:rPr>
          <w:rFonts w:ascii="Helvetica LT Std Bold" w:hAnsi="Helvetica LT Std Bold"/>
          <w:sz w:val="42"/>
          <w:szCs w:val="42"/>
          <w:lang w:val="en-US"/>
        </w:rPr>
        <w:t>Américas</w:t>
      </w:r>
      <w:proofErr w:type="spellEnd"/>
    </w:p>
    <w:p w14:paraId="2B3F97BB" w14:textId="77777777" w:rsidR="001A105D" w:rsidRDefault="001A105D">
      <w:pPr>
        <w:pStyle w:val="Body"/>
        <w:widowControl w:val="0"/>
        <w:spacing w:before="320"/>
        <w:rPr>
          <w:rFonts w:ascii="Helvetica LT Std Roman" w:eastAsia="Helvetica LT Std Roman" w:hAnsi="Helvetica LT Std Roman" w:cs="Helvetica LT Std Roman"/>
          <w:color w:val="535353"/>
          <w:sz w:val="22"/>
          <w:szCs w:val="22"/>
        </w:rPr>
      </w:pPr>
    </w:p>
    <w:p w14:paraId="41ACA8DD" w14:textId="77777777" w:rsidR="001A105D" w:rsidRDefault="00000000">
      <w:pPr>
        <w:pStyle w:val="Body"/>
        <w:widowControl w:val="0"/>
        <w:spacing w:before="320"/>
        <w:rPr>
          <w:rFonts w:ascii="Helvetica LT Std Roman" w:eastAsia="Helvetica LT Std Roman" w:hAnsi="Helvetica LT Std Roman" w:cs="Helvetica LT Std Roman"/>
          <w:color w:val="535353"/>
          <w:sz w:val="36"/>
          <w:szCs w:val="36"/>
        </w:rPr>
      </w:pPr>
      <w:r>
        <w:rPr>
          <w:rFonts w:ascii="Helvetica LT Std Roman" w:hAnsi="Helvetica LT Std Roman"/>
          <w:color w:val="535353"/>
          <w:sz w:val="36"/>
          <w:szCs w:val="36"/>
        </w:rPr>
        <w:t>202</w:t>
      </w:r>
      <w:r>
        <w:rPr>
          <w:rFonts w:ascii="Helvetica LT Std Roman" w:hAnsi="Helvetica LT Std Roman"/>
          <w:color w:val="535353"/>
          <w:sz w:val="36"/>
          <w:szCs w:val="36"/>
          <w:lang w:val="en-US"/>
        </w:rPr>
        <w:t>5</w:t>
      </w:r>
    </w:p>
    <w:p w14:paraId="17D70E83" w14:textId="77777777" w:rsidR="001A105D" w:rsidRDefault="001A105D">
      <w:pPr>
        <w:pStyle w:val="Body"/>
        <w:widowControl w:val="0"/>
        <w:spacing w:before="320"/>
        <w:rPr>
          <w:rFonts w:ascii="Helvetica LT Std Roman" w:eastAsia="Helvetica LT Std Roman" w:hAnsi="Helvetica LT Std Roman" w:cs="Helvetica LT Std Roman"/>
          <w:color w:val="535353"/>
          <w:sz w:val="36"/>
          <w:szCs w:val="36"/>
        </w:rPr>
      </w:pPr>
    </w:p>
    <w:p w14:paraId="30548478" w14:textId="77777777" w:rsidR="001A105D" w:rsidRDefault="001A105D">
      <w:pPr>
        <w:pStyle w:val="Body"/>
        <w:widowControl w:val="0"/>
        <w:spacing w:before="320"/>
        <w:rPr>
          <w:rFonts w:ascii="Helvetica LT Std Roman" w:eastAsia="Helvetica LT Std Roman" w:hAnsi="Helvetica LT Std Roman" w:cs="Helvetica LT Std Roman"/>
          <w:color w:val="535353"/>
          <w:sz w:val="36"/>
          <w:szCs w:val="36"/>
        </w:rPr>
      </w:pPr>
    </w:p>
    <w:p w14:paraId="356AB102" w14:textId="77777777" w:rsidR="001A105D" w:rsidRDefault="001A105D">
      <w:pPr>
        <w:pStyle w:val="Body"/>
        <w:widowControl w:val="0"/>
        <w:spacing w:before="320"/>
        <w:rPr>
          <w:rFonts w:ascii="Helvetica LT Std Roman" w:eastAsia="Helvetica LT Std Roman" w:hAnsi="Helvetica LT Std Roman" w:cs="Helvetica LT Std Roman"/>
          <w:color w:val="535353"/>
          <w:sz w:val="36"/>
          <w:szCs w:val="36"/>
        </w:rPr>
      </w:pPr>
    </w:p>
    <w:p w14:paraId="59156328" w14:textId="77777777" w:rsidR="001A105D" w:rsidRDefault="001A105D">
      <w:pPr>
        <w:pStyle w:val="Body"/>
        <w:widowControl w:val="0"/>
        <w:spacing w:before="320"/>
        <w:rPr>
          <w:rFonts w:ascii="Helvetica LT Std Roman" w:eastAsia="Helvetica LT Std Roman" w:hAnsi="Helvetica LT Std Roman" w:cs="Helvetica LT Std Roman"/>
          <w:color w:val="535353"/>
          <w:sz w:val="36"/>
          <w:szCs w:val="36"/>
        </w:rPr>
      </w:pPr>
    </w:p>
    <w:p w14:paraId="2489CFAC" w14:textId="77777777" w:rsidR="001A105D" w:rsidRDefault="00000000">
      <w:pPr>
        <w:pStyle w:val="Body"/>
        <w:widowControl w:val="0"/>
        <w:spacing w:before="320"/>
      </w:pPr>
      <w:r>
        <w:rPr>
          <w:rFonts w:ascii="Helvetica LT Std Roman" w:hAnsi="Helvetica LT Std Roman"/>
          <w:color w:val="535353"/>
          <w:sz w:val="24"/>
          <w:szCs w:val="24"/>
          <w:lang w:val="en-US"/>
        </w:rPr>
        <w:t>www.</w:t>
      </w:r>
      <w:r>
        <w:rPr>
          <w:rFonts w:ascii="Helvetica LT Std Roman" w:hAnsi="Helvetica LT Std Roman"/>
          <w:color w:val="535353"/>
          <w:sz w:val="24"/>
          <w:szCs w:val="24"/>
          <w:u w:color="0000FF"/>
        </w:rPr>
        <w:t>cidh.org</w:t>
      </w:r>
      <w:r>
        <w:rPr>
          <w:rFonts w:ascii="Arial Unicode MS" w:eastAsia="Arial Unicode MS" w:hAnsi="Arial Unicode MS" w:cs="Arial Unicode MS"/>
          <w:color w:val="0563C1"/>
          <w:sz w:val="20"/>
          <w:szCs w:val="20"/>
          <w:u w:val="single" w:color="0563C1"/>
        </w:rPr>
        <w:br w:type="page"/>
      </w:r>
    </w:p>
    <w:p w14:paraId="55F0C0AA" w14:textId="77777777" w:rsidR="001A105D" w:rsidRDefault="00000000">
      <w:pPr>
        <w:pStyle w:val="Footnote"/>
        <w:ind w:left="173" w:hanging="173"/>
        <w:jc w:val="both"/>
        <w:rPr>
          <w:rFonts w:ascii="Helvetica LT Std Bold" w:eastAsia="Helvetica LT Std Bold" w:hAnsi="Helvetica LT Std Bold" w:cs="Helvetica LT Std Bold"/>
          <w:color w:val="22527C"/>
          <w:u w:color="404040"/>
        </w:rPr>
      </w:pPr>
      <w:r>
        <w:rPr>
          <w:rFonts w:ascii="Helvetica LT Std Bold" w:hAnsi="Helvetica LT Std Bold"/>
          <w:color w:val="22527C"/>
          <w:u w:color="FF5642"/>
        </w:rPr>
        <w:lastRenderedPageBreak/>
        <w:t>COMISIÓN INTERAMERICANA DE DERECHOS HUMANOS</w:t>
      </w:r>
    </w:p>
    <w:p w14:paraId="101C2908" w14:textId="77777777" w:rsidR="001A105D" w:rsidRDefault="001A105D">
      <w:pPr>
        <w:pStyle w:val="Footnote"/>
        <w:ind w:left="173" w:hanging="173"/>
        <w:jc w:val="both"/>
        <w:rPr>
          <w:rFonts w:ascii="Helvetica LT Std Bold" w:eastAsia="Helvetica LT Std Bold" w:hAnsi="Helvetica LT Std Bold" w:cs="Helvetica LT Std Bold"/>
          <w:color w:val="25225D"/>
          <w:spacing w:val="-1"/>
          <w:sz w:val="18"/>
          <w:szCs w:val="18"/>
          <w:u w:color="600008"/>
        </w:rPr>
      </w:pPr>
    </w:p>
    <w:p w14:paraId="235EC145" w14:textId="77777777" w:rsidR="001A105D" w:rsidRDefault="00000000">
      <w:pPr>
        <w:pStyle w:val="Footnote"/>
        <w:spacing w:line="216" w:lineRule="auto"/>
        <w:jc w:val="both"/>
        <w:rPr>
          <w:rFonts w:ascii="Helvetica LT Std Bold" w:eastAsia="Helvetica LT Std Bold" w:hAnsi="Helvetica LT Std Bold" w:cs="Helvetica LT Std Bold"/>
          <w:color w:val="718E4E"/>
          <w:spacing w:val="-1"/>
          <w:sz w:val="18"/>
          <w:szCs w:val="18"/>
          <w:u w:color="FF5642"/>
        </w:rPr>
      </w:pPr>
      <w:proofErr w:type="spellStart"/>
      <w:r>
        <w:rPr>
          <w:rFonts w:ascii="Helvetica LT Std Bold" w:hAnsi="Helvetica LT Std Bold"/>
          <w:color w:val="718E4E"/>
          <w:spacing w:val="-1"/>
          <w:sz w:val="18"/>
          <w:szCs w:val="18"/>
          <w:u w:color="FF5642"/>
        </w:rPr>
        <w:t>Miembros</w:t>
      </w:r>
      <w:proofErr w:type="spellEnd"/>
    </w:p>
    <w:p w14:paraId="052931BC"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lang w:val="pt-PT"/>
        </w:rPr>
        <w:t>Roberta</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rPr>
        <w:t>Clarke</w:t>
      </w:r>
    </w:p>
    <w:p w14:paraId="1865BF95"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lang w:val="es-ES_tradnl"/>
        </w:rPr>
        <w:t>Carlos</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pt-PT"/>
        </w:rPr>
        <w:t>Bernal</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es-ES_tradnl"/>
        </w:rPr>
        <w:t>Pulido</w:t>
      </w:r>
    </w:p>
    <w:p w14:paraId="12737925"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rPr>
        <w:t>Jos</w:t>
      </w:r>
      <w:r>
        <w:rPr>
          <w:rFonts w:ascii="Arial Unicode MS" w:eastAsia="Arial Unicode MS" w:hAnsi="Arial Unicode MS" w:cs="Arial Unicode MS"/>
          <w:color w:val="535353"/>
          <w:spacing w:val="-1"/>
          <w:sz w:val="18"/>
          <w:szCs w:val="18"/>
          <w:u w:color="000000"/>
          <w:lang w:val="fr-FR"/>
        </w:rPr>
        <w:t>é</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es-ES_tradnl"/>
        </w:rPr>
        <w:t>Luis</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es-ES_tradnl"/>
        </w:rPr>
        <w:t>Caballero</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rPr>
        <w:t>Ochoa</w:t>
      </w:r>
    </w:p>
    <w:p w14:paraId="72FB34E3"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rPr>
        <w:t>Edgar</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es-ES_tradnl"/>
        </w:rPr>
        <w:t>Stuardo</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rPr>
        <w:t>Ral</w:t>
      </w:r>
      <w:proofErr w:type="spellStart"/>
      <w:r>
        <w:rPr>
          <w:rFonts w:ascii="Arial Unicode MS" w:eastAsia="Arial Unicode MS" w:hAnsi="Arial Unicode MS" w:cs="Arial Unicode MS"/>
          <w:color w:val="535353"/>
          <w:spacing w:val="-1"/>
          <w:sz w:val="18"/>
          <w:szCs w:val="18"/>
          <w:u w:color="000000"/>
          <w:lang w:val="es-ES_tradnl"/>
        </w:rPr>
        <w:t>ó</w:t>
      </w:r>
      <w:proofErr w:type="spellEnd"/>
      <w:r>
        <w:rPr>
          <w:rFonts w:ascii="Arial Unicode MS" w:eastAsia="Arial Unicode MS" w:hAnsi="Arial Unicode MS" w:cs="Arial Unicode MS"/>
          <w:color w:val="535353"/>
          <w:spacing w:val="-1"/>
          <w:sz w:val="18"/>
          <w:szCs w:val="18"/>
          <w:u w:color="000000"/>
        </w:rPr>
        <w:t>n</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it-IT"/>
        </w:rPr>
        <w:t>Orellana</w:t>
      </w:r>
    </w:p>
    <w:p w14:paraId="2A28EE5D"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rPr>
        <w:t>Arif</w:t>
      </w:r>
      <w:r>
        <w:rPr>
          <w:color w:val="535353"/>
          <w:spacing w:val="-1"/>
          <w:sz w:val="18"/>
          <w:szCs w:val="18"/>
          <w:u w:color="000000"/>
        </w:rPr>
        <w:t xml:space="preserve"> </w:t>
      </w:r>
      <w:proofErr w:type="spellStart"/>
      <w:r>
        <w:rPr>
          <w:rFonts w:ascii="Arial Unicode MS" w:eastAsia="Arial Unicode MS" w:hAnsi="Arial Unicode MS" w:cs="Arial Unicode MS"/>
          <w:color w:val="535353"/>
          <w:spacing w:val="-1"/>
          <w:sz w:val="18"/>
          <w:szCs w:val="18"/>
          <w:u w:color="000000"/>
        </w:rPr>
        <w:t>Bulkan</w:t>
      </w:r>
      <w:proofErr w:type="spellEnd"/>
    </w:p>
    <w:p w14:paraId="7F4D3009"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lang w:val="it-IT"/>
        </w:rPr>
        <w:t>Andrea</w:t>
      </w:r>
      <w:r>
        <w:rPr>
          <w:color w:val="535353"/>
          <w:spacing w:val="-1"/>
          <w:sz w:val="18"/>
          <w:szCs w:val="18"/>
          <w:u w:color="000000"/>
        </w:rPr>
        <w:t xml:space="preserve"> </w:t>
      </w:r>
      <w:proofErr w:type="spellStart"/>
      <w:r>
        <w:rPr>
          <w:rFonts w:ascii="Arial Unicode MS" w:eastAsia="Arial Unicode MS" w:hAnsi="Arial Unicode MS" w:cs="Arial Unicode MS"/>
          <w:color w:val="535353"/>
          <w:spacing w:val="-1"/>
          <w:sz w:val="18"/>
          <w:szCs w:val="18"/>
          <w:u w:color="000000"/>
          <w:lang w:val="nl-NL"/>
        </w:rPr>
        <w:t>Pochak</w:t>
      </w:r>
      <w:proofErr w:type="spellEnd"/>
    </w:p>
    <w:p w14:paraId="4F38C9B2"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rPr>
        <w:t>Gloria</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fr-FR"/>
        </w:rPr>
        <w:t>Monique</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rPr>
        <w:t>de</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nl-NL"/>
        </w:rPr>
        <w:t>Mees</w:t>
      </w:r>
    </w:p>
    <w:p w14:paraId="509E9864" w14:textId="77777777" w:rsidR="001A105D" w:rsidRDefault="00000000">
      <w:pPr>
        <w:pStyle w:val="Footnote"/>
        <w:spacing w:line="216" w:lineRule="auto"/>
        <w:jc w:val="both"/>
        <w:rPr>
          <w:color w:val="718E4E"/>
          <w:spacing w:val="-1"/>
          <w:sz w:val="18"/>
          <w:szCs w:val="18"/>
          <w:u w:color="000000"/>
        </w:rPr>
      </w:pPr>
      <w:r>
        <w:rPr>
          <w:color w:val="28A7DF"/>
          <w:spacing w:val="-1"/>
          <w:sz w:val="18"/>
          <w:szCs w:val="18"/>
          <w:u w:color="000000"/>
        </w:rPr>
        <w:t> </w:t>
      </w:r>
    </w:p>
    <w:p w14:paraId="6F490F4A" w14:textId="77777777" w:rsidR="001A105D" w:rsidRDefault="00000000">
      <w:pPr>
        <w:pStyle w:val="Footnote"/>
        <w:spacing w:line="216" w:lineRule="auto"/>
        <w:jc w:val="both"/>
        <w:rPr>
          <w:rFonts w:ascii="Helvetica LT Std Bold" w:eastAsia="Helvetica LT Std Bold" w:hAnsi="Helvetica LT Std Bold" w:cs="Helvetica LT Std Bold"/>
          <w:color w:val="718E4E"/>
          <w:spacing w:val="-1"/>
          <w:sz w:val="18"/>
          <w:szCs w:val="18"/>
          <w:u w:color="FF5642"/>
        </w:rPr>
      </w:pPr>
      <w:r>
        <w:rPr>
          <w:rFonts w:ascii="Helvetica LT Std Bold" w:hAnsi="Helvetica LT Std Bold"/>
          <w:color w:val="718E4E"/>
          <w:spacing w:val="-1"/>
          <w:sz w:val="18"/>
          <w:szCs w:val="18"/>
          <w:u w:color="FF5642"/>
          <w:lang w:val="es-ES_tradnl"/>
        </w:rPr>
        <w:t>Secretaria Ejecutiva</w:t>
      </w:r>
    </w:p>
    <w:p w14:paraId="60DC775A" w14:textId="77777777" w:rsidR="001A105D" w:rsidRDefault="00000000">
      <w:pPr>
        <w:pStyle w:val="Footnote"/>
        <w:spacing w:line="216" w:lineRule="auto"/>
        <w:jc w:val="both"/>
        <w:rPr>
          <w:color w:val="535353"/>
          <w:spacing w:val="-1"/>
          <w:sz w:val="18"/>
          <w:szCs w:val="18"/>
          <w:u w:color="414141"/>
        </w:rPr>
      </w:pPr>
      <w:r>
        <w:rPr>
          <w:rFonts w:ascii="Arial Unicode MS" w:eastAsia="Arial Unicode MS" w:hAnsi="Arial Unicode MS" w:cs="Arial Unicode MS"/>
          <w:color w:val="535353"/>
          <w:spacing w:val="-1"/>
          <w:sz w:val="18"/>
          <w:szCs w:val="18"/>
          <w:u w:color="414141"/>
        </w:rPr>
        <w:t>Tania</w:t>
      </w:r>
      <w:r>
        <w:rPr>
          <w:color w:val="535353"/>
          <w:spacing w:val="-1"/>
          <w:sz w:val="18"/>
          <w:szCs w:val="18"/>
          <w:u w:color="414141"/>
        </w:rPr>
        <w:t xml:space="preserve"> </w:t>
      </w:r>
      <w:proofErr w:type="spellStart"/>
      <w:r>
        <w:rPr>
          <w:rFonts w:ascii="Arial Unicode MS" w:eastAsia="Arial Unicode MS" w:hAnsi="Arial Unicode MS" w:cs="Arial Unicode MS"/>
          <w:color w:val="535353"/>
          <w:spacing w:val="-1"/>
          <w:sz w:val="18"/>
          <w:szCs w:val="18"/>
          <w:u w:color="414141"/>
        </w:rPr>
        <w:t>Reneaum</w:t>
      </w:r>
      <w:proofErr w:type="spellEnd"/>
      <w:r>
        <w:rPr>
          <w:color w:val="535353"/>
          <w:spacing w:val="-1"/>
          <w:sz w:val="18"/>
          <w:szCs w:val="18"/>
          <w:u w:color="414141"/>
        </w:rPr>
        <w:t xml:space="preserve"> </w:t>
      </w:r>
      <w:proofErr w:type="spellStart"/>
      <w:r>
        <w:rPr>
          <w:rFonts w:ascii="Arial Unicode MS" w:eastAsia="Arial Unicode MS" w:hAnsi="Arial Unicode MS" w:cs="Arial Unicode MS"/>
          <w:color w:val="535353"/>
          <w:spacing w:val="-1"/>
          <w:sz w:val="18"/>
          <w:szCs w:val="18"/>
          <w:u w:color="414141"/>
        </w:rPr>
        <w:t>Panszi</w:t>
      </w:r>
      <w:proofErr w:type="spellEnd"/>
    </w:p>
    <w:p w14:paraId="04DBA013" w14:textId="77777777" w:rsidR="001A105D" w:rsidRDefault="001A105D">
      <w:pPr>
        <w:pStyle w:val="Footnote"/>
        <w:spacing w:line="216" w:lineRule="auto"/>
        <w:jc w:val="both"/>
        <w:rPr>
          <w:color w:val="28A7DF"/>
          <w:spacing w:val="-1"/>
          <w:sz w:val="18"/>
          <w:szCs w:val="18"/>
          <w:u w:color="000000"/>
        </w:rPr>
      </w:pPr>
    </w:p>
    <w:p w14:paraId="7898AD59" w14:textId="77777777" w:rsidR="001A105D" w:rsidRDefault="00000000">
      <w:pPr>
        <w:pStyle w:val="Footnote"/>
        <w:spacing w:line="216" w:lineRule="auto"/>
        <w:jc w:val="both"/>
        <w:rPr>
          <w:rFonts w:ascii="Helvetica LT Std Bold" w:eastAsia="Helvetica LT Std Bold" w:hAnsi="Helvetica LT Std Bold" w:cs="Helvetica LT Std Bold"/>
          <w:color w:val="718E4E"/>
          <w:spacing w:val="-1"/>
          <w:sz w:val="18"/>
          <w:szCs w:val="18"/>
          <w:u w:color="FF5642"/>
        </w:rPr>
      </w:pPr>
      <w:proofErr w:type="spellStart"/>
      <w:r>
        <w:rPr>
          <w:rFonts w:ascii="Helvetica LT Std Bold" w:hAnsi="Helvetica LT Std Bold"/>
          <w:color w:val="718E4E"/>
          <w:spacing w:val="-1"/>
          <w:sz w:val="18"/>
          <w:szCs w:val="18"/>
          <w:u w:color="FF5642"/>
          <w:lang w:val="pt-PT"/>
        </w:rPr>
        <w:t>Jefa</w:t>
      </w:r>
      <w:proofErr w:type="spellEnd"/>
      <w:r>
        <w:rPr>
          <w:rFonts w:ascii="Helvetica LT Std Bold" w:hAnsi="Helvetica LT Std Bold"/>
          <w:color w:val="718E4E"/>
          <w:spacing w:val="-1"/>
          <w:sz w:val="18"/>
          <w:szCs w:val="18"/>
          <w:u w:color="FF5642"/>
          <w:lang w:val="pt-PT"/>
        </w:rPr>
        <w:t xml:space="preserve"> de Gabinete</w:t>
      </w:r>
    </w:p>
    <w:p w14:paraId="143F353B" w14:textId="77777777" w:rsidR="001A105D" w:rsidRDefault="00000000">
      <w:pPr>
        <w:pStyle w:val="Footnote"/>
        <w:spacing w:line="216" w:lineRule="auto"/>
        <w:jc w:val="both"/>
        <w:rPr>
          <w:color w:val="535353"/>
          <w:spacing w:val="-1"/>
          <w:sz w:val="18"/>
          <w:szCs w:val="18"/>
          <w:u w:color="414141"/>
        </w:rPr>
      </w:pPr>
      <w:r>
        <w:rPr>
          <w:rFonts w:ascii="Arial Unicode MS" w:eastAsia="Arial Unicode MS" w:hAnsi="Arial Unicode MS" w:cs="Arial Unicode MS"/>
          <w:color w:val="535353"/>
          <w:spacing w:val="-1"/>
          <w:sz w:val="18"/>
          <w:szCs w:val="18"/>
          <w:u w:color="414141"/>
        </w:rPr>
        <w:t>Patricia</w:t>
      </w:r>
      <w:r>
        <w:rPr>
          <w:color w:val="535353"/>
          <w:spacing w:val="-1"/>
          <w:sz w:val="18"/>
          <w:szCs w:val="18"/>
          <w:u w:color="414141"/>
        </w:rPr>
        <w:t xml:space="preserve"> </w:t>
      </w:r>
      <w:proofErr w:type="spellStart"/>
      <w:r>
        <w:rPr>
          <w:rFonts w:ascii="Arial Unicode MS" w:eastAsia="Arial Unicode MS" w:hAnsi="Arial Unicode MS" w:cs="Arial Unicode MS"/>
          <w:color w:val="535353"/>
          <w:spacing w:val="-1"/>
          <w:sz w:val="18"/>
          <w:szCs w:val="18"/>
          <w:u w:color="414141"/>
          <w:lang w:val="de-DE"/>
        </w:rPr>
        <w:t>Colchero</w:t>
      </w:r>
      <w:proofErr w:type="spellEnd"/>
      <w:r>
        <w:rPr>
          <w:color w:val="535353"/>
          <w:spacing w:val="-1"/>
          <w:sz w:val="18"/>
          <w:szCs w:val="18"/>
          <w:u w:color="414141"/>
        </w:rPr>
        <w:t xml:space="preserve"> </w:t>
      </w:r>
      <w:proofErr w:type="spellStart"/>
      <w:r>
        <w:rPr>
          <w:rFonts w:ascii="Arial Unicode MS" w:eastAsia="Arial Unicode MS" w:hAnsi="Arial Unicode MS" w:cs="Arial Unicode MS"/>
          <w:color w:val="535353"/>
          <w:spacing w:val="-1"/>
          <w:sz w:val="18"/>
          <w:szCs w:val="18"/>
          <w:u w:color="414141"/>
        </w:rPr>
        <w:t>Aragonés</w:t>
      </w:r>
      <w:proofErr w:type="spellEnd"/>
    </w:p>
    <w:p w14:paraId="57E9E2B0" w14:textId="77777777" w:rsidR="001A105D" w:rsidRDefault="001A105D">
      <w:pPr>
        <w:pStyle w:val="Footnote"/>
        <w:spacing w:line="216" w:lineRule="auto"/>
        <w:jc w:val="both"/>
        <w:rPr>
          <w:color w:val="535353"/>
          <w:spacing w:val="-1"/>
          <w:sz w:val="18"/>
          <w:szCs w:val="18"/>
          <w:u w:color="000000"/>
        </w:rPr>
      </w:pPr>
    </w:p>
    <w:p w14:paraId="42AA5400" w14:textId="77777777" w:rsidR="001A105D" w:rsidRDefault="00000000">
      <w:pPr>
        <w:pStyle w:val="Footnote"/>
        <w:spacing w:line="216" w:lineRule="auto"/>
        <w:jc w:val="both"/>
        <w:rPr>
          <w:rFonts w:ascii="Helvetica LT Std Bold" w:eastAsia="Helvetica LT Std Bold" w:hAnsi="Helvetica LT Std Bold" w:cs="Helvetica LT Std Bold"/>
          <w:color w:val="718E4E"/>
          <w:spacing w:val="-1"/>
          <w:sz w:val="18"/>
          <w:szCs w:val="18"/>
          <w:u w:color="FF5642"/>
        </w:rPr>
      </w:pPr>
      <w:r>
        <w:rPr>
          <w:rFonts w:ascii="Helvetica LT Std Bold" w:hAnsi="Helvetica LT Std Bold"/>
          <w:color w:val="718E4E"/>
          <w:spacing w:val="-1"/>
          <w:sz w:val="18"/>
          <w:szCs w:val="18"/>
          <w:u w:color="FF5642"/>
          <w:lang w:val="es-ES_tradnl"/>
        </w:rPr>
        <w:t xml:space="preserve">Secretaria Ejecutiva Adjunta para el Monitoreo, </w:t>
      </w:r>
      <w:proofErr w:type="spellStart"/>
      <w:r>
        <w:rPr>
          <w:rFonts w:ascii="Helvetica LT Std Bold" w:hAnsi="Helvetica LT Std Bold"/>
          <w:color w:val="718E4E"/>
          <w:spacing w:val="-1"/>
          <w:sz w:val="18"/>
          <w:szCs w:val="18"/>
          <w:u w:color="FF5642"/>
          <w:lang w:val="es-ES_tradnl"/>
        </w:rPr>
        <w:t>Promoció</w:t>
      </w:r>
      <w:proofErr w:type="spellEnd"/>
      <w:r>
        <w:rPr>
          <w:rFonts w:ascii="Helvetica LT Std Bold" w:hAnsi="Helvetica LT Std Bold"/>
          <w:color w:val="718E4E"/>
          <w:spacing w:val="-1"/>
          <w:sz w:val="18"/>
          <w:szCs w:val="18"/>
          <w:u w:color="FF5642"/>
        </w:rPr>
        <w:t xml:space="preserve">n </w:t>
      </w:r>
      <w:r>
        <w:rPr>
          <w:rFonts w:ascii="Helvetica LT Std Bold" w:hAnsi="Helvetica LT Std Bold"/>
          <w:color w:val="718E4E"/>
          <w:spacing w:val="-1"/>
          <w:sz w:val="18"/>
          <w:szCs w:val="18"/>
          <w:u w:color="FF5642"/>
          <w:lang w:val="es-ES_tradnl"/>
        </w:rPr>
        <w:t xml:space="preserve">y </w:t>
      </w:r>
      <w:proofErr w:type="spellStart"/>
      <w:r>
        <w:rPr>
          <w:rFonts w:ascii="Helvetica LT Std Bold" w:hAnsi="Helvetica LT Std Bold"/>
          <w:color w:val="718E4E"/>
          <w:spacing w:val="-1"/>
          <w:sz w:val="18"/>
          <w:szCs w:val="18"/>
          <w:u w:color="FF5642"/>
          <w:lang w:val="es-ES_tradnl"/>
        </w:rPr>
        <w:t>Cooperació</w:t>
      </w:r>
      <w:proofErr w:type="spellEnd"/>
      <w:r>
        <w:rPr>
          <w:rFonts w:ascii="Helvetica LT Std Bold" w:hAnsi="Helvetica LT Std Bold"/>
          <w:color w:val="718E4E"/>
          <w:spacing w:val="-1"/>
          <w:sz w:val="18"/>
          <w:szCs w:val="18"/>
          <w:u w:color="FF5642"/>
        </w:rPr>
        <w:t>n T</w:t>
      </w:r>
      <w:r>
        <w:rPr>
          <w:rFonts w:ascii="Helvetica LT Std Bold" w:hAnsi="Helvetica LT Std Bold"/>
          <w:color w:val="718E4E"/>
          <w:spacing w:val="-1"/>
          <w:sz w:val="18"/>
          <w:szCs w:val="18"/>
          <w:u w:color="FF5642"/>
          <w:lang w:val="fr-FR"/>
        </w:rPr>
        <w:t>é</w:t>
      </w:r>
      <w:proofErr w:type="spellStart"/>
      <w:r>
        <w:rPr>
          <w:rFonts w:ascii="Helvetica LT Std Bold" w:hAnsi="Helvetica LT Std Bold"/>
          <w:color w:val="718E4E"/>
          <w:spacing w:val="-1"/>
          <w:sz w:val="18"/>
          <w:szCs w:val="18"/>
          <w:u w:color="FF5642"/>
          <w:lang w:val="it-IT"/>
        </w:rPr>
        <w:t>cnica</w:t>
      </w:r>
      <w:proofErr w:type="spellEnd"/>
    </w:p>
    <w:p w14:paraId="1B656A94"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rPr>
        <w:t>María</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da-DK"/>
        </w:rPr>
        <w:t>Claudia</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es-ES_tradnl"/>
        </w:rPr>
        <w:t>Pulido</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rPr>
        <w:t>Escobar</w:t>
      </w:r>
    </w:p>
    <w:p w14:paraId="1CB67CCB" w14:textId="77777777" w:rsidR="001A105D" w:rsidRDefault="001A105D">
      <w:pPr>
        <w:pStyle w:val="Footnote"/>
        <w:spacing w:line="216" w:lineRule="auto"/>
        <w:jc w:val="both"/>
        <w:rPr>
          <w:color w:val="535353"/>
          <w:spacing w:val="-1"/>
          <w:sz w:val="18"/>
          <w:szCs w:val="18"/>
          <w:u w:color="000000"/>
        </w:rPr>
      </w:pPr>
    </w:p>
    <w:p w14:paraId="1FDE4719" w14:textId="77777777" w:rsidR="001A105D" w:rsidRDefault="00000000">
      <w:pPr>
        <w:pStyle w:val="Footnote"/>
        <w:spacing w:line="216" w:lineRule="auto"/>
        <w:jc w:val="both"/>
        <w:rPr>
          <w:rFonts w:ascii="Helvetica LT Std Bold" w:eastAsia="Helvetica LT Std Bold" w:hAnsi="Helvetica LT Std Bold" w:cs="Helvetica LT Std Bold"/>
          <w:color w:val="718E4E"/>
          <w:spacing w:val="-1"/>
          <w:sz w:val="18"/>
          <w:szCs w:val="18"/>
          <w:u w:color="FF5642"/>
        </w:rPr>
      </w:pPr>
      <w:r>
        <w:rPr>
          <w:rFonts w:ascii="Helvetica LT Std Bold" w:hAnsi="Helvetica LT Std Bold"/>
          <w:color w:val="718E4E"/>
          <w:spacing w:val="-1"/>
          <w:sz w:val="18"/>
          <w:szCs w:val="18"/>
          <w:u w:color="FF5642"/>
          <w:lang w:val="es-ES_tradnl"/>
        </w:rPr>
        <w:t xml:space="preserve">Secretario Ejecutivo Adjunto para el </w:t>
      </w:r>
      <w:r>
        <w:rPr>
          <w:rFonts w:ascii="Helvetica LT Std Bold" w:hAnsi="Helvetica LT Std Bold"/>
          <w:color w:val="718E4E"/>
          <w:spacing w:val="-1"/>
          <w:sz w:val="18"/>
          <w:szCs w:val="18"/>
          <w:u w:color="FF5642"/>
        </w:rPr>
        <w:t>S</w:t>
      </w:r>
      <w:proofErr w:type="spellStart"/>
      <w:r>
        <w:rPr>
          <w:rFonts w:ascii="Helvetica LT Std Bold" w:hAnsi="Helvetica LT Std Bold"/>
          <w:color w:val="718E4E"/>
          <w:spacing w:val="-1"/>
          <w:sz w:val="18"/>
          <w:szCs w:val="18"/>
          <w:u w:color="FF5642"/>
          <w:lang w:val="pt-PT"/>
        </w:rPr>
        <w:t>istema</w:t>
      </w:r>
      <w:proofErr w:type="spellEnd"/>
      <w:r>
        <w:rPr>
          <w:rFonts w:ascii="Helvetica LT Std Bold" w:hAnsi="Helvetica LT Std Bold"/>
          <w:color w:val="718E4E"/>
          <w:spacing w:val="-1"/>
          <w:sz w:val="18"/>
          <w:szCs w:val="18"/>
          <w:u w:color="FF5642"/>
          <w:lang w:val="pt-PT"/>
        </w:rPr>
        <w:t xml:space="preserve"> de </w:t>
      </w:r>
      <w:r>
        <w:rPr>
          <w:rFonts w:ascii="Helvetica LT Std Bold" w:hAnsi="Helvetica LT Std Bold"/>
          <w:color w:val="718E4E"/>
          <w:spacing w:val="-1"/>
          <w:sz w:val="18"/>
          <w:szCs w:val="18"/>
          <w:u w:color="FF5642"/>
        </w:rPr>
        <w:t>P</w:t>
      </w:r>
      <w:proofErr w:type="spellStart"/>
      <w:r>
        <w:rPr>
          <w:rFonts w:ascii="Helvetica LT Std Bold" w:hAnsi="Helvetica LT Std Bold"/>
          <w:color w:val="718E4E"/>
          <w:spacing w:val="-1"/>
          <w:sz w:val="18"/>
          <w:szCs w:val="18"/>
          <w:u w:color="FF5642"/>
          <w:lang w:val="es-ES_tradnl"/>
        </w:rPr>
        <w:t>eticiones</w:t>
      </w:r>
      <w:proofErr w:type="spellEnd"/>
      <w:r>
        <w:rPr>
          <w:rFonts w:ascii="Helvetica LT Std Bold" w:hAnsi="Helvetica LT Std Bold"/>
          <w:color w:val="718E4E"/>
          <w:spacing w:val="-1"/>
          <w:sz w:val="18"/>
          <w:szCs w:val="18"/>
          <w:u w:color="FF5642"/>
        </w:rPr>
        <w:t xml:space="preserve"> y C</w:t>
      </w:r>
      <w:proofErr w:type="spellStart"/>
      <w:r>
        <w:rPr>
          <w:rFonts w:ascii="Helvetica LT Std Bold" w:hAnsi="Helvetica LT Std Bold"/>
          <w:color w:val="718E4E"/>
          <w:spacing w:val="-1"/>
          <w:sz w:val="18"/>
          <w:szCs w:val="18"/>
          <w:u w:color="FF5642"/>
          <w:lang w:val="pt-PT"/>
        </w:rPr>
        <w:t>asos</w:t>
      </w:r>
      <w:proofErr w:type="spellEnd"/>
    </w:p>
    <w:p w14:paraId="2D5A4B45" w14:textId="77777777" w:rsidR="001A105D" w:rsidRDefault="00000000">
      <w:pPr>
        <w:pStyle w:val="Footnote"/>
        <w:spacing w:line="216" w:lineRule="auto"/>
        <w:jc w:val="both"/>
        <w:rPr>
          <w:color w:val="535353"/>
          <w:spacing w:val="-1"/>
          <w:sz w:val="18"/>
          <w:szCs w:val="18"/>
          <w:u w:color="414141"/>
        </w:rPr>
      </w:pPr>
      <w:r>
        <w:rPr>
          <w:rFonts w:ascii="Arial Unicode MS" w:eastAsia="Arial Unicode MS" w:hAnsi="Arial Unicode MS" w:cs="Arial Unicode MS"/>
          <w:color w:val="535353"/>
          <w:spacing w:val="-1"/>
          <w:sz w:val="18"/>
          <w:szCs w:val="18"/>
          <w:u w:color="414141"/>
          <w:lang w:val="pt-PT"/>
        </w:rPr>
        <w:t>Jorge</w:t>
      </w:r>
      <w:r>
        <w:rPr>
          <w:color w:val="535353"/>
          <w:spacing w:val="-1"/>
          <w:sz w:val="18"/>
          <w:szCs w:val="18"/>
          <w:u w:color="414141"/>
        </w:rPr>
        <w:t xml:space="preserve"> </w:t>
      </w:r>
      <w:r>
        <w:rPr>
          <w:rFonts w:ascii="Arial Unicode MS" w:eastAsia="Arial Unicode MS" w:hAnsi="Arial Unicode MS" w:cs="Arial Unicode MS"/>
          <w:color w:val="535353"/>
          <w:spacing w:val="-1"/>
          <w:sz w:val="18"/>
          <w:szCs w:val="18"/>
          <w:u w:color="414141"/>
        </w:rPr>
        <w:t>Meza</w:t>
      </w:r>
      <w:r>
        <w:rPr>
          <w:color w:val="535353"/>
          <w:spacing w:val="-1"/>
          <w:sz w:val="18"/>
          <w:szCs w:val="18"/>
          <w:u w:color="414141"/>
        </w:rPr>
        <w:t xml:space="preserve"> </w:t>
      </w:r>
      <w:r>
        <w:rPr>
          <w:rFonts w:ascii="Arial Unicode MS" w:eastAsia="Arial Unicode MS" w:hAnsi="Arial Unicode MS" w:cs="Arial Unicode MS"/>
          <w:color w:val="535353"/>
          <w:spacing w:val="-1"/>
          <w:sz w:val="18"/>
          <w:szCs w:val="18"/>
          <w:u w:color="414141"/>
          <w:lang w:val="pt-PT"/>
        </w:rPr>
        <w:t>Flores</w:t>
      </w:r>
    </w:p>
    <w:p w14:paraId="7C0670F3" w14:textId="77777777" w:rsidR="001A105D" w:rsidRDefault="00000000">
      <w:pPr>
        <w:pStyle w:val="Footnote"/>
        <w:spacing w:line="216" w:lineRule="auto"/>
        <w:rPr>
          <w:color w:val="28A7DF"/>
          <w:spacing w:val="-1"/>
          <w:sz w:val="18"/>
          <w:szCs w:val="18"/>
          <w:u w:color="000000"/>
        </w:rPr>
      </w:pPr>
      <w:r>
        <w:rPr>
          <w:color w:val="535353"/>
          <w:spacing w:val="-1"/>
          <w:sz w:val="18"/>
          <w:szCs w:val="18"/>
          <w:u w:color="000000"/>
        </w:rPr>
        <w:br/>
      </w:r>
      <w:r>
        <w:rPr>
          <w:rFonts w:ascii="Helvetica LT Std Bold" w:hAnsi="Helvetica LT Std Bold"/>
          <w:color w:val="718E4E"/>
          <w:spacing w:val="-1"/>
          <w:sz w:val="18"/>
          <w:szCs w:val="18"/>
          <w:u w:color="000000"/>
          <w:lang w:val="es-ES_tradnl"/>
        </w:rPr>
        <w:t>Relator Especial sobre los Derechos Económicos, Sociales, Culturales</w:t>
      </w:r>
      <w:r>
        <w:rPr>
          <w:rFonts w:ascii="Helvetica LT Std Bold" w:eastAsia="Helvetica LT Std Bold" w:hAnsi="Helvetica LT Std Bold" w:cs="Helvetica LT Std Bold"/>
          <w:color w:val="718E4E"/>
          <w:spacing w:val="-1"/>
          <w:sz w:val="18"/>
          <w:szCs w:val="18"/>
          <w:u w:color="000000"/>
        </w:rPr>
        <w:br/>
      </w:r>
      <w:r>
        <w:rPr>
          <w:rFonts w:ascii="Helvetica LT Std Bold" w:hAnsi="Helvetica LT Std Bold"/>
          <w:color w:val="718E4E"/>
          <w:spacing w:val="-1"/>
          <w:sz w:val="18"/>
          <w:szCs w:val="18"/>
          <w:u w:color="000000"/>
          <w:lang w:val="es-ES_tradnl"/>
        </w:rPr>
        <w:t>y Ambientales</w:t>
      </w:r>
    </w:p>
    <w:p w14:paraId="1E282725"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lang w:val="es-ES_tradnl"/>
        </w:rPr>
        <w:t>Javier</w:t>
      </w:r>
      <w:r>
        <w:rPr>
          <w:color w:val="535353"/>
          <w:spacing w:val="-1"/>
          <w:sz w:val="18"/>
          <w:szCs w:val="18"/>
          <w:u w:color="000000"/>
        </w:rPr>
        <w:t xml:space="preserve"> </w:t>
      </w:r>
      <w:proofErr w:type="spellStart"/>
      <w:r>
        <w:rPr>
          <w:rFonts w:ascii="Arial Unicode MS" w:eastAsia="Arial Unicode MS" w:hAnsi="Arial Unicode MS" w:cs="Arial Unicode MS"/>
          <w:color w:val="535353"/>
          <w:spacing w:val="-1"/>
          <w:sz w:val="18"/>
          <w:szCs w:val="18"/>
          <w:u w:color="000000"/>
        </w:rPr>
        <w:t>Palummo</w:t>
      </w:r>
      <w:proofErr w:type="spellEnd"/>
      <w:r>
        <w:rPr>
          <w:color w:val="535353"/>
          <w:spacing w:val="-1"/>
          <w:sz w:val="18"/>
          <w:szCs w:val="18"/>
          <w:u w:color="000000"/>
        </w:rPr>
        <w:t xml:space="preserve"> </w:t>
      </w:r>
      <w:proofErr w:type="spellStart"/>
      <w:r>
        <w:rPr>
          <w:rFonts w:ascii="Arial Unicode MS" w:eastAsia="Arial Unicode MS" w:hAnsi="Arial Unicode MS" w:cs="Arial Unicode MS"/>
          <w:color w:val="535353"/>
          <w:spacing w:val="-1"/>
          <w:sz w:val="18"/>
          <w:szCs w:val="18"/>
          <w:u w:color="000000"/>
          <w:lang w:val="es-ES_tradnl"/>
        </w:rPr>
        <w:t>Lantes</w:t>
      </w:r>
      <w:proofErr w:type="spellEnd"/>
    </w:p>
    <w:p w14:paraId="05727C81" w14:textId="77777777" w:rsidR="001A105D" w:rsidRDefault="00000000">
      <w:pPr>
        <w:pStyle w:val="Footnote"/>
        <w:spacing w:line="216" w:lineRule="auto"/>
        <w:jc w:val="both"/>
        <w:rPr>
          <w:color w:val="718E4E"/>
          <w:spacing w:val="-1"/>
          <w:sz w:val="18"/>
          <w:szCs w:val="18"/>
          <w:u w:color="000000"/>
        </w:rPr>
      </w:pPr>
      <w:r>
        <w:rPr>
          <w:color w:val="535353"/>
          <w:spacing w:val="-1"/>
          <w:sz w:val="18"/>
          <w:szCs w:val="18"/>
          <w:u w:color="000000"/>
        </w:rPr>
        <w:br/>
      </w:r>
      <w:r>
        <w:rPr>
          <w:rFonts w:ascii="Helvetica LT Std Bold" w:hAnsi="Helvetica LT Std Bold"/>
          <w:color w:val="718E4E"/>
          <w:spacing w:val="-1"/>
          <w:sz w:val="18"/>
          <w:szCs w:val="18"/>
          <w:u w:color="000000"/>
          <w:lang w:val="es-ES_tradnl"/>
        </w:rPr>
        <w:t xml:space="preserve">Relator Especial para la Libertad de </w:t>
      </w:r>
      <w:proofErr w:type="spellStart"/>
      <w:r>
        <w:rPr>
          <w:rFonts w:ascii="Helvetica LT Std Bold" w:hAnsi="Helvetica LT Std Bold"/>
          <w:color w:val="718E4E"/>
          <w:spacing w:val="-1"/>
          <w:sz w:val="18"/>
          <w:szCs w:val="18"/>
          <w:u w:color="000000"/>
          <w:lang w:val="es-ES_tradnl"/>
        </w:rPr>
        <w:t>Expresió</w:t>
      </w:r>
      <w:proofErr w:type="spellEnd"/>
      <w:r>
        <w:rPr>
          <w:rFonts w:ascii="Helvetica LT Std Bold" w:hAnsi="Helvetica LT Std Bold"/>
          <w:color w:val="718E4E"/>
          <w:spacing w:val="-1"/>
          <w:sz w:val="18"/>
          <w:szCs w:val="18"/>
          <w:u w:color="000000"/>
        </w:rPr>
        <w:t>n</w:t>
      </w:r>
    </w:p>
    <w:p w14:paraId="141F0DF9" w14:textId="77777777" w:rsidR="001A105D" w:rsidRDefault="00000000">
      <w:pPr>
        <w:pStyle w:val="Footnote"/>
        <w:spacing w:line="216" w:lineRule="auto"/>
        <w:jc w:val="both"/>
        <w:rPr>
          <w:color w:val="535353"/>
          <w:spacing w:val="-1"/>
          <w:sz w:val="18"/>
          <w:szCs w:val="18"/>
          <w:u w:color="000000"/>
        </w:rPr>
      </w:pPr>
      <w:r>
        <w:rPr>
          <w:rFonts w:ascii="Arial Unicode MS" w:eastAsia="Arial Unicode MS" w:hAnsi="Arial Unicode MS" w:cs="Arial Unicode MS"/>
          <w:color w:val="535353"/>
          <w:spacing w:val="-1"/>
          <w:sz w:val="18"/>
          <w:szCs w:val="18"/>
          <w:u w:color="000000"/>
          <w:lang w:val="pt-PT"/>
        </w:rPr>
        <w:t>Pedro</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rPr>
        <w:t>Vaca</w:t>
      </w:r>
      <w:r>
        <w:rPr>
          <w:color w:val="535353"/>
          <w:spacing w:val="-1"/>
          <w:sz w:val="18"/>
          <w:szCs w:val="18"/>
          <w:u w:color="000000"/>
        </w:rPr>
        <w:t xml:space="preserve"> </w:t>
      </w:r>
      <w:r>
        <w:rPr>
          <w:rFonts w:ascii="Arial Unicode MS" w:eastAsia="Arial Unicode MS" w:hAnsi="Arial Unicode MS" w:cs="Arial Unicode MS"/>
          <w:color w:val="535353"/>
          <w:spacing w:val="-1"/>
          <w:sz w:val="18"/>
          <w:szCs w:val="18"/>
          <w:u w:color="000000"/>
          <w:lang w:val="it-IT"/>
        </w:rPr>
        <w:t>Villarreal</w:t>
      </w:r>
    </w:p>
    <w:p w14:paraId="0667CA46" w14:textId="77777777" w:rsidR="001A105D" w:rsidRDefault="001A105D">
      <w:pPr>
        <w:pStyle w:val="Footnote"/>
        <w:spacing w:line="216" w:lineRule="auto"/>
        <w:jc w:val="both"/>
        <w:rPr>
          <w:color w:val="535353"/>
          <w:spacing w:val="-1"/>
          <w:sz w:val="18"/>
          <w:szCs w:val="18"/>
          <w:u w:color="000000"/>
        </w:rPr>
      </w:pPr>
    </w:p>
    <w:p w14:paraId="56C7977A" w14:textId="77777777" w:rsidR="001A105D" w:rsidRDefault="001A105D">
      <w:pPr>
        <w:pStyle w:val="Footnote"/>
        <w:pBdr>
          <w:top w:val="dotted" w:sz="2" w:space="6" w:color="525252"/>
        </w:pBdr>
        <w:spacing w:line="216" w:lineRule="auto"/>
        <w:jc w:val="both"/>
        <w:rPr>
          <w:color w:val="535353"/>
          <w:spacing w:val="-1"/>
          <w:sz w:val="18"/>
          <w:szCs w:val="18"/>
          <w:u w:color="000000"/>
        </w:rPr>
      </w:pPr>
    </w:p>
    <w:p w14:paraId="420AF810" w14:textId="77777777" w:rsidR="001A105D" w:rsidRDefault="00000000">
      <w:pPr>
        <w:pStyle w:val="Footnote"/>
        <w:spacing w:line="216" w:lineRule="auto"/>
        <w:jc w:val="both"/>
        <w:rPr>
          <w:rFonts w:ascii="Helvetica LT Std Bold" w:eastAsia="Helvetica LT Std Bold" w:hAnsi="Helvetica LT Std Bold" w:cs="Helvetica LT Std Bold"/>
          <w:color w:val="22527C"/>
          <w:spacing w:val="-1"/>
          <w:sz w:val="18"/>
          <w:szCs w:val="18"/>
          <w:u w:color="000000"/>
        </w:rPr>
      </w:pPr>
      <w:r>
        <w:rPr>
          <w:rFonts w:ascii="Helvetica LT Std Bold" w:hAnsi="Helvetica LT Std Bold"/>
          <w:color w:val="22527C"/>
          <w:spacing w:val="-1"/>
          <w:sz w:val="18"/>
          <w:szCs w:val="18"/>
          <w:u w:color="000000"/>
          <w:lang w:val="nl-NL"/>
        </w:rPr>
        <w:t xml:space="preserve">OAS </w:t>
      </w:r>
      <w:proofErr w:type="spellStart"/>
      <w:r>
        <w:rPr>
          <w:rFonts w:ascii="Helvetica LT Std Bold" w:hAnsi="Helvetica LT Std Bold"/>
          <w:color w:val="22527C"/>
          <w:spacing w:val="-1"/>
          <w:sz w:val="18"/>
          <w:szCs w:val="18"/>
          <w:u w:color="000000"/>
          <w:lang w:val="nl-NL"/>
        </w:rPr>
        <w:t>Cataloging</w:t>
      </w:r>
      <w:proofErr w:type="spellEnd"/>
      <w:r>
        <w:rPr>
          <w:rFonts w:ascii="Helvetica LT Std Bold" w:hAnsi="Helvetica LT Std Bold"/>
          <w:color w:val="22527C"/>
          <w:spacing w:val="-1"/>
          <w:sz w:val="18"/>
          <w:szCs w:val="18"/>
          <w:u w:color="000000"/>
          <w:lang w:val="nl-NL"/>
        </w:rPr>
        <w:t>-in-</w:t>
      </w:r>
      <w:proofErr w:type="spellStart"/>
      <w:r>
        <w:rPr>
          <w:rFonts w:ascii="Helvetica LT Std Bold" w:hAnsi="Helvetica LT Std Bold"/>
          <w:color w:val="22527C"/>
          <w:spacing w:val="-1"/>
          <w:sz w:val="18"/>
          <w:szCs w:val="18"/>
          <w:u w:color="000000"/>
          <w:lang w:val="nl-NL"/>
        </w:rPr>
        <w:t>Publication</w:t>
      </w:r>
      <w:proofErr w:type="spellEnd"/>
      <w:r>
        <w:rPr>
          <w:rFonts w:ascii="Helvetica LT Std Bold" w:hAnsi="Helvetica LT Std Bold"/>
          <w:color w:val="22527C"/>
          <w:spacing w:val="-1"/>
          <w:sz w:val="18"/>
          <w:szCs w:val="18"/>
          <w:u w:color="000000"/>
          <w:lang w:val="nl-NL"/>
        </w:rPr>
        <w:t xml:space="preserve"> Data</w:t>
      </w:r>
    </w:p>
    <w:p w14:paraId="39DB685C" w14:textId="77777777" w:rsidR="001A105D" w:rsidRDefault="00000000">
      <w:pPr>
        <w:pStyle w:val="Footnote"/>
        <w:spacing w:line="216" w:lineRule="auto"/>
        <w:jc w:val="both"/>
        <w:rPr>
          <w:color w:val="535353"/>
          <w:spacing w:val="-1"/>
          <w:sz w:val="18"/>
          <w:szCs w:val="18"/>
          <w:u w:color="000000"/>
        </w:rPr>
      </w:pPr>
      <w:r>
        <w:rPr>
          <w:color w:val="535353"/>
          <w:spacing w:val="-1"/>
          <w:sz w:val="18"/>
          <w:szCs w:val="18"/>
          <w:u w:color="000000"/>
        </w:rPr>
        <w:t> </w:t>
      </w:r>
    </w:p>
    <w:p w14:paraId="313F7680" w14:textId="77777777" w:rsidR="001A105D" w:rsidRPr="002D2C2E" w:rsidRDefault="00000000">
      <w:pPr>
        <w:pStyle w:val="Footnote"/>
        <w:spacing w:line="192" w:lineRule="auto"/>
        <w:rPr>
          <w:color w:val="535353"/>
          <w:spacing w:val="-1"/>
          <w:sz w:val="18"/>
          <w:szCs w:val="18"/>
          <w:u w:color="000000"/>
        </w:rPr>
      </w:pPr>
      <w:r w:rsidRPr="002D2C2E">
        <w:rPr>
          <w:rFonts w:eastAsia="Arial Unicode MS" w:cs="Arial Unicode MS"/>
          <w:color w:val="535353"/>
          <w:spacing w:val="-1"/>
          <w:sz w:val="18"/>
          <w:szCs w:val="18"/>
          <w:u w:color="000000"/>
        </w:rPr>
        <w:t>Inter-American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it-IT"/>
        </w:rPr>
        <w:t>Commission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on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fr-FR"/>
        </w:rPr>
        <w:t>Human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Rights.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Personas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it-IT"/>
        </w:rPr>
        <w:t>con</w:t>
      </w:r>
      <w:r w:rsidRPr="002D2C2E">
        <w:rPr>
          <w:color w:val="535353"/>
          <w:spacing w:val="-1"/>
          <w:sz w:val="18"/>
          <w:szCs w:val="18"/>
          <w:u w:color="000000"/>
        </w:rPr>
        <w:t xml:space="preserve"> </w:t>
      </w:r>
      <w:proofErr w:type="spellStart"/>
      <w:r w:rsidRPr="002D2C2E">
        <w:rPr>
          <w:rFonts w:eastAsia="Arial Unicode MS" w:cs="Arial Unicode MS"/>
          <w:color w:val="535353"/>
          <w:spacing w:val="-1"/>
          <w:sz w:val="18"/>
          <w:szCs w:val="18"/>
          <w:u w:color="000000"/>
          <w:lang w:val="pt-PT"/>
        </w:rPr>
        <w:t>discapacidad</w:t>
      </w:r>
      <w:proofErr w:type="spellEnd"/>
      <w:r w:rsidRPr="002D2C2E">
        <w:rPr>
          <w:rFonts w:eastAsia="Arial Unicode MS" w:cs="Arial Unicode MS"/>
          <w:color w:val="535353"/>
          <w:spacing w:val="-1"/>
          <w:sz w:val="18"/>
          <w:szCs w:val="18"/>
          <w:u w:color="000000"/>
          <w:lang w:val="pt-PT"/>
        </w:rPr>
        <w:t>:</w:t>
      </w:r>
      <w:r w:rsidRPr="002D2C2E">
        <w:rPr>
          <w:color w:val="535353"/>
          <w:spacing w:val="-1"/>
          <w:sz w:val="18"/>
          <w:szCs w:val="18"/>
          <w:u w:color="000000"/>
        </w:rPr>
        <w:t xml:space="preserve">  </w:t>
      </w:r>
      <w:proofErr w:type="spellStart"/>
      <w:r w:rsidRPr="002D2C2E">
        <w:rPr>
          <w:rFonts w:eastAsia="Arial Unicode MS" w:cs="Arial Unicode MS"/>
          <w:color w:val="535353"/>
          <w:spacing w:val="-1"/>
          <w:sz w:val="18"/>
          <w:szCs w:val="18"/>
          <w:u w:color="000000"/>
        </w:rPr>
        <w:t>Situaci</w:t>
      </w:r>
      <w:r w:rsidRPr="002D2C2E">
        <w:rPr>
          <w:rFonts w:ascii="Helvetica LT Std" w:eastAsia="Arial Unicode MS" w:hAnsi="Helvetica LT Std" w:cs="Helvetica LT Std"/>
          <w:color w:val="535353"/>
          <w:spacing w:val="-1"/>
          <w:sz w:val="18"/>
          <w:szCs w:val="18"/>
          <w:u w:color="000000"/>
          <w:lang w:val="es-ES_tradnl"/>
        </w:rPr>
        <w:t>ó</w:t>
      </w:r>
      <w:proofErr w:type="spellEnd"/>
      <w:r w:rsidRPr="002D2C2E">
        <w:rPr>
          <w:rFonts w:eastAsia="Arial Unicode MS" w:cs="Arial Unicode MS"/>
          <w:color w:val="535353"/>
          <w:spacing w:val="-1"/>
          <w:sz w:val="18"/>
          <w:szCs w:val="18"/>
          <w:u w:color="000000"/>
        </w:rPr>
        <w:t>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de</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sus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derechos</w:t>
      </w:r>
      <w:r w:rsidRPr="002D2C2E">
        <w:rPr>
          <w:color w:val="535353"/>
          <w:spacing w:val="-1"/>
          <w:sz w:val="18"/>
          <w:szCs w:val="18"/>
          <w:u w:color="000000"/>
        </w:rPr>
        <w:t xml:space="preserve"> </w:t>
      </w:r>
      <w:proofErr w:type="spellStart"/>
      <w:r w:rsidRPr="002D2C2E">
        <w:rPr>
          <w:rFonts w:eastAsia="Arial Unicode MS" w:cs="Arial Unicode MS"/>
          <w:color w:val="535353"/>
          <w:spacing w:val="-1"/>
          <w:sz w:val="18"/>
          <w:szCs w:val="18"/>
          <w:u w:color="000000"/>
        </w:rPr>
        <w:t>en</w:t>
      </w:r>
      <w:proofErr w:type="spellEnd"/>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las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Am</w:t>
      </w:r>
      <w:r w:rsidRPr="002D2C2E">
        <w:rPr>
          <w:rFonts w:ascii="Helvetica LT Std" w:eastAsia="Arial Unicode MS" w:hAnsi="Helvetica LT Std" w:cs="Helvetica LT Std"/>
          <w:color w:val="535353"/>
          <w:spacing w:val="-1"/>
          <w:sz w:val="18"/>
          <w:szCs w:val="18"/>
          <w:u w:color="000000"/>
          <w:lang w:val="fr-FR"/>
        </w:rPr>
        <w:t>é</w:t>
      </w:r>
      <w:r w:rsidRPr="002D2C2E">
        <w:rPr>
          <w:rFonts w:eastAsia="Arial Unicode MS" w:cs="Arial Unicode MS"/>
          <w:color w:val="535353"/>
          <w:spacing w:val="-1"/>
          <w:sz w:val="18"/>
          <w:szCs w:val="18"/>
          <w:u w:color="000000"/>
          <w:lang w:val="pt-PT"/>
        </w:rPr>
        <w:t>ricas: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aprobada</w:t>
      </w:r>
      <w:r w:rsidRPr="002D2C2E">
        <w:rPr>
          <w:color w:val="535353"/>
          <w:spacing w:val="-1"/>
          <w:sz w:val="18"/>
          <w:szCs w:val="18"/>
          <w:u w:color="000000"/>
        </w:rPr>
        <w:t xml:space="preserve"> </w:t>
      </w:r>
      <w:proofErr w:type="spellStart"/>
      <w:r w:rsidRPr="002D2C2E">
        <w:rPr>
          <w:rFonts w:eastAsia="Arial Unicode MS" w:cs="Arial Unicode MS"/>
          <w:color w:val="535353"/>
          <w:spacing w:val="-1"/>
          <w:sz w:val="18"/>
          <w:szCs w:val="18"/>
          <w:u w:color="000000"/>
        </w:rPr>
        <w:t>por</w:t>
      </w:r>
      <w:proofErr w:type="spellEnd"/>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la</w:t>
      </w:r>
      <w:r w:rsidRPr="002D2C2E">
        <w:rPr>
          <w:color w:val="535353"/>
          <w:spacing w:val="-1"/>
          <w:sz w:val="18"/>
          <w:szCs w:val="18"/>
          <w:u w:color="000000"/>
        </w:rPr>
        <w:t xml:space="preserve"> </w:t>
      </w:r>
      <w:proofErr w:type="spellStart"/>
      <w:r w:rsidRPr="002D2C2E">
        <w:rPr>
          <w:rFonts w:eastAsia="Arial Unicode MS" w:cs="Arial Unicode MS"/>
          <w:color w:val="535353"/>
          <w:spacing w:val="-1"/>
          <w:sz w:val="18"/>
          <w:szCs w:val="18"/>
          <w:u w:color="000000"/>
        </w:rPr>
        <w:t>Comisi</w:t>
      </w:r>
      <w:r w:rsidRPr="002D2C2E">
        <w:rPr>
          <w:rFonts w:ascii="Helvetica LT Std" w:eastAsia="Arial Unicode MS" w:hAnsi="Helvetica LT Std" w:cs="Helvetica LT Std"/>
          <w:color w:val="535353"/>
          <w:spacing w:val="-1"/>
          <w:sz w:val="18"/>
          <w:szCs w:val="18"/>
          <w:u w:color="000000"/>
          <w:lang w:val="es-ES_tradnl"/>
        </w:rPr>
        <w:t>ó</w:t>
      </w:r>
      <w:proofErr w:type="spellEnd"/>
      <w:r w:rsidRPr="002D2C2E">
        <w:rPr>
          <w:rFonts w:eastAsia="Arial Unicode MS" w:cs="Arial Unicode MS"/>
          <w:color w:val="535353"/>
          <w:spacing w:val="-1"/>
          <w:sz w:val="18"/>
          <w:szCs w:val="18"/>
          <w:u w:color="000000"/>
        </w:rPr>
        <w:t>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it-IT"/>
        </w:rPr>
        <w:t>Interamericana</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de</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Derechos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pt-PT"/>
        </w:rPr>
        <w:t>Humanos</w:t>
      </w:r>
      <w:r w:rsidRPr="002D2C2E">
        <w:rPr>
          <w:color w:val="535353"/>
          <w:spacing w:val="-1"/>
          <w:sz w:val="18"/>
          <w:szCs w:val="18"/>
          <w:u w:color="000000"/>
        </w:rPr>
        <w:t xml:space="preserve"> </w:t>
      </w:r>
      <w:proofErr w:type="spellStart"/>
      <w:r w:rsidRPr="002D2C2E">
        <w:rPr>
          <w:rFonts w:eastAsia="Arial Unicode MS" w:cs="Arial Unicode MS"/>
          <w:color w:val="535353"/>
          <w:spacing w:val="-1"/>
          <w:sz w:val="18"/>
          <w:szCs w:val="18"/>
          <w:u w:color="000000"/>
        </w:rPr>
        <w:t>el</w:t>
      </w:r>
      <w:proofErr w:type="spellEnd"/>
      <w:r w:rsidRPr="002D2C2E">
        <w:rPr>
          <w:color w:val="535353"/>
          <w:spacing w:val="-1"/>
          <w:sz w:val="18"/>
          <w:szCs w:val="18"/>
          <w:u w:color="000000"/>
          <w:lang w:val="ru-RU"/>
        </w:rPr>
        <w:t xml:space="preserve"> 31 </w:t>
      </w:r>
      <w:r w:rsidRPr="002D2C2E">
        <w:rPr>
          <w:rFonts w:eastAsia="Arial Unicode MS" w:cs="Arial Unicode MS"/>
          <w:color w:val="535353"/>
          <w:spacing w:val="-1"/>
          <w:sz w:val="18"/>
          <w:szCs w:val="18"/>
          <w:u w:color="000000"/>
        </w:rPr>
        <w:t>de</w:t>
      </w:r>
      <w:r w:rsidRPr="002D2C2E">
        <w:rPr>
          <w:color w:val="535353"/>
          <w:spacing w:val="-1"/>
          <w:sz w:val="18"/>
          <w:szCs w:val="18"/>
          <w:u w:color="000000"/>
        </w:rPr>
        <w:t xml:space="preserve"> </w:t>
      </w:r>
      <w:proofErr w:type="spellStart"/>
      <w:r w:rsidRPr="002D2C2E">
        <w:rPr>
          <w:rFonts w:eastAsia="Arial Unicode MS" w:cs="Arial Unicode MS"/>
          <w:color w:val="535353"/>
          <w:spacing w:val="-1"/>
          <w:sz w:val="18"/>
          <w:szCs w:val="18"/>
          <w:u w:color="000000"/>
        </w:rPr>
        <w:t>enero</w:t>
      </w:r>
      <w:proofErr w:type="spellEnd"/>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de</w:t>
      </w:r>
      <w:r w:rsidRPr="002D2C2E">
        <w:rPr>
          <w:color w:val="535353"/>
          <w:spacing w:val="-1"/>
          <w:sz w:val="18"/>
          <w:szCs w:val="18"/>
          <w:u w:color="000000"/>
        </w:rPr>
        <w:t xml:space="preserve"> 2025</w:t>
      </w:r>
      <w:r w:rsidRPr="002D2C2E">
        <w:rPr>
          <w:rFonts w:eastAsia="Arial Unicode MS" w:cs="Arial Unicode MS"/>
          <w:color w:val="535353"/>
          <w:spacing w:val="-1"/>
          <w:sz w:val="18"/>
          <w:szCs w:val="18"/>
          <w:u w:color="000000"/>
        </w:rPr>
        <w:t>.</w:t>
      </w:r>
      <w:r w:rsidRPr="002D2C2E">
        <w:rPr>
          <w:color w:val="535353"/>
          <w:spacing w:val="-1"/>
          <w:sz w:val="18"/>
          <w:szCs w:val="18"/>
          <w:u w:color="000000"/>
        </w:rPr>
        <w:t xml:space="preserve"> </w:t>
      </w:r>
      <w:proofErr w:type="gramStart"/>
      <w:r w:rsidRPr="002D2C2E">
        <w:rPr>
          <w:rFonts w:eastAsia="Arial Unicode MS" w:cs="Arial Unicode MS"/>
          <w:color w:val="535353"/>
          <w:spacing w:val="-1"/>
          <w:sz w:val="18"/>
          <w:szCs w:val="18"/>
          <w:u w:color="000000"/>
        </w:rPr>
        <w:t>p.</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w:t>
      </w:r>
      <w:proofErr w:type="gramEnd"/>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cm.</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(OAS.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pt-PT"/>
        </w:rPr>
        <w:t>Documentos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oficiales;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OEA</w:t>
      </w:r>
      <w:r w:rsidRPr="002D2C2E">
        <w:rPr>
          <w:color w:val="535353"/>
          <w:spacing w:val="-1"/>
          <w:sz w:val="18"/>
          <w:szCs w:val="18"/>
          <w:u w:color="000000"/>
        </w:rPr>
        <w:t>/</w:t>
      </w:r>
      <w:proofErr w:type="spellStart"/>
      <w:r w:rsidRPr="002D2C2E">
        <w:rPr>
          <w:rFonts w:eastAsia="Arial Unicode MS" w:cs="Arial Unicode MS"/>
          <w:color w:val="535353"/>
          <w:spacing w:val="-1"/>
          <w:sz w:val="18"/>
          <w:szCs w:val="18"/>
          <w:u w:color="000000"/>
        </w:rPr>
        <w:t>Ser.L</w:t>
      </w:r>
      <w:proofErr w:type="spellEnd"/>
      <w:r w:rsidRPr="002D2C2E">
        <w:rPr>
          <w:rFonts w:eastAsia="Arial Unicode MS" w:cs="Arial Unicode MS"/>
          <w:color w:val="535353"/>
          <w:spacing w:val="-1"/>
          <w:sz w:val="18"/>
          <w:szCs w:val="18"/>
          <w:u w:color="000000"/>
        </w:rPr>
        <w:t>)</w:t>
      </w:r>
    </w:p>
    <w:p w14:paraId="6AB1E79C" w14:textId="77777777" w:rsidR="001A105D" w:rsidRPr="002D2C2E" w:rsidRDefault="001A105D">
      <w:pPr>
        <w:pStyle w:val="Footnote"/>
        <w:spacing w:line="192" w:lineRule="auto"/>
        <w:rPr>
          <w:color w:val="535353"/>
          <w:spacing w:val="-1"/>
          <w:sz w:val="18"/>
          <w:szCs w:val="18"/>
          <w:u w:color="000000"/>
        </w:rPr>
      </w:pPr>
    </w:p>
    <w:p w14:paraId="460F4714" w14:textId="77777777" w:rsidR="001A105D" w:rsidRPr="002D2C2E" w:rsidRDefault="00000000">
      <w:pPr>
        <w:pStyle w:val="Footnote"/>
        <w:spacing w:line="192" w:lineRule="auto"/>
        <w:rPr>
          <w:color w:val="535353"/>
          <w:spacing w:val="-1"/>
          <w:sz w:val="18"/>
          <w:szCs w:val="18"/>
          <w:u w:color="000000"/>
        </w:rPr>
      </w:pPr>
      <w:r w:rsidRPr="002D2C2E">
        <w:rPr>
          <w:rFonts w:eastAsia="Arial Unicode MS" w:cs="Arial Unicode MS"/>
          <w:color w:val="535353"/>
          <w:spacing w:val="-1"/>
          <w:sz w:val="18"/>
          <w:szCs w:val="18"/>
          <w:u w:color="000000"/>
        </w:rPr>
        <w:t>ISBN</w:t>
      </w:r>
      <w:r w:rsidRPr="002D2C2E">
        <w:rPr>
          <w:color w:val="535353"/>
          <w:spacing w:val="-1"/>
          <w:sz w:val="18"/>
          <w:szCs w:val="18"/>
          <w:u w:color="000000"/>
        </w:rPr>
        <w:t xml:space="preserve"> 978</w:t>
      </w:r>
      <w:r w:rsidRPr="002D2C2E">
        <w:rPr>
          <w:rFonts w:eastAsia="Arial Unicode MS" w:cs="Arial Unicode MS"/>
          <w:color w:val="535353"/>
          <w:spacing w:val="-1"/>
          <w:sz w:val="18"/>
          <w:szCs w:val="18"/>
          <w:u w:color="000000"/>
        </w:rPr>
        <w:t>-</w:t>
      </w:r>
      <w:r w:rsidRPr="002D2C2E">
        <w:rPr>
          <w:color w:val="535353"/>
          <w:spacing w:val="-1"/>
          <w:sz w:val="18"/>
          <w:szCs w:val="18"/>
          <w:u w:color="000000"/>
        </w:rPr>
        <w:t>0</w:t>
      </w:r>
      <w:r w:rsidRPr="002D2C2E">
        <w:rPr>
          <w:rFonts w:eastAsia="Arial Unicode MS" w:cs="Arial Unicode MS"/>
          <w:color w:val="535353"/>
          <w:spacing w:val="-1"/>
          <w:sz w:val="18"/>
          <w:szCs w:val="18"/>
          <w:u w:color="000000"/>
        </w:rPr>
        <w:t>-</w:t>
      </w:r>
      <w:r w:rsidRPr="002D2C2E">
        <w:rPr>
          <w:color w:val="535353"/>
          <w:spacing w:val="-1"/>
          <w:sz w:val="18"/>
          <w:szCs w:val="18"/>
          <w:u w:color="000000"/>
        </w:rPr>
        <w:t>8270</w:t>
      </w:r>
      <w:r w:rsidRPr="002D2C2E">
        <w:rPr>
          <w:rFonts w:eastAsia="Arial Unicode MS" w:cs="Arial Unicode MS"/>
          <w:color w:val="535353"/>
          <w:spacing w:val="-1"/>
          <w:sz w:val="18"/>
          <w:szCs w:val="18"/>
          <w:u w:color="000000"/>
        </w:rPr>
        <w:t>-</w:t>
      </w:r>
      <w:r w:rsidRPr="002D2C2E">
        <w:rPr>
          <w:color w:val="535353"/>
          <w:spacing w:val="-1"/>
          <w:sz w:val="18"/>
          <w:szCs w:val="18"/>
          <w:u w:color="000000"/>
        </w:rPr>
        <w:t>7957</w:t>
      </w:r>
      <w:r w:rsidRPr="002D2C2E">
        <w:rPr>
          <w:rFonts w:eastAsia="Arial Unicode MS" w:cs="Arial Unicode MS"/>
          <w:color w:val="535353"/>
          <w:spacing w:val="-1"/>
          <w:sz w:val="18"/>
          <w:szCs w:val="18"/>
          <w:u w:color="000000"/>
        </w:rPr>
        <w:t>-</w:t>
      </w:r>
      <w:r w:rsidRPr="002D2C2E">
        <w:rPr>
          <w:color w:val="535353"/>
          <w:spacing w:val="-1"/>
          <w:sz w:val="18"/>
          <w:szCs w:val="18"/>
          <w:u w:color="000000"/>
        </w:rPr>
        <w:t>1</w:t>
      </w:r>
    </w:p>
    <w:p w14:paraId="5326AA53" w14:textId="77777777" w:rsidR="001A105D" w:rsidRPr="002D2C2E" w:rsidRDefault="001A105D">
      <w:pPr>
        <w:pStyle w:val="Footnote"/>
        <w:spacing w:line="192" w:lineRule="auto"/>
        <w:rPr>
          <w:color w:val="535353"/>
          <w:spacing w:val="-1"/>
          <w:sz w:val="18"/>
          <w:szCs w:val="18"/>
          <w:u w:color="000000"/>
        </w:rPr>
      </w:pPr>
    </w:p>
    <w:p w14:paraId="0D6106C0" w14:textId="77777777" w:rsidR="001A105D" w:rsidRPr="002D2C2E" w:rsidRDefault="00000000">
      <w:pPr>
        <w:pStyle w:val="Footnote"/>
        <w:spacing w:line="192" w:lineRule="auto"/>
        <w:rPr>
          <w:color w:val="535353"/>
          <w:spacing w:val="-1"/>
          <w:sz w:val="18"/>
          <w:szCs w:val="18"/>
          <w:u w:color="000000"/>
        </w:rPr>
      </w:pPr>
      <w:r w:rsidRPr="002D2C2E">
        <w:rPr>
          <w:color w:val="535353"/>
          <w:spacing w:val="-1"/>
          <w:sz w:val="18"/>
          <w:szCs w:val="18"/>
          <w:u w:color="000000"/>
        </w:rPr>
        <w:t>1</w:t>
      </w:r>
      <w:r w:rsidRPr="002D2C2E">
        <w:rPr>
          <w:rFonts w:eastAsia="Arial Unicode MS" w:cs="Arial Unicode MS"/>
          <w:color w:val="535353"/>
          <w:spacing w:val="-1"/>
          <w:sz w:val="18"/>
          <w:szCs w:val="18"/>
          <w:u w:color="000000"/>
        </w:rPr>
        <w:t>.</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fr-FR"/>
        </w:rPr>
        <w:t>Human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rights.</w:t>
      </w:r>
      <w:r w:rsidRPr="002D2C2E">
        <w:rPr>
          <w:color w:val="535353"/>
          <w:spacing w:val="-1"/>
          <w:sz w:val="18"/>
          <w:szCs w:val="18"/>
          <w:u w:color="000000"/>
        </w:rPr>
        <w:t xml:space="preserve">  2</w:t>
      </w:r>
      <w:r w:rsidRPr="002D2C2E">
        <w:rPr>
          <w:rFonts w:eastAsia="Arial Unicode MS" w:cs="Arial Unicode MS"/>
          <w:color w:val="535353"/>
          <w:spacing w:val="-1"/>
          <w:sz w:val="18"/>
          <w:szCs w:val="18"/>
          <w:u w:color="000000"/>
        </w:rPr>
        <w:t>.</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People</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with</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disabilities--Civil</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rights.</w:t>
      </w:r>
      <w:r w:rsidRPr="002D2C2E">
        <w:rPr>
          <w:color w:val="535353"/>
          <w:spacing w:val="-1"/>
          <w:sz w:val="18"/>
          <w:szCs w:val="18"/>
          <w:u w:color="000000"/>
        </w:rPr>
        <w:t xml:space="preserve">  3</w:t>
      </w:r>
      <w:r w:rsidRPr="002D2C2E">
        <w:rPr>
          <w:rFonts w:eastAsia="Arial Unicode MS" w:cs="Arial Unicode MS"/>
          <w:color w:val="535353"/>
          <w:spacing w:val="-1"/>
          <w:sz w:val="18"/>
          <w:szCs w:val="18"/>
          <w:u w:color="000000"/>
        </w:rPr>
        <w:t>.</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fr-FR"/>
        </w:rPr>
        <w:t>Discrimination</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against</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people</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with</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disabilities--America.</w:t>
      </w:r>
      <w:r w:rsidRPr="002D2C2E">
        <w:rPr>
          <w:color w:val="535353"/>
          <w:spacing w:val="-1"/>
          <w:sz w:val="18"/>
          <w:szCs w:val="18"/>
          <w:u w:color="000000"/>
        </w:rPr>
        <w:t xml:space="preserve">  4</w:t>
      </w:r>
      <w:r w:rsidRPr="002D2C2E">
        <w:rPr>
          <w:rFonts w:eastAsia="Arial Unicode MS" w:cs="Arial Unicode MS"/>
          <w:color w:val="535353"/>
          <w:spacing w:val="-1"/>
          <w:sz w:val="18"/>
          <w:szCs w:val="18"/>
          <w:u w:color="000000"/>
        </w:rPr>
        <w:t>.</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People</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with</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disabilities--Legal</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status,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laws,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pt-PT"/>
        </w:rPr>
        <w:t>etc.--</w:t>
      </w:r>
      <w:proofErr w:type="spellStart"/>
      <w:r w:rsidRPr="002D2C2E">
        <w:rPr>
          <w:rFonts w:eastAsia="Arial Unicode MS" w:cs="Arial Unicode MS"/>
          <w:color w:val="535353"/>
          <w:spacing w:val="-1"/>
          <w:sz w:val="18"/>
          <w:szCs w:val="18"/>
          <w:u w:color="000000"/>
          <w:lang w:val="pt-PT"/>
        </w:rPr>
        <w:t>America</w:t>
      </w:r>
      <w:proofErr w:type="spellEnd"/>
      <w:r w:rsidRPr="002D2C2E">
        <w:rPr>
          <w:rFonts w:eastAsia="Arial Unicode MS" w:cs="Arial Unicode MS"/>
          <w:color w:val="535353"/>
          <w:spacing w:val="-1"/>
          <w:sz w:val="18"/>
          <w:szCs w:val="18"/>
          <w:u w:color="000000"/>
          <w:lang w:val="pt-PT"/>
        </w:rPr>
        <w:t>.</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I.</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it-IT"/>
        </w:rPr>
        <w:t>Title.</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rPr>
        <w:t>II.</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pt-PT"/>
        </w:rPr>
        <w:t>Series.</w:t>
      </w:r>
      <w:r w:rsidRPr="002D2C2E">
        <w:rPr>
          <w:color w:val="535353"/>
          <w:spacing w:val="-1"/>
          <w:sz w:val="18"/>
          <w:szCs w:val="18"/>
          <w:u w:color="000000"/>
        </w:rPr>
        <w:t xml:space="preserve"> </w:t>
      </w:r>
      <w:r w:rsidRPr="002D2C2E">
        <w:rPr>
          <w:rFonts w:eastAsia="Arial Unicode MS" w:cs="Arial Unicode MS"/>
          <w:color w:val="535353"/>
          <w:spacing w:val="-1"/>
          <w:sz w:val="18"/>
          <w:szCs w:val="18"/>
          <w:u w:color="000000"/>
          <w:lang w:val="es-ES_tradnl"/>
        </w:rPr>
        <w:t>OEA</w:t>
      </w:r>
      <w:r w:rsidRPr="002D2C2E">
        <w:rPr>
          <w:color w:val="535353"/>
          <w:spacing w:val="-1"/>
          <w:sz w:val="18"/>
          <w:szCs w:val="18"/>
          <w:u w:color="000000"/>
        </w:rPr>
        <w:t>/</w:t>
      </w:r>
      <w:proofErr w:type="spellStart"/>
      <w:r w:rsidRPr="002D2C2E">
        <w:rPr>
          <w:rFonts w:eastAsia="Arial Unicode MS" w:cs="Arial Unicode MS"/>
          <w:color w:val="535353"/>
          <w:spacing w:val="-1"/>
          <w:sz w:val="18"/>
          <w:szCs w:val="18"/>
          <w:u w:color="000000"/>
        </w:rPr>
        <w:t>Ser.L</w:t>
      </w:r>
      <w:proofErr w:type="spellEnd"/>
      <w:r w:rsidRPr="002D2C2E">
        <w:rPr>
          <w:color w:val="535353"/>
          <w:spacing w:val="-1"/>
          <w:sz w:val="18"/>
          <w:szCs w:val="18"/>
          <w:u w:color="000000"/>
        </w:rPr>
        <w:t>/</w:t>
      </w:r>
      <w:r w:rsidRPr="002D2C2E">
        <w:rPr>
          <w:rFonts w:eastAsia="Arial Unicode MS" w:cs="Arial Unicode MS"/>
          <w:color w:val="535353"/>
          <w:spacing w:val="-1"/>
          <w:sz w:val="18"/>
          <w:szCs w:val="18"/>
          <w:u w:color="000000"/>
        </w:rPr>
        <w:t>V</w:t>
      </w:r>
      <w:r w:rsidRPr="002D2C2E">
        <w:rPr>
          <w:color w:val="535353"/>
          <w:spacing w:val="-1"/>
          <w:sz w:val="18"/>
          <w:szCs w:val="18"/>
          <w:u w:color="000000"/>
        </w:rPr>
        <w:t>/</w:t>
      </w:r>
      <w:r w:rsidRPr="002D2C2E">
        <w:rPr>
          <w:rFonts w:eastAsia="Arial Unicode MS" w:cs="Arial Unicode MS"/>
          <w:color w:val="535353"/>
          <w:spacing w:val="-1"/>
          <w:sz w:val="18"/>
          <w:szCs w:val="18"/>
          <w:u w:color="000000"/>
        </w:rPr>
        <w:t>II.doc.</w:t>
      </w:r>
      <w:r w:rsidRPr="002D2C2E">
        <w:rPr>
          <w:color w:val="535353"/>
          <w:spacing w:val="-1"/>
          <w:sz w:val="18"/>
          <w:szCs w:val="18"/>
          <w:u w:color="000000"/>
        </w:rPr>
        <w:t>1/25</w:t>
      </w:r>
    </w:p>
    <w:p w14:paraId="5E4CA9FF" w14:textId="77777777" w:rsidR="001A105D" w:rsidRPr="002D2C2E" w:rsidRDefault="001A105D">
      <w:pPr>
        <w:pStyle w:val="Footnote"/>
        <w:spacing w:line="216" w:lineRule="auto"/>
        <w:rPr>
          <w:color w:val="535353"/>
          <w:spacing w:val="-1"/>
          <w:sz w:val="18"/>
          <w:szCs w:val="18"/>
          <w:u w:color="000000"/>
        </w:rPr>
      </w:pPr>
    </w:p>
    <w:p w14:paraId="3E2288F5" w14:textId="77777777" w:rsidR="001A105D" w:rsidRPr="002D2C2E" w:rsidRDefault="001A105D">
      <w:pPr>
        <w:pStyle w:val="Footnote"/>
        <w:pBdr>
          <w:top w:val="dotted" w:sz="2" w:space="6" w:color="525252"/>
        </w:pBdr>
        <w:spacing w:line="216" w:lineRule="auto"/>
        <w:rPr>
          <w:color w:val="535353"/>
          <w:spacing w:val="-1"/>
          <w:sz w:val="18"/>
          <w:szCs w:val="18"/>
          <w:u w:color="000000"/>
        </w:rPr>
      </w:pPr>
    </w:p>
    <w:p w14:paraId="4DECF95E" w14:textId="77777777" w:rsidR="001A105D" w:rsidRDefault="00000000">
      <w:pPr>
        <w:pStyle w:val="Default"/>
        <w:shd w:val="clear" w:color="auto" w:fill="FFFFFF"/>
        <w:spacing w:before="0" w:line="240" w:lineRule="auto"/>
        <w:jc w:val="both"/>
      </w:pPr>
      <w:r w:rsidRPr="002D2C2E">
        <w:rPr>
          <w:color w:val="535353"/>
          <w:sz w:val="18"/>
          <w:szCs w:val="18"/>
          <w:u w:color="000000"/>
        </w:rPr>
        <w:t>El Comisionado Carlos Bernal Pulido emiti</w:t>
      </w:r>
      <w:r w:rsidRPr="002D2C2E">
        <w:rPr>
          <w:rFonts w:ascii="Helvetica LT Std" w:hAnsi="Helvetica LT Std" w:cs="Helvetica LT Std"/>
          <w:color w:val="535353"/>
          <w:sz w:val="18"/>
          <w:szCs w:val="18"/>
          <w:u w:color="000000"/>
        </w:rPr>
        <w:t>ó</w:t>
      </w:r>
      <w:r w:rsidRPr="002D2C2E">
        <w:rPr>
          <w:color w:val="535353"/>
          <w:sz w:val="18"/>
          <w:szCs w:val="18"/>
          <w:u w:color="000000"/>
        </w:rPr>
        <w:t xml:space="preserve"> un voto razonado parcial del informe</w:t>
      </w:r>
      <w:r w:rsidRPr="002D2C2E">
        <w:rPr>
          <w:color w:val="535353"/>
          <w:sz w:val="18"/>
          <w:szCs w:val="18"/>
          <w:u w:color="000000"/>
          <w:lang w:val="en-US"/>
        </w:rPr>
        <w:t>,</w:t>
      </w:r>
      <w:r w:rsidRPr="002D2C2E">
        <w:rPr>
          <w:color w:val="535353"/>
          <w:sz w:val="18"/>
          <w:szCs w:val="18"/>
          <w:u w:color="000000"/>
        </w:rPr>
        <w:t xml:space="preserve"> al cual se uni</w:t>
      </w:r>
      <w:r w:rsidRPr="002D2C2E">
        <w:rPr>
          <w:rFonts w:ascii="Helvetica LT Std" w:hAnsi="Helvetica LT Std" w:cs="Helvetica LT Std"/>
          <w:color w:val="535353"/>
          <w:sz w:val="18"/>
          <w:szCs w:val="18"/>
          <w:u w:color="000000"/>
        </w:rPr>
        <w:t>ó</w:t>
      </w:r>
      <w:r w:rsidRPr="002D2C2E">
        <w:rPr>
          <w:color w:val="535353"/>
          <w:sz w:val="18"/>
          <w:szCs w:val="18"/>
          <w:u w:color="000000"/>
        </w:rPr>
        <w:t xml:space="preserve"> el Comisionado Edgar Stuardo </w:t>
      </w:r>
      <w:proofErr w:type="spellStart"/>
      <w:r w:rsidRPr="002D2C2E">
        <w:rPr>
          <w:color w:val="535353"/>
          <w:sz w:val="18"/>
          <w:szCs w:val="18"/>
          <w:u w:color="000000"/>
        </w:rPr>
        <w:t>Ral</w:t>
      </w:r>
      <w:r w:rsidRPr="002D2C2E">
        <w:rPr>
          <w:rFonts w:ascii="Helvetica LT Std" w:hAnsi="Helvetica LT Std" w:cs="Helvetica LT Std"/>
          <w:color w:val="535353"/>
          <w:sz w:val="18"/>
          <w:szCs w:val="18"/>
          <w:u w:color="000000"/>
        </w:rPr>
        <w:t>ó</w:t>
      </w:r>
      <w:r w:rsidRPr="002D2C2E">
        <w:rPr>
          <w:color w:val="535353"/>
          <w:sz w:val="18"/>
          <w:szCs w:val="18"/>
          <w:u w:color="000000"/>
        </w:rPr>
        <w:t>n</w:t>
      </w:r>
      <w:proofErr w:type="spellEnd"/>
      <w:r w:rsidRPr="002D2C2E">
        <w:rPr>
          <w:color w:val="535353"/>
          <w:sz w:val="18"/>
          <w:szCs w:val="18"/>
          <w:u w:color="000000"/>
        </w:rPr>
        <w:t xml:space="preserve"> Orellana. De conformidad con lo dispuesto en el art</w:t>
      </w:r>
      <w:r w:rsidRPr="002D2C2E">
        <w:rPr>
          <w:rFonts w:ascii="Helvetica LT Std" w:hAnsi="Helvetica LT Std" w:cs="Helvetica LT Std"/>
          <w:color w:val="535353"/>
          <w:sz w:val="18"/>
          <w:szCs w:val="18"/>
          <w:u w:color="000000"/>
        </w:rPr>
        <w:t>í</w:t>
      </w:r>
      <w:r w:rsidRPr="002D2C2E">
        <w:rPr>
          <w:color w:val="535353"/>
          <w:sz w:val="18"/>
          <w:szCs w:val="18"/>
          <w:u w:color="000000"/>
        </w:rPr>
        <w:t>culo 19.2 del Reglamento de la CIDH, dichos votos se incluyen al final del presente documento</w:t>
      </w:r>
      <w:r w:rsidRPr="002D2C2E">
        <w:rPr>
          <w:color w:val="535353"/>
          <w:sz w:val="18"/>
          <w:szCs w:val="18"/>
          <w:u w:color="000000"/>
          <w:lang w:val="en-US"/>
        </w:rPr>
        <w:t>.</w:t>
      </w:r>
      <w:r>
        <w:rPr>
          <w:rFonts w:ascii="Arial Unicode MS" w:hAnsi="Arial Unicode MS"/>
          <w:color w:val="0563C1"/>
          <w:sz w:val="20"/>
          <w:szCs w:val="20"/>
          <w:u w:val="single" w:color="0563C1"/>
        </w:rPr>
        <w:br w:type="page"/>
      </w:r>
    </w:p>
    <w:p w14:paraId="5DB04BB3" w14:textId="23118126" w:rsidR="001A105D" w:rsidRPr="002A1F79" w:rsidRDefault="00000000">
      <w:pPr>
        <w:pStyle w:val="Body"/>
        <w:widowControl w:val="0"/>
        <w:spacing w:before="320"/>
        <w:rPr>
          <w:color w:val="000000"/>
          <w:sz w:val="36"/>
          <w:szCs w:val="36"/>
          <w:u w:color="000000"/>
        </w:rPr>
      </w:pPr>
      <w:r>
        <w:rPr>
          <w:rFonts w:ascii="Arial Unicode MS" w:eastAsia="Arial Unicode MS" w:hAnsi="Arial Unicode MS" w:cs="Arial Unicode MS"/>
          <w:sz w:val="36"/>
          <w:szCs w:val="36"/>
          <w:u w:color="000000"/>
        </w:rPr>
        <w:lastRenderedPageBreak/>
        <w:t>ÍNDICE</w:t>
      </w:r>
      <w:r>
        <w:rPr>
          <w:color w:val="000000"/>
          <w:sz w:val="36"/>
          <w:szCs w:val="36"/>
          <w:u w:color="000000"/>
        </w:rPr>
        <w:fldChar w:fldCharType="begin"/>
      </w:r>
      <w:r>
        <w:rPr>
          <w:color w:val="000000"/>
          <w:sz w:val="36"/>
          <w:szCs w:val="36"/>
          <w:u w:color="000000"/>
        </w:rPr>
        <w:instrText xml:space="preserve"> TOC \o 1-3 \t "heading 4, 4"</w:instrText>
      </w:r>
      <w:r>
        <w:rPr>
          <w:color w:val="000000"/>
          <w:sz w:val="36"/>
          <w:szCs w:val="36"/>
          <w:u w:color="000000"/>
        </w:rPr>
        <w:fldChar w:fldCharType="separate"/>
      </w:r>
    </w:p>
    <w:p w14:paraId="4F55093D" w14:textId="77777777" w:rsidR="001A105D" w:rsidRPr="002D2C2E" w:rsidRDefault="00000000" w:rsidP="002D2C2E">
      <w:pPr>
        <w:pStyle w:val="TOC2"/>
        <w:numPr>
          <w:ilvl w:val="0"/>
          <w:numId w:val="1"/>
        </w:numPr>
        <w:ind w:left="475" w:hanging="475"/>
        <w:rPr>
          <w:rFonts w:ascii="Arial" w:hAnsi="Arial" w:cs="Arial"/>
          <w:b/>
          <w:bCs/>
        </w:rPr>
      </w:pPr>
      <w:r w:rsidRPr="002D2C2E">
        <w:rPr>
          <w:rFonts w:ascii="Arial" w:hAnsi="Arial" w:cs="Arial"/>
          <w:b/>
          <w:bCs/>
        </w:rPr>
        <w:t>INTRODUCCIÓN</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12</w:t>
      </w:r>
      <w:r w:rsidRPr="002D2C2E">
        <w:rPr>
          <w:rFonts w:ascii="Arial" w:hAnsi="Arial" w:cs="Arial"/>
          <w:b/>
          <w:bCs/>
        </w:rPr>
        <w:fldChar w:fldCharType="end"/>
      </w:r>
    </w:p>
    <w:p w14:paraId="0C5042A1" w14:textId="77777777" w:rsidR="001A105D" w:rsidRPr="002D2C2E" w:rsidRDefault="00000000" w:rsidP="002D2C2E">
      <w:pPr>
        <w:pStyle w:val="TOC3"/>
        <w:numPr>
          <w:ilvl w:val="0"/>
          <w:numId w:val="2"/>
        </w:numPr>
        <w:spacing w:line="276" w:lineRule="auto"/>
        <w:rPr>
          <w:rFonts w:ascii="Arial" w:hAnsi="Arial" w:cs="Arial"/>
          <w:b/>
          <w:bCs/>
        </w:rPr>
      </w:pPr>
      <w:r w:rsidRPr="002D2C2E">
        <w:rPr>
          <w:rFonts w:ascii="Arial" w:eastAsia="Arial Unicode MS" w:hAnsi="Arial" w:cs="Arial"/>
          <w:b/>
          <w:bCs/>
        </w:rPr>
        <w:t>Objetivo</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alcance</w:t>
      </w:r>
      <w:r w:rsidRPr="002D2C2E">
        <w:rPr>
          <w:rFonts w:ascii="Arial" w:hAnsi="Arial" w:cs="Arial"/>
          <w:b/>
          <w:bCs/>
        </w:rPr>
        <w:t xml:space="preserve"> </w:t>
      </w:r>
      <w:r w:rsidRPr="002D2C2E">
        <w:rPr>
          <w:rFonts w:ascii="Arial" w:eastAsia="Arial Unicode MS" w:hAnsi="Arial" w:cs="Arial"/>
          <w:b/>
          <w:bCs/>
        </w:rPr>
        <w:t>del</w:t>
      </w:r>
      <w:r w:rsidRPr="002D2C2E">
        <w:rPr>
          <w:rFonts w:ascii="Arial" w:hAnsi="Arial" w:cs="Arial"/>
          <w:b/>
          <w:bCs/>
        </w:rPr>
        <w:t xml:space="preserve"> </w:t>
      </w:r>
      <w:r w:rsidRPr="002D2C2E">
        <w:rPr>
          <w:rFonts w:ascii="Arial" w:eastAsia="Arial Unicode MS" w:hAnsi="Arial" w:cs="Arial"/>
          <w:b/>
          <w:bCs/>
        </w:rPr>
        <w:t>informe</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12</w:t>
      </w:r>
      <w:r w:rsidRPr="002D2C2E">
        <w:rPr>
          <w:rFonts w:ascii="Arial" w:hAnsi="Arial" w:cs="Arial"/>
          <w:b/>
          <w:bCs/>
        </w:rPr>
        <w:fldChar w:fldCharType="end"/>
      </w:r>
    </w:p>
    <w:p w14:paraId="7E18C951" w14:textId="77777777" w:rsidR="001A105D" w:rsidRPr="002D2C2E" w:rsidRDefault="00000000" w:rsidP="002D2C2E">
      <w:pPr>
        <w:pStyle w:val="TOC3"/>
        <w:numPr>
          <w:ilvl w:val="0"/>
          <w:numId w:val="3"/>
        </w:numPr>
        <w:spacing w:line="276" w:lineRule="auto"/>
        <w:rPr>
          <w:rFonts w:ascii="Arial" w:hAnsi="Arial" w:cs="Arial"/>
          <w:b/>
          <w:bCs/>
        </w:rPr>
      </w:pPr>
      <w:r w:rsidRPr="002D2C2E">
        <w:rPr>
          <w:rFonts w:ascii="Arial" w:eastAsia="Arial Unicode MS" w:hAnsi="Arial" w:cs="Arial"/>
          <w:b/>
          <w:bCs/>
        </w:rPr>
        <w:t>Metodología</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16</w:t>
      </w:r>
      <w:r w:rsidRPr="002D2C2E">
        <w:rPr>
          <w:rFonts w:ascii="Arial" w:hAnsi="Arial" w:cs="Arial"/>
          <w:b/>
          <w:bCs/>
        </w:rPr>
        <w:fldChar w:fldCharType="end"/>
      </w:r>
    </w:p>
    <w:p w14:paraId="17F0166C" w14:textId="77777777" w:rsidR="001A105D" w:rsidRPr="002D2C2E" w:rsidRDefault="00000000" w:rsidP="002D2C2E">
      <w:pPr>
        <w:pStyle w:val="TOC3"/>
        <w:numPr>
          <w:ilvl w:val="0"/>
          <w:numId w:val="4"/>
        </w:numPr>
        <w:spacing w:line="276" w:lineRule="auto"/>
        <w:rPr>
          <w:rFonts w:ascii="Arial" w:hAnsi="Arial" w:cs="Arial"/>
          <w:b/>
          <w:bCs/>
        </w:rPr>
      </w:pPr>
      <w:r w:rsidRPr="002D2C2E">
        <w:rPr>
          <w:rFonts w:ascii="Arial" w:eastAsia="Arial Unicode MS" w:hAnsi="Arial" w:cs="Arial"/>
          <w:b/>
          <w:bCs/>
        </w:rPr>
        <w:t>Estructura</w:t>
      </w:r>
      <w:r w:rsidRPr="002D2C2E">
        <w:rPr>
          <w:rFonts w:ascii="Arial" w:hAnsi="Arial" w:cs="Arial"/>
          <w:b/>
          <w:bCs/>
        </w:rPr>
        <w:t xml:space="preserve"> </w:t>
      </w:r>
      <w:r w:rsidRPr="002D2C2E">
        <w:rPr>
          <w:rFonts w:ascii="Arial" w:eastAsia="Arial Unicode MS" w:hAnsi="Arial" w:cs="Arial"/>
          <w:b/>
          <w:bCs/>
        </w:rPr>
        <w:t>del</w:t>
      </w:r>
      <w:r w:rsidRPr="002D2C2E">
        <w:rPr>
          <w:rFonts w:ascii="Arial" w:hAnsi="Arial" w:cs="Arial"/>
          <w:b/>
          <w:bCs/>
        </w:rPr>
        <w:t xml:space="preserve"> </w:t>
      </w:r>
      <w:r w:rsidRPr="002D2C2E">
        <w:rPr>
          <w:rFonts w:ascii="Arial" w:eastAsia="Arial Unicode MS" w:hAnsi="Arial" w:cs="Arial"/>
          <w:b/>
          <w:bCs/>
        </w:rPr>
        <w:t>informe</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_Toc3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18</w:t>
      </w:r>
      <w:r w:rsidRPr="002D2C2E">
        <w:rPr>
          <w:rFonts w:ascii="Arial" w:hAnsi="Arial" w:cs="Arial"/>
          <w:b/>
          <w:bCs/>
        </w:rPr>
        <w:fldChar w:fldCharType="end"/>
      </w:r>
    </w:p>
    <w:p w14:paraId="7098F995" w14:textId="77777777" w:rsidR="001A105D" w:rsidRPr="002D2C2E" w:rsidRDefault="00000000" w:rsidP="002D2C2E">
      <w:pPr>
        <w:pStyle w:val="TOC2"/>
        <w:numPr>
          <w:ilvl w:val="0"/>
          <w:numId w:val="5"/>
        </w:numPr>
        <w:spacing w:line="276" w:lineRule="auto"/>
        <w:rPr>
          <w:rFonts w:ascii="Arial" w:hAnsi="Arial" w:cs="Arial"/>
          <w:b/>
          <w:bCs/>
        </w:rPr>
      </w:pPr>
      <w:r w:rsidRPr="002D2C2E">
        <w:rPr>
          <w:rFonts w:ascii="Arial" w:hAnsi="Arial" w:cs="Arial"/>
          <w:b/>
          <w:bCs/>
        </w:rPr>
        <w:t xml:space="preserve">LOS MODELOS O PARADIGMAS PARA </w:t>
      </w:r>
      <w:proofErr w:type="gramStart"/>
      <w:r w:rsidRPr="002D2C2E">
        <w:rPr>
          <w:rFonts w:ascii="Arial" w:hAnsi="Arial" w:cs="Arial"/>
          <w:b/>
          <w:bCs/>
        </w:rPr>
        <w:t>ABORDAR  LA</w:t>
      </w:r>
      <w:proofErr w:type="gramEnd"/>
      <w:r w:rsidRPr="002D2C2E">
        <w:rPr>
          <w:rFonts w:ascii="Arial" w:hAnsi="Arial" w:cs="Arial"/>
          <w:b/>
          <w:bCs/>
        </w:rPr>
        <w:t xml:space="preserve"> DISCAPACIDAD: LA PRESCINDENCIA,  EL MODELO MÉDICO Y EL MODELO SOCIAL</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_Toc4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21</w:t>
      </w:r>
      <w:r w:rsidRPr="002D2C2E">
        <w:rPr>
          <w:rFonts w:ascii="Arial" w:hAnsi="Arial" w:cs="Arial"/>
          <w:b/>
          <w:bCs/>
        </w:rPr>
        <w:fldChar w:fldCharType="end"/>
      </w:r>
    </w:p>
    <w:p w14:paraId="37ABCCDB" w14:textId="77777777" w:rsidR="001A105D" w:rsidRPr="002D2C2E" w:rsidRDefault="00000000" w:rsidP="002D2C2E">
      <w:pPr>
        <w:pStyle w:val="TOC2"/>
        <w:numPr>
          <w:ilvl w:val="0"/>
          <w:numId w:val="6"/>
        </w:numPr>
        <w:spacing w:line="276" w:lineRule="auto"/>
        <w:rPr>
          <w:rFonts w:ascii="Arial" w:hAnsi="Arial" w:cs="Arial"/>
          <w:b/>
          <w:bCs/>
        </w:rPr>
      </w:pPr>
      <w:r w:rsidRPr="002D2C2E">
        <w:rPr>
          <w:rFonts w:ascii="Arial" w:hAnsi="Arial" w:cs="Arial"/>
          <w:b/>
          <w:bCs/>
        </w:rPr>
        <w:t xml:space="preserve">MARCO NORMATIVO INTERNACIONAL EN </w:t>
      </w:r>
      <w:proofErr w:type="gramStart"/>
      <w:r w:rsidRPr="002D2C2E">
        <w:rPr>
          <w:rFonts w:ascii="Arial" w:hAnsi="Arial" w:cs="Arial"/>
          <w:b/>
          <w:bCs/>
        </w:rPr>
        <w:t>MATERIA  DE</w:t>
      </w:r>
      <w:proofErr w:type="gramEnd"/>
      <w:r w:rsidRPr="002D2C2E">
        <w:rPr>
          <w:rFonts w:ascii="Arial" w:hAnsi="Arial" w:cs="Arial"/>
          <w:b/>
          <w:bCs/>
        </w:rPr>
        <w:t xml:space="preserve"> DISCAPACIDAD</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_Toc5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29</w:t>
      </w:r>
      <w:r w:rsidRPr="002D2C2E">
        <w:rPr>
          <w:rFonts w:ascii="Arial" w:hAnsi="Arial" w:cs="Arial"/>
          <w:b/>
          <w:bCs/>
        </w:rPr>
        <w:fldChar w:fldCharType="end"/>
      </w:r>
    </w:p>
    <w:p w14:paraId="54DEAD9F" w14:textId="77777777" w:rsidR="001A105D" w:rsidRPr="002D2C2E" w:rsidRDefault="00000000" w:rsidP="002D2C2E">
      <w:pPr>
        <w:pStyle w:val="TOC3"/>
        <w:numPr>
          <w:ilvl w:val="0"/>
          <w:numId w:val="7"/>
        </w:numPr>
        <w:spacing w:line="276" w:lineRule="auto"/>
        <w:rPr>
          <w:rFonts w:ascii="Arial" w:hAnsi="Arial" w:cs="Arial"/>
          <w:b/>
          <w:bCs/>
        </w:rPr>
      </w:pPr>
      <w:r w:rsidRPr="002D2C2E">
        <w:rPr>
          <w:rFonts w:ascii="Arial" w:eastAsia="Arial Unicode MS" w:hAnsi="Arial" w:cs="Arial"/>
          <w:b/>
          <w:bCs/>
        </w:rPr>
        <w:t>Ámbito</w:t>
      </w:r>
      <w:r w:rsidRPr="002D2C2E">
        <w:rPr>
          <w:rFonts w:ascii="Arial" w:hAnsi="Arial" w:cs="Arial"/>
          <w:b/>
          <w:bCs/>
        </w:rPr>
        <w:t xml:space="preserve"> </w:t>
      </w:r>
      <w:r w:rsidRPr="002D2C2E">
        <w:rPr>
          <w:rFonts w:ascii="Arial" w:eastAsia="Arial Unicode MS" w:hAnsi="Arial" w:cs="Arial"/>
          <w:b/>
          <w:bCs/>
        </w:rPr>
        <w:t>Universal</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_Toc6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32</w:t>
      </w:r>
      <w:r w:rsidRPr="002D2C2E">
        <w:rPr>
          <w:rFonts w:ascii="Arial" w:hAnsi="Arial" w:cs="Arial"/>
          <w:b/>
          <w:bCs/>
        </w:rPr>
        <w:fldChar w:fldCharType="end"/>
      </w:r>
    </w:p>
    <w:p w14:paraId="7DB79236" w14:textId="77777777" w:rsidR="001A105D" w:rsidRPr="002D2C2E" w:rsidRDefault="00000000" w:rsidP="002D2C2E">
      <w:pPr>
        <w:pStyle w:val="TOC3"/>
        <w:numPr>
          <w:ilvl w:val="0"/>
          <w:numId w:val="8"/>
        </w:numPr>
        <w:spacing w:line="276" w:lineRule="auto"/>
        <w:rPr>
          <w:rFonts w:ascii="Arial" w:hAnsi="Arial" w:cs="Arial"/>
          <w:b/>
          <w:bCs/>
        </w:rPr>
      </w:pPr>
      <w:r w:rsidRPr="002D2C2E">
        <w:rPr>
          <w:rFonts w:ascii="Arial" w:eastAsia="Arial Unicode MS" w:hAnsi="Arial" w:cs="Arial"/>
          <w:b/>
          <w:bCs/>
        </w:rPr>
        <w:t>Ámbito</w:t>
      </w:r>
      <w:r w:rsidRPr="002D2C2E">
        <w:rPr>
          <w:rFonts w:ascii="Arial" w:hAnsi="Arial" w:cs="Arial"/>
          <w:b/>
          <w:bCs/>
        </w:rPr>
        <w:t xml:space="preserve"> </w:t>
      </w:r>
      <w:r w:rsidRPr="002D2C2E">
        <w:rPr>
          <w:rFonts w:ascii="Arial" w:eastAsia="Arial Unicode MS" w:hAnsi="Arial" w:cs="Arial"/>
          <w:b/>
          <w:bCs/>
        </w:rPr>
        <w:t>Americano</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_Toc7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38</w:t>
      </w:r>
      <w:r w:rsidRPr="002D2C2E">
        <w:rPr>
          <w:rFonts w:ascii="Arial" w:hAnsi="Arial" w:cs="Arial"/>
          <w:b/>
          <w:bCs/>
        </w:rPr>
        <w:fldChar w:fldCharType="end"/>
      </w:r>
    </w:p>
    <w:p w14:paraId="06711F93" w14:textId="77777777" w:rsidR="001A105D" w:rsidRPr="002D2C2E" w:rsidRDefault="00000000" w:rsidP="002D2C2E">
      <w:pPr>
        <w:pStyle w:val="TOC2"/>
        <w:numPr>
          <w:ilvl w:val="0"/>
          <w:numId w:val="9"/>
        </w:numPr>
        <w:spacing w:line="276" w:lineRule="auto"/>
        <w:rPr>
          <w:rFonts w:ascii="Arial" w:hAnsi="Arial" w:cs="Arial"/>
          <w:b/>
          <w:bCs/>
        </w:rPr>
      </w:pPr>
      <w:r w:rsidRPr="002D2C2E">
        <w:rPr>
          <w:rFonts w:ascii="Arial" w:hAnsi="Arial" w:cs="Arial"/>
          <w:b/>
          <w:bCs/>
        </w:rPr>
        <w:t>SITUACIÓN GENERAL DE LOS DERECHOS DE LAS PERSONAS CON DISCAPACIDAD EN LA REGIÓN</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_Toc8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47</w:t>
      </w:r>
      <w:r w:rsidRPr="002D2C2E">
        <w:rPr>
          <w:rFonts w:ascii="Arial" w:hAnsi="Arial" w:cs="Arial"/>
          <w:b/>
          <w:bCs/>
        </w:rPr>
        <w:fldChar w:fldCharType="end"/>
      </w:r>
    </w:p>
    <w:p w14:paraId="3CD50AEB" w14:textId="77777777" w:rsidR="001A105D" w:rsidRPr="002D2C2E" w:rsidRDefault="00000000" w:rsidP="002D2C2E">
      <w:pPr>
        <w:pStyle w:val="TOC3"/>
        <w:numPr>
          <w:ilvl w:val="0"/>
          <w:numId w:val="10"/>
        </w:numPr>
        <w:spacing w:line="276" w:lineRule="auto"/>
        <w:rPr>
          <w:rFonts w:ascii="Arial" w:hAnsi="Arial" w:cs="Arial"/>
          <w:b/>
          <w:bCs/>
        </w:rPr>
      </w:pPr>
      <w:r w:rsidRPr="002D2C2E">
        <w:rPr>
          <w:rFonts w:ascii="Arial" w:eastAsia="Arial Unicode MS" w:hAnsi="Arial" w:cs="Arial"/>
          <w:b/>
          <w:bCs/>
        </w:rPr>
        <w:t>Recopilación</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datos</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estadísticas</w:t>
      </w:r>
      <w:r w:rsidRPr="002D2C2E">
        <w:rPr>
          <w:rFonts w:ascii="Arial" w:hAnsi="Arial" w:cs="Arial"/>
          <w:b/>
          <w:bCs/>
        </w:rPr>
        <w:t xml:space="preserve"> </w:t>
      </w:r>
      <w:r w:rsidRPr="002D2C2E">
        <w:rPr>
          <w:rFonts w:ascii="Arial" w:eastAsia="Arial Unicode MS" w:hAnsi="Arial" w:cs="Arial"/>
          <w:b/>
          <w:bCs/>
        </w:rPr>
        <w:t>en</w:t>
      </w:r>
      <w:r w:rsidRPr="002D2C2E">
        <w:rPr>
          <w:rFonts w:ascii="Arial" w:hAnsi="Arial" w:cs="Arial"/>
          <w:b/>
          <w:bCs/>
        </w:rPr>
        <w:t xml:space="preserve"> </w:t>
      </w:r>
      <w:proofErr w:type="gramStart"/>
      <w:r w:rsidRPr="002D2C2E">
        <w:rPr>
          <w:rFonts w:ascii="Arial" w:eastAsia="Arial Unicode MS" w:hAnsi="Arial" w:cs="Arial"/>
          <w:b/>
          <w:bCs/>
        </w:rPr>
        <w:t>materia</w:t>
      </w:r>
      <w:r w:rsidRPr="002D2C2E">
        <w:rPr>
          <w:rFonts w:ascii="Arial" w:hAnsi="Arial" w:cs="Arial"/>
          <w:b/>
          <w:bCs/>
        </w:rPr>
        <w:t xml:space="preserve">  </w:t>
      </w:r>
      <w:r w:rsidRPr="002D2C2E">
        <w:rPr>
          <w:rFonts w:ascii="Arial" w:eastAsia="Arial Unicode MS" w:hAnsi="Arial" w:cs="Arial"/>
          <w:b/>
          <w:bCs/>
        </w:rPr>
        <w:t>de</w:t>
      </w:r>
      <w:proofErr w:type="gramEnd"/>
      <w:r w:rsidRPr="002D2C2E">
        <w:rPr>
          <w:rFonts w:ascii="Arial" w:hAnsi="Arial" w:cs="Arial"/>
          <w:b/>
          <w:bCs/>
        </w:rPr>
        <w:t xml:space="preserve"> </w:t>
      </w:r>
      <w:r w:rsidRPr="002D2C2E">
        <w:rPr>
          <w:rFonts w:ascii="Arial" w:eastAsia="Arial Unicode MS" w:hAnsi="Arial" w:cs="Arial"/>
          <w:b/>
          <w:bCs/>
        </w:rPr>
        <w:t>discapacidad</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_Toc9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50</w:t>
      </w:r>
      <w:r w:rsidRPr="002D2C2E">
        <w:rPr>
          <w:rFonts w:ascii="Arial" w:hAnsi="Arial" w:cs="Arial"/>
          <w:b/>
          <w:bCs/>
        </w:rPr>
        <w:fldChar w:fldCharType="end"/>
      </w:r>
    </w:p>
    <w:p w14:paraId="54109BE8" w14:textId="77777777" w:rsidR="001A105D" w:rsidRPr="002D2C2E" w:rsidRDefault="00000000" w:rsidP="002D2C2E">
      <w:pPr>
        <w:pStyle w:val="TOC3"/>
        <w:numPr>
          <w:ilvl w:val="0"/>
          <w:numId w:val="11"/>
        </w:numPr>
        <w:spacing w:line="276" w:lineRule="auto"/>
        <w:rPr>
          <w:rFonts w:ascii="Arial" w:hAnsi="Arial" w:cs="Arial"/>
          <w:b/>
          <w:bCs/>
        </w:rPr>
      </w:pPr>
      <w:r w:rsidRPr="002D2C2E">
        <w:rPr>
          <w:rFonts w:ascii="Arial" w:eastAsia="Arial Unicode MS" w:hAnsi="Arial" w:cs="Arial"/>
          <w:b/>
          <w:bCs/>
        </w:rPr>
        <w:t>Contexto</w:t>
      </w:r>
      <w:r w:rsidRPr="002D2C2E">
        <w:rPr>
          <w:rFonts w:ascii="Arial" w:hAnsi="Arial" w:cs="Arial"/>
          <w:b/>
          <w:bCs/>
        </w:rPr>
        <w:t xml:space="preserve"> </w:t>
      </w:r>
      <w:r w:rsidRPr="002D2C2E">
        <w:rPr>
          <w:rFonts w:ascii="Arial" w:eastAsia="Arial Unicode MS" w:hAnsi="Arial" w:cs="Arial"/>
          <w:b/>
          <w:bCs/>
        </w:rPr>
        <w:t>general</w:t>
      </w:r>
      <w:r w:rsidRPr="002D2C2E">
        <w:rPr>
          <w:rFonts w:ascii="Arial" w:hAnsi="Arial" w:cs="Arial"/>
          <w:b/>
          <w:bCs/>
        </w:rPr>
        <w:t xml:space="preserve"> </w:t>
      </w:r>
      <w:r w:rsidRPr="002D2C2E">
        <w:rPr>
          <w:rFonts w:ascii="Arial" w:eastAsia="Arial Unicode MS" w:hAnsi="Arial" w:cs="Arial"/>
          <w:b/>
          <w:bCs/>
        </w:rPr>
        <w:t>en</w:t>
      </w:r>
      <w:r w:rsidRPr="002D2C2E">
        <w:rPr>
          <w:rFonts w:ascii="Arial" w:hAnsi="Arial" w:cs="Arial"/>
          <w:b/>
          <w:bCs/>
        </w:rPr>
        <w:t xml:space="preserve"> </w:t>
      </w:r>
      <w:r w:rsidRPr="002D2C2E">
        <w:rPr>
          <w:rFonts w:ascii="Arial" w:eastAsia="Arial Unicode MS" w:hAnsi="Arial" w:cs="Arial"/>
          <w:b/>
          <w:bCs/>
        </w:rPr>
        <w:t>materia</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discriminación</w:t>
      </w:r>
      <w:r w:rsidRPr="002D2C2E">
        <w:rPr>
          <w:rFonts w:ascii="Arial" w:hAnsi="Arial" w:cs="Arial"/>
          <w:b/>
          <w:bCs/>
        </w:rPr>
        <w:t xml:space="preserve"> </w:t>
      </w:r>
      <w:proofErr w:type="gramStart"/>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barreras</w:t>
      </w:r>
      <w:proofErr w:type="gramEnd"/>
      <w:r w:rsidRPr="002D2C2E">
        <w:rPr>
          <w:rFonts w:ascii="Arial" w:hAnsi="Arial" w:cs="Arial"/>
          <w:b/>
          <w:bCs/>
        </w:rPr>
        <w:t xml:space="preserve"> </w:t>
      </w:r>
      <w:r w:rsidRPr="002D2C2E">
        <w:rPr>
          <w:rFonts w:ascii="Arial" w:eastAsia="Arial Unicode MS" w:hAnsi="Arial" w:cs="Arial"/>
          <w:b/>
          <w:bCs/>
        </w:rPr>
        <w:t>en</w:t>
      </w:r>
      <w:r w:rsidRPr="002D2C2E">
        <w:rPr>
          <w:rFonts w:ascii="Arial" w:hAnsi="Arial" w:cs="Arial"/>
          <w:b/>
          <w:bCs/>
        </w:rPr>
        <w:t xml:space="preserve"> </w:t>
      </w:r>
      <w:r w:rsidRPr="002D2C2E">
        <w:rPr>
          <w:rFonts w:ascii="Arial" w:eastAsia="Arial Unicode MS" w:hAnsi="Arial" w:cs="Arial"/>
          <w:b/>
          <w:bCs/>
        </w:rPr>
        <w:t>el</w:t>
      </w:r>
      <w:r w:rsidRPr="002D2C2E">
        <w:rPr>
          <w:rFonts w:ascii="Arial" w:hAnsi="Arial" w:cs="Arial"/>
          <w:b/>
          <w:bCs/>
        </w:rPr>
        <w:t xml:space="preserve"> </w:t>
      </w:r>
      <w:r w:rsidRPr="002D2C2E">
        <w:rPr>
          <w:rFonts w:ascii="Arial" w:eastAsia="Arial Unicode MS" w:hAnsi="Arial" w:cs="Arial"/>
          <w:b/>
          <w:bCs/>
        </w:rPr>
        <w:t>ejercicio</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derechos</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las</w:t>
      </w:r>
      <w:r w:rsidRPr="002D2C2E">
        <w:rPr>
          <w:rFonts w:ascii="Arial" w:hAnsi="Arial" w:cs="Arial"/>
          <w:b/>
          <w:bCs/>
        </w:rPr>
        <w:t xml:space="preserve"> </w:t>
      </w:r>
      <w:r w:rsidRPr="002D2C2E">
        <w:rPr>
          <w:rFonts w:ascii="Arial" w:eastAsia="Arial Unicode MS" w:hAnsi="Arial" w:cs="Arial"/>
          <w:b/>
          <w:bCs/>
        </w:rPr>
        <w:t>personas</w:t>
      </w:r>
      <w:r w:rsidRPr="002D2C2E">
        <w:rPr>
          <w:rFonts w:ascii="Arial" w:hAnsi="Arial" w:cs="Arial"/>
          <w:b/>
          <w:bCs/>
        </w:rPr>
        <w:t xml:space="preserve">  </w:t>
      </w:r>
      <w:r w:rsidRPr="002D2C2E">
        <w:rPr>
          <w:rFonts w:ascii="Arial" w:eastAsia="Arial Unicode MS" w:hAnsi="Arial" w:cs="Arial"/>
          <w:b/>
          <w:bCs/>
        </w:rPr>
        <w:t>con</w:t>
      </w:r>
      <w:r w:rsidRPr="002D2C2E">
        <w:rPr>
          <w:rFonts w:ascii="Arial" w:hAnsi="Arial" w:cs="Arial"/>
          <w:b/>
          <w:bCs/>
        </w:rPr>
        <w:t xml:space="preserve"> </w:t>
      </w:r>
      <w:r w:rsidRPr="002D2C2E">
        <w:rPr>
          <w:rFonts w:ascii="Arial" w:eastAsia="Arial Unicode MS" w:hAnsi="Arial" w:cs="Arial"/>
          <w:b/>
          <w:bCs/>
        </w:rPr>
        <w:t>discapacidad</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_Toc10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61</w:t>
      </w:r>
      <w:r w:rsidRPr="002D2C2E">
        <w:rPr>
          <w:rFonts w:ascii="Arial" w:hAnsi="Arial" w:cs="Arial"/>
          <w:b/>
          <w:bCs/>
        </w:rPr>
        <w:fldChar w:fldCharType="end"/>
      </w:r>
    </w:p>
    <w:p w14:paraId="1C39F883" w14:textId="77777777" w:rsidR="001A105D" w:rsidRPr="002D2C2E" w:rsidRDefault="00000000" w:rsidP="002D2C2E">
      <w:pPr>
        <w:pStyle w:val="TOC3"/>
        <w:numPr>
          <w:ilvl w:val="0"/>
          <w:numId w:val="12"/>
        </w:numPr>
        <w:spacing w:line="276" w:lineRule="auto"/>
        <w:rPr>
          <w:rFonts w:ascii="Arial" w:hAnsi="Arial" w:cs="Arial"/>
          <w:b/>
          <w:bCs/>
        </w:rPr>
      </w:pPr>
      <w:r w:rsidRPr="002D2C2E">
        <w:rPr>
          <w:rFonts w:ascii="Arial" w:eastAsia="Arial Unicode MS" w:hAnsi="Arial" w:cs="Arial"/>
          <w:b/>
          <w:bCs/>
        </w:rPr>
        <w:t>Discriminación</w:t>
      </w:r>
      <w:r w:rsidRPr="002D2C2E">
        <w:rPr>
          <w:rFonts w:ascii="Arial" w:hAnsi="Arial" w:cs="Arial"/>
          <w:b/>
          <w:bCs/>
        </w:rPr>
        <w:t xml:space="preserve"> </w:t>
      </w:r>
      <w:r w:rsidRPr="002D2C2E">
        <w:rPr>
          <w:rFonts w:ascii="Arial" w:eastAsia="Arial Unicode MS" w:hAnsi="Arial" w:cs="Arial"/>
          <w:b/>
          <w:bCs/>
        </w:rPr>
        <w:t>interseccional</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grupos</w:t>
      </w:r>
      <w:r w:rsidRPr="002D2C2E">
        <w:rPr>
          <w:rFonts w:ascii="Arial" w:hAnsi="Arial" w:cs="Arial"/>
          <w:b/>
          <w:bCs/>
        </w:rPr>
        <w:t xml:space="preserve"> </w:t>
      </w:r>
      <w:r w:rsidRPr="002D2C2E">
        <w:rPr>
          <w:rFonts w:ascii="Arial" w:eastAsia="Arial Unicode MS" w:hAnsi="Arial" w:cs="Arial"/>
          <w:b/>
          <w:bCs/>
        </w:rPr>
        <w:t>en</w:t>
      </w:r>
      <w:r w:rsidRPr="002D2C2E">
        <w:rPr>
          <w:rFonts w:ascii="Arial" w:hAnsi="Arial" w:cs="Arial"/>
          <w:b/>
          <w:bCs/>
        </w:rPr>
        <w:t xml:space="preserve"> </w:t>
      </w:r>
      <w:r w:rsidRPr="002D2C2E">
        <w:rPr>
          <w:rFonts w:ascii="Arial" w:eastAsia="Arial Unicode MS" w:hAnsi="Arial" w:cs="Arial"/>
          <w:b/>
          <w:bCs/>
        </w:rPr>
        <w:t>situación</w:t>
      </w:r>
      <w:r w:rsidRPr="002D2C2E">
        <w:rPr>
          <w:rFonts w:ascii="Arial" w:hAnsi="Arial" w:cs="Arial"/>
          <w:b/>
          <w:bCs/>
        </w:rPr>
        <w:t xml:space="preserve"> </w:t>
      </w:r>
      <w:r w:rsidRPr="002D2C2E">
        <w:rPr>
          <w:rFonts w:ascii="Arial" w:eastAsia="Arial Unicode MS" w:hAnsi="Arial" w:cs="Arial"/>
          <w:b/>
          <w:bCs/>
        </w:rPr>
        <w:t>especial</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riesgo</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_Toc11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79</w:t>
      </w:r>
      <w:r w:rsidRPr="002D2C2E">
        <w:rPr>
          <w:rFonts w:ascii="Arial" w:hAnsi="Arial" w:cs="Arial"/>
          <w:b/>
          <w:bCs/>
        </w:rPr>
        <w:fldChar w:fldCharType="end"/>
      </w:r>
    </w:p>
    <w:p w14:paraId="76FF7C46" w14:textId="77777777" w:rsidR="001A105D" w:rsidRPr="002D2C2E" w:rsidRDefault="00000000" w:rsidP="002D2C2E">
      <w:pPr>
        <w:pStyle w:val="TOC3"/>
        <w:numPr>
          <w:ilvl w:val="0"/>
          <w:numId w:val="13"/>
        </w:numPr>
        <w:spacing w:line="276" w:lineRule="auto"/>
        <w:rPr>
          <w:rFonts w:ascii="Arial" w:hAnsi="Arial" w:cs="Arial"/>
          <w:b/>
          <w:bCs/>
        </w:rPr>
      </w:pPr>
      <w:r w:rsidRPr="002D2C2E">
        <w:rPr>
          <w:rFonts w:ascii="Arial" w:eastAsia="Arial Unicode MS" w:hAnsi="Arial" w:cs="Arial"/>
          <w:b/>
          <w:bCs/>
        </w:rPr>
        <w:t>El</w:t>
      </w:r>
      <w:r w:rsidRPr="002D2C2E">
        <w:rPr>
          <w:rFonts w:ascii="Arial" w:hAnsi="Arial" w:cs="Arial"/>
          <w:b/>
          <w:bCs/>
        </w:rPr>
        <w:t xml:space="preserve"> </w:t>
      </w:r>
      <w:r w:rsidRPr="002D2C2E">
        <w:rPr>
          <w:rFonts w:ascii="Arial" w:eastAsia="Arial Unicode MS" w:hAnsi="Arial" w:cs="Arial"/>
          <w:b/>
          <w:bCs/>
        </w:rPr>
        <w:t>enfoque</w:t>
      </w:r>
      <w:r w:rsidRPr="002D2C2E">
        <w:rPr>
          <w:rFonts w:ascii="Arial" w:hAnsi="Arial" w:cs="Arial"/>
          <w:b/>
          <w:bCs/>
        </w:rPr>
        <w:t xml:space="preserve"> </w:t>
      </w:r>
      <w:r w:rsidRPr="002D2C2E">
        <w:rPr>
          <w:rFonts w:ascii="Arial" w:eastAsia="Arial Unicode MS" w:hAnsi="Arial" w:cs="Arial"/>
          <w:b/>
          <w:bCs/>
        </w:rPr>
        <w:t>interseccional,</w:t>
      </w:r>
      <w:r w:rsidRPr="002D2C2E">
        <w:rPr>
          <w:rFonts w:ascii="Arial" w:hAnsi="Arial" w:cs="Arial"/>
          <w:b/>
          <w:bCs/>
        </w:rPr>
        <w:t xml:space="preserve"> </w:t>
      </w:r>
      <w:r w:rsidRPr="002D2C2E">
        <w:rPr>
          <w:rFonts w:ascii="Arial" w:eastAsia="Arial Unicode MS" w:hAnsi="Arial" w:cs="Arial"/>
          <w:b/>
          <w:bCs/>
        </w:rPr>
        <w:t>cuidados</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apoyos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_Toc12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83</w:t>
      </w:r>
      <w:r w:rsidRPr="002D2C2E">
        <w:rPr>
          <w:rFonts w:ascii="Arial" w:hAnsi="Arial" w:cs="Arial"/>
          <w:b/>
          <w:bCs/>
        </w:rPr>
        <w:fldChar w:fldCharType="end"/>
      </w:r>
    </w:p>
    <w:p w14:paraId="424F7C98" w14:textId="77777777" w:rsidR="001A105D" w:rsidRPr="002D2C2E" w:rsidRDefault="00000000" w:rsidP="002D2C2E">
      <w:pPr>
        <w:pStyle w:val="TOC2"/>
        <w:numPr>
          <w:ilvl w:val="0"/>
          <w:numId w:val="14"/>
        </w:numPr>
        <w:spacing w:line="276" w:lineRule="auto"/>
        <w:rPr>
          <w:rFonts w:ascii="Arial" w:hAnsi="Arial" w:cs="Arial"/>
          <w:b/>
          <w:bCs/>
        </w:rPr>
      </w:pPr>
      <w:r w:rsidRPr="002D2C2E">
        <w:rPr>
          <w:rFonts w:ascii="Arial" w:hAnsi="Arial" w:cs="Arial"/>
          <w:b/>
          <w:bCs/>
        </w:rPr>
        <w:t>PROTECCIÓN DE DETERMINADOS DERECHOS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_Toc13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85</w:t>
      </w:r>
      <w:r w:rsidRPr="002D2C2E">
        <w:rPr>
          <w:rFonts w:ascii="Arial" w:hAnsi="Arial" w:cs="Arial"/>
          <w:b/>
          <w:bCs/>
        </w:rPr>
        <w:fldChar w:fldCharType="end"/>
      </w:r>
    </w:p>
    <w:p w14:paraId="7E6BB419" w14:textId="77777777" w:rsidR="001A105D" w:rsidRPr="002D2C2E" w:rsidRDefault="00000000" w:rsidP="002D2C2E">
      <w:pPr>
        <w:pStyle w:val="TOC3"/>
        <w:numPr>
          <w:ilvl w:val="0"/>
          <w:numId w:val="15"/>
        </w:numPr>
        <w:spacing w:line="276" w:lineRule="auto"/>
        <w:rPr>
          <w:rFonts w:ascii="Arial" w:hAnsi="Arial" w:cs="Arial"/>
          <w:b/>
          <w:bCs/>
        </w:rPr>
      </w:pPr>
      <w:r w:rsidRPr="002D2C2E">
        <w:rPr>
          <w:rFonts w:ascii="Arial" w:eastAsia="Arial Unicode MS" w:hAnsi="Arial" w:cs="Arial"/>
          <w:b/>
          <w:bCs/>
        </w:rPr>
        <w:t>Accesibilidad</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_Toc14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85</w:t>
      </w:r>
      <w:r w:rsidRPr="002D2C2E">
        <w:rPr>
          <w:rFonts w:ascii="Arial" w:hAnsi="Arial" w:cs="Arial"/>
          <w:b/>
          <w:bCs/>
        </w:rPr>
        <w:fldChar w:fldCharType="end"/>
      </w:r>
    </w:p>
    <w:p w14:paraId="04E91DF8" w14:textId="77777777" w:rsidR="001A105D" w:rsidRPr="002D2C2E" w:rsidRDefault="00000000" w:rsidP="002D2C2E">
      <w:pPr>
        <w:pStyle w:val="TOC3"/>
        <w:numPr>
          <w:ilvl w:val="0"/>
          <w:numId w:val="16"/>
        </w:numPr>
        <w:spacing w:line="276" w:lineRule="auto"/>
        <w:rPr>
          <w:rFonts w:ascii="Arial" w:hAnsi="Arial" w:cs="Arial"/>
          <w:b/>
          <w:bCs/>
        </w:rPr>
      </w:pPr>
      <w:r w:rsidRPr="002D2C2E">
        <w:rPr>
          <w:rFonts w:ascii="Arial" w:eastAsia="Arial Unicode MS" w:hAnsi="Arial" w:cs="Arial"/>
          <w:b/>
          <w:bCs/>
        </w:rPr>
        <w:t>Derechos</w:t>
      </w:r>
      <w:r w:rsidRPr="002D2C2E">
        <w:rPr>
          <w:rFonts w:ascii="Arial" w:hAnsi="Arial" w:cs="Arial"/>
          <w:b/>
          <w:bCs/>
        </w:rPr>
        <w:t xml:space="preserve"> </w:t>
      </w:r>
      <w:r w:rsidRPr="002D2C2E">
        <w:rPr>
          <w:rFonts w:ascii="Arial" w:eastAsia="Arial Unicode MS" w:hAnsi="Arial" w:cs="Arial"/>
          <w:b/>
          <w:bCs/>
        </w:rPr>
        <w:t>políticos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_Toc15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104</w:t>
      </w:r>
      <w:r w:rsidRPr="002D2C2E">
        <w:rPr>
          <w:rFonts w:ascii="Arial" w:hAnsi="Arial" w:cs="Arial"/>
          <w:b/>
          <w:bCs/>
        </w:rPr>
        <w:fldChar w:fldCharType="end"/>
      </w:r>
    </w:p>
    <w:p w14:paraId="7E2F625F" w14:textId="77777777" w:rsidR="001A105D" w:rsidRPr="002D2C2E" w:rsidRDefault="00000000" w:rsidP="002D2C2E">
      <w:pPr>
        <w:pStyle w:val="TOC3"/>
        <w:numPr>
          <w:ilvl w:val="0"/>
          <w:numId w:val="17"/>
        </w:numPr>
        <w:spacing w:line="276" w:lineRule="auto"/>
        <w:rPr>
          <w:rFonts w:ascii="Arial" w:hAnsi="Arial" w:cs="Arial"/>
          <w:b/>
          <w:bCs/>
        </w:rPr>
      </w:pPr>
      <w:r w:rsidRPr="002D2C2E">
        <w:rPr>
          <w:rFonts w:ascii="Arial" w:eastAsia="Arial Unicode MS" w:hAnsi="Arial" w:cs="Arial"/>
          <w:b/>
          <w:bCs/>
        </w:rPr>
        <w:t>Derecho</w:t>
      </w:r>
      <w:r w:rsidRPr="002D2C2E">
        <w:rPr>
          <w:rFonts w:ascii="Arial" w:hAnsi="Arial" w:cs="Arial"/>
          <w:b/>
          <w:bCs/>
        </w:rPr>
        <w:t xml:space="preserve"> </w:t>
      </w:r>
      <w:r w:rsidRPr="002D2C2E">
        <w:rPr>
          <w:rFonts w:ascii="Arial" w:eastAsia="Arial Unicode MS" w:hAnsi="Arial" w:cs="Arial"/>
          <w:b/>
          <w:bCs/>
        </w:rPr>
        <w:t>a</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salud</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_Toc16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116</w:t>
      </w:r>
      <w:r w:rsidRPr="002D2C2E">
        <w:rPr>
          <w:rFonts w:ascii="Arial" w:hAnsi="Arial" w:cs="Arial"/>
          <w:b/>
          <w:bCs/>
        </w:rPr>
        <w:fldChar w:fldCharType="end"/>
      </w:r>
    </w:p>
    <w:p w14:paraId="7ADDC7F3" w14:textId="77777777" w:rsidR="001A105D" w:rsidRPr="002D2C2E" w:rsidRDefault="00000000" w:rsidP="002D2C2E">
      <w:pPr>
        <w:pStyle w:val="TOC3"/>
        <w:numPr>
          <w:ilvl w:val="0"/>
          <w:numId w:val="18"/>
        </w:numPr>
        <w:spacing w:line="276" w:lineRule="auto"/>
        <w:rPr>
          <w:rFonts w:ascii="Arial" w:hAnsi="Arial" w:cs="Arial"/>
          <w:b/>
          <w:bCs/>
        </w:rPr>
      </w:pPr>
      <w:r w:rsidRPr="002D2C2E">
        <w:rPr>
          <w:rFonts w:ascii="Arial" w:eastAsia="Arial Unicode MS" w:hAnsi="Arial" w:cs="Arial"/>
          <w:b/>
          <w:bCs/>
        </w:rPr>
        <w:t>Derecho</w:t>
      </w:r>
      <w:r w:rsidRPr="002D2C2E">
        <w:rPr>
          <w:rFonts w:ascii="Arial" w:hAnsi="Arial" w:cs="Arial"/>
          <w:b/>
          <w:bCs/>
        </w:rPr>
        <w:t xml:space="preserve"> </w:t>
      </w:r>
      <w:r w:rsidRPr="002D2C2E">
        <w:rPr>
          <w:rFonts w:ascii="Arial" w:eastAsia="Arial Unicode MS" w:hAnsi="Arial" w:cs="Arial"/>
          <w:b/>
          <w:bCs/>
        </w:rPr>
        <w:t>a</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integridad</w:t>
      </w:r>
      <w:r w:rsidRPr="002D2C2E">
        <w:rPr>
          <w:rFonts w:ascii="Arial" w:hAnsi="Arial" w:cs="Arial"/>
          <w:b/>
          <w:bCs/>
        </w:rPr>
        <w:t xml:space="preserve"> </w:t>
      </w:r>
      <w:r w:rsidRPr="002D2C2E">
        <w:rPr>
          <w:rFonts w:ascii="Arial" w:eastAsia="Arial Unicode MS" w:hAnsi="Arial" w:cs="Arial"/>
          <w:b/>
          <w:bCs/>
        </w:rPr>
        <w:t>física</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psicológica:</w:t>
      </w:r>
      <w:r w:rsidRPr="002D2C2E">
        <w:rPr>
          <w:rFonts w:ascii="Arial" w:hAnsi="Arial" w:cs="Arial"/>
          <w:b/>
          <w:bCs/>
        </w:rPr>
        <w:t xml:space="preserve"> </w:t>
      </w:r>
      <w:r w:rsidRPr="002D2C2E">
        <w:rPr>
          <w:rFonts w:ascii="Arial" w:eastAsia="Arial Unicode MS" w:hAnsi="Arial" w:cs="Arial"/>
          <w:b/>
          <w:bCs/>
        </w:rPr>
        <w:t>protección</w:t>
      </w:r>
      <w:r w:rsidRPr="002D2C2E">
        <w:rPr>
          <w:rFonts w:ascii="Arial" w:hAnsi="Arial" w:cs="Arial"/>
          <w:b/>
          <w:bCs/>
        </w:rPr>
        <w:t xml:space="preserve"> </w:t>
      </w:r>
      <w:r w:rsidRPr="002D2C2E">
        <w:rPr>
          <w:rFonts w:ascii="Arial" w:eastAsia="Arial Unicode MS" w:hAnsi="Arial" w:cs="Arial"/>
          <w:b/>
          <w:bCs/>
        </w:rPr>
        <w:t>contra</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tortura</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otros</w:t>
      </w:r>
      <w:r w:rsidRPr="002D2C2E">
        <w:rPr>
          <w:rFonts w:ascii="Arial" w:hAnsi="Arial" w:cs="Arial"/>
          <w:b/>
          <w:bCs/>
        </w:rPr>
        <w:t xml:space="preserve"> </w:t>
      </w:r>
      <w:r w:rsidRPr="002D2C2E">
        <w:rPr>
          <w:rFonts w:ascii="Arial" w:eastAsia="Arial Unicode MS" w:hAnsi="Arial" w:cs="Arial"/>
          <w:b/>
          <w:bCs/>
        </w:rPr>
        <w:t>malos</w:t>
      </w:r>
      <w:r w:rsidRPr="002D2C2E">
        <w:rPr>
          <w:rFonts w:ascii="Arial" w:hAnsi="Arial" w:cs="Arial"/>
          <w:b/>
          <w:bCs/>
        </w:rPr>
        <w:t xml:space="preserve"> </w:t>
      </w:r>
      <w:r w:rsidRPr="002D2C2E">
        <w:rPr>
          <w:rFonts w:ascii="Arial" w:eastAsia="Arial Unicode MS" w:hAnsi="Arial" w:cs="Arial"/>
          <w:b/>
          <w:bCs/>
        </w:rPr>
        <w:t>tratos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_Toc17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143</w:t>
      </w:r>
      <w:r w:rsidRPr="002D2C2E">
        <w:rPr>
          <w:rFonts w:ascii="Arial" w:hAnsi="Arial" w:cs="Arial"/>
          <w:b/>
          <w:bCs/>
        </w:rPr>
        <w:fldChar w:fldCharType="end"/>
      </w:r>
    </w:p>
    <w:p w14:paraId="294CB5C8" w14:textId="77777777" w:rsidR="001A105D" w:rsidRPr="002D2C2E" w:rsidRDefault="00000000" w:rsidP="002D2C2E">
      <w:pPr>
        <w:pStyle w:val="TOC3"/>
        <w:numPr>
          <w:ilvl w:val="0"/>
          <w:numId w:val="19"/>
        </w:numPr>
        <w:spacing w:line="276" w:lineRule="auto"/>
        <w:rPr>
          <w:rFonts w:ascii="Arial" w:hAnsi="Arial" w:cs="Arial"/>
          <w:b/>
          <w:bCs/>
        </w:rPr>
      </w:pPr>
      <w:r w:rsidRPr="002D2C2E">
        <w:rPr>
          <w:rFonts w:ascii="Arial" w:eastAsia="Arial Unicode MS" w:hAnsi="Arial" w:cs="Arial"/>
          <w:b/>
          <w:bCs/>
        </w:rPr>
        <w:t>Derecho</w:t>
      </w:r>
      <w:r w:rsidRPr="002D2C2E">
        <w:rPr>
          <w:rFonts w:ascii="Arial" w:hAnsi="Arial" w:cs="Arial"/>
          <w:b/>
          <w:bCs/>
        </w:rPr>
        <w:t xml:space="preserve"> </w:t>
      </w:r>
      <w:r w:rsidRPr="002D2C2E">
        <w:rPr>
          <w:rFonts w:ascii="Arial" w:eastAsia="Arial Unicode MS" w:hAnsi="Arial" w:cs="Arial"/>
          <w:b/>
          <w:bCs/>
        </w:rPr>
        <w:t>a</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educación</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_Toc18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149</w:t>
      </w:r>
      <w:r w:rsidRPr="002D2C2E">
        <w:rPr>
          <w:rFonts w:ascii="Arial" w:hAnsi="Arial" w:cs="Arial"/>
          <w:b/>
          <w:bCs/>
        </w:rPr>
        <w:fldChar w:fldCharType="end"/>
      </w:r>
    </w:p>
    <w:p w14:paraId="7EE680E9" w14:textId="77777777" w:rsidR="001A105D" w:rsidRPr="002D2C2E" w:rsidRDefault="00000000" w:rsidP="002D2C2E">
      <w:pPr>
        <w:pStyle w:val="TOC3"/>
        <w:numPr>
          <w:ilvl w:val="0"/>
          <w:numId w:val="20"/>
        </w:numPr>
        <w:spacing w:line="276" w:lineRule="auto"/>
        <w:rPr>
          <w:rFonts w:ascii="Arial" w:hAnsi="Arial" w:cs="Arial"/>
          <w:b/>
          <w:bCs/>
        </w:rPr>
      </w:pPr>
      <w:r w:rsidRPr="002D2C2E">
        <w:rPr>
          <w:rFonts w:ascii="Arial" w:eastAsia="Arial Unicode MS" w:hAnsi="Arial" w:cs="Arial"/>
          <w:b/>
          <w:bCs/>
        </w:rPr>
        <w:t>Derecho</w:t>
      </w:r>
      <w:r w:rsidRPr="002D2C2E">
        <w:rPr>
          <w:rFonts w:ascii="Arial" w:hAnsi="Arial" w:cs="Arial"/>
          <w:b/>
          <w:bCs/>
        </w:rPr>
        <w:t xml:space="preserve"> </w:t>
      </w:r>
      <w:r w:rsidRPr="002D2C2E">
        <w:rPr>
          <w:rFonts w:ascii="Arial" w:eastAsia="Arial Unicode MS" w:hAnsi="Arial" w:cs="Arial"/>
          <w:b/>
          <w:bCs/>
        </w:rPr>
        <w:t>al</w:t>
      </w:r>
      <w:r w:rsidRPr="002D2C2E">
        <w:rPr>
          <w:rFonts w:ascii="Arial" w:hAnsi="Arial" w:cs="Arial"/>
          <w:b/>
          <w:bCs/>
        </w:rPr>
        <w:t xml:space="preserve"> </w:t>
      </w:r>
      <w:r w:rsidRPr="002D2C2E">
        <w:rPr>
          <w:rFonts w:ascii="Arial" w:eastAsia="Arial Unicode MS" w:hAnsi="Arial" w:cs="Arial"/>
          <w:b/>
          <w:bCs/>
        </w:rPr>
        <w:t>trabajo</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_Toc19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165</w:t>
      </w:r>
      <w:r w:rsidRPr="002D2C2E">
        <w:rPr>
          <w:rFonts w:ascii="Arial" w:hAnsi="Arial" w:cs="Arial"/>
          <w:b/>
          <w:bCs/>
        </w:rPr>
        <w:fldChar w:fldCharType="end"/>
      </w:r>
    </w:p>
    <w:p w14:paraId="6BEC60E1" w14:textId="77777777" w:rsidR="001A105D" w:rsidRPr="002D2C2E" w:rsidRDefault="00000000" w:rsidP="002D2C2E">
      <w:pPr>
        <w:pStyle w:val="TOC2"/>
        <w:numPr>
          <w:ilvl w:val="0"/>
          <w:numId w:val="21"/>
        </w:numPr>
        <w:spacing w:line="276" w:lineRule="auto"/>
        <w:rPr>
          <w:rFonts w:ascii="Arial" w:hAnsi="Arial" w:cs="Arial"/>
          <w:b/>
          <w:bCs/>
        </w:rPr>
      </w:pPr>
      <w:r w:rsidRPr="002D2C2E">
        <w:rPr>
          <w:rFonts w:ascii="Arial" w:hAnsi="Arial" w:cs="Arial"/>
          <w:b/>
          <w:bCs/>
        </w:rPr>
        <w:t>DERECHO A LA CAPACIDAD JURÍDICA</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_Toc20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181</w:t>
      </w:r>
      <w:r w:rsidRPr="002D2C2E">
        <w:rPr>
          <w:rFonts w:ascii="Arial" w:hAnsi="Arial" w:cs="Arial"/>
          <w:b/>
          <w:bCs/>
        </w:rPr>
        <w:fldChar w:fldCharType="end"/>
      </w:r>
    </w:p>
    <w:p w14:paraId="664D89DA" w14:textId="77777777" w:rsidR="001A105D" w:rsidRPr="002D2C2E" w:rsidRDefault="00000000" w:rsidP="002D2C2E">
      <w:pPr>
        <w:pStyle w:val="TOC3"/>
        <w:numPr>
          <w:ilvl w:val="0"/>
          <w:numId w:val="22"/>
        </w:numPr>
        <w:spacing w:line="276" w:lineRule="auto"/>
        <w:rPr>
          <w:rFonts w:ascii="Arial" w:hAnsi="Arial" w:cs="Arial"/>
          <w:b/>
          <w:bCs/>
        </w:rPr>
      </w:pPr>
      <w:r w:rsidRPr="002D2C2E">
        <w:rPr>
          <w:rFonts w:ascii="Arial" w:eastAsia="Arial Unicode MS" w:hAnsi="Arial" w:cs="Arial"/>
          <w:b/>
          <w:bCs/>
        </w:rPr>
        <w:t>Consideraciones</w:t>
      </w:r>
      <w:r w:rsidRPr="002D2C2E">
        <w:rPr>
          <w:rFonts w:ascii="Arial" w:hAnsi="Arial" w:cs="Arial"/>
          <w:b/>
          <w:bCs/>
        </w:rPr>
        <w:t xml:space="preserve"> </w:t>
      </w:r>
      <w:r w:rsidRPr="002D2C2E">
        <w:rPr>
          <w:rFonts w:ascii="Arial" w:eastAsia="Arial Unicode MS" w:hAnsi="Arial" w:cs="Arial"/>
          <w:b/>
          <w:bCs/>
        </w:rPr>
        <w:t>generales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_Toc21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181</w:t>
      </w:r>
      <w:r w:rsidRPr="002D2C2E">
        <w:rPr>
          <w:rFonts w:ascii="Arial" w:hAnsi="Arial" w:cs="Arial"/>
          <w:b/>
          <w:bCs/>
        </w:rPr>
        <w:fldChar w:fldCharType="end"/>
      </w:r>
    </w:p>
    <w:p w14:paraId="47AE629C" w14:textId="77777777" w:rsidR="001A105D" w:rsidRPr="002D2C2E" w:rsidRDefault="00000000" w:rsidP="002D2C2E">
      <w:pPr>
        <w:pStyle w:val="TOC3"/>
        <w:numPr>
          <w:ilvl w:val="0"/>
          <w:numId w:val="23"/>
        </w:numPr>
        <w:spacing w:line="276" w:lineRule="auto"/>
        <w:rPr>
          <w:rFonts w:ascii="Arial" w:hAnsi="Arial" w:cs="Arial"/>
          <w:b/>
          <w:bCs/>
        </w:rPr>
      </w:pP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discriminación</w:t>
      </w:r>
      <w:r w:rsidRPr="002D2C2E">
        <w:rPr>
          <w:rFonts w:ascii="Arial" w:hAnsi="Arial" w:cs="Arial"/>
          <w:b/>
          <w:bCs/>
        </w:rPr>
        <w:t xml:space="preserve"> </w:t>
      </w:r>
      <w:r w:rsidRPr="002D2C2E">
        <w:rPr>
          <w:rFonts w:ascii="Arial" w:eastAsia="Arial Unicode MS" w:hAnsi="Arial" w:cs="Arial"/>
          <w:b/>
          <w:bCs/>
        </w:rPr>
        <w:t>por</w:t>
      </w:r>
      <w:r w:rsidRPr="002D2C2E">
        <w:rPr>
          <w:rFonts w:ascii="Arial" w:hAnsi="Arial" w:cs="Arial"/>
          <w:b/>
          <w:bCs/>
        </w:rPr>
        <w:t xml:space="preserve"> </w:t>
      </w:r>
      <w:r w:rsidRPr="002D2C2E">
        <w:rPr>
          <w:rFonts w:ascii="Arial" w:eastAsia="Arial Unicode MS" w:hAnsi="Arial" w:cs="Arial"/>
          <w:b/>
          <w:bCs/>
        </w:rPr>
        <w:t>motivos</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discapacidad</w:t>
      </w:r>
      <w:r w:rsidRPr="002D2C2E">
        <w:rPr>
          <w:rFonts w:ascii="Arial" w:hAnsi="Arial" w:cs="Arial"/>
          <w:b/>
          <w:bCs/>
        </w:rPr>
        <w:t xml:space="preserve"> </w:t>
      </w:r>
      <w:r w:rsidRPr="002D2C2E">
        <w:rPr>
          <w:rFonts w:ascii="Arial" w:eastAsia="Arial Unicode MS" w:hAnsi="Arial" w:cs="Arial"/>
          <w:b/>
          <w:bCs/>
        </w:rPr>
        <w:t>en</w:t>
      </w:r>
      <w:r w:rsidRPr="002D2C2E">
        <w:rPr>
          <w:rFonts w:ascii="Arial" w:hAnsi="Arial" w:cs="Arial"/>
          <w:b/>
          <w:bCs/>
        </w:rPr>
        <w:t xml:space="preserve"> </w:t>
      </w:r>
      <w:r w:rsidRPr="002D2C2E">
        <w:rPr>
          <w:rFonts w:ascii="Arial" w:eastAsia="Arial Unicode MS" w:hAnsi="Arial" w:cs="Arial"/>
          <w:b/>
          <w:bCs/>
        </w:rPr>
        <w:t>el</w:t>
      </w:r>
      <w:r w:rsidRPr="002D2C2E">
        <w:rPr>
          <w:rFonts w:ascii="Arial" w:hAnsi="Arial" w:cs="Arial"/>
          <w:b/>
          <w:bCs/>
        </w:rPr>
        <w:t xml:space="preserve"> </w:t>
      </w:r>
      <w:r w:rsidRPr="002D2C2E">
        <w:rPr>
          <w:rFonts w:ascii="Arial" w:eastAsia="Arial Unicode MS" w:hAnsi="Arial" w:cs="Arial"/>
          <w:b/>
          <w:bCs/>
        </w:rPr>
        <w:t>ejercicio</w:t>
      </w:r>
      <w:r w:rsidRPr="002D2C2E">
        <w:rPr>
          <w:rFonts w:ascii="Arial" w:hAnsi="Arial" w:cs="Arial"/>
          <w:b/>
          <w:bCs/>
        </w:rPr>
        <w:t xml:space="preserve"> </w:t>
      </w:r>
      <w:r w:rsidRPr="002D2C2E">
        <w:rPr>
          <w:rFonts w:ascii="Arial" w:eastAsia="Arial Unicode MS" w:hAnsi="Arial" w:cs="Arial"/>
          <w:b/>
          <w:bCs/>
        </w:rPr>
        <w:t>del</w:t>
      </w:r>
      <w:r w:rsidRPr="002D2C2E">
        <w:rPr>
          <w:rFonts w:ascii="Arial" w:hAnsi="Arial" w:cs="Arial"/>
          <w:b/>
          <w:bCs/>
        </w:rPr>
        <w:t xml:space="preserve"> </w:t>
      </w:r>
      <w:r w:rsidRPr="002D2C2E">
        <w:rPr>
          <w:rFonts w:ascii="Arial" w:eastAsia="Arial Unicode MS" w:hAnsi="Arial" w:cs="Arial"/>
          <w:b/>
          <w:bCs/>
        </w:rPr>
        <w:t>derecho</w:t>
      </w:r>
      <w:r w:rsidRPr="002D2C2E">
        <w:rPr>
          <w:rFonts w:ascii="Arial" w:hAnsi="Arial" w:cs="Arial"/>
          <w:b/>
          <w:bCs/>
        </w:rPr>
        <w:t xml:space="preserve"> </w:t>
      </w:r>
      <w:r w:rsidRPr="002D2C2E">
        <w:rPr>
          <w:rFonts w:ascii="Arial" w:eastAsia="Arial Unicode MS" w:hAnsi="Arial" w:cs="Arial"/>
          <w:b/>
          <w:bCs/>
        </w:rPr>
        <w:t>a</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capacidad</w:t>
      </w:r>
      <w:r w:rsidRPr="002D2C2E">
        <w:rPr>
          <w:rFonts w:ascii="Arial" w:hAnsi="Arial" w:cs="Arial"/>
          <w:b/>
          <w:bCs/>
        </w:rPr>
        <w:t xml:space="preserve"> </w:t>
      </w:r>
      <w:r w:rsidRPr="002D2C2E">
        <w:rPr>
          <w:rFonts w:ascii="Arial" w:eastAsia="Arial Unicode MS" w:hAnsi="Arial" w:cs="Arial"/>
          <w:b/>
          <w:bCs/>
        </w:rPr>
        <w:t>jurídica</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_Toc22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182</w:t>
      </w:r>
      <w:r w:rsidRPr="002D2C2E">
        <w:rPr>
          <w:rFonts w:ascii="Arial" w:hAnsi="Arial" w:cs="Arial"/>
          <w:b/>
          <w:bCs/>
        </w:rPr>
        <w:fldChar w:fldCharType="end"/>
      </w:r>
    </w:p>
    <w:p w14:paraId="0809E287" w14:textId="77777777" w:rsidR="001A105D" w:rsidRPr="002D2C2E" w:rsidRDefault="00000000" w:rsidP="002D2C2E">
      <w:pPr>
        <w:pStyle w:val="TOC3"/>
        <w:numPr>
          <w:ilvl w:val="0"/>
          <w:numId w:val="24"/>
        </w:numPr>
        <w:spacing w:line="276" w:lineRule="auto"/>
        <w:rPr>
          <w:rFonts w:ascii="Arial" w:hAnsi="Arial" w:cs="Arial"/>
          <w:b/>
          <w:bCs/>
        </w:rPr>
      </w:pPr>
      <w:r w:rsidRPr="002D2C2E">
        <w:rPr>
          <w:rFonts w:ascii="Arial" w:eastAsia="Arial Unicode MS" w:hAnsi="Arial" w:cs="Arial"/>
          <w:b/>
          <w:bCs/>
        </w:rPr>
        <w:t>Alcance</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contenido</w:t>
      </w:r>
      <w:r w:rsidRPr="002D2C2E">
        <w:rPr>
          <w:rFonts w:ascii="Arial" w:hAnsi="Arial" w:cs="Arial"/>
          <w:b/>
          <w:bCs/>
        </w:rPr>
        <w:t xml:space="preserve"> </w:t>
      </w:r>
      <w:r w:rsidRPr="002D2C2E">
        <w:rPr>
          <w:rFonts w:ascii="Arial" w:eastAsia="Arial Unicode MS" w:hAnsi="Arial" w:cs="Arial"/>
          <w:b/>
          <w:bCs/>
        </w:rPr>
        <w:t>del</w:t>
      </w:r>
      <w:r w:rsidRPr="002D2C2E">
        <w:rPr>
          <w:rFonts w:ascii="Arial" w:hAnsi="Arial" w:cs="Arial"/>
          <w:b/>
          <w:bCs/>
        </w:rPr>
        <w:t xml:space="preserve"> </w:t>
      </w:r>
      <w:r w:rsidRPr="002D2C2E">
        <w:rPr>
          <w:rFonts w:ascii="Arial" w:eastAsia="Arial Unicode MS" w:hAnsi="Arial" w:cs="Arial"/>
          <w:b/>
          <w:bCs/>
        </w:rPr>
        <w:t>derecho</w:t>
      </w:r>
      <w:r w:rsidRPr="002D2C2E">
        <w:rPr>
          <w:rFonts w:ascii="Arial" w:hAnsi="Arial" w:cs="Arial"/>
          <w:b/>
          <w:bCs/>
        </w:rPr>
        <w:t xml:space="preserve"> </w:t>
      </w:r>
      <w:r w:rsidRPr="002D2C2E">
        <w:rPr>
          <w:rFonts w:ascii="Arial" w:eastAsia="Arial Unicode MS" w:hAnsi="Arial" w:cs="Arial"/>
          <w:b/>
          <w:bCs/>
        </w:rPr>
        <w:t>a</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capacidad</w:t>
      </w:r>
      <w:r w:rsidRPr="002D2C2E">
        <w:rPr>
          <w:rFonts w:ascii="Arial" w:hAnsi="Arial" w:cs="Arial"/>
          <w:b/>
          <w:bCs/>
        </w:rPr>
        <w:t xml:space="preserve"> </w:t>
      </w:r>
      <w:r w:rsidRPr="002D2C2E">
        <w:rPr>
          <w:rFonts w:ascii="Arial" w:eastAsia="Arial Unicode MS" w:hAnsi="Arial" w:cs="Arial"/>
          <w:b/>
          <w:bCs/>
        </w:rPr>
        <w:t>jurídica</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_Toc23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187</w:t>
      </w:r>
      <w:r w:rsidRPr="002D2C2E">
        <w:rPr>
          <w:rFonts w:ascii="Arial" w:hAnsi="Arial" w:cs="Arial"/>
          <w:b/>
          <w:bCs/>
        </w:rPr>
        <w:fldChar w:fldCharType="end"/>
      </w:r>
    </w:p>
    <w:p w14:paraId="7E43FF13" w14:textId="77777777" w:rsidR="001A105D" w:rsidRPr="002D2C2E" w:rsidRDefault="00000000" w:rsidP="002D2C2E">
      <w:pPr>
        <w:pStyle w:val="TOC3"/>
        <w:numPr>
          <w:ilvl w:val="0"/>
          <w:numId w:val="25"/>
        </w:numPr>
        <w:spacing w:line="276" w:lineRule="auto"/>
        <w:rPr>
          <w:rFonts w:ascii="Arial" w:hAnsi="Arial" w:cs="Arial"/>
          <w:b/>
          <w:bCs/>
        </w:rPr>
      </w:pPr>
      <w:r w:rsidRPr="002D2C2E">
        <w:rPr>
          <w:rFonts w:ascii="Arial" w:eastAsia="Arial Unicode MS" w:hAnsi="Arial" w:cs="Arial"/>
          <w:b/>
          <w:bCs/>
        </w:rPr>
        <w:t>Situación</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capacidad</w:t>
      </w:r>
      <w:r w:rsidRPr="002D2C2E">
        <w:rPr>
          <w:rFonts w:ascii="Arial" w:hAnsi="Arial" w:cs="Arial"/>
          <w:b/>
          <w:bCs/>
        </w:rPr>
        <w:t xml:space="preserve"> </w:t>
      </w:r>
      <w:r w:rsidRPr="002D2C2E">
        <w:rPr>
          <w:rFonts w:ascii="Arial" w:eastAsia="Arial Unicode MS" w:hAnsi="Arial" w:cs="Arial"/>
          <w:b/>
          <w:bCs/>
        </w:rPr>
        <w:t>jurídica</w:t>
      </w:r>
      <w:r w:rsidRPr="002D2C2E">
        <w:rPr>
          <w:rFonts w:ascii="Arial" w:hAnsi="Arial" w:cs="Arial"/>
          <w:b/>
          <w:bCs/>
        </w:rPr>
        <w:t xml:space="preserve"> </w:t>
      </w:r>
      <w:r w:rsidRPr="002D2C2E">
        <w:rPr>
          <w:rFonts w:ascii="Arial" w:eastAsia="Arial Unicode MS" w:hAnsi="Arial" w:cs="Arial"/>
          <w:b/>
          <w:bCs/>
        </w:rPr>
        <w:t>en</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región</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_Toc24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200</w:t>
      </w:r>
      <w:r w:rsidRPr="002D2C2E">
        <w:rPr>
          <w:rFonts w:ascii="Arial" w:hAnsi="Arial" w:cs="Arial"/>
          <w:b/>
          <w:bCs/>
        </w:rPr>
        <w:fldChar w:fldCharType="end"/>
      </w:r>
    </w:p>
    <w:p w14:paraId="119D7849" w14:textId="77777777" w:rsidR="001A105D" w:rsidRPr="002D2C2E" w:rsidRDefault="00000000" w:rsidP="002D2C2E">
      <w:pPr>
        <w:pStyle w:val="TOC3"/>
        <w:numPr>
          <w:ilvl w:val="0"/>
          <w:numId w:val="26"/>
        </w:numPr>
        <w:spacing w:line="276" w:lineRule="auto"/>
        <w:rPr>
          <w:rFonts w:ascii="Arial" w:hAnsi="Arial" w:cs="Arial"/>
          <w:b/>
          <w:bCs/>
        </w:rPr>
      </w:pPr>
      <w:r w:rsidRPr="002D2C2E">
        <w:rPr>
          <w:rFonts w:ascii="Arial" w:eastAsia="Arial Unicode MS" w:hAnsi="Arial" w:cs="Arial"/>
          <w:b/>
          <w:bCs/>
        </w:rPr>
        <w:lastRenderedPageBreak/>
        <w:t>Medidas</w:t>
      </w:r>
      <w:r w:rsidRPr="002D2C2E">
        <w:rPr>
          <w:rFonts w:ascii="Arial" w:hAnsi="Arial" w:cs="Arial"/>
          <w:b/>
          <w:bCs/>
        </w:rPr>
        <w:t xml:space="preserve"> </w:t>
      </w:r>
      <w:r w:rsidRPr="002D2C2E">
        <w:rPr>
          <w:rFonts w:ascii="Arial" w:eastAsia="Arial Unicode MS" w:hAnsi="Arial" w:cs="Arial"/>
          <w:b/>
          <w:bCs/>
        </w:rPr>
        <w:t>dirigidas</w:t>
      </w:r>
      <w:r w:rsidRPr="002D2C2E">
        <w:rPr>
          <w:rFonts w:ascii="Arial" w:hAnsi="Arial" w:cs="Arial"/>
          <w:b/>
          <w:bCs/>
        </w:rPr>
        <w:t xml:space="preserve"> </w:t>
      </w:r>
      <w:r w:rsidRPr="002D2C2E">
        <w:rPr>
          <w:rFonts w:ascii="Arial" w:eastAsia="Arial Unicode MS" w:hAnsi="Arial" w:cs="Arial"/>
          <w:b/>
          <w:bCs/>
        </w:rPr>
        <w:t>a</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eliminación</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figuras</w:t>
      </w:r>
      <w:r w:rsidRPr="002D2C2E">
        <w:rPr>
          <w:rFonts w:ascii="Arial" w:hAnsi="Arial" w:cs="Arial"/>
          <w:b/>
          <w:bCs/>
        </w:rPr>
        <w:t xml:space="preserve"> </w:t>
      </w:r>
      <w:r w:rsidRPr="002D2C2E">
        <w:rPr>
          <w:rFonts w:ascii="Arial" w:eastAsia="Arial Unicode MS" w:hAnsi="Arial" w:cs="Arial"/>
          <w:b/>
          <w:bCs/>
        </w:rPr>
        <w:t>que</w:t>
      </w:r>
      <w:r w:rsidRPr="002D2C2E">
        <w:rPr>
          <w:rFonts w:ascii="Arial" w:hAnsi="Arial" w:cs="Arial"/>
          <w:b/>
          <w:bCs/>
        </w:rPr>
        <w:t xml:space="preserve"> </w:t>
      </w:r>
      <w:r w:rsidRPr="002D2C2E">
        <w:rPr>
          <w:rFonts w:ascii="Arial" w:eastAsia="Arial Unicode MS" w:hAnsi="Arial" w:cs="Arial"/>
          <w:b/>
          <w:bCs/>
        </w:rPr>
        <w:t>sustituyen</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capacidad</w:t>
      </w:r>
      <w:r w:rsidRPr="002D2C2E">
        <w:rPr>
          <w:rFonts w:ascii="Arial" w:hAnsi="Arial" w:cs="Arial"/>
          <w:b/>
          <w:bCs/>
        </w:rPr>
        <w:t xml:space="preserve"> </w:t>
      </w:r>
      <w:r w:rsidRPr="002D2C2E">
        <w:rPr>
          <w:rFonts w:ascii="Arial" w:eastAsia="Arial Unicode MS" w:hAnsi="Arial" w:cs="Arial"/>
          <w:b/>
          <w:bCs/>
        </w:rPr>
        <w:t>jurídica</w:t>
      </w:r>
      <w:r w:rsidRPr="002D2C2E">
        <w:rPr>
          <w:rFonts w:ascii="Arial" w:hAnsi="Arial" w:cs="Arial"/>
          <w:b/>
          <w:bCs/>
        </w:rPr>
        <w:t xml:space="preserve"> </w:t>
      </w:r>
      <w:r w:rsidRPr="002D2C2E">
        <w:rPr>
          <w:rFonts w:ascii="Arial" w:eastAsia="Arial Unicode MS" w:hAnsi="Arial" w:cs="Arial"/>
          <w:b/>
          <w:bCs/>
        </w:rPr>
        <w:t>en</w:t>
      </w:r>
      <w:r w:rsidRPr="002D2C2E">
        <w:rPr>
          <w:rFonts w:ascii="Arial" w:hAnsi="Arial" w:cs="Arial"/>
          <w:b/>
          <w:bCs/>
        </w:rPr>
        <w:t xml:space="preserve"> </w:t>
      </w:r>
      <w:r w:rsidRPr="002D2C2E">
        <w:rPr>
          <w:rFonts w:ascii="Arial" w:eastAsia="Arial Unicode MS" w:hAnsi="Arial" w:cs="Arial"/>
          <w:b/>
          <w:bCs/>
        </w:rPr>
        <w:t>el</w:t>
      </w:r>
      <w:r w:rsidRPr="002D2C2E">
        <w:rPr>
          <w:rFonts w:ascii="Arial" w:hAnsi="Arial" w:cs="Arial"/>
          <w:b/>
          <w:bCs/>
        </w:rPr>
        <w:t xml:space="preserve"> </w:t>
      </w:r>
      <w:r w:rsidRPr="002D2C2E">
        <w:rPr>
          <w:rFonts w:ascii="Arial" w:eastAsia="Arial Unicode MS" w:hAnsi="Arial" w:cs="Arial"/>
          <w:b/>
          <w:bCs/>
        </w:rPr>
        <w:t>ordenamiento</w:t>
      </w:r>
      <w:r w:rsidRPr="002D2C2E">
        <w:rPr>
          <w:rFonts w:ascii="Arial" w:hAnsi="Arial" w:cs="Arial"/>
          <w:b/>
          <w:bCs/>
        </w:rPr>
        <w:t xml:space="preserve"> </w:t>
      </w:r>
      <w:r w:rsidRPr="002D2C2E">
        <w:rPr>
          <w:rFonts w:ascii="Arial" w:eastAsia="Arial Unicode MS" w:hAnsi="Arial" w:cs="Arial"/>
          <w:b/>
          <w:bCs/>
        </w:rPr>
        <w:t>civil:</w:t>
      </w:r>
      <w:r w:rsidRPr="002D2C2E">
        <w:rPr>
          <w:rFonts w:ascii="Arial" w:hAnsi="Arial" w:cs="Arial"/>
          <w:b/>
          <w:bCs/>
        </w:rPr>
        <w:t xml:space="preserve"> </w:t>
      </w:r>
      <w:r w:rsidRPr="002D2C2E">
        <w:rPr>
          <w:rFonts w:ascii="Arial" w:eastAsia="Arial Unicode MS" w:hAnsi="Arial" w:cs="Arial"/>
          <w:b/>
          <w:bCs/>
        </w:rPr>
        <w:t>buenas</w:t>
      </w:r>
      <w:r w:rsidRPr="002D2C2E">
        <w:rPr>
          <w:rFonts w:ascii="Arial" w:hAnsi="Arial" w:cs="Arial"/>
          <w:b/>
          <w:bCs/>
        </w:rPr>
        <w:t xml:space="preserve"> </w:t>
      </w:r>
      <w:r w:rsidRPr="002D2C2E">
        <w:rPr>
          <w:rFonts w:ascii="Arial" w:eastAsia="Arial Unicode MS" w:hAnsi="Arial" w:cs="Arial"/>
          <w:b/>
          <w:bCs/>
        </w:rPr>
        <w:t>prácticas</w:t>
      </w:r>
      <w:r w:rsidRPr="002D2C2E">
        <w:rPr>
          <w:rFonts w:ascii="Arial" w:hAnsi="Arial" w:cs="Arial"/>
          <w:b/>
          <w:bCs/>
        </w:rPr>
        <w:t xml:space="preserve"> </w:t>
      </w:r>
      <w:r w:rsidRPr="002D2C2E">
        <w:rPr>
          <w:rFonts w:ascii="Arial" w:eastAsia="Arial Unicode MS" w:hAnsi="Arial" w:cs="Arial"/>
          <w:b/>
          <w:bCs/>
        </w:rPr>
        <w:t>y</w:t>
      </w:r>
      <w:r w:rsidRPr="002D2C2E">
        <w:rPr>
          <w:rFonts w:ascii="Arial" w:hAnsi="Arial" w:cs="Arial"/>
          <w:b/>
          <w:bCs/>
        </w:rPr>
        <w:t xml:space="preserve"> </w:t>
      </w:r>
      <w:r w:rsidRPr="002D2C2E">
        <w:rPr>
          <w:rFonts w:ascii="Arial" w:eastAsia="Arial Unicode MS" w:hAnsi="Arial" w:cs="Arial"/>
          <w:b/>
          <w:bCs/>
        </w:rPr>
        <w:t>retos</w:t>
      </w:r>
      <w:r w:rsidRPr="002D2C2E">
        <w:rPr>
          <w:rFonts w:ascii="Arial" w:hAnsi="Arial" w:cs="Arial"/>
          <w:b/>
          <w:bCs/>
        </w:rPr>
        <w:t xml:space="preserve"> </w:t>
      </w:r>
      <w:r w:rsidRPr="002D2C2E">
        <w:rPr>
          <w:rFonts w:ascii="Arial" w:eastAsia="Arial Unicode MS" w:hAnsi="Arial" w:cs="Arial"/>
          <w:b/>
          <w:bCs/>
        </w:rPr>
        <w:t>pendientes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_Toc25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212</w:t>
      </w:r>
      <w:r w:rsidRPr="002D2C2E">
        <w:rPr>
          <w:rFonts w:ascii="Arial" w:hAnsi="Arial" w:cs="Arial"/>
          <w:b/>
          <w:bCs/>
        </w:rPr>
        <w:fldChar w:fldCharType="end"/>
      </w:r>
    </w:p>
    <w:p w14:paraId="611C5013" w14:textId="77777777" w:rsidR="001A105D" w:rsidRPr="002D2C2E" w:rsidRDefault="00000000" w:rsidP="002D2C2E">
      <w:pPr>
        <w:pStyle w:val="TOC3"/>
        <w:numPr>
          <w:ilvl w:val="0"/>
          <w:numId w:val="27"/>
        </w:numPr>
        <w:spacing w:line="276" w:lineRule="auto"/>
        <w:rPr>
          <w:rFonts w:ascii="Arial" w:hAnsi="Arial" w:cs="Arial"/>
          <w:b/>
          <w:bCs/>
        </w:rPr>
      </w:pPr>
      <w:r w:rsidRPr="002D2C2E">
        <w:rPr>
          <w:rFonts w:ascii="Arial" w:eastAsia="Arial Unicode MS" w:hAnsi="Arial" w:cs="Arial"/>
          <w:b/>
          <w:bCs/>
        </w:rPr>
        <w:t>Adopción</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otras</w:t>
      </w:r>
      <w:r w:rsidRPr="002D2C2E">
        <w:rPr>
          <w:rFonts w:ascii="Arial" w:hAnsi="Arial" w:cs="Arial"/>
          <w:b/>
          <w:bCs/>
        </w:rPr>
        <w:t xml:space="preserve"> </w:t>
      </w:r>
      <w:r w:rsidRPr="002D2C2E">
        <w:rPr>
          <w:rFonts w:ascii="Arial" w:eastAsia="Arial Unicode MS" w:hAnsi="Arial" w:cs="Arial"/>
          <w:b/>
          <w:bCs/>
        </w:rPr>
        <w:t>medidas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_Toc26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217</w:t>
      </w:r>
      <w:r w:rsidRPr="002D2C2E">
        <w:rPr>
          <w:rFonts w:ascii="Arial" w:hAnsi="Arial" w:cs="Arial"/>
          <w:b/>
          <w:bCs/>
        </w:rPr>
        <w:fldChar w:fldCharType="end"/>
      </w:r>
    </w:p>
    <w:p w14:paraId="1638D4A7" w14:textId="77777777" w:rsidR="001A105D" w:rsidRPr="002D2C2E" w:rsidRDefault="00000000" w:rsidP="002D2C2E">
      <w:pPr>
        <w:pStyle w:val="TOC3"/>
        <w:numPr>
          <w:ilvl w:val="0"/>
          <w:numId w:val="28"/>
        </w:numPr>
        <w:spacing w:line="276" w:lineRule="auto"/>
        <w:rPr>
          <w:rFonts w:ascii="Arial" w:hAnsi="Arial" w:cs="Arial"/>
          <w:b/>
          <w:bCs/>
        </w:rPr>
      </w:pPr>
      <w:r w:rsidRPr="002D2C2E">
        <w:rPr>
          <w:rFonts w:ascii="Arial" w:eastAsia="Arial Unicode MS" w:hAnsi="Arial" w:cs="Arial"/>
          <w:b/>
          <w:bCs/>
        </w:rPr>
        <w:t>Protección</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otros</w:t>
      </w:r>
      <w:r w:rsidRPr="002D2C2E">
        <w:rPr>
          <w:rFonts w:ascii="Arial" w:hAnsi="Arial" w:cs="Arial"/>
          <w:b/>
          <w:bCs/>
        </w:rPr>
        <w:t xml:space="preserve"> </w:t>
      </w:r>
      <w:r w:rsidRPr="002D2C2E">
        <w:rPr>
          <w:rFonts w:ascii="Arial" w:eastAsia="Arial Unicode MS" w:hAnsi="Arial" w:cs="Arial"/>
          <w:b/>
          <w:bCs/>
        </w:rPr>
        <w:t>derechos</w:t>
      </w:r>
      <w:r w:rsidRPr="002D2C2E">
        <w:rPr>
          <w:rFonts w:ascii="Arial" w:hAnsi="Arial" w:cs="Arial"/>
          <w:b/>
          <w:bCs/>
        </w:rPr>
        <w:t xml:space="preserve"> </w:t>
      </w:r>
      <w:r w:rsidRPr="002D2C2E">
        <w:rPr>
          <w:rFonts w:ascii="Arial" w:eastAsia="Arial Unicode MS" w:hAnsi="Arial" w:cs="Arial"/>
          <w:b/>
          <w:bCs/>
        </w:rPr>
        <w:t>vinculados</w:t>
      </w:r>
      <w:r w:rsidRPr="002D2C2E">
        <w:rPr>
          <w:rFonts w:ascii="Arial" w:hAnsi="Arial" w:cs="Arial"/>
          <w:b/>
          <w:bCs/>
        </w:rPr>
        <w:t xml:space="preserve"> </w:t>
      </w:r>
      <w:r w:rsidRPr="002D2C2E">
        <w:rPr>
          <w:rFonts w:ascii="Arial" w:eastAsia="Arial Unicode MS" w:hAnsi="Arial" w:cs="Arial"/>
          <w:b/>
          <w:bCs/>
        </w:rPr>
        <w:t>con</w:t>
      </w:r>
      <w:r w:rsidRPr="002D2C2E">
        <w:rPr>
          <w:rFonts w:ascii="Arial" w:hAnsi="Arial" w:cs="Arial"/>
          <w:b/>
          <w:bCs/>
        </w:rPr>
        <w:t xml:space="preserve"> </w:t>
      </w:r>
      <w:r w:rsidRPr="002D2C2E">
        <w:rPr>
          <w:rFonts w:ascii="Arial" w:eastAsia="Arial Unicode MS" w:hAnsi="Arial" w:cs="Arial"/>
          <w:b/>
          <w:bCs/>
        </w:rPr>
        <w:t>el</w:t>
      </w:r>
      <w:r w:rsidRPr="002D2C2E">
        <w:rPr>
          <w:rFonts w:ascii="Arial" w:hAnsi="Arial" w:cs="Arial"/>
          <w:b/>
          <w:bCs/>
        </w:rPr>
        <w:t xml:space="preserve"> </w:t>
      </w:r>
      <w:r w:rsidRPr="002D2C2E">
        <w:rPr>
          <w:rFonts w:ascii="Arial" w:eastAsia="Arial Unicode MS" w:hAnsi="Arial" w:cs="Arial"/>
          <w:b/>
          <w:bCs/>
        </w:rPr>
        <w:t>ejercicio</w:t>
      </w:r>
      <w:r w:rsidRPr="002D2C2E">
        <w:rPr>
          <w:rFonts w:ascii="Arial" w:hAnsi="Arial" w:cs="Arial"/>
          <w:b/>
          <w:bCs/>
        </w:rPr>
        <w:t xml:space="preserve"> </w:t>
      </w:r>
      <w:r w:rsidRPr="002D2C2E">
        <w:rPr>
          <w:rFonts w:ascii="Arial" w:eastAsia="Arial Unicode MS" w:hAnsi="Arial" w:cs="Arial"/>
          <w:b/>
          <w:bCs/>
        </w:rPr>
        <w:t>de</w:t>
      </w:r>
      <w:r w:rsidRPr="002D2C2E">
        <w:rPr>
          <w:rFonts w:ascii="Arial" w:hAnsi="Arial" w:cs="Arial"/>
          <w:b/>
          <w:bCs/>
        </w:rPr>
        <w:t xml:space="preserve"> </w:t>
      </w:r>
      <w:r w:rsidRPr="002D2C2E">
        <w:rPr>
          <w:rFonts w:ascii="Arial" w:eastAsia="Arial Unicode MS" w:hAnsi="Arial" w:cs="Arial"/>
          <w:b/>
          <w:bCs/>
        </w:rPr>
        <w:t>la</w:t>
      </w:r>
      <w:r w:rsidRPr="002D2C2E">
        <w:rPr>
          <w:rFonts w:ascii="Arial" w:hAnsi="Arial" w:cs="Arial"/>
          <w:b/>
          <w:bCs/>
        </w:rPr>
        <w:t xml:space="preserve"> </w:t>
      </w:r>
      <w:r w:rsidRPr="002D2C2E">
        <w:rPr>
          <w:rFonts w:ascii="Arial" w:eastAsia="Arial Unicode MS" w:hAnsi="Arial" w:cs="Arial"/>
          <w:b/>
          <w:bCs/>
        </w:rPr>
        <w:t>capacidad</w:t>
      </w:r>
      <w:r w:rsidRPr="002D2C2E">
        <w:rPr>
          <w:rFonts w:ascii="Arial" w:hAnsi="Arial" w:cs="Arial"/>
          <w:b/>
          <w:bCs/>
        </w:rPr>
        <w:t xml:space="preserve"> </w:t>
      </w:r>
      <w:r w:rsidRPr="002D2C2E">
        <w:rPr>
          <w:rFonts w:ascii="Arial" w:eastAsia="Arial Unicode MS" w:hAnsi="Arial" w:cs="Arial"/>
          <w:b/>
          <w:bCs/>
        </w:rPr>
        <w:t>jurídica</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_Toc27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221</w:t>
      </w:r>
      <w:r w:rsidRPr="002D2C2E">
        <w:rPr>
          <w:rFonts w:ascii="Arial" w:hAnsi="Arial" w:cs="Arial"/>
          <w:b/>
          <w:bCs/>
        </w:rPr>
        <w:fldChar w:fldCharType="end"/>
      </w:r>
    </w:p>
    <w:p w14:paraId="1D42C5CA" w14:textId="77777777" w:rsidR="001A105D" w:rsidRPr="002D2C2E" w:rsidRDefault="00000000" w:rsidP="002D2C2E">
      <w:pPr>
        <w:pStyle w:val="TOC2"/>
        <w:numPr>
          <w:ilvl w:val="0"/>
          <w:numId w:val="29"/>
        </w:numPr>
        <w:spacing w:line="276" w:lineRule="auto"/>
        <w:rPr>
          <w:rFonts w:ascii="Arial" w:hAnsi="Arial" w:cs="Arial"/>
          <w:b/>
          <w:bCs/>
        </w:rPr>
      </w:pPr>
      <w:r w:rsidRPr="002D2C2E">
        <w:rPr>
          <w:rFonts w:ascii="Arial" w:hAnsi="Arial" w:cs="Arial"/>
          <w:b/>
          <w:bCs/>
        </w:rPr>
        <w:t>CONCLUSIONES Y RECOMENDACIONES</w:t>
      </w:r>
      <w:r w:rsidRPr="002D2C2E">
        <w:rPr>
          <w:rFonts w:ascii="Arial" w:hAnsi="Arial" w:cs="Arial"/>
          <w:b/>
          <w:bCs/>
        </w:rPr>
        <w:tab/>
      </w:r>
      <w:r w:rsidRPr="002D2C2E">
        <w:rPr>
          <w:rFonts w:ascii="Arial" w:hAnsi="Arial" w:cs="Arial"/>
          <w:b/>
          <w:bCs/>
        </w:rPr>
        <w:fldChar w:fldCharType="begin"/>
      </w:r>
      <w:r w:rsidRPr="002D2C2E">
        <w:rPr>
          <w:rFonts w:ascii="Arial" w:hAnsi="Arial" w:cs="Arial"/>
          <w:b/>
          <w:bCs/>
        </w:rPr>
        <w:instrText xml:space="preserve"> PAGEREF _Toc28 \h </w:instrText>
      </w:r>
      <w:r w:rsidRPr="002D2C2E">
        <w:rPr>
          <w:rFonts w:ascii="Arial" w:hAnsi="Arial" w:cs="Arial"/>
          <w:b/>
          <w:bCs/>
        </w:rPr>
      </w:r>
      <w:r w:rsidRPr="002D2C2E">
        <w:rPr>
          <w:rFonts w:ascii="Arial" w:hAnsi="Arial" w:cs="Arial"/>
          <w:b/>
          <w:bCs/>
        </w:rPr>
        <w:fldChar w:fldCharType="separate"/>
      </w:r>
      <w:r w:rsidRPr="002D2C2E">
        <w:rPr>
          <w:rFonts w:ascii="Arial" w:hAnsi="Arial" w:cs="Arial"/>
          <w:b/>
          <w:bCs/>
        </w:rPr>
        <w:t>253</w:t>
      </w:r>
      <w:r w:rsidRPr="002D2C2E">
        <w:rPr>
          <w:rFonts w:ascii="Arial" w:hAnsi="Arial" w:cs="Arial"/>
          <w:b/>
          <w:bCs/>
        </w:rPr>
        <w:fldChar w:fldCharType="end"/>
      </w:r>
    </w:p>
    <w:p w14:paraId="601C6B08" w14:textId="76E9F89D" w:rsidR="002D2C2E" w:rsidRPr="00270AC1" w:rsidRDefault="00000000" w:rsidP="00270AC1">
      <w:pPr>
        <w:widowControl w:val="0"/>
        <w:spacing w:before="320"/>
        <w:jc w:val="both"/>
        <w:rPr>
          <w:rFonts w:asciiTheme="minorHAnsi" w:eastAsia="Helvetica LT Std Roman" w:hAnsiTheme="minorHAnsi" w:cs="Helvetica LT Std Roman"/>
          <w:color w:val="21527C"/>
          <w:sz w:val="20"/>
          <w:szCs w:val="20"/>
          <w:u w:color="000000"/>
          <w:lang w:val="es-ES_tradnl"/>
        </w:rPr>
      </w:pPr>
      <w:r>
        <w:rPr>
          <w:rFonts w:ascii="Helvetica LT Std Fractions" w:eastAsia="Helvetica LT Std Fractions" w:hAnsi="Helvetica LT Std Fractions" w:cs="Helvetica LT Std Fractions"/>
          <w:color w:val="000000"/>
          <w:sz w:val="36"/>
          <w:szCs w:val="36"/>
          <w:u w:color="000000"/>
        </w:rPr>
        <w:fldChar w:fldCharType="end"/>
      </w:r>
      <w:r w:rsidR="00270AC1" w:rsidRPr="00270AC1">
        <w:rPr>
          <w:rFonts w:asciiTheme="minorHAnsi" w:eastAsia="Helvetica LT Std Fractions" w:hAnsiTheme="minorHAnsi" w:cs="Helvetica LT Std Fractions"/>
          <w:b/>
          <w:bCs/>
          <w:color w:val="21527C"/>
          <w:sz w:val="20"/>
          <w:szCs w:val="20"/>
          <w:u w:color="000000"/>
        </w:rPr>
        <w:t>VOTO RAZONADO</w:t>
      </w:r>
      <w:r w:rsidR="00270AC1" w:rsidRPr="00270AC1">
        <w:rPr>
          <w:rFonts w:asciiTheme="minorHAnsi" w:eastAsia="Helvetica LT Std Fractions" w:hAnsiTheme="minorHAnsi" w:cs="Helvetica LT Std"/>
          <w:b/>
          <w:bCs/>
          <w:color w:val="21527C"/>
          <w:sz w:val="20"/>
          <w:szCs w:val="20"/>
          <w:u w:color="000000"/>
        </w:rPr>
        <w:t>……………………………………………………………</w:t>
      </w:r>
      <w:r w:rsidR="00270AC1" w:rsidRPr="00270AC1">
        <w:rPr>
          <w:rFonts w:asciiTheme="minorHAnsi" w:eastAsia="Helvetica LT Std Fractions" w:hAnsiTheme="minorHAnsi" w:cs="Helvetica LT Std Fractions"/>
          <w:b/>
          <w:bCs/>
          <w:color w:val="21527C"/>
          <w:sz w:val="20"/>
          <w:szCs w:val="20"/>
          <w:u w:color="000000"/>
        </w:rPr>
        <w:t>.</w:t>
      </w:r>
      <w:r w:rsidR="00270AC1" w:rsidRPr="00270AC1">
        <w:rPr>
          <w:rFonts w:asciiTheme="minorHAnsi" w:eastAsia="Helvetica LT Std Fractions" w:hAnsiTheme="minorHAnsi" w:cs="Helvetica LT Std"/>
          <w:b/>
          <w:bCs/>
          <w:color w:val="21527C"/>
          <w:sz w:val="20"/>
          <w:szCs w:val="20"/>
          <w:u w:color="000000"/>
        </w:rPr>
        <w:t>……</w:t>
      </w:r>
      <w:r w:rsidR="00270AC1" w:rsidRPr="00270AC1">
        <w:rPr>
          <w:rFonts w:asciiTheme="minorHAnsi" w:eastAsia="Helvetica LT Std Fractions" w:hAnsiTheme="minorHAnsi" w:cs="Helvetica LT Std Fractions"/>
          <w:b/>
          <w:bCs/>
          <w:color w:val="21527C"/>
          <w:sz w:val="20"/>
          <w:szCs w:val="20"/>
          <w:u w:color="000000"/>
        </w:rPr>
        <w:t>.</w:t>
      </w:r>
      <w:hyperlink w:anchor="voto" w:history="1">
        <w:r w:rsidR="00270AC1" w:rsidRPr="0001523C">
          <w:rPr>
            <w:rStyle w:val="Hyperlink"/>
            <w:rFonts w:asciiTheme="minorHAnsi" w:eastAsia="Helvetica LT Std Fractions" w:hAnsiTheme="minorHAnsi" w:cs="Helvetica LT Std Fractions"/>
            <w:b/>
            <w:bCs/>
            <w:color w:val="21527C"/>
            <w:sz w:val="20"/>
            <w:szCs w:val="20"/>
            <w:u w:val="none"/>
          </w:rPr>
          <w:t>28</w:t>
        </w:r>
        <w:r w:rsidR="00270AC1" w:rsidRPr="0001523C">
          <w:rPr>
            <w:rStyle w:val="Hyperlink"/>
            <w:rFonts w:asciiTheme="minorHAnsi" w:eastAsia="Helvetica LT Std Fractions" w:hAnsiTheme="minorHAnsi" w:cs="Helvetica LT Std Fractions"/>
            <w:b/>
            <w:bCs/>
            <w:color w:val="21527C"/>
            <w:sz w:val="20"/>
            <w:szCs w:val="20"/>
            <w:u w:val="none"/>
          </w:rPr>
          <w:t>5</w:t>
        </w:r>
      </w:hyperlink>
    </w:p>
    <w:p w14:paraId="5A4BDDEF" w14:textId="77777777" w:rsidR="00270AC1" w:rsidRDefault="00270AC1">
      <w:pPr>
        <w:rPr>
          <w:rFonts w:ascii="Helvetica LT Std Bold" w:eastAsia="Helvetica LT Std Roman" w:hAnsi="Helvetica LT Std Bold" w:cs="Helvetica LT Std Roman"/>
          <w:color w:val="22527C"/>
          <w:u w:color="000000"/>
          <w:lang w:val="es-ES_tradnl"/>
        </w:rPr>
      </w:pPr>
      <w:r>
        <w:rPr>
          <w:rFonts w:ascii="Helvetica LT Std Bold" w:hAnsi="Helvetica LT Std Bold"/>
          <w:color w:val="22527C"/>
        </w:rPr>
        <w:br w:type="page"/>
      </w:r>
    </w:p>
    <w:p w14:paraId="51EECF01" w14:textId="36E3C00F" w:rsidR="001A105D" w:rsidRDefault="00000000">
      <w:pPr>
        <w:pStyle w:val="NoSpacing"/>
        <w:spacing w:before="0" w:after="0"/>
        <w:rPr>
          <w:rFonts w:ascii="Helvetica LT Std Bold" w:eastAsia="Helvetica LT Std Bold" w:hAnsi="Helvetica LT Std Bold" w:cs="Helvetica LT Std Bold"/>
          <w:color w:val="22527C"/>
        </w:rPr>
      </w:pPr>
      <w:r>
        <w:rPr>
          <w:rFonts w:ascii="Helvetica LT Std Bold" w:hAnsi="Helvetica LT Std Bold"/>
          <w:color w:val="22527C"/>
        </w:rPr>
        <w:lastRenderedPageBreak/>
        <w:t>ACRÓNIMOS</w:t>
      </w:r>
    </w:p>
    <w:p w14:paraId="51883D8B" w14:textId="77777777" w:rsidR="001A105D" w:rsidRDefault="00000000">
      <w:pPr>
        <w:pStyle w:val="NoSpacing"/>
        <w:numPr>
          <w:ilvl w:val="0"/>
          <w:numId w:val="31"/>
        </w:numPr>
        <w:spacing w:before="0" w:after="0"/>
        <w:jc w:val="left"/>
      </w:pPr>
      <w:r>
        <w:rPr>
          <w:rFonts w:ascii="Helvetica LT Std Bold" w:hAnsi="Helvetica LT Std Bold"/>
        </w:rPr>
        <w:t>ANDIS</w:t>
      </w:r>
      <w:r>
        <w:rPr>
          <w:rFonts w:ascii="Helvetica LT Std Bold" w:hAnsi="Helvetica LT Std Bold"/>
          <w:lang w:val="en-US"/>
        </w:rPr>
        <w:t xml:space="preserve">: </w:t>
      </w:r>
      <w:r>
        <w:t>Agencia Nacional de la Discapacidad de Argentina</w:t>
      </w:r>
    </w:p>
    <w:p w14:paraId="72ADD1B6" w14:textId="77777777" w:rsidR="001A105D" w:rsidRDefault="00000000">
      <w:pPr>
        <w:pStyle w:val="NoSpacing"/>
        <w:numPr>
          <w:ilvl w:val="0"/>
          <w:numId w:val="31"/>
        </w:numPr>
        <w:spacing w:before="0" w:after="0"/>
        <w:jc w:val="left"/>
      </w:pPr>
      <w:r>
        <w:rPr>
          <w:rFonts w:ascii="Helvetica LT Std Bold" w:hAnsi="Helvetica LT Std Bold"/>
        </w:rPr>
        <w:t>BID</w:t>
      </w:r>
      <w:r>
        <w:rPr>
          <w:rFonts w:ascii="Helvetica LT Std Bold" w:hAnsi="Helvetica LT Std Bold"/>
          <w:lang w:val="en-US"/>
        </w:rPr>
        <w:t xml:space="preserve">: </w:t>
      </w:r>
      <w:r>
        <w:t>Banco Interamericano de Desarrollo</w:t>
      </w:r>
    </w:p>
    <w:p w14:paraId="1153399E" w14:textId="77777777" w:rsidR="001A105D" w:rsidRDefault="00000000">
      <w:pPr>
        <w:pStyle w:val="NoSpacing"/>
        <w:numPr>
          <w:ilvl w:val="0"/>
          <w:numId w:val="31"/>
        </w:numPr>
        <w:spacing w:before="0" w:after="0"/>
        <w:jc w:val="left"/>
      </w:pPr>
      <w:r>
        <w:rPr>
          <w:rFonts w:ascii="Helvetica LT Std Bold" w:hAnsi="Helvetica LT Std Bold"/>
        </w:rPr>
        <w:t>CADH</w:t>
      </w:r>
      <w:r>
        <w:rPr>
          <w:rFonts w:ascii="Helvetica LT Std Bold" w:hAnsi="Helvetica LT Std Bold"/>
          <w:lang w:val="en-US"/>
        </w:rPr>
        <w:t xml:space="preserve">: </w:t>
      </w:r>
      <w:r>
        <w:t>Convención Americana sobre Derechos Humanos</w:t>
      </w:r>
    </w:p>
    <w:p w14:paraId="40D617AC" w14:textId="77777777" w:rsidR="001A105D" w:rsidRDefault="00000000">
      <w:pPr>
        <w:pStyle w:val="NoSpacing"/>
        <w:numPr>
          <w:ilvl w:val="0"/>
          <w:numId w:val="31"/>
        </w:numPr>
        <w:spacing w:before="0" w:after="0"/>
        <w:jc w:val="left"/>
      </w:pPr>
      <w:r>
        <w:rPr>
          <w:rFonts w:ascii="Helvetica LT Std Bold" w:hAnsi="Helvetica LT Std Bold"/>
        </w:rPr>
        <w:t>CDPD</w:t>
      </w:r>
      <w:r>
        <w:rPr>
          <w:rFonts w:ascii="Helvetica LT Std Bold" w:hAnsi="Helvetica LT Std Bold"/>
          <w:lang w:val="en-US"/>
        </w:rPr>
        <w:t xml:space="preserve">: </w:t>
      </w:r>
      <w:r>
        <w:t>Convención de las Naciones Unidas sobre los Derechos de las Personas con Discapacidad</w:t>
      </w:r>
    </w:p>
    <w:p w14:paraId="705700F1" w14:textId="77777777" w:rsidR="001A105D" w:rsidRDefault="00000000">
      <w:pPr>
        <w:pStyle w:val="NoSpacing"/>
        <w:numPr>
          <w:ilvl w:val="0"/>
          <w:numId w:val="31"/>
        </w:numPr>
        <w:spacing w:before="0" w:after="0"/>
        <w:jc w:val="left"/>
      </w:pPr>
      <w:r>
        <w:rPr>
          <w:rFonts w:ascii="Helvetica LT Std Bold" w:hAnsi="Helvetica LT Std Bold"/>
        </w:rPr>
        <w:t>CEDDIS</w:t>
      </w:r>
      <w:r>
        <w:rPr>
          <w:rFonts w:ascii="Helvetica LT Std Bold" w:hAnsi="Helvetica LT Std Bold"/>
          <w:lang w:val="en-US"/>
        </w:rPr>
        <w:t xml:space="preserve">: </w:t>
      </w:r>
      <w:r>
        <w:t>Comité para la Eliminación de todas las Formas de Discriminación contra las Personas con Discapacidad</w:t>
      </w:r>
    </w:p>
    <w:p w14:paraId="54CC0720" w14:textId="77777777" w:rsidR="001A105D" w:rsidRDefault="00000000">
      <w:pPr>
        <w:pStyle w:val="NoSpacing"/>
        <w:numPr>
          <w:ilvl w:val="0"/>
          <w:numId w:val="31"/>
        </w:numPr>
        <w:spacing w:before="0" w:after="0"/>
        <w:jc w:val="left"/>
      </w:pPr>
      <w:r>
        <w:rPr>
          <w:rFonts w:ascii="Helvetica LT Std Bold" w:hAnsi="Helvetica LT Std Bold"/>
        </w:rPr>
        <w:t>CEPAL</w:t>
      </w:r>
      <w:r>
        <w:rPr>
          <w:rFonts w:ascii="Helvetica LT Std Bold" w:hAnsi="Helvetica LT Std Bold"/>
          <w:lang w:val="en-US"/>
        </w:rPr>
        <w:t xml:space="preserve">: </w:t>
      </w:r>
      <w:r>
        <w:t>Comisión Económica para América Latina y el Caribe</w:t>
      </w:r>
    </w:p>
    <w:p w14:paraId="323A2DEB" w14:textId="77777777" w:rsidR="001A105D" w:rsidRDefault="00000000">
      <w:pPr>
        <w:pStyle w:val="NoSpacing"/>
        <w:numPr>
          <w:ilvl w:val="0"/>
          <w:numId w:val="31"/>
        </w:numPr>
        <w:spacing w:before="0" w:after="0"/>
        <w:jc w:val="left"/>
      </w:pPr>
      <w:r>
        <w:rPr>
          <w:rFonts w:ascii="Helvetica LT Std Bold" w:hAnsi="Helvetica LT Std Bold"/>
        </w:rPr>
        <w:t>CIADDIS</w:t>
      </w:r>
      <w:r>
        <w:rPr>
          <w:rFonts w:ascii="Helvetica LT Std Bold" w:hAnsi="Helvetica LT Std Bold"/>
          <w:lang w:val="en-US"/>
        </w:rPr>
        <w:t xml:space="preserve">: </w:t>
      </w:r>
      <w:r>
        <w:t>Convención Interamericana para la Eliminación de Todas las Formas de Discriminación contra las Personas con Discapacidad</w:t>
      </w:r>
    </w:p>
    <w:p w14:paraId="7D005B4C" w14:textId="77777777" w:rsidR="001A105D" w:rsidRDefault="00000000">
      <w:pPr>
        <w:pStyle w:val="NoSpacing"/>
        <w:numPr>
          <w:ilvl w:val="0"/>
          <w:numId w:val="31"/>
        </w:numPr>
        <w:spacing w:before="0" w:after="0"/>
        <w:jc w:val="left"/>
      </w:pPr>
      <w:r>
        <w:rPr>
          <w:rFonts w:ascii="Helvetica LT Std Bold" w:hAnsi="Helvetica LT Std Bold"/>
        </w:rPr>
        <w:t>CIDH</w:t>
      </w:r>
      <w:r>
        <w:rPr>
          <w:rFonts w:ascii="Helvetica LT Std Bold" w:hAnsi="Helvetica LT Std Bold"/>
          <w:lang w:val="en-US"/>
        </w:rPr>
        <w:t xml:space="preserve">: </w:t>
      </w:r>
      <w:r>
        <w:t>Comisión Interamericana de Derechos Humanos</w:t>
      </w:r>
    </w:p>
    <w:p w14:paraId="11BB6507" w14:textId="77777777" w:rsidR="001A105D" w:rsidRDefault="00000000">
      <w:pPr>
        <w:pStyle w:val="NoSpacing"/>
        <w:numPr>
          <w:ilvl w:val="0"/>
          <w:numId w:val="31"/>
        </w:numPr>
        <w:spacing w:before="0" w:after="0"/>
        <w:jc w:val="left"/>
      </w:pPr>
      <w:r>
        <w:rPr>
          <w:rFonts w:ascii="Helvetica LT Std Bold" w:hAnsi="Helvetica LT Std Bold"/>
        </w:rPr>
        <w:t>CIF</w:t>
      </w:r>
      <w:r>
        <w:rPr>
          <w:rFonts w:ascii="Helvetica LT Std Bold" w:hAnsi="Helvetica LT Std Bold"/>
          <w:lang w:val="en-US"/>
        </w:rPr>
        <w:t xml:space="preserve">: </w:t>
      </w:r>
      <w:r>
        <w:t xml:space="preserve">Clasificación Internacional del Funcionamiento </w:t>
      </w:r>
    </w:p>
    <w:p w14:paraId="5D1F7F1B" w14:textId="77777777" w:rsidR="001A105D" w:rsidRDefault="00000000">
      <w:pPr>
        <w:pStyle w:val="NoSpacing"/>
        <w:numPr>
          <w:ilvl w:val="0"/>
          <w:numId w:val="31"/>
        </w:numPr>
        <w:spacing w:before="0" w:after="0"/>
        <w:jc w:val="left"/>
      </w:pPr>
      <w:r>
        <w:rPr>
          <w:rFonts w:ascii="Helvetica LT Std Bold" w:hAnsi="Helvetica LT Std Bold"/>
        </w:rPr>
        <w:t>CIJ</w:t>
      </w:r>
      <w:r>
        <w:rPr>
          <w:rFonts w:ascii="Helvetica LT Std Bold" w:hAnsi="Helvetica LT Std Bold"/>
          <w:lang w:val="en-US"/>
        </w:rPr>
        <w:t xml:space="preserve">: </w:t>
      </w:r>
      <w:r>
        <w:t>Corte Internacional de Justicia</w:t>
      </w:r>
    </w:p>
    <w:p w14:paraId="1C5C062D" w14:textId="77777777" w:rsidR="001A105D" w:rsidRDefault="00000000">
      <w:pPr>
        <w:pStyle w:val="NoSpacing"/>
        <w:numPr>
          <w:ilvl w:val="0"/>
          <w:numId w:val="31"/>
        </w:numPr>
        <w:spacing w:before="0" w:after="0"/>
        <w:jc w:val="left"/>
      </w:pPr>
      <w:r>
        <w:rPr>
          <w:rFonts w:ascii="Helvetica LT Std Bold" w:hAnsi="Helvetica LT Std Bold"/>
        </w:rPr>
        <w:t>CNPV</w:t>
      </w:r>
      <w:r>
        <w:rPr>
          <w:rFonts w:ascii="Helvetica LT Std Bold" w:hAnsi="Helvetica LT Std Bold"/>
          <w:lang w:val="en-US"/>
        </w:rPr>
        <w:t xml:space="preserve">: </w:t>
      </w:r>
      <w:r>
        <w:t>Censo Nacional de Población y Vivienda de Colombia</w:t>
      </w:r>
    </w:p>
    <w:p w14:paraId="1165BE3F" w14:textId="77777777" w:rsidR="001A105D" w:rsidRDefault="00000000">
      <w:pPr>
        <w:pStyle w:val="NoSpacing"/>
        <w:numPr>
          <w:ilvl w:val="0"/>
          <w:numId w:val="31"/>
        </w:numPr>
        <w:spacing w:before="0" w:after="0"/>
        <w:jc w:val="left"/>
      </w:pPr>
      <w:r>
        <w:t>Comité CDPD - Comité sobre los Derechos de las Personas con Discapacidad</w:t>
      </w:r>
    </w:p>
    <w:p w14:paraId="07403ED2" w14:textId="77777777" w:rsidR="001A105D" w:rsidRDefault="00000000">
      <w:pPr>
        <w:pStyle w:val="NoSpacing"/>
        <w:numPr>
          <w:ilvl w:val="0"/>
          <w:numId w:val="31"/>
        </w:numPr>
        <w:spacing w:before="0" w:after="0"/>
        <w:jc w:val="left"/>
      </w:pPr>
      <w:r>
        <w:rPr>
          <w:rFonts w:ascii="Helvetica LT Std Bold" w:hAnsi="Helvetica LT Std Bold"/>
        </w:rPr>
        <w:t>CONADIS México</w:t>
      </w:r>
      <w:r>
        <w:rPr>
          <w:rFonts w:ascii="Helvetica LT Std Bold" w:hAnsi="Helvetica LT Std Bold"/>
          <w:lang w:val="en-US"/>
        </w:rPr>
        <w:t xml:space="preserve">: </w:t>
      </w:r>
      <w:r>
        <w:t>Consejo Nacional para el Desarrollo y la Inclusión de las Personas con Discapacidad de México</w:t>
      </w:r>
    </w:p>
    <w:p w14:paraId="46B6C027" w14:textId="77777777" w:rsidR="001A105D" w:rsidRDefault="00000000">
      <w:pPr>
        <w:pStyle w:val="NoSpacing"/>
        <w:numPr>
          <w:ilvl w:val="0"/>
          <w:numId w:val="31"/>
        </w:numPr>
        <w:spacing w:before="0" w:after="0"/>
        <w:jc w:val="left"/>
      </w:pPr>
      <w:r>
        <w:rPr>
          <w:rFonts w:ascii="Helvetica LT Std Bold" w:hAnsi="Helvetica LT Std Bold"/>
        </w:rPr>
        <w:t>CONADIS Perú</w:t>
      </w:r>
      <w:r>
        <w:rPr>
          <w:rFonts w:ascii="Helvetica LT Std Bold" w:hAnsi="Helvetica LT Std Bold"/>
          <w:lang w:val="en-US"/>
        </w:rPr>
        <w:t xml:space="preserve">: </w:t>
      </w:r>
      <w:r>
        <w:t>Consejo Nacional para la Integración de la Persona con Discapacidad de Perú</w:t>
      </w:r>
    </w:p>
    <w:p w14:paraId="6BF6650B" w14:textId="77777777" w:rsidR="001A105D" w:rsidRDefault="00000000">
      <w:pPr>
        <w:pStyle w:val="NoSpacing"/>
        <w:numPr>
          <w:ilvl w:val="0"/>
          <w:numId w:val="31"/>
        </w:numPr>
        <w:spacing w:before="0" w:after="0"/>
        <w:jc w:val="left"/>
      </w:pPr>
      <w:r>
        <w:rPr>
          <w:rFonts w:ascii="Helvetica LT Std Bold" w:hAnsi="Helvetica LT Std Bold"/>
        </w:rPr>
        <w:t>CONAPRED</w:t>
      </w:r>
      <w:r>
        <w:rPr>
          <w:rFonts w:ascii="Helvetica LT Std Bold" w:hAnsi="Helvetica LT Std Bold"/>
          <w:lang w:val="en-US"/>
        </w:rPr>
        <w:t xml:space="preserve">: </w:t>
      </w:r>
      <w:r>
        <w:t>Consejo Nacional para Prevenir y Eliminar la Discriminación de México</w:t>
      </w:r>
    </w:p>
    <w:p w14:paraId="668F3EC5" w14:textId="77777777" w:rsidR="001A105D" w:rsidRDefault="00000000">
      <w:pPr>
        <w:pStyle w:val="NoSpacing"/>
        <w:numPr>
          <w:ilvl w:val="0"/>
          <w:numId w:val="31"/>
        </w:numPr>
        <w:spacing w:before="0" w:after="0"/>
        <w:jc w:val="left"/>
        <w:rPr>
          <w:lang w:val="pt-PT"/>
        </w:rPr>
      </w:pPr>
      <w:r>
        <w:rPr>
          <w:rFonts w:ascii="Helvetica LT Std Bold" w:hAnsi="Helvetica LT Std Bold"/>
          <w:lang w:val="pt-PT"/>
        </w:rPr>
        <w:t>Corte IDH</w:t>
      </w:r>
      <w:r>
        <w:rPr>
          <w:rFonts w:ascii="Helvetica LT Std Bold" w:hAnsi="Helvetica LT Std Bold"/>
          <w:lang w:val="en-US"/>
        </w:rPr>
        <w:t>:</w:t>
      </w:r>
      <w:r>
        <w:rPr>
          <w:lang w:val="pt-PT"/>
        </w:rPr>
        <w:t xml:space="preserve"> Corte Interamericana de </w:t>
      </w:r>
      <w:proofErr w:type="spellStart"/>
      <w:r>
        <w:rPr>
          <w:lang w:val="pt-PT"/>
        </w:rPr>
        <w:t>Derechos</w:t>
      </w:r>
      <w:proofErr w:type="spellEnd"/>
      <w:r>
        <w:rPr>
          <w:lang w:val="pt-PT"/>
        </w:rPr>
        <w:t xml:space="preserve"> Humanos</w:t>
      </w:r>
    </w:p>
    <w:p w14:paraId="2067FB70" w14:textId="77777777" w:rsidR="001A105D" w:rsidRDefault="00000000">
      <w:pPr>
        <w:pStyle w:val="NoSpacing"/>
        <w:numPr>
          <w:ilvl w:val="0"/>
          <w:numId w:val="31"/>
        </w:numPr>
        <w:spacing w:before="0" w:after="0"/>
        <w:jc w:val="left"/>
      </w:pPr>
      <w:r>
        <w:rPr>
          <w:rFonts w:ascii="Helvetica LT Std Bold" w:hAnsi="Helvetica LT Std Bold"/>
        </w:rPr>
        <w:t>DANE</w:t>
      </w:r>
      <w:r>
        <w:rPr>
          <w:rFonts w:ascii="Helvetica LT Std Bold" w:hAnsi="Helvetica LT Std Bold"/>
          <w:lang w:val="en-US"/>
        </w:rPr>
        <w:t>:</w:t>
      </w:r>
      <w:r>
        <w:t xml:space="preserve"> Departamento Administrativo Nacional de Estadística de Colombia</w:t>
      </w:r>
    </w:p>
    <w:p w14:paraId="5025B26E" w14:textId="77777777" w:rsidR="001A105D" w:rsidRDefault="00000000">
      <w:pPr>
        <w:pStyle w:val="NoSpacing"/>
        <w:numPr>
          <w:ilvl w:val="0"/>
          <w:numId w:val="31"/>
        </w:numPr>
        <w:spacing w:before="0" w:after="0"/>
        <w:jc w:val="left"/>
      </w:pPr>
      <w:r>
        <w:rPr>
          <w:rFonts w:ascii="Helvetica LT Std Bold" w:hAnsi="Helvetica LT Std Bold"/>
        </w:rPr>
        <w:lastRenderedPageBreak/>
        <w:t>DESCA</w:t>
      </w:r>
      <w:r>
        <w:rPr>
          <w:rFonts w:ascii="Helvetica LT Std Bold" w:hAnsi="Helvetica LT Std Bold"/>
          <w:lang w:val="en-US"/>
        </w:rPr>
        <w:t xml:space="preserve">: </w:t>
      </w:r>
      <w:r>
        <w:t>Derechos Económicos, Sociales, Culturales y Ambientales</w:t>
      </w:r>
    </w:p>
    <w:p w14:paraId="513B0F62" w14:textId="77777777" w:rsidR="001A105D" w:rsidRDefault="00000000">
      <w:pPr>
        <w:pStyle w:val="NoSpacing"/>
        <w:numPr>
          <w:ilvl w:val="0"/>
          <w:numId w:val="31"/>
        </w:numPr>
        <w:spacing w:before="0" w:after="0"/>
        <w:jc w:val="left"/>
      </w:pPr>
      <w:r>
        <w:rPr>
          <w:rFonts w:ascii="Helvetica LT Std Bold" w:hAnsi="Helvetica LT Std Bold"/>
        </w:rPr>
        <w:t>DUA</w:t>
      </w:r>
      <w:r>
        <w:rPr>
          <w:rFonts w:ascii="Helvetica LT Std Bold" w:hAnsi="Helvetica LT Std Bold"/>
          <w:lang w:val="en-US"/>
        </w:rPr>
        <w:t>:</w:t>
      </w:r>
      <w:r>
        <w:t xml:space="preserve"> Diseño Universal para el Aprendizaje</w:t>
      </w:r>
    </w:p>
    <w:p w14:paraId="61CA123E" w14:textId="77777777" w:rsidR="001A105D" w:rsidRDefault="00000000">
      <w:pPr>
        <w:pStyle w:val="NoSpacing"/>
        <w:numPr>
          <w:ilvl w:val="0"/>
          <w:numId w:val="31"/>
        </w:numPr>
        <w:spacing w:before="0" w:after="0"/>
        <w:jc w:val="left"/>
      </w:pPr>
      <w:r>
        <w:rPr>
          <w:rFonts w:ascii="Helvetica LT Std Bold" w:hAnsi="Helvetica LT Std Bold"/>
        </w:rPr>
        <w:t>EDLI</w:t>
      </w:r>
      <w:r>
        <w:rPr>
          <w:rFonts w:ascii="Helvetica LT Std Bold" w:hAnsi="Helvetica LT Std Bold"/>
          <w:lang w:val="en-US"/>
        </w:rPr>
        <w:t>:</w:t>
      </w:r>
      <w:r>
        <w:t xml:space="preserve"> Estrategia de Desarrollo Local Inclusivo</w:t>
      </w:r>
    </w:p>
    <w:p w14:paraId="202AC717" w14:textId="77777777" w:rsidR="001A105D" w:rsidRDefault="00000000">
      <w:pPr>
        <w:pStyle w:val="NoSpacing"/>
        <w:numPr>
          <w:ilvl w:val="0"/>
          <w:numId w:val="31"/>
        </w:numPr>
        <w:spacing w:before="0" w:after="0"/>
        <w:jc w:val="left"/>
      </w:pPr>
      <w:r>
        <w:rPr>
          <w:rFonts w:ascii="Helvetica LT Std Bold" w:hAnsi="Helvetica LT Std Bold"/>
        </w:rPr>
        <w:t>ENIGH</w:t>
      </w:r>
      <w:r>
        <w:rPr>
          <w:rFonts w:ascii="Helvetica LT Std Bold" w:hAnsi="Helvetica LT Std Bold"/>
          <w:lang w:val="en-US"/>
        </w:rPr>
        <w:t>:</w:t>
      </w:r>
      <w:r>
        <w:t xml:space="preserve"> Encuesta Nacional de Ingresos y Gastos de los Hogares de México</w:t>
      </w:r>
    </w:p>
    <w:p w14:paraId="24248CC8" w14:textId="77777777" w:rsidR="001A105D" w:rsidRDefault="00000000">
      <w:pPr>
        <w:pStyle w:val="NoSpacing"/>
        <w:numPr>
          <w:ilvl w:val="0"/>
          <w:numId w:val="31"/>
        </w:numPr>
        <w:spacing w:before="0" w:after="0"/>
        <w:jc w:val="left"/>
      </w:pPr>
      <w:r>
        <w:rPr>
          <w:rFonts w:ascii="Helvetica LT Std Bold" w:hAnsi="Helvetica LT Std Bold"/>
        </w:rPr>
        <w:t>FENACIEBO</w:t>
      </w:r>
      <w:r>
        <w:rPr>
          <w:rFonts w:ascii="Helvetica LT Std Bold" w:hAnsi="Helvetica LT Std Bold"/>
          <w:lang w:val="en-US"/>
        </w:rPr>
        <w:t xml:space="preserve">: </w:t>
      </w:r>
      <w:r>
        <w:t>Federación Nacional de Ciegos de Bolivia</w:t>
      </w:r>
    </w:p>
    <w:p w14:paraId="29399CD0" w14:textId="77777777" w:rsidR="001A105D" w:rsidRDefault="00000000">
      <w:pPr>
        <w:pStyle w:val="NoSpacing"/>
        <w:numPr>
          <w:ilvl w:val="0"/>
          <w:numId w:val="31"/>
        </w:numPr>
        <w:spacing w:before="0" w:after="0"/>
        <w:jc w:val="left"/>
      </w:pPr>
      <w:r>
        <w:rPr>
          <w:rFonts w:ascii="Helvetica LT Std Bold" w:hAnsi="Helvetica LT Std Bold"/>
        </w:rPr>
        <w:t>FONAPI</w:t>
      </w:r>
      <w:r>
        <w:rPr>
          <w:rFonts w:ascii="Helvetica LT Std Bold" w:hAnsi="Helvetica LT Std Bold"/>
          <w:lang w:val="en-US"/>
        </w:rPr>
        <w:t xml:space="preserve">: </w:t>
      </w:r>
      <w:r>
        <w:t>Fondo Nacional de Proyectos Inclusivos de Chile</w:t>
      </w:r>
    </w:p>
    <w:p w14:paraId="2241AE55" w14:textId="77777777" w:rsidR="001A105D" w:rsidRDefault="00000000">
      <w:pPr>
        <w:pStyle w:val="NoSpacing"/>
        <w:numPr>
          <w:ilvl w:val="0"/>
          <w:numId w:val="31"/>
        </w:numPr>
        <w:spacing w:before="0" w:after="0"/>
        <w:jc w:val="left"/>
      </w:pPr>
      <w:r>
        <w:rPr>
          <w:rFonts w:ascii="Helvetica LT Std Bold" w:hAnsi="Helvetica LT Std Bold"/>
        </w:rPr>
        <w:t>GW</w:t>
      </w:r>
      <w:r>
        <w:rPr>
          <w:rFonts w:ascii="Helvetica LT Std Bold" w:hAnsi="Helvetica LT Std Bold"/>
          <w:lang w:val="en-US"/>
        </w:rPr>
        <w:t xml:space="preserve">: </w:t>
      </w:r>
      <w:r>
        <w:t>Grupo de Washington</w:t>
      </w:r>
    </w:p>
    <w:p w14:paraId="4CC9B364" w14:textId="77777777" w:rsidR="001A105D" w:rsidRDefault="00000000">
      <w:pPr>
        <w:pStyle w:val="NoSpacing"/>
        <w:numPr>
          <w:ilvl w:val="0"/>
          <w:numId w:val="31"/>
        </w:numPr>
        <w:spacing w:before="0" w:after="0"/>
        <w:jc w:val="left"/>
      </w:pPr>
      <w:r>
        <w:rPr>
          <w:rFonts w:ascii="Helvetica LT Std Bold" w:hAnsi="Helvetica LT Std Bold"/>
        </w:rPr>
        <w:t>ICBF</w:t>
      </w:r>
      <w:r>
        <w:rPr>
          <w:rFonts w:ascii="Helvetica LT Std Bold" w:hAnsi="Helvetica LT Std Bold"/>
          <w:lang w:val="en-US"/>
        </w:rPr>
        <w:t xml:space="preserve">: </w:t>
      </w:r>
      <w:r>
        <w:t>Instituto Colombiano de Bienestar Familiar</w:t>
      </w:r>
    </w:p>
    <w:p w14:paraId="70F3EC3A" w14:textId="77777777" w:rsidR="001A105D" w:rsidRDefault="00000000">
      <w:pPr>
        <w:pStyle w:val="NoSpacing"/>
        <w:numPr>
          <w:ilvl w:val="0"/>
          <w:numId w:val="31"/>
        </w:numPr>
        <w:spacing w:before="0" w:after="0"/>
        <w:jc w:val="left"/>
      </w:pPr>
      <w:r>
        <w:rPr>
          <w:rFonts w:ascii="Helvetica LT Std Bold" w:hAnsi="Helvetica LT Std Bold"/>
        </w:rPr>
        <w:t>IHSS</w:t>
      </w:r>
      <w:r>
        <w:rPr>
          <w:rFonts w:ascii="Helvetica LT Std Bold" w:hAnsi="Helvetica LT Std Bold"/>
          <w:lang w:val="en-US"/>
        </w:rPr>
        <w:t xml:space="preserve">: </w:t>
      </w:r>
      <w:r>
        <w:t>Instituto Hondureño de Seguridad Social de Honduras</w:t>
      </w:r>
    </w:p>
    <w:p w14:paraId="58BA524C" w14:textId="77777777" w:rsidR="001A105D" w:rsidRDefault="00000000">
      <w:pPr>
        <w:pStyle w:val="NoSpacing"/>
        <w:numPr>
          <w:ilvl w:val="0"/>
          <w:numId w:val="31"/>
        </w:numPr>
        <w:spacing w:before="0" w:after="0"/>
        <w:jc w:val="left"/>
      </w:pPr>
      <w:r>
        <w:rPr>
          <w:rFonts w:ascii="Helvetica LT Std Bold" w:hAnsi="Helvetica LT Std Bold"/>
        </w:rPr>
        <w:t>INADI</w:t>
      </w:r>
      <w:r>
        <w:rPr>
          <w:rFonts w:ascii="Helvetica LT Std Bold" w:hAnsi="Helvetica LT Std Bold"/>
          <w:lang w:val="en-US"/>
        </w:rPr>
        <w:t xml:space="preserve">: </w:t>
      </w:r>
      <w:r>
        <w:t>Instituto Nacional contra la Discriminación de Argentina</w:t>
      </w:r>
    </w:p>
    <w:p w14:paraId="7EF416BB" w14:textId="77777777" w:rsidR="001A105D" w:rsidRDefault="00000000">
      <w:pPr>
        <w:pStyle w:val="NoSpacing"/>
        <w:numPr>
          <w:ilvl w:val="0"/>
          <w:numId w:val="31"/>
        </w:numPr>
        <w:spacing w:before="0" w:after="0"/>
        <w:jc w:val="left"/>
      </w:pPr>
      <w:r>
        <w:rPr>
          <w:rFonts w:ascii="Helvetica LT Std Bold" w:hAnsi="Helvetica LT Std Bold"/>
        </w:rPr>
        <w:t>INEGI</w:t>
      </w:r>
      <w:r>
        <w:rPr>
          <w:rFonts w:ascii="Helvetica LT Std Bold" w:hAnsi="Helvetica LT Std Bold"/>
          <w:lang w:val="en-US"/>
        </w:rPr>
        <w:t xml:space="preserve">: </w:t>
      </w:r>
      <w:r>
        <w:t>Instituto Nacional de Estadística y Geografía de México</w:t>
      </w:r>
    </w:p>
    <w:p w14:paraId="7518FE10" w14:textId="77777777" w:rsidR="001A105D" w:rsidRDefault="00000000">
      <w:pPr>
        <w:pStyle w:val="NoSpacing"/>
        <w:numPr>
          <w:ilvl w:val="0"/>
          <w:numId w:val="31"/>
        </w:numPr>
        <w:spacing w:before="0" w:after="0"/>
        <w:jc w:val="left"/>
        <w:rPr>
          <w:lang w:val="pt-PT"/>
        </w:rPr>
      </w:pPr>
      <w:r>
        <w:rPr>
          <w:rFonts w:ascii="Helvetica LT Std Bold" w:hAnsi="Helvetica LT Std Bold"/>
          <w:lang w:val="pt-PT"/>
        </w:rPr>
        <w:t>INEI</w:t>
      </w:r>
      <w:r>
        <w:rPr>
          <w:rFonts w:ascii="Helvetica LT Std Bold" w:hAnsi="Helvetica LT Std Bold"/>
          <w:lang w:val="en-US"/>
        </w:rPr>
        <w:t xml:space="preserve">: </w:t>
      </w:r>
      <w:r>
        <w:rPr>
          <w:lang w:val="pt-PT"/>
        </w:rPr>
        <w:t>Instituto Nacional de Estadística e Informática de Perú</w:t>
      </w:r>
    </w:p>
    <w:p w14:paraId="5AD7AF03" w14:textId="77777777" w:rsidR="001A105D" w:rsidRDefault="00000000">
      <w:pPr>
        <w:pStyle w:val="NoSpacing"/>
        <w:numPr>
          <w:ilvl w:val="0"/>
          <w:numId w:val="31"/>
        </w:numPr>
        <w:spacing w:before="0" w:after="0"/>
        <w:jc w:val="left"/>
      </w:pPr>
      <w:r>
        <w:rPr>
          <w:rFonts w:ascii="Helvetica LT Std Bold" w:hAnsi="Helvetica LT Std Bold"/>
        </w:rPr>
        <w:t>INRPAC</w:t>
      </w:r>
      <w:r>
        <w:rPr>
          <w:rFonts w:ascii="Helvetica LT Std Bold" w:hAnsi="Helvetica LT Std Bold"/>
          <w:lang w:val="en-US"/>
        </w:rPr>
        <w:t xml:space="preserve">: </w:t>
      </w:r>
      <w:r>
        <w:t>Instituto Nacional de Rehabilitación Pedro Aguirre Cerda</w:t>
      </w:r>
    </w:p>
    <w:p w14:paraId="1F61E207" w14:textId="77777777" w:rsidR="001A105D" w:rsidRDefault="00000000">
      <w:pPr>
        <w:pStyle w:val="NoSpacing"/>
        <w:numPr>
          <w:ilvl w:val="0"/>
          <w:numId w:val="31"/>
        </w:numPr>
        <w:spacing w:before="0" w:after="0"/>
        <w:jc w:val="left"/>
      </w:pPr>
      <w:r>
        <w:rPr>
          <w:rFonts w:ascii="Helvetica LT Std Bold" w:hAnsi="Helvetica LT Std Bold"/>
        </w:rPr>
        <w:t>LGTBI</w:t>
      </w:r>
      <w:r>
        <w:rPr>
          <w:rFonts w:ascii="Helvetica LT Std Bold" w:hAnsi="Helvetica LT Std Bold"/>
          <w:lang w:val="en-US"/>
        </w:rPr>
        <w:t xml:space="preserve">: </w:t>
      </w:r>
      <w:r>
        <w:t xml:space="preserve">Personas lesbianas, </w:t>
      </w:r>
      <w:proofErr w:type="spellStart"/>
      <w:r>
        <w:t>gays</w:t>
      </w:r>
      <w:proofErr w:type="spellEnd"/>
      <w:r>
        <w:t>, trans, bisexuales e intersex</w:t>
      </w:r>
    </w:p>
    <w:p w14:paraId="0928FB84" w14:textId="77777777" w:rsidR="001A105D" w:rsidRDefault="00000000">
      <w:pPr>
        <w:pStyle w:val="NoSpacing"/>
        <w:numPr>
          <w:ilvl w:val="0"/>
          <w:numId w:val="31"/>
        </w:numPr>
        <w:spacing w:before="0" w:after="0"/>
        <w:jc w:val="left"/>
      </w:pPr>
      <w:r>
        <w:rPr>
          <w:rFonts w:ascii="Helvetica LT Std Bold" w:hAnsi="Helvetica LT Std Bold"/>
        </w:rPr>
        <w:t>LOES</w:t>
      </w:r>
      <w:r>
        <w:rPr>
          <w:rFonts w:ascii="Helvetica LT Std Bold" w:hAnsi="Helvetica LT Std Bold"/>
          <w:lang w:val="en-US"/>
        </w:rPr>
        <w:t xml:space="preserve">: </w:t>
      </w:r>
      <w:r>
        <w:t>Ley Orgánica de Educación Superior</w:t>
      </w:r>
    </w:p>
    <w:p w14:paraId="0445A9AF" w14:textId="77777777" w:rsidR="001A105D" w:rsidRDefault="00000000">
      <w:pPr>
        <w:pStyle w:val="NoSpacing"/>
        <w:numPr>
          <w:ilvl w:val="0"/>
          <w:numId w:val="31"/>
        </w:numPr>
        <w:spacing w:before="0" w:after="0"/>
        <w:jc w:val="left"/>
      </w:pPr>
      <w:proofErr w:type="spellStart"/>
      <w:r>
        <w:rPr>
          <w:rFonts w:ascii="Helvetica LT Std Bold" w:hAnsi="Helvetica LT Std Bold"/>
        </w:rPr>
        <w:t>LSCh</w:t>
      </w:r>
      <w:proofErr w:type="spellEnd"/>
      <w:r>
        <w:rPr>
          <w:rFonts w:ascii="Helvetica LT Std Bold" w:hAnsi="Helvetica LT Std Bold"/>
          <w:lang w:val="en-US"/>
        </w:rPr>
        <w:t xml:space="preserve">: </w:t>
      </w:r>
      <w:r>
        <w:t xml:space="preserve">Lengua de Señas Chilena </w:t>
      </w:r>
    </w:p>
    <w:p w14:paraId="7F8B50EC" w14:textId="77777777" w:rsidR="001A105D" w:rsidRDefault="00000000">
      <w:pPr>
        <w:pStyle w:val="NoSpacing"/>
        <w:numPr>
          <w:ilvl w:val="0"/>
          <w:numId w:val="31"/>
        </w:numPr>
        <w:spacing w:before="0" w:after="0"/>
        <w:jc w:val="left"/>
      </w:pPr>
      <w:r>
        <w:rPr>
          <w:rFonts w:ascii="Helvetica LT Std Bold" w:hAnsi="Helvetica LT Std Bold"/>
        </w:rPr>
        <w:t>OEA</w:t>
      </w:r>
      <w:r>
        <w:rPr>
          <w:rFonts w:ascii="Helvetica LT Std Bold" w:hAnsi="Helvetica LT Std Bold"/>
          <w:lang w:val="en-US"/>
        </w:rPr>
        <w:t xml:space="preserve">: </w:t>
      </w:r>
      <w:r>
        <w:t>Organización de los Estados Americanos</w:t>
      </w:r>
    </w:p>
    <w:p w14:paraId="1EAC7056" w14:textId="77777777" w:rsidR="001A105D" w:rsidRDefault="00000000">
      <w:pPr>
        <w:pStyle w:val="NoSpacing"/>
        <w:numPr>
          <w:ilvl w:val="0"/>
          <w:numId w:val="31"/>
        </w:numPr>
        <w:spacing w:before="0" w:after="0"/>
        <w:jc w:val="left"/>
      </w:pPr>
      <w:r>
        <w:rPr>
          <w:rFonts w:ascii="Helvetica LT Std Bold" w:hAnsi="Helvetica LT Std Bold"/>
        </w:rPr>
        <w:t>OMS</w:t>
      </w:r>
      <w:r>
        <w:rPr>
          <w:rFonts w:ascii="Helvetica LT Std Bold" w:hAnsi="Helvetica LT Std Bold"/>
          <w:lang w:val="en-US"/>
        </w:rPr>
        <w:t xml:space="preserve">: </w:t>
      </w:r>
      <w:r>
        <w:t>Organización Mundial de la Salud</w:t>
      </w:r>
    </w:p>
    <w:p w14:paraId="585E5DCB" w14:textId="77777777" w:rsidR="001A105D" w:rsidRDefault="00000000">
      <w:pPr>
        <w:pStyle w:val="NoSpacing"/>
        <w:numPr>
          <w:ilvl w:val="0"/>
          <w:numId w:val="31"/>
        </w:numPr>
        <w:spacing w:before="0" w:after="0"/>
        <w:jc w:val="left"/>
      </w:pPr>
      <w:r>
        <w:rPr>
          <w:rFonts w:ascii="Helvetica LT Std Bold" w:hAnsi="Helvetica LT Std Bold"/>
        </w:rPr>
        <w:t>ONU</w:t>
      </w:r>
      <w:r>
        <w:rPr>
          <w:rFonts w:ascii="Helvetica LT Std Bold" w:hAnsi="Helvetica LT Std Bold"/>
          <w:lang w:val="en-US"/>
        </w:rPr>
        <w:t xml:space="preserve">: </w:t>
      </w:r>
      <w:r>
        <w:t>Organización de las Naciones Unidas</w:t>
      </w:r>
    </w:p>
    <w:p w14:paraId="37412AAF" w14:textId="77777777" w:rsidR="001A105D" w:rsidRDefault="00000000">
      <w:pPr>
        <w:pStyle w:val="NoSpacing"/>
        <w:numPr>
          <w:ilvl w:val="0"/>
          <w:numId w:val="31"/>
        </w:numPr>
        <w:spacing w:before="0" w:after="0"/>
        <w:jc w:val="left"/>
      </w:pPr>
      <w:r>
        <w:rPr>
          <w:rFonts w:ascii="Helvetica LT Std Bold" w:hAnsi="Helvetica LT Std Bold"/>
        </w:rPr>
        <w:t>PAD</w:t>
      </w:r>
      <w:r>
        <w:rPr>
          <w:rFonts w:ascii="Helvetica LT Std Bold" w:hAnsi="Helvetica LT Std Bold"/>
          <w:lang w:val="en-US"/>
        </w:rPr>
        <w:t xml:space="preserve">: </w:t>
      </w:r>
      <w:r>
        <w:t>Programa de Acción para el Decenio de las Américas por los Derechos y la Dignidad de las Personas con Discapacidad</w:t>
      </w:r>
    </w:p>
    <w:p w14:paraId="5A0F51AA" w14:textId="77777777" w:rsidR="001A105D" w:rsidRDefault="00000000">
      <w:pPr>
        <w:pStyle w:val="NoSpacing"/>
        <w:numPr>
          <w:ilvl w:val="0"/>
          <w:numId w:val="31"/>
        </w:numPr>
        <w:spacing w:before="0" w:after="0"/>
        <w:jc w:val="left"/>
      </w:pPr>
      <w:r>
        <w:rPr>
          <w:rFonts w:ascii="Helvetica LT Std Bold" w:hAnsi="Helvetica LT Std Bold"/>
        </w:rPr>
        <w:lastRenderedPageBreak/>
        <w:t>PAJ</w:t>
      </w:r>
      <w:r>
        <w:rPr>
          <w:rFonts w:ascii="Helvetica LT Std Bold" w:hAnsi="Helvetica LT Std Bold"/>
          <w:lang w:val="en-US"/>
        </w:rPr>
        <w:t xml:space="preserve">: </w:t>
      </w:r>
      <w:r>
        <w:t>Programa de Acceso a la Justicia de Chile</w:t>
      </w:r>
    </w:p>
    <w:p w14:paraId="18BCDBA6" w14:textId="77777777" w:rsidR="001A105D" w:rsidRDefault="00000000">
      <w:pPr>
        <w:pStyle w:val="NoSpacing"/>
        <w:numPr>
          <w:ilvl w:val="0"/>
          <w:numId w:val="31"/>
        </w:numPr>
        <w:spacing w:before="0" w:after="0"/>
        <w:jc w:val="left"/>
      </w:pPr>
      <w:r>
        <w:rPr>
          <w:rFonts w:ascii="Helvetica LT Std Bold" w:hAnsi="Helvetica LT Std Bold"/>
        </w:rPr>
        <w:t>RS-CDPD</w:t>
      </w:r>
      <w:r>
        <w:rPr>
          <w:rFonts w:ascii="Helvetica LT Std Bold" w:hAnsi="Helvetica LT Std Bold"/>
          <w:lang w:val="en-US"/>
        </w:rPr>
        <w:t xml:space="preserve">: </w:t>
      </w:r>
      <w:r>
        <w:t>Relatoría Especial sobre los Derechos de las Personas con Discapacidad</w:t>
      </w:r>
    </w:p>
    <w:p w14:paraId="20433092" w14:textId="77777777" w:rsidR="001A105D" w:rsidRDefault="00000000">
      <w:pPr>
        <w:pStyle w:val="NoSpacing"/>
        <w:numPr>
          <w:ilvl w:val="0"/>
          <w:numId w:val="31"/>
        </w:numPr>
        <w:spacing w:before="0" w:after="0"/>
        <w:jc w:val="left"/>
      </w:pPr>
      <w:r>
        <w:rPr>
          <w:rFonts w:ascii="Helvetica LT Std Bold" w:hAnsi="Helvetica LT Std Bold"/>
        </w:rPr>
        <w:t>RUV</w:t>
      </w:r>
      <w:r>
        <w:rPr>
          <w:rFonts w:ascii="Helvetica LT Std Bold" w:hAnsi="Helvetica LT Std Bold"/>
          <w:lang w:val="en-US"/>
        </w:rPr>
        <w:t xml:space="preserve">: </w:t>
      </w:r>
      <w:r>
        <w:t>Registro Único de Víctimas de Colombia</w:t>
      </w:r>
    </w:p>
    <w:p w14:paraId="4CAB0C88" w14:textId="77777777" w:rsidR="001A105D" w:rsidRDefault="00000000">
      <w:pPr>
        <w:pStyle w:val="NoSpacing"/>
        <w:numPr>
          <w:ilvl w:val="0"/>
          <w:numId w:val="31"/>
        </w:numPr>
        <w:spacing w:before="0" w:after="0"/>
        <w:jc w:val="left"/>
      </w:pPr>
      <w:r>
        <w:rPr>
          <w:rFonts w:ascii="Helvetica LT Std Bold" w:hAnsi="Helvetica LT Std Bold"/>
        </w:rPr>
        <w:t>SCJN</w:t>
      </w:r>
      <w:r>
        <w:rPr>
          <w:rFonts w:ascii="Helvetica LT Std Bold" w:hAnsi="Helvetica LT Std Bold"/>
          <w:lang w:val="en-US"/>
        </w:rPr>
        <w:t xml:space="preserve">: </w:t>
      </w:r>
      <w:r>
        <w:t>Suprema Corte de Justicia de la Nación de México</w:t>
      </w:r>
    </w:p>
    <w:p w14:paraId="590C9FC9" w14:textId="77777777" w:rsidR="001A105D" w:rsidRDefault="00000000">
      <w:pPr>
        <w:pStyle w:val="NoSpacing"/>
        <w:numPr>
          <w:ilvl w:val="0"/>
          <w:numId w:val="31"/>
        </w:numPr>
        <w:spacing w:before="0" w:after="0"/>
        <w:jc w:val="left"/>
      </w:pPr>
      <w:r>
        <w:rPr>
          <w:rFonts w:ascii="Helvetica LT Std Bold" w:hAnsi="Helvetica LT Std Bold"/>
        </w:rPr>
        <w:t>SENADIS</w:t>
      </w:r>
      <w:r>
        <w:rPr>
          <w:rFonts w:ascii="Helvetica LT Std Bold" w:hAnsi="Helvetica LT Std Bold"/>
          <w:lang w:val="en-US"/>
        </w:rPr>
        <w:t xml:space="preserve">: </w:t>
      </w:r>
      <w:r>
        <w:t>Servicio Nacional de la Discapacidad de Chile</w:t>
      </w:r>
    </w:p>
    <w:p w14:paraId="545ACED1" w14:textId="77777777" w:rsidR="001A105D" w:rsidRDefault="00000000">
      <w:pPr>
        <w:pStyle w:val="NoSpacing"/>
        <w:numPr>
          <w:ilvl w:val="0"/>
          <w:numId w:val="31"/>
        </w:numPr>
        <w:spacing w:before="0" w:after="0"/>
        <w:jc w:val="left"/>
      </w:pPr>
      <w:r>
        <w:rPr>
          <w:rFonts w:ascii="Helvetica LT Std Bold" w:hAnsi="Helvetica LT Std Bold"/>
        </w:rPr>
        <w:t>SIEL</w:t>
      </w:r>
      <w:r>
        <w:rPr>
          <w:rFonts w:ascii="Helvetica LT Std Bold" w:hAnsi="Helvetica LT Std Bold"/>
          <w:lang w:val="en-US"/>
        </w:rPr>
        <w:t xml:space="preserve">: </w:t>
      </w:r>
      <w:r>
        <w:t>Servicio de Interpretación en Línea de Colombia</w:t>
      </w:r>
    </w:p>
    <w:p w14:paraId="3ABCF7E0" w14:textId="77777777" w:rsidR="001A105D" w:rsidRDefault="00000000">
      <w:pPr>
        <w:pStyle w:val="NoSpacing"/>
        <w:numPr>
          <w:ilvl w:val="0"/>
          <w:numId w:val="31"/>
        </w:numPr>
        <w:spacing w:before="0" w:after="0"/>
        <w:jc w:val="left"/>
      </w:pPr>
      <w:r>
        <w:rPr>
          <w:rFonts w:ascii="Helvetica LT Std Bold" w:hAnsi="Helvetica LT Std Bold"/>
        </w:rPr>
        <w:t>SIMAT</w:t>
      </w:r>
      <w:r>
        <w:rPr>
          <w:rFonts w:ascii="Helvetica LT Std Bold" w:hAnsi="Helvetica LT Std Bold"/>
          <w:lang w:val="en-US"/>
        </w:rPr>
        <w:t xml:space="preserve">: </w:t>
      </w:r>
      <w:r>
        <w:t>Sistema Integrado de Matrículas de Colombia</w:t>
      </w:r>
    </w:p>
    <w:p w14:paraId="7E7E1EF1" w14:textId="77777777" w:rsidR="001A105D" w:rsidRDefault="00000000">
      <w:pPr>
        <w:pStyle w:val="NoSpacing"/>
        <w:numPr>
          <w:ilvl w:val="0"/>
          <w:numId w:val="31"/>
        </w:numPr>
        <w:spacing w:before="0" w:after="0"/>
        <w:jc w:val="left"/>
      </w:pPr>
      <w:r>
        <w:rPr>
          <w:rFonts w:ascii="Helvetica LT Std Bold" w:hAnsi="Helvetica LT Std Bold"/>
        </w:rPr>
        <w:t>SUIN</w:t>
      </w:r>
      <w:r>
        <w:rPr>
          <w:rFonts w:ascii="Helvetica LT Std Bold" w:hAnsi="Helvetica LT Std Bold"/>
          <w:lang w:val="en-US"/>
        </w:rPr>
        <w:t xml:space="preserve">: </w:t>
      </w:r>
      <w:r>
        <w:t>Sistema Único de Información Normativa de Colombia</w:t>
      </w:r>
    </w:p>
    <w:p w14:paraId="47760A32" w14:textId="77777777" w:rsidR="001A105D" w:rsidRDefault="001A105D">
      <w:pPr>
        <w:pStyle w:val="Body"/>
        <w:spacing w:before="240" w:after="240" w:line="259" w:lineRule="auto"/>
        <w:rPr>
          <w:rFonts w:ascii="Helvetica LT Std Bold" w:eastAsia="Helvetica LT Std Bold" w:hAnsi="Helvetica LT Std Bold" w:cs="Helvetica LT Std Bold"/>
          <w:sz w:val="20"/>
          <w:szCs w:val="20"/>
        </w:rPr>
      </w:pPr>
    </w:p>
    <w:p w14:paraId="167209BE" w14:textId="77777777" w:rsidR="001A105D" w:rsidRDefault="001A105D">
      <w:pPr>
        <w:pStyle w:val="Subtitle"/>
        <w:rPr>
          <w:lang w:val="es-ES_tradnl"/>
        </w:rPr>
      </w:pPr>
    </w:p>
    <w:p w14:paraId="2FEC6EE1" w14:textId="77777777" w:rsidR="001A105D" w:rsidRDefault="00000000">
      <w:pPr>
        <w:pStyle w:val="CapCIDH"/>
      </w:pPr>
      <w:r>
        <w:rPr>
          <w:rFonts w:ascii="Arial Unicode MS" w:eastAsia="Arial Unicode MS" w:hAnsi="Arial Unicode MS" w:cs="Arial Unicode MS"/>
        </w:rPr>
        <w:br w:type="page"/>
      </w:r>
    </w:p>
    <w:p w14:paraId="1C6671B3" w14:textId="3B090164" w:rsidR="001A105D" w:rsidRDefault="00000000">
      <w:pPr>
        <w:pStyle w:val="CapCIDH"/>
      </w:pPr>
      <w:bookmarkStart w:id="0" w:name="ResumenEjecutivo"/>
      <w:bookmarkEnd w:id="0"/>
      <w:r>
        <w:rPr>
          <w:rFonts w:eastAsia="Arial Unicode MS" w:cs="Arial Unicode MS"/>
        </w:rPr>
        <w:lastRenderedPageBreak/>
        <w:t>RESUMEN EJECUTIVO</w:t>
      </w:r>
    </w:p>
    <w:p w14:paraId="2124B034" w14:textId="77777777" w:rsidR="001A105D" w:rsidRDefault="00000000">
      <w:pPr>
        <w:pStyle w:val="NoSpacing"/>
        <w:numPr>
          <w:ilvl w:val="0"/>
          <w:numId w:val="33"/>
        </w:numPr>
      </w:pPr>
      <w:r>
        <w:rPr>
          <w:rFonts w:eastAsia="Arial Unicode MS" w:cs="Arial Unicode MS"/>
        </w:rPr>
        <w:t>La Comisión Interamericana de Derechos Humanos (en adelante “Comisión”, “Comisión Interamericana” o “CIDH”) ha abordado la situación de los derechos de las personas con discapacidad a través de sus mecanismos de monitoreo, peticiones y casos, audiencias y medidas cautelares. En estos distintos instrumentos, se ha evidenciado que, debido a una discriminación histórica estructural, estas personas enfrentan múltiples obstáculos para el reconocimiento y la protección plena de sus derechos humanos.</w:t>
      </w:r>
    </w:p>
    <w:p w14:paraId="17887C02" w14:textId="77777777" w:rsidR="001A105D" w:rsidRDefault="00000000">
      <w:pPr>
        <w:pStyle w:val="NoSpacing"/>
        <w:numPr>
          <w:ilvl w:val="0"/>
          <w:numId w:val="33"/>
        </w:numPr>
      </w:pPr>
      <w:r>
        <w:t xml:space="preserve">Dentro del marco del Plan Estratégico 2017-2021, y en consonancia con los derechos establecidos en la Convención Interamericana para la Eliminación de Todas las Formas de Discriminación contra las Personas con Discapacidad (en adelante “CIADDIS”), la CIDH reconoció los derechos humanos de las personas con discapacidad como una de sus prioridades, lo que resultó en la creación de la Relatoría Temática sobre los Derechos de las Personas con Discapacidad. </w:t>
      </w:r>
    </w:p>
    <w:p w14:paraId="6A0A0648" w14:textId="77777777" w:rsidR="001A105D" w:rsidRDefault="00000000">
      <w:pPr>
        <w:pStyle w:val="NoSpacing"/>
        <w:numPr>
          <w:ilvl w:val="0"/>
          <w:numId w:val="33"/>
        </w:numPr>
      </w:pPr>
      <w:r>
        <w:t xml:space="preserve">Desde su establecimiento, se han realizado once audiencias temáticas que abordan los derechos de las personas con discapacidad tanto a nivel estatal como regional. Además, se han emitido comunicados de prensa que no solo alertan sobre la situación de los derechos de estas personas, sino también sobre las medidas adoptadas por los Estados para asegurar su </w:t>
      </w:r>
      <w:r>
        <w:lastRenderedPageBreak/>
        <w:t>capacidad jurídica plena, promoviendo la desinstitucionalización y su inclusión en la comunidad</w:t>
      </w:r>
      <w:r>
        <w:rPr>
          <w:vertAlign w:val="superscript"/>
        </w:rPr>
        <w:footnoteReference w:id="2"/>
      </w:r>
      <w:r>
        <w:t>.</w:t>
      </w:r>
    </w:p>
    <w:p w14:paraId="1D9FE2C8" w14:textId="77777777" w:rsidR="001A105D" w:rsidRDefault="00000000">
      <w:pPr>
        <w:pStyle w:val="NoSpacing"/>
        <w:numPr>
          <w:ilvl w:val="0"/>
          <w:numId w:val="33"/>
        </w:numPr>
      </w:pPr>
      <w:r>
        <w:rPr>
          <w:rFonts w:eastAsia="Arial Unicode MS" w:cs="Arial Unicode MS"/>
        </w:rPr>
        <w:t xml:space="preserve">Para fortalecer esta estrategia, se ha elaborado el presente informe con el objetivo de proporcionar un diagnóstico general sobre la situación de ejercicio de derechos de las personas con discapacidad en la región. El documento resalta la exclusión y discriminación sistemática que enfrentan, resultado de paradigmas históricos estigmatizantes que las conciben como portadoras de patologías individuales a ser "reparadas". En este escenario, se destaca la necesidad de transversalizar esfuerzos de </w:t>
      </w:r>
      <w:proofErr w:type="spellStart"/>
      <w:r>
        <w:rPr>
          <w:rFonts w:eastAsia="Arial Unicode MS" w:cs="Arial Unicode MS"/>
        </w:rPr>
        <w:t>visibilización</w:t>
      </w:r>
      <w:proofErr w:type="spellEnd"/>
      <w:r>
        <w:rPr>
          <w:rFonts w:eastAsia="Arial Unicode MS" w:cs="Arial Unicode MS"/>
        </w:rPr>
        <w:t xml:space="preserve"> de las personas con discapacidad como personas sujetas de derechos en todos los ámbitos legales y políticos, con el fin de superar los estereotipos socioculturales y garantizar una vida en condiciones de igualdad y no discriminación.</w:t>
      </w:r>
    </w:p>
    <w:p w14:paraId="19CBD858" w14:textId="77777777" w:rsidR="001A105D" w:rsidRDefault="00000000">
      <w:pPr>
        <w:pStyle w:val="NoSpacing"/>
        <w:numPr>
          <w:ilvl w:val="0"/>
          <w:numId w:val="33"/>
        </w:numPr>
      </w:pPr>
      <w:r>
        <w:t xml:space="preserve">Aunque algunos Estados han logrado avanzar con progresos significativos en alineación con los estándares internacionales, como la Convención sobre los Derechos de las Personas con Discapacidad (en adelante “CDPD”) de las Naciones Unidas (en adelante “ONU”), muchos aún desconocen a la discapacidad como categoría protegida contra la discriminación. Persisten barreras en accesibilidad y participación política, y la falta de reconocimiento del derecho a la capacidad jurídica de las personas con discapacidad limita su influencia en decisiones que les afectan. La Comisión resalta la importancia de eliminar ambigüedades legales y garantizar la accesibilidad para </w:t>
      </w:r>
      <w:r>
        <w:lastRenderedPageBreak/>
        <w:t>permitir el ejercicio pleno de derechos y la inclusión efectiva de estas personas en la sociedad.</w:t>
      </w:r>
    </w:p>
    <w:p w14:paraId="3C375899" w14:textId="77777777" w:rsidR="001A105D" w:rsidRDefault="00000000">
      <w:pPr>
        <w:pStyle w:val="NoSpacing"/>
        <w:numPr>
          <w:ilvl w:val="0"/>
          <w:numId w:val="33"/>
        </w:numPr>
      </w:pPr>
      <w:r>
        <w:rPr>
          <w:rFonts w:eastAsia="Arial Unicode MS" w:cs="Arial Unicode MS"/>
        </w:rPr>
        <w:t>Al final, el documento también incluye recomendaciones para los Estados miembros. Estas ofrecen una hoja de ruta centrada en mejorar la atención, promoción y protección de los derechos humanos de estas personas, basándose en el modelo social y de derechos humanos establecido por la normativa internacional.</w:t>
      </w:r>
      <w:r>
        <w:rPr>
          <w:rFonts w:ascii="Arial Unicode MS" w:eastAsia="Arial Unicode MS" w:hAnsi="Arial Unicode MS" w:cs="Arial Unicode MS"/>
          <w:sz w:val="20"/>
          <w:szCs w:val="20"/>
        </w:rPr>
        <w:br w:type="page"/>
      </w:r>
    </w:p>
    <w:p w14:paraId="324EBB00" w14:textId="6163D289" w:rsidR="001A105D" w:rsidRDefault="00000000">
      <w:pPr>
        <w:pStyle w:val="Heading2"/>
        <w:numPr>
          <w:ilvl w:val="0"/>
          <w:numId w:val="35"/>
        </w:numPr>
      </w:pPr>
      <w:bookmarkStart w:id="1" w:name="INTRODUCCIÓN"/>
      <w:bookmarkStart w:id="2" w:name="_Toc"/>
      <w:bookmarkEnd w:id="1"/>
      <w:r>
        <w:rPr>
          <w:rFonts w:eastAsia="Arial Unicode MS" w:cs="Arial Unicode MS"/>
        </w:rPr>
        <w:lastRenderedPageBreak/>
        <w:t>I</w:t>
      </w:r>
      <w:r>
        <w:rPr>
          <w:rFonts w:eastAsia="Arial Unicode MS" w:cs="Arial Unicode MS"/>
          <w:lang w:val="de-DE"/>
        </w:rPr>
        <w:t>NTRODUCCI</w:t>
      </w:r>
      <w:r>
        <w:rPr>
          <w:rFonts w:eastAsia="Arial Unicode MS" w:cs="Arial Unicode MS"/>
        </w:rPr>
        <w:t>ÓN</w:t>
      </w:r>
      <w:bookmarkEnd w:id="2"/>
    </w:p>
    <w:p w14:paraId="1168CB8A" w14:textId="77777777" w:rsidR="001A105D" w:rsidRDefault="00000000">
      <w:pPr>
        <w:pStyle w:val="Heading3"/>
        <w:numPr>
          <w:ilvl w:val="0"/>
          <w:numId w:val="37"/>
        </w:numPr>
      </w:pPr>
      <w:bookmarkStart w:id="3" w:name="_Toc1"/>
      <w:r>
        <w:rPr>
          <w:rFonts w:eastAsia="Arial Unicode MS" w:cs="Arial Unicode MS"/>
          <w:lang w:val="es-ES_tradnl"/>
        </w:rPr>
        <w:t>Objetivo y alcance del informe</w:t>
      </w:r>
      <w:bookmarkEnd w:id="3"/>
    </w:p>
    <w:p w14:paraId="7C552D1E" w14:textId="77777777" w:rsidR="001A105D" w:rsidRDefault="00000000">
      <w:pPr>
        <w:pStyle w:val="NoSpacing"/>
        <w:numPr>
          <w:ilvl w:val="0"/>
          <w:numId w:val="33"/>
        </w:numPr>
      </w:pPr>
      <w:r>
        <w:t xml:space="preserve">Según el último Informe Mundial sobre Discapacidad, más de 85 millones de personas, lo que equivale a una de cada siete, se encuentra en situación de discapacidad en las Américas. Este número tiende a aumentar debido a varios factores, tales como el envejecimiento de la población, que incrementa el riesgo de adquirir discapacidades, así como las consecuencias </w:t>
      </w:r>
      <w:proofErr w:type="spellStart"/>
      <w:r>
        <w:t>discapacitantes</w:t>
      </w:r>
      <w:proofErr w:type="spellEnd"/>
      <w:r>
        <w:t xml:space="preserve"> derivadas de enfermedades no transmisibles, la pobreza, los desastres naturales y las situaciones de violencia y ocupación presentes en muchos países de la región</w:t>
      </w:r>
      <w:r>
        <w:rPr>
          <w:vertAlign w:val="superscript"/>
        </w:rPr>
        <w:footnoteReference w:id="3"/>
      </w:r>
      <w:r>
        <w:t>.</w:t>
      </w:r>
    </w:p>
    <w:p w14:paraId="6AB0DCBE" w14:textId="77777777" w:rsidR="001A105D" w:rsidRDefault="00000000">
      <w:pPr>
        <w:pStyle w:val="NoSpacing"/>
        <w:numPr>
          <w:ilvl w:val="0"/>
          <w:numId w:val="33"/>
        </w:numPr>
      </w:pPr>
      <w:r>
        <w:t>Las personas con discapacidad se enfrentan a una larga historia de discriminación y desigualdad enraizada en estructuras históricas y sociales</w:t>
      </w:r>
      <w:r>
        <w:rPr>
          <w:vertAlign w:val="superscript"/>
        </w:rPr>
        <w:footnoteReference w:id="4"/>
      </w:r>
      <w:r>
        <w:t>. Esta discriminación se basa en la percepción social prevalente y estigmatizadora de que sus cuerpos o formas de funcionar diversas constituyen un desvalor, una menor humanidad, una incapacidad. Son humanidades “disidentes”, desafiando la estructura de “normalidad” institucionalizada e internalizada en las sociedades</w:t>
      </w:r>
      <w:r>
        <w:rPr>
          <w:vertAlign w:val="superscript"/>
        </w:rPr>
        <w:footnoteReference w:id="5"/>
      </w:r>
      <w:r>
        <w:t xml:space="preserve">. </w:t>
      </w:r>
    </w:p>
    <w:p w14:paraId="1E11672D" w14:textId="77777777" w:rsidR="001A105D" w:rsidRDefault="00000000">
      <w:pPr>
        <w:pStyle w:val="NoSpacing"/>
        <w:numPr>
          <w:ilvl w:val="0"/>
          <w:numId w:val="33"/>
        </w:numPr>
      </w:pPr>
      <w:r>
        <w:rPr>
          <w:rFonts w:eastAsia="Arial Unicode MS" w:cs="Arial Unicode MS"/>
        </w:rPr>
        <w:lastRenderedPageBreak/>
        <w:t xml:space="preserve">Al considerar a estas personas como de menor valor social, se genera un acceso </w:t>
      </w:r>
      <w:proofErr w:type="gramStart"/>
      <w:r>
        <w:rPr>
          <w:rFonts w:eastAsia="Arial Unicode MS" w:cs="Arial Unicode MS"/>
        </w:rPr>
        <w:t>más bajo o más deficiente</w:t>
      </w:r>
      <w:proofErr w:type="gramEnd"/>
      <w:r>
        <w:rPr>
          <w:rFonts w:eastAsia="Arial Unicode MS" w:cs="Arial Unicode MS"/>
        </w:rPr>
        <w:t xml:space="preserve"> a bienes, servicios, leyes, y políticas públicas; y, en consecuencia, más pobreza en la persona y su familia, así como el surgimiento de más barreras contextuales para ejercer sus derechos humanos. Esta perspectiva ha llevado a que las personas con discapacidad sean vistas como un problema médico o como prescindibles para la sociedad, y que sean consideradas, por lo tanto, como personas sujetas de diagnóstico que necesitan ser “reparadas”</w:t>
      </w:r>
      <w:r>
        <w:rPr>
          <w:vertAlign w:val="superscript"/>
        </w:rPr>
        <w:footnoteReference w:id="6"/>
      </w:r>
      <w:r>
        <w:rPr>
          <w:rFonts w:eastAsia="Arial Unicode MS" w:cs="Arial Unicode MS"/>
        </w:rPr>
        <w:t>.</w:t>
      </w:r>
    </w:p>
    <w:p w14:paraId="1CAFF062" w14:textId="77777777" w:rsidR="001A105D" w:rsidRDefault="00000000">
      <w:pPr>
        <w:pStyle w:val="NoSpacing"/>
        <w:numPr>
          <w:ilvl w:val="0"/>
          <w:numId w:val="33"/>
        </w:numPr>
      </w:pPr>
      <w:r>
        <w:t>La implementación del enfoque médico-rehabilitador ha generado, en numerosos casos, una dependencia crónica en las personas con discapacidad, debido a políticas públicas enfocadas principalmente en la rehabilitación, el cuidado a cargo de la familia y la caridad</w:t>
      </w:r>
      <w:r>
        <w:rPr>
          <w:vertAlign w:val="superscript"/>
        </w:rPr>
        <w:footnoteReference w:id="7"/>
      </w:r>
      <w:r>
        <w:t xml:space="preserve">. Este modelo basado solamente en el diagnóstico carece de perspectivas que promuevan el empoderamiento y la autonomía, y la valoración de las personas con discapacidad como parte inherente de la diversidad humana. Ello, ha contribuido a la perpetuación de barreras para el pleno ejercicio de sus derechos humanos, incluyendo el acceso a la justicia, la participación política y en asuntos públicos, así como el disfrute de los derechos </w:t>
      </w:r>
      <w:r>
        <w:lastRenderedPageBreak/>
        <w:t>económicos, sociales, culturales y ambientales (en adelante “DESCA”)</w:t>
      </w:r>
      <w:r>
        <w:rPr>
          <w:vertAlign w:val="superscript"/>
        </w:rPr>
        <w:footnoteReference w:id="8"/>
      </w:r>
      <w:r>
        <w:t>.</w:t>
      </w:r>
    </w:p>
    <w:p w14:paraId="24A59A92" w14:textId="77777777" w:rsidR="001A105D" w:rsidRDefault="00000000">
      <w:pPr>
        <w:pStyle w:val="NoSpacing"/>
        <w:numPr>
          <w:ilvl w:val="0"/>
          <w:numId w:val="33"/>
        </w:numPr>
      </w:pPr>
      <w:r>
        <w:rPr>
          <w:rFonts w:eastAsia="Arial Unicode MS" w:cs="Arial Unicode MS"/>
        </w:rPr>
        <w:t>La combinación interseccional con otras formas de discriminación estructural, como el sexismo, el patriarcado, la misoginia, la discriminación por edad, por cultura y lenguaje, y el racismo, ha expuesto constantemente a estas personas y sus familias a situaciones exacerbadas de violencia, pobreza y extrema pobreza</w:t>
      </w:r>
      <w:r>
        <w:rPr>
          <w:vertAlign w:val="superscript"/>
        </w:rPr>
        <w:footnoteReference w:id="9"/>
      </w:r>
      <w:r>
        <w:rPr>
          <w:rFonts w:eastAsia="Arial Unicode MS" w:cs="Arial Unicode MS"/>
        </w:rPr>
        <w:t>.</w:t>
      </w:r>
    </w:p>
    <w:p w14:paraId="0027AB02" w14:textId="77777777" w:rsidR="001A105D" w:rsidRDefault="00000000">
      <w:pPr>
        <w:pStyle w:val="NoSpacing"/>
        <w:numPr>
          <w:ilvl w:val="0"/>
          <w:numId w:val="33"/>
        </w:numPr>
      </w:pPr>
      <w:r>
        <w:t xml:space="preserve">Este enfoque ha situado a las personas con discapacidad en un ciclo perjudicial de vulneración de derechos, donde la discriminación estructural, sustentada en prejuicios conceptuales, tanto conscientes como inconscientes, provoca invisibilidad y dificulta el acceso a sus derechos. Esto refuerza y perpetúa la discriminación y los estereotipos negativos presentes en la sociedad, así como en leyes y políticas públicas. </w:t>
      </w:r>
    </w:p>
    <w:p w14:paraId="0CD828A6" w14:textId="77777777" w:rsidR="001A105D" w:rsidRDefault="00000000">
      <w:pPr>
        <w:pStyle w:val="NoSpacing"/>
        <w:numPr>
          <w:ilvl w:val="0"/>
          <w:numId w:val="33"/>
        </w:numPr>
      </w:pPr>
      <w:r>
        <w:rPr>
          <w:rFonts w:eastAsia="Arial Unicode MS" w:cs="Arial Unicode MS"/>
        </w:rPr>
        <w:t xml:space="preserve">No obstante, en los últimos años se han logrado avances significativos en la promoción de los derechos humanos de las personas con discapacidad, encaminados a armonizar las normativas y procesos internos con los marcos regionales e internacionales vigentes. Entre estos hubo un cambio </w:t>
      </w:r>
      <w:r>
        <w:rPr>
          <w:rFonts w:eastAsia="Arial Unicode MS" w:cs="Arial Unicode MS"/>
        </w:rPr>
        <w:lastRenderedPageBreak/>
        <w:t>significativo en la definición de la discapacidad, que ya no se define únicamente por la percepción de una “deficiencia” enraizada en la persona y que requiere de un diagnóstico médico, sino que es una construcción social</w:t>
      </w:r>
      <w:r>
        <w:rPr>
          <w:vertAlign w:val="superscript"/>
        </w:rPr>
        <w:footnoteReference w:id="10"/>
      </w:r>
      <w:r>
        <w:rPr>
          <w:rFonts w:eastAsia="Arial Unicode MS" w:cs="Arial Unicode MS"/>
        </w:rPr>
        <w:t>, que tiene en cuenta la interacción entre la persona y su entorno físico, social, comunicacional, político y económico. Esta concepción de la discapacidad como un fenómeno social y relacional en constante evolución combina los elementos conceptuales del modelo social con un enfoque basado en derechos individuales, consolidado en la CIADDIS, en el ámbito de la Organización de los Estados Americanos (en adelante “OEA”)</w:t>
      </w:r>
      <w:r>
        <w:rPr>
          <w:rFonts w:eastAsia="Arial Unicode MS" w:cs="Arial Unicode MS"/>
          <w:vertAlign w:val="superscript"/>
        </w:rPr>
        <w:t xml:space="preserve"> </w:t>
      </w:r>
      <w:r>
        <w:rPr>
          <w:vertAlign w:val="superscript"/>
        </w:rPr>
        <w:footnoteReference w:id="11"/>
      </w:r>
      <w:r>
        <w:rPr>
          <w:rFonts w:eastAsia="Arial Unicode MS" w:cs="Arial Unicode MS"/>
        </w:rPr>
        <w:t>, así como en la CDPD de la ONU</w:t>
      </w:r>
      <w:r>
        <w:rPr>
          <w:rFonts w:eastAsia="Arial Unicode MS" w:cs="Arial Unicode MS"/>
          <w:vertAlign w:val="superscript"/>
        </w:rPr>
        <w:t xml:space="preserve"> </w:t>
      </w:r>
      <w:r>
        <w:rPr>
          <w:vertAlign w:val="superscript"/>
        </w:rPr>
        <w:footnoteReference w:id="12"/>
      </w:r>
      <w:r>
        <w:rPr>
          <w:rFonts w:eastAsia="Arial Unicode MS" w:cs="Arial Unicode MS"/>
        </w:rPr>
        <w:t>.</w:t>
      </w:r>
    </w:p>
    <w:p w14:paraId="5B9C0F44" w14:textId="77777777" w:rsidR="001A105D" w:rsidRDefault="00000000">
      <w:pPr>
        <w:pStyle w:val="NoSpacing"/>
        <w:numPr>
          <w:ilvl w:val="0"/>
          <w:numId w:val="33"/>
        </w:numPr>
      </w:pPr>
      <w:r>
        <w:t>Esta nueva perspectiva para conceptualizar la discapacidad traslada el tema desde el ámbito individual y privado a una cuestión social, centrándose en la obligación internacional del Estado de abordar las dificultades y barreras que enfrentan las personas con discapacidad para vivir de manera independiente y en comunidad, así como en las leyes, políticas y programas implementados para eliminarlas.</w:t>
      </w:r>
    </w:p>
    <w:p w14:paraId="0D029D4E" w14:textId="77777777" w:rsidR="001A105D" w:rsidRDefault="00000000">
      <w:pPr>
        <w:pStyle w:val="NoSpacing"/>
        <w:numPr>
          <w:ilvl w:val="0"/>
          <w:numId w:val="33"/>
        </w:numPr>
      </w:pPr>
      <w:r>
        <w:rPr>
          <w:rFonts w:eastAsia="Arial Unicode MS" w:cs="Arial Unicode MS"/>
        </w:rPr>
        <w:t xml:space="preserve">Después de más de 15 años desde la adopción de la CDPD, estos avances aún no se han reflejado en la realidad de muchos países de la región. Ambos paradigmas, el médico-rehabilitador </w:t>
      </w:r>
      <w:r>
        <w:rPr>
          <w:rFonts w:eastAsia="Arial Unicode MS" w:cs="Arial Unicode MS"/>
        </w:rPr>
        <w:lastRenderedPageBreak/>
        <w:t>y el modelo social y de derechos humanos, coexisten con la misma fuerza, reflejados en las distintas esferas públicas. La utilización y hegemonía de uno u otro paradigma sigue estando determinada por la voluntad de las autoridades, las instituciones y los contextos políticos y económicos de cada sociedad</w:t>
      </w:r>
      <w:r>
        <w:rPr>
          <w:vertAlign w:val="superscript"/>
        </w:rPr>
        <w:footnoteReference w:id="13"/>
      </w:r>
      <w:r>
        <w:rPr>
          <w:rFonts w:eastAsia="Arial Unicode MS" w:cs="Arial Unicode MS"/>
        </w:rPr>
        <w:t>.</w:t>
      </w:r>
    </w:p>
    <w:p w14:paraId="38597C53" w14:textId="77777777" w:rsidR="001A105D" w:rsidRDefault="00000000">
      <w:pPr>
        <w:pStyle w:val="NoSpacing"/>
        <w:numPr>
          <w:ilvl w:val="0"/>
          <w:numId w:val="33"/>
        </w:numPr>
      </w:pPr>
      <w:r>
        <w:t>En este informe la Comisión Interamericana enfatiza que solo a través de un cambio radical de paradigma, reconociendo la discapacidad desde un modelo social y de derechos humanos, se logrará garantizar de manera efectiva y práctica el goce y ejercicio de los derechos humanos de las personas con discapacidad en condiciones de igualdad y sin discriminación alguna.</w:t>
      </w:r>
    </w:p>
    <w:p w14:paraId="5C033E76" w14:textId="77777777" w:rsidR="001A105D" w:rsidRDefault="00000000">
      <w:pPr>
        <w:pStyle w:val="Heading3"/>
        <w:numPr>
          <w:ilvl w:val="0"/>
          <w:numId w:val="38"/>
        </w:numPr>
      </w:pPr>
      <w:bookmarkStart w:id="4" w:name="_Toc2"/>
      <w:proofErr w:type="spellStart"/>
      <w:r>
        <w:rPr>
          <w:rFonts w:eastAsia="Arial Unicode MS" w:cs="Arial Unicode MS"/>
          <w:lang w:val="es-ES_tradnl"/>
        </w:rPr>
        <w:t>Metodolog</w:t>
      </w:r>
      <w:r>
        <w:rPr>
          <w:rFonts w:eastAsia="Arial Unicode MS" w:cs="Arial Unicode MS"/>
        </w:rPr>
        <w:t>ía</w:t>
      </w:r>
      <w:bookmarkEnd w:id="4"/>
      <w:proofErr w:type="spellEnd"/>
    </w:p>
    <w:p w14:paraId="03802B8F" w14:textId="77777777" w:rsidR="001A105D" w:rsidRDefault="00000000">
      <w:pPr>
        <w:pStyle w:val="NoSpacing"/>
        <w:numPr>
          <w:ilvl w:val="0"/>
          <w:numId w:val="33"/>
        </w:numPr>
      </w:pPr>
      <w:r>
        <w:rPr>
          <w:rFonts w:eastAsia="Arial Unicode MS" w:cs="Arial Unicode MS"/>
        </w:rPr>
        <w:t xml:space="preserve">Para la redacción de este informe se adoptó un enfoque mixto socio-jurídico que recopiló información relevante y pertinente a través de diferentes mecanismos del sistema interamericano de monitoreo, protección y defensa de los derechos humanos. Entre las fuentes primarias se incluye información recibida en el marco de peticiones, casos individuales y medidas cautelares recibidas en el ejercicio de su competencia; en audiencias públicas solicitadas y celebradas; así como a través de su monitoreo temático y geográfico. </w:t>
      </w:r>
    </w:p>
    <w:p w14:paraId="6713B5A2" w14:textId="77777777" w:rsidR="001A105D" w:rsidRDefault="00000000">
      <w:pPr>
        <w:pStyle w:val="NoSpacing"/>
        <w:numPr>
          <w:ilvl w:val="0"/>
          <w:numId w:val="33"/>
        </w:numPr>
      </w:pPr>
      <w:r>
        <w:rPr>
          <w:rFonts w:eastAsia="Arial Unicode MS" w:cs="Arial Unicode MS"/>
        </w:rPr>
        <w:t xml:space="preserve">Además, se recabó información oficial de los Estados miembros de la OEA por medio de un cuestionario. Esta información base </w:t>
      </w:r>
      <w:r>
        <w:rPr>
          <w:rFonts w:eastAsia="Arial Unicode MS" w:cs="Arial Unicode MS"/>
        </w:rPr>
        <w:lastRenderedPageBreak/>
        <w:t>ha sido complementada con aquella brindada por organizaciones de la sociedad civil y del ámbito académico mediante la aplicación de un cuestionario paralelo aplicado entre el 13 de julio y el 15 de septiembre del 2022, y se realizó un análisis cualitativo, adherido a un enfoque intercultural, de género e interseccional, que permitió el acercamiento a la situación actual de los derechos humanos de las personas con discapacidad en la región.</w:t>
      </w:r>
    </w:p>
    <w:p w14:paraId="7A2BF9E4" w14:textId="77777777" w:rsidR="001A105D" w:rsidRDefault="00000000">
      <w:pPr>
        <w:pStyle w:val="NoSpacing"/>
        <w:numPr>
          <w:ilvl w:val="0"/>
          <w:numId w:val="33"/>
        </w:numPr>
      </w:pPr>
      <w:r>
        <w:rPr>
          <w:rFonts w:eastAsia="Arial Unicode MS" w:cs="Arial Unicode MS"/>
        </w:rPr>
        <w:t>El cuestionario abarcó temas como la definición de discapacidad, legislaciones vigentes, políticas públicas implementadas, participación política, libertad personal, diferentes aspectos de accesibilidad, maternidad y paternidad, estadísticas nacionales y capacidad jurídica. Se recibieron respuestas de 22 Estados de la región</w:t>
      </w:r>
      <w:r>
        <w:rPr>
          <w:vertAlign w:val="superscript"/>
        </w:rPr>
        <w:footnoteReference w:id="14"/>
      </w:r>
      <w:r>
        <w:rPr>
          <w:rFonts w:eastAsia="Arial Unicode MS" w:cs="Arial Unicode MS"/>
        </w:rPr>
        <w:t xml:space="preserve"> y 103 contribuciones de organizaciones de la sociedad civil y personas expertas en la materia</w:t>
      </w:r>
      <w:r>
        <w:rPr>
          <w:u w:color="201F1E"/>
          <w:vertAlign w:val="superscript"/>
        </w:rPr>
        <w:footnoteReference w:id="15"/>
      </w:r>
      <w:r>
        <w:rPr>
          <w:rFonts w:eastAsia="Arial Unicode MS" w:cs="Arial Unicode MS"/>
        </w:rPr>
        <w:t>.</w:t>
      </w:r>
    </w:p>
    <w:p w14:paraId="041E8B34" w14:textId="77777777" w:rsidR="001A105D" w:rsidRDefault="00000000">
      <w:pPr>
        <w:pStyle w:val="NoSpacing"/>
        <w:numPr>
          <w:ilvl w:val="0"/>
          <w:numId w:val="33"/>
        </w:numPr>
      </w:pPr>
      <w:r>
        <w:rPr>
          <w:rFonts w:eastAsia="Arial Unicode MS" w:cs="Arial Unicode MS"/>
        </w:rPr>
        <w:lastRenderedPageBreak/>
        <w:t>Como fuente secundaria, se revisó información pública oficial de fuentes estatales, informes, resoluciones y declaraciones de organismos internacionales, estudios de organizaciones no gubernamentales tanto nacionales como internacionales, investigaciones académicas y artículos y noticias de prensa. Este proceso se complementó con el análisis de mecanismos del sistema interamericano, que incluyó jurisprudencias, audiencias temáticas y reuniones de expertos.</w:t>
      </w:r>
    </w:p>
    <w:p w14:paraId="22CF089C" w14:textId="77777777" w:rsidR="001A105D" w:rsidRDefault="00000000">
      <w:pPr>
        <w:pStyle w:val="NoSpacing"/>
        <w:numPr>
          <w:ilvl w:val="0"/>
          <w:numId w:val="33"/>
        </w:numPr>
      </w:pPr>
      <w:r>
        <w:rPr>
          <w:rFonts w:eastAsia="Arial Unicode MS" w:cs="Arial Unicode MS"/>
        </w:rPr>
        <w:t xml:space="preserve">Lo anterior, bajo los criterios y las normativas del derecho internacional de los derechos humanos, en consonancia con el artículo 29 de la Convención Americana sobre Derechos Humanos (CADH) y los artículos 38 y subsiguientes del Estatuto de la Corte Internacional de Justicia (CIJ), </w:t>
      </w:r>
      <w:r>
        <w:rPr>
          <w:rFonts w:eastAsia="Arial Unicode MS" w:cs="Arial Unicode MS"/>
        </w:rPr>
        <w:lastRenderedPageBreak/>
        <w:t>manteniendo la coherencia con las prácticas de otros informes emitidos por la Comisión Interamericana.</w:t>
      </w:r>
    </w:p>
    <w:p w14:paraId="7B89FD6B" w14:textId="77777777" w:rsidR="001A105D" w:rsidRDefault="00000000">
      <w:pPr>
        <w:pStyle w:val="Heading3"/>
        <w:numPr>
          <w:ilvl w:val="0"/>
          <w:numId w:val="39"/>
        </w:numPr>
      </w:pPr>
      <w:bookmarkStart w:id="5" w:name="_Toc3"/>
      <w:r>
        <w:rPr>
          <w:rFonts w:eastAsia="Arial Unicode MS" w:cs="Arial Unicode MS"/>
          <w:lang w:val="es-ES_tradnl"/>
        </w:rPr>
        <w:t>Estructura del informe</w:t>
      </w:r>
      <w:bookmarkEnd w:id="5"/>
    </w:p>
    <w:p w14:paraId="77CBED46" w14:textId="77777777" w:rsidR="001A105D" w:rsidRDefault="00000000">
      <w:pPr>
        <w:pStyle w:val="NoSpacing"/>
        <w:numPr>
          <w:ilvl w:val="0"/>
          <w:numId w:val="40"/>
        </w:numPr>
      </w:pPr>
      <w:r>
        <w:rPr>
          <w:rFonts w:eastAsia="Arial Unicode MS" w:cs="Arial Unicode MS"/>
        </w:rPr>
        <w:t>En el primer capítulo, se presenta el problema a abordar, los objetivos del documento y la metodología utilizada. El segundo capítulo analiza diversos modelos para conceptualizar la discapacidad, que han tenido vigencia en distintos momentos históricos; destacando el modelo social y de derechos humanos como el paradigma a seguir. Adicionalmente, se revisa el marco jurídico universal y regional que garantiza los derechos de las personas con discapacidad.</w:t>
      </w:r>
    </w:p>
    <w:p w14:paraId="655A9CED" w14:textId="77777777" w:rsidR="001A105D" w:rsidRDefault="00000000">
      <w:pPr>
        <w:pStyle w:val="NoSpacing"/>
        <w:numPr>
          <w:ilvl w:val="0"/>
          <w:numId w:val="33"/>
        </w:numPr>
      </w:pPr>
      <w:r>
        <w:t>El tercer capítulo examina la situación actual de los derechos humanos de las personas con discapacidad, incluyendo el acceso a derechos económicos, sociales, culturales y ambientales (DESCA), así como la participación política. El cuarto capítulo destaca la importancia de transitar desde el modelo de sustitución de la voluntad al de reconocimiento pleno de la capacidad jurídica de las personas con discapacidad, respetando su ejercicio con y sin apoyos. Por último, se presentan recomendaciones para los Estados de la región.</w:t>
      </w:r>
    </w:p>
    <w:p w14:paraId="60430BBC" w14:textId="77777777" w:rsidR="001A105D" w:rsidRDefault="00000000">
      <w:pPr>
        <w:pStyle w:val="NoSpacing"/>
        <w:numPr>
          <w:ilvl w:val="0"/>
          <w:numId w:val="33"/>
        </w:numPr>
      </w:pPr>
      <w:r>
        <w:rPr>
          <w:rFonts w:eastAsia="Arial Unicode MS" w:cs="Arial Unicode MS"/>
        </w:rPr>
        <w:t xml:space="preserve">La Comisión Interamericana de Derechos Humanos aprobó el proyecto de informe el </w:t>
      </w:r>
      <w:r>
        <w:rPr>
          <w:rFonts w:eastAsia="Arial Unicode MS" w:cs="Arial Unicode MS"/>
          <w:u w:color="FF0000"/>
          <w:lang w:val="en-US"/>
        </w:rPr>
        <w:t>31</w:t>
      </w:r>
      <w:r>
        <w:rPr>
          <w:rFonts w:eastAsia="Arial Unicode MS" w:cs="Arial Unicode MS"/>
          <w:u w:color="FF0000"/>
        </w:rPr>
        <w:t xml:space="preserve"> </w:t>
      </w:r>
      <w:r>
        <w:rPr>
          <w:rFonts w:eastAsia="Arial Unicode MS" w:cs="Arial Unicode MS"/>
        </w:rPr>
        <w:t xml:space="preserve">de </w:t>
      </w:r>
      <w:proofErr w:type="spellStart"/>
      <w:r>
        <w:rPr>
          <w:rFonts w:eastAsia="Arial Unicode MS" w:cs="Arial Unicode MS"/>
          <w:u w:color="FF0000"/>
          <w:lang w:val="en-US"/>
        </w:rPr>
        <w:t>enero</w:t>
      </w:r>
      <w:proofErr w:type="spellEnd"/>
      <w:r>
        <w:rPr>
          <w:rFonts w:eastAsia="Arial Unicode MS" w:cs="Arial Unicode MS"/>
          <w:u w:color="FF0000"/>
        </w:rPr>
        <w:t xml:space="preserve"> </w:t>
      </w:r>
      <w:r>
        <w:rPr>
          <w:rFonts w:eastAsia="Arial Unicode MS" w:cs="Arial Unicode MS"/>
        </w:rPr>
        <w:t>de 202</w:t>
      </w:r>
      <w:r>
        <w:rPr>
          <w:rFonts w:eastAsia="Arial Unicode MS" w:cs="Arial Unicode MS"/>
          <w:lang w:val="en-US"/>
        </w:rPr>
        <w:t>5.</w:t>
      </w:r>
    </w:p>
    <w:p w14:paraId="07260AC2" w14:textId="77777777" w:rsidR="001A105D" w:rsidRDefault="00000000">
      <w:pPr>
        <w:pStyle w:val="Heading2"/>
        <w:ind w:left="562"/>
      </w:pPr>
      <w:r>
        <w:rPr>
          <w:rFonts w:ascii="Arial Unicode MS" w:eastAsia="Arial Unicode MS" w:hAnsi="Arial Unicode MS" w:cs="Arial Unicode MS"/>
          <w:color w:val="000000"/>
        </w:rPr>
        <w:br w:type="page"/>
      </w:r>
    </w:p>
    <w:p w14:paraId="597777B0" w14:textId="4707F850" w:rsidR="001A105D" w:rsidRDefault="00000000">
      <w:pPr>
        <w:pStyle w:val="Heading2"/>
        <w:numPr>
          <w:ilvl w:val="0"/>
          <w:numId w:val="41"/>
        </w:numPr>
      </w:pPr>
      <w:bookmarkStart w:id="6" w:name="_Toc4"/>
      <w:r>
        <w:rPr>
          <w:rFonts w:eastAsia="Arial Unicode MS" w:cs="Arial Unicode MS"/>
        </w:rPr>
        <w:lastRenderedPageBreak/>
        <w:t>LOS MODELOS O PARADIGMAS</w:t>
      </w:r>
      <w:bookmarkStart w:id="7" w:name="LosModelosOParadigmas"/>
      <w:bookmarkEnd w:id="7"/>
      <w:r>
        <w:rPr>
          <w:rFonts w:eastAsia="Arial Unicode MS" w:cs="Arial Unicode MS"/>
        </w:rPr>
        <w:t xml:space="preserve"> PARA </w:t>
      </w:r>
      <w:proofErr w:type="gramStart"/>
      <w:r>
        <w:rPr>
          <w:rFonts w:eastAsia="Arial Unicode MS" w:cs="Arial Unicode MS"/>
        </w:rPr>
        <w:t>ABORDAR  LA</w:t>
      </w:r>
      <w:proofErr w:type="gramEnd"/>
      <w:r>
        <w:rPr>
          <w:rFonts w:eastAsia="Arial Unicode MS" w:cs="Arial Unicode MS"/>
        </w:rPr>
        <w:t xml:space="preserve"> DISCAPACIDAD: LA PRESCINDENCIA,  EL MODELO MÉDICO Y EL MODELO SOCIAL </w:t>
      </w:r>
      <w:bookmarkEnd w:id="6"/>
    </w:p>
    <w:p w14:paraId="57377227" w14:textId="77777777" w:rsidR="001A105D" w:rsidRDefault="00000000">
      <w:pPr>
        <w:pStyle w:val="NoSpacing"/>
        <w:numPr>
          <w:ilvl w:val="0"/>
          <w:numId w:val="33"/>
        </w:numPr>
      </w:pPr>
      <w:r>
        <w:rPr>
          <w:rFonts w:eastAsia="Arial Unicode MS" w:cs="Arial Unicode MS"/>
        </w:rPr>
        <w:t xml:space="preserve">La Comisión Interamericana destaca que los derechos de las personas con discapacidad guardan estrecha relación con la forma en que se ha definido la discapacidad. Diversas “definiciones” han derivado en respuestas sociales e institucionales que abarcan desde situaciones de violación de derechos, como la eugenesia, a la toma de conciencia respecto de la necesidad de que la sociedad adapte sus estructuras para incluir a todas las personas. En este capítulo se presentará la evolución del paradigma histórico de la discapacidad, así como su reflejo en el derecho internacional. </w:t>
      </w:r>
    </w:p>
    <w:p w14:paraId="05232C7F" w14:textId="77777777" w:rsidR="001A105D" w:rsidRDefault="00000000">
      <w:pPr>
        <w:pStyle w:val="NoSpacing"/>
        <w:numPr>
          <w:ilvl w:val="0"/>
          <w:numId w:val="33"/>
        </w:numPr>
      </w:pPr>
      <w:r>
        <w:rPr>
          <w:rFonts w:eastAsia="Arial Unicode MS" w:cs="Arial Unicode MS"/>
        </w:rPr>
        <w:t xml:space="preserve">La discriminación estructural que históricamente han enfrentado las personas con discapacidad está vinculada con los paradigmas sobre la discapacidad. De estos, que son un conjunto de concepciones e interpretaciones socioculturales, han perdurado tres: i) el de la prescindencia; </w:t>
      </w:r>
      <w:proofErr w:type="spellStart"/>
      <w:r>
        <w:rPr>
          <w:rFonts w:eastAsia="Arial Unicode MS" w:cs="Arial Unicode MS"/>
        </w:rPr>
        <w:t>ii</w:t>
      </w:r>
      <w:proofErr w:type="spellEnd"/>
      <w:r>
        <w:rPr>
          <w:rFonts w:eastAsia="Arial Unicode MS" w:cs="Arial Unicode MS"/>
        </w:rPr>
        <w:t xml:space="preserve">) el modelo médico-rehabilitador; y </w:t>
      </w:r>
      <w:proofErr w:type="spellStart"/>
      <w:r>
        <w:rPr>
          <w:rFonts w:eastAsia="Arial Unicode MS" w:cs="Arial Unicode MS"/>
        </w:rPr>
        <w:t>iii</w:t>
      </w:r>
      <w:proofErr w:type="spellEnd"/>
      <w:r>
        <w:rPr>
          <w:rFonts w:eastAsia="Arial Unicode MS" w:cs="Arial Unicode MS"/>
        </w:rPr>
        <w:t>) el modelo social y de derechos humanos. Estos modelos han tenido una marcada influencia en acciones, leyes y políticas en determinados períodos históricos y, en mayor o menor medida, continúan vigentes</w:t>
      </w:r>
      <w:r>
        <w:rPr>
          <w:vertAlign w:val="superscript"/>
        </w:rPr>
        <w:footnoteReference w:id="16"/>
      </w:r>
      <w:r>
        <w:rPr>
          <w:rFonts w:eastAsia="Arial Unicode MS" w:cs="Arial Unicode MS"/>
        </w:rPr>
        <w:t>.</w:t>
      </w:r>
    </w:p>
    <w:p w14:paraId="316EADF3" w14:textId="77777777" w:rsidR="001A105D" w:rsidRDefault="00000000">
      <w:pPr>
        <w:pStyle w:val="NoSpacing"/>
        <w:numPr>
          <w:ilvl w:val="0"/>
          <w:numId w:val="33"/>
        </w:numPr>
      </w:pPr>
      <w:r>
        <w:rPr>
          <w:rFonts w:eastAsia="Arial Unicode MS" w:cs="Arial Unicode MS"/>
        </w:rPr>
        <w:t xml:space="preserve">El paradigma de la prescindencia, más característico de las sociedades premodernas, concebía a la discapacidad como </w:t>
      </w:r>
      <w:r>
        <w:rPr>
          <w:rFonts w:eastAsia="Arial Unicode MS" w:cs="Arial Unicode MS"/>
        </w:rPr>
        <w:lastRenderedPageBreak/>
        <w:t>resultado de causas ajenas a la naturaleza humana, a menudo relacionadas con creencias de carácter divino. Bajo esta perspectiva, se consideraba que las personas con discapacidad eran innecesarias o incluso perjudiciales para la estructura social y, por lo tanto, debían ser apartadas, segregadas o eliminadas de la comunidad</w:t>
      </w:r>
      <w:r>
        <w:rPr>
          <w:vertAlign w:val="superscript"/>
        </w:rPr>
        <w:footnoteReference w:id="17"/>
      </w:r>
      <w:r>
        <w:rPr>
          <w:rFonts w:eastAsia="Arial Unicode MS" w:cs="Arial Unicode MS"/>
        </w:rPr>
        <w:t>.</w:t>
      </w:r>
      <w:r>
        <w:rPr>
          <w:rFonts w:eastAsia="Arial Unicode MS" w:cs="Arial Unicode MS"/>
          <w:vertAlign w:val="superscript"/>
        </w:rPr>
        <w:t>.</w:t>
      </w:r>
    </w:p>
    <w:p w14:paraId="7E140463" w14:textId="77777777" w:rsidR="001A105D" w:rsidRDefault="00000000">
      <w:pPr>
        <w:pStyle w:val="NoSpacing"/>
        <w:numPr>
          <w:ilvl w:val="0"/>
          <w:numId w:val="33"/>
        </w:numPr>
      </w:pPr>
      <w:r>
        <w:rPr>
          <w:rFonts w:eastAsia="Arial Unicode MS" w:cs="Arial Unicode MS"/>
        </w:rPr>
        <w:t xml:space="preserve">La implementación de esta visión en leyes y políticas públicas ha conducido a tendencias eugenésicas y otras intervenciones médicas que vulneran el derecho a tomar decisiones y expresar un consentimiento libre e informado de parte de las mujeres con discapacidad, así como a la exclusión social de estas personas, desde el Imperio Romano y pasando por el régimen nazi en Alemania. Vestigios de este paradigma aún se encuentran en la actualidad en, por ejemplo, normas de </w:t>
      </w:r>
      <w:proofErr w:type="spellStart"/>
      <w:r>
        <w:rPr>
          <w:rFonts w:ascii="Helvetica LT Std Oblique" w:hAnsi="Helvetica LT Std Oblique"/>
        </w:rPr>
        <w:t>triaje</w:t>
      </w:r>
      <w:proofErr w:type="spellEnd"/>
      <w:r>
        <w:rPr>
          <w:rFonts w:ascii="Helvetica LT Std Oblique" w:eastAsia="Helvetica LT Std Oblique" w:hAnsi="Helvetica LT Std Oblique" w:cs="Helvetica LT Std Oblique"/>
          <w:vertAlign w:val="superscript"/>
        </w:rPr>
        <w:footnoteReference w:id="18"/>
      </w:r>
      <w:r>
        <w:rPr>
          <w:rFonts w:eastAsia="Arial Unicode MS" w:cs="Arial Unicode MS"/>
        </w:rPr>
        <w:t xml:space="preserve"> durante situaciones de emergencia médica ante la escasez de recursos. Asimismo, persiste la “normalización” de la esterilización y del aborto forzados, sin mediar consentimiento de la mujer con discapacidad, especialmente cuando está motivada por la discapacidad entendida como “deficiencia”</w:t>
      </w:r>
      <w:r>
        <w:rPr>
          <w:vertAlign w:val="superscript"/>
        </w:rPr>
        <w:footnoteReference w:id="19"/>
      </w:r>
      <w:r>
        <w:rPr>
          <w:rFonts w:eastAsia="Arial Unicode MS" w:cs="Arial Unicode MS"/>
        </w:rPr>
        <w:t>.</w:t>
      </w:r>
      <w:r>
        <w:rPr>
          <w:rFonts w:ascii="Arial Unicode MS" w:eastAsia="Arial Unicode MS" w:hAnsi="Arial Unicode MS" w:cs="Arial Unicode MS"/>
        </w:rPr>
        <w:br w:type="page"/>
      </w:r>
    </w:p>
    <w:p w14:paraId="60F9443F" w14:textId="77777777" w:rsidR="001A105D" w:rsidRDefault="00000000">
      <w:pPr>
        <w:pStyle w:val="NoSpacing"/>
        <w:numPr>
          <w:ilvl w:val="0"/>
          <w:numId w:val="33"/>
        </w:numPr>
      </w:pPr>
      <w:r>
        <w:lastRenderedPageBreak/>
        <w:t>En lo referente a la exclusión social, se identifican espacios segregados dentro de las comunidades que, de cierta forma, validan la separación o segregación de individuos vistos como marginales. Entre estas prácticas se encuentran políticas de caridad que estigmatizan a estas personas, etiquetándolas como una “carga social”; la institucionalización, el ocultamiento por parte de las familias, y la infantilización de estas personas en el ámbito público en cuanto a sus derechos y responsabilidades ciudadanas</w:t>
      </w:r>
      <w:r>
        <w:rPr>
          <w:vertAlign w:val="superscript"/>
        </w:rPr>
        <w:footnoteReference w:id="20"/>
      </w:r>
      <w:r>
        <w:t>.</w:t>
      </w:r>
    </w:p>
    <w:p w14:paraId="55BC0F82" w14:textId="77777777" w:rsidR="001A105D" w:rsidRDefault="00000000">
      <w:pPr>
        <w:pStyle w:val="NoSpacing"/>
        <w:numPr>
          <w:ilvl w:val="0"/>
          <w:numId w:val="33"/>
        </w:numPr>
      </w:pPr>
      <w:r>
        <w:rPr>
          <w:rFonts w:eastAsia="Arial Unicode MS" w:cs="Arial Unicode MS"/>
        </w:rPr>
        <w:t>Con la irrupción de la ciencia como principal fundamento de la legitimación social y del crecimiento de los discursos médicos para comprender la conducta humana, la discapacidad empezó a ser vista como sinónimo de enfermedad, originada por causas naturales y biológicas. En consecuencia, la descripción y definición de estas personas se basaba en un déficit orgánico o funcional</w:t>
      </w:r>
      <w:r>
        <w:rPr>
          <w:vertAlign w:val="superscript"/>
        </w:rPr>
        <w:footnoteReference w:id="21"/>
      </w:r>
      <w:r>
        <w:rPr>
          <w:rFonts w:eastAsia="Arial Unicode MS" w:cs="Arial Unicode MS"/>
        </w:rPr>
        <w:t>. Este enfoque se denominó modelo médico-rehabilitador</w:t>
      </w:r>
      <w:r>
        <w:rPr>
          <w:vertAlign w:val="superscript"/>
        </w:rPr>
        <w:footnoteReference w:id="22"/>
      </w:r>
      <w:r>
        <w:rPr>
          <w:rFonts w:eastAsia="Arial Unicode MS" w:cs="Arial Unicode MS"/>
        </w:rPr>
        <w:t>.</w:t>
      </w:r>
    </w:p>
    <w:p w14:paraId="2AABDA46" w14:textId="77777777" w:rsidR="001A105D" w:rsidRDefault="00000000">
      <w:pPr>
        <w:pStyle w:val="NoSpacing"/>
        <w:numPr>
          <w:ilvl w:val="0"/>
          <w:numId w:val="33"/>
        </w:numPr>
      </w:pPr>
      <w:r>
        <w:rPr>
          <w:rFonts w:eastAsia="Arial Unicode MS" w:cs="Arial Unicode MS"/>
        </w:rPr>
        <w:lastRenderedPageBreak/>
        <w:t>El modelo médico-rehabilitador posicionó la discapacidad como un “atributo” y un desvalor patológico de la persona, definiéndola como un “problema de salud o enfermedad”, ya sea percibido o real, basado en un diagnóstico emitido por profesionales médicos. Este enfoque considera que las personas con discapacidad, identificadas por cuerpos, comportamientos y funcionalidades divergentes, etiquetadas mediante diagnósticos médicos, pueden integrarse en la sociedad siempre y cuando se “arreglen”, “reparen” o “normalicen” las “deficiencias” que presentan</w:t>
      </w:r>
      <w:r>
        <w:rPr>
          <w:vertAlign w:val="superscript"/>
        </w:rPr>
        <w:footnoteReference w:id="23"/>
      </w:r>
      <w:r>
        <w:rPr>
          <w:rFonts w:eastAsia="Arial Unicode MS" w:cs="Arial Unicode MS"/>
        </w:rPr>
        <w:t>.</w:t>
      </w:r>
    </w:p>
    <w:p w14:paraId="1DE1866D" w14:textId="77777777" w:rsidR="001A105D" w:rsidRDefault="00000000">
      <w:pPr>
        <w:pStyle w:val="NoSpacing"/>
        <w:numPr>
          <w:ilvl w:val="0"/>
          <w:numId w:val="33"/>
        </w:numPr>
      </w:pPr>
      <w:r>
        <w:t>Por ende, se espera que la persona, vista como “paciente”, se adapte al entorno (físico, social, comunicativo, emocional) con la intervención de estos profesionales de la salud. La persona se convierte en una receptora pasiva de “apoyos” institucionalizados, dirigidos a la asimilación a las normas del entorno estándar. El objetivo es, entonces, “hacer desaparecer” u “ocultar” la diferencia humana mediante la “reparación” o “cura médica” de la parte de la persona que, desde esta perspectiva, se considera “defectuosa”</w:t>
      </w:r>
      <w:r>
        <w:rPr>
          <w:vertAlign w:val="superscript"/>
        </w:rPr>
        <w:footnoteReference w:id="24"/>
      </w:r>
      <w:r>
        <w:t xml:space="preserve">. El paradigma médico introduce la dicotomía simbólica y arbitraria de “normalidad versus anormalidad”. Cuando la “rehabilitación” de la persona </w:t>
      </w:r>
      <w:r>
        <w:lastRenderedPageBreak/>
        <w:t>“paciente” no es posible, se la relega a un espacio de exclusión, con un estatus social y político de inferioridad</w:t>
      </w:r>
      <w:r>
        <w:rPr>
          <w:vertAlign w:val="superscript"/>
        </w:rPr>
        <w:footnoteReference w:id="25"/>
      </w:r>
      <w:r>
        <w:t>.</w:t>
      </w:r>
      <w:r>
        <w:rPr>
          <w:rFonts w:ascii="Arial Unicode MS" w:eastAsia="Arial Unicode MS" w:hAnsi="Arial Unicode MS" w:cs="Arial Unicode MS"/>
        </w:rPr>
        <w:br w:type="page"/>
      </w:r>
    </w:p>
    <w:p w14:paraId="6FEEB2A6" w14:textId="77777777" w:rsidR="001A105D" w:rsidRDefault="00000000">
      <w:pPr>
        <w:pStyle w:val="NoSpacing"/>
        <w:numPr>
          <w:ilvl w:val="0"/>
          <w:numId w:val="33"/>
        </w:numPr>
      </w:pPr>
      <w:r>
        <w:rPr>
          <w:rFonts w:eastAsia="Arial Unicode MS" w:cs="Arial Unicode MS"/>
        </w:rPr>
        <w:lastRenderedPageBreak/>
        <w:t>Este modelo, en su aplicación práctica, se ha enfocado en acciones legislativas y políticas públicas dirigidas a la asistencia de las personas con discapacidad por medio de la seguridad social y el acceso a la salud, con el objetivo de “sanar” o eliminar la discapacidad</w:t>
      </w:r>
      <w:r>
        <w:rPr>
          <w:vertAlign w:val="superscript"/>
        </w:rPr>
        <w:footnoteReference w:id="26"/>
      </w:r>
      <w:r>
        <w:rPr>
          <w:rFonts w:eastAsia="Arial Unicode MS" w:cs="Arial Unicode MS"/>
        </w:rPr>
        <w:t>. Además, se establecieron figuras legales como la tutela, curatela, y la interdicción; así como prácticas de internación forzada para situaciones temporales o permanentes en las que las personas con discapacidad atravesaban procesos de rehabilitación o “normalización”. Este modelo también orienta políticas de “Educación Especial” o segregada, y de “empleo protegido”</w:t>
      </w:r>
      <w:r>
        <w:rPr>
          <w:vertAlign w:val="superscript"/>
        </w:rPr>
        <w:footnoteReference w:id="27"/>
      </w:r>
      <w:r>
        <w:rPr>
          <w:rFonts w:eastAsia="Arial Unicode MS" w:cs="Arial Unicode MS"/>
        </w:rPr>
        <w:t>.</w:t>
      </w:r>
    </w:p>
    <w:p w14:paraId="33488D35" w14:textId="77777777" w:rsidR="001A105D" w:rsidRDefault="00000000">
      <w:pPr>
        <w:pStyle w:val="NoSpacing"/>
        <w:numPr>
          <w:ilvl w:val="0"/>
          <w:numId w:val="33"/>
        </w:numPr>
      </w:pPr>
      <w:r>
        <w:t>El modelo médico-rehabilitador ha perpetuado estereotipos discriminatorios, facilitando abortos selectivos basados en diagnósticos de discapacidad fetal</w:t>
      </w:r>
      <w:r>
        <w:rPr>
          <w:vertAlign w:val="superscript"/>
        </w:rPr>
        <w:footnoteReference w:id="28"/>
      </w:r>
      <w:r>
        <w:t xml:space="preserve">. Ante leyes que permiten el aborto por discapacidad, mecanismos del sistema universal han recomendado superar el modelo de causales para respetar la autonomía sexual y reproductiva sin legitimar abortos selectivos. En estos casos, consideran fundamental garantizar </w:t>
      </w:r>
      <w:r>
        <w:lastRenderedPageBreak/>
        <w:t>a todas las personas gestantes acceso a información científica, imparcial y libre de estereotipos sobre discapacidad</w:t>
      </w:r>
      <w:r>
        <w:rPr>
          <w:vertAlign w:val="superscript"/>
        </w:rPr>
        <w:footnoteReference w:id="29"/>
      </w:r>
      <w:r>
        <w:t>. En particular, generar procesos educativos basados en el modelo social de la discapacidad a toda la población</w:t>
      </w:r>
      <w:r>
        <w:rPr>
          <w:vertAlign w:val="superscript"/>
        </w:rPr>
        <w:footnoteReference w:id="30"/>
      </w:r>
      <w:r>
        <w:t>.</w:t>
      </w:r>
    </w:p>
    <w:p w14:paraId="015DEA52" w14:textId="77777777" w:rsidR="001A105D" w:rsidRDefault="00000000">
      <w:pPr>
        <w:pStyle w:val="NoSpacing"/>
        <w:numPr>
          <w:ilvl w:val="0"/>
          <w:numId w:val="33"/>
        </w:numPr>
      </w:pPr>
      <w:r>
        <w:rPr>
          <w:rFonts w:eastAsia="Arial Unicode MS" w:cs="Arial Unicode MS"/>
        </w:rPr>
        <w:t>A su vez, en muchos países de la región, las políticas sobre discapacidad están limitadas a los ministerios de salud, perpetuando el modelo médico que estigmatiza y restringe el ejercicio pleno de derechos. Aunque la habilitación y rehabilitación son derechos esenciales, este enfoque ha llevado a la creación de instituciones específicas, como hospitales psiquiátricos para personas con discapacidad psicosocial e intelectual, y a prácticas discriminatorias como la institucionalización y la medicación forzada. </w:t>
      </w:r>
    </w:p>
    <w:p w14:paraId="0AF30AE2" w14:textId="77777777" w:rsidR="001A105D" w:rsidRDefault="00000000">
      <w:pPr>
        <w:pStyle w:val="NoSpacing"/>
        <w:numPr>
          <w:ilvl w:val="0"/>
          <w:numId w:val="33"/>
        </w:numPr>
      </w:pPr>
      <w:r>
        <w:rPr>
          <w:rFonts w:eastAsia="Arial Unicode MS" w:cs="Arial Unicode MS"/>
        </w:rPr>
        <w:t xml:space="preserve">En las últimas décadas, con base en la aplicación de los principios de igualdad y no discriminación, se inició una revisión de los principios </w:t>
      </w:r>
      <w:proofErr w:type="spellStart"/>
      <w:r>
        <w:rPr>
          <w:rFonts w:eastAsia="Arial Unicode MS" w:cs="Arial Unicode MS"/>
        </w:rPr>
        <w:t>patologizantes</w:t>
      </w:r>
      <w:proofErr w:type="spellEnd"/>
      <w:r>
        <w:rPr>
          <w:rFonts w:eastAsia="Arial Unicode MS" w:cs="Arial Unicode MS"/>
        </w:rPr>
        <w:t xml:space="preserve"> que sustentaban el modelo </w:t>
      </w:r>
      <w:r>
        <w:rPr>
          <w:rFonts w:eastAsia="Arial Unicode MS" w:cs="Arial Unicode MS"/>
        </w:rPr>
        <w:lastRenderedPageBreak/>
        <w:t>médico-rehabilitador</w:t>
      </w:r>
      <w:r>
        <w:rPr>
          <w:vertAlign w:val="superscript"/>
        </w:rPr>
        <w:footnoteReference w:id="31"/>
      </w:r>
      <w:r>
        <w:rPr>
          <w:rFonts w:eastAsia="Arial Unicode MS" w:cs="Arial Unicode MS"/>
        </w:rPr>
        <w:t>. Esta revisión ha dado lugar al modelo social,</w:t>
      </w:r>
      <w:r>
        <w:rPr>
          <w:rFonts w:ascii="Helvetica LT Std Bold Oblique" w:hAnsi="Helvetica LT Std Bold Oblique"/>
        </w:rPr>
        <w:t xml:space="preserve"> </w:t>
      </w:r>
      <w:r>
        <w:rPr>
          <w:rFonts w:eastAsia="Arial Unicode MS" w:cs="Arial Unicode MS"/>
        </w:rPr>
        <w:t>que definió la discapacidad como resultado de las barreras de diversa índole en el entorno, que limitan o impiden la interacción entre las características individuales —tales como características físicas, psicosociales, intelectuales o sensoriales— y las condiciones del entorno físico, social, comunicacional, económico, político e institucional</w:t>
      </w:r>
      <w:r>
        <w:rPr>
          <w:vertAlign w:val="superscript"/>
        </w:rPr>
        <w:footnoteReference w:id="32"/>
      </w:r>
      <w:r>
        <w:rPr>
          <w:rFonts w:eastAsia="Arial Unicode MS" w:cs="Arial Unicode MS"/>
        </w:rPr>
        <w:t xml:space="preserve">. </w:t>
      </w:r>
    </w:p>
    <w:p w14:paraId="28F53155" w14:textId="77777777" w:rsidR="001A105D" w:rsidRDefault="00000000">
      <w:pPr>
        <w:pStyle w:val="NoSpacing"/>
        <w:numPr>
          <w:ilvl w:val="0"/>
          <w:numId w:val="33"/>
        </w:numPr>
      </w:pPr>
      <w:r>
        <w:rPr>
          <w:rFonts w:eastAsia="Arial Unicode MS" w:cs="Arial Unicode MS"/>
        </w:rPr>
        <w:t>El modelo social ha desplazado el enfoque desde la persona hacia la sociedad, reconociendo que la discapacidad, al igual que la “normalidad”, son construcciones sociales y político-ideológicas que categorizan y suprimen la diferencia humana, perpetuando así estructuras de privilegio, poder, roles y jerarquías sociales</w:t>
      </w:r>
      <w:r>
        <w:rPr>
          <w:vertAlign w:val="superscript"/>
        </w:rPr>
        <w:footnoteReference w:id="33"/>
      </w:r>
      <w:r>
        <w:rPr>
          <w:rFonts w:eastAsia="Arial Unicode MS" w:cs="Arial Unicode MS"/>
        </w:rPr>
        <w:t xml:space="preserve">. Desde este modelo, al entender que la discapacidad no es el diagnóstico de una persona, ni sus características bio-psico-sociales o intelectuales, se entiende </w:t>
      </w:r>
      <w:r>
        <w:rPr>
          <w:rFonts w:eastAsia="Arial Unicode MS" w:cs="Arial Unicode MS"/>
        </w:rPr>
        <w:lastRenderedPageBreak/>
        <w:t xml:space="preserve">también que las causas que originan la discapacidad no son ni religiosas —como en el modelo de la prescindencia—, ni </w:t>
      </w:r>
      <w:r>
        <w:rPr>
          <w:rFonts w:eastAsia="Arial Unicode MS" w:cs="Arial Unicode MS"/>
          <w:spacing w:val="-2"/>
        </w:rPr>
        <w:t xml:space="preserve">científicas —como en el modelo médico—; sino socioculturales. Ello, implica comprender que las personas con </w:t>
      </w:r>
      <w:r>
        <w:rPr>
          <w:rFonts w:eastAsia="Arial Unicode MS" w:cs="Arial Unicode MS"/>
        </w:rPr>
        <w:t>discapacidad pueden aportar a la sociedad en igual medida que el resto de los seres humanos independientemente del diagnóstico médico que se les haya dado</w:t>
      </w:r>
      <w:r>
        <w:rPr>
          <w:vertAlign w:val="superscript"/>
        </w:rPr>
        <w:footnoteReference w:id="34"/>
      </w:r>
      <w:r>
        <w:rPr>
          <w:rFonts w:eastAsia="Arial Unicode MS" w:cs="Arial Unicode MS"/>
        </w:rPr>
        <w:t>.</w:t>
      </w:r>
    </w:p>
    <w:p w14:paraId="617255D1" w14:textId="77777777" w:rsidR="001A105D" w:rsidRDefault="00000000">
      <w:pPr>
        <w:pStyle w:val="NoSpacing"/>
        <w:numPr>
          <w:ilvl w:val="0"/>
          <w:numId w:val="33"/>
        </w:numPr>
      </w:pPr>
      <w:r>
        <w:rPr>
          <w:rFonts w:eastAsia="Arial Unicode MS" w:cs="Arial Unicode MS"/>
        </w:rPr>
        <w:t>Su reconocimiento y aplicación fue fortalecido con la aprobación, en 2006, de la Convención sobre los Derechos de las Personas con Discapacidad de Naciones Unidas, la cual consagró los principios de respeto a la dignidad humana, igualdad y libertad personal, inclusión social, vida independiente, autonomía para tomar decisiones, no discriminación, accesibilidad universal, participación política y ciudadana, entre otros</w:t>
      </w:r>
      <w:r>
        <w:rPr>
          <w:vertAlign w:val="superscript"/>
        </w:rPr>
        <w:footnoteReference w:id="35"/>
      </w:r>
      <w:r>
        <w:rPr>
          <w:rFonts w:eastAsia="Arial Unicode MS" w:cs="Arial Unicode MS"/>
        </w:rPr>
        <w:t>. En resumen, planteó la visión de las personas con discapacidad como un colectivo social oprimido</w:t>
      </w:r>
      <w:r>
        <w:rPr>
          <w:vertAlign w:val="superscript"/>
        </w:rPr>
        <w:footnoteReference w:id="36"/>
      </w:r>
      <w:r>
        <w:rPr>
          <w:rFonts w:eastAsia="Arial Unicode MS" w:cs="Arial Unicode MS"/>
        </w:rPr>
        <w:t xml:space="preserve">, lo que implicó trasladar a la sociedad y al Estado la responsabilidad de enfrentar las barreras sociales, económicas, </w:t>
      </w:r>
      <w:r>
        <w:rPr>
          <w:rFonts w:eastAsia="Arial Unicode MS" w:cs="Arial Unicode MS"/>
        </w:rPr>
        <w:lastRenderedPageBreak/>
        <w:t>culturales, ambientales, civiles y políticas que puedan tener estas personas</w:t>
      </w:r>
      <w:r>
        <w:rPr>
          <w:vertAlign w:val="superscript"/>
        </w:rPr>
        <w:footnoteReference w:id="37"/>
      </w:r>
      <w:r>
        <w:rPr>
          <w:rFonts w:eastAsia="Arial Unicode MS" w:cs="Arial Unicode MS"/>
        </w:rPr>
        <w:t>.</w:t>
      </w:r>
    </w:p>
    <w:p w14:paraId="7A532381" w14:textId="77777777" w:rsidR="001A105D" w:rsidRDefault="00000000">
      <w:pPr>
        <w:pStyle w:val="NoSpacing"/>
        <w:numPr>
          <w:ilvl w:val="0"/>
          <w:numId w:val="33"/>
        </w:numPr>
      </w:pPr>
      <w:r>
        <w:t>En este modelo se reconoce a las personas con discapacidad como seres humanos con plenos derechos, en igualdad básica con las demás personas. Sin embargo, se entiende que, en algunos casos, podrían necesitar medidas específicas para acceder y ejercer sus derechos en igualdad de condiciones y oportunidades. Esto busca disminuir la brecha de desigualdad que históricamente les ha afectado. Por lo tanto, las leyes y políticas públicas deben considerar la amplia diversidad de personas con discapacidad, sus intersecciones y las distintas barreras que enfrentan, con el fin de garantizar su inclusión en la comunidad y el derecho a su autonomía personal.</w:t>
      </w:r>
    </w:p>
    <w:p w14:paraId="6285F5A9" w14:textId="77777777" w:rsidR="001A105D" w:rsidRDefault="00000000">
      <w:pPr>
        <w:pStyle w:val="Heading2"/>
        <w:numPr>
          <w:ilvl w:val="0"/>
          <w:numId w:val="42"/>
        </w:numPr>
      </w:pPr>
      <w:bookmarkStart w:id="8" w:name="_Toc5"/>
      <w:r>
        <w:rPr>
          <w:rFonts w:eastAsia="Arial Unicode MS" w:cs="Arial Unicode MS"/>
        </w:rPr>
        <w:t xml:space="preserve">MARCO NORMATIVO INTERNACIONAL EN MATERIA </w:t>
      </w:r>
      <w:r>
        <w:br/>
      </w:r>
      <w:r>
        <w:rPr>
          <w:rFonts w:eastAsia="Arial Unicode MS" w:cs="Arial Unicode MS"/>
        </w:rPr>
        <w:t>DE DISCAPACIDAD</w:t>
      </w:r>
      <w:bookmarkEnd w:id="8"/>
    </w:p>
    <w:p w14:paraId="482E4084" w14:textId="77777777" w:rsidR="001A105D" w:rsidRDefault="00000000">
      <w:pPr>
        <w:pStyle w:val="NoSpacing"/>
        <w:numPr>
          <w:ilvl w:val="0"/>
          <w:numId w:val="43"/>
        </w:numPr>
      </w:pPr>
      <w:r>
        <w:rPr>
          <w:rFonts w:eastAsia="Arial Unicode MS" w:cs="Arial Unicode MS"/>
        </w:rPr>
        <w:t>La Comisión Interamericana destaca que el derecho internacional ha evolucionado en consonancia con los cambios en la definición y la comprensión de la discapacidad. En este apartado, se analizará la influencia de los modelos conceptuales de discapacidad en las modificaciones de los marcos normativos a nivel internacional e interamericano, particularmente en relación con los principios promovidos por el modelo social y de derechos humanos.</w:t>
      </w:r>
    </w:p>
    <w:p w14:paraId="316DE5EA" w14:textId="77777777" w:rsidR="001A105D" w:rsidRDefault="00000000">
      <w:pPr>
        <w:pStyle w:val="NoSpacing"/>
        <w:numPr>
          <w:ilvl w:val="0"/>
          <w:numId w:val="33"/>
        </w:numPr>
      </w:pPr>
      <w:r>
        <w:rPr>
          <w:rFonts w:eastAsia="Arial Unicode MS" w:cs="Arial Unicode MS"/>
        </w:rPr>
        <w:lastRenderedPageBreak/>
        <w:t>En el ámbito global, la CDPD adoptó y contribuyó a la legitimación del modelo social de la discapacidad</w:t>
      </w:r>
      <w:r>
        <w:rPr>
          <w:vertAlign w:val="superscript"/>
        </w:rPr>
        <w:footnoteReference w:id="38"/>
      </w:r>
      <w:r>
        <w:rPr>
          <w:rFonts w:eastAsia="Arial Unicode MS" w:cs="Arial Unicode MS"/>
        </w:rPr>
        <w:t>. Estableció como obligación de los Estados garantizar el acceso a una amplia gama de servicios de apoyo, libremente elegidos y aceptados si se requieren, que permitan a las personas con discapacidad ejercer efectivamente sus derechos</w:t>
      </w:r>
      <w:r>
        <w:rPr>
          <w:vertAlign w:val="superscript"/>
        </w:rPr>
        <w:footnoteReference w:id="39"/>
      </w:r>
      <w:r>
        <w:rPr>
          <w:rFonts w:eastAsia="Arial Unicode MS" w:cs="Arial Unicode MS"/>
        </w:rPr>
        <w:t>. Además, introdujo como principio transversal el derecho a la accesibilidad universal. En este contexto, orientó las acciones legislativas y las políticas públicas estatales hacia la promoción de la vida independiente y en comunidad, así como el derecho a la autonomía de las personas con discapacidad</w:t>
      </w:r>
      <w:r>
        <w:rPr>
          <w:vertAlign w:val="superscript"/>
        </w:rPr>
        <w:footnoteReference w:id="40"/>
      </w:r>
      <w:r>
        <w:rPr>
          <w:rFonts w:eastAsia="Arial Unicode MS" w:cs="Arial Unicode MS"/>
        </w:rPr>
        <w:t>.</w:t>
      </w:r>
      <w:r>
        <w:rPr>
          <w:rFonts w:ascii="Arial Unicode MS" w:eastAsia="Arial Unicode MS" w:hAnsi="Arial Unicode MS" w:cs="Arial Unicode MS"/>
        </w:rPr>
        <w:br w:type="page"/>
      </w:r>
    </w:p>
    <w:p w14:paraId="601A134E" w14:textId="77777777" w:rsidR="001A105D" w:rsidRDefault="00000000">
      <w:pPr>
        <w:pStyle w:val="NoSpacing"/>
        <w:numPr>
          <w:ilvl w:val="0"/>
          <w:numId w:val="33"/>
        </w:numPr>
      </w:pPr>
      <w:r>
        <w:lastRenderedPageBreak/>
        <w:t>En el ámbito interamericano, en 1999, los Estados Americanos adoptaron la Convención Interamericana para la Eliminación de Todas las Formas de Discriminación contra las Personas con Discapacidad, siendo el primer instrumento internacional de derechos humanos vinculante dedicado específicamente a la protección de los derechos de las personas con discapacidad. Elaborada en un período de transición entre los paradigmas médico y social, la Convención incorporó elementos de ambas perspectivas y reconoció que las personas con discapacidad poseen los mismos derechos humanos y libertades fundamentales que cualquier otra persona</w:t>
      </w:r>
      <w:r>
        <w:rPr>
          <w:vertAlign w:val="superscript"/>
        </w:rPr>
        <w:footnoteReference w:id="41"/>
      </w:r>
      <w:r>
        <w:t>.</w:t>
      </w:r>
    </w:p>
    <w:p w14:paraId="6363743F" w14:textId="77777777" w:rsidR="001A105D" w:rsidRDefault="00000000">
      <w:pPr>
        <w:pStyle w:val="NoSpacing"/>
        <w:numPr>
          <w:ilvl w:val="0"/>
          <w:numId w:val="33"/>
        </w:numPr>
      </w:pPr>
      <w:r>
        <w:rPr>
          <w:rFonts w:eastAsia="Arial Unicode MS" w:cs="Arial Unicode MS"/>
        </w:rPr>
        <w:t>Aunque ambos modelos coexisten en la CIADDIS, tanto el Comité para la Eliminación de todas las Formas de Discriminación contra las Personas con Discapacidad (CEDDIS) como la Corte Interamericana de Derechos Humanos (Corte IDH) han adoptado una interpretación evolutiva de la Convención, orientándose hacia el modelo social y de derechos humanos de la discapacidad que promueve la CDPD. Esto basándose en el artículo VII de la CIADDIS</w:t>
      </w:r>
      <w:r>
        <w:rPr>
          <w:vertAlign w:val="superscript"/>
        </w:rPr>
        <w:footnoteReference w:id="42"/>
      </w:r>
      <w:r>
        <w:rPr>
          <w:rFonts w:eastAsia="Arial Unicode MS" w:cs="Arial Unicode MS"/>
        </w:rPr>
        <w:t xml:space="preserve"> y en la aplicación del principio </w:t>
      </w:r>
      <w:proofErr w:type="spellStart"/>
      <w:proofErr w:type="gramStart"/>
      <w:r>
        <w:rPr>
          <w:rFonts w:eastAsia="Arial Unicode MS" w:cs="Arial Unicode MS"/>
        </w:rPr>
        <w:t>pro</w:t>
      </w:r>
      <w:proofErr w:type="spellEnd"/>
      <w:r>
        <w:rPr>
          <w:rFonts w:eastAsia="Arial Unicode MS" w:cs="Arial Unicode MS"/>
        </w:rPr>
        <w:t xml:space="preserve"> persona</w:t>
      </w:r>
      <w:proofErr w:type="gramEnd"/>
      <w:r>
        <w:rPr>
          <w:vertAlign w:val="superscript"/>
        </w:rPr>
        <w:footnoteReference w:id="43"/>
      </w:r>
      <w:r>
        <w:rPr>
          <w:rFonts w:eastAsia="Arial Unicode MS" w:cs="Arial Unicode MS"/>
        </w:rPr>
        <w:t>.</w:t>
      </w:r>
    </w:p>
    <w:p w14:paraId="796F77B7" w14:textId="77777777" w:rsidR="001A105D" w:rsidRDefault="00000000">
      <w:pPr>
        <w:pStyle w:val="Heading3"/>
        <w:numPr>
          <w:ilvl w:val="0"/>
          <w:numId w:val="44"/>
        </w:numPr>
      </w:pPr>
      <w:bookmarkStart w:id="9" w:name="_Toc6"/>
      <w:r>
        <w:rPr>
          <w:rFonts w:eastAsia="Arial Unicode MS" w:cs="Arial Unicode MS"/>
        </w:rPr>
        <w:lastRenderedPageBreak/>
        <w:t>Á</w:t>
      </w:r>
      <w:proofErr w:type="spellStart"/>
      <w:r>
        <w:rPr>
          <w:rFonts w:eastAsia="Arial Unicode MS" w:cs="Arial Unicode MS"/>
          <w:lang w:val="it-IT"/>
        </w:rPr>
        <w:t>mbito</w:t>
      </w:r>
      <w:proofErr w:type="spellEnd"/>
      <w:r>
        <w:rPr>
          <w:rFonts w:eastAsia="Arial Unicode MS" w:cs="Arial Unicode MS"/>
          <w:lang w:val="it-IT"/>
        </w:rPr>
        <w:t xml:space="preserve"> Universal </w:t>
      </w:r>
      <w:bookmarkEnd w:id="9"/>
    </w:p>
    <w:p w14:paraId="445097B9" w14:textId="77777777" w:rsidR="001A105D" w:rsidRDefault="00000000">
      <w:pPr>
        <w:pStyle w:val="Heading4"/>
        <w:numPr>
          <w:ilvl w:val="0"/>
          <w:numId w:val="46"/>
        </w:numPr>
      </w:pPr>
      <w:r>
        <w:rPr>
          <w:rFonts w:eastAsia="Arial Unicode MS" w:cs="Arial Unicode MS"/>
        </w:rPr>
        <w:t>Convención Internacional sobre los Derechos de las Personas con Discapacidad</w:t>
      </w:r>
    </w:p>
    <w:p w14:paraId="62D971F1" w14:textId="77777777" w:rsidR="001A105D" w:rsidRDefault="00000000">
      <w:pPr>
        <w:pStyle w:val="NoSpacing"/>
        <w:numPr>
          <w:ilvl w:val="0"/>
          <w:numId w:val="47"/>
        </w:numPr>
      </w:pPr>
      <w:r>
        <w:rPr>
          <w:rFonts w:eastAsia="Arial Unicode MS" w:cs="Arial Unicode MS"/>
        </w:rPr>
        <w:t>Antes de la adopción de la CDPD por el sistema universal de las Naciones Unidas, se establecieron diversas normativas no vinculantes que seguían el modelo médico o rehabilitador de la discapacidad. Este enfoque caracterizaba a las personas con discapacidad como individuos con “problemas de salud”, cuya protección debía ser garantizada por los Estados a través de políticas asistencialistas.</w:t>
      </w:r>
    </w:p>
    <w:p w14:paraId="4AF50D4E" w14:textId="77777777" w:rsidR="001A105D" w:rsidRDefault="00000000">
      <w:pPr>
        <w:pStyle w:val="NoSpacing"/>
        <w:numPr>
          <w:ilvl w:val="0"/>
          <w:numId w:val="33"/>
        </w:numPr>
      </w:pPr>
      <w:r>
        <w:rPr>
          <w:rFonts w:eastAsia="Arial Unicode MS" w:cs="Arial Unicode MS"/>
        </w:rPr>
        <w:t xml:space="preserve">En 1971, se adoptó la Declaración de los Derechos del Retrasado Mental, que reconocía los derechos de las personas </w:t>
      </w:r>
      <w:r>
        <w:rPr>
          <w:rFonts w:eastAsia="Arial Unicode MS" w:cs="Arial Unicode MS"/>
        </w:rPr>
        <w:lastRenderedPageBreak/>
        <w:t>con discapacidad intelectual “hasta el máximo grado de viabilidad”</w:t>
      </w:r>
      <w:r>
        <w:rPr>
          <w:vertAlign w:val="superscript"/>
        </w:rPr>
        <w:footnoteReference w:id="44"/>
      </w:r>
      <w:r>
        <w:rPr>
          <w:rFonts w:eastAsia="Arial Unicode MS" w:cs="Arial Unicode MS"/>
        </w:rPr>
        <w:t>. Posteriormente, en 1975, se proclamó la Declaración de Derechos de los Impedidos, que extendía el reconocimiento a las personas con discapacidades físicas y mentales</w:t>
      </w:r>
      <w:r>
        <w:rPr>
          <w:vertAlign w:val="superscript"/>
        </w:rPr>
        <w:footnoteReference w:id="45"/>
      </w:r>
      <w:r>
        <w:rPr>
          <w:rFonts w:eastAsia="Arial Unicode MS" w:cs="Arial Unicode MS"/>
        </w:rPr>
        <w:t>. Ambos instrumentos consideraban a la persona con discapacidad como incapaz de satisfacer por sí misma, total o parcialmente, las necesidades de una vida individual o social “normal”</w:t>
      </w:r>
      <w:r>
        <w:rPr>
          <w:vertAlign w:val="superscript"/>
        </w:rPr>
        <w:footnoteReference w:id="46"/>
      </w:r>
      <w:r>
        <w:rPr>
          <w:rFonts w:eastAsia="Arial Unicode MS" w:cs="Arial Unicode MS"/>
        </w:rPr>
        <w:t>, así como limitaban el goce y ejercicio de los derechos a “hasta el máximo grado de viabilidad” o “en la medida de sus posibilidades”</w:t>
      </w:r>
      <w:r>
        <w:rPr>
          <w:vertAlign w:val="superscript"/>
        </w:rPr>
        <w:footnoteReference w:id="47"/>
      </w:r>
      <w:r>
        <w:rPr>
          <w:rFonts w:eastAsia="Arial Unicode MS" w:cs="Arial Unicode MS"/>
        </w:rPr>
        <w:t>.</w:t>
      </w:r>
    </w:p>
    <w:p w14:paraId="360C529C" w14:textId="77777777" w:rsidR="001A105D" w:rsidRDefault="00000000">
      <w:pPr>
        <w:pStyle w:val="NoSpacing"/>
        <w:numPr>
          <w:ilvl w:val="0"/>
          <w:numId w:val="33"/>
        </w:numPr>
      </w:pPr>
      <w:r>
        <w:rPr>
          <w:rFonts w:eastAsia="Arial Unicode MS" w:cs="Arial Unicode MS"/>
        </w:rPr>
        <w:t>A través del surgimiento de los movimientos sociales de emancipación de la discapacidad a nivel mundial en las últimas décadas, se logró transformar el paradigma aplicado en el ámbito del derecho internacional con respecto a las personas con discapacidad, orientándolo hacia el respeto y la protección de su dignidad y valor, sin discriminación, bajo la perspectiva de los derechos humanos</w:t>
      </w:r>
      <w:r>
        <w:rPr>
          <w:vertAlign w:val="superscript"/>
        </w:rPr>
        <w:footnoteReference w:id="48"/>
      </w:r>
      <w:r>
        <w:rPr>
          <w:rFonts w:eastAsia="Arial Unicode MS" w:cs="Arial Unicode MS"/>
        </w:rPr>
        <w:t xml:space="preserve">. Este proceso culminó en el año </w:t>
      </w:r>
      <w:r>
        <w:rPr>
          <w:rFonts w:eastAsia="Arial Unicode MS" w:cs="Arial Unicode MS"/>
        </w:rPr>
        <w:lastRenderedPageBreak/>
        <w:t>2006 con la adopción de la CDPD, el primer tratado universal vinculante diseñado para promover y proteger de manera integral los derechos y la dignidad de las personas con discapacidad. Este documento incorporó los principios del modelo social y de derechos humanos sobre la discapacidad, con un enfoque de desarrollo social inclusivo y de no discriminación como pilares fundamentales</w:t>
      </w:r>
      <w:r>
        <w:rPr>
          <w:vertAlign w:val="superscript"/>
        </w:rPr>
        <w:footnoteReference w:id="49"/>
      </w:r>
      <w:r>
        <w:rPr>
          <w:rFonts w:eastAsia="Arial Unicode MS" w:cs="Arial Unicode MS"/>
        </w:rPr>
        <w:t>.</w:t>
      </w:r>
    </w:p>
    <w:p w14:paraId="11CA0C62" w14:textId="77777777" w:rsidR="001A105D" w:rsidRDefault="00000000">
      <w:pPr>
        <w:pStyle w:val="NoSpacing"/>
        <w:numPr>
          <w:ilvl w:val="0"/>
          <w:numId w:val="33"/>
        </w:numPr>
      </w:pPr>
      <w:r>
        <w:rPr>
          <w:rFonts w:eastAsia="Arial Unicode MS" w:cs="Arial Unicode MS"/>
        </w:rPr>
        <w:t>En especial, el artículo 12 de la Convención trajo un cambio trascendental en la garantía del derecho a la personalidad y capacidad jurídicas de las personas con discapacidad: su derecho a tomar y ejercer decisiones conforme a su voluntad y preferencias. También, prevé el otorgamiento de los apoyos y las salvaguardias que pudiesen necesitar en el ejercicio de este derecho. De esa manera, las personas con discapacidad dejan de ser consideradas como “incapaces” de asumir compromisos jurídicamente vinculantes. A la luz del artículo 12 de la CDPD, figuras como la interdicción y la curatela, que excluyen del ejercicio ciudadano a esta población, son consideradas una violación de un derecho inherente a su condición humana</w:t>
      </w:r>
      <w:r>
        <w:rPr>
          <w:vertAlign w:val="superscript"/>
        </w:rPr>
        <w:footnoteReference w:id="50"/>
      </w:r>
      <w:r>
        <w:rPr>
          <w:rFonts w:eastAsia="Arial Unicode MS" w:cs="Arial Unicode MS"/>
        </w:rPr>
        <w:t>.</w:t>
      </w:r>
    </w:p>
    <w:p w14:paraId="0F49B9B0" w14:textId="77777777" w:rsidR="001A105D" w:rsidRDefault="00000000">
      <w:pPr>
        <w:pStyle w:val="NoSpacing"/>
        <w:numPr>
          <w:ilvl w:val="0"/>
          <w:numId w:val="33"/>
        </w:numPr>
      </w:pPr>
      <w:r>
        <w:t xml:space="preserve">A su vez, el ordenamiento establece la obligación de los Estados Parte de celebrar consultas estrechas y colaborar activamente con las personas con discapacidad, a través de </w:t>
      </w:r>
      <w:r>
        <w:lastRenderedPageBreak/>
        <w:t>sus organizaciones representativas, en la elaboración, aplicación y seguimiento de legislaciones y políticas públicas para hacer efectivos los derechos garantizados en la Convención</w:t>
      </w:r>
      <w:r>
        <w:rPr>
          <w:vertAlign w:val="superscript"/>
        </w:rPr>
        <w:footnoteReference w:id="51"/>
      </w:r>
      <w:r>
        <w:t>.</w:t>
      </w:r>
    </w:p>
    <w:p w14:paraId="1A653D40" w14:textId="77777777" w:rsidR="001A105D" w:rsidRDefault="00000000">
      <w:pPr>
        <w:pStyle w:val="NoSpacing"/>
        <w:numPr>
          <w:ilvl w:val="0"/>
          <w:numId w:val="33"/>
        </w:numPr>
      </w:pPr>
      <w:r>
        <w:t>La CDPD contempla en su artículo 34 la creación del Comité sobre los Derechos de las Personas con Discapacidad (Comité CDPD)</w:t>
      </w:r>
      <w:r>
        <w:rPr>
          <w:vertAlign w:val="superscript"/>
        </w:rPr>
        <w:footnoteReference w:id="52"/>
      </w:r>
      <w:r>
        <w:t>, órgano conformado por personas expertas independientes, incluyendo personas expertas con discapacidad, con balance de género y geográfico, de reconocida competencia y moral, que supervisa el cumplimiento de la CDPD por los Estados Parte a través de la revisión de los informes periódicos de cumplimiento que presentan, de conformidad con el artículo 35</w:t>
      </w:r>
      <w:r>
        <w:rPr>
          <w:vertAlign w:val="superscript"/>
        </w:rPr>
        <w:footnoteReference w:id="53"/>
      </w:r>
      <w:r>
        <w:t>, y de los informes alternativos que envía la sociedad civil del país que reporta. El Comité emite las observaciones finales de lo manifestado en los informes, en las que se proporciona a los Estados Parte recomendaciones para apoyar la implementación práctica de la Convención</w:t>
      </w:r>
      <w:r>
        <w:rPr>
          <w:vertAlign w:val="superscript"/>
        </w:rPr>
        <w:footnoteReference w:id="54"/>
      </w:r>
      <w:r>
        <w:t xml:space="preserve">.  </w:t>
      </w:r>
    </w:p>
    <w:p w14:paraId="38EB8F73" w14:textId="77777777" w:rsidR="001A105D" w:rsidRDefault="00000000">
      <w:pPr>
        <w:pStyle w:val="NoSpacing"/>
        <w:numPr>
          <w:ilvl w:val="0"/>
          <w:numId w:val="33"/>
        </w:numPr>
      </w:pPr>
      <w:r>
        <w:t xml:space="preserve">El Comité CDPD, además, da orientación autorizada sobre la interpretación de los derechos contemplados en la CDPD mediante observaciones generales, para ayudar a los Estados Parte a cumplir sus obligaciones. Hasta la fecha, el Comité ha </w:t>
      </w:r>
      <w:r>
        <w:lastRenderedPageBreak/>
        <w:t>adoptado ocho observaciones generales: sobre el derecho al igual reconocimiento como persona ante la ley (artículo 12); accesibilidad (artículo 9); mujeres y niñas con discapacidad (artículo 6);  educación inclusiva (artículo 24); el derecho a vivir de forma independiente y a ser incluido en la comunidad (artículo 19); igualdad y no discriminación (artículo 5); sobre la participación de las personas con discapacidad, incluida la infancia con discapacidad, a través de las organizaciones que las representan, en la aplicación y el seguimiento de la CDPD (artículos 4 y 33), y sobre el derecho de las personas con discapacidad al trabajo y al empleo (artículo 27)</w:t>
      </w:r>
      <w:r>
        <w:rPr>
          <w:vertAlign w:val="superscript"/>
        </w:rPr>
        <w:footnoteReference w:id="55"/>
      </w:r>
      <w:r>
        <w:t>. Adicionalmente, en virtud del Protocolo Facultativo (A/RES/61/106) que entró en vigor al mismo tiempo que la CDPD, el Comité recibe y examina quejas individuales por presuntas violaciones a los derechos humanos consagrados en la Convención</w:t>
      </w:r>
      <w:r>
        <w:rPr>
          <w:vertAlign w:val="superscript"/>
        </w:rPr>
        <w:footnoteReference w:id="56"/>
      </w:r>
      <w:r>
        <w:t>.</w:t>
      </w:r>
    </w:p>
    <w:p w14:paraId="3FEB0864" w14:textId="77777777" w:rsidR="001A105D" w:rsidRDefault="00000000">
      <w:pPr>
        <w:pStyle w:val="NoSpacing"/>
        <w:numPr>
          <w:ilvl w:val="0"/>
          <w:numId w:val="33"/>
        </w:numPr>
      </w:pPr>
      <w:r>
        <w:rPr>
          <w:rFonts w:eastAsia="Arial Unicode MS" w:cs="Arial Unicode MS"/>
        </w:rPr>
        <w:t xml:space="preserve">Por otra parte, el sistema de la ONU cuenta desde el año 2014 con una Relatoría Especial sobre los Derechos de las Personas con Discapacidad (en adelante, RS-CDPD), a fin de reforzar los esfuerzos para reconocer, promover, aplicar y supervisar los derechos de las personas con discapacidad con un enfoque basado en el modelo social y de derechos humanos, de acuerdo con la CDPD y el marco más general del derecho internacional de los derechos humanos. La Relatoría tiene el </w:t>
      </w:r>
      <w:r>
        <w:rPr>
          <w:rFonts w:eastAsia="Arial Unicode MS" w:cs="Arial Unicode MS"/>
        </w:rPr>
        <w:lastRenderedPageBreak/>
        <w:t>objetivo de recordar la universalidad, la indivisibilidad, la interdependencia y la interrelación de los derechos humanos y la necesidad de que se garantice a las personas con discapacidad el disfrute pleno de todos sus derechos en igualdad básica con las demás personas</w:t>
      </w:r>
      <w:r>
        <w:rPr>
          <w:vertAlign w:val="superscript"/>
        </w:rPr>
        <w:footnoteReference w:id="57"/>
      </w:r>
      <w:r>
        <w:rPr>
          <w:rFonts w:eastAsia="Arial Unicode MS" w:cs="Arial Unicode MS"/>
        </w:rPr>
        <w:t xml:space="preserve">. </w:t>
      </w:r>
    </w:p>
    <w:p w14:paraId="36ADC776" w14:textId="77777777" w:rsidR="001A105D" w:rsidRDefault="00000000">
      <w:pPr>
        <w:pStyle w:val="NoSpacing"/>
        <w:numPr>
          <w:ilvl w:val="0"/>
          <w:numId w:val="33"/>
        </w:numPr>
      </w:pPr>
      <w:r>
        <w:t>La persona Relatora debe recibir e intercambiar información sobre violaciones de los derechos humanos de personas con discapacidad, haciendo llamamientos urgentes y enviando comunicados a los Estados afectados para aclarar y/o llamar su atención sobre dicha información. Además, realiza visitas a los países tras la invitación de los Estados para examinar la situación de protección de los derechos humanos de las personas con discapacidad en el país en cuestión y elabora un informe dirigido al Consejo de Derechos Humanos en el que expone sus averiguaciones, conclusiones y recomendaciones</w:t>
      </w:r>
      <w:r>
        <w:rPr>
          <w:vertAlign w:val="superscript"/>
        </w:rPr>
        <w:footnoteReference w:id="58"/>
      </w:r>
      <w:r>
        <w:t>.  En el marco de su mandato, emite anualmente informes temáticos en los que reporta a dicho Consejo y a la Asamblea General, la situación global de la protección de las personas con discapacidad, temas prioritarios y emergentes, buenas prácticas observadas, entre otros; y formula recomendaciones específicas orientadas a mejorar la protección de sus derechos humanos. Hasta agosto de 2022, la Relatoría Especial había emitido 15 informes temáticos</w:t>
      </w:r>
      <w:r>
        <w:rPr>
          <w:vertAlign w:val="superscript"/>
        </w:rPr>
        <w:footnoteReference w:id="59"/>
      </w:r>
      <w:r>
        <w:t>.</w:t>
      </w:r>
      <w:r>
        <w:rPr>
          <w:vertAlign w:val="superscript"/>
        </w:rPr>
        <w:t xml:space="preserve"> </w:t>
      </w:r>
    </w:p>
    <w:p w14:paraId="43C9B942" w14:textId="77777777" w:rsidR="001A105D" w:rsidRDefault="00000000">
      <w:pPr>
        <w:pStyle w:val="Heading3"/>
        <w:numPr>
          <w:ilvl w:val="0"/>
          <w:numId w:val="48"/>
        </w:numPr>
      </w:pPr>
      <w:bookmarkStart w:id="10" w:name="_Toc7"/>
      <w:r>
        <w:rPr>
          <w:rFonts w:eastAsia="Arial Unicode MS" w:cs="Arial Unicode MS"/>
        </w:rPr>
        <w:lastRenderedPageBreak/>
        <w:t>Á</w:t>
      </w:r>
      <w:proofErr w:type="spellStart"/>
      <w:r>
        <w:rPr>
          <w:rFonts w:eastAsia="Arial Unicode MS" w:cs="Arial Unicode MS"/>
          <w:lang w:val="it-IT"/>
        </w:rPr>
        <w:t>mbito</w:t>
      </w:r>
      <w:proofErr w:type="spellEnd"/>
      <w:r>
        <w:rPr>
          <w:rFonts w:eastAsia="Arial Unicode MS" w:cs="Arial Unicode MS"/>
          <w:lang w:val="it-IT"/>
        </w:rPr>
        <w:t xml:space="preserve"> Americano</w:t>
      </w:r>
      <w:bookmarkEnd w:id="10"/>
    </w:p>
    <w:p w14:paraId="2CD4E614" w14:textId="77777777" w:rsidR="001A105D" w:rsidRDefault="00000000">
      <w:pPr>
        <w:pStyle w:val="Heading4"/>
        <w:numPr>
          <w:ilvl w:val="0"/>
          <w:numId w:val="49"/>
        </w:numPr>
      </w:pPr>
      <w:r>
        <w:rPr>
          <w:rFonts w:eastAsia="Arial Unicode MS" w:cs="Arial Unicode MS"/>
        </w:rPr>
        <w:t>Convención Interamericana para la Eliminación de Todas las Formas de Discriminación contra las Personas con Discapacidad (CIADDIS)</w:t>
      </w:r>
    </w:p>
    <w:p w14:paraId="7E8B6394" w14:textId="77777777" w:rsidR="001A105D" w:rsidRDefault="00000000">
      <w:pPr>
        <w:pStyle w:val="NoSpacing"/>
        <w:numPr>
          <w:ilvl w:val="0"/>
          <w:numId w:val="33"/>
        </w:numPr>
      </w:pPr>
      <w:r>
        <w:rPr>
          <w:rFonts w:eastAsia="Arial Unicode MS" w:cs="Arial Unicode MS"/>
        </w:rPr>
        <w:t>La CIADDIS fue adoptada el 7 de junio de 1999 y entró en vigor a partir del 14 de septiembre de 2001</w:t>
      </w:r>
      <w:r>
        <w:rPr>
          <w:vertAlign w:val="superscript"/>
        </w:rPr>
        <w:footnoteReference w:id="60"/>
      </w:r>
      <w:r>
        <w:rPr>
          <w:rFonts w:eastAsia="Arial Unicode MS" w:cs="Arial Unicode MS"/>
        </w:rPr>
        <w:t>, antes de la Convención de Naciones Unidas, durante un período de transición entre el modelo médico y el enfoque basado en derechos humanos. Las influencias del antiguo paradigma y el nuevo se evidencian en varios derechos y garantías previstos en el texto, tales como el reconocimiento a la igualdad y el principio de no discriminación en relación con el modelo social. Aunque el texto garantiza estos derechos en consonancia con los principios de derechos humanos, los condiciona a la posibilidad de que las personas con discapacidad puedan estar sujetas a “medidas especiales de protección” basadas en su condición médica</w:t>
      </w:r>
      <w:r>
        <w:rPr>
          <w:vertAlign w:val="superscript"/>
        </w:rPr>
        <w:footnoteReference w:id="61"/>
      </w:r>
      <w:r>
        <w:rPr>
          <w:rFonts w:eastAsia="Arial Unicode MS" w:cs="Arial Unicode MS"/>
        </w:rPr>
        <w:t xml:space="preserve">. </w:t>
      </w:r>
    </w:p>
    <w:p w14:paraId="44782E8F" w14:textId="77777777" w:rsidR="001A105D" w:rsidRDefault="00000000">
      <w:pPr>
        <w:pStyle w:val="NoSpacing"/>
        <w:numPr>
          <w:ilvl w:val="0"/>
          <w:numId w:val="33"/>
        </w:numPr>
      </w:pPr>
      <w:r>
        <w:t xml:space="preserve">La CIADDIS estableció la obligación positiva de los Estados de la región de adoptar todos los tipos de medidas de carácter legislativo, social, educativo, laboral o de cualquier otra índole, que sean necesarias para eliminar la discriminación contra las personas con discapacidad. Dicha perspectiva trasladó al Estado la responsabilidad de tomar acciones bajo el principio </w:t>
      </w:r>
      <w:r>
        <w:lastRenderedPageBreak/>
        <w:t>de igualdad y no discriminación contenidos en distintos artículos de la Declaración Americana (art. II y XXVI)</w:t>
      </w:r>
      <w:r>
        <w:rPr>
          <w:vertAlign w:val="superscript"/>
        </w:rPr>
        <w:footnoteReference w:id="62"/>
      </w:r>
      <w:r>
        <w:t xml:space="preserve"> y la Convención Americana sobre Derechos Humanos (art. 1.1 y 24).</w:t>
      </w:r>
    </w:p>
    <w:p w14:paraId="519EFF49" w14:textId="77777777" w:rsidR="001A105D" w:rsidRDefault="00000000">
      <w:pPr>
        <w:pStyle w:val="NoSpacing"/>
        <w:numPr>
          <w:ilvl w:val="0"/>
          <w:numId w:val="33"/>
        </w:numPr>
      </w:pPr>
      <w:r>
        <w:rPr>
          <w:rFonts w:eastAsia="Arial Unicode MS" w:cs="Arial Unicode MS"/>
        </w:rPr>
        <w:t>En el contexto del principio de igualdad, la Convención contempla que las acciones emprendidas por los Estados deben ser eficaces, proporcionadas y sostenibles. Este principio se refleja claramente en el ámbito de la accesibilidad, donde se destaca la implementación de medidas que aseguren que los edificios, vehículos e instalaciones construidos o fabricados en sus respectivos territorios faciliten el transporte, la comunicación y el acceso para las personas con discapacidad. Además, se hace hincapié en la eliminación de obstáculos arquitectónicos, de transporte y comunicación preexistentes, así como el derecho de acceso y uso de las nuevas tecnologías que faciliten la autonomía</w:t>
      </w:r>
      <w:r>
        <w:rPr>
          <w:vertAlign w:val="superscript"/>
        </w:rPr>
        <w:footnoteReference w:id="63"/>
      </w:r>
      <w:r>
        <w:rPr>
          <w:rFonts w:eastAsia="Arial Unicode MS" w:cs="Arial Unicode MS"/>
        </w:rPr>
        <w:t xml:space="preserve">. </w:t>
      </w:r>
    </w:p>
    <w:p w14:paraId="5BB47D77" w14:textId="77777777" w:rsidR="001A105D" w:rsidRDefault="00000000">
      <w:pPr>
        <w:pStyle w:val="NoSpacing"/>
        <w:numPr>
          <w:ilvl w:val="0"/>
          <w:numId w:val="33"/>
        </w:numPr>
      </w:pPr>
      <w:r>
        <w:rPr>
          <w:rFonts w:eastAsia="Arial Unicode MS" w:cs="Arial Unicode MS"/>
        </w:rPr>
        <w:t xml:space="preserve">Por otro lado, la CIADDIS marcó un hito al establecer la prohibición de discriminación basada en una discapacidad, ya sea como antecedente o consecuencia de una discapacidad previa o, incluso, por la percepción de una discapacidad actual o pasada. De esta manera, la Convención señala las diversas formas en que las personas con discapacidad pueden ser objeto de discriminación. El propósito subyacente es alertar a los Estados de la región sobre las implicancias y posibles casos </w:t>
      </w:r>
      <w:r>
        <w:rPr>
          <w:rFonts w:eastAsia="Arial Unicode MS" w:cs="Arial Unicode MS"/>
        </w:rPr>
        <w:lastRenderedPageBreak/>
        <w:t>de discriminación que podrían enfrentar las personas con discapacidad</w:t>
      </w:r>
      <w:r>
        <w:rPr>
          <w:vertAlign w:val="superscript"/>
        </w:rPr>
        <w:footnoteReference w:id="64"/>
      </w:r>
      <w:r>
        <w:rPr>
          <w:rFonts w:eastAsia="Arial Unicode MS" w:cs="Arial Unicode MS"/>
        </w:rPr>
        <w:t>.</w:t>
      </w:r>
    </w:p>
    <w:p w14:paraId="363E384A" w14:textId="77777777" w:rsidR="001A105D" w:rsidRDefault="00000000">
      <w:pPr>
        <w:pStyle w:val="NoSpacing"/>
        <w:numPr>
          <w:ilvl w:val="0"/>
          <w:numId w:val="33"/>
        </w:numPr>
      </w:pPr>
      <w:r>
        <w:rPr>
          <w:rFonts w:eastAsia="Arial Unicode MS" w:cs="Arial Unicode MS"/>
        </w:rPr>
        <w:t>Aunado a lo anterior, en este instrumento se consolidó el derecho a la participación de las personas con discapacidad en las decisiones que les afectan. Para ello se establece como una obligación de los Estados promover la participación de representantes de organizaciones de personas con discapacidad, organizaciones no gubernamentales que trabajan en este campo o las propias personas con discapacidad, en la elaboración, ejecución y evaluación de medidas y políticas para aplicar esta Convención</w:t>
      </w:r>
      <w:r>
        <w:rPr>
          <w:vertAlign w:val="superscript"/>
        </w:rPr>
        <w:footnoteReference w:id="65"/>
      </w:r>
      <w:r>
        <w:rPr>
          <w:rFonts w:eastAsia="Arial Unicode MS" w:cs="Arial Unicode MS"/>
        </w:rPr>
        <w:t>.</w:t>
      </w:r>
    </w:p>
    <w:p w14:paraId="0C02449B" w14:textId="77777777" w:rsidR="001A105D" w:rsidRDefault="00000000">
      <w:pPr>
        <w:pStyle w:val="NoSpacing"/>
        <w:numPr>
          <w:ilvl w:val="0"/>
          <w:numId w:val="33"/>
        </w:numPr>
      </w:pPr>
      <w:r>
        <w:rPr>
          <w:rFonts w:eastAsia="Arial Unicode MS" w:cs="Arial Unicode MS"/>
        </w:rPr>
        <w:t>El artículo VI de la CIADDIS prevé la creación de un Comité integrado por un representante designado por cada Estado parte (en adelante, “CEDDIS”), para dar seguimiento a los compromisos adquiridos en esta Convención. Para ello, los Estados presentan información al Comité sobre las medidas que hayan adoptado para el cumplimiento de la Convención, los desafíos y las buenas prácticas en sus esfuerzos por eliminar todas las formas de discriminación contra las personas con discapacidad. Con esta información, sumado a los informes enviados por las organizaciones de la sociedad civil, el CEDDIS elabora informes con observaciones y sugerencias para el cumplimiento progresivo de lo establecido en la Convención</w:t>
      </w:r>
      <w:r>
        <w:rPr>
          <w:vertAlign w:val="superscript"/>
        </w:rPr>
        <w:footnoteReference w:id="66"/>
      </w:r>
      <w:r>
        <w:rPr>
          <w:rFonts w:eastAsia="Arial Unicode MS" w:cs="Arial Unicode MS"/>
        </w:rPr>
        <w:t>.</w:t>
      </w:r>
    </w:p>
    <w:p w14:paraId="4E0E99FE" w14:textId="77777777" w:rsidR="001A105D" w:rsidRDefault="00000000">
      <w:pPr>
        <w:pStyle w:val="NoSpacing"/>
        <w:numPr>
          <w:ilvl w:val="0"/>
          <w:numId w:val="33"/>
        </w:numPr>
      </w:pPr>
      <w:r>
        <w:t xml:space="preserve">En las últimas décadas, el CEDDIS diseñó y ha ido actualizando un formato para la entrega de los informes por parte de los </w:t>
      </w:r>
      <w:r>
        <w:lastRenderedPageBreak/>
        <w:t xml:space="preserve">Estados Parte, que contiene más de 51 indicadores para medir cumplimiento de lo dispuesto por la CIADDIS y el </w:t>
      </w:r>
      <w:r>
        <w:rPr>
          <w:rFonts w:ascii="Helvetica LT Std Oblique" w:hAnsi="Helvetica LT Std Oblique"/>
        </w:rPr>
        <w:t>Programa de Acción para el Decenio de las Américas por los Derechos y la Dignidad de las Personas con Discapacidad</w:t>
      </w:r>
      <w:r>
        <w:t xml:space="preserve"> (PAD). Este programa fue creado en el año 2006 y extendido por la Asamblea General de la OEA hasta el año 2026, y está basado en los principios de </w:t>
      </w:r>
      <w:proofErr w:type="gramStart"/>
      <w:r>
        <w:t>la misma</w:t>
      </w:r>
      <w:proofErr w:type="gramEnd"/>
      <w:r>
        <w:t xml:space="preserve"> CIADDIS y armonizado en su contenido y perspectiva al modelo social de la CDPD</w:t>
      </w:r>
      <w:r>
        <w:rPr>
          <w:vertAlign w:val="superscript"/>
        </w:rPr>
        <w:footnoteReference w:id="67"/>
      </w:r>
      <w:r>
        <w:t>. Este formato incluye la solicitud de información desglosada por tipo de situación de discapacidad, edad, sexo/género, ubicación geográfica, entre otros.</w:t>
      </w:r>
    </w:p>
    <w:p w14:paraId="21367B25" w14:textId="77777777" w:rsidR="001A105D" w:rsidRDefault="00000000">
      <w:pPr>
        <w:pStyle w:val="Heading4"/>
        <w:numPr>
          <w:ilvl w:val="0"/>
          <w:numId w:val="50"/>
        </w:numPr>
      </w:pPr>
      <w:r>
        <w:rPr>
          <w:rFonts w:eastAsia="Arial Unicode MS" w:cs="Arial Unicode MS"/>
        </w:rPr>
        <w:t xml:space="preserve">Jurisprudencia interamericana </w:t>
      </w:r>
    </w:p>
    <w:p w14:paraId="421EF410" w14:textId="77777777" w:rsidR="001A105D" w:rsidRDefault="00000000">
      <w:pPr>
        <w:pStyle w:val="NoSpacing"/>
        <w:numPr>
          <w:ilvl w:val="0"/>
          <w:numId w:val="33"/>
        </w:numPr>
      </w:pPr>
      <w:r>
        <w:rPr>
          <w:rFonts w:eastAsia="Arial Unicode MS" w:cs="Arial Unicode MS"/>
        </w:rPr>
        <w:t xml:space="preserve">Bajo la orientación de la Convención Americana y en el marco del principio de progresividad de los derechos humanos, la Corte IDH abordó los derechos de las personas con discapacidad desde la adopción del modelo social y de derechos humanos en varios casos. Entre estos, se destaca el caso </w:t>
      </w:r>
      <w:proofErr w:type="spellStart"/>
      <w:r>
        <w:rPr>
          <w:rFonts w:eastAsia="Arial Unicode MS" w:cs="Arial Unicode MS"/>
        </w:rPr>
        <w:t>Ximenes</w:t>
      </w:r>
      <w:proofErr w:type="spellEnd"/>
      <w:r>
        <w:rPr>
          <w:rFonts w:eastAsia="Arial Unicode MS" w:cs="Arial Unicode MS"/>
        </w:rPr>
        <w:t xml:space="preserve"> </w:t>
      </w:r>
      <w:proofErr w:type="spellStart"/>
      <w:r>
        <w:rPr>
          <w:rFonts w:eastAsia="Arial Unicode MS" w:cs="Arial Unicode MS"/>
        </w:rPr>
        <w:t>Lopes</w:t>
      </w:r>
      <w:proofErr w:type="spellEnd"/>
      <w:r>
        <w:rPr>
          <w:rFonts w:eastAsia="Arial Unicode MS" w:cs="Arial Unicode MS"/>
        </w:rPr>
        <w:t xml:space="preserve"> Vs. Brasil</w:t>
      </w:r>
      <w:r>
        <w:rPr>
          <w:vertAlign w:val="superscript"/>
        </w:rPr>
        <w:footnoteReference w:id="68"/>
      </w:r>
      <w:r>
        <w:rPr>
          <w:rFonts w:eastAsia="Arial Unicode MS" w:cs="Arial Unicode MS"/>
          <w:color w:val="174E86"/>
          <w:u w:color="174E86"/>
        </w:rPr>
        <w:t>;</w:t>
      </w:r>
      <w:r>
        <w:rPr>
          <w:rFonts w:eastAsia="Arial Unicode MS" w:cs="Arial Unicode MS"/>
        </w:rPr>
        <w:t xml:space="preserve"> Furlán y familiares Vs. Argentina</w:t>
      </w:r>
      <w:r>
        <w:rPr>
          <w:vertAlign w:val="superscript"/>
        </w:rPr>
        <w:footnoteReference w:id="69"/>
      </w:r>
      <w:r>
        <w:rPr>
          <w:rFonts w:eastAsia="Arial Unicode MS" w:cs="Arial Unicode MS"/>
        </w:rPr>
        <w:t>; Mendoza y otros Vs. Argentina</w:t>
      </w:r>
      <w:r>
        <w:rPr>
          <w:vertAlign w:val="superscript"/>
        </w:rPr>
        <w:footnoteReference w:id="70"/>
      </w:r>
      <w:r>
        <w:rPr>
          <w:rFonts w:eastAsia="Arial Unicode MS" w:cs="Arial Unicode MS"/>
        </w:rPr>
        <w:t xml:space="preserve">; Chinchilla </w:t>
      </w:r>
      <w:r>
        <w:rPr>
          <w:rFonts w:eastAsia="Arial Unicode MS" w:cs="Arial Unicode MS"/>
        </w:rPr>
        <w:lastRenderedPageBreak/>
        <w:t>Sandoval Vs. Guatemala</w:t>
      </w:r>
      <w:r>
        <w:rPr>
          <w:vertAlign w:val="superscript"/>
        </w:rPr>
        <w:footnoteReference w:id="71"/>
      </w:r>
      <w:r>
        <w:rPr>
          <w:rFonts w:eastAsia="Arial Unicode MS" w:cs="Arial Unicode MS"/>
        </w:rPr>
        <w:t>; Oscar Muelle Flores Vs. Perú</w:t>
      </w:r>
      <w:r>
        <w:rPr>
          <w:vertAlign w:val="superscript"/>
        </w:rPr>
        <w:footnoteReference w:id="72"/>
      </w:r>
      <w:r>
        <w:rPr>
          <w:rFonts w:eastAsia="Arial Unicode MS" w:cs="Arial Unicode MS"/>
        </w:rPr>
        <w:t>;</w:t>
      </w:r>
      <w:r>
        <w:rPr>
          <w:rFonts w:eastAsia="Arial Unicode MS" w:cs="Arial Unicode MS"/>
          <w:vertAlign w:val="superscript"/>
        </w:rPr>
        <w:t xml:space="preserve"> </w:t>
      </w:r>
      <w:proofErr w:type="spellStart"/>
      <w:r>
        <w:rPr>
          <w:rFonts w:eastAsia="Arial Unicode MS" w:cs="Arial Unicode MS"/>
        </w:rPr>
        <w:t>Guachalá</w:t>
      </w:r>
      <w:proofErr w:type="spellEnd"/>
      <w:r>
        <w:rPr>
          <w:rFonts w:eastAsia="Arial Unicode MS" w:cs="Arial Unicode MS"/>
        </w:rPr>
        <w:t xml:space="preserve"> Chimbó Vs. Ecuador</w:t>
      </w:r>
      <w:r>
        <w:rPr>
          <w:vertAlign w:val="superscript"/>
        </w:rPr>
        <w:footnoteReference w:id="73"/>
      </w:r>
      <w:r>
        <w:rPr>
          <w:rFonts w:eastAsia="Arial Unicode MS" w:cs="Arial Unicode MS"/>
        </w:rPr>
        <w:t>; Vera Rojas y otros Vs. Chile</w:t>
      </w:r>
      <w:r>
        <w:rPr>
          <w:vertAlign w:val="superscript"/>
        </w:rPr>
        <w:footnoteReference w:id="74"/>
      </w:r>
      <w:r>
        <w:rPr>
          <w:rFonts w:eastAsia="Arial Unicode MS" w:cs="Arial Unicode MS"/>
        </w:rPr>
        <w:t>; y Guevara Díaz Vs. Costa Rica</w:t>
      </w:r>
      <w:r>
        <w:rPr>
          <w:vertAlign w:val="superscript"/>
        </w:rPr>
        <w:footnoteReference w:id="75"/>
      </w:r>
      <w:r>
        <w:rPr>
          <w:rFonts w:eastAsia="Arial Unicode MS" w:cs="Arial Unicode MS"/>
        </w:rPr>
        <w:t xml:space="preserve">. </w:t>
      </w:r>
    </w:p>
    <w:p w14:paraId="3885D770" w14:textId="77777777" w:rsidR="001A105D" w:rsidRDefault="00000000">
      <w:pPr>
        <w:pStyle w:val="NoSpacing"/>
        <w:numPr>
          <w:ilvl w:val="0"/>
          <w:numId w:val="33"/>
        </w:numPr>
      </w:pPr>
      <w:r>
        <w:rPr>
          <w:rFonts w:eastAsia="Arial Unicode MS" w:cs="Arial Unicode MS"/>
        </w:rPr>
        <w:t xml:space="preserve">El primer caso se refiere a la muerte de </w:t>
      </w:r>
      <w:proofErr w:type="spellStart"/>
      <w:r>
        <w:rPr>
          <w:rFonts w:eastAsia="Arial Unicode MS" w:cs="Arial Unicode MS"/>
        </w:rPr>
        <w:t>Damião</w:t>
      </w:r>
      <w:proofErr w:type="spellEnd"/>
      <w:r>
        <w:rPr>
          <w:rFonts w:eastAsia="Arial Unicode MS" w:cs="Arial Unicode MS"/>
        </w:rPr>
        <w:t xml:space="preserve"> </w:t>
      </w:r>
      <w:proofErr w:type="spellStart"/>
      <w:r>
        <w:rPr>
          <w:rFonts w:eastAsia="Arial Unicode MS" w:cs="Arial Unicode MS"/>
        </w:rPr>
        <w:t>Ximenes</w:t>
      </w:r>
      <w:proofErr w:type="spellEnd"/>
      <w:r>
        <w:rPr>
          <w:rFonts w:eastAsia="Arial Unicode MS" w:cs="Arial Unicode MS"/>
        </w:rPr>
        <w:t xml:space="preserve"> </w:t>
      </w:r>
      <w:proofErr w:type="spellStart"/>
      <w:r>
        <w:rPr>
          <w:rFonts w:eastAsia="Arial Unicode MS" w:cs="Arial Unicode MS"/>
        </w:rPr>
        <w:t>Lopes</w:t>
      </w:r>
      <w:proofErr w:type="spellEnd"/>
      <w:r>
        <w:rPr>
          <w:rFonts w:eastAsia="Arial Unicode MS" w:cs="Arial Unicode MS"/>
        </w:rPr>
        <w:t xml:space="preserve">, una persona con discapacidad psicosocial, ocurrida en un hospital psiquiátrico en 1999. Este caso marcó un precedente en cuanto a la protección de los derechos de personas con discapacidad en la región. </w:t>
      </w:r>
      <w:proofErr w:type="spellStart"/>
      <w:r>
        <w:rPr>
          <w:rFonts w:eastAsia="Arial Unicode MS" w:cs="Arial Unicode MS"/>
        </w:rPr>
        <w:t>Damião</w:t>
      </w:r>
      <w:proofErr w:type="spellEnd"/>
      <w:r>
        <w:rPr>
          <w:rFonts w:eastAsia="Arial Unicode MS" w:cs="Arial Unicode MS"/>
        </w:rPr>
        <w:t xml:space="preserve"> </w:t>
      </w:r>
      <w:proofErr w:type="spellStart"/>
      <w:r>
        <w:rPr>
          <w:rFonts w:eastAsia="Arial Unicode MS" w:cs="Arial Unicode MS"/>
        </w:rPr>
        <w:t>Ximenes</w:t>
      </w:r>
      <w:proofErr w:type="spellEnd"/>
      <w:r>
        <w:rPr>
          <w:rFonts w:eastAsia="Arial Unicode MS" w:cs="Arial Unicode MS"/>
        </w:rPr>
        <w:t xml:space="preserve"> </w:t>
      </w:r>
      <w:proofErr w:type="spellStart"/>
      <w:r>
        <w:rPr>
          <w:rFonts w:eastAsia="Arial Unicode MS" w:cs="Arial Unicode MS"/>
        </w:rPr>
        <w:t>Lopes</w:t>
      </w:r>
      <w:proofErr w:type="spellEnd"/>
      <w:r>
        <w:rPr>
          <w:rFonts w:eastAsia="Arial Unicode MS" w:cs="Arial Unicode MS"/>
        </w:rPr>
        <w:t xml:space="preserve"> fue ingresado en la Casa de Reposo </w:t>
      </w:r>
      <w:proofErr w:type="spellStart"/>
      <w:r>
        <w:rPr>
          <w:rFonts w:eastAsia="Arial Unicode MS" w:cs="Arial Unicode MS"/>
        </w:rPr>
        <w:t>Guararapes</w:t>
      </w:r>
      <w:proofErr w:type="spellEnd"/>
      <w:r>
        <w:rPr>
          <w:rFonts w:eastAsia="Arial Unicode MS" w:cs="Arial Unicode MS"/>
        </w:rPr>
        <w:t xml:space="preserve"> en Sobral, Ceará, Brasil, el 1 de octubre de 1999, por un episodio de crisis psicosocial Tres días después, falleció en esa institución. La autopsia reveló signos de agresiones físicas y negligencia médica. </w:t>
      </w:r>
    </w:p>
    <w:p w14:paraId="01A6C46D" w14:textId="77777777" w:rsidR="001A105D" w:rsidRDefault="00000000">
      <w:pPr>
        <w:pStyle w:val="NoSpacing"/>
        <w:numPr>
          <w:ilvl w:val="0"/>
          <w:numId w:val="33"/>
        </w:numPr>
      </w:pPr>
      <w:r>
        <w:rPr>
          <w:rFonts w:eastAsia="Arial Unicode MS" w:cs="Arial Unicode MS"/>
        </w:rPr>
        <w:t>En su decisión, la Corte IDH desarrolló estándares interamericanos al destacar la responsabilidad estatal de garantizar un acceso y tratamiento dignos de salud para personas con discapacidad, considerándolas un colectivo en particular situación de vulnerabilidad</w:t>
      </w:r>
      <w:r>
        <w:rPr>
          <w:vertAlign w:val="superscript"/>
        </w:rPr>
        <w:footnoteReference w:id="76"/>
      </w:r>
      <w:r>
        <w:rPr>
          <w:rFonts w:eastAsia="Arial Unicode MS" w:cs="Arial Unicode MS"/>
        </w:rPr>
        <w:t xml:space="preserve">. La Corte subrayó que el </w:t>
      </w:r>
      <w:r>
        <w:rPr>
          <w:rFonts w:eastAsia="Arial Unicode MS" w:cs="Arial Unicode MS"/>
        </w:rPr>
        <w:lastRenderedPageBreak/>
        <w:t>respeto a la intimidad y autonomía de la persona es un principio fundamental en el tratamiento psiquiátrico que salvaguarda la dignidad. Concluyó en la responsabilidad del Estado de Brasil en la violación a los derechos a la integridad personal, a la salud, a la vida, las garantías y la protección judicial, en clara infracción a los artículos 1, 4, 5, 8 y 25 de la Convención Americana sobre Derechos Humanos.</w:t>
      </w:r>
    </w:p>
    <w:p w14:paraId="75CA29D0" w14:textId="77777777" w:rsidR="001A105D" w:rsidRDefault="00000000">
      <w:pPr>
        <w:pStyle w:val="NoSpacing"/>
        <w:numPr>
          <w:ilvl w:val="0"/>
          <w:numId w:val="33"/>
        </w:numPr>
      </w:pPr>
      <w:r>
        <w:rPr>
          <w:rFonts w:eastAsia="Arial Unicode MS" w:cs="Arial Unicode MS"/>
        </w:rPr>
        <w:t xml:space="preserve">A su vez, en un abordaje tangencial, la Corte tocó el tema de los derechos de las personas con discapacidad con una perspectiva interseccional en el caso de Sebastián Furlán. En 1988, a los 14 años, Sebastián Furlán sufrió un accidente en un predio militar que carecía de medidas de seguridad, lo que le provocó daño cerebral y discapacidad permanente. Este hecho marcó su vida personal, educativa y social, además de generar múltiples necesidades médicas y económicas que no fueron resueltas debido a un proceso judicial civil prolongado y defectuoso. El fallo de la Corte IDH reconoció la necesidad de hacer una interpretación conjunta de la CDPD y la CIADDIS, a la luz del modelo de derechos humanos, sentando un importante precedente. La Corte estableció la importancia de analizar el caso bajo el </w:t>
      </w:r>
      <w:r>
        <w:rPr>
          <w:rFonts w:ascii="Helvetica LT Std Oblique" w:hAnsi="Helvetica LT Std Oblique"/>
        </w:rPr>
        <w:t xml:space="preserve">corpus </w:t>
      </w:r>
      <w:proofErr w:type="spellStart"/>
      <w:r>
        <w:rPr>
          <w:rFonts w:ascii="Helvetica LT Std Oblique" w:hAnsi="Helvetica LT Std Oblique"/>
        </w:rPr>
        <w:t>juris</w:t>
      </w:r>
      <w:proofErr w:type="spellEnd"/>
      <w:r>
        <w:rPr>
          <w:rFonts w:eastAsia="Arial Unicode MS" w:cs="Arial Unicode MS"/>
        </w:rPr>
        <w:t xml:space="preserve"> internacional de protección de la infancia en conjunto con los estándares internacionales sobre la protección y garantía de los derechos de personas con discapacidad</w:t>
      </w:r>
      <w:r>
        <w:rPr>
          <w:vertAlign w:val="superscript"/>
        </w:rPr>
        <w:footnoteReference w:id="77"/>
      </w:r>
      <w:r>
        <w:rPr>
          <w:rFonts w:eastAsia="Arial Unicode MS" w:cs="Arial Unicode MS"/>
        </w:rPr>
        <w:t xml:space="preserve">. </w:t>
      </w:r>
    </w:p>
    <w:p w14:paraId="67B314CF" w14:textId="77777777" w:rsidR="001A105D" w:rsidRDefault="00000000">
      <w:pPr>
        <w:pStyle w:val="NoSpacing"/>
        <w:numPr>
          <w:ilvl w:val="0"/>
          <w:numId w:val="33"/>
        </w:numPr>
      </w:pPr>
      <w:r>
        <w:rPr>
          <w:rFonts w:eastAsia="Arial Unicode MS" w:cs="Arial Unicode MS"/>
        </w:rPr>
        <w:lastRenderedPageBreak/>
        <w:t>En este mismo fallo, en relación con el acceso a la justicia para la infancia con discapacidad, la Corte Interamericana enfatizó que la CDPD prevé normas que destacan la importancia de dicho acceso en condiciones de igualdad y a través de ajustes procedimentales adecuados a la edad. La Corte consideró imperativo que, en el caso de poblaciones especialmente marginadas, como las personas con discapacidad, se adopten medidas que incluyan la priorización en la atención y resolución de procedimientos por parte de las autoridades, para evitar retrasos y garantizar la pronta resolución y ejecución</w:t>
      </w:r>
      <w:r>
        <w:rPr>
          <w:vertAlign w:val="superscript"/>
        </w:rPr>
        <w:footnoteReference w:id="78"/>
      </w:r>
      <w:r>
        <w:rPr>
          <w:rFonts w:eastAsia="Arial Unicode MS" w:cs="Arial Unicode MS"/>
        </w:rPr>
        <w:t xml:space="preserve">. </w:t>
      </w:r>
    </w:p>
    <w:p w14:paraId="5C324581" w14:textId="77777777" w:rsidR="001A105D" w:rsidRDefault="00000000">
      <w:pPr>
        <w:pStyle w:val="NoSpacing"/>
        <w:numPr>
          <w:ilvl w:val="0"/>
          <w:numId w:val="33"/>
        </w:numPr>
      </w:pPr>
      <w:r>
        <w:rPr>
          <w:rFonts w:eastAsia="Arial Unicode MS" w:cs="Arial Unicode MS"/>
        </w:rPr>
        <w:t>Además de analizar la duración del proceso, la complejidad del asunto, la actividad procesal del interesado y la conducta de las autoridades judiciales, la Corte IDH introdujo, en el caso Furlán, un cuarto elemento al considerar la “afectación generada en la situación jurídica de la persona involucrada en el proceso”</w:t>
      </w:r>
      <w:r>
        <w:rPr>
          <w:vertAlign w:val="superscript"/>
        </w:rPr>
        <w:footnoteReference w:id="79"/>
      </w:r>
      <w:r>
        <w:rPr>
          <w:rFonts w:eastAsia="Arial Unicode MS" w:cs="Arial Unicode MS"/>
        </w:rPr>
        <w:t>, destacando la obligación reforzada del Estado, de mucha relevancia al tratarse de un adulto con discapacidad. Basándose en este análisis, determinó la violación de varios derechos, incluyendo los del niño, a la propiedad privada, a la protección judicial, al desarrollo progresivo, a la integridad personal y a las garantías judiciales</w:t>
      </w:r>
      <w:r>
        <w:rPr>
          <w:vertAlign w:val="superscript"/>
        </w:rPr>
        <w:footnoteReference w:id="80"/>
      </w:r>
      <w:r>
        <w:rPr>
          <w:rFonts w:eastAsia="Arial Unicode MS" w:cs="Arial Unicode MS"/>
        </w:rPr>
        <w:t>.</w:t>
      </w:r>
    </w:p>
    <w:p w14:paraId="0FA14CD1" w14:textId="77777777" w:rsidR="001A105D" w:rsidRDefault="00000000">
      <w:pPr>
        <w:pStyle w:val="NoSpacing"/>
        <w:numPr>
          <w:ilvl w:val="0"/>
          <w:numId w:val="33"/>
        </w:numPr>
      </w:pPr>
      <w:r>
        <w:rPr>
          <w:rFonts w:eastAsia="Arial Unicode MS" w:cs="Arial Unicode MS"/>
        </w:rPr>
        <w:t xml:space="preserve">El caso </w:t>
      </w:r>
      <w:proofErr w:type="spellStart"/>
      <w:r>
        <w:rPr>
          <w:rFonts w:eastAsia="Arial Unicode MS" w:cs="Arial Unicode MS"/>
        </w:rPr>
        <w:t>Guachalá</w:t>
      </w:r>
      <w:proofErr w:type="spellEnd"/>
      <w:r>
        <w:rPr>
          <w:rFonts w:eastAsia="Arial Unicode MS" w:cs="Arial Unicode MS"/>
        </w:rPr>
        <w:t xml:space="preserve"> Chimbo Vs. Ecuador ante la Corte Interamericana de Derechos Humanos aborda la desaparición de Luis Eduardo </w:t>
      </w:r>
      <w:proofErr w:type="spellStart"/>
      <w:r>
        <w:rPr>
          <w:rFonts w:eastAsia="Arial Unicode MS" w:cs="Arial Unicode MS"/>
        </w:rPr>
        <w:t>Guachalá</w:t>
      </w:r>
      <w:proofErr w:type="spellEnd"/>
      <w:r>
        <w:rPr>
          <w:rFonts w:eastAsia="Arial Unicode MS" w:cs="Arial Unicode MS"/>
        </w:rPr>
        <w:t xml:space="preserve"> Chimbo, un joven de 23 años con epilepsia que desapareció en 2004 tras ser internado en el hospital psiquiátrico público Julio Endara, en Quito. Luis fue </w:t>
      </w:r>
      <w:r>
        <w:rPr>
          <w:rFonts w:eastAsia="Arial Unicode MS" w:cs="Arial Unicode MS"/>
        </w:rPr>
        <w:lastRenderedPageBreak/>
        <w:t xml:space="preserve">ingresado por su madre debido a una crisis, pero una semana después el hospital informó que había abandonado el centro. Desde entonces, su familia inició una búsqueda infructuosa, enfrentándose a negligencias estatales. </w:t>
      </w:r>
    </w:p>
    <w:p w14:paraId="3A0CB76E" w14:textId="77777777" w:rsidR="001A105D" w:rsidRDefault="00000000">
      <w:pPr>
        <w:pStyle w:val="NoSpacing"/>
        <w:numPr>
          <w:ilvl w:val="0"/>
          <w:numId w:val="33"/>
        </w:numPr>
      </w:pPr>
      <w:r>
        <w:rPr>
          <w:rFonts w:eastAsia="Arial Unicode MS" w:cs="Arial Unicode MS"/>
        </w:rPr>
        <w:t>Con base en lo anterior, la Corte señaló que el derecho al reconocimiento de la capacidad jurídica adquirió un contenido específico, conforme a lo dispuesto en el artículo 12 de la CDPD</w:t>
      </w:r>
      <w:r>
        <w:rPr>
          <w:vertAlign w:val="superscript"/>
        </w:rPr>
        <w:footnoteReference w:id="81"/>
      </w:r>
      <w:r>
        <w:rPr>
          <w:rFonts w:eastAsia="Arial Unicode MS" w:cs="Arial Unicode MS"/>
        </w:rPr>
        <w:t>, así como también determinó que la privación de libertad con base en la discapacidad y en contra de la voluntad de la persona con discapacidad</w:t>
      </w:r>
      <w:r>
        <w:rPr>
          <w:vertAlign w:val="superscript"/>
        </w:rPr>
        <w:footnoteReference w:id="82"/>
      </w:r>
      <w:r>
        <w:rPr>
          <w:rFonts w:eastAsia="Arial Unicode MS" w:cs="Arial Unicode MS"/>
        </w:rPr>
        <w:t>.</w:t>
      </w:r>
    </w:p>
    <w:p w14:paraId="14E5D812" w14:textId="77777777" w:rsidR="001A105D" w:rsidRDefault="00000000">
      <w:pPr>
        <w:pStyle w:val="NoSpacing"/>
        <w:numPr>
          <w:ilvl w:val="0"/>
          <w:numId w:val="33"/>
        </w:numPr>
      </w:pPr>
      <w:r>
        <w:rPr>
          <w:rFonts w:eastAsia="Arial Unicode MS" w:cs="Arial Unicode MS"/>
        </w:rPr>
        <w:t>Se analizarán en más detalle algunas de las sentencias de la Corte IDH mencionadas, en los capítulos 3 y 4 de este informe, en relación con el análisis de la situación de las personas con discapacidad en el ejercicio de ciertos derechos.</w:t>
      </w:r>
    </w:p>
    <w:p w14:paraId="7C0DF639" w14:textId="139B0EAA" w:rsidR="001A105D" w:rsidRDefault="00000000" w:rsidP="002D2C2E">
      <w:pPr>
        <w:pStyle w:val="Heading"/>
      </w:pPr>
      <w:r>
        <w:rPr>
          <w:rFonts w:ascii="Arial Unicode MS" w:eastAsia="Arial Unicode MS" w:hAnsi="Arial Unicode MS" w:cs="Arial Unicode MS"/>
          <w:sz w:val="20"/>
          <w:szCs w:val="20"/>
        </w:rPr>
        <w:br w:type="page"/>
      </w:r>
    </w:p>
    <w:p w14:paraId="3EABDB46" w14:textId="6F7A9399" w:rsidR="001A105D" w:rsidRDefault="00000000">
      <w:pPr>
        <w:pStyle w:val="Heading2"/>
        <w:numPr>
          <w:ilvl w:val="0"/>
          <w:numId w:val="35"/>
        </w:numPr>
      </w:pPr>
      <w:bookmarkStart w:id="11" w:name="_Toc8"/>
      <w:r>
        <w:rPr>
          <w:rFonts w:eastAsia="Arial Unicode MS" w:cs="Arial Unicode MS"/>
        </w:rPr>
        <w:lastRenderedPageBreak/>
        <w:t>SITUACIÓN GENERAL DE LOS DERECHOS DE LAS PERSONAS CON DISCAPACIDAD EN LA REGIÓN</w:t>
      </w:r>
      <w:bookmarkEnd w:id="11"/>
    </w:p>
    <w:p w14:paraId="6207DBED" w14:textId="77777777" w:rsidR="001A105D" w:rsidRDefault="00000000">
      <w:pPr>
        <w:pStyle w:val="NoSpacing"/>
        <w:numPr>
          <w:ilvl w:val="0"/>
          <w:numId w:val="51"/>
        </w:numPr>
      </w:pPr>
      <w:r>
        <w:rPr>
          <w:rFonts w:eastAsia="Arial Unicode MS" w:cs="Arial Unicode MS"/>
        </w:rPr>
        <w:t>En consonancia con los instrumentos internacionales y la jurisprudencia de la Corte IDH, la CIDH sostiene que la “discapacidad no se define exclusivamente por la presencia de una deficiencia física, mental, intelectual o sensorial, sino que se interrelaciona con las barreras o limitaciones que socialmente existen para que las personas puedan ejercer sus derechos de manera efectiva”</w:t>
      </w:r>
      <w:r>
        <w:rPr>
          <w:vertAlign w:val="superscript"/>
        </w:rPr>
        <w:footnoteReference w:id="83"/>
      </w:r>
      <w:r>
        <w:rPr>
          <w:rFonts w:eastAsia="Arial Unicode MS" w:cs="Arial Unicode MS"/>
        </w:rPr>
        <w:t xml:space="preserve">. Esto es, se origina en las complejas interacciones entre la persona con cuerpo y maneras de funcionar diversas, y los estigmas social y políticamente legitimados que marginan estas diferencias. </w:t>
      </w:r>
    </w:p>
    <w:p w14:paraId="628D0895" w14:textId="77777777" w:rsidR="001A105D" w:rsidRDefault="00000000">
      <w:pPr>
        <w:pStyle w:val="NoSpacing"/>
        <w:numPr>
          <w:ilvl w:val="0"/>
          <w:numId w:val="33"/>
        </w:numPr>
      </w:pPr>
      <w:r>
        <w:t>Además, la Comisión reconoce que las circunstancias sociales, políticas, económicas y culturales específicas de un tiempo y lugar determinados contribuyen de manera conjunta a la creación de barreras que afectan la vida independiente, el ejercicio de los derechos y libertades fundamentales, así como el desarrollo humano y social de las personas por causa de su diversidad.</w:t>
      </w:r>
    </w:p>
    <w:p w14:paraId="578F3523" w14:textId="77777777" w:rsidR="001A105D" w:rsidRDefault="00000000">
      <w:pPr>
        <w:pStyle w:val="NoSpacing"/>
        <w:numPr>
          <w:ilvl w:val="0"/>
          <w:numId w:val="33"/>
        </w:numPr>
      </w:pPr>
      <w:r>
        <w:rPr>
          <w:rFonts w:eastAsia="Arial Unicode MS" w:cs="Arial Unicode MS"/>
        </w:rPr>
        <w:t xml:space="preserve">En sintonía con dicho entendimiento, analizar el grado de acceso y ejercicio en autonomía de las personas con discapacidad a los derechos civiles, políticos, económicos, sociales, culturales y ambientales implica tener en cuenta la manera en que se relacionan entre sí los factores que determinan las oportunidades —el acceso a la salud, la educación, la capacidad de conectarse y participar socialmente, </w:t>
      </w:r>
      <w:r>
        <w:rPr>
          <w:rFonts w:eastAsia="Arial Unicode MS" w:cs="Arial Unicode MS"/>
        </w:rPr>
        <w:lastRenderedPageBreak/>
        <w:t xml:space="preserve">de ejercer la ciudadanía, la calidad de los servicios disponibles, el trato que le den las instituciones— en la vida de una persona. </w:t>
      </w:r>
    </w:p>
    <w:p w14:paraId="2BF666F8" w14:textId="77777777" w:rsidR="001A105D" w:rsidRDefault="00000000">
      <w:pPr>
        <w:pStyle w:val="NoSpacing"/>
        <w:numPr>
          <w:ilvl w:val="0"/>
          <w:numId w:val="33"/>
        </w:numPr>
      </w:pPr>
      <w:r>
        <w:rPr>
          <w:rFonts w:eastAsia="Arial Unicode MS" w:cs="Arial Unicode MS"/>
        </w:rPr>
        <w:t>Asimismo, es crucial examinar las correlaciones entre distintos factores de desigualdad y diversos grupos de personas, considerando sus identidades interseccionales. Se debe analizar cómo estas entrelazadas impactan y modifican los resultados finales en términos de logros y oportunidades. No se necesitaría hablar de “inclusión” si la diversidad humana no estuviera cruzada por la desigualdad</w:t>
      </w:r>
      <w:r>
        <w:rPr>
          <w:vertAlign w:val="superscript"/>
        </w:rPr>
        <w:footnoteReference w:id="84"/>
      </w:r>
      <w:r>
        <w:rPr>
          <w:rFonts w:eastAsia="Arial Unicode MS" w:cs="Arial Unicode MS"/>
        </w:rPr>
        <w:t>.</w:t>
      </w:r>
    </w:p>
    <w:p w14:paraId="26D8F71C" w14:textId="77777777" w:rsidR="001A105D" w:rsidRDefault="00000000">
      <w:pPr>
        <w:pStyle w:val="NoSpacing"/>
        <w:numPr>
          <w:ilvl w:val="0"/>
          <w:numId w:val="33"/>
        </w:numPr>
      </w:pPr>
      <w:r>
        <w:rPr>
          <w:rFonts w:eastAsia="Arial Unicode MS" w:cs="Arial Unicode MS"/>
        </w:rPr>
        <w:t xml:space="preserve">A modo de ilustración, a lo largo de la historia, a las mujeres con discapacidad se les ha asignado tradicionalmente el papel adicional de cuidadoras, tanto de otras personas con discapacidad como de sus propias familias. Estas mujeres han sido segregadas en el ámbito doméstico, insertándolas en un modelo discriminatorio de roles de género. Sin embargo, el avance del derecho internacional de los derechos humanos ha proporcionado el reconocimiento de las mujeres con discapacidad como titulares de derechos, permitiéndoles reclamar educación, trabajo y salud, sin discriminación y basándose en la igualdad de oportunidades. Además, se </w:t>
      </w:r>
      <w:proofErr w:type="gramStart"/>
      <w:r>
        <w:rPr>
          <w:rFonts w:eastAsia="Arial Unicode MS" w:cs="Arial Unicode MS"/>
        </w:rPr>
        <w:t>les</w:t>
      </w:r>
      <w:proofErr w:type="gramEnd"/>
      <w:r>
        <w:rPr>
          <w:rFonts w:eastAsia="Arial Unicode MS" w:cs="Arial Unicode MS"/>
        </w:rPr>
        <w:t xml:space="preserve"> garantiza el derecho a una inclusión económica efectiva, así como la participación plena en la esfera política y social.</w:t>
      </w:r>
      <w:r>
        <w:rPr>
          <w:vertAlign w:val="superscript"/>
        </w:rPr>
        <w:footnoteReference w:id="85"/>
      </w:r>
    </w:p>
    <w:p w14:paraId="6C8CBDCB" w14:textId="77777777" w:rsidR="001A105D" w:rsidRDefault="00000000">
      <w:pPr>
        <w:pStyle w:val="NoSpacing"/>
        <w:numPr>
          <w:ilvl w:val="0"/>
          <w:numId w:val="33"/>
        </w:numPr>
      </w:pPr>
      <w:r>
        <w:rPr>
          <w:rFonts w:eastAsia="Arial Unicode MS" w:cs="Arial Unicode MS"/>
        </w:rPr>
        <w:t xml:space="preserve">Los Estados enfrentan el desafío crucial de garantizar los derechos de las personas con discapacidad y lograr su completa inclusión social. Esto demanda la creación e </w:t>
      </w:r>
      <w:r>
        <w:rPr>
          <w:rFonts w:eastAsia="Arial Unicode MS" w:cs="Arial Unicode MS"/>
        </w:rPr>
        <w:lastRenderedPageBreak/>
        <w:t>implementación de marcos legales y políticas integrales y abarcadoras que aborden de manera transversal, diferencial e interseccional a la vez el tema, incorporándolo de manera simultánea en la agenda del desarrollo. Estas iniciativas deben estar impregnadas siempre por una perspectiva de derechos humanos, abordando todos los factores que puedan amenazar los principios de igualdad y no discriminación</w:t>
      </w:r>
      <w:r>
        <w:rPr>
          <w:vertAlign w:val="superscript"/>
        </w:rPr>
        <w:footnoteReference w:id="86"/>
      </w:r>
      <w:r>
        <w:rPr>
          <w:rFonts w:eastAsia="Arial Unicode MS" w:cs="Arial Unicode MS"/>
        </w:rPr>
        <w:t>.</w:t>
      </w:r>
      <w:r>
        <w:rPr>
          <w:rFonts w:eastAsia="Arial Unicode MS" w:cs="Arial Unicode MS"/>
          <w:vertAlign w:val="superscript"/>
        </w:rPr>
        <w:t xml:space="preserve"> </w:t>
      </w:r>
    </w:p>
    <w:p w14:paraId="6E59FFAB" w14:textId="77777777" w:rsidR="001A105D" w:rsidRDefault="00000000">
      <w:pPr>
        <w:pStyle w:val="NoSpacing"/>
        <w:numPr>
          <w:ilvl w:val="0"/>
          <w:numId w:val="33"/>
        </w:numPr>
      </w:pPr>
      <w:r>
        <w:rPr>
          <w:rFonts w:eastAsia="Arial Unicode MS" w:cs="Arial Unicode MS"/>
        </w:rPr>
        <w:t xml:space="preserve">En este capítulo se aborda la situación de las personas con discapacidad en las Américas, examinando la legislación interna y las políticas públicas en diversos países de la región. Se exploran aspectos como la definición de discapacidad en las leyes, la recopilación de datos estadísticos, y los derechos sociales, económicos, culturales y ambientales. Se destacan </w:t>
      </w:r>
      <w:r>
        <w:rPr>
          <w:rFonts w:eastAsia="Arial Unicode MS" w:cs="Arial Unicode MS"/>
        </w:rPr>
        <w:lastRenderedPageBreak/>
        <w:t xml:space="preserve">derechos específicos, como la salud, la educación, el trabajo, la participación política y la vida independiente. Además, se considera el derecho a la accesibilidad de manera transversal para la inclusión en diversos ámbitos de la vida. </w:t>
      </w:r>
    </w:p>
    <w:p w14:paraId="0DB224C2" w14:textId="77777777" w:rsidR="001A105D" w:rsidRDefault="00000000">
      <w:pPr>
        <w:pStyle w:val="Heading3"/>
        <w:numPr>
          <w:ilvl w:val="0"/>
          <w:numId w:val="52"/>
        </w:numPr>
      </w:pPr>
      <w:bookmarkStart w:id="12" w:name="_Toc9"/>
      <w:proofErr w:type="spellStart"/>
      <w:r>
        <w:rPr>
          <w:rFonts w:eastAsia="Arial Unicode MS" w:cs="Arial Unicode MS"/>
        </w:rPr>
        <w:t>Recopilaci</w:t>
      </w:r>
      <w:r>
        <w:rPr>
          <w:rFonts w:eastAsia="Arial Unicode MS" w:cs="Arial Unicode MS"/>
          <w:lang w:val="es-ES_tradnl"/>
        </w:rPr>
        <w:t>ón</w:t>
      </w:r>
      <w:proofErr w:type="spellEnd"/>
      <w:r>
        <w:rPr>
          <w:rFonts w:eastAsia="Arial Unicode MS" w:cs="Arial Unicode MS"/>
          <w:lang w:val="es-ES_tradnl"/>
        </w:rPr>
        <w:t xml:space="preserve"> de datos y estad</w:t>
      </w:r>
      <w:r>
        <w:rPr>
          <w:rFonts w:eastAsia="Arial Unicode MS" w:cs="Arial Unicode MS"/>
        </w:rPr>
        <w:t>í</w:t>
      </w:r>
      <w:proofErr w:type="spellStart"/>
      <w:r>
        <w:rPr>
          <w:rFonts w:eastAsia="Arial Unicode MS" w:cs="Arial Unicode MS"/>
          <w:lang w:val="es-ES_tradnl"/>
        </w:rPr>
        <w:t>sticas</w:t>
      </w:r>
      <w:proofErr w:type="spellEnd"/>
      <w:r>
        <w:rPr>
          <w:rFonts w:eastAsia="Arial Unicode MS" w:cs="Arial Unicode MS"/>
          <w:lang w:val="es-ES_tradnl"/>
        </w:rPr>
        <w:t xml:space="preserve"> en materia </w:t>
      </w:r>
      <w:r>
        <w:br/>
      </w:r>
      <w:r>
        <w:rPr>
          <w:rFonts w:eastAsia="Arial Unicode MS" w:cs="Arial Unicode MS"/>
          <w:lang w:val="pt-PT"/>
        </w:rPr>
        <w:t xml:space="preserve">de </w:t>
      </w:r>
      <w:proofErr w:type="spellStart"/>
      <w:r>
        <w:rPr>
          <w:rFonts w:eastAsia="Arial Unicode MS" w:cs="Arial Unicode MS"/>
          <w:lang w:val="pt-PT"/>
        </w:rPr>
        <w:t>discapacidad</w:t>
      </w:r>
      <w:bookmarkEnd w:id="12"/>
      <w:proofErr w:type="spellEnd"/>
    </w:p>
    <w:p w14:paraId="0638CDAB" w14:textId="77777777" w:rsidR="001A105D" w:rsidRDefault="00000000">
      <w:pPr>
        <w:pStyle w:val="NoSpacing"/>
        <w:numPr>
          <w:ilvl w:val="0"/>
          <w:numId w:val="33"/>
        </w:numPr>
      </w:pPr>
      <w:r>
        <w:rPr>
          <w:rFonts w:eastAsia="Arial Unicode MS" w:cs="Arial Unicode MS"/>
        </w:rPr>
        <w:t>La utilización de datos como fundamento de políticas públicas y marcos legales es una obligación estatal según el artículo 31 de la CDPD. Este artículo requiere que los Estados dispongan de información desglosada tanto por la discapacidad como por su intersección con otras categorías sociales e identidades marginadas y en situación de vulneración</w:t>
      </w:r>
      <w:r>
        <w:rPr>
          <w:vertAlign w:val="superscript"/>
        </w:rPr>
        <w:footnoteReference w:id="87"/>
      </w:r>
      <w:r>
        <w:rPr>
          <w:rFonts w:eastAsia="Arial Unicode MS" w:cs="Arial Unicode MS"/>
        </w:rPr>
        <w:t>.</w:t>
      </w:r>
    </w:p>
    <w:p w14:paraId="4C36CC86" w14:textId="77777777" w:rsidR="001A105D" w:rsidRDefault="00000000">
      <w:pPr>
        <w:pStyle w:val="NoSpacing"/>
        <w:numPr>
          <w:ilvl w:val="0"/>
          <w:numId w:val="33"/>
        </w:numPr>
      </w:pPr>
      <w:r>
        <w:t xml:space="preserve">No obstante, en la actualidad, los datos sobre personas con discapacidad son escasos, imprecisos o simplemente no existen. Los censos de población son el principal instrumento de medición estadística en la región, pero con frecuencia incluyen pocas preguntas relacionadas con la discapacidad. </w:t>
      </w:r>
      <w:r>
        <w:lastRenderedPageBreak/>
        <w:t>Estas preguntas suelen estar formuladas desde una perspectiva y definición médica en lugar de social, lo que impide la inclusión y medición de los diversos grados y manifestaciones de discapacidad en la interacción de las personas con las barreras ambientales en los diferentes países</w:t>
      </w:r>
      <w:r>
        <w:rPr>
          <w:vertAlign w:val="superscript"/>
        </w:rPr>
        <w:footnoteReference w:id="88"/>
      </w:r>
      <w:r>
        <w:t>.</w:t>
      </w:r>
    </w:p>
    <w:p w14:paraId="6D50FB61" w14:textId="77777777" w:rsidR="001A105D" w:rsidRDefault="00000000">
      <w:pPr>
        <w:pStyle w:val="NoSpacing"/>
        <w:numPr>
          <w:ilvl w:val="0"/>
          <w:numId w:val="33"/>
        </w:numPr>
      </w:pPr>
      <w:r>
        <w:rPr>
          <w:rFonts w:eastAsia="Arial Unicode MS" w:cs="Arial Unicode MS"/>
        </w:rPr>
        <w:t>Además, la mayoría de quienes se encargan de llevar a cabo los censos de población carecen de la capacitación necesaria para interactuar adecuadamente con personas con discapacidad, lo que disminuye aún más las posibilidades de incorporar a este grupo en los resultados de los censos. Es crucial destacar que estas aproximaciones estadísticas generalmente no facilitan la localización geográfica de las personas con discapacidad ni ofrecen información detallada sobre sus necesidades específicas para la inclusión y la atención pública. Aspectos como su estado civil, situación familiar, laboral, educativa, género y edad, y —más aún— la garantía de su participación ciudadana plena, pocas veces se ven reflejados en dichas estadísticas</w:t>
      </w:r>
      <w:r>
        <w:rPr>
          <w:vertAlign w:val="superscript"/>
        </w:rPr>
        <w:footnoteReference w:id="89"/>
      </w:r>
      <w:r>
        <w:rPr>
          <w:rFonts w:eastAsia="Arial Unicode MS" w:cs="Arial Unicode MS"/>
        </w:rPr>
        <w:t>.</w:t>
      </w:r>
    </w:p>
    <w:p w14:paraId="56C8BC1C" w14:textId="77777777" w:rsidR="001A105D" w:rsidRDefault="00000000">
      <w:pPr>
        <w:pStyle w:val="NoSpacing"/>
        <w:numPr>
          <w:ilvl w:val="0"/>
          <w:numId w:val="33"/>
        </w:numPr>
      </w:pPr>
      <w:r>
        <w:rPr>
          <w:rFonts w:eastAsia="Arial Unicode MS" w:cs="Arial Unicode MS"/>
        </w:rPr>
        <w:t xml:space="preserve">En la región, la mayoría de los países participaron en el desarrollo de la metodología de Clasificación Internacional del Funcionamiento (CIF) de la Organización Mundial de la Salud (OMS), y han implementado encuestas más cualitativas </w:t>
      </w:r>
      <w:r>
        <w:rPr>
          <w:rFonts w:eastAsia="Arial Unicode MS" w:cs="Arial Unicode MS"/>
        </w:rPr>
        <w:lastRenderedPageBreak/>
        <w:t>basadas en ella</w:t>
      </w:r>
      <w:r>
        <w:rPr>
          <w:vertAlign w:val="superscript"/>
        </w:rPr>
        <w:footnoteReference w:id="90"/>
      </w:r>
      <w:r>
        <w:rPr>
          <w:rFonts w:eastAsia="Arial Unicode MS" w:cs="Arial Unicode MS"/>
        </w:rPr>
        <w:t>. La CIF combina aspectos del modelo médico y social, definiendo la discapacidad como la interacción entre las características físicas, sensoriales, psicosociales e intelectuales de la persona y un entorno con más o menos barreras para su funcionamiento independiente e inclusión efectiva. Aunque las encuestas basadas en la CIF proporcionan una aproximación de datos más precisa que los censos de población, estas aún no abandonan el paradigma médico al visualizar a las personas con discapacidad.</w:t>
      </w:r>
    </w:p>
    <w:p w14:paraId="6DE57262" w14:textId="77777777" w:rsidR="001A105D" w:rsidRDefault="00000000">
      <w:pPr>
        <w:pStyle w:val="NoSpacing"/>
        <w:numPr>
          <w:ilvl w:val="0"/>
          <w:numId w:val="33"/>
        </w:numPr>
      </w:pPr>
      <w:r>
        <w:t>En los últimos años, distintos países de la región han implementado encuestas que fusionan el enfoque de la CIF con las preguntas del Grupo de Washington (GW)</w:t>
      </w:r>
      <w:r>
        <w:rPr>
          <w:vertAlign w:val="superscript"/>
        </w:rPr>
        <w:footnoteReference w:id="91"/>
      </w:r>
      <w:r>
        <w:t xml:space="preserve">. La propuesta del GW representa un avance en el intento de superar el paradigma médico en la medición de la discapacidad, aunque sin abandonarlo por completo. El conjunto de preguntas diseñado por el GW se orienta a ser utilizado en censos, encuestas nacionales por muestreo u otras formas de presentación estadística, con el propósito principal de estandarizar la recolección de datos, establecer bases </w:t>
      </w:r>
      <w:r>
        <w:lastRenderedPageBreak/>
        <w:t>comparables entre países y facilitar las decisiones políticas en torno a la igualdad de oportunidades y la inclusión social.</w:t>
      </w:r>
    </w:p>
    <w:p w14:paraId="16620F3E" w14:textId="77777777" w:rsidR="001A105D" w:rsidRDefault="00000000">
      <w:pPr>
        <w:pStyle w:val="NoSpacing"/>
        <w:numPr>
          <w:ilvl w:val="0"/>
          <w:numId w:val="33"/>
        </w:numPr>
      </w:pPr>
      <w:r>
        <w:t>Dado que no todos los países de la región incorporan las preguntas del Grupo de Washington (GW) en sus censos o estudios poblacionales, y cuando lo hacen, no abarcan todas las preguntas, se dificulta establecer comparaciones de datos entre países. Para abordar esta situación, el Comité de Seguimiento de la Convención Interamericana para la Eliminación de todas las Formas de Discriminación contra las Personas con Discapacidad de la OEA ha liderado una iniciativa de trabajo intersectorial con otras organizaciones internacionales, que viene desarrollándose desde el año 2011 en adelante</w:t>
      </w:r>
      <w:r>
        <w:rPr>
          <w:vertAlign w:val="superscript"/>
        </w:rPr>
        <w:footnoteReference w:id="92"/>
      </w:r>
      <w:r>
        <w:t>. Esta estandarización no solo facilitaría la generación de datos comparativos, sino también simplificaría el proceso de reporte de cumplimiento por parte de los Estados.</w:t>
      </w:r>
    </w:p>
    <w:p w14:paraId="4AEF77E4" w14:textId="77777777" w:rsidR="001A105D" w:rsidRDefault="00000000">
      <w:pPr>
        <w:pStyle w:val="NoSpacing"/>
        <w:numPr>
          <w:ilvl w:val="0"/>
          <w:numId w:val="33"/>
        </w:numPr>
      </w:pPr>
      <w:r>
        <w:rPr>
          <w:rFonts w:eastAsia="Arial Unicode MS" w:cs="Arial Unicode MS"/>
        </w:rPr>
        <w:t xml:space="preserve">En términos de datos, algunos Estados disponen de información estadística desglosada por discapacidad, con análisis interseccionales junto a otras variables. Argentina, por ejemplo, informó que en el Censo de Población, Hogares y Viviendas de 2010 se podía identificar a la población por tipo de discapacidad, incluyendo características habitacionales y </w:t>
      </w:r>
      <w:r>
        <w:rPr>
          <w:rFonts w:eastAsia="Arial Unicode MS" w:cs="Arial Unicode MS"/>
        </w:rPr>
        <w:lastRenderedPageBreak/>
        <w:t>sociodemográficas. En 2022, el Instituto Nacional de Estadísticas y Censos llevó a cabo un nuevo censo poblacional que incorporó preguntas específicas para identificar a personas con discapacidad, desglosadas por tipo de discapacidad y región</w:t>
      </w:r>
      <w:r>
        <w:rPr>
          <w:vertAlign w:val="superscript"/>
        </w:rPr>
        <w:footnoteReference w:id="93"/>
      </w:r>
      <w:r>
        <w:rPr>
          <w:rFonts w:eastAsia="Arial Unicode MS" w:cs="Arial Unicode MS"/>
        </w:rPr>
        <w:t>.</w:t>
      </w:r>
    </w:p>
    <w:p w14:paraId="5FD752C6" w14:textId="77777777" w:rsidR="001A105D" w:rsidRDefault="00000000">
      <w:pPr>
        <w:pStyle w:val="NoSpacing"/>
        <w:numPr>
          <w:ilvl w:val="0"/>
          <w:numId w:val="33"/>
        </w:numPr>
      </w:pPr>
      <w:r>
        <w:rPr>
          <w:rFonts w:eastAsia="Arial Unicode MS" w:cs="Arial Unicode MS"/>
        </w:rPr>
        <w:t>En cuanto a Bolivia, se informó que el país dispone de datos estadísticos desglosados sobre personas con discapacidad proporcionados por el Instituto Nacional de Estadísticas a través del censo poblacional. En este instrumento, las preguntas se basan en el cuestionario del Grupo de Washington y, además de desglosar por tipo de situación “</w:t>
      </w:r>
      <w:proofErr w:type="spellStart"/>
      <w:r>
        <w:rPr>
          <w:rFonts w:eastAsia="Arial Unicode MS" w:cs="Arial Unicode MS"/>
        </w:rPr>
        <w:t>discapacitante</w:t>
      </w:r>
      <w:proofErr w:type="spellEnd"/>
      <w:r>
        <w:rPr>
          <w:rFonts w:eastAsia="Arial Unicode MS" w:cs="Arial Unicode MS"/>
        </w:rPr>
        <w:t>”, incorporan cruces con la edad y el sexo-género binario</w:t>
      </w:r>
      <w:r>
        <w:rPr>
          <w:vertAlign w:val="superscript"/>
        </w:rPr>
        <w:footnoteReference w:id="94"/>
      </w:r>
      <w:r>
        <w:rPr>
          <w:rFonts w:eastAsia="Arial Unicode MS" w:cs="Arial Unicode MS"/>
        </w:rPr>
        <w:t>.</w:t>
      </w:r>
    </w:p>
    <w:p w14:paraId="628F53D0" w14:textId="77777777" w:rsidR="001A105D" w:rsidRDefault="00000000">
      <w:pPr>
        <w:pStyle w:val="NoSpacing"/>
        <w:numPr>
          <w:ilvl w:val="0"/>
          <w:numId w:val="33"/>
        </w:numPr>
      </w:pPr>
      <w:r>
        <w:t>En Chile, organizaciones de la sociedad civil informaron que el último Censo de Población y Vivienda en 2017 no incluyó preguntas sobre personas con discapacidad, realizándose de manera abreviada. En el censo de 2012, se consideró una pregunta desde la perspectiva de la “condición de salud” de la persona encuestada</w:t>
      </w:r>
      <w:r>
        <w:rPr>
          <w:vertAlign w:val="superscript"/>
        </w:rPr>
        <w:footnoteReference w:id="95"/>
      </w:r>
      <w:r>
        <w:t xml:space="preserve">. En 2022, se llevó a cabo la Encuesta Nacional sobre Discapacidad y Dependencia, que busca estimar la prevalencia de la discapacidad en el país, integrando la medición nacional de discapacidad y dependencia en </w:t>
      </w:r>
      <w:r>
        <w:lastRenderedPageBreak/>
        <w:t>personas mayores, con énfasis en el tema de cuidados. La Comisión celebra el esfuerzo estatal, pero señala que el enfoque de la encuesta se basa principalmente en el modelo médico de la discapacidad, evidenciado en las preguntas centradas en problemas de salud. La encuesta tiende a asimilar la discapacidad a una “patología de la persona”, lo cual se refleja, por ejemplo, en la referencia a “grados de discapacidad”</w:t>
      </w:r>
      <w:r>
        <w:rPr>
          <w:vertAlign w:val="superscript"/>
        </w:rPr>
        <w:footnoteReference w:id="96"/>
      </w:r>
      <w:r>
        <w:t>. A su vez, esta encuesta incorporó de manera novedosa una sección completa abocada a identificar las barreras del entorno y las necesidades de apoyo o de asistencia de las personas en circunstancias determinadas</w:t>
      </w:r>
      <w:r>
        <w:rPr>
          <w:vertAlign w:val="superscript"/>
        </w:rPr>
        <w:footnoteReference w:id="97"/>
      </w:r>
      <w:r>
        <w:t>.</w:t>
      </w:r>
    </w:p>
    <w:p w14:paraId="2F8F4342" w14:textId="77777777" w:rsidR="001A105D" w:rsidRDefault="00000000">
      <w:pPr>
        <w:pStyle w:val="NoSpacing"/>
        <w:numPr>
          <w:ilvl w:val="0"/>
          <w:numId w:val="33"/>
        </w:numPr>
      </w:pPr>
      <w:r>
        <w:rPr>
          <w:rFonts w:eastAsia="Arial Unicode MS" w:cs="Arial Unicode MS"/>
        </w:rPr>
        <w:t>En el Censo Nacional de Población y Vivienda (CNPV) de Colombia del año 2018, se incorporó un enfoque de discapacidad con el objetivo de identificar y caracterizar a estas personas y sus factores contextuales</w:t>
      </w:r>
      <w:r>
        <w:rPr>
          <w:vertAlign w:val="superscript"/>
        </w:rPr>
        <w:footnoteReference w:id="98"/>
      </w:r>
      <w:r>
        <w:rPr>
          <w:rFonts w:eastAsia="Arial Unicode MS" w:cs="Arial Unicode MS"/>
        </w:rPr>
        <w:t xml:space="preserve">. Aunque el enfoque inicial aún está basado en el modelo bio-psico-social y de funcionamiento humano, se logró un desglose y cruce de datos </w:t>
      </w:r>
      <w:r>
        <w:rPr>
          <w:rFonts w:eastAsia="Arial Unicode MS" w:cs="Arial Unicode MS"/>
        </w:rPr>
        <w:lastRenderedPageBreak/>
        <w:t>que permitió el análisis de los factores contextuales que afectan el ejercicio de derechos de este colectivo. En 2022, el Departamento Administrativo Nacional de Estadística (DANE) de Colombia publicó el informe “Estado actual de la medición de discapacidad en Colombia 2022”, que analiza las características y calidad de vida de las personas con discapacidad con un enfoque transversal e interseccional</w:t>
      </w:r>
      <w:r>
        <w:rPr>
          <w:vertAlign w:val="superscript"/>
        </w:rPr>
        <w:footnoteReference w:id="99"/>
      </w:r>
      <w:r>
        <w:rPr>
          <w:rFonts w:eastAsia="Arial Unicode MS" w:cs="Arial Unicode MS"/>
        </w:rPr>
        <w:t>. El informe proporciona datos sobre la demografía, inclusión educativa, empleabilidad, seguridad social, salud, redes de apoyo, bienestar subjetivo y bienestar económico. Igualmente, se centra en la transversalización del enfoque diferencial e interseccional en la producción de datos para “no dejar a nadie atrás” y cumplir con los compromisos adoptados por Colombia para la “Agenda 2030” de la ONU</w:t>
      </w:r>
      <w:r>
        <w:rPr>
          <w:vertAlign w:val="superscript"/>
        </w:rPr>
        <w:footnoteReference w:id="100"/>
      </w:r>
      <w:r>
        <w:rPr>
          <w:rFonts w:eastAsia="Arial Unicode MS" w:cs="Arial Unicode MS"/>
        </w:rPr>
        <w:t xml:space="preserve">. </w:t>
      </w:r>
    </w:p>
    <w:p w14:paraId="2613F5A6" w14:textId="77777777" w:rsidR="001A105D" w:rsidRDefault="00000000">
      <w:pPr>
        <w:pStyle w:val="NoSpacing"/>
        <w:numPr>
          <w:ilvl w:val="0"/>
          <w:numId w:val="33"/>
        </w:numPr>
      </w:pPr>
      <w:r>
        <w:lastRenderedPageBreak/>
        <w:t>La Comisión destaca que la falta de datos unificados y la ambigüedad metodológica para recolectarlos tiene un impacto significativo en la toma de decisiones en política pública, aunque se reconoce que los servicios y objetivos para la recolección de datos son diferentes. Es esencial contar con un repositorio de información que pueda unificar ciertos aspectos generales de los datos recopilados, adoptando un criterio conceptual común con una perspectiva de derechos humanos para abordar la discapacidad. Esto facilitaría la comprensión de la magnitud de la población con discapacidad y sus necesidades, así como la planificación de acciones y medidas adecuadas.</w:t>
      </w:r>
    </w:p>
    <w:p w14:paraId="66C39D65" w14:textId="77777777" w:rsidR="001A105D" w:rsidRDefault="00000000">
      <w:pPr>
        <w:pStyle w:val="NoSpacing"/>
        <w:numPr>
          <w:ilvl w:val="0"/>
          <w:numId w:val="33"/>
        </w:numPr>
      </w:pPr>
      <w:r>
        <w:rPr>
          <w:rFonts w:eastAsia="Arial Unicode MS" w:cs="Arial Unicode MS"/>
        </w:rPr>
        <w:t>El Estado de Guatemala informó que, a partir de los resultados del censo del año 2018, el Consejo Nacional para la Atención de las Personas con Discapacidad ha desagregado y programado estadísticamente la información. Se llevaron a cabo cruces de variables que proporcionan indicadores generales sobre las principales necesidades de las personas con discapacidad. Además, en este censo se utilizó la síntesis de preguntas del Grupo de Washington para recabar información sobre la población con discapacidad</w:t>
      </w:r>
      <w:r>
        <w:rPr>
          <w:vertAlign w:val="superscript"/>
        </w:rPr>
        <w:footnoteReference w:id="101"/>
      </w:r>
      <w:r>
        <w:rPr>
          <w:rFonts w:eastAsia="Arial Unicode MS" w:cs="Arial Unicode MS"/>
        </w:rPr>
        <w:t>.</w:t>
      </w:r>
    </w:p>
    <w:p w14:paraId="797A1F74" w14:textId="77777777" w:rsidR="001A105D" w:rsidRDefault="00000000">
      <w:pPr>
        <w:pStyle w:val="NoSpacing"/>
        <w:numPr>
          <w:ilvl w:val="0"/>
          <w:numId w:val="33"/>
        </w:numPr>
      </w:pPr>
      <w:r>
        <w:rPr>
          <w:rFonts w:eastAsia="Arial Unicode MS" w:cs="Arial Unicode MS"/>
        </w:rPr>
        <w:lastRenderedPageBreak/>
        <w:t>A su vez, México informó que en el</w:t>
      </w:r>
      <w:r>
        <w:rPr>
          <w:rFonts w:eastAsia="Arial Unicode MS" w:cs="Arial Unicode MS"/>
          <w:u w:val="single"/>
        </w:rPr>
        <w:t xml:space="preserve"> </w:t>
      </w:r>
      <w:r>
        <w:rPr>
          <w:rFonts w:eastAsia="Arial Unicode MS" w:cs="Arial Unicode MS"/>
        </w:rPr>
        <w:t>Censo de Población y Vivienda 2020 se diseñó un conjunto de preguntas que permitieron identificar el “grado de dificultad de las personas con limitaciones en la actividad,” tomando como base la metodología del Grupo de Washington</w:t>
      </w:r>
      <w:r>
        <w:rPr>
          <w:vertAlign w:val="superscript"/>
        </w:rPr>
        <w:footnoteReference w:id="102"/>
      </w:r>
      <w:r>
        <w:rPr>
          <w:rFonts w:eastAsia="Arial Unicode MS" w:cs="Arial Unicode MS"/>
        </w:rPr>
        <w:t>. Dado que la consulta sobre discapacidad se incluyó en el censo general, se dispone de información de las características demográficas y socioeconómicas de esta población, lo que representa un avance en tanto permite realizar cruces y desgloses analíticos e interseccionales amplios</w:t>
      </w:r>
      <w:r>
        <w:rPr>
          <w:vertAlign w:val="superscript"/>
        </w:rPr>
        <w:footnoteReference w:id="103"/>
      </w:r>
      <w:r>
        <w:rPr>
          <w:rFonts w:eastAsia="Arial Unicode MS" w:cs="Arial Unicode MS"/>
        </w:rPr>
        <w:t xml:space="preserve">. </w:t>
      </w:r>
    </w:p>
    <w:p w14:paraId="5D159754" w14:textId="77777777" w:rsidR="001A105D" w:rsidRDefault="00000000">
      <w:pPr>
        <w:pStyle w:val="NoSpacing"/>
        <w:numPr>
          <w:ilvl w:val="0"/>
          <w:numId w:val="33"/>
        </w:numPr>
      </w:pPr>
      <w:r>
        <w:t xml:space="preserve">La Comisión nota que el censo mexicano del 2020 añadió la pregunta “¿Tiene algún problema o condición mental? (autismo, síndrome de Down, esquizofrenia, etcétera)”, con las </w:t>
      </w:r>
      <w:r>
        <w:lastRenderedPageBreak/>
        <w:t>opciones de respuesta “Sí” y “No”</w:t>
      </w:r>
      <w:r>
        <w:rPr>
          <w:vertAlign w:val="superscript"/>
        </w:rPr>
        <w:footnoteReference w:id="104"/>
      </w:r>
      <w:r>
        <w:t xml:space="preserve">. Ello acentúa una perspectiva focalizada en diagnósticos médicos, en lugar de centrarse en las barreras sociales, lo que contradice los estándares internacionales y el modelo social de la discapacidad. </w:t>
      </w:r>
    </w:p>
    <w:p w14:paraId="205B6AD4" w14:textId="77777777" w:rsidR="001A105D" w:rsidRDefault="00000000">
      <w:pPr>
        <w:pStyle w:val="NoSpacing"/>
        <w:numPr>
          <w:ilvl w:val="0"/>
          <w:numId w:val="33"/>
        </w:numPr>
      </w:pPr>
      <w:r>
        <w:rPr>
          <w:rFonts w:eastAsia="Arial Unicode MS" w:cs="Arial Unicode MS"/>
        </w:rPr>
        <w:t>En Panamá, se creó el Sistema Nacional de Estadísticas sobre la Población con Discapacidad, que provee herramientas para un Comité Consultivo en el tema, con la finalidad de integrar la información en una sola plataforma</w:t>
      </w:r>
      <w:r>
        <w:rPr>
          <w:vertAlign w:val="superscript"/>
        </w:rPr>
        <w:footnoteReference w:id="105"/>
      </w:r>
      <w:r>
        <w:rPr>
          <w:rFonts w:eastAsia="Arial Unicode MS" w:cs="Arial Unicode MS"/>
        </w:rPr>
        <w:t xml:space="preserve">. Asimismo, se suma la variable “tipo de discapacidad” en el Censo de Población y Vivienda, que aborda una amplia gama de desgloses, como discapacidad mental e intelectual diferenciadas, discapacidad visceral y </w:t>
      </w:r>
      <w:proofErr w:type="gramStart"/>
      <w:r>
        <w:rPr>
          <w:rFonts w:eastAsia="Arial Unicode MS" w:cs="Arial Unicode MS"/>
        </w:rPr>
        <w:t>múltiple</w:t>
      </w:r>
      <w:r>
        <w:rPr>
          <w:rFonts w:ascii="Helvetica LT Std Fractions" w:hAnsi="Helvetica LT Std Fractions"/>
        </w:rPr>
        <w:t xml:space="preserve"> </w:t>
      </w:r>
      <w:r>
        <w:rPr>
          <w:rFonts w:eastAsia="Arial Unicode MS" w:cs="Arial Unicode MS"/>
        </w:rPr>
        <w:t>.</w:t>
      </w:r>
      <w:proofErr w:type="gramEnd"/>
    </w:p>
    <w:p w14:paraId="6E1DFD69" w14:textId="77777777" w:rsidR="001A105D" w:rsidRDefault="00000000">
      <w:pPr>
        <w:pStyle w:val="NoSpacing"/>
        <w:numPr>
          <w:ilvl w:val="0"/>
          <w:numId w:val="33"/>
        </w:numPr>
      </w:pPr>
      <w:r>
        <w:rPr>
          <w:rFonts w:eastAsia="Arial Unicode MS" w:cs="Arial Unicode MS"/>
        </w:rPr>
        <w:t>En Perú, el Instituto Nacional de Estadística e Informática (INEI), en colaboración con varias agencias gubernamentales, incluido el Consejo Nacional para la Integración de la Persona con Discapacidad (CONADIS), elaboró un estudio sociodemográfico de la población con discapacidad basado en los resultados del Censo Nacional 2017</w:t>
      </w:r>
      <w:r>
        <w:rPr>
          <w:vertAlign w:val="superscript"/>
        </w:rPr>
        <w:footnoteReference w:id="106"/>
      </w:r>
      <w:r>
        <w:rPr>
          <w:rFonts w:eastAsia="Arial Unicode MS" w:cs="Arial Unicode MS"/>
        </w:rPr>
        <w:t xml:space="preserve">. Este estudio adopta un enfoque bio-psico-social, que combina elementos del modelo médico y del modelo social, centrándose en la </w:t>
      </w:r>
      <w:r>
        <w:rPr>
          <w:rFonts w:eastAsia="Arial Unicode MS" w:cs="Arial Unicode MS"/>
        </w:rPr>
        <w:lastRenderedPageBreak/>
        <w:t>diversidad funcional. Además, promueve el reconocimiento social hacia un enfoque basado en derechos.</w:t>
      </w:r>
    </w:p>
    <w:p w14:paraId="0F8FA068" w14:textId="77777777" w:rsidR="001A105D" w:rsidRDefault="00000000">
      <w:pPr>
        <w:pStyle w:val="NoSpacing"/>
        <w:numPr>
          <w:ilvl w:val="0"/>
          <w:numId w:val="33"/>
        </w:numPr>
      </w:pPr>
      <w:r>
        <w:rPr>
          <w:rFonts w:eastAsia="Arial Unicode MS" w:cs="Arial Unicode MS"/>
        </w:rPr>
        <w:t xml:space="preserve">A pesar de los progresos referidos, la Comisión destaca la falta de información estadística desagregada en algunos países de la región, tanto por la variedad de condiciones </w:t>
      </w:r>
      <w:proofErr w:type="spellStart"/>
      <w:r>
        <w:rPr>
          <w:rFonts w:eastAsia="Arial Unicode MS" w:cs="Arial Unicode MS"/>
        </w:rPr>
        <w:t>discapacitantes</w:t>
      </w:r>
      <w:proofErr w:type="spellEnd"/>
      <w:r>
        <w:rPr>
          <w:rFonts w:eastAsia="Arial Unicode MS" w:cs="Arial Unicode MS"/>
        </w:rPr>
        <w:t>, como en su intersección con otras categorías; tales como mujeres y niñas con discapacidad, población LGTBI con discapacidad, personas afrodescendientes con discapacidad, personas indígenas y personas mayores con discapacidad, entre otras. Adicionalmente, señala que la combinación de elementos del modelo médico y del modelo social, paradigmas opuestos, en la elaboración de metodologías estadísticas por los Estados que recopilan información contribuye a mantener y perpetuar estigmas y la exclusión de este colectivo</w:t>
      </w:r>
      <w:r>
        <w:rPr>
          <w:vertAlign w:val="superscript"/>
        </w:rPr>
        <w:footnoteReference w:id="107"/>
      </w:r>
      <w:r>
        <w:rPr>
          <w:rFonts w:eastAsia="Arial Unicode MS" w:cs="Arial Unicode MS"/>
        </w:rPr>
        <w:t>.</w:t>
      </w:r>
    </w:p>
    <w:p w14:paraId="1409619E" w14:textId="77777777" w:rsidR="001A105D" w:rsidRDefault="00000000">
      <w:pPr>
        <w:pStyle w:val="NoSpacing"/>
        <w:numPr>
          <w:ilvl w:val="0"/>
          <w:numId w:val="33"/>
        </w:numPr>
      </w:pPr>
      <w:r>
        <w:rPr>
          <w:rFonts w:eastAsia="Arial Unicode MS" w:cs="Arial Unicode MS"/>
        </w:rPr>
        <w:t>Por tanto, la Comisión insta a los Estados de la región a incorporar las herramientas desarrolladas por el Grupo de Washington, cuyo objetivo es generar estadísticas internacionalmente comparables para censos y encuestas. Asimismo, es crucial verificar que las preguntas no reproduzcan el modelo médico en la valoración de la persona, sino que centren su enfoque en las barreras sociales para la inclusión de la diversidad humana</w:t>
      </w:r>
      <w:r>
        <w:rPr>
          <w:vertAlign w:val="superscript"/>
        </w:rPr>
        <w:footnoteReference w:id="108"/>
      </w:r>
      <w:r>
        <w:rPr>
          <w:rFonts w:eastAsia="Arial Unicode MS" w:cs="Arial Unicode MS"/>
        </w:rPr>
        <w:t xml:space="preserve">. </w:t>
      </w:r>
    </w:p>
    <w:p w14:paraId="46F2A7D7" w14:textId="77777777" w:rsidR="001A105D" w:rsidRDefault="00000000">
      <w:pPr>
        <w:pStyle w:val="NoSpacing"/>
        <w:numPr>
          <w:ilvl w:val="0"/>
          <w:numId w:val="33"/>
        </w:numPr>
      </w:pPr>
      <w:r>
        <w:lastRenderedPageBreak/>
        <w:t>Además, la Comisión exhorta a los Estados a capacitar adecuadamente al personal encargado de realizar encuestas nacionales y censos, a garantizar la participación de las organizaciones representativas de personas con discapacidad en la revisión y diseño de las metodologías y enfoques, y a redoblar los esfuerzos para desagregar los datos estadísticos de la población con discapacidad con un enfoque interseccional.</w:t>
      </w:r>
    </w:p>
    <w:p w14:paraId="661DBAD8" w14:textId="77777777" w:rsidR="001A105D" w:rsidRDefault="00000000">
      <w:pPr>
        <w:pStyle w:val="Heading3"/>
        <w:numPr>
          <w:ilvl w:val="0"/>
          <w:numId w:val="53"/>
        </w:numPr>
      </w:pPr>
      <w:bookmarkStart w:id="13" w:name="_Toc10"/>
      <w:r>
        <w:rPr>
          <w:rFonts w:eastAsia="Arial Unicode MS" w:cs="Arial Unicode MS"/>
          <w:lang w:val="es-ES_tradnl"/>
        </w:rPr>
        <w:t xml:space="preserve">Contexto general en materia de discriminación y </w:t>
      </w:r>
      <w:r>
        <w:br/>
      </w:r>
      <w:r>
        <w:rPr>
          <w:rFonts w:eastAsia="Arial Unicode MS" w:cs="Arial Unicode MS"/>
          <w:lang w:val="es-ES_tradnl"/>
        </w:rPr>
        <w:t xml:space="preserve">barreras en el ejercicio de derechos de las personas </w:t>
      </w:r>
      <w:r>
        <w:br/>
      </w:r>
      <w:r>
        <w:rPr>
          <w:rFonts w:eastAsia="Arial Unicode MS" w:cs="Arial Unicode MS"/>
          <w:lang w:val="es-ES_tradnl"/>
        </w:rPr>
        <w:t xml:space="preserve">con discapacidad </w:t>
      </w:r>
      <w:bookmarkEnd w:id="13"/>
    </w:p>
    <w:p w14:paraId="1D95E536" w14:textId="77777777" w:rsidR="001A105D" w:rsidRDefault="00000000">
      <w:pPr>
        <w:pStyle w:val="NoSpacing"/>
        <w:numPr>
          <w:ilvl w:val="0"/>
          <w:numId w:val="33"/>
        </w:numPr>
      </w:pPr>
      <w:r>
        <w:rPr>
          <w:rFonts w:eastAsia="Arial Unicode MS" w:cs="Arial Unicode MS"/>
        </w:rPr>
        <w:t xml:space="preserve">En consonancia con el marco jurídico internacional sobre discapacidad, que incluye la CIADDIS y la CDPD, los Estados tienen la obligación de reconocer la discapacidad como un motivo prohibido de discriminación. Esto abarca el deber de combatir estereotipos perjudiciales, prejuicios y actitudes que amenacen la dignidad de estas personas y, en última instancia, </w:t>
      </w:r>
      <w:r>
        <w:rPr>
          <w:rFonts w:eastAsia="Arial Unicode MS" w:cs="Arial Unicode MS"/>
        </w:rPr>
        <w:lastRenderedPageBreak/>
        <w:t>provoquen su exclusión en diversos ámbitos sociales y la negación de sus derechos humanos.</w:t>
      </w:r>
    </w:p>
    <w:p w14:paraId="1A86FBF2" w14:textId="77777777" w:rsidR="001A105D" w:rsidRDefault="00000000">
      <w:pPr>
        <w:pStyle w:val="NoSpacing"/>
        <w:numPr>
          <w:ilvl w:val="0"/>
          <w:numId w:val="33"/>
        </w:numPr>
      </w:pPr>
      <w:r>
        <w:rPr>
          <w:rFonts w:eastAsia="Arial Unicode MS" w:cs="Arial Unicode MS"/>
        </w:rPr>
        <w:t>El artículo III.2, c) de la CIADDIS establece la obligación de los Estados de priorizar la implementación de campañas destinadas a erradicar prejuicios, estereotipos y otras actitudes que socavan la igualdad de las personas con discapacidad</w:t>
      </w:r>
      <w:r>
        <w:rPr>
          <w:vertAlign w:val="superscript"/>
        </w:rPr>
        <w:footnoteReference w:id="109"/>
      </w:r>
      <w:r>
        <w:rPr>
          <w:rFonts w:eastAsia="Arial Unicode MS" w:cs="Arial Unicode MS"/>
        </w:rPr>
        <w:t>. En paralelo, la CDPD, en su artículo 8, impone a los Estados la responsabilidad de tomar medidas inmediatas, efectivas y pertinentes, incluyendo campañas dirigidas a la población y a nivel familiar. El propósito de estas campañas es crear conciencia sobre los derechos de las personas con discapacidad, fomentar percepciones positivas hacia ellas, y reconocer sus capacidades, méritos, habilidades y contribuciones en el ámbito y el mercado laborales</w:t>
      </w:r>
      <w:r>
        <w:rPr>
          <w:vertAlign w:val="superscript"/>
        </w:rPr>
        <w:footnoteReference w:id="110"/>
      </w:r>
      <w:r>
        <w:rPr>
          <w:rFonts w:eastAsia="Arial Unicode MS" w:cs="Arial Unicode MS"/>
        </w:rPr>
        <w:t>.</w:t>
      </w:r>
    </w:p>
    <w:p w14:paraId="477C36A6" w14:textId="77777777" w:rsidR="001A105D" w:rsidRDefault="00000000">
      <w:pPr>
        <w:pStyle w:val="NoSpacing"/>
        <w:numPr>
          <w:ilvl w:val="0"/>
          <w:numId w:val="33"/>
        </w:numPr>
      </w:pPr>
      <w:r>
        <w:rPr>
          <w:rFonts w:eastAsia="Arial Unicode MS" w:cs="Arial Unicode MS"/>
        </w:rPr>
        <w:t xml:space="preserve">No obstante, se observa un progreso irregular y, en ocasiones, contradictorio en la comprensión y reconocimiento de la discapacidad en las políticas y leyes nacionales de acuerdo con el modelo social y de derechos humanos. Algunos Estados incorporan la discapacidad en el marco general de su Constitución y leyes (incluyendo las leyes antidiscriminación) sin contar con legislación específica que atienda las necesidades diferenciadas para la igualdad de oportunidades y condiciones. Otros países la receptan en leyes específicas sobre los derechos de las personas con discapacidad, sin haber </w:t>
      </w:r>
      <w:r>
        <w:rPr>
          <w:rFonts w:eastAsia="Arial Unicode MS" w:cs="Arial Unicode MS"/>
        </w:rPr>
        <w:lastRenderedPageBreak/>
        <w:t>logrado aún una transversalización sistemática de este tema en las políticas públicas generales</w:t>
      </w:r>
      <w:r>
        <w:rPr>
          <w:vertAlign w:val="superscript"/>
        </w:rPr>
        <w:footnoteReference w:id="111"/>
      </w:r>
      <w:r>
        <w:rPr>
          <w:rFonts w:eastAsia="Arial Unicode MS" w:cs="Arial Unicode MS"/>
        </w:rPr>
        <w:t>.</w:t>
      </w:r>
    </w:p>
    <w:p w14:paraId="03495FF1" w14:textId="77777777" w:rsidR="001A105D" w:rsidRDefault="00000000">
      <w:pPr>
        <w:pStyle w:val="NoSpacing"/>
        <w:numPr>
          <w:ilvl w:val="0"/>
          <w:numId w:val="33"/>
        </w:numPr>
      </w:pPr>
      <w:r>
        <w:rPr>
          <w:rFonts w:eastAsia="Arial Unicode MS" w:cs="Arial Unicode MS"/>
        </w:rPr>
        <w:t>Entre los países que reconocen los derechos de las personas con discapacidad a nivel constitucional se encuentran: Argentina, Bolivia, Brasil, Colombia, Cuba, Ecuador, El Salvador, Guatemala, Guyana, Haití, Honduras, México, Nicaragua, Paraguay, Panamá, Perú, República Dominicana, Surinam, Uruguay y la República Bolivariana de Venezuela</w:t>
      </w:r>
      <w:r>
        <w:rPr>
          <w:vertAlign w:val="superscript"/>
        </w:rPr>
        <w:footnoteReference w:id="112"/>
      </w:r>
      <w:r>
        <w:rPr>
          <w:rFonts w:eastAsia="Arial Unicode MS" w:cs="Arial Unicode MS"/>
        </w:rPr>
        <w:t xml:space="preserve">.  </w:t>
      </w:r>
    </w:p>
    <w:p w14:paraId="30F247AA" w14:textId="77777777" w:rsidR="001A105D" w:rsidRDefault="00000000">
      <w:pPr>
        <w:pStyle w:val="NoSpacing"/>
        <w:numPr>
          <w:ilvl w:val="0"/>
          <w:numId w:val="33"/>
        </w:numPr>
      </w:pPr>
      <w:r>
        <w:rPr>
          <w:rFonts w:eastAsia="Arial Unicode MS" w:cs="Arial Unicode MS"/>
        </w:rPr>
        <w:t xml:space="preserve">Dado que la CDPD respalda el modelo social de la discapacidad sin abandonar por completo el aspecto individual, los países establecen legislaciones y políticas en las que a menudo coexisten ambos paradigmas. Se observa una predominancia de la visión médica en algunas, mientras que en otras prevalece el modelo social. Esto es evidente en áreas como las políticas de certificación de la discapacidad, la definición de discapacidad en Constituciones y leyes, el mantenimiento de sistemas de educación segregados, las políticas y leyes relacionadas con la invalidez en el ámbito laboral y la protección social, así como en el mantenimiento y </w:t>
      </w:r>
      <w:r>
        <w:rPr>
          <w:rFonts w:eastAsia="Arial Unicode MS" w:cs="Arial Unicode MS"/>
        </w:rPr>
        <w:lastRenderedPageBreak/>
        <w:t>la aplicación de la interdicción y la recopilación de datos basada en la CIF, por ejemplo.</w:t>
      </w:r>
    </w:p>
    <w:p w14:paraId="59B4178E" w14:textId="77777777" w:rsidR="001A105D" w:rsidRDefault="00000000">
      <w:pPr>
        <w:pStyle w:val="NoSpacing"/>
        <w:numPr>
          <w:ilvl w:val="0"/>
          <w:numId w:val="33"/>
        </w:numPr>
      </w:pPr>
      <w:r>
        <w:rPr>
          <w:rFonts w:eastAsia="Arial Unicode MS" w:cs="Arial Unicode MS"/>
        </w:rPr>
        <w:t>Aunque que la mayoría de los Estados han adoptado progresivamente un concepto más alineado con la CDPD, países como Argentina, Barbados, Bahamas, Belice, Ecuador, Guatemala, Guyana, Haití, Jamaica, Panamá, República Dominicana y Venezuela</w:t>
      </w:r>
      <w:r>
        <w:rPr>
          <w:vertAlign w:val="superscript"/>
        </w:rPr>
        <w:footnoteReference w:id="113"/>
      </w:r>
      <w:r>
        <w:rPr>
          <w:rFonts w:eastAsia="Arial Unicode MS" w:cs="Arial Unicode MS"/>
        </w:rPr>
        <w:t>, aún mantienen en sus legislaciones definiciones de la discapacidad conforme a los estigmas del modelo médico, expresadas en la utilización de términos como “discapacitados”, “minusválidos”, “incapaces físicos o mentales”, “enajenados”, “</w:t>
      </w:r>
      <w:proofErr w:type="spellStart"/>
      <w:r>
        <w:rPr>
          <w:rFonts w:ascii="Helvetica LT Std Oblique" w:hAnsi="Helvetica LT Std Oblique"/>
        </w:rPr>
        <w:t>unsound</w:t>
      </w:r>
      <w:proofErr w:type="spellEnd"/>
      <w:r>
        <w:rPr>
          <w:rFonts w:ascii="Helvetica LT Std Oblique" w:hAnsi="Helvetica LT Std Oblique"/>
        </w:rPr>
        <w:t xml:space="preserve"> </w:t>
      </w:r>
      <w:proofErr w:type="spellStart"/>
      <w:r>
        <w:rPr>
          <w:rFonts w:ascii="Helvetica LT Std Oblique" w:hAnsi="Helvetica LT Std Oblique"/>
        </w:rPr>
        <w:t>minds</w:t>
      </w:r>
      <w:proofErr w:type="spellEnd"/>
      <w:r>
        <w:rPr>
          <w:rFonts w:eastAsia="Arial Unicode MS" w:cs="Arial Unicode MS"/>
        </w:rPr>
        <w:t>” o “personas excepcionales”, entre otras maneras para referirse a ellas,  asimilando la “deficiencia” o el diagnóstico individual a lo que se entiende por “discapacidad”</w:t>
      </w:r>
      <w:r>
        <w:rPr>
          <w:vertAlign w:val="superscript"/>
        </w:rPr>
        <w:footnoteReference w:id="114"/>
      </w:r>
      <w:r>
        <w:rPr>
          <w:rFonts w:eastAsia="Arial Unicode MS" w:cs="Arial Unicode MS"/>
        </w:rPr>
        <w:t xml:space="preserve">. </w:t>
      </w:r>
    </w:p>
    <w:p w14:paraId="6CF88869" w14:textId="77777777" w:rsidR="001A105D" w:rsidRDefault="00000000">
      <w:pPr>
        <w:pStyle w:val="NoSpacing"/>
        <w:numPr>
          <w:ilvl w:val="0"/>
          <w:numId w:val="33"/>
        </w:numPr>
      </w:pPr>
      <w:r>
        <w:rPr>
          <w:rFonts w:eastAsia="Arial Unicode MS" w:cs="Arial Unicode MS"/>
        </w:rPr>
        <w:t xml:space="preserve">Se advierte, también, la existencia de regulaciones a nivel constitucional cuya interpretación podría contravenir el ejercicio de los derechos de las personas con discapacidad. Por ejemplo, en Bahamas, Barbados y Guyana se establece que ninguna persona será privada de su libertad, a menos que una </w:t>
      </w:r>
      <w:r>
        <w:rPr>
          <w:rFonts w:eastAsia="Arial Unicode MS" w:cs="Arial Unicode MS"/>
        </w:rPr>
        <w:lastRenderedPageBreak/>
        <w:t>ley lo autorice en casos de evitar la diseminación de enfermedad contagiosa o cuando la persona es o se sospecha que es “enajenada”, adicta a las drogas, adicta al alcohol o vagabunda. Por otro lado, las Constituciones de Belice, Bahamas y Guyana señalan que es posible intervenir en la posesión o propiedad de una persona si está “enajenada”, y las Constituciones de Brasil y Chile contienen disposiciones que restringen el derecho al voto de las personas con discapacidad bajo interdicción</w:t>
      </w:r>
      <w:r>
        <w:rPr>
          <w:vertAlign w:val="superscript"/>
        </w:rPr>
        <w:footnoteReference w:id="115"/>
      </w:r>
      <w:r>
        <w:rPr>
          <w:rFonts w:eastAsia="Arial Unicode MS" w:cs="Arial Unicode MS"/>
        </w:rPr>
        <w:t>.</w:t>
      </w:r>
    </w:p>
    <w:p w14:paraId="15961E95" w14:textId="77777777" w:rsidR="001A105D" w:rsidRDefault="00000000">
      <w:pPr>
        <w:pStyle w:val="NoSpacing"/>
        <w:numPr>
          <w:ilvl w:val="0"/>
          <w:numId w:val="33"/>
        </w:numPr>
      </w:pPr>
      <w:r>
        <w:t>En el mismo sentido, se nota que, en relación con el reconocimiento de la discapacidad como un motivo prohibido de discriminación, la generalidad de los países de la región no la han reconocido en conformidad con el alcance contenido en el marco jurídico internacional. Estados como Bahamas, Brasil, Colombia, El Salvador, Jamaica, México, Nicaragua, Panamá y Perú la reconocen en sus legislaciones conforme a los estándares de la CIADDIS y de la CDPD</w:t>
      </w:r>
      <w:r>
        <w:rPr>
          <w:vertAlign w:val="superscript"/>
        </w:rPr>
        <w:footnoteReference w:id="116"/>
      </w:r>
      <w:r>
        <w:t xml:space="preserve">. En tanto que Argentina, Bolivia, Costa Rica, Ecuador, Guatemala y Venezuela no contemplan una definición de discriminación por motivos de discapacidad. A su vez, si bien Chile, Haití, Honduras, República Dominicana y Uruguay asumen los ajustes razonables en su legislación, no consideran que su </w:t>
      </w:r>
      <w:r>
        <w:lastRenderedPageBreak/>
        <w:t>negativa constituya un acto de discriminación por motivos de discapacidad</w:t>
      </w:r>
      <w:r>
        <w:rPr>
          <w:vertAlign w:val="superscript"/>
        </w:rPr>
        <w:footnoteReference w:id="117"/>
      </w:r>
      <w:r>
        <w:t>.</w:t>
      </w:r>
    </w:p>
    <w:p w14:paraId="3B1FE61D" w14:textId="77777777" w:rsidR="001A105D" w:rsidRDefault="00000000">
      <w:pPr>
        <w:pStyle w:val="NoSpacing"/>
        <w:numPr>
          <w:ilvl w:val="0"/>
          <w:numId w:val="33"/>
        </w:numPr>
      </w:pPr>
      <w:r>
        <w:t>Respecto de la toma de conciencia sobre los derechos de las personas con discapacidad, en el sentido especificado por el artículo 8 de la CDPD, países como Argentina, Bahamas, Ecuador, Guatemala, Jamaica, República Dominicana, Panamá, Uruguay y Venezuela no contemplan esta obligación en su legislación nacional. A su vez, Bolivia, Chile, Costa Rica, El Salvador, Haití, México, Nicaragua, Paraguay y Perú la consideran, principalmente, bajo la competencia de los organismos nacionales creados en materia de personas con discapacidad</w:t>
      </w:r>
      <w:r>
        <w:rPr>
          <w:vertAlign w:val="superscript"/>
        </w:rPr>
        <w:footnoteReference w:id="118"/>
      </w:r>
      <w:r>
        <w:t xml:space="preserve">. </w:t>
      </w:r>
    </w:p>
    <w:p w14:paraId="51CBB1EA" w14:textId="77777777" w:rsidR="001A105D" w:rsidRDefault="00000000">
      <w:pPr>
        <w:pStyle w:val="NoSpacing"/>
        <w:numPr>
          <w:ilvl w:val="0"/>
          <w:numId w:val="33"/>
        </w:numPr>
      </w:pPr>
      <w:r>
        <w:rPr>
          <w:rFonts w:eastAsia="Arial Unicode MS" w:cs="Arial Unicode MS"/>
        </w:rPr>
        <w:lastRenderedPageBreak/>
        <w:t xml:space="preserve">Por lo que hace a la política pública y acciones concretas, conforme a la información proporcionada por los Estados, el principal medio para combatir los estereotipos, prejuicios y actitudes nocivas que perpetúan la discriminación contra las personas con discapacidad es la capacitación a </w:t>
      </w:r>
      <w:proofErr w:type="gramStart"/>
      <w:r>
        <w:rPr>
          <w:rFonts w:eastAsia="Arial Unicode MS" w:cs="Arial Unicode MS"/>
        </w:rPr>
        <w:t>funcionarios y funcionarias</w:t>
      </w:r>
      <w:proofErr w:type="gramEnd"/>
      <w:r>
        <w:rPr>
          <w:rFonts w:eastAsia="Arial Unicode MS" w:cs="Arial Unicode MS"/>
        </w:rPr>
        <w:t xml:space="preserve"> públicas y a la sociedad civil por parte de los organismos nacionales especializados en materia de personas con discapacidad</w:t>
      </w:r>
      <w:r>
        <w:rPr>
          <w:vertAlign w:val="superscript"/>
        </w:rPr>
        <w:footnoteReference w:id="119"/>
      </w:r>
      <w:r>
        <w:rPr>
          <w:rFonts w:eastAsia="Arial Unicode MS" w:cs="Arial Unicode MS"/>
        </w:rPr>
        <w:t>.</w:t>
      </w:r>
    </w:p>
    <w:p w14:paraId="0E752D83" w14:textId="77777777" w:rsidR="001A105D" w:rsidRDefault="00000000">
      <w:pPr>
        <w:pStyle w:val="NoSpacing"/>
        <w:numPr>
          <w:ilvl w:val="0"/>
          <w:numId w:val="33"/>
        </w:numPr>
      </w:pPr>
      <w:r>
        <w:t>Los países en la región, especialmente en los últimos años y en el contexto de la pandemia sanitaria, han adoptado medidas, leyes, programas y prácticas más concretas para combatir la discriminación y la exclusión de personas con discapacidad.</w:t>
      </w:r>
    </w:p>
    <w:p w14:paraId="405FA35A" w14:textId="77777777" w:rsidR="001A105D" w:rsidRDefault="00000000">
      <w:pPr>
        <w:pStyle w:val="NoSpacing"/>
        <w:numPr>
          <w:ilvl w:val="0"/>
          <w:numId w:val="33"/>
        </w:numPr>
      </w:pPr>
      <w:r>
        <w:rPr>
          <w:rFonts w:eastAsia="Arial Unicode MS" w:cs="Arial Unicode MS"/>
        </w:rPr>
        <w:t xml:space="preserve">Argentina implementó diversas iniciativas para promover y proteger los derechos de las personas con discapacidad. El Plan Integral “ACCESAR”, creado por la Agencia Nacional de la Discapacidad (ANDIS), buscó fortalecer las áreas de discapacidad a nivel municipal. Este plan, establecido mediante la Resolución 1200/2021, tuvo como objetivo la transversalización de la perspectiva de discapacidad en las </w:t>
      </w:r>
      <w:r>
        <w:rPr>
          <w:rFonts w:eastAsia="Arial Unicode MS" w:cs="Arial Unicode MS"/>
        </w:rPr>
        <w:lastRenderedPageBreak/>
        <w:t>políticas locales, priorizando la accesibilidad con un enfoque federal de promoción de derechos</w:t>
      </w:r>
      <w:r>
        <w:rPr>
          <w:vertAlign w:val="superscript"/>
        </w:rPr>
        <w:footnoteReference w:id="120"/>
      </w:r>
      <w:r>
        <w:rPr>
          <w:rFonts w:eastAsia="Arial Unicode MS" w:cs="Arial Unicode MS"/>
        </w:rPr>
        <w:t>.</w:t>
      </w:r>
    </w:p>
    <w:p w14:paraId="300A8658" w14:textId="77777777" w:rsidR="001A105D" w:rsidRDefault="00000000">
      <w:pPr>
        <w:pStyle w:val="NoSpacing"/>
        <w:numPr>
          <w:ilvl w:val="0"/>
          <w:numId w:val="33"/>
        </w:numPr>
      </w:pPr>
      <w:r>
        <w:rPr>
          <w:rFonts w:eastAsia="Arial Unicode MS" w:cs="Arial Unicode MS"/>
        </w:rPr>
        <w:t>El Gabinete Nacional para la Transversalización de las Políticas en Discapacidad argentino, creado por el Decreto Presidencial 746/2021, integró ministerios y agencias gubernamentales para incorporar un enfoque transversal de la discapacidad en las políticas nacionales. La Unidad de Capacitación de la ANDIS desempeñó un papel clave en la sensibilización de los agentes estatales a través de instancias formativas, habiendo realizado hasta el año 2022 más de 314 capacitaciones que alcanzaron a más de 7.530 destinatarios, incluyendo agentes estatales y medios de comunicación</w:t>
      </w:r>
      <w:r>
        <w:rPr>
          <w:vertAlign w:val="superscript"/>
        </w:rPr>
        <w:footnoteReference w:id="121"/>
      </w:r>
      <w:r>
        <w:rPr>
          <w:rFonts w:eastAsia="Arial Unicode MS" w:cs="Arial Unicode MS"/>
        </w:rPr>
        <w:t>.</w:t>
      </w:r>
    </w:p>
    <w:p w14:paraId="1ED09EDC" w14:textId="77777777" w:rsidR="001A105D" w:rsidRDefault="00000000">
      <w:pPr>
        <w:pStyle w:val="NoSpacing"/>
        <w:numPr>
          <w:ilvl w:val="0"/>
          <w:numId w:val="33"/>
        </w:numPr>
      </w:pPr>
      <w:r>
        <w:rPr>
          <w:rFonts w:eastAsia="Arial Unicode MS" w:cs="Arial Unicode MS"/>
        </w:rPr>
        <w:t>Argentina también realizó campañas de concientización y difusión, como la “Semana por la Promoción de los Derechos de las Personas con Discapacidad”, instituida en 2021</w:t>
      </w:r>
      <w:r>
        <w:rPr>
          <w:vertAlign w:val="superscript"/>
        </w:rPr>
        <w:footnoteReference w:id="122"/>
      </w:r>
      <w:r>
        <w:rPr>
          <w:rFonts w:eastAsia="Arial Unicode MS" w:cs="Arial Unicode MS"/>
        </w:rPr>
        <w:t xml:space="preserve">. Además, en mayo de 2023, se aprobó la Lengua de Señas Argentina como idioma natural, originario y patrimonio cultural de las personas sordas del país, fortaleciendo la identidad de la </w:t>
      </w:r>
      <w:r>
        <w:rPr>
          <w:rFonts w:eastAsia="Arial Unicode MS" w:cs="Arial Unicode MS"/>
        </w:rPr>
        <w:lastRenderedPageBreak/>
        <w:t>comunidad sorda y promoviendo la inclusión y el respeto por la diversidad lingüística</w:t>
      </w:r>
      <w:r>
        <w:rPr>
          <w:vertAlign w:val="superscript"/>
        </w:rPr>
        <w:footnoteReference w:id="123"/>
      </w:r>
      <w:r>
        <w:rPr>
          <w:rFonts w:eastAsia="Arial Unicode MS" w:cs="Arial Unicode MS"/>
        </w:rPr>
        <w:t>.</w:t>
      </w:r>
    </w:p>
    <w:p w14:paraId="446B1CF0" w14:textId="77777777" w:rsidR="001A105D" w:rsidRDefault="00000000">
      <w:pPr>
        <w:pStyle w:val="NoSpacing"/>
        <w:numPr>
          <w:ilvl w:val="0"/>
          <w:numId w:val="33"/>
        </w:numPr>
      </w:pPr>
      <w:r>
        <w:t xml:space="preserve">Por su parte, Barbados tiene una ley específica relacionada con el empleo que prohíbe la discriminación de personas con discapacidad, la </w:t>
      </w:r>
      <w:r>
        <w:rPr>
          <w:rFonts w:ascii="Helvetica LT Std Oblique" w:hAnsi="Helvetica LT Std Oblique"/>
        </w:rPr>
        <w:t>Ley de Prevención de la Discriminación en el empleo, 2020</w:t>
      </w:r>
      <w:r>
        <w:t>. Sin embargo, no se incorpora el tema en otros ámbitos</w:t>
      </w:r>
      <w:r>
        <w:rPr>
          <w:vertAlign w:val="superscript"/>
        </w:rPr>
        <w:footnoteReference w:id="124"/>
      </w:r>
      <w:r>
        <w:t>.</w:t>
      </w:r>
    </w:p>
    <w:p w14:paraId="5C41F3CF" w14:textId="77777777" w:rsidR="001A105D" w:rsidRDefault="00000000">
      <w:pPr>
        <w:pStyle w:val="NoSpacing"/>
        <w:numPr>
          <w:ilvl w:val="0"/>
          <w:numId w:val="33"/>
        </w:numPr>
      </w:pPr>
      <w:r>
        <w:rPr>
          <w:rFonts w:eastAsia="Arial Unicode MS" w:cs="Arial Unicode MS"/>
        </w:rPr>
        <w:t>El Estado boliviano ha adoptado medidas significativas para prevenir la discriminación contra personas con discapacidad. En cumplimiento de la Ley No. 045 contra el Racismo y Toda Forma de Discriminación, Bolivia ha realizado talleres y cursos en todo el país, dirigidos tanto a servidores públicos como a la población en general. Durante 2021, se llevaron a cabo 78 talleres que llegaron a 7.023 personas, y en 2022 se realizaron 35 talleres con 5.459 participantes, abordando la prevención de la discriminación</w:t>
      </w:r>
      <w:r>
        <w:rPr>
          <w:vertAlign w:val="superscript"/>
        </w:rPr>
        <w:footnoteReference w:id="125"/>
      </w:r>
      <w:r>
        <w:rPr>
          <w:rFonts w:eastAsia="Arial Unicode MS" w:cs="Arial Unicode MS"/>
        </w:rPr>
        <w:t>.</w:t>
      </w:r>
    </w:p>
    <w:p w14:paraId="6933371F" w14:textId="77777777" w:rsidR="001A105D" w:rsidRDefault="00000000">
      <w:pPr>
        <w:pStyle w:val="NoSpacing"/>
        <w:numPr>
          <w:ilvl w:val="0"/>
          <w:numId w:val="33"/>
        </w:numPr>
      </w:pPr>
      <w:r>
        <w:rPr>
          <w:rFonts w:eastAsia="Arial Unicode MS" w:cs="Arial Unicode MS"/>
        </w:rPr>
        <w:t xml:space="preserve">A su vez, la Ley 045 editó mecanismos para la prevención y sanción de actos discriminatorios, en concordancia con la Constitución política del Estado y los tratados internacionales de derechos humanos. A través del Decreto Supremo 0762, </w:t>
      </w:r>
      <w:r>
        <w:rPr>
          <w:rFonts w:eastAsia="Arial Unicode MS" w:cs="Arial Unicode MS"/>
        </w:rPr>
        <w:lastRenderedPageBreak/>
        <w:t>que reglamenta dicha ley, se impone a los medios de comunicación la obligación de adoptar reglamentos internos para impulsar el reconocimiento y respeto de las diferencias, promoviendo principios no discriminatorios, incluyendo aquellos dirigidos a personas con discapacidad</w:t>
      </w:r>
      <w:r>
        <w:rPr>
          <w:vertAlign w:val="superscript"/>
        </w:rPr>
        <w:footnoteReference w:id="126"/>
      </w:r>
      <w:r>
        <w:rPr>
          <w:rFonts w:eastAsia="Arial Unicode MS" w:cs="Arial Unicode MS"/>
        </w:rPr>
        <w:t>.</w:t>
      </w:r>
    </w:p>
    <w:p w14:paraId="6CD681D1" w14:textId="77777777" w:rsidR="001A105D" w:rsidRDefault="00000000">
      <w:pPr>
        <w:pStyle w:val="NoSpacing"/>
        <w:numPr>
          <w:ilvl w:val="0"/>
          <w:numId w:val="33"/>
        </w:numPr>
      </w:pPr>
      <w:r>
        <w:rPr>
          <w:rFonts w:eastAsia="Arial Unicode MS" w:cs="Arial Unicode MS"/>
        </w:rPr>
        <w:t xml:space="preserve">La legislación boliviana tipifica los delitos de discriminación, mencionados en el artículo 40 </w:t>
      </w:r>
      <w:r>
        <w:rPr>
          <w:rFonts w:ascii="Helvetica LT Std Oblique" w:hAnsi="Helvetica LT Std Oblique"/>
        </w:rPr>
        <w:t>bis</w:t>
      </w:r>
      <w:r>
        <w:rPr>
          <w:rFonts w:eastAsia="Arial Unicode MS" w:cs="Arial Unicode MS"/>
        </w:rPr>
        <w:t xml:space="preserve"> y en el artículo 281 </w:t>
      </w:r>
      <w:proofErr w:type="spellStart"/>
      <w:r>
        <w:rPr>
          <w:rFonts w:ascii="Helvetica LT Std Oblique" w:hAnsi="Helvetica LT Std Oblique"/>
        </w:rPr>
        <w:t>sexies</w:t>
      </w:r>
      <w:proofErr w:type="spellEnd"/>
      <w:r>
        <w:rPr>
          <w:rFonts w:eastAsia="Arial Unicode MS" w:cs="Arial Unicode MS"/>
        </w:rPr>
        <w:t xml:space="preserve"> del Código Penal, estableciendo sanciones de pena privativa de libertad de uno a cinco años</w:t>
      </w:r>
      <w:r>
        <w:rPr>
          <w:vertAlign w:val="superscript"/>
        </w:rPr>
        <w:footnoteReference w:id="127"/>
      </w:r>
      <w:r>
        <w:rPr>
          <w:rFonts w:eastAsia="Arial Unicode MS" w:cs="Arial Unicode MS"/>
        </w:rPr>
        <w:t>. En este marco, Bolivia también ha implementado el programa televisivo “El Racismo y la Discriminación No es un Cuento”, en el cual participaron activamente dos federaciones de personas con discapacidad: la Federación Nacional de Ciegos de Bolivia (FENACIEBO) y la Federación de Personas con Discapacidad Departamental de Cochabamba, abordando temas relacionados con el racismo y la discriminación</w:t>
      </w:r>
      <w:r>
        <w:rPr>
          <w:vertAlign w:val="superscript"/>
        </w:rPr>
        <w:footnoteReference w:id="128"/>
      </w:r>
      <w:r>
        <w:rPr>
          <w:rFonts w:eastAsia="Arial Unicode MS" w:cs="Arial Unicode MS"/>
        </w:rPr>
        <w:t>.</w:t>
      </w:r>
    </w:p>
    <w:p w14:paraId="7C3F1BCB" w14:textId="77777777" w:rsidR="001A105D" w:rsidRDefault="00000000">
      <w:pPr>
        <w:pStyle w:val="NoSpacing"/>
        <w:numPr>
          <w:ilvl w:val="0"/>
          <w:numId w:val="33"/>
        </w:numPr>
      </w:pPr>
      <w:r>
        <w:rPr>
          <w:rFonts w:eastAsia="Arial Unicode MS" w:cs="Arial Unicode MS"/>
        </w:rPr>
        <w:t xml:space="preserve">En el caso de Brasil, tanto el Estado como organizaciones de la sociedad civil reportaron que en la Ley de Inclusión de Personas con Discapacidad de Brasil se considera la </w:t>
      </w:r>
      <w:r>
        <w:rPr>
          <w:rFonts w:eastAsia="Arial Unicode MS" w:cs="Arial Unicode MS"/>
        </w:rPr>
        <w:lastRenderedPageBreak/>
        <w:t>discriminación por motivos de discapacidad como delito, estableciéndose las penas en el artículo 88 de dicha ley</w:t>
      </w:r>
      <w:r>
        <w:rPr>
          <w:vertAlign w:val="superscript"/>
        </w:rPr>
        <w:footnoteReference w:id="129"/>
      </w:r>
      <w:r>
        <w:rPr>
          <w:rFonts w:eastAsia="Arial Unicode MS" w:cs="Arial Unicode MS"/>
        </w:rPr>
        <w:t>.</w:t>
      </w:r>
    </w:p>
    <w:p w14:paraId="1C1A381B" w14:textId="77777777" w:rsidR="001A105D" w:rsidRDefault="00000000">
      <w:pPr>
        <w:pStyle w:val="NoSpacing"/>
        <w:numPr>
          <w:ilvl w:val="0"/>
          <w:numId w:val="33"/>
        </w:numPr>
      </w:pPr>
      <w:r>
        <w:rPr>
          <w:rFonts w:eastAsia="Arial Unicode MS" w:cs="Arial Unicode MS"/>
        </w:rPr>
        <w:t>El Servicio Nacional de la Discapacidad (SENADIS) de Chile tiene diversas funciones, como promover la coordinación entre el sector privado y público, financiar planes y proyectos, y realizar acciones de difusión y sensibilización para mejorar la calidad de vida de las personas con discapacidad. El fondo concursable Fondo Nacional de Proyectos Inclusivos (FONAPI) apoya iniciativas de difusión y promoción de derechos. Además, existen programas como Acceso a la Justicia (PAJ) y Estrategia de Desarrollo Local Inclusivo (EDLI) que incluyen capacitación y difusión de derechos</w:t>
      </w:r>
      <w:r>
        <w:rPr>
          <w:vertAlign w:val="superscript"/>
        </w:rPr>
        <w:footnoteReference w:id="130"/>
      </w:r>
      <w:r>
        <w:rPr>
          <w:rFonts w:eastAsia="Arial Unicode MS" w:cs="Arial Unicode MS"/>
        </w:rPr>
        <w:t>.</w:t>
      </w:r>
    </w:p>
    <w:p w14:paraId="34E712F1" w14:textId="77777777" w:rsidR="001A105D" w:rsidRDefault="00000000">
      <w:pPr>
        <w:pStyle w:val="NoSpacing"/>
        <w:numPr>
          <w:ilvl w:val="0"/>
          <w:numId w:val="33"/>
        </w:numPr>
      </w:pPr>
      <w:r>
        <w:t xml:space="preserve">En el marco legal, además de la Ley de Inclusión de Personas con Discapacidad (20.422), Chile cuenta con la Ley No. 20.609, que aborda medidas contra la discriminación. Sin embargo, según información de organizaciones de la sociedad civil, la Ley 20.609 presenta vacíos al no incluir reparación a las víctimas y carecer de una institucionalidad para la prevención de la </w:t>
      </w:r>
      <w:r>
        <w:lastRenderedPageBreak/>
        <w:t>discriminación. Ambas leyes establecen acciones judiciales para denunciar actos discriminatorios por discapacidad</w:t>
      </w:r>
      <w:r>
        <w:rPr>
          <w:vertAlign w:val="superscript"/>
        </w:rPr>
        <w:footnoteReference w:id="131"/>
      </w:r>
      <w:r>
        <w:t>.</w:t>
      </w:r>
    </w:p>
    <w:p w14:paraId="1FCE64B2" w14:textId="77777777" w:rsidR="001A105D" w:rsidRDefault="00000000">
      <w:pPr>
        <w:pStyle w:val="NoSpacing"/>
        <w:numPr>
          <w:ilvl w:val="0"/>
          <w:numId w:val="33"/>
        </w:numPr>
      </w:pPr>
      <w:r>
        <w:rPr>
          <w:rFonts w:eastAsia="Arial Unicode MS" w:cs="Arial Unicode MS"/>
        </w:rPr>
        <w:t>En Chile se han implementado instancias de formación para fomentar el trato igualitario a personas con discapacidad. En 2020, se elaboró un Protocolo para la prevención y atención del COVID-19 en residencias para adultos con discapacidad. El Departamento de Rehabilitación y Discapacidad del Ministerio de Salud elaboró documentos sobre atención en salud a personas con discapacidad</w:t>
      </w:r>
      <w:r>
        <w:rPr>
          <w:vertAlign w:val="superscript"/>
        </w:rPr>
        <w:footnoteReference w:id="132"/>
      </w:r>
      <w:r>
        <w:rPr>
          <w:rFonts w:eastAsia="Arial Unicode MS" w:cs="Arial Unicode MS"/>
        </w:rPr>
        <w:t>.</w:t>
      </w:r>
    </w:p>
    <w:p w14:paraId="4BF9BC88" w14:textId="77777777" w:rsidR="001A105D" w:rsidRDefault="00000000">
      <w:pPr>
        <w:pStyle w:val="NoSpacing"/>
        <w:numPr>
          <w:ilvl w:val="0"/>
          <w:numId w:val="33"/>
        </w:numPr>
      </w:pPr>
      <w:r>
        <w:rPr>
          <w:rFonts w:eastAsia="Arial Unicode MS" w:cs="Arial Unicode MS"/>
        </w:rPr>
        <w:t>El Consejo Nacional de la Cultura difunde en Chile Guías de Lenguaje Inclusivo sobre género, discapacidad y pueblos indígenas. Además, Chile reconoció la Lengua de Señas Chilena (</w:t>
      </w:r>
      <w:proofErr w:type="spellStart"/>
      <w:r>
        <w:rPr>
          <w:rFonts w:eastAsia="Arial Unicode MS" w:cs="Arial Unicode MS"/>
        </w:rPr>
        <w:t>LSCh</w:t>
      </w:r>
      <w:proofErr w:type="spellEnd"/>
      <w:r>
        <w:rPr>
          <w:rFonts w:eastAsia="Arial Unicode MS" w:cs="Arial Unicode MS"/>
        </w:rPr>
        <w:t>) como la lengua natural de las personas sordas y promueve su uso en servicios públicos, educación, trabajo, salud y otros ámbitos</w:t>
      </w:r>
      <w:r>
        <w:rPr>
          <w:vertAlign w:val="superscript"/>
        </w:rPr>
        <w:footnoteReference w:id="133"/>
      </w:r>
      <w:r>
        <w:rPr>
          <w:rFonts w:eastAsia="Arial Unicode MS" w:cs="Arial Unicode MS"/>
        </w:rPr>
        <w:t>.</w:t>
      </w:r>
    </w:p>
    <w:p w14:paraId="46C28C44" w14:textId="77777777" w:rsidR="001A105D" w:rsidRDefault="00000000">
      <w:pPr>
        <w:pStyle w:val="NoSpacing"/>
        <w:numPr>
          <w:ilvl w:val="0"/>
          <w:numId w:val="33"/>
        </w:numPr>
      </w:pPr>
      <w:r>
        <w:lastRenderedPageBreak/>
        <w:t>El Estado colombiano ha implementado la Política Pública Nacional de Discapacidad e Inclusión Social 2013-2022, que contempla procesos de sensibilización y capacitación sobre los derechos de las personas con discapacidad. Además, a través de la Unidad para las Víctimas, se ha desarrollado un curso virtual en enfoques diferenciales y de género para funcionarios gubernamentales y servicios, así como para víctimas, contribuyendo a la inclusión con un enfoque interseccional</w:t>
      </w:r>
      <w:r>
        <w:rPr>
          <w:vertAlign w:val="superscript"/>
        </w:rPr>
        <w:footnoteReference w:id="134"/>
      </w:r>
      <w:r>
        <w:t>.</w:t>
      </w:r>
    </w:p>
    <w:p w14:paraId="308BE4E5" w14:textId="77777777" w:rsidR="001A105D" w:rsidRDefault="00000000">
      <w:pPr>
        <w:pStyle w:val="NoSpacing"/>
        <w:numPr>
          <w:ilvl w:val="0"/>
          <w:numId w:val="33"/>
        </w:numPr>
      </w:pPr>
      <w:r>
        <w:t>El Gobierno de Colombia, además, ha implementado estrategias innovadoras, como el Programa Tejiendo Justicia, que involucra a 131 facultades de Derecho con Consultorio Jurídico de las universidades del país para incorporar temas de género y discapacidad en la formación de futuros abogados. Asimismo, el Sistema Único de Información Normativa (SUIN) ha creado un módulo para hacer seguimiento a la normativa sobre violencia contra personas con discapacidad</w:t>
      </w:r>
      <w:r>
        <w:rPr>
          <w:vertAlign w:val="superscript"/>
        </w:rPr>
        <w:footnoteReference w:id="135"/>
      </w:r>
      <w:r>
        <w:t>.</w:t>
      </w:r>
    </w:p>
    <w:p w14:paraId="01D8F704" w14:textId="77777777" w:rsidR="001A105D" w:rsidRDefault="00000000">
      <w:pPr>
        <w:pStyle w:val="NoSpacing"/>
        <w:numPr>
          <w:ilvl w:val="0"/>
          <w:numId w:val="33"/>
        </w:numPr>
      </w:pPr>
      <w:r>
        <w:rPr>
          <w:rFonts w:eastAsia="Arial Unicode MS" w:cs="Arial Unicode MS"/>
        </w:rPr>
        <w:t xml:space="preserve">A pesar de estos esfuerzos, organizaciones de la sociedad civil de Colombia han señalado que no existen medidas específicas para la difusión o la apertura de canales que permitan a las personas con discapacidad conocer sus derechos de manera rápida y accesible. Aunque se busca modificar la conciencia de las entidades públicas y mejorar la calidad de atención y </w:t>
      </w:r>
      <w:r>
        <w:rPr>
          <w:rFonts w:eastAsia="Arial Unicode MS" w:cs="Arial Unicode MS"/>
        </w:rPr>
        <w:lastRenderedPageBreak/>
        <w:t>servicios, no hay canales pedagógicos que brinden a las personas con discapacidad un acceso rápido a esta información de conocimiento público</w:t>
      </w:r>
      <w:r>
        <w:rPr>
          <w:vertAlign w:val="superscript"/>
        </w:rPr>
        <w:footnoteReference w:id="136"/>
      </w:r>
      <w:r>
        <w:rPr>
          <w:rFonts w:eastAsia="Arial Unicode MS" w:cs="Arial Unicode MS"/>
        </w:rPr>
        <w:t>.</w:t>
      </w:r>
    </w:p>
    <w:p w14:paraId="7B89156A" w14:textId="77777777" w:rsidR="001A105D" w:rsidRDefault="00000000">
      <w:pPr>
        <w:pStyle w:val="NoSpacing"/>
        <w:numPr>
          <w:ilvl w:val="0"/>
          <w:numId w:val="33"/>
        </w:numPr>
      </w:pPr>
      <w:r>
        <w:rPr>
          <w:rFonts w:eastAsia="Arial Unicode MS" w:cs="Arial Unicode MS"/>
        </w:rPr>
        <w:t>Por otra parte, Colombia cuenta con la Ley 1752 de 2015, que penaliza la discriminación y el hostigamiento contra personas con discapacidad, estableciendo que negar ajustes razonables puede constituir un acto discriminatorio o de hostigamiento bajo esta ley</w:t>
      </w:r>
      <w:r>
        <w:rPr>
          <w:vertAlign w:val="superscript"/>
        </w:rPr>
        <w:footnoteReference w:id="137"/>
      </w:r>
      <w:r>
        <w:rPr>
          <w:rFonts w:eastAsia="Arial Unicode MS" w:cs="Arial Unicode MS"/>
        </w:rPr>
        <w:t>.</w:t>
      </w:r>
    </w:p>
    <w:p w14:paraId="55076FDB" w14:textId="77777777" w:rsidR="001A105D" w:rsidRDefault="00000000">
      <w:pPr>
        <w:pStyle w:val="NoSpacing"/>
        <w:numPr>
          <w:ilvl w:val="0"/>
          <w:numId w:val="33"/>
        </w:numPr>
      </w:pPr>
      <w:r>
        <w:rPr>
          <w:rFonts w:eastAsia="Arial Unicode MS" w:cs="Arial Unicode MS"/>
        </w:rPr>
        <w:t>En una línea similar, Ecuador creó una plataforma virtual de sensibilización y capacitación permanente desde el Consejo Nacional para la Igualdad de Discapacidades, dirigida a empresas e instituciones para promover el conocimiento de los derechos de las personas con discapacidad. La plataforma ofrece cursos sobre diversas temáticas. Hasta la fecha de cierre de este informe, se habían realizado 262 cursos virtuales, con la aprobación de 42.215 participantes a través de la plataforma, y de 12.877 personas en los talleres de sensibilización y capacitación a nivel nacional</w:t>
      </w:r>
      <w:r>
        <w:rPr>
          <w:vertAlign w:val="superscript"/>
        </w:rPr>
        <w:footnoteReference w:id="138"/>
      </w:r>
      <w:r>
        <w:rPr>
          <w:rFonts w:eastAsia="Arial Unicode MS" w:cs="Arial Unicode MS"/>
        </w:rPr>
        <w:t>.</w:t>
      </w:r>
    </w:p>
    <w:p w14:paraId="195B0824" w14:textId="77777777" w:rsidR="001A105D" w:rsidRDefault="00000000">
      <w:pPr>
        <w:pStyle w:val="NoSpacing"/>
        <w:numPr>
          <w:ilvl w:val="0"/>
          <w:numId w:val="33"/>
        </w:numPr>
      </w:pPr>
      <w:r>
        <w:rPr>
          <w:rFonts w:eastAsia="Arial Unicode MS" w:cs="Arial Unicode MS"/>
        </w:rPr>
        <w:lastRenderedPageBreak/>
        <w:t>Sin embargo, organizaciones de la sociedad civil ecuatorianas han señalado que, a pesar de que el principio de igualdad y no discriminación está consagrado en el artículo 11 de la Constitución de la República, no existen medidas que exijan y fiscalicen su cumplimiento. Similar situación ocurre con la tipificación genérica del tipo penal “discriminación y delito de odio”, que incluye la discapacidad, en el Código Orgánico Integral Penal de 2014</w:t>
      </w:r>
      <w:r>
        <w:rPr>
          <w:vertAlign w:val="superscript"/>
        </w:rPr>
        <w:footnoteReference w:id="139"/>
      </w:r>
      <w:r>
        <w:rPr>
          <w:rFonts w:eastAsia="Arial Unicode MS" w:cs="Arial Unicode MS"/>
        </w:rPr>
        <w:t>.</w:t>
      </w:r>
    </w:p>
    <w:p w14:paraId="54540FEA" w14:textId="77777777" w:rsidR="001A105D" w:rsidRDefault="00000000">
      <w:pPr>
        <w:pStyle w:val="NoSpacing"/>
        <w:numPr>
          <w:ilvl w:val="0"/>
          <w:numId w:val="33"/>
        </w:numPr>
      </w:pPr>
      <w:r>
        <w:t>Asimismo, México ha implementado iniciativas de capacitación para servidores públicos, incluyendo la Escuela Federal de Formación Judicial, que realizó 8 actividades de capacitación sobre los derechos de las personas con discapacidad desde mayo de 2020 hasta marzo de 2022. Además, la Ley General para la Inclusión de las Personas con Discapacidad, la Ley Federal para Prevenir y Eliminar la Discriminación, el Consejo Nacional para el Desarrollo y la Inclusión de las Personas con Discapacidad (CONADIS), y el Consejo Nacional para Prevenir la Discriminación (CONAPRED), junto con sus consejos locales, son instrumentos normativos para combatir la discriminación</w:t>
      </w:r>
      <w:r>
        <w:rPr>
          <w:vertAlign w:val="superscript"/>
        </w:rPr>
        <w:footnoteReference w:id="140"/>
      </w:r>
      <w:r>
        <w:t>.</w:t>
      </w:r>
    </w:p>
    <w:p w14:paraId="37F35EBF" w14:textId="77777777" w:rsidR="001A105D" w:rsidRDefault="00000000">
      <w:pPr>
        <w:pStyle w:val="NoSpacing"/>
        <w:numPr>
          <w:ilvl w:val="0"/>
          <w:numId w:val="33"/>
        </w:numPr>
      </w:pPr>
      <w:r>
        <w:rPr>
          <w:rFonts w:eastAsia="Arial Unicode MS" w:cs="Arial Unicode MS"/>
        </w:rPr>
        <w:lastRenderedPageBreak/>
        <w:t>La Suprema Corte de Justicia de la Nación (SCJN) de este país emitió el Protocolo para juzgar con perspectiva de discapacidad, que destaca la situación sociodemográfica de las personas con discapacidad y busca evaluar las barreras de acceso a la justicia y otros ámbitos de la sociedad. El protocolo establece que juzgar con perspectiva de discapacidad requiere capacitación mínima en conceptos básicos relacionados con los derechos de las personas con discapacidad, como barreras, accesibilidad como derecho, ajustes razonables y ayudas técnicas</w:t>
      </w:r>
      <w:r>
        <w:rPr>
          <w:vertAlign w:val="superscript"/>
        </w:rPr>
        <w:footnoteReference w:id="141"/>
      </w:r>
      <w:r>
        <w:rPr>
          <w:rFonts w:eastAsia="Arial Unicode MS" w:cs="Arial Unicode MS"/>
        </w:rPr>
        <w:t>.</w:t>
      </w:r>
    </w:p>
    <w:p w14:paraId="0E869DF5" w14:textId="77777777" w:rsidR="001A105D" w:rsidRDefault="00000000">
      <w:pPr>
        <w:pStyle w:val="NoSpacing"/>
        <w:numPr>
          <w:ilvl w:val="0"/>
          <w:numId w:val="33"/>
        </w:numPr>
      </w:pPr>
      <w:r>
        <w:rPr>
          <w:rFonts w:eastAsia="Arial Unicode MS" w:cs="Arial Unicode MS"/>
        </w:rPr>
        <w:t>La Comisión Nacional de Derechos Humanos de México, por su parte, ha elaborado diversos materiales de divulgación en fácil lectura y Braille, distribuidos a organismos públicos, universidades y organizaciones relacionadas. Además, se destacan acciones judiciales y administrativas en México para combatir la discriminación, mediante mecanismos de denuncia de actos discriminatorios</w:t>
      </w:r>
      <w:r>
        <w:rPr>
          <w:vertAlign w:val="superscript"/>
        </w:rPr>
        <w:footnoteReference w:id="142"/>
      </w:r>
      <w:r>
        <w:rPr>
          <w:rFonts w:eastAsia="Arial Unicode MS" w:cs="Arial Unicode MS"/>
        </w:rPr>
        <w:t>.</w:t>
      </w:r>
    </w:p>
    <w:p w14:paraId="5D6667F0" w14:textId="77777777" w:rsidR="001A105D" w:rsidRDefault="00000000">
      <w:pPr>
        <w:pStyle w:val="NoSpacing"/>
        <w:numPr>
          <w:ilvl w:val="0"/>
          <w:numId w:val="33"/>
        </w:numPr>
      </w:pPr>
      <w:r>
        <w:rPr>
          <w:rFonts w:eastAsia="Arial Unicode MS" w:cs="Arial Unicode MS"/>
        </w:rPr>
        <w:t xml:space="preserve">A pesar de estas acciones implementadas por el Estado mexicano y sus mecanismos de denuncia para combatir la discriminación contra las personas con discapacidad, persisten preocupaciones por parte de la sociedad civil en relación con la </w:t>
      </w:r>
      <w:r>
        <w:rPr>
          <w:rFonts w:eastAsia="Arial Unicode MS" w:cs="Arial Unicode MS"/>
        </w:rPr>
        <w:lastRenderedPageBreak/>
        <w:t>falta de medidas de fiscalización y garantías efectivas para cumplir el principio de igualdad y no discriminación, lo cual destaca la necesidad de fortalecer la implementación y supervisión de las políticas y leyes existentes</w:t>
      </w:r>
      <w:r>
        <w:rPr>
          <w:vertAlign w:val="superscript"/>
        </w:rPr>
        <w:footnoteReference w:id="143"/>
      </w:r>
      <w:r>
        <w:rPr>
          <w:rFonts w:eastAsia="Arial Unicode MS" w:cs="Arial Unicode MS"/>
        </w:rPr>
        <w:t>.</w:t>
      </w:r>
    </w:p>
    <w:p w14:paraId="3CAE5B46" w14:textId="77777777" w:rsidR="001A105D" w:rsidRDefault="00000000">
      <w:pPr>
        <w:pStyle w:val="NoSpacing"/>
        <w:numPr>
          <w:ilvl w:val="0"/>
          <w:numId w:val="33"/>
        </w:numPr>
      </w:pPr>
      <w:r>
        <w:t>En Paraguay, se implementó el Plan de Acción Nacional por los Derechos de las Personas con Discapacidad, cuyo eje sexto aborda normativas con un enfoque de derechos para prevenir toda forma de discriminación. Entre las acciones planificadas se encuentran el fortalecimiento del sistema de información sobre los derechos de la niñez y adolescencia, las investigaciones sociales enfocadas en niños y adolescentes indígenas con discapacidad, así como el fortalecimiento de los servicios para mujeres, con especial atención a aquellas con discapacidad</w:t>
      </w:r>
      <w:r>
        <w:rPr>
          <w:vertAlign w:val="superscript"/>
        </w:rPr>
        <w:footnoteReference w:id="144"/>
      </w:r>
      <w:r>
        <w:t>.</w:t>
      </w:r>
    </w:p>
    <w:p w14:paraId="07F0544A" w14:textId="77777777" w:rsidR="001A105D" w:rsidRDefault="00000000">
      <w:pPr>
        <w:pStyle w:val="NoSpacing"/>
        <w:numPr>
          <w:ilvl w:val="0"/>
          <w:numId w:val="33"/>
        </w:numPr>
      </w:pPr>
      <w:r>
        <w:rPr>
          <w:rFonts w:eastAsia="Arial Unicode MS" w:cs="Arial Unicode MS"/>
        </w:rPr>
        <w:t xml:space="preserve">El país también promulgó la Ley No. 6667/2020 que promueve la implementación de campañas continuas de difusión y sensibilización sobre los derechos de las personas con discapacidad y su inclusión. Como entidad fiscalizadora, la Defensoría del Pueblo es la institución encargada de supervisar la protección y promoción de los derechos humanos en el país, incluyendo la atención de reclamos de personas con discapacidad. Todas estas medidas reflejan un enfoque integral </w:t>
      </w:r>
      <w:r>
        <w:rPr>
          <w:rFonts w:eastAsia="Arial Unicode MS" w:cs="Arial Unicode MS"/>
        </w:rPr>
        <w:lastRenderedPageBreak/>
        <w:t>para abordar las necesidades y derechos de las personas con discapacidad en diferentes ámbitos de la sociedad paraguaya</w:t>
      </w:r>
      <w:r>
        <w:rPr>
          <w:vertAlign w:val="superscript"/>
        </w:rPr>
        <w:footnoteReference w:id="145"/>
      </w:r>
      <w:r>
        <w:rPr>
          <w:rFonts w:eastAsia="Arial Unicode MS" w:cs="Arial Unicode MS"/>
        </w:rPr>
        <w:t>.</w:t>
      </w:r>
    </w:p>
    <w:p w14:paraId="29DE55C7" w14:textId="77777777" w:rsidR="001A105D" w:rsidRDefault="00000000">
      <w:pPr>
        <w:pStyle w:val="NoSpacing"/>
        <w:numPr>
          <w:ilvl w:val="0"/>
          <w:numId w:val="33"/>
        </w:numPr>
      </w:pPr>
      <w:r>
        <w:rPr>
          <w:rFonts w:eastAsia="Arial Unicode MS" w:cs="Arial Unicode MS"/>
        </w:rPr>
        <w:t>Perú ha promulgado medidas significativas para abordar la discriminación hacia personas con discapacidad. El Decreto Legislativo No. 1384/2018 fue destacado por organizaciones de la sociedad civil como una importante iniciativa para concientizar sobre los derechos de estas personas y fomentar un cambio cultural que prevenga la discriminación</w:t>
      </w:r>
      <w:r>
        <w:rPr>
          <w:vertAlign w:val="superscript"/>
        </w:rPr>
        <w:footnoteReference w:id="146"/>
      </w:r>
      <w:r>
        <w:rPr>
          <w:rFonts w:eastAsia="Arial Unicode MS" w:cs="Arial Unicode MS"/>
        </w:rPr>
        <w:t>. Sin embargo, se señaló que las campañas bajo sus auspicios han sido esporádicas y que el decreto carece de medidas de monitoreo. Se destaca también la vigencia de la Ley 28.867, que modifica el artículo 323 del Código Penal, y establece sanciones para actos discriminatorios, ya sea directos o instigados públicamente, abordando diversas motivaciones discriminatorias, incluida la discapacidad</w:t>
      </w:r>
      <w:r>
        <w:rPr>
          <w:vertAlign w:val="superscript"/>
        </w:rPr>
        <w:footnoteReference w:id="147"/>
      </w:r>
      <w:r>
        <w:rPr>
          <w:rFonts w:eastAsia="Arial Unicode MS" w:cs="Arial Unicode MS"/>
        </w:rPr>
        <w:t>.</w:t>
      </w:r>
    </w:p>
    <w:p w14:paraId="518D844A" w14:textId="77777777" w:rsidR="001A105D" w:rsidRDefault="00000000">
      <w:pPr>
        <w:pStyle w:val="NoSpacing"/>
        <w:numPr>
          <w:ilvl w:val="0"/>
          <w:numId w:val="33"/>
        </w:numPr>
      </w:pPr>
      <w:r>
        <w:rPr>
          <w:rFonts w:eastAsia="Arial Unicode MS" w:cs="Arial Unicode MS"/>
        </w:rPr>
        <w:t xml:space="preserve">Además, la “Política Nacional Multisectorial en Discapacidad para el Desarrollo al 2030”, instituida por el Estado peruano el 2021, subrayó el compromiso de reducir la discriminación estructural hacia las personas con discapacidad, buscando su </w:t>
      </w:r>
      <w:r>
        <w:rPr>
          <w:rFonts w:eastAsia="Arial Unicode MS" w:cs="Arial Unicode MS"/>
        </w:rPr>
        <w:lastRenderedPageBreak/>
        <w:t>desarrollo integral y la plena garantía de sus derechos en una sociedad inclusiva para el año 2030</w:t>
      </w:r>
      <w:r>
        <w:rPr>
          <w:vertAlign w:val="superscript"/>
        </w:rPr>
        <w:footnoteReference w:id="148"/>
      </w:r>
      <w:r>
        <w:rPr>
          <w:rFonts w:eastAsia="Arial Unicode MS" w:cs="Arial Unicode MS"/>
        </w:rPr>
        <w:t>.</w:t>
      </w:r>
    </w:p>
    <w:p w14:paraId="3D18F249" w14:textId="77777777" w:rsidR="001A105D" w:rsidRDefault="00000000">
      <w:pPr>
        <w:pStyle w:val="NoSpacing"/>
        <w:numPr>
          <w:ilvl w:val="0"/>
          <w:numId w:val="33"/>
        </w:numPr>
      </w:pPr>
      <w:r>
        <w:rPr>
          <w:rFonts w:eastAsia="Arial Unicode MS" w:cs="Arial Unicode MS"/>
        </w:rPr>
        <w:t xml:space="preserve">La Comisión Interamericana destaca que muchos Estados de la región han implementado políticas públicas que, en alguna extensión, buscan incluir a las personas con discapacidad y prevenir su discriminación. Sin embargo, aunque las leyes y constituciones les reconocen derechos fundamentales, tales como educación, salud y trabajo, su aplicación práctica es limitada, con escasa fiscalización. La persistencia de enfoques médicos al abordar la discapacidad en los países de la región se traduce en estereotipos negativos, especialmente hacia las personas con discapacidad psicosocial e intelectual. </w:t>
      </w:r>
    </w:p>
    <w:p w14:paraId="0113A77A" w14:textId="77777777" w:rsidR="001A105D" w:rsidRDefault="00000000">
      <w:pPr>
        <w:pStyle w:val="NoSpacing"/>
        <w:numPr>
          <w:ilvl w:val="0"/>
          <w:numId w:val="33"/>
        </w:numPr>
      </w:pPr>
      <w:r>
        <w:rPr>
          <w:rFonts w:eastAsia="Arial Unicode MS" w:cs="Arial Unicode MS"/>
        </w:rPr>
        <w:t>El cambio de patrones discriminatorios evoca un ejercicio de políticas públicas permanente y sistemático para eliminar los estigmas del paradigma médico, tan arraigado en la cultura, en las prácticas simbólicas y la vida social de la población. En este sentido, las campañas de concientización observadas en los países de las Américas son limitadas y tienden a realizarse durante un periodo específico, tales como fechas conmemorativas de derechos de las personas con discapacidad. La transición hacia un marco legal y social que promueva la igualdad y elimine estigmatizaciones requiere de un compromiso continuo y coordinado.</w:t>
      </w:r>
    </w:p>
    <w:p w14:paraId="6A0C9556" w14:textId="77777777" w:rsidR="001A105D" w:rsidRDefault="00000000">
      <w:pPr>
        <w:pStyle w:val="NoSpacing"/>
        <w:numPr>
          <w:ilvl w:val="0"/>
          <w:numId w:val="33"/>
        </w:numPr>
      </w:pPr>
      <w:r>
        <w:rPr>
          <w:rFonts w:eastAsia="Arial Unicode MS" w:cs="Arial Unicode MS"/>
        </w:rPr>
        <w:t xml:space="preserve">Los Estados de la región deben reforzar sus leyes, políticas públicas y acciones, tanto en el ámbito público como privado, </w:t>
      </w:r>
      <w:r>
        <w:rPr>
          <w:rFonts w:eastAsia="Arial Unicode MS" w:cs="Arial Unicode MS"/>
        </w:rPr>
        <w:lastRenderedPageBreak/>
        <w:t xml:space="preserve">adoptando un enfoque basado en el modelo social y de derechos humanos para abordar la discapacidad. Es esencial que se establezcan mecanismos eficaces para prevenir, investigar y sancionar cualquier discriminación y violación de los derechos de las personas con discapacidad. </w:t>
      </w:r>
    </w:p>
    <w:p w14:paraId="7FC9EFE9" w14:textId="77777777" w:rsidR="001A105D" w:rsidRDefault="00000000">
      <w:pPr>
        <w:pStyle w:val="Heading3"/>
        <w:numPr>
          <w:ilvl w:val="0"/>
          <w:numId w:val="54"/>
        </w:numPr>
      </w:pPr>
      <w:bookmarkStart w:id="14" w:name="_Toc11"/>
      <w:r>
        <w:rPr>
          <w:rFonts w:eastAsia="Arial Unicode MS" w:cs="Arial Unicode MS"/>
          <w:lang w:val="es-ES_tradnl"/>
        </w:rPr>
        <w:t>Discriminación interseccional y grupos en situación especial de riesgo</w:t>
      </w:r>
      <w:bookmarkEnd w:id="14"/>
    </w:p>
    <w:p w14:paraId="0105C9FD" w14:textId="77777777" w:rsidR="001A105D" w:rsidRDefault="00000000">
      <w:pPr>
        <w:pStyle w:val="NoSpacing"/>
        <w:numPr>
          <w:ilvl w:val="0"/>
          <w:numId w:val="55"/>
        </w:numPr>
      </w:pPr>
      <w:r>
        <w:t>Las personas con discapacidad no son un grupo homogéneo. En realidad, son personas que experimentan diversas categorizaciones sociales, identidades y realidades de manera interseccional. Entre estas, se contemplan aspectos como sexo, género, estatus social, pertenencia a comunidades indígenas, ascendencia afrodescendiente, condición de refugiadas, solicitantes de asilo, desplazadas internas o privadas de libertad en diversos contextos (centros de salud mental, instituciones residenciales, centros dedicados a la infancia y penitenciarios). También pueden encontrarse en situaciones de pobreza, pertenecer a distintas afiliaciones religiosas o ser LGTBI, entre otras situaciones de vulnerabilidad.</w:t>
      </w:r>
    </w:p>
    <w:p w14:paraId="5622AAA1" w14:textId="77777777" w:rsidR="001A105D" w:rsidRDefault="00000000">
      <w:pPr>
        <w:pStyle w:val="NoSpacing"/>
        <w:numPr>
          <w:ilvl w:val="0"/>
          <w:numId w:val="33"/>
        </w:numPr>
      </w:pPr>
      <w:r>
        <w:t xml:space="preserve">Esta multiplicidad de identidades y situaciones genera una dinámica de privilegio y opresiones que pueden exacerbar o mitigar la discriminación estructural que las personas con discapacidad enfrentan. Tanto las desventajas como los privilegios que tiene una persona en un momento y lugar determinados no pueden entenderse examinándolos de manera aislada. Se debe prestar atención al conjunto de relaciones de poder que le afectan, incluidas aquellas fuerzas a nivel sistémico, como las que perpetúan las instituciones –el </w:t>
      </w:r>
      <w:r>
        <w:lastRenderedPageBreak/>
        <w:t>patriarcado, el capitalismo, el racismo, el capacitismo, el colonialismo -; y las fuerzas a nivel personal, social y relacional, entre ellas sus características individuales y la estructura de su familia o comunidad</w:t>
      </w:r>
      <w:r>
        <w:rPr>
          <w:vertAlign w:val="superscript"/>
        </w:rPr>
        <w:footnoteReference w:id="149"/>
      </w:r>
      <w:r>
        <w:t xml:space="preserve">. </w:t>
      </w:r>
    </w:p>
    <w:p w14:paraId="0AF8B36A" w14:textId="77777777" w:rsidR="001A105D" w:rsidRDefault="00000000">
      <w:pPr>
        <w:pStyle w:val="NoSpacing"/>
        <w:numPr>
          <w:ilvl w:val="0"/>
          <w:numId w:val="33"/>
        </w:numPr>
      </w:pPr>
      <w:r>
        <w:t>A menudo la intersección de categorizaciones sociales que les marginan produce barreras y problemáticas nuevas, únicas y complejas para cada persona, resultando en experiencias de discriminación múltiple e interseccional</w:t>
      </w:r>
      <w:r>
        <w:rPr>
          <w:vertAlign w:val="superscript"/>
        </w:rPr>
        <w:footnoteReference w:id="150"/>
      </w:r>
      <w:r>
        <w:t xml:space="preserve">. La discriminación se profundiza debido a la pertenencia simultánea a diversas categorías sociales, amplificando los desafíos que enfrentan. La comprensión de esta diversidad y la consideración de las intersecciones son esenciales para abordar adecuadamente las necesidades y derechos de las personas con discapacidad en todas sus dimensiones, ya que dichas intersecciones impactan de manera diversa y más profunda la calidad y el grado de su acceso a la educación, a la salud, al trabajo, a la participación política y social, a la toma de decisiones, la vida independiente, la protección social y su acceso a la justicia, entre otros ámbitos, a lo largo de sus vidas. </w:t>
      </w:r>
    </w:p>
    <w:p w14:paraId="0207AF0C" w14:textId="77777777" w:rsidR="001A105D" w:rsidRDefault="00000000">
      <w:pPr>
        <w:pStyle w:val="NoSpacing"/>
        <w:numPr>
          <w:ilvl w:val="0"/>
          <w:numId w:val="33"/>
        </w:numPr>
      </w:pPr>
      <w:r>
        <w:rPr>
          <w:rFonts w:eastAsia="Arial Unicode MS" w:cs="Arial Unicode MS"/>
        </w:rPr>
        <w:t xml:space="preserve">Al respecto, tal como mencionó el Comité CDPD, la discriminación interseccional se refiere a una situación en la que varios motivos de discriminación operan e interactúan al </w:t>
      </w:r>
      <w:r>
        <w:rPr>
          <w:rFonts w:eastAsia="Arial Unicode MS" w:cs="Arial Unicode MS"/>
        </w:rPr>
        <w:lastRenderedPageBreak/>
        <w:t>mismo tiempo, de manera que son inseparables. De este modo, dichos motivos exponen a las personas afectadas a experiencias singulares de desventaja y marginación</w:t>
      </w:r>
      <w:r>
        <w:rPr>
          <w:vertAlign w:val="superscript"/>
        </w:rPr>
        <w:footnoteReference w:id="151"/>
      </w:r>
      <w:r>
        <w:rPr>
          <w:rFonts w:eastAsia="Arial Unicode MS" w:cs="Arial Unicode MS"/>
        </w:rPr>
        <w:t>.</w:t>
      </w:r>
    </w:p>
    <w:p w14:paraId="7BD3020C" w14:textId="77777777" w:rsidR="001A105D" w:rsidRDefault="00000000">
      <w:pPr>
        <w:pStyle w:val="NoSpacing"/>
        <w:numPr>
          <w:ilvl w:val="0"/>
          <w:numId w:val="33"/>
        </w:numPr>
      </w:pPr>
      <w:r>
        <w:rPr>
          <w:rFonts w:eastAsia="Arial Unicode MS" w:cs="Arial Unicode MS"/>
        </w:rPr>
        <w:t>En este escenario, las niñas, adolescentes y mujeres con discapacidad enfrentan notables desafíos para acceder a servicios de salud de calidad, y en particular a los servicios de salud sexual y reproductiva, así como para acceder a la justicia, especialmente en casos de abuso o violencia sexual, según ya lo ha manifestado Naciones Unidas</w:t>
      </w:r>
      <w:r>
        <w:rPr>
          <w:vertAlign w:val="superscript"/>
        </w:rPr>
        <w:footnoteReference w:id="152"/>
      </w:r>
      <w:r>
        <w:rPr>
          <w:rFonts w:eastAsia="Arial Unicode MS" w:cs="Arial Unicode MS"/>
        </w:rPr>
        <w:t>. Además, los centros de justicia no están debidamente preparados para atender las necesidades específicas de estas mujeres y niñas. Operadores judiciales, en ocasiones, cuestionan sus declaraciones debido a su discapacidad y su género, lo que constituye una barrera significativa para su derecho al acceso a la justicia</w:t>
      </w:r>
      <w:r>
        <w:rPr>
          <w:vertAlign w:val="superscript"/>
        </w:rPr>
        <w:footnoteReference w:id="153"/>
      </w:r>
      <w:r>
        <w:rPr>
          <w:rFonts w:eastAsia="Arial Unicode MS" w:cs="Arial Unicode MS"/>
        </w:rPr>
        <w:t>.</w:t>
      </w:r>
    </w:p>
    <w:p w14:paraId="69028A62" w14:textId="77777777" w:rsidR="001A105D" w:rsidRDefault="00000000">
      <w:pPr>
        <w:pStyle w:val="NoSpacing"/>
        <w:numPr>
          <w:ilvl w:val="0"/>
          <w:numId w:val="33"/>
        </w:numPr>
      </w:pPr>
      <w:r>
        <w:rPr>
          <w:rFonts w:eastAsia="Arial Unicode MS" w:cs="Arial Unicode MS"/>
        </w:rPr>
        <w:t xml:space="preserve">Adicionalmente, se tiene conocimiento de centros de atención para mujeres sobrevivientes de violencia que carecen de accesibilidad y el personal no está adecuadamente capacitado, tanto en derechos de las personas con discapacidad como en el enfoque interseccional. Esto conlleva a la reproducción de prejuicios y estereotipos, resultando en un escrutinio adicional </w:t>
      </w:r>
      <w:r>
        <w:rPr>
          <w:rFonts w:eastAsia="Arial Unicode MS" w:cs="Arial Unicode MS"/>
        </w:rPr>
        <w:lastRenderedPageBreak/>
        <w:t>hacia las mujeres con discapacidad y, por ende, en una doble victimización de ellas cuando buscan acceder a la justicia</w:t>
      </w:r>
      <w:r>
        <w:rPr>
          <w:vertAlign w:val="superscript"/>
        </w:rPr>
        <w:footnoteReference w:id="154"/>
      </w:r>
      <w:r>
        <w:rPr>
          <w:rFonts w:eastAsia="Arial Unicode MS" w:cs="Arial Unicode MS"/>
        </w:rPr>
        <w:t>.</w:t>
      </w:r>
    </w:p>
    <w:p w14:paraId="2183C478" w14:textId="77777777" w:rsidR="001A105D" w:rsidRDefault="00000000">
      <w:pPr>
        <w:pStyle w:val="NoSpacing"/>
        <w:numPr>
          <w:ilvl w:val="0"/>
          <w:numId w:val="33"/>
        </w:numPr>
      </w:pPr>
      <w:r>
        <w:rPr>
          <w:rFonts w:eastAsia="Arial Unicode MS" w:cs="Arial Unicode MS"/>
        </w:rPr>
        <w:t>El Banco Mundial ha destacado que la presencia de una persona con discapacidad en un hogar incrementa la probabilidad de que este se encuentre en situación de pobreza, especialmente cuando al menos un miembro del hogar se identifica como indígena o afrodescendiente.</w:t>
      </w:r>
      <w:r>
        <w:rPr>
          <w:vertAlign w:val="superscript"/>
        </w:rPr>
        <w:footnoteReference w:id="155"/>
      </w:r>
      <w:r>
        <w:rPr>
          <w:rFonts w:eastAsia="Arial Unicode MS" w:cs="Arial Unicode MS"/>
        </w:rPr>
        <w:t xml:space="preserve"> Este señalamiento resalta la intersección entre la discriminación por discapacidad y el origen étnico-racial, subrayando cómo estas diversas formas de discriminación se entrelazan y contribuyen a la vulnerabilidad económica de los hogares.</w:t>
      </w:r>
    </w:p>
    <w:p w14:paraId="5714F487" w14:textId="77777777" w:rsidR="001A105D" w:rsidRDefault="00000000">
      <w:pPr>
        <w:pStyle w:val="NoSpacing"/>
        <w:numPr>
          <w:ilvl w:val="0"/>
          <w:numId w:val="33"/>
        </w:numPr>
      </w:pPr>
      <w:r>
        <w:rPr>
          <w:rFonts w:eastAsia="Arial Unicode MS" w:cs="Arial Unicode MS"/>
        </w:rPr>
        <w:t>Las personas con discapacidad LGBTI también experimentan violencias específicas e interseccionales. En muchas ocasiones, su situación de discapacidad lleva a un mayor desafío en cuanto al reconocimiento de sus orientaciones sexuales y/o identidades de género. Esto resulta en una menor o nula libertad para elegir y expresar sus decisiones en estos aspectos de sus vidas</w:t>
      </w:r>
      <w:r>
        <w:rPr>
          <w:vertAlign w:val="superscript"/>
        </w:rPr>
        <w:footnoteReference w:id="156"/>
      </w:r>
      <w:r>
        <w:rPr>
          <w:rFonts w:eastAsia="Arial Unicode MS" w:cs="Arial Unicode MS"/>
        </w:rPr>
        <w:t>.</w:t>
      </w:r>
    </w:p>
    <w:p w14:paraId="59F5BD14" w14:textId="77777777" w:rsidR="001A105D" w:rsidRDefault="00000000">
      <w:pPr>
        <w:pStyle w:val="NoSpacing"/>
        <w:numPr>
          <w:ilvl w:val="0"/>
          <w:numId w:val="33"/>
        </w:numPr>
      </w:pPr>
      <w:r>
        <w:rPr>
          <w:rFonts w:eastAsia="Arial Unicode MS" w:cs="Arial Unicode MS"/>
        </w:rPr>
        <w:t xml:space="preserve">La CIDH considera que la carencia de un enfoque interseccional en las leyes y políticas públicas de los Estados de la región, tanto en aquellas relacionadas directamente con </w:t>
      </w:r>
      <w:r>
        <w:rPr>
          <w:rFonts w:eastAsia="Arial Unicode MS" w:cs="Arial Unicode MS"/>
        </w:rPr>
        <w:lastRenderedPageBreak/>
        <w:t>la discapacidad como en todos los temas de interés público y social, agrava la exposición de las personas con discapacidad a situaciones de constante discriminación. Contribuye a esta situación una atención y respuesta estandarizada a las necesidades de las personas con discapacidad, que no toman en cuenta su diversidad y complejidad humana.</w:t>
      </w:r>
    </w:p>
    <w:p w14:paraId="43638088" w14:textId="77777777" w:rsidR="001A105D" w:rsidRDefault="00000000">
      <w:pPr>
        <w:pStyle w:val="Heading3"/>
        <w:numPr>
          <w:ilvl w:val="0"/>
          <w:numId w:val="56"/>
        </w:numPr>
      </w:pPr>
      <w:bookmarkStart w:id="15" w:name="_Toc12"/>
      <w:r>
        <w:rPr>
          <w:rFonts w:eastAsia="Arial Unicode MS" w:cs="Arial Unicode MS"/>
          <w:lang w:val="es-ES_tradnl"/>
        </w:rPr>
        <w:t>El enfoque interseccional, cuidados y apoyos</w:t>
      </w:r>
      <w:bookmarkEnd w:id="15"/>
    </w:p>
    <w:p w14:paraId="5B46BA32" w14:textId="77777777" w:rsidR="001A105D" w:rsidRDefault="00000000">
      <w:pPr>
        <w:pStyle w:val="NoSpacing"/>
        <w:numPr>
          <w:ilvl w:val="0"/>
          <w:numId w:val="33"/>
        </w:numPr>
      </w:pPr>
      <w:r>
        <w:rPr>
          <w:rFonts w:eastAsia="Arial Unicode MS" w:cs="Arial Unicode MS"/>
        </w:rPr>
        <w:t>En el contexto de un enfoque interseccional en el monitoreo de los derechos humanos, atendiendo a la indivisibilidad e interdependencia de estos, la Comisión considera que es crucial abordar la agenda de cuidado que está emergiendo en la región, ya que su enfoque en políticas públicas también influye en la calidad del ejercicio de los derechos de las personas con discapacidad, especialmente de las mujeres, la infancia y las personas adultas mayores con discapacidad. Esta agenda se fundamenta en la promoción de sociedades del cuidado, reconociendo que todas las personas tienen derecho a dar y recibir apoyo en su vida diaria. Se destaca que todas las personas desempeñan roles de cuidado y son cuidadas en distintos momentos de sus vidas.</w:t>
      </w:r>
      <w:r>
        <w:rPr>
          <w:vertAlign w:val="superscript"/>
        </w:rPr>
        <w:footnoteReference w:id="157"/>
      </w:r>
    </w:p>
    <w:p w14:paraId="4361F35F" w14:textId="77777777" w:rsidR="001A105D" w:rsidRDefault="00000000">
      <w:pPr>
        <w:pStyle w:val="NoSpacing"/>
        <w:numPr>
          <w:ilvl w:val="0"/>
          <w:numId w:val="33"/>
        </w:numPr>
      </w:pPr>
      <w:r>
        <w:rPr>
          <w:rFonts w:eastAsia="Arial Unicode MS" w:cs="Arial Unicode MS"/>
        </w:rPr>
        <w:t xml:space="preserve">Esto implica reconocer, en primer lugar, que las situaciones de dependencia pueden disminuir, ser temporales o erradicarse mediante la eliminación de barreras ambientales. Del mismo modo, implica promover la corresponsabilidad social y comunitaria en el cuidado, contribuyendo a descentralizar esa tarea desde las familias y a la desinstitucionalización del cuidado. En segundo lugar, implica que la compensación </w:t>
      </w:r>
      <w:r>
        <w:rPr>
          <w:rFonts w:eastAsia="Arial Unicode MS" w:cs="Arial Unicode MS"/>
        </w:rPr>
        <w:lastRenderedPageBreak/>
        <w:t>económica por el ejercicio del cuidado debe entregarse directamente a las personas adultas con discapacidad que necesiten dichos servicios, permitiéndoles decidir quién y cómo se los proporciona.</w:t>
      </w:r>
      <w:r>
        <w:rPr>
          <w:vertAlign w:val="superscript"/>
        </w:rPr>
        <w:footnoteReference w:id="158"/>
      </w:r>
    </w:p>
    <w:p w14:paraId="1FC249DF" w14:textId="77777777" w:rsidR="001A105D" w:rsidRDefault="00000000">
      <w:pPr>
        <w:pStyle w:val="NoSpacing"/>
        <w:numPr>
          <w:ilvl w:val="0"/>
          <w:numId w:val="33"/>
        </w:numPr>
      </w:pPr>
      <w:r>
        <w:rPr>
          <w:rFonts w:eastAsia="Arial Unicode MS" w:cs="Arial Unicode MS"/>
        </w:rPr>
        <w:t>Adicionalmente, es fundamental asegurar el pleno ejercicio de la capacidad jurídica de las personas con discapacidad para que puedan determinar el tipo de apoyo y las condiciones en que lo necesitan. Esto implica la implementación de políticas, servicios e infraestructuras accesibles que garanticen su acceso en igualdad de condiciones a cuidar, a recibir cuidado y al autocuidado. Estas medidas también conllevan implicaciones más amplias desde una perspectiva interseccional, como el derecho de las mujeres con discapacidad a ejercer la maternidad y el cuidado de sus hijos, con los apoyos necesarios.</w:t>
      </w:r>
      <w:r>
        <w:rPr>
          <w:vertAlign w:val="superscript"/>
        </w:rPr>
        <w:footnoteReference w:id="159"/>
      </w:r>
    </w:p>
    <w:p w14:paraId="7B98B8FD" w14:textId="77777777" w:rsidR="001A105D" w:rsidRDefault="00000000">
      <w:pPr>
        <w:pStyle w:val="NoSpacing"/>
        <w:numPr>
          <w:ilvl w:val="0"/>
          <w:numId w:val="33"/>
        </w:numPr>
      </w:pPr>
      <w:r>
        <w:rPr>
          <w:rFonts w:eastAsia="Arial Unicode MS" w:cs="Arial Unicode MS"/>
        </w:rPr>
        <w:t>En este sentido, la Comisión saluda “El compromiso de Buenos Aires”, asumido por los Estados miembros de la Comisión Económica para América Latina y el Caribe (CEPAL) durante la XV Conferencia Regional sobre la Mujer de América Latina y el Caribe en noviembre de 2022. Este compromiso reconoce el cuidado desde una perspectiva de género, interseccional e intercultural.</w:t>
      </w:r>
    </w:p>
    <w:p w14:paraId="2CFDBEF8" w14:textId="77777777" w:rsidR="001A105D" w:rsidRDefault="00000000">
      <w:pPr>
        <w:pStyle w:val="NoSpacing"/>
        <w:numPr>
          <w:ilvl w:val="0"/>
          <w:numId w:val="33"/>
        </w:numPr>
      </w:pPr>
      <w:r>
        <w:rPr>
          <w:rFonts w:eastAsia="Arial Unicode MS" w:cs="Arial Unicode MS"/>
        </w:rPr>
        <w:t xml:space="preserve">Asimismo, se toma nota del informe presentado por el Alto Comisionado de las Naciones Unidas al Consejo de Derechos Humanos sobre “Sistemas de Apoyo para asegurar la inclusión </w:t>
      </w:r>
      <w:r>
        <w:rPr>
          <w:rFonts w:eastAsia="Arial Unicode MS" w:cs="Arial Unicode MS"/>
        </w:rPr>
        <w:lastRenderedPageBreak/>
        <w:t>en la comunidad de las personas con discapacidad como una manera de construir un mejor futuro después de la pandemia del COVID-19”, publicado en enero de 2023</w:t>
      </w:r>
      <w:r>
        <w:rPr>
          <w:vertAlign w:val="superscript"/>
        </w:rPr>
        <w:footnoteReference w:id="160"/>
      </w:r>
      <w:r>
        <w:rPr>
          <w:rFonts w:eastAsia="Arial Unicode MS" w:cs="Arial Unicode MS"/>
        </w:rPr>
        <w:t>. La CIDH insta a los Estados a incluir este tema en sus legislaciones internas y a establecer los mecanismos correspondientes para garantizar sistemas de apoyo y cuidados como parte integral de las políticas de protección social y políticas de apoyo basadas en la comunidad.</w:t>
      </w:r>
    </w:p>
    <w:p w14:paraId="1D93E9B7" w14:textId="77777777" w:rsidR="001A105D" w:rsidRDefault="00000000">
      <w:pPr>
        <w:pStyle w:val="Heading2"/>
        <w:numPr>
          <w:ilvl w:val="0"/>
          <w:numId w:val="57"/>
        </w:numPr>
      </w:pPr>
      <w:bookmarkStart w:id="16" w:name="_Toc13"/>
      <w:r>
        <w:rPr>
          <w:rFonts w:eastAsia="Arial Unicode MS" w:cs="Arial Unicode MS"/>
        </w:rPr>
        <w:t>PROTECCIÓN DE DETERMINADOS DERECHOS</w:t>
      </w:r>
      <w:bookmarkEnd w:id="16"/>
    </w:p>
    <w:p w14:paraId="4E79DF1B" w14:textId="77777777" w:rsidR="001A105D" w:rsidRDefault="00000000">
      <w:pPr>
        <w:pStyle w:val="NoSpacing"/>
        <w:numPr>
          <w:ilvl w:val="0"/>
          <w:numId w:val="58"/>
        </w:numPr>
      </w:pPr>
      <w:r>
        <w:rPr>
          <w:rFonts w:eastAsia="Arial Unicode MS" w:cs="Arial Unicode MS"/>
        </w:rPr>
        <w:t>La efectividad de los derechos humanos de las personas con discapacidad radica no solo en marcos legales transversales e inclusivos robustos, sino también en una aplicación práctica y efectiva con enfoques diferenciales. En este apartado se analizará cómo se materializa el ejercicio de ciertos derechos para este grupo desde los Estados parte, considerando el principio de la accesibilidad universal como transversal en distintos derechos claves, tales como la educación, el trabajo y la salud.</w:t>
      </w:r>
    </w:p>
    <w:p w14:paraId="3470EF8B" w14:textId="77777777" w:rsidR="001A105D" w:rsidRDefault="00000000">
      <w:pPr>
        <w:pStyle w:val="Heading3"/>
        <w:numPr>
          <w:ilvl w:val="0"/>
          <w:numId w:val="59"/>
        </w:numPr>
      </w:pPr>
      <w:bookmarkStart w:id="17" w:name="_Toc14"/>
      <w:r>
        <w:rPr>
          <w:rFonts w:eastAsia="Arial Unicode MS" w:cs="Arial Unicode MS"/>
          <w:lang w:val="es-ES_tradnl"/>
        </w:rPr>
        <w:t>Accesibilidad</w:t>
      </w:r>
      <w:bookmarkEnd w:id="17"/>
    </w:p>
    <w:p w14:paraId="6BA26E14" w14:textId="77777777" w:rsidR="001A105D" w:rsidRDefault="00000000">
      <w:pPr>
        <w:pStyle w:val="NoSpacing"/>
        <w:numPr>
          <w:ilvl w:val="0"/>
          <w:numId w:val="60"/>
        </w:numPr>
      </w:pPr>
      <w:r>
        <w:rPr>
          <w:rFonts w:eastAsia="Arial Unicode MS" w:cs="Arial Unicode MS"/>
        </w:rPr>
        <w:t xml:space="preserve">El Comité de Naciones Unidas sobre los derechos de las personas con discapacidad ha destacado la accesibilidad como un principio fundamental, esencial para el ejercicio pleno de todos los derechos humanos por parte de este grupo de la población, según el modelo social. Sin medidas de </w:t>
      </w:r>
      <w:r>
        <w:rPr>
          <w:rFonts w:eastAsia="Arial Unicode MS" w:cs="Arial Unicode MS"/>
        </w:rPr>
        <w:lastRenderedPageBreak/>
        <w:t>accesibilidad puestas en práctica, las personas con discapacidad enfrentan desigualdad en el disfrute de derechos como la educación, la salud, el trabajo digno y los derechos políticos, entre otros</w:t>
      </w:r>
      <w:r>
        <w:rPr>
          <w:vertAlign w:val="superscript"/>
        </w:rPr>
        <w:footnoteReference w:id="161"/>
      </w:r>
      <w:r>
        <w:rPr>
          <w:rFonts w:eastAsia="Arial Unicode MS" w:cs="Arial Unicode MS"/>
        </w:rPr>
        <w:t>.</w:t>
      </w:r>
    </w:p>
    <w:p w14:paraId="5165D326" w14:textId="77777777" w:rsidR="001A105D" w:rsidRDefault="00000000">
      <w:pPr>
        <w:pStyle w:val="NoSpacing"/>
        <w:numPr>
          <w:ilvl w:val="0"/>
          <w:numId w:val="33"/>
        </w:numPr>
      </w:pPr>
      <w:r>
        <w:rPr>
          <w:rFonts w:eastAsia="Arial Unicode MS" w:cs="Arial Unicode MS"/>
        </w:rPr>
        <w:t>El principio de la accesibilidad garantiza que cualquier persona pueda acceder y utilizar los entornos físicos, transporte, vivienda, información y comunicación, entre otros. Ello, en igualdad de condiciones, con un esfuerzo mínimo o nulo, facilitando su participación plena en todos los aspectos de la vida.  Está vinculado a la garantía del derecho a la igualdad. Además, la accesibilidad se considera un derecho humano en sí mismo, que no debe confundirse con los “ajustes razonables”. Estos últimos son los medios para asegurar el ejercicio de dicho derecho. La falta de accesibilidad equivale a discriminación, reforzando la importancia de integrar este principio en todas las políticas públicas</w:t>
      </w:r>
      <w:r>
        <w:rPr>
          <w:vertAlign w:val="superscript"/>
        </w:rPr>
        <w:footnoteReference w:id="162"/>
      </w:r>
      <w:r>
        <w:rPr>
          <w:rFonts w:eastAsia="Arial Unicode MS" w:cs="Arial Unicode MS"/>
        </w:rPr>
        <w:t>.</w:t>
      </w:r>
    </w:p>
    <w:p w14:paraId="4A624992" w14:textId="77777777" w:rsidR="001A105D" w:rsidRDefault="00000000">
      <w:pPr>
        <w:pStyle w:val="NoSpacing"/>
        <w:numPr>
          <w:ilvl w:val="0"/>
          <w:numId w:val="33"/>
        </w:numPr>
      </w:pPr>
      <w:r>
        <w:rPr>
          <w:rFonts w:eastAsia="Arial Unicode MS" w:cs="Arial Unicode MS"/>
        </w:rPr>
        <w:t xml:space="preserve">El respaldo a este principio se encuentra tanto en el Sistema Interamericano como en el Sistema Universal. En el primero, la CIADDIS consagra este derecho en su artículo III, párrafo 1, reconociéndolo como un elemento primordial que debe ser satisfecho para eliminar la discriminación y promover la plena integración de las personas con discapacidad en la sociedad. Según dicha Convención, los Estados tienen una doble obligación vinculada con la facilitación del acceso y uso para las personas con discapacidad: por una parte, la de construir e </w:t>
      </w:r>
      <w:r>
        <w:rPr>
          <w:rFonts w:eastAsia="Arial Unicode MS" w:cs="Arial Unicode MS"/>
        </w:rPr>
        <w:lastRenderedPageBreak/>
        <w:t>implementar sistemas de acceso; y por la otra, eliminar los obstáculos a éstos</w:t>
      </w:r>
      <w:r>
        <w:rPr>
          <w:vertAlign w:val="superscript"/>
        </w:rPr>
        <w:footnoteReference w:id="163"/>
      </w:r>
      <w:r>
        <w:rPr>
          <w:rFonts w:eastAsia="Arial Unicode MS" w:cs="Arial Unicode MS"/>
        </w:rPr>
        <w:t xml:space="preserve">. </w:t>
      </w:r>
    </w:p>
    <w:p w14:paraId="37AD4E0A" w14:textId="77777777" w:rsidR="001A105D" w:rsidRDefault="00000000">
      <w:pPr>
        <w:pStyle w:val="NoSpacing"/>
        <w:numPr>
          <w:ilvl w:val="0"/>
          <w:numId w:val="33"/>
        </w:numPr>
      </w:pPr>
      <w:r>
        <w:t>En el mismo sentido, la CDPD considera la accesibilidad como un requisito esencial para la independencia y la participación plena de las personas con discapacidad en todos los aspectos de la vida. Este enfoque se integra dentro del deber de respetar, proteger y hacer efectivo el derecho a la igualdad</w:t>
      </w:r>
      <w:r>
        <w:rPr>
          <w:vertAlign w:val="superscript"/>
        </w:rPr>
        <w:footnoteReference w:id="164"/>
      </w:r>
      <w:r>
        <w:t>. En su artículo 3.f, dicho instrumento establece la accesibilidad como un principio y, en el artículo 9, la reconoce como un derecho independiente. Además, impone a los Estados la obligación de identificar y eliminar obstáculos y barreras a la accesibilidad</w:t>
      </w:r>
      <w:r>
        <w:rPr>
          <w:vertAlign w:val="superscript"/>
        </w:rPr>
        <w:footnoteReference w:id="165"/>
      </w:r>
      <w:r>
        <w:t>.</w:t>
      </w:r>
    </w:p>
    <w:p w14:paraId="0E97B3F9" w14:textId="77777777" w:rsidR="001A105D" w:rsidRDefault="00000000">
      <w:pPr>
        <w:pStyle w:val="NoSpacing"/>
        <w:numPr>
          <w:ilvl w:val="0"/>
          <w:numId w:val="33"/>
        </w:numPr>
      </w:pPr>
      <w:r>
        <w:t>La CDPD también insta a desarrollar, promulgar y supervisar la aplicación de normas nacionales mínimas sobre accesibilidad en instalaciones y servicios abiertos al público o de uso público. Esto garantiza que las personas con discapacidad tengan igualdad de acceso en comparación con las demás, abarcando el entorno físico, el transporte, la información y la comunicación, incluidos los sistemas y tecnologías de la información y las comunicaciones, así como otros servicios e instalaciones tanto en áreas urbanas como rurales</w:t>
      </w:r>
      <w:r>
        <w:rPr>
          <w:vertAlign w:val="superscript"/>
        </w:rPr>
        <w:footnoteReference w:id="166"/>
      </w:r>
      <w:r>
        <w:t>.</w:t>
      </w:r>
    </w:p>
    <w:p w14:paraId="6CDFFEDE" w14:textId="77777777" w:rsidR="001A105D" w:rsidRDefault="00000000">
      <w:pPr>
        <w:pStyle w:val="NoSpacing"/>
        <w:numPr>
          <w:ilvl w:val="0"/>
          <w:numId w:val="33"/>
        </w:numPr>
      </w:pPr>
      <w:r>
        <w:lastRenderedPageBreak/>
        <w:t>En este marco, es de señalar que el Comité sobre los Derechos de las Personas con Discapacidad ha determinado que los Estados no pueden utilizar medidas de austeridad como justificación para el incumplimiento de sus obligaciones internacionales en materia de accesibilidad. Se considera discriminatorio negar el acceso a personas con discapacidad a un espacio o servicio después de establecer normas de accesibilidad. Asimismo, se prohíbe la discriminación cuando el acceso podría haberse garantizado mediante ajustes razonables</w:t>
      </w:r>
      <w:r>
        <w:rPr>
          <w:vertAlign w:val="superscript"/>
        </w:rPr>
        <w:footnoteReference w:id="167"/>
      </w:r>
      <w:r>
        <w:t>.</w:t>
      </w:r>
    </w:p>
    <w:p w14:paraId="68417951" w14:textId="77777777" w:rsidR="001A105D" w:rsidRDefault="00000000">
      <w:pPr>
        <w:pStyle w:val="NoSpacing"/>
        <w:numPr>
          <w:ilvl w:val="0"/>
          <w:numId w:val="33"/>
        </w:numPr>
      </w:pPr>
      <w:r>
        <w:t>Además, los países están obligados a desarrollar planes de acción y estrategias que identifiquen las barreras actuales a la accesibilidad. Deben establecer calendarios con plazos específicos para la eliminación de estas barreras y asignar los recursos humanos y materiales necesarios. También se espera que creen mecanismos de supervisión efectivos para verificar la aplicación de sanciones en caso de incumplimiento de estas normas</w:t>
      </w:r>
      <w:r>
        <w:rPr>
          <w:vertAlign w:val="superscript"/>
        </w:rPr>
        <w:footnoteReference w:id="168"/>
      </w:r>
      <w:r>
        <w:t>.</w:t>
      </w:r>
    </w:p>
    <w:p w14:paraId="32D7FD35" w14:textId="77777777" w:rsidR="001A105D" w:rsidRDefault="00000000">
      <w:pPr>
        <w:pStyle w:val="NoSpacing"/>
        <w:numPr>
          <w:ilvl w:val="0"/>
          <w:numId w:val="33"/>
        </w:numPr>
      </w:pPr>
      <w:r>
        <w:rPr>
          <w:rFonts w:eastAsia="Arial Unicode MS" w:cs="Arial Unicode MS"/>
        </w:rPr>
        <w:t xml:space="preserve">Los marcos jurídicos internacionales han proporcionado la base para que varios países de la región incluyeran el reconocimiento del derecho a la accesibilidad en sus legislaciones nacionales. Esto ha permitido avances en el reconocimiento de la accesibilidad como un principio y como un derecho independiente en leyes especiales que regulan los </w:t>
      </w:r>
      <w:r>
        <w:rPr>
          <w:rFonts w:eastAsia="Arial Unicode MS" w:cs="Arial Unicode MS"/>
        </w:rPr>
        <w:lastRenderedPageBreak/>
        <w:t>derechos de las personas con discapacidad</w:t>
      </w:r>
      <w:r>
        <w:rPr>
          <w:vertAlign w:val="superscript"/>
        </w:rPr>
        <w:footnoteReference w:id="169"/>
      </w:r>
      <w:r>
        <w:rPr>
          <w:rFonts w:eastAsia="Arial Unicode MS" w:cs="Arial Unicode MS"/>
        </w:rPr>
        <w:t>. Esto, sin perjuicio de regular el derecho en otras leyes, atendiendo a la interdependencia de los derechos humanos, mediante el establecimiento de la obligación de las autoridades de eliminar las barreras u obstáculos para acceder y ejercer diversos derechos humanos; en particular, en la educación, los servicios de salud, la movilidad, la información y comunicación, cultura, participación política y el derecho una vida digna, entre otros. En los subsecuentes apartados se abordará este derecho en relación con el derecho a la salud, los derechos políticos, la educación y el trabajo.</w:t>
      </w:r>
    </w:p>
    <w:p w14:paraId="2319997F" w14:textId="77777777" w:rsidR="001A105D" w:rsidRDefault="00000000">
      <w:pPr>
        <w:pStyle w:val="NoSpacing"/>
        <w:numPr>
          <w:ilvl w:val="0"/>
          <w:numId w:val="33"/>
        </w:numPr>
      </w:pPr>
      <w:r>
        <w:t>La Comisión destaca especialmente la decisión de países como Bolivia, Brasil y Ecuador de consagrar el derecho a la accesibilidad a nivel constitucional</w:t>
      </w:r>
      <w:r>
        <w:rPr>
          <w:vertAlign w:val="superscript"/>
        </w:rPr>
        <w:footnoteReference w:id="170"/>
      </w:r>
      <w:r>
        <w:t xml:space="preserve">. Este enfoque asegura la posibilidad de implementación continua del derecho </w:t>
      </w:r>
      <w:r>
        <w:lastRenderedPageBreak/>
        <w:t xml:space="preserve">independientemente de las variaciones en tendencias gubernamentales, cambios en leyes internas o situaciones contextuales. </w:t>
      </w:r>
    </w:p>
    <w:p w14:paraId="28225C4E" w14:textId="77777777" w:rsidR="001A105D" w:rsidRDefault="00000000">
      <w:pPr>
        <w:pStyle w:val="NoSpacing"/>
        <w:numPr>
          <w:ilvl w:val="0"/>
          <w:numId w:val="33"/>
        </w:numPr>
      </w:pPr>
      <w:r>
        <w:rPr>
          <w:rFonts w:eastAsia="Arial Unicode MS" w:cs="Arial Unicode MS"/>
        </w:rPr>
        <w:t>Además de garantizar los derechos de las personas con discapacidad en la Constitución Plurinacional de 2009, en el año 2014, Bolivia actualizó 17 normas relacionadas con la supresión de barreras arquitectónicas. Esta actualización se llevó a cabo mediante el documento “Accesibilidad de las Personas con Discapacidad al Medio Físico”, aprobado como Guía Nacional</w:t>
      </w:r>
      <w:r>
        <w:rPr>
          <w:vertAlign w:val="superscript"/>
        </w:rPr>
        <w:footnoteReference w:id="171"/>
      </w:r>
      <w:r>
        <w:rPr>
          <w:rFonts w:eastAsia="Arial Unicode MS" w:cs="Arial Unicode MS"/>
        </w:rPr>
        <w:t>.</w:t>
      </w:r>
    </w:p>
    <w:p w14:paraId="493BD488" w14:textId="77777777" w:rsidR="001A105D" w:rsidRDefault="00000000">
      <w:pPr>
        <w:pStyle w:val="NoSpacing"/>
        <w:numPr>
          <w:ilvl w:val="0"/>
          <w:numId w:val="33"/>
        </w:numPr>
      </w:pPr>
      <w:r>
        <w:rPr>
          <w:rFonts w:eastAsia="Arial Unicode MS" w:cs="Arial Unicode MS"/>
        </w:rPr>
        <w:t>La Ley No. 223 de Bolivia, en su artículo 36, impuso a las empresas de televisión, tanto públicas como privadas, la obligación de incluir la interpretación en Lengua de Señas Boliviana. Aunado a esto, se aprobó un Instructivo para la aplicación de la Tarifa Solidaria destinada a personas con discapacidad en los servicios públicos de transporte y telefonía móvil</w:t>
      </w:r>
      <w:r>
        <w:rPr>
          <w:vertAlign w:val="superscript"/>
        </w:rPr>
        <w:footnoteReference w:id="172"/>
      </w:r>
      <w:r>
        <w:rPr>
          <w:rFonts w:eastAsia="Arial Unicode MS" w:cs="Arial Unicode MS"/>
        </w:rPr>
        <w:t>.</w:t>
      </w:r>
    </w:p>
    <w:p w14:paraId="17554817" w14:textId="77777777" w:rsidR="001A105D" w:rsidRDefault="00000000">
      <w:pPr>
        <w:pStyle w:val="NoSpacing"/>
        <w:numPr>
          <w:ilvl w:val="0"/>
          <w:numId w:val="33"/>
        </w:numPr>
      </w:pPr>
      <w:r>
        <w:rPr>
          <w:rFonts w:eastAsia="Arial Unicode MS" w:cs="Arial Unicode MS"/>
        </w:rPr>
        <w:t xml:space="preserve">En Brasil, se reconoce constitucionalmente el derecho a la accesibilidad de manera transversal, considerándolo un instrumento para el goce y ejercicio de diversos derechos humanos, tales como el derecho al trabajo, a un salario equitativo, a la participación política, a la educación inclusiva, a </w:t>
      </w:r>
      <w:r>
        <w:rPr>
          <w:rFonts w:eastAsia="Arial Unicode MS" w:cs="Arial Unicode MS"/>
        </w:rPr>
        <w:lastRenderedPageBreak/>
        <w:t>la salud y al ocio. La obligación de garantizar un acceso adecuado a personas con discapacidad en la construcción de espacios públicos, edificios y vehículos de transporte público se establece en el artículo 27 y el artículo 244 de la Constitución. También se contempla la adaptación de los espacios y vehículos existentes para asegurar dicho acceso</w:t>
      </w:r>
      <w:r>
        <w:rPr>
          <w:vertAlign w:val="superscript"/>
        </w:rPr>
        <w:footnoteReference w:id="173"/>
      </w:r>
      <w:r>
        <w:rPr>
          <w:rFonts w:eastAsia="Arial Unicode MS" w:cs="Arial Unicode MS"/>
        </w:rPr>
        <w:t>.</w:t>
      </w:r>
    </w:p>
    <w:p w14:paraId="3DBB564C" w14:textId="77777777" w:rsidR="001A105D" w:rsidRDefault="00000000">
      <w:pPr>
        <w:pStyle w:val="NoSpacing"/>
        <w:numPr>
          <w:ilvl w:val="0"/>
          <w:numId w:val="33"/>
        </w:numPr>
      </w:pPr>
      <w:r>
        <w:rPr>
          <w:rFonts w:eastAsia="Arial Unicode MS" w:cs="Arial Unicode MS"/>
        </w:rPr>
        <w:t>El Estado brasileño, respaldado por su marco constitucional, ha desarrollado un extenso conjunto de normas técnicas destinadas a asegurar la accesibilidad en la infraestructura y el transporte. A este marco, se sumó el Reglamento General de Accesibilidad a los Servicios de Telecomunicaciones de Interés Colectivo, que ha permitido a las personas con discapacidad disfrutar de servicios y equipos de telecomunicaciones. Este reglamento, a través de alternativas tecnológicas, busca reducir las barreras a la comunicación y la información</w:t>
      </w:r>
      <w:r>
        <w:rPr>
          <w:vertAlign w:val="superscript"/>
        </w:rPr>
        <w:footnoteReference w:id="174"/>
      </w:r>
      <w:r>
        <w:rPr>
          <w:rFonts w:eastAsia="Arial Unicode MS" w:cs="Arial Unicode MS"/>
        </w:rPr>
        <w:t>.</w:t>
      </w:r>
    </w:p>
    <w:p w14:paraId="56EA8770" w14:textId="77777777" w:rsidR="001A105D" w:rsidRDefault="00000000">
      <w:pPr>
        <w:pStyle w:val="NoSpacing"/>
        <w:numPr>
          <w:ilvl w:val="0"/>
          <w:numId w:val="33"/>
        </w:numPr>
      </w:pPr>
      <w:r>
        <w:rPr>
          <w:rFonts w:eastAsia="Arial Unicode MS" w:cs="Arial Unicode MS"/>
        </w:rPr>
        <w:t xml:space="preserve">En Ecuador, el reconocimiento constitucional del derecho a la accesibilidad impulsó la adopción de leyes y normativas para asegurar la implementación de este principio, como la Ley </w:t>
      </w:r>
      <w:r>
        <w:rPr>
          <w:rFonts w:eastAsia="Arial Unicode MS" w:cs="Arial Unicode MS"/>
        </w:rPr>
        <w:lastRenderedPageBreak/>
        <w:t>Orgánica de Discapacidades. Esta desempeña un papel fundamental al garantizar el acceso de las personas con discapacidad al entorno físico, transporte, información y comunicaciones, incluyendo sistemas y tecnologías de la información, así como otros servicios e instalaciones de uso público en áreas urbanas y rurales. La ley también se centra en la eliminación de obstáculos que puedan dificultar el ejercicio pleno de los derechos de las personas con discapacidad, procurando condiciones que fomenten el máximo grado de autonomía en sus actividades diarias tanto en entornos urbanos como rurales</w:t>
      </w:r>
      <w:r>
        <w:rPr>
          <w:vertAlign w:val="superscript"/>
        </w:rPr>
        <w:footnoteReference w:id="175"/>
      </w:r>
      <w:r>
        <w:rPr>
          <w:rFonts w:eastAsia="Arial Unicode MS" w:cs="Arial Unicode MS"/>
        </w:rPr>
        <w:t>.</w:t>
      </w:r>
    </w:p>
    <w:p w14:paraId="7E5AA7C1" w14:textId="77777777" w:rsidR="001A105D" w:rsidRDefault="00000000">
      <w:pPr>
        <w:pStyle w:val="NoSpacing"/>
        <w:numPr>
          <w:ilvl w:val="0"/>
          <w:numId w:val="33"/>
        </w:numPr>
      </w:pPr>
      <w:r>
        <w:rPr>
          <w:rFonts w:eastAsia="Arial Unicode MS" w:cs="Arial Unicode MS"/>
        </w:rPr>
        <w:t>Otros Estados han asegurado la accesibilidad, focalizándose principalmente en espacios arquitectónicos, medios de transporte y telecomunicaciones, mediante legislaciones infra constitucionales. Colombia destaca en este aspecto al contar con una normativa sólida que aborda la accesibilidad. El país ha adoptado leyes y normas técnicas que regulan la accesibilidad en diversas infraestructuras y entornos, con el objetivo de garantizar el acceso de las personas con discapacidad</w:t>
      </w:r>
      <w:r>
        <w:rPr>
          <w:vertAlign w:val="superscript"/>
        </w:rPr>
        <w:footnoteReference w:id="176"/>
      </w:r>
      <w:r>
        <w:rPr>
          <w:rFonts w:eastAsia="Arial Unicode MS" w:cs="Arial Unicode MS"/>
        </w:rPr>
        <w:t>.</w:t>
      </w:r>
    </w:p>
    <w:p w14:paraId="76E28FAB" w14:textId="77777777" w:rsidR="001A105D" w:rsidRDefault="00000000">
      <w:pPr>
        <w:pStyle w:val="NoSpacing"/>
        <w:numPr>
          <w:ilvl w:val="0"/>
          <w:numId w:val="33"/>
        </w:numPr>
      </w:pPr>
      <w:r>
        <w:rPr>
          <w:rFonts w:eastAsia="Arial Unicode MS" w:cs="Arial Unicode MS"/>
        </w:rPr>
        <w:lastRenderedPageBreak/>
        <w:t>Para asegurar el acceso de las personas con discapacidad a los vehículos de transporte público, el Estado colombiano ha promulgado diversas regulaciones</w:t>
      </w:r>
      <w:r>
        <w:rPr>
          <w:vertAlign w:val="superscript"/>
        </w:rPr>
        <w:footnoteReference w:id="177"/>
      </w:r>
      <w:r>
        <w:rPr>
          <w:rFonts w:eastAsia="Arial Unicode MS" w:cs="Arial Unicode MS"/>
        </w:rPr>
        <w:t>. La Ley No. 12 de 1987, titulada “Por la cual se suprimen algunas barreras arquitectónicas y se dictan otras disposiciones”, establece la eliminación de obstáculos para que las personas con discapacidad accedan a los edificios públicos</w:t>
      </w:r>
      <w:r>
        <w:rPr>
          <w:vertAlign w:val="superscript"/>
        </w:rPr>
        <w:footnoteReference w:id="178"/>
      </w:r>
      <w:r>
        <w:rPr>
          <w:rFonts w:eastAsia="Arial Unicode MS" w:cs="Arial Unicode MS"/>
        </w:rPr>
        <w:t>.</w:t>
      </w:r>
    </w:p>
    <w:p w14:paraId="6CAE9D5D" w14:textId="77777777" w:rsidR="001A105D" w:rsidRDefault="00000000">
      <w:pPr>
        <w:pStyle w:val="NoSpacing"/>
        <w:numPr>
          <w:ilvl w:val="0"/>
          <w:numId w:val="33"/>
        </w:numPr>
      </w:pPr>
      <w:r>
        <w:t xml:space="preserve">En cuanto al acceso a servicios de comunicación accesibles, el Ministerio de Tecnologías de la Información y las Comunicaciones de Colombia, que opera el Centro de Relevo, pasó a ofrecer el Servicio de Interpretación en Línea (SIEL). Este servicio facilita la comunicación entre personas sordas y personas oyentes que se encuentran en el mismo lugar, utilizando un dispositivo de comunicación móvil con acceso a </w:t>
      </w:r>
      <w:r>
        <w:lastRenderedPageBreak/>
        <w:t>internet</w:t>
      </w:r>
      <w:r>
        <w:rPr>
          <w:vertAlign w:val="superscript"/>
        </w:rPr>
        <w:footnoteReference w:id="179"/>
      </w:r>
      <w:r>
        <w:t>. Adicionalmente, se ha proporcionado el servicio “Licencia País”, que suministra de manera ilimitada y gratuita a las personas con discapacidad visual y de baja visión dentro del territorio nacional diversos tipos de software de lector de pantalla</w:t>
      </w:r>
      <w:r>
        <w:rPr>
          <w:vertAlign w:val="superscript"/>
        </w:rPr>
        <w:footnoteReference w:id="180"/>
      </w:r>
      <w:r>
        <w:t>.</w:t>
      </w:r>
    </w:p>
    <w:p w14:paraId="01D7D793" w14:textId="77777777" w:rsidR="001A105D" w:rsidRDefault="00000000">
      <w:pPr>
        <w:pStyle w:val="NoSpacing"/>
        <w:numPr>
          <w:ilvl w:val="0"/>
          <w:numId w:val="33"/>
        </w:numPr>
      </w:pPr>
      <w:r>
        <w:rPr>
          <w:rFonts w:eastAsia="Arial Unicode MS" w:cs="Arial Unicode MS"/>
        </w:rPr>
        <w:t>En Argentina, el derecho a la accesibilidad ha estado respaldado por diversas leyes. La Ley 24.314 garantiza que las personas con discapacidad tengan acceso a la infraestructura aeroportuaria y a todos los medios de transporte, priorizando la eliminación de barreras físicas en edificios de uso público para lograr la accesibilidad de las personas con movilidad reducida</w:t>
      </w:r>
      <w:r>
        <w:rPr>
          <w:vertAlign w:val="superscript"/>
        </w:rPr>
        <w:footnoteReference w:id="181"/>
      </w:r>
      <w:r>
        <w:rPr>
          <w:rFonts w:eastAsia="Arial Unicode MS" w:cs="Arial Unicode MS"/>
        </w:rPr>
        <w:t>. Por otro lado, el artículo 4 de la Ley Nacional de Turismo Accesible establece que los servicios turísticos deben ajustarse a los criterios de diseño universal contemplados en la legislación</w:t>
      </w:r>
      <w:r>
        <w:rPr>
          <w:vertAlign w:val="superscript"/>
        </w:rPr>
        <w:footnoteReference w:id="182"/>
      </w:r>
      <w:r>
        <w:rPr>
          <w:rFonts w:eastAsia="Arial Unicode MS" w:cs="Arial Unicode MS"/>
        </w:rPr>
        <w:t>.</w:t>
      </w:r>
    </w:p>
    <w:p w14:paraId="5075CD56" w14:textId="77777777" w:rsidR="001A105D" w:rsidRDefault="00000000">
      <w:pPr>
        <w:pStyle w:val="NoSpacing"/>
        <w:numPr>
          <w:ilvl w:val="0"/>
          <w:numId w:val="33"/>
        </w:numPr>
      </w:pPr>
      <w:r>
        <w:rPr>
          <w:rFonts w:eastAsia="Arial Unicode MS" w:cs="Arial Unicode MS"/>
        </w:rPr>
        <w:t xml:space="preserve">En relación con los espacios educativos, la Ley Nacional de Educación fijó la obligación del Estado de garantizar la </w:t>
      </w:r>
      <w:r>
        <w:rPr>
          <w:rFonts w:eastAsia="Arial Unicode MS" w:cs="Arial Unicode MS"/>
        </w:rPr>
        <w:lastRenderedPageBreak/>
        <w:t>accesibilidad física en todos los edificios escolares. Además, la Ley de Educación Superior dispone el deber del Estado de asegurar a los estudiantes con discapacidad de las instituciones estatales de Educación Superior el acceso al entorno físico, servicios de interpretación en Lengua de Señas Argentina y los apoyos técnicos necesarios y suficientes</w:t>
      </w:r>
      <w:r>
        <w:rPr>
          <w:vertAlign w:val="superscript"/>
        </w:rPr>
        <w:footnoteReference w:id="183"/>
      </w:r>
      <w:r>
        <w:rPr>
          <w:rFonts w:eastAsia="Arial Unicode MS" w:cs="Arial Unicode MS"/>
        </w:rPr>
        <w:t>.</w:t>
      </w:r>
    </w:p>
    <w:p w14:paraId="52533928" w14:textId="77777777" w:rsidR="001A105D" w:rsidRDefault="00000000">
      <w:pPr>
        <w:pStyle w:val="NoSpacing"/>
        <w:numPr>
          <w:ilvl w:val="0"/>
          <w:numId w:val="33"/>
        </w:numPr>
      </w:pPr>
      <w:r>
        <w:rPr>
          <w:rFonts w:eastAsia="Arial Unicode MS" w:cs="Arial Unicode MS"/>
        </w:rPr>
        <w:t>Adicionalmente, la Ley sobre Accesibilidad a la Información de páginas Web determinó que el Estado nacional, sus organismos descentralizados o autárquicos, los entes públicos no estatales, las empresas estatales y privadas concesionarias de servicios públicos, empresas prestadoras o contratistas de bienes y servicios, deben respetar, en los diseños de sus páginas web o electrónicas, las normas y requisitos sobre accesibilidad de la información que faciliten el acceso a sus contenidos, a todas las personas con discapacidad</w:t>
      </w:r>
      <w:r>
        <w:rPr>
          <w:vertAlign w:val="superscript"/>
        </w:rPr>
        <w:footnoteReference w:id="184"/>
      </w:r>
      <w:r>
        <w:rPr>
          <w:rFonts w:eastAsia="Arial Unicode MS" w:cs="Arial Unicode MS"/>
        </w:rPr>
        <w:t>.</w:t>
      </w:r>
    </w:p>
    <w:p w14:paraId="5DC48700" w14:textId="77777777" w:rsidR="001A105D" w:rsidRDefault="00000000">
      <w:pPr>
        <w:pStyle w:val="NoSpacing"/>
        <w:numPr>
          <w:ilvl w:val="0"/>
          <w:numId w:val="33"/>
        </w:numPr>
      </w:pPr>
      <w:r>
        <w:rPr>
          <w:rFonts w:eastAsia="Arial Unicode MS" w:cs="Arial Unicode MS"/>
        </w:rPr>
        <w:t>A estas, se sumaron diversas legislaciones que abordan la accesibilidad para personas con discapacidad. La Ley 24.204</w:t>
      </w:r>
      <w:r>
        <w:rPr>
          <w:vertAlign w:val="superscript"/>
        </w:rPr>
        <w:footnoteReference w:id="185"/>
      </w:r>
      <w:r>
        <w:rPr>
          <w:rFonts w:eastAsia="Arial Unicode MS" w:cs="Arial Unicode MS"/>
        </w:rPr>
        <w:t xml:space="preserve"> y la Ley 24.421 establecieron servicios telefónicos especializados para personas hipoacúsicas. La normativa sobre Servicios de Comunicaciones Audiovisuales garantizó la accesibilidad en emisiones de televisión, exigiendo la inclusión </w:t>
      </w:r>
      <w:r>
        <w:rPr>
          <w:rFonts w:eastAsia="Arial Unicode MS" w:cs="Arial Unicode MS"/>
        </w:rPr>
        <w:lastRenderedPageBreak/>
        <w:t xml:space="preserve">de medios accesibles para personas con discapacidad visual o auditiva, como subtitulado, lengua de señas y </w:t>
      </w:r>
      <w:proofErr w:type="gramStart"/>
      <w:r>
        <w:rPr>
          <w:rFonts w:eastAsia="Arial Unicode MS" w:cs="Arial Unicode MS"/>
        </w:rPr>
        <w:t>audio-descripción</w:t>
      </w:r>
      <w:proofErr w:type="gramEnd"/>
      <w:r>
        <w:rPr>
          <w:vertAlign w:val="superscript"/>
        </w:rPr>
        <w:footnoteReference w:id="186"/>
      </w:r>
      <w:r>
        <w:rPr>
          <w:rFonts w:eastAsia="Arial Unicode MS" w:cs="Arial Unicode MS"/>
        </w:rPr>
        <w:t>. Además, el Instituto Nacional contra la Discriminación (INADI) emitió directrices para la accesibilidad en espacios públicos</w:t>
      </w:r>
      <w:r>
        <w:rPr>
          <w:vertAlign w:val="superscript"/>
        </w:rPr>
        <w:footnoteReference w:id="187"/>
      </w:r>
      <w:r>
        <w:rPr>
          <w:rFonts w:eastAsia="Arial Unicode MS" w:cs="Arial Unicode MS"/>
        </w:rPr>
        <w:t>. La Agencia Nacional de Discapacidad contó con un Área de Accesibilidad de Comunicaciones, promoviendo la accesibilidad comunicacional en organismos estatales</w:t>
      </w:r>
      <w:r>
        <w:rPr>
          <w:vertAlign w:val="superscript"/>
        </w:rPr>
        <w:footnoteReference w:id="188"/>
      </w:r>
      <w:r>
        <w:rPr>
          <w:rFonts w:eastAsia="Arial Unicode MS" w:cs="Arial Unicode MS"/>
        </w:rPr>
        <w:t>. En 2023, el Parlamento reconoció legalmente la Lengua de Señas Argentina como patrimonio cultural, fortaleciendo su presencia en la sociedad y políticas públicas como principio de accesibilidad transversal</w:t>
      </w:r>
      <w:r>
        <w:rPr>
          <w:vertAlign w:val="superscript"/>
        </w:rPr>
        <w:footnoteReference w:id="189"/>
      </w:r>
      <w:r>
        <w:rPr>
          <w:rFonts w:eastAsia="Arial Unicode MS" w:cs="Arial Unicode MS"/>
        </w:rPr>
        <w:t>.</w:t>
      </w:r>
    </w:p>
    <w:p w14:paraId="577BF22D" w14:textId="77777777" w:rsidR="001A105D" w:rsidRDefault="00000000">
      <w:pPr>
        <w:pStyle w:val="NoSpacing"/>
        <w:numPr>
          <w:ilvl w:val="0"/>
          <w:numId w:val="33"/>
        </w:numPr>
      </w:pPr>
      <w:r>
        <w:t>Es importante observar que, según información proporcionada por organizaciones de la sociedad civil argentina, el Decreto 914/97 establecía la creación de un Comité de Asesoramiento y Contralor del cumplimiento de los artículos 20, 21 y 22 de la Ley No. 22.431 sobre Accesibilidad para Personas con Movilidad Reducida. No obstante, dicho Comité nunca se creó</w:t>
      </w:r>
      <w:r>
        <w:rPr>
          <w:vertAlign w:val="superscript"/>
        </w:rPr>
        <w:footnoteReference w:id="190"/>
      </w:r>
      <w:r>
        <w:t>.</w:t>
      </w:r>
    </w:p>
    <w:p w14:paraId="490686C2" w14:textId="77777777" w:rsidR="001A105D" w:rsidRDefault="00000000">
      <w:pPr>
        <w:pStyle w:val="NoSpacing"/>
        <w:numPr>
          <w:ilvl w:val="0"/>
          <w:numId w:val="33"/>
        </w:numPr>
      </w:pPr>
      <w:r>
        <w:rPr>
          <w:rFonts w:eastAsia="Arial Unicode MS" w:cs="Arial Unicode MS"/>
        </w:rPr>
        <w:lastRenderedPageBreak/>
        <w:t>El Estado chileno publicó distintas reglamentaciones para aplicar la accesibilidad contemplada en la Ley No. 20.422. Entre ellas, destaca el Decreto No. 142 que formula normas de inclusión y accesibilidad en el transporte público, en lo que se garantizó la señalización y espacios accesibles y considerando la diversidad territorial del país</w:t>
      </w:r>
      <w:r>
        <w:rPr>
          <w:vertAlign w:val="superscript"/>
        </w:rPr>
        <w:footnoteReference w:id="191"/>
      </w:r>
      <w:r>
        <w:rPr>
          <w:rFonts w:eastAsia="Arial Unicode MS" w:cs="Arial Unicode MS"/>
        </w:rPr>
        <w:t>.</w:t>
      </w:r>
    </w:p>
    <w:p w14:paraId="1A6C9539" w14:textId="77777777" w:rsidR="001A105D" w:rsidRDefault="00000000">
      <w:pPr>
        <w:pStyle w:val="NoSpacing"/>
        <w:numPr>
          <w:ilvl w:val="0"/>
          <w:numId w:val="33"/>
        </w:numPr>
      </w:pPr>
      <w:r>
        <w:t>En cuanto a las telecomunicaciones, el Decreto No. 32 facilitó el acceso a la programación televisiva para personas con discapacidad auditiva</w:t>
      </w:r>
      <w:r>
        <w:rPr>
          <w:vertAlign w:val="superscript"/>
        </w:rPr>
        <w:footnoteReference w:id="192"/>
      </w:r>
      <w:r>
        <w:t>, que se complementó con el Decreto Supremo No. 1 de 2015, que aprueba la norma técnica sobre sistemas y sitios web de los órganos de la administración del Estado</w:t>
      </w:r>
      <w:r>
        <w:rPr>
          <w:vertAlign w:val="superscript"/>
        </w:rPr>
        <w:footnoteReference w:id="193"/>
      </w:r>
      <w:r>
        <w:t>.</w:t>
      </w:r>
    </w:p>
    <w:p w14:paraId="52A56FE4" w14:textId="77777777" w:rsidR="001A105D" w:rsidRDefault="00000000">
      <w:pPr>
        <w:pStyle w:val="NoSpacing"/>
        <w:numPr>
          <w:ilvl w:val="0"/>
          <w:numId w:val="33"/>
        </w:numPr>
      </w:pPr>
      <w:r>
        <w:rPr>
          <w:rFonts w:eastAsia="Arial Unicode MS" w:cs="Arial Unicode MS"/>
        </w:rPr>
        <w:t>Por otro lado, la Ordenanza General de Urbanismo y Construcciones estableció medidas específicas para la accesibilidad en espacios públicos</w:t>
      </w:r>
      <w:r>
        <w:rPr>
          <w:vertAlign w:val="superscript"/>
        </w:rPr>
        <w:footnoteReference w:id="194"/>
      </w:r>
      <w:r>
        <w:rPr>
          <w:rFonts w:eastAsia="Arial Unicode MS" w:cs="Arial Unicode MS"/>
        </w:rPr>
        <w:t>. En este mismo sentido, la Ley No. 21.089 determinó la instalación de juegos infantiles no mecánicos en espacios públicos y privados que tomen en consideración parámetros del diseño universal para niñas, niños y adolescentes en situación de discapacidad</w:t>
      </w:r>
      <w:r>
        <w:rPr>
          <w:vertAlign w:val="superscript"/>
        </w:rPr>
        <w:footnoteReference w:id="195"/>
      </w:r>
      <w:r>
        <w:rPr>
          <w:rFonts w:eastAsia="Arial Unicode MS" w:cs="Arial Unicode MS"/>
        </w:rPr>
        <w:t xml:space="preserve">. Del mismo modo, la Ley 21.303, propuesta con la participación de </w:t>
      </w:r>
      <w:r>
        <w:rPr>
          <w:rFonts w:eastAsia="Arial Unicode MS" w:cs="Arial Unicode MS"/>
        </w:rPr>
        <w:lastRenderedPageBreak/>
        <w:t>personas sordas, reconoció la Lengua de Señas Chilena como oficial, promoviendo su uso en la escuela común y una educación multilingüe e intercultural</w:t>
      </w:r>
      <w:r>
        <w:rPr>
          <w:vertAlign w:val="superscript"/>
        </w:rPr>
        <w:footnoteReference w:id="196"/>
      </w:r>
      <w:r>
        <w:rPr>
          <w:rFonts w:eastAsia="Arial Unicode MS" w:cs="Arial Unicode MS"/>
        </w:rPr>
        <w:t>.</w:t>
      </w:r>
    </w:p>
    <w:p w14:paraId="2FC262E8" w14:textId="77777777" w:rsidR="001A105D" w:rsidRDefault="00000000">
      <w:pPr>
        <w:pStyle w:val="NoSpacing"/>
        <w:numPr>
          <w:ilvl w:val="0"/>
          <w:numId w:val="33"/>
        </w:numPr>
      </w:pPr>
      <w:r>
        <w:rPr>
          <w:rFonts w:eastAsia="Arial Unicode MS" w:cs="Arial Unicode MS"/>
        </w:rPr>
        <w:t>Organizaciones de la sociedad civil de personas con discapacidad de Chile informaron que el Decreto Supremo No. 50 del Ministerio de Vivienda y Urbanismo abordó la accesibilidad universal, considerando todos los entornos, bienes, productos, servicios y objetos o herramientas para que sean comprensibles y utilizables por todas las personas, en condiciones de comodidad y seguridad, de la forma más autónoma y natural posible. Esta ordenanza ha posibilitado la implementación de semáforos con sonido</w:t>
      </w:r>
      <w:r>
        <w:rPr>
          <w:vertAlign w:val="superscript"/>
        </w:rPr>
        <w:footnoteReference w:id="197"/>
      </w:r>
      <w:r>
        <w:rPr>
          <w:rFonts w:eastAsia="Arial Unicode MS" w:cs="Arial Unicode MS"/>
        </w:rPr>
        <w:t>.</w:t>
      </w:r>
    </w:p>
    <w:p w14:paraId="4F593965" w14:textId="77777777" w:rsidR="001A105D" w:rsidRDefault="00000000">
      <w:pPr>
        <w:pStyle w:val="NoSpacing"/>
        <w:numPr>
          <w:ilvl w:val="0"/>
          <w:numId w:val="33"/>
        </w:numPr>
      </w:pPr>
      <w:r>
        <w:rPr>
          <w:rFonts w:eastAsia="Arial Unicode MS" w:cs="Arial Unicode MS"/>
        </w:rPr>
        <w:t>Respecto de Guyana, las políticas públicas implementadas en 2022 que incluyeron un aporte económico para aproximadamente 5.000 niños, niñas y adolescentes con discapacidad, junto con un conjunto diverso de acciones orientadas a mejorar el acceso a la capacitación, el empleo y la infraestructura pública</w:t>
      </w:r>
      <w:r>
        <w:rPr>
          <w:vertAlign w:val="superscript"/>
        </w:rPr>
        <w:footnoteReference w:id="198"/>
      </w:r>
      <w:r>
        <w:rPr>
          <w:rFonts w:eastAsia="Arial Unicode MS" w:cs="Arial Unicode MS"/>
        </w:rPr>
        <w:t>.</w:t>
      </w:r>
    </w:p>
    <w:p w14:paraId="2CFBACBD" w14:textId="77777777" w:rsidR="001A105D" w:rsidRDefault="00000000">
      <w:pPr>
        <w:pStyle w:val="NoSpacing"/>
        <w:numPr>
          <w:ilvl w:val="0"/>
          <w:numId w:val="33"/>
        </w:numPr>
      </w:pPr>
      <w:r>
        <w:rPr>
          <w:rFonts w:eastAsia="Arial Unicode MS" w:cs="Arial Unicode MS"/>
        </w:rPr>
        <w:t xml:space="preserve">En el caso de Jamaica, la </w:t>
      </w:r>
      <w:r>
        <w:rPr>
          <w:rFonts w:eastAsia="Arial Unicode MS" w:cs="Arial Unicode MS"/>
          <w:u w:val="single"/>
        </w:rPr>
        <w:t>Ley de Discapacidad</w:t>
      </w:r>
      <w:r>
        <w:rPr>
          <w:rFonts w:eastAsia="Arial Unicode MS" w:cs="Arial Unicode MS"/>
        </w:rPr>
        <w:t xml:space="preserve"> ha entrado en vigor en 2022 con el objetivo de promover la igualdad de derechos y la prohibición de la discriminación contra las personas con discapacidad. A la luz de esta ley, el Gobierno </w:t>
      </w:r>
      <w:r>
        <w:rPr>
          <w:rFonts w:eastAsia="Arial Unicode MS" w:cs="Arial Unicode MS"/>
        </w:rPr>
        <w:lastRenderedPageBreak/>
        <w:t>anunció la creación de una lista de verificación para identificar las barreras arquitectónicas y de comunicación que encuentran las personas con discapacidad en las instalaciones privadas y públicas</w:t>
      </w:r>
      <w:r>
        <w:rPr>
          <w:vertAlign w:val="superscript"/>
        </w:rPr>
        <w:footnoteReference w:id="199"/>
      </w:r>
      <w:r>
        <w:rPr>
          <w:rFonts w:eastAsia="Arial Unicode MS" w:cs="Arial Unicode MS"/>
        </w:rPr>
        <w:t>.</w:t>
      </w:r>
    </w:p>
    <w:p w14:paraId="4E1E885B" w14:textId="77777777" w:rsidR="001A105D" w:rsidRDefault="00000000">
      <w:pPr>
        <w:pStyle w:val="NoSpacing"/>
        <w:numPr>
          <w:ilvl w:val="0"/>
          <w:numId w:val="33"/>
        </w:numPr>
      </w:pPr>
      <w:r>
        <w:t>En el mismo sentido, México informó sobre la reciente Ley General de Movilidad y Seguridad Vial, que instauró las bases y principios para garantizar el derecho a la movilidad en condiciones de seguridad vial, accesibilidad, inclusión e igualdad, de las personas con discapacidad</w:t>
      </w:r>
      <w:r>
        <w:rPr>
          <w:vertAlign w:val="superscript"/>
        </w:rPr>
        <w:footnoteReference w:id="200"/>
      </w:r>
      <w:r>
        <w:t>. Asimismo, ha adoptado un acuerdo por el que se establecen las especificaciones técnicas para la accesibilidad de las personas con discapacidad a los inmuebles gubernamentales</w:t>
      </w:r>
      <w:r>
        <w:rPr>
          <w:vertAlign w:val="superscript"/>
        </w:rPr>
        <w:footnoteReference w:id="201"/>
      </w:r>
      <w:r>
        <w:t>.</w:t>
      </w:r>
    </w:p>
    <w:p w14:paraId="0461DFA8" w14:textId="77777777" w:rsidR="001A105D" w:rsidRDefault="00000000">
      <w:pPr>
        <w:pStyle w:val="NoSpacing"/>
        <w:numPr>
          <w:ilvl w:val="0"/>
          <w:numId w:val="33"/>
        </w:numPr>
      </w:pPr>
      <w:r>
        <w:rPr>
          <w:rFonts w:eastAsia="Arial Unicode MS" w:cs="Arial Unicode MS"/>
        </w:rPr>
        <w:t xml:space="preserve"> A nivel de buenas prácticas desde altas Cortes, la Suprema Corte de Justicia de la Nación en México (SCJN) tomó medidas internas en materia de accesibilidad por medio de la Política de Inclusión y las Medidas Generales para la Protección de los Derechos Humanos de las Personas con Discapacidad. Dicha política prevé capacitación del personal judicial y el desarrollo de soluciones tecnológicas y de comunicaciones. Ello, para asegurar que en su diseño se considere las medidas mínimas </w:t>
      </w:r>
      <w:r>
        <w:rPr>
          <w:rFonts w:eastAsia="Arial Unicode MS" w:cs="Arial Unicode MS"/>
        </w:rPr>
        <w:lastRenderedPageBreak/>
        <w:t>para garantizar la accesibilidad e inclusión en los sistemas y tecnologías de la información y las comunicaciones</w:t>
      </w:r>
      <w:r>
        <w:rPr>
          <w:vertAlign w:val="superscript"/>
        </w:rPr>
        <w:footnoteReference w:id="202"/>
      </w:r>
      <w:r>
        <w:rPr>
          <w:rFonts w:eastAsia="Arial Unicode MS" w:cs="Arial Unicode MS"/>
        </w:rPr>
        <w:t>.</w:t>
      </w:r>
    </w:p>
    <w:p w14:paraId="39CDE648" w14:textId="77777777" w:rsidR="001A105D" w:rsidRDefault="00000000">
      <w:pPr>
        <w:pStyle w:val="NoSpacing"/>
        <w:numPr>
          <w:ilvl w:val="0"/>
          <w:numId w:val="33"/>
        </w:numPr>
      </w:pPr>
      <w:r>
        <w:rPr>
          <w:rFonts w:eastAsia="Arial Unicode MS" w:cs="Arial Unicode MS"/>
        </w:rPr>
        <w:t>De igual forma, se observan diversas resoluciones y decisiones judiciales de la Suprema Corte de Justicia de la Nación que reconocen la obligación de los concesionarios de servicios aéreos, de garantizar el transporte de personas con discapacidad; incluidos el transporte de instrumentos de uso personal que les sean necesarios, sin cargos adicionales, y conforme a las medidas de seguridad operacional</w:t>
      </w:r>
      <w:r>
        <w:rPr>
          <w:vertAlign w:val="superscript"/>
        </w:rPr>
        <w:footnoteReference w:id="203"/>
      </w:r>
      <w:r>
        <w:rPr>
          <w:rFonts w:eastAsia="Arial Unicode MS" w:cs="Arial Unicode MS"/>
        </w:rPr>
        <w:t>.</w:t>
      </w:r>
    </w:p>
    <w:p w14:paraId="2B081F1D" w14:textId="77777777" w:rsidR="001A105D" w:rsidRDefault="00000000">
      <w:pPr>
        <w:pStyle w:val="NoSpacing"/>
        <w:numPr>
          <w:ilvl w:val="0"/>
          <w:numId w:val="33"/>
        </w:numPr>
      </w:pPr>
      <w:r>
        <w:rPr>
          <w:rFonts w:eastAsia="Arial Unicode MS" w:cs="Arial Unicode MS"/>
        </w:rPr>
        <w:t>El Estado de Panamá promulgó la Ley 15 del 31 de mayo de 2016, que en su artículo 37 estableció el deber de garantizar que todas las áreas de uso público, incluyendo las de recreación, sean accesibles. Además, reconoció el derecho a la accesibilidad de las comunicaciones en favor de las personas con discapacidad</w:t>
      </w:r>
      <w:r>
        <w:rPr>
          <w:vertAlign w:val="superscript"/>
        </w:rPr>
        <w:footnoteReference w:id="204"/>
      </w:r>
      <w:r>
        <w:rPr>
          <w:rFonts w:eastAsia="Arial Unicode MS" w:cs="Arial Unicode MS"/>
        </w:rPr>
        <w:t>.</w:t>
      </w:r>
    </w:p>
    <w:p w14:paraId="719E75E5" w14:textId="77777777" w:rsidR="001A105D" w:rsidRDefault="00000000">
      <w:pPr>
        <w:pStyle w:val="NoSpacing"/>
        <w:numPr>
          <w:ilvl w:val="0"/>
          <w:numId w:val="33"/>
        </w:numPr>
      </w:pPr>
      <w:r>
        <w:rPr>
          <w:rFonts w:eastAsia="Arial Unicode MS" w:cs="Arial Unicode MS"/>
        </w:rPr>
        <w:t xml:space="preserve">Por su parte, el Plan Estratégico Nacional 2020-2024 contempló la realización de un diagnóstico sobre la accesibilidad de las personas con discapacidad en diversas áreas de la vida social, y medidas para que las personas con </w:t>
      </w:r>
      <w:r>
        <w:rPr>
          <w:rFonts w:eastAsia="Arial Unicode MS" w:cs="Arial Unicode MS"/>
        </w:rPr>
        <w:lastRenderedPageBreak/>
        <w:t>discapacidad accedan a los sistemas de información</w:t>
      </w:r>
      <w:r>
        <w:rPr>
          <w:vertAlign w:val="superscript"/>
        </w:rPr>
        <w:footnoteReference w:id="205"/>
      </w:r>
      <w:r>
        <w:rPr>
          <w:rFonts w:eastAsia="Arial Unicode MS" w:cs="Arial Unicode MS"/>
        </w:rPr>
        <w:t>. El Servicio Nacional de la Discapacidad de Panamá también desarrolló una primera iniciativa de inclusión de personas con discapacidad en la respuesta a situaciones de emergencia y desastre, a través del Plan de Seguridad para las Personas con Discapacidad en Situaciones de Emergencia</w:t>
      </w:r>
      <w:r>
        <w:rPr>
          <w:vertAlign w:val="superscript"/>
        </w:rPr>
        <w:footnoteReference w:id="206"/>
      </w:r>
      <w:r>
        <w:rPr>
          <w:rFonts w:eastAsia="Arial Unicode MS" w:cs="Arial Unicode MS"/>
        </w:rPr>
        <w:t>.</w:t>
      </w:r>
    </w:p>
    <w:p w14:paraId="671DD4A4" w14:textId="77777777" w:rsidR="001A105D" w:rsidRDefault="00000000">
      <w:pPr>
        <w:pStyle w:val="NoSpacing"/>
        <w:numPr>
          <w:ilvl w:val="0"/>
          <w:numId w:val="33"/>
        </w:numPr>
      </w:pPr>
      <w:r>
        <w:t>Paraguay promulgó las leyes No. 4934/2013 y No. 6057/2018 que regulan la accesibilidad física, asegurando el acceso a lugares públicos y servicios de transporte para personas con discapacidad acompañadas de perros guía o de asistencia</w:t>
      </w:r>
      <w:r>
        <w:rPr>
          <w:vertAlign w:val="superscript"/>
        </w:rPr>
        <w:footnoteReference w:id="207"/>
      </w:r>
      <w:r>
        <w:t>. Paraguay también ha aprobado otras leyes en la materia, como la No. 4336/2011, que obliga a incluir la Lengua de Señas Paraguaya en informativos y noticieros</w:t>
      </w:r>
      <w:r>
        <w:rPr>
          <w:vertAlign w:val="superscript"/>
        </w:rPr>
        <w:footnoteReference w:id="208"/>
      </w:r>
      <w:r>
        <w:t>, y la No. 6354/2019, que regula el acceso a la comunicación e información para personas sordas en trámites gubernamentales</w:t>
      </w:r>
      <w:r>
        <w:rPr>
          <w:vertAlign w:val="superscript"/>
        </w:rPr>
        <w:footnoteReference w:id="209"/>
      </w:r>
      <w:r>
        <w:t xml:space="preserve">. Esta </w:t>
      </w:r>
      <w:r>
        <w:lastRenderedPageBreak/>
        <w:t>evolución legislativa llevó a una colaboración Sur-Sur entre Paraguay y Colombia, resultando en la implementación del Centro de Relevo para personas sordas en Paraguay, replicando exitosas prácticas colombianas.</w:t>
      </w:r>
    </w:p>
    <w:p w14:paraId="7E737A8E" w14:textId="77777777" w:rsidR="001A105D" w:rsidRDefault="00000000">
      <w:pPr>
        <w:pStyle w:val="NoSpacing"/>
        <w:numPr>
          <w:ilvl w:val="0"/>
          <w:numId w:val="33"/>
        </w:numPr>
      </w:pPr>
      <w:r>
        <w:t>Algunos países de la región han transitado hacia un reconocimiento formal del derecho a la accesibilidad, así como también han avanzado en implementaciones prácticas focalizadas, en particular, en transporte y acceso a edificios públicos y las telecomunicaciones. Al mismo tiempo, ciertos ámbitos continúan relegados en la regulación en la materia en la mayoría de los países de la región, especialmente aquellos que se relacionan con las normas de acceso a la información y la comunicación, incluyendo una implementación en enfoque dual, transversal y diferencial, de la accesibilidad como prerrequisito.</w:t>
      </w:r>
    </w:p>
    <w:p w14:paraId="2F3197C4" w14:textId="77777777" w:rsidR="001A105D" w:rsidRDefault="00000000">
      <w:pPr>
        <w:pStyle w:val="NoSpacing"/>
        <w:numPr>
          <w:ilvl w:val="0"/>
          <w:numId w:val="33"/>
        </w:numPr>
      </w:pPr>
      <w:r>
        <w:rPr>
          <w:rFonts w:eastAsia="Arial Unicode MS" w:cs="Arial Unicode MS"/>
        </w:rPr>
        <w:t xml:space="preserve">En este contexto, la realización práctica ha sido aislada y se ha limitado a la escasa colocación de rampas, barandales, elevadores y señalamientos en zonas comerciales y gubernamentales de las ciudades, orientadas a personas con movilidad reducida; por lo que espacios como hospitales, escuelas, servicios públicos y rurales aún presentan un rezago, sin mencionar las necesidades del derecho a la accesibilidad en la información y la comunicación de personas con discapacidades sensoriales, intelectuales y psicosociales. No se conocen acciones específicas para verificar la idoneidad de ciertas medidas tomadas por los gobiernos, mecanismos de seguimiento o la imposición de sanciones ante el </w:t>
      </w:r>
      <w:r>
        <w:rPr>
          <w:rFonts w:eastAsia="Arial Unicode MS" w:cs="Arial Unicode MS"/>
        </w:rPr>
        <w:lastRenderedPageBreak/>
        <w:t xml:space="preserve">incumplimiento de las normas técnicas y políticas públicas en la materia. </w:t>
      </w:r>
    </w:p>
    <w:p w14:paraId="1C980F8D" w14:textId="77777777" w:rsidR="001A105D" w:rsidRDefault="00000000">
      <w:pPr>
        <w:pStyle w:val="NoSpacing"/>
        <w:numPr>
          <w:ilvl w:val="0"/>
          <w:numId w:val="33"/>
        </w:numPr>
      </w:pPr>
      <w:r>
        <w:rPr>
          <w:rFonts w:eastAsia="Arial Unicode MS" w:cs="Arial Unicode MS"/>
        </w:rPr>
        <w:t>Aunado a ello, en la mayoría de los Estados, la implementación de las medidas de accesibilidad se ha llevado a cabo sin la participación directa y efectiva de las personas con discapacidad a través de sus organizaciones representativas en el diseño, la puesta en marcha y evaluación de estas políticas públicas, así como en el establecimiento previo de planes o proyectos con metas, obligaciones y sanciones claramente delineadas</w:t>
      </w:r>
      <w:r>
        <w:rPr>
          <w:vertAlign w:val="superscript"/>
        </w:rPr>
        <w:footnoteReference w:id="210"/>
      </w:r>
      <w:r>
        <w:rPr>
          <w:rFonts w:eastAsia="Arial Unicode MS" w:cs="Arial Unicode MS"/>
        </w:rPr>
        <w:t xml:space="preserve">. </w:t>
      </w:r>
    </w:p>
    <w:p w14:paraId="1099436E" w14:textId="77777777" w:rsidR="001A105D" w:rsidRDefault="00000000">
      <w:pPr>
        <w:pStyle w:val="NoSpacing"/>
        <w:numPr>
          <w:ilvl w:val="0"/>
          <w:numId w:val="33"/>
        </w:numPr>
      </w:pPr>
      <w:r>
        <w:rPr>
          <w:rFonts w:eastAsia="Arial Unicode MS" w:cs="Arial Unicode MS"/>
        </w:rPr>
        <w:t xml:space="preserve">En el ámbito de políticas y regulaciones sobre accesibilidad en la información, comunicación y medios de comunicación en la región, se observan avances incipientes junto con desafíos persistentes. Un aspecto destacado es la concentración de esfuerzos en la inclusión de intérpretes de lenguas de señas en </w:t>
      </w:r>
      <w:r>
        <w:rPr>
          <w:rFonts w:eastAsia="Arial Unicode MS" w:cs="Arial Unicode MS"/>
        </w:rPr>
        <w:lastRenderedPageBreak/>
        <w:t>programas televisivos abiertos, sin abarcar servicios de televisión de pago, situaciones de emergencia, cadenas nacionales, debates políticos, o canales locales y rurales</w:t>
      </w:r>
      <w:r>
        <w:rPr>
          <w:vertAlign w:val="superscript"/>
        </w:rPr>
        <w:footnoteReference w:id="211"/>
      </w:r>
      <w:r>
        <w:rPr>
          <w:rFonts w:eastAsia="Arial Unicode MS" w:cs="Arial Unicode MS"/>
        </w:rPr>
        <w:t>. Estos desafíos evidencian la necesidad de un enfoque más integral y sistémico para garantizar la accesibilidad en diversos contextos de comunicación y medios.</w:t>
      </w:r>
    </w:p>
    <w:p w14:paraId="62BC9712" w14:textId="77777777" w:rsidR="001A105D" w:rsidRDefault="00000000">
      <w:pPr>
        <w:pStyle w:val="NoSpacing"/>
        <w:numPr>
          <w:ilvl w:val="0"/>
          <w:numId w:val="33"/>
        </w:numPr>
      </w:pPr>
      <w:r>
        <w:t>En cuanto a la accesibilidad en la transmisión de información gubernamental a través de diversos canales y tecnologías, se destaca la ausencia de medidas. La presencia de personas con discapacidad en las políticas de telecomunicaciones es limitada, y a pesar de existir tecnologías que promueven la autonomía de estas personas, aún no han sido adoptadas en la región. La accesibilidad en las páginas web gubernamentales presenta avances irregulares y fragmentados, dependiendo de las decisiones políticas individuales, lo que evidencia la carencia de planes sistemáticos y transversales con objetivos claros y medibles.</w:t>
      </w:r>
    </w:p>
    <w:p w14:paraId="77FC6BA5" w14:textId="77777777" w:rsidR="001A105D" w:rsidRDefault="00000000">
      <w:pPr>
        <w:pStyle w:val="NoSpacing"/>
        <w:numPr>
          <w:ilvl w:val="0"/>
          <w:numId w:val="33"/>
        </w:numPr>
      </w:pPr>
      <w:r>
        <w:rPr>
          <w:rFonts w:eastAsia="Arial Unicode MS" w:cs="Arial Unicode MS"/>
        </w:rPr>
        <w:t>En este punto, se nota la ausencia de operativización del reconocimiento legal de las lenguas de señas nacionales, de la adopción e implementación del Tratado de Marrakech</w:t>
      </w:r>
      <w:r>
        <w:rPr>
          <w:vertAlign w:val="superscript"/>
        </w:rPr>
        <w:footnoteReference w:id="212"/>
      </w:r>
      <w:r>
        <w:rPr>
          <w:rFonts w:eastAsia="Arial Unicode MS" w:cs="Arial Unicode MS"/>
        </w:rPr>
        <w:t xml:space="preserve"> y las </w:t>
      </w:r>
      <w:r>
        <w:rPr>
          <w:rFonts w:eastAsia="Arial Unicode MS" w:cs="Arial Unicode MS"/>
        </w:rPr>
        <w:lastRenderedPageBreak/>
        <w:t xml:space="preserve">normas de acceso a la comunicación audiovisual y digital; información de interés público traducida a lenguaje sencillo; información accesible en emergencias y desastres —como rutas de evacuación y respuesta en espacios cerrados, atención de refugiados—, entre otros. </w:t>
      </w:r>
    </w:p>
    <w:p w14:paraId="29BA9E8A" w14:textId="77777777" w:rsidR="001A105D" w:rsidRDefault="00000000">
      <w:pPr>
        <w:pStyle w:val="Heading3"/>
        <w:numPr>
          <w:ilvl w:val="0"/>
          <w:numId w:val="61"/>
        </w:numPr>
      </w:pPr>
      <w:bookmarkStart w:id="18" w:name="_Toc15"/>
      <w:r>
        <w:rPr>
          <w:rFonts w:eastAsia="Arial Unicode MS" w:cs="Arial Unicode MS"/>
          <w:lang w:val="es-ES_tradnl"/>
        </w:rPr>
        <w:t xml:space="preserve">Derechos </w:t>
      </w:r>
      <w:proofErr w:type="spellStart"/>
      <w:r>
        <w:rPr>
          <w:rFonts w:eastAsia="Arial Unicode MS" w:cs="Arial Unicode MS"/>
          <w:lang w:val="es-ES_tradnl"/>
        </w:rPr>
        <w:t>pol</w:t>
      </w:r>
      <w:proofErr w:type="spellEnd"/>
      <w:r>
        <w:rPr>
          <w:rFonts w:eastAsia="Arial Unicode MS" w:cs="Arial Unicode MS"/>
        </w:rPr>
        <w:t>í</w:t>
      </w:r>
      <w:r>
        <w:rPr>
          <w:rFonts w:eastAsia="Arial Unicode MS" w:cs="Arial Unicode MS"/>
          <w:lang w:val="pt-PT"/>
        </w:rPr>
        <w:t>ticos</w:t>
      </w:r>
      <w:bookmarkEnd w:id="18"/>
    </w:p>
    <w:p w14:paraId="7760E8E0" w14:textId="77777777" w:rsidR="001A105D" w:rsidRDefault="00000000">
      <w:pPr>
        <w:pStyle w:val="NoSpacing"/>
        <w:numPr>
          <w:ilvl w:val="0"/>
          <w:numId w:val="62"/>
        </w:numPr>
      </w:pPr>
      <w:r>
        <w:t>El artículo 23 de la Convención Americana reconoce el derecho a participar en la dirección de los asuntos públicos mediante representantes elegidos, votar y ser elegido en elecciones auténticas y tener acceso a funciones públicas en condiciones de igualdad. No obstante, bajo el modelo médico de la discapacidad, se ha permitido la restricción o anulación de estos derechos por motivos de “capacidad civil o mental, o condena”</w:t>
      </w:r>
      <w:r>
        <w:rPr>
          <w:vertAlign w:val="superscript"/>
        </w:rPr>
        <w:footnoteReference w:id="213"/>
      </w:r>
      <w:r>
        <w:t>.</w:t>
      </w:r>
    </w:p>
    <w:p w14:paraId="5BD2C3EC" w14:textId="77777777" w:rsidR="001A105D" w:rsidRDefault="00000000">
      <w:pPr>
        <w:pStyle w:val="NoSpacing"/>
        <w:numPr>
          <w:ilvl w:val="0"/>
          <w:numId w:val="33"/>
        </w:numPr>
      </w:pPr>
      <w:r>
        <w:rPr>
          <w:rFonts w:eastAsia="Arial Unicode MS" w:cs="Arial Unicode MS"/>
        </w:rPr>
        <w:t>En los últimos años, se han producido avances legislativos significativos en la región con el objetivo de cumplir con la obligación de los Estados de adoptar medidas de accesibilidad, garantizando la igualdad de oportunidades en el ejercicio del derecho al voto por parte de las personas con discapacidad. Estas iniciativas, en su mayoría, se centran en facilitar la emisión del voto con asistencia y proporcionar accesibilidad a las urnas y a los materiales electorales</w:t>
      </w:r>
      <w:r>
        <w:rPr>
          <w:vertAlign w:val="superscript"/>
        </w:rPr>
        <w:footnoteReference w:id="214"/>
      </w:r>
      <w:r>
        <w:rPr>
          <w:rFonts w:eastAsia="Arial Unicode MS" w:cs="Arial Unicode MS"/>
        </w:rPr>
        <w:t>.</w:t>
      </w:r>
    </w:p>
    <w:p w14:paraId="3FB319F6" w14:textId="77777777" w:rsidR="001A105D" w:rsidRDefault="00000000">
      <w:pPr>
        <w:pStyle w:val="NoSpacing"/>
        <w:numPr>
          <w:ilvl w:val="0"/>
          <w:numId w:val="33"/>
        </w:numPr>
      </w:pPr>
      <w:r>
        <w:rPr>
          <w:rFonts w:eastAsia="Arial Unicode MS" w:cs="Arial Unicode MS"/>
        </w:rPr>
        <w:lastRenderedPageBreak/>
        <w:t>En Argentina, el artículo 105 de la Ley 26.571, sobre Democratización de la Representación Política, Transparencia y Equidad Electoral, establece que los órganos encargados de la administración y organización electoral, así como las agrupaciones políticas, deben implementar medidas para garantizar la accesibilidad y la inclusión de las personas con discapacidad, tanto como votantes como para ser electas</w:t>
      </w:r>
      <w:r>
        <w:rPr>
          <w:sz w:val="16"/>
          <w:szCs w:val="16"/>
          <w:vertAlign w:val="superscript"/>
        </w:rPr>
        <w:footnoteReference w:id="215"/>
      </w:r>
      <w:r>
        <w:rPr>
          <w:rFonts w:eastAsia="Arial Unicode MS" w:cs="Arial Unicode MS"/>
        </w:rPr>
        <w:t>. En cumplimiento de esta disposición, el Gobierno Federal ha adoptado diversas medidas para asegurar el voto accesible</w:t>
      </w:r>
      <w:r>
        <w:rPr>
          <w:rStyle w:val="None"/>
          <w:sz w:val="16"/>
          <w:szCs w:val="16"/>
          <w:vertAlign w:val="superscript"/>
        </w:rPr>
        <w:footnoteReference w:id="216"/>
      </w:r>
      <w:r>
        <w:rPr>
          <w:rFonts w:eastAsia="Arial Unicode MS" w:cs="Arial Unicode MS"/>
        </w:rPr>
        <w:t>.</w:t>
      </w:r>
    </w:p>
    <w:p w14:paraId="54F7DB6A" w14:textId="77777777" w:rsidR="001A105D" w:rsidRDefault="00000000">
      <w:pPr>
        <w:pStyle w:val="NoSpacing"/>
        <w:numPr>
          <w:ilvl w:val="0"/>
          <w:numId w:val="33"/>
        </w:numPr>
      </w:pPr>
      <w:r>
        <w:rPr>
          <w:rFonts w:eastAsia="Arial Unicode MS" w:cs="Arial Unicode MS"/>
        </w:rPr>
        <w:lastRenderedPageBreak/>
        <w:t>Una práctica destacable, alineada con el derecho internacional en esta materia, es la desarrollada por el Instituto Nacional contra la Discriminación, la Xenofobia y el Racismo (INADI). En marzo de 2021, en colaboración con la Dirección de Información, Inclusión y Capacitación Electoral del Ministerio del Interior, el Órgano de Revisión de la Ley de Salud Mental, la Dirección Nacional de Adicciones y la Agencia Nacional de Discapacidad (ANDIS), se promovió la Campaña Nacional por el Derecho al Voto de las Personas en Instituciones de Salud Mental y Discapacidad</w:t>
      </w:r>
      <w:r>
        <w:rPr>
          <w:rStyle w:val="None"/>
          <w:vertAlign w:val="superscript"/>
        </w:rPr>
        <w:footnoteReference w:id="217"/>
      </w:r>
      <w:r>
        <w:rPr>
          <w:rFonts w:eastAsia="Arial Unicode MS" w:cs="Arial Unicode MS"/>
        </w:rPr>
        <w:t>.</w:t>
      </w:r>
    </w:p>
    <w:p w14:paraId="43A964AC" w14:textId="77777777" w:rsidR="001A105D" w:rsidRDefault="00000000">
      <w:pPr>
        <w:pStyle w:val="NoSpacing"/>
        <w:numPr>
          <w:ilvl w:val="0"/>
          <w:numId w:val="33"/>
        </w:numPr>
      </w:pPr>
      <w:r>
        <w:rPr>
          <w:rFonts w:eastAsia="Arial Unicode MS" w:cs="Arial Unicode MS"/>
        </w:rPr>
        <w:t>Lanzada en abril de ese mismo año, la campaña tuvo como objetivo principal garantizar que todas las personas en establecimientos de salud mental o con discapacidad contaran con su Documento Nacional de Identidad (DNI), recibieran formación electoral, fueran incluidas en el padrón electoral y pudieran participar efectivamente el día de las elecciones</w:t>
      </w:r>
      <w:r>
        <w:rPr>
          <w:rStyle w:val="None"/>
          <w:vertAlign w:val="superscript"/>
        </w:rPr>
        <w:footnoteReference w:id="218"/>
      </w:r>
      <w:r>
        <w:rPr>
          <w:rFonts w:eastAsia="Arial Unicode MS" w:cs="Arial Unicode MS"/>
        </w:rPr>
        <w:t xml:space="preserve">. </w:t>
      </w:r>
    </w:p>
    <w:p w14:paraId="5487FB4A" w14:textId="77777777" w:rsidR="001A105D" w:rsidRDefault="00000000">
      <w:pPr>
        <w:pStyle w:val="NoSpacing"/>
        <w:numPr>
          <w:ilvl w:val="0"/>
          <w:numId w:val="33"/>
        </w:numPr>
      </w:pPr>
      <w:r>
        <w:rPr>
          <w:rFonts w:eastAsia="Arial Unicode MS" w:cs="Arial Unicode MS"/>
        </w:rPr>
        <w:t xml:space="preserve">En Bolivia, se observa que el Tribunal Supremo Electoral elaboró un Reglamento para el Voto Asistido, que estipula las </w:t>
      </w:r>
      <w:r>
        <w:rPr>
          <w:rFonts w:eastAsia="Arial Unicode MS" w:cs="Arial Unicode MS"/>
        </w:rPr>
        <w:lastRenderedPageBreak/>
        <w:t>medidas necesarias de accesibilidad y de ajustes razonables para garantizar el derecho al sufragio de las personas con discapacidad y personas mayores, tales como permitir ser acompañado a la urna de votación y otorgar un mayor tiempo para emitir el voto</w:t>
      </w:r>
      <w:r>
        <w:rPr>
          <w:rStyle w:val="None"/>
          <w:vertAlign w:val="superscript"/>
        </w:rPr>
        <w:footnoteReference w:id="219"/>
      </w:r>
      <w:r>
        <w:rPr>
          <w:rFonts w:eastAsia="Arial Unicode MS" w:cs="Arial Unicode MS"/>
        </w:rPr>
        <w:t>.</w:t>
      </w:r>
    </w:p>
    <w:p w14:paraId="7FC039CB" w14:textId="77777777" w:rsidR="001A105D" w:rsidRDefault="00000000">
      <w:pPr>
        <w:pStyle w:val="NoSpacing"/>
        <w:numPr>
          <w:ilvl w:val="0"/>
          <w:numId w:val="33"/>
        </w:numPr>
      </w:pPr>
      <w:r>
        <w:rPr>
          <w:rStyle w:val="None"/>
        </w:rPr>
        <w:t xml:space="preserve">La legislación brasileña destaca por reconocer </w:t>
      </w:r>
      <w:r>
        <w:t>constitucionalmente el derecho a la participación política de las personas con discapacidad y especificar su alcance en la Ley 13.416 de 2015, conforme a los estándares de la CDPD. Esta ley establece la obligación de adoptar diversas medidas de accesibilidad, incluyendo ajustes razonables en los procesos electorales y la prohibición de mesas de votación exclusivas para personas con discapacidad. Además, se exige la inclusión de subtítulos cerrados, interpretación en lengua de señas y descripción de audio en pronunciamientos oficiales, propaganda electoral y debates televisados</w:t>
      </w:r>
      <w:r>
        <w:rPr>
          <w:rStyle w:val="None"/>
          <w:vertAlign w:val="superscript"/>
        </w:rPr>
        <w:footnoteReference w:id="220"/>
      </w:r>
      <w:r>
        <w:t>.</w:t>
      </w:r>
    </w:p>
    <w:p w14:paraId="0C7620E1" w14:textId="77777777" w:rsidR="001A105D" w:rsidRDefault="00000000">
      <w:pPr>
        <w:pStyle w:val="NoSpacing"/>
        <w:numPr>
          <w:ilvl w:val="0"/>
          <w:numId w:val="33"/>
        </w:numPr>
      </w:pPr>
      <w:r>
        <w:t xml:space="preserve">La Constitución brasileña también garantiza, según la fracción VIII del artículo 37, cuotas para el acceso de personas con discapacidad al servicio público y prohíbe la destitución de cargos políticos en caso de adquirir discapacidad. La Resolución 23.381 de 2012 implementa el Programa de </w:t>
      </w:r>
      <w:r>
        <w:lastRenderedPageBreak/>
        <w:t>Accesibilidad de Justicia Electoral, incluyendo medidas como urnas electrónicas con código Braille y capacitación de funcionarios públicos en derechos de personas con discapacidad, así como campañas informativas sobre el voto accesible</w:t>
      </w:r>
      <w:r>
        <w:rPr>
          <w:rStyle w:val="None"/>
          <w:vertAlign w:val="superscript"/>
        </w:rPr>
        <w:footnoteReference w:id="221"/>
      </w:r>
      <w:r>
        <w:t>.</w:t>
      </w:r>
    </w:p>
    <w:p w14:paraId="2AD7FC3B" w14:textId="77777777" w:rsidR="001A105D" w:rsidRDefault="00000000">
      <w:pPr>
        <w:pStyle w:val="NoSpacing"/>
        <w:numPr>
          <w:ilvl w:val="0"/>
          <w:numId w:val="33"/>
        </w:numPr>
      </w:pPr>
      <w:r>
        <w:rPr>
          <w:rFonts w:eastAsia="Arial Unicode MS" w:cs="Arial Unicode MS"/>
        </w:rPr>
        <w:t>El Estado chileno estableció mediante la Ley 20.422 el Consejo Consultivo de la Discapacidad del Servicio Nacional de Discapacidad. Este consejo, compuesto por diez miembros, debe incluir, con equidad, representantes de personas con discapacidad física, auditiva, visual, intelectual y psicosocial. A pesar de su función de llevar a cabo consultas ciudadanas anuales, se observa que este Consejo carece de impacto en la toma de decisiones relacionadas con los temas consultados</w:t>
      </w:r>
      <w:r>
        <w:rPr>
          <w:rStyle w:val="None"/>
          <w:vertAlign w:val="superscript"/>
        </w:rPr>
        <w:footnoteReference w:id="222"/>
      </w:r>
      <w:r>
        <w:rPr>
          <w:rFonts w:eastAsia="Arial Unicode MS" w:cs="Arial Unicode MS"/>
        </w:rPr>
        <w:t>.</w:t>
      </w:r>
    </w:p>
    <w:p w14:paraId="3AF42885" w14:textId="77777777" w:rsidR="001A105D" w:rsidRDefault="00000000">
      <w:pPr>
        <w:pStyle w:val="NoSpacing"/>
        <w:numPr>
          <w:ilvl w:val="0"/>
          <w:numId w:val="33"/>
        </w:numPr>
      </w:pPr>
      <w:r>
        <w:rPr>
          <w:rFonts w:eastAsia="Arial Unicode MS" w:cs="Arial Unicode MS"/>
        </w:rPr>
        <w:t>Por su parte, la Ley 1757 de 2015 y el Decreto 1350 de 2018 en la legislación colombiana regulan el ejercicio del derecho a la participación democrática y establecen medidas para fortalecer la participación efectiva de las organizaciones de personas con discapacidad</w:t>
      </w:r>
      <w:r>
        <w:rPr>
          <w:rStyle w:val="None"/>
          <w:vertAlign w:val="superscript"/>
        </w:rPr>
        <w:footnoteReference w:id="223"/>
      </w:r>
      <w:r>
        <w:rPr>
          <w:rFonts w:eastAsia="Arial Unicode MS" w:cs="Arial Unicode MS"/>
        </w:rPr>
        <w:t xml:space="preserve">. En este contexto, se destaca la emisión de la Circular 097 de 2019 por parte del Ministerio del Interior, la Registraduría Nacional del Servicio Civil, la Procuraduría General de la Nación, el Consejo Nacional Electoral, la Misión de Observación Electoral, el Instituto </w:t>
      </w:r>
      <w:r>
        <w:rPr>
          <w:rFonts w:eastAsia="Arial Unicode MS" w:cs="Arial Unicode MS"/>
        </w:rPr>
        <w:lastRenderedPageBreak/>
        <w:t>Nacional de Personas Ciegas, el Instituto Nacional de Personas Sordas, y Representantes de Sociedad Civil ante el Consejo Nacional de Discapacidad. Este instrumento, que busca garantizar el derecho al voto en condiciones de igualdad para las personas con discapacidad, fue utilizado en las elecciones territoriales de 2019, 2021 y 2022, e introdujo ajustes razonables y acciones afirmativas, entre ellas, la elaboración de tarjetas electorales en Braille</w:t>
      </w:r>
      <w:r>
        <w:rPr>
          <w:rStyle w:val="None"/>
          <w:vertAlign w:val="superscript"/>
        </w:rPr>
        <w:footnoteReference w:id="224"/>
      </w:r>
      <w:r>
        <w:rPr>
          <w:rFonts w:eastAsia="Arial Unicode MS" w:cs="Arial Unicode MS"/>
        </w:rPr>
        <w:t xml:space="preserve">. </w:t>
      </w:r>
    </w:p>
    <w:p w14:paraId="43C33BED" w14:textId="77777777" w:rsidR="001A105D" w:rsidRDefault="00000000">
      <w:pPr>
        <w:pStyle w:val="NoSpacing"/>
        <w:numPr>
          <w:ilvl w:val="0"/>
          <w:numId w:val="33"/>
        </w:numPr>
      </w:pPr>
      <w:r>
        <w:rPr>
          <w:rFonts w:eastAsia="Arial Unicode MS" w:cs="Arial Unicode MS"/>
        </w:rPr>
        <w:t>A</w:t>
      </w:r>
      <w:r>
        <w:rPr>
          <w:rStyle w:val="None"/>
          <w:rFonts w:eastAsia="Arial Unicode MS" w:cs="Arial Unicode MS"/>
          <w:spacing w:val="4"/>
        </w:rPr>
        <w:t xml:space="preserve"> nivel jurisprudencial, la sentencia </w:t>
      </w:r>
      <w:r>
        <w:rPr>
          <w:rStyle w:val="None"/>
          <w:rFonts w:eastAsia="Arial Unicode MS" w:cs="Arial Unicode MS"/>
          <w:spacing w:val="4"/>
          <w:u w:val="single"/>
        </w:rPr>
        <w:t xml:space="preserve">T-573 del 2016 </w:t>
      </w:r>
      <w:r>
        <w:rPr>
          <w:rStyle w:val="None"/>
          <w:rFonts w:eastAsia="Arial Unicode MS" w:cs="Arial Unicode MS"/>
          <w:spacing w:val="4"/>
        </w:rPr>
        <w:t>de la Corte Constitucional de Colombia trajo avances importantes en cuanto al tema de la participación política de las personas con discapacidad. Por ella, se ordenó a las autoridades involucradas garantizar mecanismos que permitieran la participación plena y efectiva de personas con discapacidad en la toma de decisiones. Entre estas, eliminar barreras físicas, comunicativas y actitudinales, que impidan la participación de estas personas; establecer procedimientos inclusivos que aseguren que las personas con discapacidad puedan expresar sus opiniones y ser escuchadas en condiciones de igualdad, y; proveer ajustes razonables y apoyo necesario para que las personas con discapacidad puedan participar de manera efectiva en todos los procesos, incluyendo aquellos relacionados con la paz y la reconciliación</w:t>
      </w:r>
      <w:r>
        <w:rPr>
          <w:rStyle w:val="None"/>
          <w:spacing w:val="4"/>
          <w:vertAlign w:val="superscript"/>
        </w:rPr>
        <w:footnoteReference w:id="225"/>
      </w:r>
      <w:r>
        <w:rPr>
          <w:rStyle w:val="None"/>
          <w:rFonts w:eastAsia="Arial Unicode MS" w:cs="Arial Unicode MS"/>
          <w:spacing w:val="4"/>
        </w:rPr>
        <w:t>.</w:t>
      </w:r>
    </w:p>
    <w:p w14:paraId="33DEC31F" w14:textId="77777777" w:rsidR="001A105D" w:rsidRDefault="00000000">
      <w:pPr>
        <w:pStyle w:val="NoSpacing"/>
        <w:numPr>
          <w:ilvl w:val="0"/>
          <w:numId w:val="33"/>
        </w:numPr>
      </w:pPr>
      <w:r>
        <w:rPr>
          <w:rFonts w:eastAsia="Arial Unicode MS" w:cs="Arial Unicode MS"/>
        </w:rPr>
        <w:lastRenderedPageBreak/>
        <w:t>Con respecto a Guyana, en abril de 2023, el Estado publicó un Informe de la Comisión de Investigación sobre las Elecciones Generales y Regionales celebradas el 2 de marzo de 2020. La Comisión de Investigación recomendó una reforma de la estructura de la Comisión Electoral de Guyana para permitir una participación más equilibrada de otras organizaciones o profesionales con experiencia técnica; la reforma del marco legislativo de las elecciones para empoderar a las personas con discapacidad para que puedan votar y la aprobación de legislación sobre el financiamiento de las campañas</w:t>
      </w:r>
      <w:r>
        <w:rPr>
          <w:rStyle w:val="None"/>
          <w:sz w:val="16"/>
          <w:szCs w:val="16"/>
          <w:vertAlign w:val="superscript"/>
        </w:rPr>
        <w:footnoteReference w:id="226"/>
      </w:r>
      <w:r>
        <w:rPr>
          <w:rFonts w:eastAsia="Arial Unicode MS" w:cs="Arial Unicode MS"/>
        </w:rPr>
        <w:t>.</w:t>
      </w:r>
    </w:p>
    <w:p w14:paraId="03F055CE" w14:textId="77777777" w:rsidR="001A105D" w:rsidRDefault="00000000">
      <w:pPr>
        <w:pStyle w:val="NoSpacing"/>
        <w:numPr>
          <w:ilvl w:val="0"/>
          <w:numId w:val="33"/>
        </w:numPr>
      </w:pPr>
      <w:r>
        <w:rPr>
          <w:rFonts w:eastAsia="Arial Unicode MS" w:cs="Arial Unicode MS"/>
        </w:rPr>
        <w:t xml:space="preserve">En México, se destaca el “Acuerdo del Consejo General del Instituto Nacional Electoral” que aprueba el “Protocolo para la inclusión de las Personas con Discapacidad como </w:t>
      </w:r>
      <w:proofErr w:type="gramStart"/>
      <w:r>
        <w:rPr>
          <w:rFonts w:eastAsia="Arial Unicode MS" w:cs="Arial Unicode MS"/>
        </w:rPr>
        <w:t>funcionarios y funcionarias</w:t>
      </w:r>
      <w:proofErr w:type="gramEnd"/>
      <w:r>
        <w:rPr>
          <w:rFonts w:eastAsia="Arial Unicode MS" w:cs="Arial Unicode MS"/>
        </w:rPr>
        <w:t xml:space="preserve"> de Mesas Directivas de Casilla”. Este protocolo aborda la capacitación de personas con discapacidad y la eliminación de barreras físicas, normativas, materiales, tecnológicas y comunicacionales en procesos electorales a nivel nacional</w:t>
      </w:r>
      <w:r>
        <w:rPr>
          <w:rStyle w:val="None"/>
          <w:vertAlign w:val="superscript"/>
        </w:rPr>
        <w:footnoteReference w:id="227"/>
      </w:r>
      <w:r>
        <w:rPr>
          <w:rFonts w:eastAsia="Arial Unicode MS" w:cs="Arial Unicode MS"/>
        </w:rPr>
        <w:t>.</w:t>
      </w:r>
    </w:p>
    <w:p w14:paraId="361875A3" w14:textId="77777777" w:rsidR="001A105D" w:rsidRDefault="00000000">
      <w:pPr>
        <w:pStyle w:val="NoSpacing"/>
        <w:numPr>
          <w:ilvl w:val="0"/>
          <w:numId w:val="33"/>
        </w:numPr>
      </w:pPr>
      <w:r>
        <w:rPr>
          <w:rFonts w:eastAsia="Arial Unicode MS" w:cs="Arial Unicode MS"/>
        </w:rPr>
        <w:t xml:space="preserve">Asimismo, el Instituto Nacional Electoral emitió el “Protocolo para la adopción de medidas tendientes a garantizar el derecho al voto y a la participación ciudadana de las personas con </w:t>
      </w:r>
      <w:r>
        <w:rPr>
          <w:rFonts w:eastAsia="Arial Unicode MS" w:cs="Arial Unicode MS"/>
        </w:rPr>
        <w:lastRenderedPageBreak/>
        <w:t>discapacidad en los procesos electorales y mecanismos de participación ciudadana”. Este protocolo define pasos, principios, enfoques y perspectivas, junto con ajustes razonables y otras medidas de accesibilidad, para asegurar la participación de todas las personas con discapacidad en elecciones y mecanismos de participación ciudadana</w:t>
      </w:r>
      <w:r>
        <w:rPr>
          <w:rStyle w:val="None"/>
          <w:vertAlign w:val="superscript"/>
        </w:rPr>
        <w:footnoteReference w:id="228"/>
      </w:r>
      <w:r>
        <w:rPr>
          <w:rFonts w:eastAsia="Arial Unicode MS" w:cs="Arial Unicode MS"/>
        </w:rPr>
        <w:t>.</w:t>
      </w:r>
    </w:p>
    <w:p w14:paraId="6365B1B9" w14:textId="77777777" w:rsidR="001A105D" w:rsidRDefault="00000000">
      <w:pPr>
        <w:pStyle w:val="NoSpacing"/>
        <w:numPr>
          <w:ilvl w:val="0"/>
          <w:numId w:val="33"/>
        </w:numPr>
      </w:pPr>
      <w:r>
        <w:rPr>
          <w:rFonts w:eastAsia="Arial Unicode MS" w:cs="Arial Unicode MS"/>
        </w:rPr>
        <w:t>En Perú se observa la regulación de la consulta a personas con discapacidad en el Reglamento de la Ley 29.973, la cual contempla medidas de accesibilidad y ajustes razonables para garantizar su participación</w:t>
      </w:r>
      <w:r>
        <w:rPr>
          <w:rStyle w:val="None"/>
          <w:vertAlign w:val="superscript"/>
        </w:rPr>
        <w:footnoteReference w:id="229"/>
      </w:r>
      <w:r>
        <w:rPr>
          <w:rFonts w:eastAsia="Arial Unicode MS" w:cs="Arial Unicode MS"/>
        </w:rPr>
        <w:t>.</w:t>
      </w:r>
    </w:p>
    <w:p w14:paraId="4F5FF94C" w14:textId="77777777" w:rsidR="001A105D" w:rsidRDefault="00000000">
      <w:pPr>
        <w:pStyle w:val="NoSpacing"/>
        <w:numPr>
          <w:ilvl w:val="0"/>
          <w:numId w:val="33"/>
        </w:numPr>
      </w:pPr>
      <w:r>
        <w:t>La CIDH advierte, de manera general, la falta de legislación respecto de la adopción de medidas de accesibilidad como una obligación de las autoridades, que incluya transversalmente las diversas etapas, comunicaciones, materiales e información relativa a los procesos electorales, para que las personas con discapacidad puedan participar en la toma de decisiones de la vida pública, elegir y ser elegidas, en igualdad de condiciones con las demás personas.</w:t>
      </w:r>
      <w:r>
        <w:rPr>
          <w:rStyle w:val="None"/>
          <w:vertAlign w:val="superscript"/>
        </w:rPr>
        <w:footnoteReference w:id="230"/>
      </w:r>
      <w:r>
        <w:t xml:space="preserve"> Asimismo, se destaca la </w:t>
      </w:r>
      <w:r>
        <w:lastRenderedPageBreak/>
        <w:t>inexistencia de regulación y de respeto al carácter vinculante del derecho a la consulta de las personas con discapacidad, derivado del artículo 4.3 y reforzado en el artículo 33.3 (monitoreo nacional) de la CDPD</w:t>
      </w:r>
      <w:r>
        <w:rPr>
          <w:rStyle w:val="None"/>
          <w:vertAlign w:val="superscript"/>
        </w:rPr>
        <w:footnoteReference w:id="231"/>
      </w:r>
      <w:r>
        <w:t>.</w:t>
      </w:r>
    </w:p>
    <w:p w14:paraId="2FEBB273" w14:textId="77777777" w:rsidR="001A105D" w:rsidRDefault="00000000">
      <w:pPr>
        <w:pStyle w:val="NoSpacing"/>
        <w:numPr>
          <w:ilvl w:val="0"/>
          <w:numId w:val="33"/>
        </w:numPr>
      </w:pPr>
      <w:r>
        <w:rPr>
          <w:rFonts w:eastAsia="Arial Unicode MS" w:cs="Arial Unicode MS"/>
        </w:rPr>
        <w:t>En ese contexto, la Comisión expresa profunda preocupación por la ausencia del reconocimiento del derecho al voto de personas con discapacidad psicosocial, intelectual, múltiple y otras, incluso si no cuentan con una declaración de interdicción o “incapacidad” en la mayoría de los países de la región, derivado de los estigmas y las restricciones a la capacidad jurídica de las personas con discapacidad. A excepción de Colombia, Perú y, recientemente, México, las personas con discapacidad sujetas a regímenes de sustitución de la voluntad, como la tutela y la curatela, tampoco pueden emitir su voto o postularse para ser elegidas en cargos públicos</w:t>
      </w:r>
      <w:r>
        <w:rPr>
          <w:rStyle w:val="None"/>
          <w:vertAlign w:val="superscript"/>
        </w:rPr>
        <w:footnoteReference w:id="232"/>
      </w:r>
      <w:r>
        <w:rPr>
          <w:rFonts w:eastAsia="Arial Unicode MS" w:cs="Arial Unicode MS"/>
        </w:rPr>
        <w:t xml:space="preserve">. En algunas </w:t>
      </w:r>
      <w:r>
        <w:rPr>
          <w:rFonts w:eastAsia="Arial Unicode MS" w:cs="Arial Unicode MS"/>
        </w:rPr>
        <w:lastRenderedPageBreak/>
        <w:t>jurisdicciones, en caso de adquirir una discapacidad durante el desempeño de un cargo público, se permite la destitución del cargo</w:t>
      </w:r>
      <w:r>
        <w:rPr>
          <w:rStyle w:val="None"/>
          <w:vertAlign w:val="superscript"/>
        </w:rPr>
        <w:footnoteReference w:id="233"/>
      </w:r>
      <w:r>
        <w:rPr>
          <w:rFonts w:eastAsia="Arial Unicode MS" w:cs="Arial Unicode MS"/>
        </w:rPr>
        <w:t>.</w:t>
      </w:r>
    </w:p>
    <w:p w14:paraId="0029B774" w14:textId="77777777" w:rsidR="001A105D" w:rsidRDefault="00000000">
      <w:pPr>
        <w:pStyle w:val="NoSpacing"/>
        <w:numPr>
          <w:ilvl w:val="0"/>
          <w:numId w:val="33"/>
        </w:numPr>
      </w:pPr>
      <w:r>
        <w:t xml:space="preserve">La negación del reconocimiento de la capacidad jurídica impacta directamente en el derecho de las personas con discapacidad a asociarse y formar organizaciones civiles, así como a ejercer derechos ciudadanos con autonomía, limitando o anulando así su participación en la vida social y política. Además, aquellas que están institucionalizadas enfrentan aún más obstáculos para acceder a los procesos de votación y participación ciudadana, incluyendo la obtención de documentos de identidad. Estas restricciones constituyen una violación grave a sus derechos políticos, contraviniendo los </w:t>
      </w:r>
      <w:r>
        <w:lastRenderedPageBreak/>
        <w:t>artículos, 1, 2, 3, 7, 18, 23, 24 de la CADH; I.2.b y III de la CIADDIS (capacidad jurídica plena), y el artículo 12 y 29, de la CDPD</w:t>
      </w:r>
      <w:r>
        <w:rPr>
          <w:rStyle w:val="None"/>
          <w:vertAlign w:val="superscript"/>
        </w:rPr>
        <w:footnoteReference w:id="234"/>
      </w:r>
      <w:r>
        <w:t>.</w:t>
      </w:r>
    </w:p>
    <w:p w14:paraId="5B6F902A" w14:textId="77777777" w:rsidR="001A105D" w:rsidRDefault="00000000">
      <w:pPr>
        <w:pStyle w:val="NoSpacing"/>
        <w:numPr>
          <w:ilvl w:val="0"/>
          <w:numId w:val="33"/>
        </w:numPr>
      </w:pPr>
      <w:r>
        <w:rPr>
          <w:rFonts w:eastAsia="Arial Unicode MS" w:cs="Arial Unicode MS"/>
        </w:rPr>
        <w:t>Estas violaciones a los derechos civiles y políticos de las personas con discapacidad tienen su raíz en el modelo médico, que les considera “objetos de protección” y no sujetos de derecho y respecto de quienes se toman decisiones asumiendo de manera subjetiva lo que sería más benéfico para ellas, en contra del modelo social y de derechos humanos. Este último, por el contrario, pone al centro de las decisiones a las propias personas con discapacidad, entendiendo que son ellas las que mejor conocen las barreras que enfrentan y las necesidades que tienen, así como los mecanismos para hacerles frente.</w:t>
      </w:r>
    </w:p>
    <w:p w14:paraId="61FA8FD9" w14:textId="77777777" w:rsidR="001A105D" w:rsidRDefault="00000000">
      <w:pPr>
        <w:pStyle w:val="NoSpacing"/>
        <w:numPr>
          <w:ilvl w:val="0"/>
          <w:numId w:val="33"/>
        </w:numPr>
      </w:pPr>
      <w:r>
        <w:rPr>
          <w:rFonts w:eastAsia="Arial Unicode MS" w:cs="Arial Unicode MS"/>
        </w:rPr>
        <w:t xml:space="preserve">En este contexto, la CIDH reitera la relevancia de que los Estados de la región adopten la CIADDIS y la Observación General sobre Capacidad Jurídica del CEDDIS. Esta última destaca la necesidad de reinterpretar el artículo I.2.b de la CIADDIS a la luz del nuevo paradigma del artículo 12 de la CDPD, reconociendo la plena capacidad jurídica de las personas con discapacidad. Esto implica que el artículo 23 de la CADH debe interpretarse para reconocer este derecho a todas las personas con discapacidad, independientemente de </w:t>
      </w:r>
      <w:r>
        <w:rPr>
          <w:rFonts w:eastAsia="Arial Unicode MS" w:cs="Arial Unicode MS"/>
        </w:rPr>
        <w:lastRenderedPageBreak/>
        <w:t>su diagnóstico médico, facilitando el acceso a apoyos elegidos libremente para garantizar su ejercicio</w:t>
      </w:r>
      <w:r>
        <w:rPr>
          <w:rStyle w:val="None"/>
          <w:vertAlign w:val="superscript"/>
        </w:rPr>
        <w:footnoteReference w:id="235"/>
      </w:r>
      <w:r>
        <w:rPr>
          <w:rFonts w:eastAsia="Arial Unicode MS" w:cs="Arial Unicode MS"/>
        </w:rPr>
        <w:t>.</w:t>
      </w:r>
    </w:p>
    <w:p w14:paraId="646D51F8" w14:textId="77777777" w:rsidR="001A105D" w:rsidRDefault="00000000">
      <w:pPr>
        <w:pStyle w:val="NoSpacing"/>
        <w:numPr>
          <w:ilvl w:val="0"/>
          <w:numId w:val="33"/>
        </w:numPr>
      </w:pPr>
      <w:r>
        <w:rPr>
          <w:rFonts w:eastAsia="Arial Unicode MS" w:cs="Arial Unicode MS"/>
        </w:rPr>
        <w:t>En complementariedad, el artículo 29 de la CDPD reafirma el derecho a la participación en la vida política y pública de las personas con discapacidad. Por lo tanto, los Estados deben implementar medidas para garantizar este derecho en igualdad de condiciones, asegurando que los procedimientos electorales sean adecuados, accesibles y comprensibles. Además, deben proteger el derecho a emitir voto secreto (incluyendo el derecho a recibir asistencia para dicho voto, libremente elegida por la propia persona con discapacidad) y sin intimidación, permitir que las personas con discapacidad se postulen como candidatas, facilitar el uso de tecnologías y personas de apoyo y garantizar la libre expresión de su voluntad como electores</w:t>
      </w:r>
      <w:r>
        <w:rPr>
          <w:rStyle w:val="None"/>
          <w:vertAlign w:val="superscript"/>
        </w:rPr>
        <w:footnoteReference w:id="236"/>
      </w:r>
      <w:r>
        <w:rPr>
          <w:rFonts w:eastAsia="Arial Unicode MS" w:cs="Arial Unicode MS"/>
        </w:rPr>
        <w:t>.</w:t>
      </w:r>
    </w:p>
    <w:p w14:paraId="50EE84A3" w14:textId="77777777" w:rsidR="001A105D" w:rsidRDefault="00000000">
      <w:pPr>
        <w:pStyle w:val="NoSpacing"/>
        <w:numPr>
          <w:ilvl w:val="0"/>
          <w:numId w:val="33"/>
        </w:numPr>
      </w:pPr>
      <w:r>
        <w:rPr>
          <w:rFonts w:eastAsia="Arial Unicode MS" w:cs="Arial Unicode MS"/>
        </w:rPr>
        <w:t xml:space="preserve">Con el objetivo de garantizar la participación plena y activa de las personas con discapacidad en la dirección de los asuntos públicos, los Estados deben fomentar su participación en organizaciones y asociaciones no gubernamentales vinculadas a la vida pública y política, incluyendo la administración de partidos políticos. Asimismo, se les insta a promover la creación de organizaciones de personas con discapacidad a nivel internacional, nacional, regional y local, así como a asegurar su inclusión en dichas entidades. Estas disposiciones buscan eliminar la discriminación y garantizar que las personas con </w:t>
      </w:r>
      <w:r>
        <w:rPr>
          <w:rFonts w:eastAsia="Arial Unicode MS" w:cs="Arial Unicode MS"/>
        </w:rPr>
        <w:lastRenderedPageBreak/>
        <w:t>discapacidad tengan una voz significativa en la toma de decisiones políticas y públicas</w:t>
      </w:r>
      <w:r>
        <w:rPr>
          <w:rStyle w:val="None"/>
          <w:vertAlign w:val="superscript"/>
        </w:rPr>
        <w:footnoteReference w:id="237"/>
      </w:r>
      <w:r>
        <w:rPr>
          <w:rFonts w:eastAsia="Arial Unicode MS" w:cs="Arial Unicode MS"/>
        </w:rPr>
        <w:t>.</w:t>
      </w:r>
    </w:p>
    <w:p w14:paraId="6963507B" w14:textId="77777777" w:rsidR="001A105D" w:rsidRDefault="00000000">
      <w:pPr>
        <w:pStyle w:val="Heading3"/>
        <w:numPr>
          <w:ilvl w:val="0"/>
          <w:numId w:val="63"/>
        </w:numPr>
      </w:pPr>
      <w:bookmarkStart w:id="19" w:name="_Toc16"/>
      <w:r>
        <w:rPr>
          <w:rFonts w:eastAsia="Arial Unicode MS" w:cs="Arial Unicode MS"/>
          <w:lang w:val="es-ES_tradnl"/>
        </w:rPr>
        <w:t xml:space="preserve">Derecho a la salud </w:t>
      </w:r>
      <w:bookmarkEnd w:id="19"/>
    </w:p>
    <w:p w14:paraId="221374C6" w14:textId="77777777" w:rsidR="001A105D" w:rsidRDefault="00000000">
      <w:pPr>
        <w:pStyle w:val="NoSpacing"/>
        <w:numPr>
          <w:ilvl w:val="0"/>
          <w:numId w:val="33"/>
        </w:numPr>
      </w:pPr>
      <w:r>
        <w:rPr>
          <w:rFonts w:eastAsia="Arial Unicode MS" w:cs="Arial Unicode MS"/>
        </w:rPr>
        <w:t>El marco jurídico internacional que respalda el derecho a la salud de las personas con discapacidad incluye el artículo 10 del Protocolo Adicional a la Convención Americana sobre Derechos Humanos en Materia de Derechos Económicos, Sociales y Culturales, conocido como "Protocolo de San Salvador"</w:t>
      </w:r>
      <w:r>
        <w:rPr>
          <w:rStyle w:val="None"/>
          <w:vertAlign w:val="superscript"/>
        </w:rPr>
        <w:footnoteReference w:id="238"/>
      </w:r>
      <w:r>
        <w:rPr>
          <w:rFonts w:eastAsia="Arial Unicode MS" w:cs="Arial Unicode MS"/>
        </w:rPr>
        <w:t>, junto con los artículos 25 y 26 de la CDPD</w:t>
      </w:r>
      <w:r>
        <w:rPr>
          <w:rStyle w:val="None"/>
          <w:vertAlign w:val="superscript"/>
        </w:rPr>
        <w:footnoteReference w:id="239"/>
      </w:r>
      <w:r>
        <w:rPr>
          <w:rFonts w:eastAsia="Arial Unicode MS" w:cs="Arial Unicode MS"/>
        </w:rPr>
        <w:t>. Estos instrumentos normativos establecen una serie de medidas que los Estados deben implementar para garantizar la accesibilidad, asequibilidad, aceptabilidad y calidad de la salud de las personas con discapacidad, reconociendo su derecho al más alto nivel de bienestar físico, mental y social.</w:t>
      </w:r>
    </w:p>
    <w:p w14:paraId="5F738D98" w14:textId="77777777" w:rsidR="001A105D" w:rsidRDefault="00000000">
      <w:pPr>
        <w:pStyle w:val="NoSpacing"/>
        <w:numPr>
          <w:ilvl w:val="0"/>
          <w:numId w:val="33"/>
        </w:numPr>
      </w:pPr>
      <w:r>
        <w:rPr>
          <w:rFonts w:eastAsia="Arial Unicode MS" w:cs="Arial Unicode MS"/>
        </w:rPr>
        <w:t xml:space="preserve">Al respecto, un importante número de países de la región ha incorporado los estándares mencionados principalmente en las leyes generales de discapacidad y mediante reformas en las legislaciones específicas sobre salud. Asimismo, han venido desarrollando distintas medidas y políticas públicas que pueden configurarse como buenas prácticas con el objetivo de asegurar el acceso de todas las personas con discapacidad al más alto nivel de salud en condiciones de igualdad con el resto de la población. Otros, sin embargo, continúan manteniendo legislaciones específicas que perpetúan los estigmas hacia personas con discapacidad psicosocial e intelectual, </w:t>
      </w:r>
      <w:r>
        <w:rPr>
          <w:rFonts w:eastAsia="Arial Unicode MS" w:cs="Arial Unicode MS"/>
        </w:rPr>
        <w:lastRenderedPageBreak/>
        <w:t>despojándolas de su titularidad de derechos en el acceso y atención en salud, entre otros derechos.</w:t>
      </w:r>
    </w:p>
    <w:p w14:paraId="6F0BECDD" w14:textId="77777777" w:rsidR="001A105D" w:rsidRDefault="00000000">
      <w:pPr>
        <w:pStyle w:val="NoSpacing"/>
        <w:numPr>
          <w:ilvl w:val="0"/>
          <w:numId w:val="33"/>
        </w:numPr>
      </w:pPr>
      <w:r>
        <w:t>En este contexto, se destaca como una buena práctica la implementación de la Red Federal de Rehabilitación en Argentina, un espacio dedicado a la comunicación y desarrollo de políticas públicas en discapacidad y rehabilitación. La red se ha enfocado en brindar asistencia técnica, capacitar al personal y llevar a cabo investigaciones, involucrando a actores clave en los procesos de rehabilitación en todo el país. Además, la Ley del Sistema de Prestaciones Básicas en Habilitación y Rehabilitación Integral para Personas con Discapacidad fue modificada en el año 2009 para incluir el inciso d) en el artículo 39. Este inciso establece la "Asistencia Domiciliaria" permitiendo que, por indicación exclusiva del equipo interdisciplinario de las entidades obligadas, las personas con discapacidad reciban apoyo de un asistente domiciliario. Esta medida busca favorecer la vida autónoma, prevenir la institucionalización y reducir los tiempos de internación</w:t>
      </w:r>
      <w:r>
        <w:rPr>
          <w:rStyle w:val="None"/>
          <w:rFonts w:ascii="Helvetica LT Std Oblique" w:eastAsia="Helvetica LT Std Oblique" w:hAnsi="Helvetica LT Std Oblique" w:cs="Helvetica LT Std Oblique"/>
          <w:vertAlign w:val="superscript"/>
        </w:rPr>
        <w:footnoteReference w:id="240"/>
      </w:r>
      <w:r>
        <w:t>.</w:t>
      </w:r>
    </w:p>
    <w:p w14:paraId="378AC2A9" w14:textId="77777777" w:rsidR="001A105D" w:rsidRDefault="00000000">
      <w:pPr>
        <w:pStyle w:val="NoSpacing"/>
        <w:numPr>
          <w:ilvl w:val="0"/>
          <w:numId w:val="33"/>
        </w:numPr>
      </w:pPr>
      <w:r>
        <w:t xml:space="preserve">En Bahamas, el </w:t>
      </w:r>
      <w:proofErr w:type="spellStart"/>
      <w:r>
        <w:rPr>
          <w:rStyle w:val="Hyperlink3"/>
        </w:rPr>
        <w:t>Persons</w:t>
      </w:r>
      <w:proofErr w:type="spellEnd"/>
      <w:r>
        <w:rPr>
          <w:rStyle w:val="Hyperlink3"/>
        </w:rPr>
        <w:t xml:space="preserve"> </w:t>
      </w:r>
      <w:proofErr w:type="spellStart"/>
      <w:r>
        <w:rPr>
          <w:rStyle w:val="Hyperlink3"/>
        </w:rPr>
        <w:t>with</w:t>
      </w:r>
      <w:proofErr w:type="spellEnd"/>
      <w:r>
        <w:rPr>
          <w:rStyle w:val="Hyperlink3"/>
        </w:rPr>
        <w:t xml:space="preserve"> </w:t>
      </w:r>
      <w:proofErr w:type="spellStart"/>
      <w:r>
        <w:rPr>
          <w:rStyle w:val="Hyperlink3"/>
        </w:rPr>
        <w:t>Disabilities</w:t>
      </w:r>
      <w:proofErr w:type="spellEnd"/>
      <w:r>
        <w:rPr>
          <w:rStyle w:val="Hyperlink3"/>
        </w:rPr>
        <w:t xml:space="preserve"> (</w:t>
      </w:r>
      <w:proofErr w:type="spellStart"/>
      <w:r>
        <w:rPr>
          <w:rStyle w:val="Hyperlink3"/>
        </w:rPr>
        <w:t>Equal</w:t>
      </w:r>
      <w:proofErr w:type="spellEnd"/>
      <w:r>
        <w:rPr>
          <w:rStyle w:val="Hyperlink3"/>
        </w:rPr>
        <w:t xml:space="preserve"> </w:t>
      </w:r>
      <w:proofErr w:type="spellStart"/>
      <w:r>
        <w:rPr>
          <w:rStyle w:val="Hyperlink3"/>
        </w:rPr>
        <w:t>Opportunities</w:t>
      </w:r>
      <w:proofErr w:type="spellEnd"/>
      <w:r>
        <w:rPr>
          <w:rStyle w:val="Hyperlink3"/>
        </w:rPr>
        <w:t>)</w:t>
      </w:r>
      <w:r>
        <w:t xml:space="preserve"> Bill, de 2014, estableció en su artículo 18 el derecho a las personas con discapacidad a acceder a servicios de salud, incluyendo la detección e intervención temprana de la deficiencia y el contar con equipos y personal médico adecuadamente preparado para atender a personas con </w:t>
      </w:r>
      <w:r>
        <w:lastRenderedPageBreak/>
        <w:t>discapacidad</w:t>
      </w:r>
      <w:r>
        <w:rPr>
          <w:rStyle w:val="None"/>
          <w:sz w:val="16"/>
          <w:szCs w:val="16"/>
          <w:vertAlign w:val="superscript"/>
        </w:rPr>
        <w:footnoteReference w:id="241"/>
      </w:r>
      <w:r>
        <w:rPr>
          <w:rStyle w:val="None"/>
          <w:sz w:val="16"/>
          <w:szCs w:val="16"/>
        </w:rPr>
        <w:t>.</w:t>
      </w:r>
      <w:r>
        <w:t xml:space="preserve"> Sin embargo, respecto al consentimiento médico, la </w:t>
      </w:r>
      <w:r>
        <w:rPr>
          <w:rStyle w:val="Hyperlink3"/>
        </w:rPr>
        <w:t xml:space="preserve">Hospital and </w:t>
      </w:r>
      <w:proofErr w:type="spellStart"/>
      <w:r>
        <w:rPr>
          <w:rStyle w:val="Hyperlink3"/>
        </w:rPr>
        <w:t>Health</w:t>
      </w:r>
      <w:proofErr w:type="spellEnd"/>
      <w:r>
        <w:rPr>
          <w:rStyle w:val="Hyperlink3"/>
        </w:rPr>
        <w:t xml:space="preserve"> Care Facilites (General) </w:t>
      </w:r>
      <w:proofErr w:type="spellStart"/>
      <w:r>
        <w:rPr>
          <w:rStyle w:val="Hyperlink3"/>
        </w:rPr>
        <w:t>Regulations</w:t>
      </w:r>
      <w:proofErr w:type="spellEnd"/>
      <w:r>
        <w:rPr>
          <w:rStyle w:val="Hyperlink3"/>
        </w:rPr>
        <w:t xml:space="preserve"> </w:t>
      </w:r>
      <w:r>
        <w:t xml:space="preserve">de 2000, establece en su artículo 10 que en los casos en los que el paciente no pueda dar consentimiento por encontrarse </w:t>
      </w:r>
      <w:r>
        <w:rPr>
          <w:rStyle w:val="Hyperlink3"/>
        </w:rPr>
        <w:t>física o mentalmente “impedido”, o “debilitado o incompetente”</w:t>
      </w:r>
      <w:r>
        <w:t xml:space="preserve"> [sic], se deberá obtener consentimiento por escrito de un familiar o representante legal. En caso no hubiera ninguna persona designada para estos efectos, se presumirá el consentimiento para la intervención, a menos que se derive de declaraciones previas del paciente, que se hubiera rechazado la intervención</w:t>
      </w:r>
      <w:r>
        <w:rPr>
          <w:rStyle w:val="None"/>
          <w:sz w:val="16"/>
          <w:szCs w:val="16"/>
          <w:vertAlign w:val="superscript"/>
        </w:rPr>
        <w:footnoteReference w:id="242"/>
      </w:r>
      <w:r>
        <w:t>. La Comisión nota que estas regulaciones necesitan ser modificadas a la luz de los estándares internacionales e interamericanos sobre derechos de las personas con discapacidad.</w:t>
      </w:r>
    </w:p>
    <w:p w14:paraId="615AA848" w14:textId="77777777" w:rsidR="001A105D" w:rsidRDefault="00000000">
      <w:pPr>
        <w:pStyle w:val="NoSpacing"/>
        <w:numPr>
          <w:ilvl w:val="0"/>
          <w:numId w:val="33"/>
        </w:numPr>
      </w:pPr>
      <w:r>
        <w:t xml:space="preserve">El Estado de Barbados reportó a la Comisión que existen políticas públicas de salud en el país centradas en la rehabilitación de las personas con discapacidad que así lo requieran, a través de instituciones tales como el Centro de Rehabilitación del Hospital Queen Elizabeth, Policlínicas, Hospitales, y el </w:t>
      </w:r>
      <w:r>
        <w:rPr>
          <w:rStyle w:val="Hyperlink3"/>
        </w:rPr>
        <w:t>Programa de Rehabilitación Comunitaria de la Unidad Nacional de Discapacidades</w:t>
      </w:r>
      <w:r>
        <w:t>.</w:t>
      </w:r>
      <w:r>
        <w:rPr>
          <w:rStyle w:val="None"/>
          <w:vertAlign w:val="superscript"/>
        </w:rPr>
        <w:footnoteReference w:id="243"/>
      </w:r>
      <w:r>
        <w:t xml:space="preserve">  Sin embargo, en relación con marcos legales en el tema, el Barbados Medical Council </w:t>
      </w:r>
      <w:proofErr w:type="spellStart"/>
      <w:r>
        <w:t>Code</w:t>
      </w:r>
      <w:proofErr w:type="spellEnd"/>
      <w:r>
        <w:t xml:space="preserve"> </w:t>
      </w:r>
      <w:proofErr w:type="spellStart"/>
      <w:r>
        <w:t>of</w:t>
      </w:r>
      <w:proofErr w:type="spellEnd"/>
      <w:r>
        <w:t xml:space="preserve"> </w:t>
      </w:r>
      <w:proofErr w:type="spellStart"/>
      <w:r>
        <w:t>Conduct</w:t>
      </w:r>
      <w:proofErr w:type="spellEnd"/>
      <w:r>
        <w:t xml:space="preserve"> de 2015. Este señala en su artículo 2.7.3 que si el paciente es una persona “mentalmente incapaz” (“</w:t>
      </w:r>
      <w:proofErr w:type="spellStart"/>
      <w:r>
        <w:t>unsound</w:t>
      </w:r>
      <w:proofErr w:type="spellEnd"/>
      <w:r>
        <w:t xml:space="preserve"> </w:t>
      </w:r>
      <w:proofErr w:type="spellStart"/>
      <w:r>
        <w:t>mind</w:t>
      </w:r>
      <w:proofErr w:type="spellEnd"/>
      <w:r>
        <w:t xml:space="preserve">”) o “incapaz” de dar un consentimiento válido, el medico a cargo </w:t>
      </w:r>
      <w:r>
        <w:rPr>
          <w:rStyle w:val="None"/>
          <w:u w:color="234458"/>
        </w:rPr>
        <w:t xml:space="preserve">debe obtener dicho consentimiento de un </w:t>
      </w:r>
      <w:r>
        <w:rPr>
          <w:rStyle w:val="None"/>
          <w:u w:color="234458"/>
        </w:rPr>
        <w:lastRenderedPageBreak/>
        <w:t>pariente o curador. En caso ello no sea posible, el jefe de la institución médica dará el consentimiento o se solicitará al Poder Judicial la designación de un curador. En estos casos, el consentimiento se hará tomando en cuenta e</w:t>
      </w:r>
      <w:r>
        <w:rPr>
          <w:rStyle w:val="None"/>
          <w:rFonts w:ascii="Helvetica LT Std Oblique" w:hAnsi="Helvetica LT Std Oblique"/>
          <w:u w:color="234458"/>
        </w:rPr>
        <w:t>l mejor interés del paciente</w:t>
      </w:r>
      <w:r>
        <w:rPr>
          <w:rStyle w:val="None"/>
          <w:vertAlign w:val="superscript"/>
        </w:rPr>
        <w:footnoteReference w:id="244"/>
      </w:r>
      <w:r>
        <w:rPr>
          <w:rStyle w:val="None"/>
          <w:u w:color="234458"/>
        </w:rPr>
        <w:t xml:space="preserve">. </w:t>
      </w:r>
    </w:p>
    <w:p w14:paraId="6DF6B8A8" w14:textId="77777777" w:rsidR="001A105D" w:rsidRDefault="00000000">
      <w:pPr>
        <w:pStyle w:val="NoSpacing"/>
        <w:numPr>
          <w:ilvl w:val="0"/>
          <w:numId w:val="33"/>
        </w:numPr>
      </w:pPr>
      <w:r>
        <w:rPr>
          <w:rFonts w:eastAsia="Arial Unicode MS" w:cs="Arial Unicode MS"/>
        </w:rPr>
        <w:t xml:space="preserve">La Comisión advierte que este marco regulatorio es contrario al estándar de reconocimiento del derecho a la capacidad jurídica, </w:t>
      </w:r>
      <w:r>
        <w:rPr>
          <w:rStyle w:val="None"/>
          <w:rFonts w:eastAsia="Arial Unicode MS" w:cs="Arial Unicode MS"/>
          <w:color w:val="0A2F45"/>
          <w:u w:color="0A2F45"/>
        </w:rPr>
        <w:t xml:space="preserve">no sólo respecto al derecho a tomar decisiones sobre tratamientos médicos, sino también al aplicar </w:t>
      </w:r>
      <w:r>
        <w:rPr>
          <w:rFonts w:eastAsia="Arial Unicode MS" w:cs="Arial Unicode MS"/>
        </w:rPr>
        <w:t xml:space="preserve">el estándar del “mejor interés de la persona”, </w:t>
      </w:r>
      <w:r>
        <w:rPr>
          <w:rStyle w:val="None"/>
          <w:rFonts w:eastAsia="Arial Unicode MS" w:cs="Arial Unicode MS"/>
          <w:color w:val="0A2F45"/>
          <w:u w:color="0A2F45"/>
        </w:rPr>
        <w:t xml:space="preserve">en vez del </w:t>
      </w:r>
      <w:r>
        <w:rPr>
          <w:rFonts w:eastAsia="Arial Unicode MS" w:cs="Arial Unicode MS"/>
        </w:rPr>
        <w:t xml:space="preserve">de “voluntad y preferencias” de la misma, que es lo que debe hacerse según el artículo 12 de la CDPD. </w:t>
      </w:r>
      <w:r>
        <w:rPr>
          <w:rStyle w:val="None"/>
          <w:rFonts w:eastAsia="Arial Unicode MS" w:cs="Arial Unicode MS"/>
          <w:color w:val="0A2F45"/>
          <w:u w:color="0A2F45"/>
        </w:rPr>
        <w:t>Por otro lado,</w:t>
      </w:r>
      <w:r>
        <w:rPr>
          <w:rFonts w:eastAsia="Arial Unicode MS" w:cs="Arial Unicode MS"/>
        </w:rPr>
        <w:t xml:space="preserve"> la </w:t>
      </w:r>
      <w:proofErr w:type="spellStart"/>
      <w:r>
        <w:rPr>
          <w:rStyle w:val="None"/>
          <w:rFonts w:ascii="Helvetica LT Std Oblique" w:hAnsi="Helvetica LT Std Oblique"/>
          <w:color w:val="0A2F45"/>
          <w:u w:color="0A2F45"/>
        </w:rPr>
        <w:t>Termination</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of</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Pregnancy</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Act</w:t>
      </w:r>
      <w:proofErr w:type="spellEnd"/>
      <w:r>
        <w:rPr>
          <w:rStyle w:val="None"/>
          <w:rFonts w:ascii="Helvetica LT Std Oblique" w:hAnsi="Helvetica LT Std Oblique"/>
          <w:color w:val="0A2F45"/>
          <w:u w:color="0A2F45"/>
        </w:rPr>
        <w:t xml:space="preserve"> </w:t>
      </w:r>
      <w:r>
        <w:rPr>
          <w:rFonts w:eastAsia="Arial Unicode MS" w:cs="Arial Unicode MS"/>
        </w:rPr>
        <w:t>de 1978, en su artículo 8.3 también requiere que el consentimiento para que una</w:t>
      </w:r>
      <w:r>
        <w:rPr>
          <w:rStyle w:val="None"/>
          <w:rFonts w:ascii="Helvetica LT Std Fractions" w:hAnsi="Helvetica LT Std Fractions"/>
        </w:rPr>
        <w:t xml:space="preserve"> </w:t>
      </w:r>
      <w:r>
        <w:rPr>
          <w:rFonts w:eastAsia="Arial Unicode MS" w:cs="Arial Unicode MS"/>
        </w:rPr>
        <w:t>persona con discapacidad psicosocial o intelectual acceda a un aborto provenga del padre, madre o curador</w:t>
      </w:r>
      <w:r>
        <w:rPr>
          <w:rStyle w:val="None"/>
          <w:vertAlign w:val="superscript"/>
        </w:rPr>
        <w:footnoteReference w:id="245"/>
      </w:r>
      <w:r>
        <w:rPr>
          <w:rFonts w:eastAsia="Arial Unicode MS" w:cs="Arial Unicode MS"/>
        </w:rPr>
        <w:t>.</w:t>
      </w:r>
    </w:p>
    <w:p w14:paraId="2D16F174" w14:textId="77777777" w:rsidR="001A105D" w:rsidRDefault="00000000">
      <w:pPr>
        <w:pStyle w:val="NoSpacing"/>
        <w:numPr>
          <w:ilvl w:val="0"/>
          <w:numId w:val="33"/>
        </w:numPr>
      </w:pPr>
      <w:r>
        <w:rPr>
          <w:rFonts w:eastAsia="Arial Unicode MS" w:cs="Arial Unicode MS"/>
        </w:rPr>
        <w:t xml:space="preserve">Por su parte, </w:t>
      </w:r>
      <w:r>
        <w:rPr>
          <w:rStyle w:val="None"/>
          <w:rFonts w:eastAsia="Arial Unicode MS" w:cs="Arial Unicode MS"/>
          <w:color w:val="0A2F45"/>
          <w:u w:color="0A2F45"/>
        </w:rPr>
        <w:t xml:space="preserve">Belice cuenta con </w:t>
      </w:r>
      <w:r>
        <w:rPr>
          <w:rFonts w:eastAsia="Arial Unicode MS" w:cs="Arial Unicode MS"/>
        </w:rPr>
        <w:t>normas sobre consentimiento en el tema de salud, así como políticas comprehensivas en atención de salud pública en general, incluidos los servicios de salud sexual y reproductiva</w:t>
      </w:r>
      <w:r>
        <w:rPr>
          <w:rStyle w:val="None"/>
          <w:vertAlign w:val="superscript"/>
        </w:rPr>
        <w:footnoteReference w:id="246"/>
      </w:r>
      <w:r>
        <w:rPr>
          <w:rFonts w:eastAsia="Arial Unicode MS" w:cs="Arial Unicode MS"/>
        </w:rPr>
        <w:t xml:space="preserve">. La </w:t>
      </w:r>
      <w:proofErr w:type="spellStart"/>
      <w:r>
        <w:rPr>
          <w:rStyle w:val="None"/>
          <w:rFonts w:ascii="Helvetica LT Std Oblique" w:hAnsi="Helvetica LT Std Oblique"/>
          <w:color w:val="0A2F45"/>
          <w:u w:color="0A2F45"/>
        </w:rPr>
        <w:t>Ministry</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of</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Health</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Informed</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Consent</w:t>
      </w:r>
      <w:proofErr w:type="spellEnd"/>
      <w:r>
        <w:rPr>
          <w:rStyle w:val="None"/>
          <w:rFonts w:ascii="Helvetica LT Std Oblique" w:hAnsi="Helvetica LT Std Oblique"/>
          <w:color w:val="0A2F45"/>
          <w:u w:color="0A2F45"/>
        </w:rPr>
        <w:t xml:space="preserve"> </w:t>
      </w:r>
      <w:proofErr w:type="spellStart"/>
      <w:r>
        <w:rPr>
          <w:rStyle w:val="None"/>
          <w:rFonts w:ascii="Helvetica LT Std Oblique" w:hAnsi="Helvetica LT Std Oblique"/>
          <w:color w:val="0A2F45"/>
          <w:u w:color="0A2F45"/>
        </w:rPr>
        <w:t>Policy</w:t>
      </w:r>
      <w:proofErr w:type="spellEnd"/>
      <w:r>
        <w:rPr>
          <w:rStyle w:val="None"/>
          <w:rFonts w:eastAsia="Arial Unicode MS" w:cs="Arial Unicode MS"/>
          <w:color w:val="0A2F45"/>
          <w:u w:color="0A2F45"/>
        </w:rPr>
        <w:t xml:space="preserve"> </w:t>
      </w:r>
      <w:r>
        <w:rPr>
          <w:rFonts w:eastAsia="Arial Unicode MS" w:cs="Arial Unicode MS"/>
        </w:rPr>
        <w:t xml:space="preserve">del 2009 establece en su artículo 2 que, si un adulto no puede entender elementos relevantes de su condición </w:t>
      </w:r>
      <w:r>
        <w:rPr>
          <w:rFonts w:eastAsia="Arial Unicode MS" w:cs="Arial Unicode MS"/>
        </w:rPr>
        <w:lastRenderedPageBreak/>
        <w:t>médica y tratamiento propuesto, su capacidad para dar consentimiento deberá ser puesta en cuestión</w:t>
      </w:r>
      <w:r>
        <w:footnoteReference w:id="247"/>
      </w:r>
      <w:r>
        <w:rPr>
          <w:rFonts w:eastAsia="Arial Unicode MS" w:cs="Arial Unicode MS"/>
        </w:rPr>
        <w:t xml:space="preserve">. Según un reporte del Departamento de Estado de los Estados Unidos sobre </w:t>
      </w:r>
      <w:proofErr w:type="spellStart"/>
      <w:r>
        <w:rPr>
          <w:rFonts w:eastAsia="Arial Unicode MS" w:cs="Arial Unicode MS"/>
        </w:rPr>
        <w:t>Belize</w:t>
      </w:r>
      <w:proofErr w:type="spellEnd"/>
      <w:r>
        <w:rPr>
          <w:rFonts w:eastAsia="Arial Unicode MS" w:cs="Arial Unicode MS"/>
        </w:rPr>
        <w:t>, la atención sanitaria resulta más difícil para las personas con discapacidad auditiva y psicosocial e intelectual, especialmente en las zonas rurales del país</w:t>
      </w:r>
      <w:r>
        <w:rPr>
          <w:rStyle w:val="None"/>
          <w:vertAlign w:val="superscript"/>
        </w:rPr>
        <w:footnoteReference w:id="248"/>
      </w:r>
      <w:r>
        <w:rPr>
          <w:rFonts w:eastAsia="Arial Unicode MS" w:cs="Arial Unicode MS"/>
        </w:rPr>
        <w:t>.</w:t>
      </w:r>
    </w:p>
    <w:p w14:paraId="6439C2AF" w14:textId="77777777" w:rsidR="001A105D" w:rsidRDefault="00000000">
      <w:pPr>
        <w:pStyle w:val="NoSpacing"/>
        <w:numPr>
          <w:ilvl w:val="0"/>
          <w:numId w:val="33"/>
        </w:numPr>
      </w:pPr>
      <w:r>
        <w:rPr>
          <w:rFonts w:eastAsia="Arial Unicode MS" w:cs="Arial Unicode MS"/>
        </w:rPr>
        <w:t>En Bolivia, el Ministerio de Salud ha contribuido a la implementación exitosa del Programa "Implementación de Centros de Habilitación y Rehabilitación para Personas con Discapacidad a Nivel Nacional" mediante acuerdos intergubernamentales con Gobiernos Autónomos Municipales y departamentales. Estos centros operan dentro del marco de la Ley "Hacia el Sistema Único de Salud". Actualmente, hay 38 Centros/Servicios de Rehabilitación en todo el país, que cuentan con personal especializado en diversas disciplinas médicas, como fisioterapeutas, kinesiólogos, fonoaudiólogos, terapeutas ocupacionales, y otros profesionales vinculados al ámbito de la habilitación/rehabilitación, para proporcionar atención a la población</w:t>
      </w:r>
      <w:r>
        <w:rPr>
          <w:rStyle w:val="None"/>
          <w:vertAlign w:val="superscript"/>
        </w:rPr>
        <w:footnoteReference w:id="249"/>
      </w:r>
    </w:p>
    <w:p w14:paraId="16EEA1B9" w14:textId="77777777" w:rsidR="001A105D" w:rsidRDefault="00000000">
      <w:pPr>
        <w:pStyle w:val="NoSpacing"/>
        <w:numPr>
          <w:ilvl w:val="0"/>
          <w:numId w:val="33"/>
        </w:numPr>
      </w:pPr>
      <w:r>
        <w:rPr>
          <w:rFonts w:eastAsia="Arial Unicode MS" w:cs="Arial Unicode MS"/>
        </w:rPr>
        <w:t xml:space="preserve">En la misma línea, Brasil ha establecido la Red de Atención a Personas con Discapacidad con el propósito de mejorar el </w:t>
      </w:r>
      <w:r>
        <w:rPr>
          <w:rFonts w:eastAsia="Arial Unicode MS" w:cs="Arial Unicode MS"/>
        </w:rPr>
        <w:lastRenderedPageBreak/>
        <w:t>acceso y promover los servicios de rehabilitación en el Sistema Único de Salud. La política pública en el país abarca inversiones financieras y estímulos de financiamiento destinados a la construcción, renovación, ampliación y adquisición de equipos para el funcionamiento de Centros Especializados de Rehabilitación ambulatorios y Talleres de Ortopedia, así como la adquisición de vehículos accesibles para el transporte de personas con discapacidad. Asimismo, Brasil ha implementado programas de capacitación para el personal de salud, enfocados en la atención diferencial a personas en diversas situaciones de discapacidad</w:t>
      </w:r>
      <w:r>
        <w:rPr>
          <w:rStyle w:val="None"/>
          <w:vertAlign w:val="superscript"/>
        </w:rPr>
        <w:footnoteReference w:id="250"/>
      </w:r>
      <w:r>
        <w:rPr>
          <w:rFonts w:eastAsia="Arial Unicode MS" w:cs="Arial Unicode MS"/>
        </w:rPr>
        <w:t>.</w:t>
      </w:r>
    </w:p>
    <w:p w14:paraId="5BBEEA22" w14:textId="77777777" w:rsidR="001A105D" w:rsidRDefault="00000000">
      <w:pPr>
        <w:pStyle w:val="NoSpacing"/>
        <w:numPr>
          <w:ilvl w:val="0"/>
          <w:numId w:val="33"/>
        </w:numPr>
      </w:pPr>
      <w:r>
        <w:rPr>
          <w:rFonts w:eastAsia="Arial Unicode MS" w:cs="Arial Unicode MS"/>
        </w:rPr>
        <w:t xml:space="preserve">Chile tiene una perspectiva transversal de derechos humanos y discapacidad en el ámbito de la salud sexual y reproductiva mediante la adopción de la Política Nacional de Salud Sexual y Reproductiva en 2018. Como estrategia clave, se ha implementado un Programa de Salud Sexual y Reproductiva en la red de proveedores públicos de salud, con un enfoque intersectorial para asegurar el acceso a estos derechos, especialmente para las mujeres con discapacidad. Simultáneamente, el Servicio Nacional de la Discapacidad (SENADIS) ha respaldado desde 2016 la implementación de más de 200 dispositivos de rehabilitación en todas las regiones del país, promoviendo la Rehabilitación de Base Comunitaria </w:t>
      </w:r>
      <w:r>
        <w:rPr>
          <w:rFonts w:eastAsia="Arial Unicode MS" w:cs="Arial Unicode MS"/>
        </w:rPr>
        <w:lastRenderedPageBreak/>
        <w:t>para acercar las acciones de rehabilitación a las comunidades, incluso en áreas remotas</w:t>
      </w:r>
      <w:r>
        <w:rPr>
          <w:rStyle w:val="None"/>
          <w:vertAlign w:val="superscript"/>
        </w:rPr>
        <w:footnoteReference w:id="251"/>
      </w:r>
      <w:r>
        <w:rPr>
          <w:rFonts w:eastAsia="Arial Unicode MS" w:cs="Arial Unicode MS"/>
        </w:rPr>
        <w:t>.</w:t>
      </w:r>
    </w:p>
    <w:p w14:paraId="4628EF78" w14:textId="77777777" w:rsidR="001A105D" w:rsidRDefault="00000000">
      <w:pPr>
        <w:pStyle w:val="NoSpacing"/>
        <w:numPr>
          <w:ilvl w:val="0"/>
          <w:numId w:val="33"/>
        </w:numPr>
      </w:pPr>
      <w:r>
        <w:t>A pesar de estos avances, el Instituto Nacional de Rehabilitación Pedro Aguirre Cerda (INRPAC), destinado principalmente a la rehabilitación de infancia y adolescencia, se concentra solamente en la capital urbana. Además, el gobierno chileno continúa destinando fondos públicos al Instituto Teletón, una institución privada de rehabilitación infantil que, a pesar de tener cobertura nacional, excluye a personas adultas y aquellas con discapacidades más allá de la funcionalidad física-motora</w:t>
      </w:r>
      <w:r>
        <w:rPr>
          <w:rStyle w:val="None"/>
          <w:vertAlign w:val="superscript"/>
        </w:rPr>
        <w:footnoteReference w:id="252"/>
      </w:r>
      <w:r>
        <w:t>. La institución Teletón ha sido criticada por difundir una perspectiva asistencialista y caritativa hacia las personas con discapacidad, perpetuada mediante campañas mediáticas de recaudación de fondos que refuerzan estigmas y limitan su enfoque evolutivo hacia una visión de derechos</w:t>
      </w:r>
      <w:r>
        <w:rPr>
          <w:rStyle w:val="None"/>
          <w:vertAlign w:val="superscript"/>
        </w:rPr>
        <w:footnoteReference w:id="253"/>
      </w:r>
      <w:r>
        <w:t xml:space="preserve">. </w:t>
      </w:r>
    </w:p>
    <w:p w14:paraId="2B77B59F" w14:textId="77777777" w:rsidR="001A105D" w:rsidRDefault="00000000">
      <w:pPr>
        <w:pStyle w:val="NoSpacing"/>
        <w:numPr>
          <w:ilvl w:val="0"/>
          <w:numId w:val="33"/>
        </w:numPr>
      </w:pPr>
      <w:r>
        <w:rPr>
          <w:rFonts w:eastAsia="Arial Unicode MS" w:cs="Arial Unicode MS"/>
        </w:rPr>
        <w:lastRenderedPageBreak/>
        <w:t>A su vez, la Ley chilena No. 20.584 establece en su artículo 5 bis) el derecho de las personas mayores, personas con discapacidad y sus cuidadores a recibir atención preferente y oportuna por parte de cualquier prestador de servicios de salud. El objetivo de esta disposición es facilitar el acceso a dichos servicios y reducir barreras de exclusión, aunque se reconoce la necesidad de aplicar prioridades según la condición de salud, emergencia o urgencia, de acuerdo con los protocolos establecidos.</w:t>
      </w:r>
      <w:r>
        <w:rPr>
          <w:rStyle w:val="None"/>
          <w:vertAlign w:val="superscript"/>
        </w:rPr>
        <w:footnoteReference w:id="254"/>
      </w:r>
      <w:r>
        <w:rPr>
          <w:rFonts w:eastAsia="Arial Unicode MS" w:cs="Arial Unicode MS"/>
        </w:rPr>
        <w:t xml:space="preserve"> A pesar de ello, la Comisión identificó excepciones en esta ley relacionadas con la restricción de la capacidad jurídica, las cuales tienen repercusiones significativas en el derecho de acceso y la atención en salud y el derecho al consentimiento libre e informado de las personas, especialmente en el caso de las mujeres con discapacidad</w:t>
      </w:r>
      <w:r>
        <w:rPr>
          <w:rStyle w:val="None"/>
          <w:vertAlign w:val="superscript"/>
        </w:rPr>
        <w:footnoteReference w:id="255"/>
      </w:r>
      <w:r>
        <w:rPr>
          <w:rFonts w:eastAsia="Arial Unicode MS" w:cs="Arial Unicode MS"/>
        </w:rPr>
        <w:t>.</w:t>
      </w:r>
    </w:p>
    <w:p w14:paraId="2A7F653D" w14:textId="77777777" w:rsidR="001A105D" w:rsidRDefault="00000000">
      <w:pPr>
        <w:pStyle w:val="NoSpacing"/>
        <w:numPr>
          <w:ilvl w:val="0"/>
          <w:numId w:val="33"/>
        </w:numPr>
      </w:pPr>
      <w:r>
        <w:rPr>
          <w:rFonts w:eastAsia="Arial Unicode MS" w:cs="Arial Unicode MS"/>
        </w:rPr>
        <w:t xml:space="preserve">En Colombia, la Ley 1618 de 2013 establece que las entidades Prestadoras de Servicios de Salud deben asegurar la plena accesibilidad e inclusión de las personas con discapacidad, garantizando su acceso en igualdad de condiciones a procedimientos, lugares y servicios de salud. La normativa, </w:t>
      </w:r>
      <w:r>
        <w:rPr>
          <w:rFonts w:eastAsia="Arial Unicode MS" w:cs="Arial Unicode MS"/>
        </w:rPr>
        <w:lastRenderedPageBreak/>
        <w:t>también insta a brindar servicios de salud lo más cerca posible del lugar de residencia de las personas con discapacidad, tanto en áreas urbanas como rurales, facilitando desplazamientos o, en su defecto, proporcionando programas de atención domiciliaria</w:t>
      </w:r>
      <w:r>
        <w:rPr>
          <w:rStyle w:val="None"/>
          <w:vertAlign w:val="superscript"/>
        </w:rPr>
        <w:footnoteReference w:id="256"/>
      </w:r>
      <w:r>
        <w:rPr>
          <w:rFonts w:eastAsia="Arial Unicode MS" w:cs="Arial Unicode MS"/>
        </w:rPr>
        <w:t xml:space="preserve">. </w:t>
      </w:r>
    </w:p>
    <w:p w14:paraId="745B8BC8" w14:textId="77777777" w:rsidR="001A105D" w:rsidRDefault="00000000">
      <w:pPr>
        <w:pStyle w:val="NoSpacing"/>
        <w:numPr>
          <w:ilvl w:val="0"/>
          <w:numId w:val="33"/>
        </w:numPr>
      </w:pPr>
      <w:r>
        <w:rPr>
          <w:rFonts w:eastAsia="Arial Unicode MS" w:cs="Arial Unicode MS"/>
        </w:rPr>
        <w:t>Aunque se destaca la Resolución Número 1904 de 2017, del Ministerio de Salud de Colombia, que regula el acceso a información sobre derechos sexuales y reproductivos para personas con discapacidad</w:t>
      </w:r>
      <w:r>
        <w:rPr>
          <w:rStyle w:val="None"/>
          <w:vertAlign w:val="superscript"/>
        </w:rPr>
        <w:footnoteReference w:id="257"/>
      </w:r>
      <w:r>
        <w:rPr>
          <w:rFonts w:eastAsia="Arial Unicode MS" w:cs="Arial Unicode MS"/>
        </w:rPr>
        <w:t>, según organizaciones de la sociedad civil, estas normativas no incluyen medidas positivas suficientes para garantizar su cumplimiento. Las especificidades sobre cómo cumplir con las obligaciones normativas varían entre las entidades responsables, generando falta de claridad en el sistema jurídico sobre las medidas específicas que deben implementarse</w:t>
      </w:r>
      <w:r>
        <w:rPr>
          <w:rStyle w:val="None"/>
          <w:vertAlign w:val="superscript"/>
        </w:rPr>
        <w:footnoteReference w:id="258"/>
      </w:r>
      <w:r>
        <w:rPr>
          <w:rFonts w:eastAsia="Arial Unicode MS" w:cs="Arial Unicode MS"/>
        </w:rPr>
        <w:t>.</w:t>
      </w:r>
    </w:p>
    <w:p w14:paraId="770E6174" w14:textId="77777777" w:rsidR="001A105D" w:rsidRDefault="00000000">
      <w:pPr>
        <w:pStyle w:val="NoSpacing"/>
        <w:numPr>
          <w:ilvl w:val="0"/>
          <w:numId w:val="33"/>
        </w:numPr>
      </w:pPr>
      <w:r>
        <w:rPr>
          <w:rFonts w:eastAsia="Arial Unicode MS" w:cs="Arial Unicode MS"/>
        </w:rPr>
        <w:t xml:space="preserve">En Ecuador, los servicios médicos especializados y de rehabilitación para personas con discapacidad se ofrecen a través de las unidades médicas del Seguro General mediante procesos de referencia. Además, el Ministerio de Salud Pública ha implementado diversos sistemas de citas para la atención </w:t>
      </w:r>
      <w:r>
        <w:rPr>
          <w:rFonts w:eastAsia="Arial Unicode MS" w:cs="Arial Unicode MS"/>
        </w:rPr>
        <w:lastRenderedPageBreak/>
        <w:t>en los establecimientos de salud a nivel nacional, contando con 118 de estos establecimientos que disponen de equipos de calificación de discapacidades completos, compuestos por médicos, psicólogos y trabajadores sociales</w:t>
      </w:r>
      <w:r>
        <w:rPr>
          <w:rStyle w:val="None"/>
          <w:vertAlign w:val="superscript"/>
        </w:rPr>
        <w:footnoteReference w:id="259"/>
      </w:r>
      <w:r>
        <w:rPr>
          <w:rFonts w:eastAsia="Arial Unicode MS" w:cs="Arial Unicode MS"/>
        </w:rPr>
        <w:t xml:space="preserve">. </w:t>
      </w:r>
    </w:p>
    <w:p w14:paraId="7DBD8B42" w14:textId="77777777" w:rsidR="001A105D" w:rsidRDefault="00000000">
      <w:pPr>
        <w:pStyle w:val="NoSpacing"/>
        <w:numPr>
          <w:ilvl w:val="0"/>
          <w:numId w:val="33"/>
        </w:numPr>
      </w:pPr>
      <w:r>
        <w:rPr>
          <w:rFonts w:eastAsia="Arial Unicode MS" w:cs="Arial Unicode MS"/>
        </w:rPr>
        <w:t>A nivel constitucional, en Ecuador se reconoce la atención especializada en entidades públicas y privadas que brinden servicios de salud para las necesidades específicas de las personas con discapacidad. Este reconocimiento incluye la provisión gratuita de medicamentos, especialmente para aquellas personas que requieran tratamiento de por vida, según han destacado organizaciones de la sociedad civil de personas con discapacidad</w:t>
      </w:r>
      <w:r>
        <w:rPr>
          <w:rStyle w:val="None"/>
          <w:vertAlign w:val="superscript"/>
        </w:rPr>
        <w:footnoteReference w:id="260"/>
      </w:r>
      <w:r>
        <w:rPr>
          <w:rFonts w:eastAsia="Arial Unicode MS" w:cs="Arial Unicode MS"/>
        </w:rPr>
        <w:t>.</w:t>
      </w:r>
    </w:p>
    <w:p w14:paraId="6B94675F" w14:textId="77777777" w:rsidR="001A105D" w:rsidRDefault="00000000">
      <w:pPr>
        <w:pStyle w:val="NoSpacing"/>
        <w:numPr>
          <w:ilvl w:val="0"/>
          <w:numId w:val="33"/>
        </w:numPr>
      </w:pPr>
      <w:r>
        <w:t xml:space="preserve">En Guyana, la Constitución establece que toda persona con discapacidad tiene derecho a la atención gratuita en salud. En el marco de la ley específica en discapacidad, el </w:t>
      </w:r>
      <w:proofErr w:type="spellStart"/>
      <w:r>
        <w:t>Persons</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with</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Disabilites</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Act</w:t>
      </w:r>
      <w:proofErr w:type="spellEnd"/>
      <w:r>
        <w:rPr>
          <w:rStyle w:val="Hyperlink2"/>
        </w:rPr>
        <w:t xml:space="preserve"> de 2010</w:t>
      </w:r>
      <w:r>
        <w:t xml:space="preserve"> establece en su artículo 20 que el Ministerio de salud elaborará un programa de salud para prevenir, detectar temprano y rehabilitar la discapacidad; así como permitir que las personas con discapacidad accedan a servicios médicos</w:t>
      </w:r>
      <w:r>
        <w:rPr>
          <w:rStyle w:val="None"/>
          <w:vertAlign w:val="superscript"/>
        </w:rPr>
        <w:footnoteReference w:id="261"/>
      </w:r>
      <w:r>
        <w:t xml:space="preserve">. El artículo 22 establece que el Ministerio de salud establecerá centros de rehabilitación donde sea necesario a lo largo de Guyana, con fondos adecuados. </w:t>
      </w:r>
      <w:r>
        <w:lastRenderedPageBreak/>
        <w:t>Además, en materia de accesibilidad en infraestructura, el artículo 28 señala que la Comisión Nacional de Discapacidad colaborará con el sector público y privado para asegurar un entorno libre de barreras en los establecimientos que atiendan al público</w:t>
      </w:r>
      <w:r>
        <w:rPr>
          <w:rStyle w:val="None"/>
          <w:vertAlign w:val="superscript"/>
        </w:rPr>
        <w:footnoteReference w:id="262"/>
      </w:r>
      <w:r>
        <w:t>.</w:t>
      </w:r>
    </w:p>
    <w:p w14:paraId="374EA637" w14:textId="77777777" w:rsidR="001A105D" w:rsidRDefault="00000000">
      <w:pPr>
        <w:pStyle w:val="NoSpacing"/>
        <w:numPr>
          <w:ilvl w:val="0"/>
          <w:numId w:val="33"/>
        </w:numPr>
      </w:pPr>
      <w:r>
        <w:rPr>
          <w:rFonts w:eastAsia="Arial Unicode MS" w:cs="Arial Unicode MS"/>
        </w:rPr>
        <w:t xml:space="preserve">En materia de consentimiento médico la </w:t>
      </w:r>
      <w:proofErr w:type="spellStart"/>
      <w:r>
        <w:rPr>
          <w:rStyle w:val="Hyperlink3"/>
          <w:rFonts w:eastAsia="Arial Unicode MS" w:cs="Arial Unicode MS"/>
        </w:rPr>
        <w:t>Health</w:t>
      </w:r>
      <w:proofErr w:type="spellEnd"/>
      <w:r>
        <w:rPr>
          <w:rStyle w:val="Hyperlink3"/>
          <w:rFonts w:eastAsia="Arial Unicode MS" w:cs="Arial Unicode MS"/>
        </w:rPr>
        <w:t xml:space="preserve"> </w:t>
      </w:r>
      <w:proofErr w:type="spellStart"/>
      <w:r>
        <w:rPr>
          <w:rStyle w:val="Hyperlink3"/>
          <w:rFonts w:eastAsia="Arial Unicode MS" w:cs="Arial Unicode MS"/>
        </w:rPr>
        <w:t>Facilities</w:t>
      </w:r>
      <w:proofErr w:type="spellEnd"/>
      <w:r>
        <w:rPr>
          <w:rStyle w:val="Hyperlink3"/>
          <w:rFonts w:eastAsia="Arial Unicode MS" w:cs="Arial Unicode MS"/>
        </w:rPr>
        <w:t xml:space="preserve"> </w:t>
      </w:r>
      <w:proofErr w:type="spellStart"/>
      <w:r>
        <w:rPr>
          <w:rStyle w:val="Hyperlink3"/>
          <w:rFonts w:eastAsia="Arial Unicode MS" w:cs="Arial Unicode MS"/>
        </w:rPr>
        <w:t>Licensing</w:t>
      </w:r>
      <w:proofErr w:type="spellEnd"/>
      <w:r>
        <w:rPr>
          <w:rStyle w:val="Hyperlink3"/>
          <w:rFonts w:eastAsia="Arial Unicode MS" w:cs="Arial Unicode MS"/>
        </w:rPr>
        <w:t xml:space="preserve"> </w:t>
      </w:r>
      <w:proofErr w:type="spellStart"/>
      <w:r>
        <w:rPr>
          <w:rStyle w:val="Hyperlink3"/>
          <w:rFonts w:eastAsia="Arial Unicode MS" w:cs="Arial Unicode MS"/>
        </w:rPr>
        <w:t>Regulations</w:t>
      </w:r>
      <w:proofErr w:type="spellEnd"/>
      <w:r>
        <w:rPr>
          <w:rFonts w:eastAsia="Arial Unicode MS" w:cs="Arial Unicode MS"/>
        </w:rPr>
        <w:t xml:space="preserve"> de 2007 establece en el artículo 17 que ningún tratamiento o procedimiento será realizado en una institución de salud sin el consentimiento válido, voluntario e informado del paciente. No obstante, la misma norma dispone que cuando el paciente no “pueda” dar consentimiento porque es física o mentalmente </w:t>
      </w:r>
      <w:r>
        <w:rPr>
          <w:rStyle w:val="Hyperlink3"/>
          <w:rFonts w:eastAsia="Arial Unicode MS" w:cs="Arial Unicode MS"/>
        </w:rPr>
        <w:t>“impedido”</w:t>
      </w:r>
      <w:r>
        <w:rPr>
          <w:rFonts w:eastAsia="Arial Unicode MS" w:cs="Arial Unicode MS"/>
        </w:rPr>
        <w:t xml:space="preserve"> [sic], </w:t>
      </w:r>
      <w:r>
        <w:rPr>
          <w:rStyle w:val="Hyperlink3"/>
          <w:rFonts w:eastAsia="Arial Unicode MS" w:cs="Arial Unicode MS"/>
        </w:rPr>
        <w:t>“débil o incompetente”</w:t>
      </w:r>
      <w:r>
        <w:rPr>
          <w:rFonts w:eastAsia="Arial Unicode MS" w:cs="Arial Unicode MS"/>
        </w:rPr>
        <w:t xml:space="preserve"> [sic], se deberá obtener el consentimiento por escrito de un pariente o representante legal</w:t>
      </w:r>
      <w:r>
        <w:rPr>
          <w:rStyle w:val="None"/>
          <w:vertAlign w:val="superscript"/>
        </w:rPr>
        <w:footnoteReference w:id="263"/>
      </w:r>
      <w:r>
        <w:rPr>
          <w:rFonts w:eastAsia="Arial Unicode MS" w:cs="Arial Unicode MS"/>
        </w:rPr>
        <w:t xml:space="preserve">. De no ser posible, se presumirá el consentimiento, salvo que sea evidente de declaraciones previas del paciente, que no querría someterse a dicho tratamiento. En la misma línea, el </w:t>
      </w:r>
      <w:proofErr w:type="spellStart"/>
      <w:r>
        <w:rPr>
          <w:rStyle w:val="Hyperlink3"/>
          <w:rFonts w:eastAsia="Arial Unicode MS" w:cs="Arial Unicode MS"/>
        </w:rPr>
        <w:t>Code</w:t>
      </w:r>
      <w:proofErr w:type="spellEnd"/>
      <w:r>
        <w:rPr>
          <w:rStyle w:val="Hyperlink3"/>
          <w:rFonts w:eastAsia="Arial Unicode MS" w:cs="Arial Unicode MS"/>
        </w:rPr>
        <w:t xml:space="preserve"> </w:t>
      </w:r>
      <w:proofErr w:type="spellStart"/>
      <w:r>
        <w:rPr>
          <w:rStyle w:val="Hyperlink3"/>
          <w:rFonts w:eastAsia="Arial Unicode MS" w:cs="Arial Unicode MS"/>
        </w:rPr>
        <w:t>of</w:t>
      </w:r>
      <w:proofErr w:type="spellEnd"/>
      <w:r>
        <w:rPr>
          <w:rStyle w:val="Hyperlink3"/>
          <w:rFonts w:eastAsia="Arial Unicode MS" w:cs="Arial Unicode MS"/>
        </w:rPr>
        <w:t xml:space="preserve"> </w:t>
      </w:r>
      <w:proofErr w:type="spellStart"/>
      <w:r>
        <w:rPr>
          <w:rStyle w:val="Hyperlink3"/>
          <w:rFonts w:eastAsia="Arial Unicode MS" w:cs="Arial Unicode MS"/>
        </w:rPr>
        <w:t>Conduct</w:t>
      </w:r>
      <w:proofErr w:type="spellEnd"/>
      <w:r>
        <w:rPr>
          <w:rStyle w:val="Hyperlink3"/>
          <w:rFonts w:eastAsia="Arial Unicode MS" w:cs="Arial Unicode MS"/>
        </w:rPr>
        <w:t xml:space="preserve"> and </w:t>
      </w:r>
      <w:proofErr w:type="spellStart"/>
      <w:r>
        <w:rPr>
          <w:rStyle w:val="Hyperlink3"/>
          <w:rFonts w:eastAsia="Arial Unicode MS" w:cs="Arial Unicode MS"/>
        </w:rPr>
        <w:t>Standards</w:t>
      </w:r>
      <w:proofErr w:type="spellEnd"/>
      <w:r>
        <w:rPr>
          <w:rStyle w:val="Hyperlink3"/>
          <w:rFonts w:eastAsia="Arial Unicode MS" w:cs="Arial Unicode MS"/>
        </w:rPr>
        <w:t xml:space="preserve"> </w:t>
      </w:r>
      <w:proofErr w:type="spellStart"/>
      <w:r>
        <w:rPr>
          <w:rStyle w:val="Hyperlink3"/>
          <w:rFonts w:eastAsia="Arial Unicode MS" w:cs="Arial Unicode MS"/>
        </w:rPr>
        <w:t>of</w:t>
      </w:r>
      <w:proofErr w:type="spellEnd"/>
      <w:r>
        <w:rPr>
          <w:rStyle w:val="Hyperlink3"/>
          <w:rFonts w:eastAsia="Arial Unicode MS" w:cs="Arial Unicode MS"/>
        </w:rPr>
        <w:t xml:space="preserve"> </w:t>
      </w:r>
      <w:proofErr w:type="spellStart"/>
      <w:r>
        <w:rPr>
          <w:rStyle w:val="Hyperlink3"/>
          <w:rFonts w:eastAsia="Arial Unicode MS" w:cs="Arial Unicode MS"/>
        </w:rPr>
        <w:t>Practice</w:t>
      </w:r>
      <w:proofErr w:type="spellEnd"/>
      <w:r>
        <w:rPr>
          <w:rStyle w:val="Hyperlink3"/>
          <w:rFonts w:eastAsia="Arial Unicode MS" w:cs="Arial Unicode MS"/>
        </w:rPr>
        <w:t xml:space="preserve"> Medical </w:t>
      </w:r>
      <w:proofErr w:type="spellStart"/>
      <w:r>
        <w:rPr>
          <w:rStyle w:val="Hyperlink3"/>
          <w:rFonts w:eastAsia="Arial Unicode MS" w:cs="Arial Unicode MS"/>
        </w:rPr>
        <w:t>Practitioners</w:t>
      </w:r>
      <w:proofErr w:type="spellEnd"/>
      <w:r>
        <w:rPr>
          <w:rStyle w:val="Hyperlink3"/>
          <w:rFonts w:eastAsia="Arial Unicode MS" w:cs="Arial Unicode MS"/>
        </w:rPr>
        <w:t xml:space="preserve"> </w:t>
      </w:r>
      <w:proofErr w:type="spellStart"/>
      <w:r>
        <w:rPr>
          <w:rStyle w:val="Hyperlink3"/>
          <w:rFonts w:eastAsia="Arial Unicode MS" w:cs="Arial Unicode MS"/>
        </w:rPr>
        <w:t>Regulations</w:t>
      </w:r>
      <w:proofErr w:type="spellEnd"/>
      <w:r>
        <w:rPr>
          <w:rFonts w:eastAsia="Arial Unicode MS" w:cs="Arial Unicode MS"/>
        </w:rPr>
        <w:t xml:space="preserve"> del </w:t>
      </w:r>
      <w:r>
        <w:rPr>
          <w:rStyle w:val="None"/>
          <w:rFonts w:ascii="Helvetica LT Std Oblique" w:hAnsi="Helvetica LT Std Oblique"/>
          <w:u w:val="single"/>
        </w:rPr>
        <w:t xml:space="preserve">Medical </w:t>
      </w:r>
      <w:proofErr w:type="spellStart"/>
      <w:r>
        <w:rPr>
          <w:rStyle w:val="None"/>
          <w:rFonts w:ascii="Helvetica LT Std Oblique" w:hAnsi="Helvetica LT Std Oblique"/>
          <w:u w:val="single"/>
        </w:rPr>
        <w:t>Practitioners</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Act</w:t>
      </w:r>
      <w:proofErr w:type="spellEnd"/>
      <w:r>
        <w:rPr>
          <w:rStyle w:val="None"/>
          <w:rFonts w:ascii="Helvetica LT Std Oblique" w:hAnsi="Helvetica LT Std Oblique"/>
          <w:u w:val="single"/>
        </w:rPr>
        <w:t xml:space="preserve"> </w:t>
      </w:r>
      <w:r>
        <w:rPr>
          <w:rFonts w:eastAsia="Arial Unicode MS" w:cs="Arial Unicode MS"/>
        </w:rPr>
        <w:t>de 1991, establece en su artículo 9 que si el paciente es incapaz mental (“</w:t>
      </w:r>
      <w:proofErr w:type="spellStart"/>
      <w:r>
        <w:rPr>
          <w:rStyle w:val="Hyperlink3"/>
          <w:rFonts w:eastAsia="Arial Unicode MS" w:cs="Arial Unicode MS"/>
        </w:rPr>
        <w:t>unsound</w:t>
      </w:r>
      <w:proofErr w:type="spellEnd"/>
      <w:r>
        <w:rPr>
          <w:rStyle w:val="Hyperlink3"/>
          <w:rFonts w:eastAsia="Arial Unicode MS" w:cs="Arial Unicode MS"/>
        </w:rPr>
        <w:t xml:space="preserve"> </w:t>
      </w:r>
      <w:proofErr w:type="spellStart"/>
      <w:r>
        <w:rPr>
          <w:rStyle w:val="Hyperlink3"/>
          <w:rFonts w:eastAsia="Arial Unicode MS" w:cs="Arial Unicode MS"/>
        </w:rPr>
        <w:t>mind</w:t>
      </w:r>
      <w:proofErr w:type="spellEnd"/>
      <w:r>
        <w:rPr>
          <w:rFonts w:eastAsia="Arial Unicode MS" w:cs="Arial Unicode MS"/>
        </w:rPr>
        <w:t>”), el medico a cargo de la atención tiene la responsabilidad de obtener el consentimiento de un pariente o curador</w:t>
      </w:r>
      <w:r>
        <w:rPr>
          <w:rStyle w:val="None"/>
          <w:vertAlign w:val="superscript"/>
        </w:rPr>
        <w:footnoteReference w:id="264"/>
      </w:r>
      <w:r>
        <w:rPr>
          <w:rFonts w:eastAsia="Arial Unicode MS" w:cs="Arial Unicode MS"/>
        </w:rPr>
        <w:t xml:space="preserve">. Finalmente, la </w:t>
      </w:r>
      <w:r>
        <w:rPr>
          <w:rStyle w:val="None"/>
          <w:rFonts w:ascii="Helvetica LT Std Oblique" w:hAnsi="Helvetica LT Std Oblique"/>
          <w:u w:val="single"/>
        </w:rPr>
        <w:t xml:space="preserve">Medical </w:t>
      </w:r>
      <w:proofErr w:type="spellStart"/>
      <w:r>
        <w:rPr>
          <w:rStyle w:val="None"/>
          <w:rFonts w:ascii="Helvetica LT Std Oblique" w:hAnsi="Helvetica LT Std Oblique"/>
          <w:u w:val="single"/>
        </w:rPr>
        <w:t>Termination</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of</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Pregnancy</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Act</w:t>
      </w:r>
      <w:proofErr w:type="spellEnd"/>
      <w:r>
        <w:rPr>
          <w:rStyle w:val="Hyperlink2"/>
          <w:rFonts w:eastAsia="Arial Unicode MS" w:cs="Arial Unicode MS"/>
        </w:rPr>
        <w:t xml:space="preserve"> </w:t>
      </w:r>
      <w:r>
        <w:rPr>
          <w:rFonts w:eastAsia="Arial Unicode MS" w:cs="Arial Unicode MS"/>
        </w:rPr>
        <w:t xml:space="preserve">de 1995, establece en su artículo 8 la excepción de requerir el consentimiento escrito u oral de la mujer antes de realizar </w:t>
      </w:r>
      <w:r>
        <w:rPr>
          <w:rFonts w:eastAsia="Arial Unicode MS" w:cs="Arial Unicode MS"/>
        </w:rPr>
        <w:lastRenderedPageBreak/>
        <w:t xml:space="preserve">una terminación del embarazo si ella es una persona con discapacidad intelectual o psicosocial </w:t>
      </w:r>
      <w:proofErr w:type="gramStart"/>
      <w:r>
        <w:rPr>
          <w:rFonts w:eastAsia="Arial Unicode MS" w:cs="Arial Unicode MS"/>
        </w:rPr>
        <w:t>(”</w:t>
      </w:r>
      <w:proofErr w:type="spellStart"/>
      <w:r>
        <w:rPr>
          <w:rFonts w:eastAsia="Arial Unicode MS" w:cs="Arial Unicode MS"/>
        </w:rPr>
        <w:t>unsound</w:t>
      </w:r>
      <w:proofErr w:type="spellEnd"/>
      <w:proofErr w:type="gramEnd"/>
      <w:r>
        <w:rPr>
          <w:rFonts w:eastAsia="Arial Unicode MS" w:cs="Arial Unicode MS"/>
        </w:rPr>
        <w:t xml:space="preserve"> </w:t>
      </w:r>
      <w:proofErr w:type="spellStart"/>
      <w:r>
        <w:rPr>
          <w:rFonts w:eastAsia="Arial Unicode MS" w:cs="Arial Unicode MS"/>
        </w:rPr>
        <w:t>mind</w:t>
      </w:r>
      <w:proofErr w:type="spellEnd"/>
      <w:r>
        <w:rPr>
          <w:rFonts w:eastAsia="Arial Unicode MS" w:cs="Arial Unicode MS"/>
        </w:rPr>
        <w:t>”)</w:t>
      </w:r>
      <w:r>
        <w:rPr>
          <w:rStyle w:val="None"/>
          <w:vertAlign w:val="superscript"/>
        </w:rPr>
        <w:footnoteReference w:id="265"/>
      </w:r>
      <w:r>
        <w:rPr>
          <w:rFonts w:eastAsia="Arial Unicode MS" w:cs="Arial Unicode MS"/>
        </w:rPr>
        <w:t xml:space="preserve">. </w:t>
      </w:r>
    </w:p>
    <w:p w14:paraId="5F4B6BD0" w14:textId="77777777" w:rsidR="001A105D" w:rsidRDefault="00000000">
      <w:pPr>
        <w:pStyle w:val="NoSpacing"/>
        <w:numPr>
          <w:ilvl w:val="0"/>
          <w:numId w:val="33"/>
        </w:numPr>
      </w:pPr>
      <w:r>
        <w:rPr>
          <w:rFonts w:eastAsia="Arial Unicode MS" w:cs="Arial Unicode MS"/>
        </w:rPr>
        <w:t xml:space="preserve">Haití, en la </w:t>
      </w:r>
      <w:r>
        <w:rPr>
          <w:rStyle w:val="None"/>
          <w:rFonts w:ascii="Helvetica LT Std Oblique" w:hAnsi="Helvetica LT Std Oblique"/>
          <w:u w:val="single"/>
        </w:rPr>
        <w:t xml:space="preserve">Ley para la integración de Personas con Discapacidad </w:t>
      </w:r>
      <w:r>
        <w:rPr>
          <w:rFonts w:eastAsia="Arial Unicode MS" w:cs="Arial Unicode MS"/>
        </w:rPr>
        <w:t>de 2012, en su artículo 10, garantiza a las personas con discapacidad el acceso a la atención de salud, y en su artículo 12 y siguientes señala que el Ministerio de Salud Pública y Población debe establecer programas para la prevención, detección temprana e intervención de la discapacidad. Además, el artículo 19 señala que los hospitales privados están obligados a proporcionar un servicio mínimo gratuito para personas con discapacidad</w:t>
      </w:r>
      <w:r>
        <w:rPr>
          <w:rStyle w:val="None"/>
          <w:vertAlign w:val="superscript"/>
        </w:rPr>
        <w:footnoteReference w:id="266"/>
      </w:r>
      <w:r>
        <w:rPr>
          <w:rFonts w:eastAsia="Arial Unicode MS" w:cs="Arial Unicode MS"/>
        </w:rPr>
        <w:t>. El Estado de Haití reportó una política de prevención, detección e intervención en salud de personas con discapacidad ante el Comité de monitoreo de la CDPD en su informe inicial en el 2018</w:t>
      </w:r>
      <w:r>
        <w:rPr>
          <w:rStyle w:val="None"/>
          <w:vertAlign w:val="superscript"/>
        </w:rPr>
        <w:footnoteReference w:id="267"/>
      </w:r>
      <w:r>
        <w:rPr>
          <w:rFonts w:eastAsia="Arial Unicode MS" w:cs="Arial Unicode MS"/>
        </w:rPr>
        <w:t>.</w:t>
      </w:r>
    </w:p>
    <w:p w14:paraId="6B73F09D" w14:textId="77777777" w:rsidR="001A105D" w:rsidRDefault="00000000">
      <w:pPr>
        <w:pStyle w:val="NoSpacing"/>
        <w:numPr>
          <w:ilvl w:val="0"/>
          <w:numId w:val="33"/>
        </w:numPr>
      </w:pPr>
      <w:r>
        <w:rPr>
          <w:rFonts w:eastAsia="Arial Unicode MS" w:cs="Arial Unicode MS"/>
        </w:rPr>
        <w:t xml:space="preserve">En relación con el derecho al consentimiento en temas de salud, el artículo 7 de la </w:t>
      </w:r>
      <w:r>
        <w:rPr>
          <w:rStyle w:val="None"/>
          <w:rFonts w:ascii="Helvetica LT Std Oblique" w:hAnsi="Helvetica LT Std Oblique"/>
          <w:u w:val="single"/>
        </w:rPr>
        <w:t>Ley para la Integración de Personas con Discapacidad</w:t>
      </w:r>
      <w:r>
        <w:rPr>
          <w:rFonts w:eastAsia="Arial Unicode MS" w:cs="Arial Unicode MS"/>
        </w:rPr>
        <w:t xml:space="preserve"> de 2012 prohíbe someter a una persona con discapacidad a una experiencia médica o científica sin su consentimiento, y el artículo 9 prohíbe a su vez imponer un método anticonceptivo a las mujeres con discapacidad debido a su diagnóstico. Sin embargo, dado que Haití aún ´mantiene un sistema de interdicción por causa de discapacidad, en la </w:t>
      </w:r>
      <w:r>
        <w:rPr>
          <w:rFonts w:eastAsia="Arial Unicode MS" w:cs="Arial Unicode MS"/>
        </w:rPr>
        <w:lastRenderedPageBreak/>
        <w:t xml:space="preserve">práctica el consentimiento no lo otorgaría la propia persona con discapacidad si se encuentra </w:t>
      </w:r>
      <w:proofErr w:type="spellStart"/>
      <w:r>
        <w:rPr>
          <w:rFonts w:eastAsia="Arial Unicode MS" w:cs="Arial Unicode MS"/>
        </w:rPr>
        <w:t>interdicta</w:t>
      </w:r>
      <w:proofErr w:type="spellEnd"/>
      <w:r>
        <w:rPr>
          <w:rStyle w:val="None"/>
          <w:vertAlign w:val="superscript"/>
        </w:rPr>
        <w:footnoteReference w:id="268"/>
      </w:r>
      <w:r>
        <w:rPr>
          <w:rFonts w:eastAsia="Arial Unicode MS" w:cs="Arial Unicode MS"/>
        </w:rPr>
        <w:t>.</w:t>
      </w:r>
    </w:p>
    <w:p w14:paraId="59E2A002" w14:textId="77777777" w:rsidR="001A105D" w:rsidRDefault="00000000">
      <w:pPr>
        <w:pStyle w:val="NoSpacing"/>
        <w:numPr>
          <w:ilvl w:val="0"/>
          <w:numId w:val="33"/>
        </w:numPr>
      </w:pPr>
      <w:r>
        <w:rPr>
          <w:rFonts w:eastAsia="Arial Unicode MS" w:cs="Arial Unicode MS"/>
        </w:rPr>
        <w:t>Honduras, a través de la Secretaría de Salud (SESAL), dispone de servicios de rehabilitación para personas con discapacidad, conformados por profesionales especializados en distintas áreas. Estos profesionales, que incluyen fisiatras, enfermeras, técnicos de terapia física, terapeutas ocupacionales del lenguaje, especialistas en órtesis y prótesis, asistentes de rehabilitación, trabajadores de rehabilitación comunitaria, psicólogos y trabajadores sociales, brindan cobertura a nivel nacional mediante los cinco centros de rehabilitación compuestos por el Instituto Hondureño de Seguridad Social (IHSS), el Hospital General San Felipe, Hospital Escuela, el Instituto Cardiopulmonar y la Universidad Nacional Autónoma de Honduras</w:t>
      </w:r>
      <w:r>
        <w:rPr>
          <w:rStyle w:val="None"/>
          <w:vertAlign w:val="superscript"/>
        </w:rPr>
        <w:footnoteReference w:id="269"/>
      </w:r>
      <w:r>
        <w:rPr>
          <w:rFonts w:eastAsia="Arial Unicode MS" w:cs="Arial Unicode MS"/>
        </w:rPr>
        <w:t>.</w:t>
      </w:r>
    </w:p>
    <w:p w14:paraId="662158FF" w14:textId="77777777" w:rsidR="001A105D" w:rsidRDefault="00000000">
      <w:pPr>
        <w:pStyle w:val="NoSpacing"/>
        <w:numPr>
          <w:ilvl w:val="0"/>
          <w:numId w:val="33"/>
        </w:numPr>
      </w:pPr>
      <w:r>
        <w:rPr>
          <w:rFonts w:eastAsia="Arial Unicode MS" w:cs="Arial Unicode MS"/>
        </w:rPr>
        <w:t>Al mismo tiempo, organizaciones de la sociedad civil hondureña advirtieron a esta Comisión sobre la persistencia de prácticas de esterilización forzada de mujeres con discapacidad en centros médicos, destacando la problemática asociada a la legitimación de estas prácticas debido al mantenimiento de las figuras de sustitución de la voluntad, y el estigma asociado a discapacidad, sin el debido consentimiento de las afectadas</w:t>
      </w:r>
      <w:r>
        <w:rPr>
          <w:rStyle w:val="None"/>
          <w:vertAlign w:val="superscript"/>
        </w:rPr>
        <w:footnoteReference w:id="270"/>
      </w:r>
      <w:r>
        <w:rPr>
          <w:rFonts w:eastAsia="Arial Unicode MS" w:cs="Arial Unicode MS"/>
        </w:rPr>
        <w:t xml:space="preserve">. </w:t>
      </w:r>
    </w:p>
    <w:p w14:paraId="28601A89" w14:textId="77777777" w:rsidR="001A105D" w:rsidRDefault="00000000">
      <w:pPr>
        <w:pStyle w:val="NoSpacing"/>
        <w:numPr>
          <w:ilvl w:val="0"/>
          <w:numId w:val="33"/>
        </w:numPr>
      </w:pPr>
      <w:r>
        <w:rPr>
          <w:rFonts w:eastAsia="Arial Unicode MS" w:cs="Arial Unicode MS"/>
        </w:rPr>
        <w:lastRenderedPageBreak/>
        <w:t xml:space="preserve">En Jamaica, </w:t>
      </w:r>
      <w:proofErr w:type="spellStart"/>
      <w:r>
        <w:rPr>
          <w:rStyle w:val="None"/>
          <w:rFonts w:ascii="Helvetica LT Std Oblique" w:hAnsi="Helvetica LT Std Oblique"/>
          <w:u w:val="single"/>
        </w:rPr>
        <w:t>The</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Disabilities</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Act</w:t>
      </w:r>
      <w:proofErr w:type="spellEnd"/>
      <w:r>
        <w:rPr>
          <w:rFonts w:eastAsia="Arial Unicode MS" w:cs="Arial Unicode MS"/>
        </w:rPr>
        <w:t xml:space="preserve"> de 2014, en su artículo 35, dispone que los prestadores de servicios de salud deberán atender a las personas con discapacidad en el servicio de salud general sin discriminación, y define estándares mínimos que deberán cumplir dichos servicios, incluyendo requerimiento de precio accesible y de la misma calidad; servicios de salud generales y servicios de salud sexual y reproductiva</w:t>
      </w:r>
      <w:r>
        <w:rPr>
          <w:rStyle w:val="None"/>
          <w:vertAlign w:val="superscript"/>
        </w:rPr>
        <w:footnoteReference w:id="271"/>
      </w:r>
      <w:r>
        <w:rPr>
          <w:rFonts w:eastAsia="Arial Unicode MS" w:cs="Arial Unicode MS"/>
        </w:rPr>
        <w:t>.</w:t>
      </w:r>
      <w:r>
        <w:rPr>
          <w:rFonts w:eastAsia="Arial Unicode MS" w:cs="Arial Unicode MS"/>
          <w:lang w:val="en-US"/>
        </w:rPr>
        <w:t xml:space="preserve"> </w:t>
      </w:r>
      <w:r>
        <w:rPr>
          <w:rFonts w:eastAsia="Arial Unicode MS" w:cs="Arial Unicode MS"/>
        </w:rPr>
        <w:t xml:space="preserve">Los servicios de salud a ofrecer deben considerar la detección temprana, intervención y rehabilitación.  No obstante, no se menciona la obligación de implementar ajustes de accesibilidad física y comunicacional para el acceso a los servicios. Por otra parte, el </w:t>
      </w:r>
      <w:r>
        <w:rPr>
          <w:rStyle w:val="None"/>
          <w:rFonts w:ascii="Helvetica LT Std Oblique" w:hAnsi="Helvetica LT Std Oblique"/>
          <w:u w:val="single"/>
        </w:rPr>
        <w:t xml:space="preserve">Mental </w:t>
      </w:r>
      <w:proofErr w:type="spellStart"/>
      <w:r>
        <w:rPr>
          <w:rStyle w:val="None"/>
          <w:rFonts w:ascii="Helvetica LT Std Oblique" w:hAnsi="Helvetica LT Std Oblique"/>
          <w:u w:val="single"/>
        </w:rPr>
        <w:t>Health</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Act</w:t>
      </w:r>
      <w:proofErr w:type="spellEnd"/>
      <w:r>
        <w:rPr>
          <w:rStyle w:val="None"/>
          <w:rFonts w:ascii="Helvetica LT Std Oblique" w:hAnsi="Helvetica LT Std Oblique"/>
          <w:u w:val="single"/>
        </w:rPr>
        <w:t xml:space="preserve"> </w:t>
      </w:r>
      <w:r>
        <w:rPr>
          <w:rFonts w:eastAsia="Arial Unicode MS" w:cs="Arial Unicode MS"/>
        </w:rPr>
        <w:t>de 1999, establece un “</w:t>
      </w:r>
      <w:proofErr w:type="spellStart"/>
      <w:r>
        <w:rPr>
          <w:rFonts w:eastAsia="Arial Unicode MS" w:cs="Arial Unicode MS"/>
        </w:rPr>
        <w:t>C</w:t>
      </w:r>
      <w:r>
        <w:rPr>
          <w:rStyle w:val="Hyperlink3"/>
          <w:rFonts w:eastAsia="Arial Unicode MS" w:cs="Arial Unicode MS"/>
        </w:rPr>
        <w:t>ommunity</w:t>
      </w:r>
      <w:proofErr w:type="spellEnd"/>
      <w:r>
        <w:rPr>
          <w:rStyle w:val="Hyperlink3"/>
          <w:rFonts w:eastAsia="Arial Unicode MS" w:cs="Arial Unicode MS"/>
        </w:rPr>
        <w:t xml:space="preserve"> Mental </w:t>
      </w:r>
      <w:proofErr w:type="spellStart"/>
      <w:r>
        <w:rPr>
          <w:rStyle w:val="Hyperlink3"/>
          <w:rFonts w:eastAsia="Arial Unicode MS" w:cs="Arial Unicode MS"/>
        </w:rPr>
        <w:t>Health</w:t>
      </w:r>
      <w:proofErr w:type="spellEnd"/>
      <w:r>
        <w:rPr>
          <w:rStyle w:val="Hyperlink3"/>
          <w:rFonts w:eastAsia="Arial Unicode MS" w:cs="Arial Unicode MS"/>
        </w:rPr>
        <w:t xml:space="preserve"> </w:t>
      </w:r>
      <w:proofErr w:type="spellStart"/>
      <w:r>
        <w:rPr>
          <w:rStyle w:val="Hyperlink3"/>
          <w:rFonts w:eastAsia="Arial Unicode MS" w:cs="Arial Unicode MS"/>
        </w:rPr>
        <w:t>Service</w:t>
      </w:r>
      <w:proofErr w:type="spellEnd"/>
      <w:r>
        <w:rPr>
          <w:rStyle w:val="Hyperlink3"/>
          <w:rFonts w:eastAsia="Arial Unicode MS" w:cs="Arial Unicode MS"/>
        </w:rPr>
        <w:t>”</w:t>
      </w:r>
      <w:r>
        <w:rPr>
          <w:rFonts w:eastAsia="Arial Unicode MS" w:cs="Arial Unicode MS"/>
        </w:rPr>
        <w:t>, que brinda servicios de consulta ambulatoria en centros de salud general, rehabilitación, cuidado a domicilio para personas con discapacidad intelectual o psicosocial, y promueve la salud mental. No obstante, esta última Ley permite el internamiento involuntario de personas con discapacidad</w:t>
      </w:r>
      <w:r>
        <w:rPr>
          <w:rStyle w:val="None"/>
          <w:vertAlign w:val="superscript"/>
        </w:rPr>
        <w:footnoteReference w:id="272"/>
      </w:r>
      <w:r>
        <w:rPr>
          <w:rFonts w:eastAsia="Arial Unicode MS" w:cs="Arial Unicode MS"/>
        </w:rPr>
        <w:t>.</w:t>
      </w:r>
    </w:p>
    <w:p w14:paraId="09E6C2D4" w14:textId="77777777" w:rsidR="001A105D" w:rsidRDefault="00000000">
      <w:pPr>
        <w:pStyle w:val="NoSpacing"/>
        <w:numPr>
          <w:ilvl w:val="0"/>
          <w:numId w:val="33"/>
        </w:numPr>
      </w:pPr>
      <w:r>
        <w:rPr>
          <w:rFonts w:eastAsia="Arial Unicode MS" w:cs="Arial Unicode MS"/>
        </w:rPr>
        <w:lastRenderedPageBreak/>
        <w:t>En México, la "</w:t>
      </w:r>
      <w:proofErr w:type="spellStart"/>
      <w:r>
        <w:rPr>
          <w:rFonts w:eastAsia="Arial Unicode MS" w:cs="Arial Unicode MS"/>
        </w:rPr>
        <w:t>Cartillade</w:t>
      </w:r>
      <w:proofErr w:type="spellEnd"/>
      <w:r>
        <w:rPr>
          <w:rFonts w:eastAsia="Arial Unicode MS" w:cs="Arial Unicode MS"/>
        </w:rPr>
        <w:t xml:space="preserve"> Derechos Sexuales y Derechos Reproductivos de las Personas con Discapacidad" en formato Braille constituye un medio para informar sobre el marco normativo y las acciones específicas que el Estado debe implementar para garantizar este derecho</w:t>
      </w:r>
      <w:r>
        <w:rPr>
          <w:rStyle w:val="None"/>
          <w:vertAlign w:val="superscript"/>
        </w:rPr>
        <w:footnoteReference w:id="273"/>
      </w:r>
      <w:r>
        <w:rPr>
          <w:rFonts w:eastAsia="Arial Unicode MS" w:cs="Arial Unicode MS"/>
        </w:rPr>
        <w:t xml:space="preserve">.  </w:t>
      </w:r>
    </w:p>
    <w:p w14:paraId="74CCF64F" w14:textId="77777777" w:rsidR="001A105D" w:rsidRDefault="00000000">
      <w:pPr>
        <w:pStyle w:val="NoSpacing"/>
        <w:numPr>
          <w:ilvl w:val="0"/>
          <w:numId w:val="33"/>
        </w:numPr>
      </w:pPr>
      <w:r>
        <w:rPr>
          <w:rFonts w:eastAsia="Arial Unicode MS" w:cs="Arial Unicode MS"/>
        </w:rPr>
        <w:t>Por otro lado, organizaciones de la sociedad civil mexicanas informaron que el 16 de mayo de 2022 se aprobó una modificación legislativa en el país para incorporar el modelo de derechos humanos en varias disposiciones de la Ley General de Salud. Esta importante reforma estableció la facultad concurrente para todos los niveles de gobierno en materia de salubridad general, eliminando la internación psiquiátrica forzada, garantizando el respeto al consentimiento libre e informado, derivando la atención a los establecimientos de salud generales. Asimismo, decreta el término del modelo psiquiátrico asilar e introduce un enfoque comunitario en dichos servicios. Están pendientes las medidas normativas administrativas, los ajustes presupuestarios y el desarrollo progresivo de capacidades e infraestructura para implementar estas modificaciones</w:t>
      </w:r>
      <w:r>
        <w:rPr>
          <w:rStyle w:val="None"/>
          <w:vertAlign w:val="superscript"/>
        </w:rPr>
        <w:footnoteReference w:id="274"/>
      </w:r>
      <w:r>
        <w:rPr>
          <w:rFonts w:eastAsia="Arial Unicode MS" w:cs="Arial Unicode MS"/>
        </w:rPr>
        <w:t>.</w:t>
      </w:r>
    </w:p>
    <w:p w14:paraId="761236D9" w14:textId="77777777" w:rsidR="001A105D" w:rsidRDefault="00000000">
      <w:pPr>
        <w:pStyle w:val="NoSpacing"/>
        <w:numPr>
          <w:ilvl w:val="0"/>
          <w:numId w:val="33"/>
        </w:numPr>
      </w:pPr>
      <w:r>
        <w:lastRenderedPageBreak/>
        <w:t xml:space="preserve">En el caso de Panamá, una reforma legal de 2016 </w:t>
      </w:r>
      <w:r>
        <w:rPr>
          <w:rStyle w:val="None"/>
          <w:vertAlign w:val="superscript"/>
        </w:rPr>
        <w:footnoteReference w:id="275"/>
      </w:r>
      <w:r>
        <w:rPr>
          <w:rStyle w:val="None"/>
          <w:vertAlign w:val="superscript"/>
        </w:rPr>
        <w:t xml:space="preserve"> </w:t>
      </w:r>
      <w:r>
        <w:t>estableció la equiparación de oportunidades para las personas con discapacidad, incluyendo la obligación del Estado de ofrecer servicios de salud, rehabilitación y habilitación a personas con discapacidad en igualdad básica con las demás. El Decreto Ejecutivo No. 129, por su parte, implementó la gratuidad para las personas con discapacidad en los servicios de salud en todas las instituciones del sector público de la salud, previamente identificadas en las consultas ambulatorias</w:t>
      </w:r>
      <w:r>
        <w:rPr>
          <w:rStyle w:val="None"/>
          <w:vertAlign w:val="superscript"/>
        </w:rPr>
        <w:footnoteReference w:id="276"/>
      </w:r>
      <w:r>
        <w:t>.</w:t>
      </w:r>
    </w:p>
    <w:p w14:paraId="33CF104E" w14:textId="77777777" w:rsidR="001A105D" w:rsidRDefault="00000000">
      <w:pPr>
        <w:pStyle w:val="NoSpacing"/>
        <w:numPr>
          <w:ilvl w:val="0"/>
          <w:numId w:val="33"/>
        </w:numPr>
      </w:pPr>
      <w:r>
        <w:rPr>
          <w:rFonts w:eastAsia="Arial Unicode MS" w:cs="Arial Unicode MS"/>
        </w:rPr>
        <w:t>En Paraguay, el Programa de Desarrollo Infantil Temprano "Paraguay, Creciendo Juntos" tiene como objetivo mejorar el desarrollo integral de la infancia desde la concepción hasta los 5 años. Este programa incluye la habilitación de 8 localidades para la intervención temprana, proporcionando atención especializada de rehabilitación a la infancia neuro diversa y/o con discapacidad</w:t>
      </w:r>
      <w:r>
        <w:rPr>
          <w:rStyle w:val="None"/>
          <w:vertAlign w:val="superscript"/>
        </w:rPr>
        <w:footnoteReference w:id="277"/>
      </w:r>
      <w:r>
        <w:rPr>
          <w:rFonts w:eastAsia="Arial Unicode MS" w:cs="Arial Unicode MS"/>
        </w:rPr>
        <w:t>.</w:t>
      </w:r>
    </w:p>
    <w:p w14:paraId="29B14259" w14:textId="77777777" w:rsidR="001A105D" w:rsidRDefault="00000000">
      <w:pPr>
        <w:pStyle w:val="NoSpacing"/>
        <w:numPr>
          <w:ilvl w:val="0"/>
          <w:numId w:val="33"/>
        </w:numPr>
      </w:pPr>
      <w:r>
        <w:t xml:space="preserve">Además, el Servicio Nacional de la Discapacidad (SENADIS) ofrece servicios de habilitación y rehabilitación en la capital y 7 departamentos, con atención médica preferencial para personas ciegas y sordas en todas las unidades asistenciales </w:t>
      </w:r>
      <w:r>
        <w:lastRenderedPageBreak/>
        <w:t>del Ministerio de Salud Pública y Bienestar Social. El SENADIS también trabaja para aplicar las normas de accesibilidad física en espacios y edificios de los servicios de salud</w:t>
      </w:r>
      <w:r>
        <w:rPr>
          <w:rStyle w:val="None"/>
          <w:vertAlign w:val="superscript"/>
        </w:rPr>
        <w:footnoteReference w:id="278"/>
      </w:r>
      <w:r>
        <w:t>.</w:t>
      </w:r>
    </w:p>
    <w:p w14:paraId="104B2B26" w14:textId="77777777" w:rsidR="001A105D" w:rsidRDefault="00000000">
      <w:pPr>
        <w:pStyle w:val="NoSpacing"/>
        <w:numPr>
          <w:ilvl w:val="0"/>
          <w:numId w:val="33"/>
        </w:numPr>
      </w:pPr>
      <w:r>
        <w:rPr>
          <w:rFonts w:eastAsia="Arial Unicode MS" w:cs="Arial Unicode MS"/>
        </w:rPr>
        <w:t>A estos avances se suma la emisión de la Guía de Atención en Salud Sexual y Reproductiva para Adolescentes con Discapacidad, dirigida a profesionales de la salud del Sistema Nacional de Salud de Paraguay, proporcionando las bases para garantizar la salud sexual y reproductiva con calidad, respeto e inclusión a los adolescentes con discapacidad</w:t>
      </w:r>
      <w:r>
        <w:rPr>
          <w:rStyle w:val="None"/>
          <w:vertAlign w:val="superscript"/>
        </w:rPr>
        <w:footnoteReference w:id="279"/>
      </w:r>
      <w:r>
        <w:rPr>
          <w:rFonts w:eastAsia="Arial Unicode MS" w:cs="Arial Unicode MS"/>
        </w:rPr>
        <w:t>.</w:t>
      </w:r>
    </w:p>
    <w:p w14:paraId="2EC309FA" w14:textId="77777777" w:rsidR="001A105D" w:rsidRDefault="00000000">
      <w:pPr>
        <w:pStyle w:val="NoSpacing"/>
        <w:numPr>
          <w:ilvl w:val="0"/>
          <w:numId w:val="33"/>
        </w:numPr>
      </w:pPr>
      <w:r>
        <w:rPr>
          <w:rFonts w:eastAsia="Arial Unicode MS" w:cs="Arial Unicode MS"/>
        </w:rPr>
        <w:t xml:space="preserve">En Trinidad y Tobago, el </w:t>
      </w:r>
      <w:proofErr w:type="spellStart"/>
      <w:r>
        <w:rPr>
          <w:rStyle w:val="None"/>
          <w:rFonts w:ascii="Helvetica LT Std Oblique" w:hAnsi="Helvetica LT Std Oblique"/>
          <w:u w:val="single"/>
        </w:rPr>
        <w:t>National</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Policy</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on</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Persons</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with</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Disabilities</w:t>
      </w:r>
      <w:proofErr w:type="spellEnd"/>
      <w:r>
        <w:rPr>
          <w:rFonts w:eastAsia="Arial Unicode MS" w:cs="Arial Unicode MS"/>
        </w:rPr>
        <w:t xml:space="preserve"> de 2017 aborda el acceso a la salud de las personas con discapacidad desde el área de la rehabilitación. Señala que se debe proveer los apoyos y equipos necesarios a precios subsidiados para personas con discapacidad a través de centros de rehabilitación.  También establece el deber de apoyo a las organizaciones no gubernamentales que proveen servicios de prevención y rehabilitación</w:t>
      </w:r>
      <w:r>
        <w:rPr>
          <w:rStyle w:val="None"/>
          <w:vertAlign w:val="superscript"/>
        </w:rPr>
        <w:footnoteReference w:id="280"/>
      </w:r>
      <w:r>
        <w:rPr>
          <w:rFonts w:eastAsia="Arial Unicode MS" w:cs="Arial Unicode MS"/>
        </w:rPr>
        <w:t xml:space="preserve">. El Estado también cuenta con regulaciones relacionadas con la salud mental, el </w:t>
      </w:r>
      <w:r>
        <w:rPr>
          <w:rStyle w:val="None"/>
          <w:rFonts w:ascii="Helvetica LT Std Oblique" w:hAnsi="Helvetica LT Std Oblique"/>
          <w:u w:val="single"/>
        </w:rPr>
        <w:t xml:space="preserve">Mental </w:t>
      </w:r>
      <w:proofErr w:type="spellStart"/>
      <w:r>
        <w:rPr>
          <w:rStyle w:val="None"/>
          <w:rFonts w:ascii="Helvetica LT Std Oblique" w:hAnsi="Helvetica LT Std Oblique"/>
          <w:u w:val="single"/>
        </w:rPr>
        <w:t>Heatlh</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Ac</w:t>
      </w:r>
      <w:r>
        <w:rPr>
          <w:rFonts w:eastAsia="Arial Unicode MS" w:cs="Arial Unicode MS"/>
        </w:rPr>
        <w:t>t</w:t>
      </w:r>
      <w:proofErr w:type="spellEnd"/>
      <w:r>
        <w:rPr>
          <w:rFonts w:eastAsia="Arial Unicode MS" w:cs="Arial Unicode MS"/>
        </w:rPr>
        <w:t>, que regula internamiento voluntario e involuntario de personas con discapacidad psicosocial o intelectual y la creación de hogares para estas personas</w:t>
      </w:r>
      <w:r>
        <w:rPr>
          <w:rStyle w:val="None"/>
          <w:vertAlign w:val="superscript"/>
        </w:rPr>
        <w:footnoteReference w:id="281"/>
      </w:r>
      <w:r>
        <w:rPr>
          <w:rFonts w:eastAsia="Arial Unicode MS" w:cs="Arial Unicode MS"/>
        </w:rPr>
        <w:t xml:space="preserve">. El país también cuenta con regulaciones para hospitales privados, </w:t>
      </w:r>
      <w:r>
        <w:rPr>
          <w:rFonts w:eastAsia="Arial Unicode MS" w:cs="Arial Unicode MS"/>
        </w:rPr>
        <w:lastRenderedPageBreak/>
        <w:t xml:space="preserve">el </w:t>
      </w:r>
      <w:proofErr w:type="spellStart"/>
      <w:r>
        <w:rPr>
          <w:rStyle w:val="None"/>
          <w:rFonts w:ascii="Helvetica LT Std Oblique" w:hAnsi="Helvetica LT Std Oblique"/>
          <w:u w:val="single"/>
        </w:rPr>
        <w:t>Private</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Hospitals</w:t>
      </w:r>
      <w:proofErr w:type="spellEnd"/>
      <w:r>
        <w:rPr>
          <w:rStyle w:val="None"/>
          <w:rFonts w:ascii="Helvetica LT Std Oblique" w:hAnsi="Helvetica LT Std Oblique"/>
          <w:u w:val="single"/>
        </w:rPr>
        <w:t xml:space="preserve"> </w:t>
      </w:r>
      <w:proofErr w:type="spellStart"/>
      <w:r>
        <w:rPr>
          <w:rStyle w:val="None"/>
          <w:rFonts w:ascii="Helvetica LT Std Oblique" w:hAnsi="Helvetica LT Std Oblique"/>
          <w:u w:val="single"/>
        </w:rPr>
        <w:t>Regulations</w:t>
      </w:r>
      <w:proofErr w:type="spellEnd"/>
      <w:r>
        <w:rPr>
          <w:rFonts w:eastAsia="Arial Unicode MS" w:cs="Arial Unicode MS"/>
        </w:rPr>
        <w:t xml:space="preserve"> que también condiciona el derecho al consentimiento de tratamiento y cirugías si un médico certifica “incapacidad” para otorgarlo y si se considera que está en riesgo vital</w:t>
      </w:r>
      <w:r>
        <w:rPr>
          <w:rStyle w:val="None"/>
          <w:vertAlign w:val="superscript"/>
        </w:rPr>
        <w:footnoteReference w:id="282"/>
      </w:r>
      <w:r>
        <w:rPr>
          <w:rFonts w:eastAsia="Arial Unicode MS" w:cs="Arial Unicode MS"/>
        </w:rPr>
        <w:t>.</w:t>
      </w:r>
    </w:p>
    <w:p w14:paraId="0B628601" w14:textId="77777777" w:rsidR="001A105D" w:rsidRDefault="00000000">
      <w:pPr>
        <w:pStyle w:val="NoSpacing"/>
        <w:numPr>
          <w:ilvl w:val="0"/>
          <w:numId w:val="33"/>
        </w:numPr>
      </w:pPr>
      <w:r>
        <w:t xml:space="preserve">En términos de jurisprudencia respecto al derecho a la salud de las personas con discapacidad es importante recordar los avances alcanzados en el sistema interamericano de derechos humanos. En primer lugar, es relevante el estándar interamericano establecido por la Corte Interamericana en el caso de </w:t>
      </w:r>
      <w:r>
        <w:rPr>
          <w:rStyle w:val="Hyperlink3"/>
        </w:rPr>
        <w:t>Chinchilla Sandoval y otros vs Guatemala</w:t>
      </w:r>
      <w:r>
        <w:t>, donde la intersección abordada es discapacidad, género, y situación de privación de libertad en relación con el acceso a la salud como derecho humano, intrínsecamente vinculado al derecho a la vida y a la integridad personal. En este sentido, la protección del derecho a la integridad personal supone la regulación de los servicios de salud en el ámbito interno –incluido el sistema penitenciario-, así como la implementación de una serie de mecanismos tendientes a tutelar la efectividad de dicha regulación</w:t>
      </w:r>
      <w:r>
        <w:rPr>
          <w:rStyle w:val="None"/>
          <w:rFonts w:ascii="Helvetica LT Std Oblique" w:eastAsia="Helvetica LT Std Oblique" w:hAnsi="Helvetica LT Std Oblique" w:cs="Helvetica LT Std Oblique"/>
          <w:vertAlign w:val="superscript"/>
        </w:rPr>
        <w:footnoteReference w:id="283"/>
      </w:r>
      <w:r>
        <w:t>.</w:t>
      </w:r>
    </w:p>
    <w:p w14:paraId="5DBB8118" w14:textId="77777777" w:rsidR="001A105D" w:rsidRDefault="00000000">
      <w:pPr>
        <w:pStyle w:val="NoSpacing"/>
        <w:numPr>
          <w:ilvl w:val="0"/>
          <w:numId w:val="33"/>
        </w:numPr>
      </w:pPr>
      <w:r>
        <w:rPr>
          <w:rFonts w:eastAsia="Arial Unicode MS" w:cs="Arial Unicode MS"/>
        </w:rPr>
        <w:lastRenderedPageBreak/>
        <w:t>La Corte IDH también se ha pronunciado sobre el modelo social y de derechos humanos en la intersección de mujer, discapacidad y derecho a la salud en otro caso. Aunque el caso I.V.* vs Bolivia no se trate directamente de una persona con discapacidad, la sentencia destacó que la libertad de una mujer para tomar decisiones sobre su vida, cuerpo y salud reproductiva, especialmente en casos de esterilizaciones, puede verse socavada por discriminación en el acceso a la salud, desigualdades de poder, factores de vulneración adicionales y estereotipos de género</w:t>
      </w:r>
      <w:r>
        <w:rPr>
          <w:rStyle w:val="None"/>
          <w:vertAlign w:val="superscript"/>
        </w:rPr>
        <w:footnoteReference w:id="284"/>
      </w:r>
      <w:r>
        <w:rPr>
          <w:rFonts w:eastAsia="Arial Unicode MS" w:cs="Arial Unicode MS"/>
        </w:rPr>
        <w:t>. La Corte enfatizó que factores como raza, discapacidad o posición socioeconómica no deben ser motivos para limitar la libre elección de las mujeres respecto a la esterilización ni para eludir la obtención de su consentimiento</w:t>
      </w:r>
      <w:r>
        <w:rPr>
          <w:rStyle w:val="None"/>
          <w:vertAlign w:val="superscript"/>
        </w:rPr>
        <w:footnoteReference w:id="285"/>
      </w:r>
      <w:r>
        <w:rPr>
          <w:rFonts w:eastAsia="Arial Unicode MS" w:cs="Arial Unicode MS"/>
        </w:rPr>
        <w:t>.</w:t>
      </w:r>
    </w:p>
    <w:p w14:paraId="7D54606A" w14:textId="77777777" w:rsidR="001A105D" w:rsidRDefault="00000000">
      <w:pPr>
        <w:pStyle w:val="NoSpacing"/>
        <w:numPr>
          <w:ilvl w:val="0"/>
          <w:numId w:val="33"/>
        </w:numPr>
      </w:pPr>
      <w:r>
        <w:rPr>
          <w:rFonts w:eastAsia="Arial Unicode MS" w:cs="Arial Unicode MS"/>
        </w:rPr>
        <w:t>Además, la sentencia consideró que la decisión médica de practicar la esterilización a la señora I.V. sin su consentimiento previo, libre, pleno e informado estuvo motivada por una lógica de cuidado paternalista. Esta perspectiva partió de la premisa de que ella no tomaría decisiones confiables en el futuro para evitar un nuevo embarazo. El médico actuó de manera injustificadamente paternalista al no reconocerla como un agente moral capaz de tomar decisiones, privándola de la oportunidad de evaluar las opciones disponibles y anulando su capacidad de decidir basada en su autonomía</w:t>
      </w:r>
      <w:r>
        <w:rPr>
          <w:rStyle w:val="None"/>
          <w:vertAlign w:val="superscript"/>
        </w:rPr>
        <w:footnoteReference w:id="286"/>
      </w:r>
      <w:r>
        <w:rPr>
          <w:rFonts w:eastAsia="Arial Unicode MS" w:cs="Arial Unicode MS"/>
        </w:rPr>
        <w:t>.</w:t>
      </w:r>
    </w:p>
    <w:p w14:paraId="2903B586" w14:textId="77777777" w:rsidR="001A105D" w:rsidRDefault="00000000">
      <w:pPr>
        <w:pStyle w:val="NoSpacing"/>
        <w:numPr>
          <w:ilvl w:val="0"/>
          <w:numId w:val="33"/>
        </w:numPr>
      </w:pPr>
      <w:r>
        <w:rPr>
          <w:rFonts w:eastAsia="Arial Unicode MS" w:cs="Arial Unicode MS"/>
        </w:rPr>
        <w:lastRenderedPageBreak/>
        <w:t>En la resolución del caso Vera Rojas vs. Chile, se evaluó la decisión de la aseguradora de salud Isapre Más Vida de poner fin de manera unilateral y arbitraria al régimen de "hospitalización domiciliaria" esencial para la supervivencia de Martina Vera, una niña diagnosticada con el síndrome de Leigh. La Corte destacó que la discapacidad está protegida según el artículo 1.1 de la Convención Americana, prohibiendo cualquier norma, acto o práctica discriminatoria basada en la discapacidad real o percibida de la persona. Además, subrayó que el enfoque de derechos humanos en discapacidad implica que esta no se define exclusivamente por la presencia de una deficiencia, sino por las barreras sociales que limitan el ejercicio efectivo de los derechos</w:t>
      </w:r>
      <w:r>
        <w:rPr>
          <w:rStyle w:val="None"/>
          <w:vertAlign w:val="superscript"/>
        </w:rPr>
        <w:footnoteReference w:id="287"/>
      </w:r>
      <w:r>
        <w:rPr>
          <w:rFonts w:eastAsia="Arial Unicode MS" w:cs="Arial Unicode MS"/>
        </w:rPr>
        <w:t>.</w:t>
      </w:r>
    </w:p>
    <w:p w14:paraId="0E57A8A1" w14:textId="77777777" w:rsidR="001A105D" w:rsidRDefault="00000000">
      <w:pPr>
        <w:pStyle w:val="NoSpacing"/>
        <w:numPr>
          <w:ilvl w:val="0"/>
          <w:numId w:val="33"/>
        </w:numPr>
      </w:pPr>
      <w:r>
        <w:rPr>
          <w:rFonts w:eastAsia="Arial Unicode MS" w:cs="Arial Unicode MS"/>
        </w:rPr>
        <w:t>La Corte advirtió que la Convención sobre los Derechos de las Personas con Discapacidad establece que los Estados deben proporcionar servicios de salud a las personas con discapacidad lo más cerca posible de sus comunidades, incluso en zonas rurales, y garantizar el acceso a servicios de asistencia domiciliaria y residencial. Con base en estas disposiciones, determinó que el Estado había violado diversos derechos reconocidos en la Convención Americana, incluyendo el derecho a la salud, seguridad social, vida, integridad, garantías y protección judicial, así como la protección especial de la niñez</w:t>
      </w:r>
      <w:r>
        <w:rPr>
          <w:rStyle w:val="None"/>
          <w:vertAlign w:val="superscript"/>
        </w:rPr>
        <w:footnoteReference w:id="288"/>
      </w:r>
      <w:r>
        <w:rPr>
          <w:rFonts w:eastAsia="Arial Unicode MS" w:cs="Arial Unicode MS"/>
        </w:rPr>
        <w:t>.</w:t>
      </w:r>
    </w:p>
    <w:p w14:paraId="53ECDEE3" w14:textId="77777777" w:rsidR="001A105D" w:rsidRDefault="00000000">
      <w:pPr>
        <w:pStyle w:val="NoSpacing"/>
        <w:numPr>
          <w:ilvl w:val="0"/>
          <w:numId w:val="33"/>
        </w:numPr>
      </w:pPr>
      <w:r>
        <w:rPr>
          <w:rFonts w:eastAsia="Arial Unicode MS" w:cs="Arial Unicode MS"/>
        </w:rPr>
        <w:lastRenderedPageBreak/>
        <w:t xml:space="preserve">Por su parte, la Comisión Interamericana comprende que la adopción de la Convención sobre los Derechos de las Personas con Discapacidad refleja un cambio de paradigma hacia el modelo social y de derechos humanos de la discapacidad. Este enfoque busca superar las perspectivas capacitistas y médicas, que situaban a este colectivo ciudadano únicamente bajo decisiones y políticas públicas relacionadas con la salud –especialmente rehabilitación- en términos de “curar”, “arreglar” o “normalizar” a la persona, y se transitó ahora hacia el reconocimiento del derecho a la salud entendida de manera integral, a través de la identificación y eliminación de las barreras estructurales y actitudinales que experimentan las personas con discapacidad para gozar del más alto nivel posible de salud. En este proceso de cambio, la CIDH saluda los avances presentados por los países hacia modelos de salud con enfoque social y de derechos humanos. </w:t>
      </w:r>
    </w:p>
    <w:p w14:paraId="412F7F5C" w14:textId="77777777" w:rsidR="001A105D" w:rsidRDefault="00000000">
      <w:pPr>
        <w:pStyle w:val="NoSpacing"/>
        <w:numPr>
          <w:ilvl w:val="0"/>
          <w:numId w:val="33"/>
        </w:numPr>
      </w:pPr>
      <w:r>
        <w:rPr>
          <w:rFonts w:eastAsia="Arial Unicode MS" w:cs="Arial Unicode MS"/>
        </w:rPr>
        <w:t>Sin embargo, se observa la persistencia de barreras históricas y estructurales en el acceso a la salud, afectando especialmente a personas y grupos en situaciones de mayor vulneración en muchos de los Estados de la región. Entre ellas, persiste la ausencia de políticas públicas que se enfoquen en proveer diversas medidas de accesibilidad a la infraestructura física y comunicacional de los centros de salud, así como ajustes razonables para la atención médica efectiva. Se presentan también otros diversos retos en la realización del derecho al más alto nivel posible de salud de las personas con discapacidad, con énfasis en mujeres, infancia y adolescencia, personas indígenas, personas afrodescendientes, personas LGTBI y personas mayores con discapacidad.</w:t>
      </w:r>
    </w:p>
    <w:p w14:paraId="5635BE8B" w14:textId="77777777" w:rsidR="001A105D" w:rsidRDefault="00000000">
      <w:pPr>
        <w:pStyle w:val="NoSpacing"/>
        <w:numPr>
          <w:ilvl w:val="0"/>
          <w:numId w:val="33"/>
        </w:numPr>
      </w:pPr>
      <w:r>
        <w:rPr>
          <w:rFonts w:eastAsia="Arial Unicode MS" w:cs="Arial Unicode MS"/>
        </w:rPr>
        <w:lastRenderedPageBreak/>
        <w:t>Además, se toma nota de la ausencia de normativas específicas en relación con la formación de profesionales de la salud con perspectiva de derechos humanos sobre la discapacidad y un enfoque interseccional. También se carece de regulaciones en materia de accesibilidad en todos los niveles de hospitales, clínicas, sistemas de comunicación e información en salud, campañas de salud pública, mobiliario y equipo médico para personas con discapacidad. Esto impacta de manera desproporcionada en mujeres y niñas con discapacidad que necesitan equipo ginecológico adaptado y personal capacitado para una comunicación efectiva que asegure el derecho al consentimiento informado.</w:t>
      </w:r>
    </w:p>
    <w:p w14:paraId="66DBB755" w14:textId="77777777" w:rsidR="001A105D" w:rsidRDefault="00000000">
      <w:pPr>
        <w:pStyle w:val="NoSpacing"/>
        <w:numPr>
          <w:ilvl w:val="0"/>
          <w:numId w:val="33"/>
        </w:numPr>
      </w:pPr>
      <w:r>
        <w:rPr>
          <w:rFonts w:eastAsia="Arial Unicode MS" w:cs="Arial Unicode MS"/>
        </w:rPr>
        <w:t xml:space="preserve">Asimismo, persisten modelos de sustitución de la voluntad de las personas con discapacidad, como la tutela y la curatela, que permiten formas de internamiento y tratamiento médico forzado –especialmente en el caso de las personas en situación de discapacidad psicosocial e intelectual- e inhiben el ejercicio de los derechos sexuales y reproductivos de las mujeres con discapacidad psicosocial, intelectual y en otras situaciones </w:t>
      </w:r>
      <w:proofErr w:type="spellStart"/>
      <w:r>
        <w:rPr>
          <w:rFonts w:eastAsia="Arial Unicode MS" w:cs="Arial Unicode MS"/>
        </w:rPr>
        <w:t>discapacitantes</w:t>
      </w:r>
      <w:proofErr w:type="spellEnd"/>
      <w:r>
        <w:rPr>
          <w:rFonts w:eastAsia="Arial Unicode MS" w:cs="Arial Unicode MS"/>
        </w:rPr>
        <w:t>, específicamente para brindar el consentimiento informado en atención a la situación de discapacidad de la persona.</w:t>
      </w:r>
    </w:p>
    <w:p w14:paraId="161513BE" w14:textId="77777777" w:rsidR="001A105D" w:rsidRDefault="00000000">
      <w:pPr>
        <w:pStyle w:val="NoSpacing"/>
        <w:numPr>
          <w:ilvl w:val="0"/>
          <w:numId w:val="33"/>
        </w:numPr>
      </w:pPr>
      <w:r>
        <w:t>En particular, se observa la existencia de prácticas de aborto forzado, donde la legislación o regulación interna permite este tipo de intervenciones médicas sin el consentimiento libre, previo e informado de la persona. Al respecto, la Comisión destaca la importancia de garantizar que cualquier práctica relacionada con el derecho a la salud de las personas con discapacidad respete el ejercicio de su capacidad jurídica, conforme a los marcos internacionales aplicables en la materia.</w:t>
      </w:r>
    </w:p>
    <w:p w14:paraId="41A32E06" w14:textId="77777777" w:rsidR="001A105D" w:rsidRDefault="00000000">
      <w:pPr>
        <w:pStyle w:val="NoSpacing"/>
        <w:numPr>
          <w:ilvl w:val="0"/>
          <w:numId w:val="33"/>
        </w:numPr>
      </w:pPr>
      <w:r>
        <w:rPr>
          <w:rFonts w:eastAsia="Arial Unicode MS" w:cs="Arial Unicode MS"/>
        </w:rPr>
        <w:lastRenderedPageBreak/>
        <w:t>243. Aunque algunas leyes se hayan armonizado con los estándares de derechos humanos sobre las personas con discapacidad, sigue faltando una reforma integral, ya que coexisten normativas dispares o contrarias entre sí (algunas siguiendo el modelo social y de derechos humanos, y otras manteniendo un paradigma médico-capacitista). Además, no existen normativas que regulen la fiscalización de cumplimiento ni parámetros técnicos para que los organismos públicos sepan cómo implementarlas.</w:t>
      </w:r>
    </w:p>
    <w:p w14:paraId="2C297964" w14:textId="77777777" w:rsidR="001A105D" w:rsidRDefault="00000000">
      <w:pPr>
        <w:pStyle w:val="NoSpacing"/>
        <w:numPr>
          <w:ilvl w:val="0"/>
          <w:numId w:val="33"/>
        </w:numPr>
      </w:pPr>
      <w:r>
        <w:rPr>
          <w:rFonts w:eastAsia="Arial Unicode MS" w:cs="Arial Unicode MS"/>
        </w:rPr>
        <w:t>Esto mantiene una visión asistencialista de la discapacidad en temas de salud pública. La Comisión también destaca la falta de asignación de presupuestos públicos en varios países de la región, garantizando así el acceso universal a servicios de salud, habilitación y rehabilitación de las personas con discapacidad a nivel nacional y con infraestructura pública. Esto ha dado lugar al financiamiento con fondos públicos de servicios privados de rehabilitación que no son universales y que dependen de campañas de recolección de fondos, como las de Teletón, reforzando estereotipos nocivos sobre las personas con discapacidad y obstaculizando el avance de sus derechos humanos al difundir y legitimar socialmente una visión de estas personas como objetos de caridad.</w:t>
      </w:r>
    </w:p>
    <w:p w14:paraId="4E22C9AB" w14:textId="77777777" w:rsidR="001A105D" w:rsidRDefault="00000000">
      <w:pPr>
        <w:pStyle w:val="NoSpacing"/>
        <w:numPr>
          <w:ilvl w:val="0"/>
          <w:numId w:val="33"/>
        </w:numPr>
      </w:pPr>
      <w:r>
        <w:rPr>
          <w:rFonts w:eastAsia="Arial Unicode MS" w:cs="Arial Unicode MS"/>
        </w:rPr>
        <w:t xml:space="preserve">La CIDH llama a los Estados a crear programas y atención sanitaria esencial gratuitos o a precios asequibles para todas las personas con discapacidad, asegurando una variedad y calidad equiparable a la ofrecida al resto de la población, incluso en lo referente a la salud sexual y reproductiva. Asimismo, proporcionar servicios de salud específicos para atender las necesidades de las personas con discapacidad, abarcando la pronta detección e intervención, así como </w:t>
      </w:r>
      <w:r>
        <w:rPr>
          <w:rFonts w:eastAsia="Arial Unicode MS" w:cs="Arial Unicode MS"/>
        </w:rPr>
        <w:lastRenderedPageBreak/>
        <w:t>servicios orientados a prevenir y reducir al máximo la aparición de nuevas discapacidades, localizados de manera cercana a las comunidades de personas con discapacidad, incluyendo áreas rurales.</w:t>
      </w:r>
    </w:p>
    <w:p w14:paraId="279F84E2" w14:textId="77777777" w:rsidR="001A105D" w:rsidRDefault="00000000">
      <w:pPr>
        <w:pStyle w:val="NoSpacing"/>
        <w:numPr>
          <w:ilvl w:val="0"/>
          <w:numId w:val="33"/>
        </w:numPr>
      </w:pPr>
      <w:r>
        <w:t>Finalmente, la Comisión recuerda que todos los servicios deben otorgarse con base en el consentimiento libre e informado, respaldados por la concientización sobre los derechos humanos, la dignidad, la autonomía y las necesidades de las personas con discapacidad. Para ello, se debe brindar capacitación y establecer normas éticas tanto en los ámbitos público como privado, y promover también la habilitación y rehabilitación basadas en la comunidad. Todo esto, sustentado en el principio de igualdad y no discriminación.</w:t>
      </w:r>
    </w:p>
    <w:p w14:paraId="2DB98AD3" w14:textId="77777777" w:rsidR="001A105D" w:rsidRDefault="00000000">
      <w:pPr>
        <w:pStyle w:val="Heading4"/>
        <w:numPr>
          <w:ilvl w:val="0"/>
          <w:numId w:val="64"/>
        </w:numPr>
      </w:pPr>
      <w:r>
        <w:rPr>
          <w:rFonts w:eastAsia="Arial Unicode MS" w:cs="Arial Unicode MS"/>
        </w:rPr>
        <w:t>Contextos de emergencia sanitaria</w:t>
      </w:r>
    </w:p>
    <w:p w14:paraId="420F8763" w14:textId="77777777" w:rsidR="001A105D" w:rsidRDefault="00000000">
      <w:pPr>
        <w:pStyle w:val="NoSpacing"/>
        <w:numPr>
          <w:ilvl w:val="0"/>
          <w:numId w:val="65"/>
        </w:numPr>
        <w:rPr>
          <w:lang w:val="en-US"/>
        </w:rPr>
      </w:pPr>
      <w:r>
        <w:rPr>
          <w:lang w:val="en-US"/>
        </w:rPr>
        <w:t>D</w:t>
      </w:r>
      <w:proofErr w:type="spellStart"/>
      <w:r>
        <w:t>urante</w:t>
      </w:r>
      <w:proofErr w:type="spellEnd"/>
      <w:r>
        <w:t xml:space="preserve"> la pandemia del COVID-19, la desigualdad y discriminación que históricamente enfrentan las personas con discapacidad para recibir información de emergencia de manera accesible y acceder a servicios de salud se acentuó, en especial por cuenta de los casos de racionamiento de recursos médicos. Sin embargo, se observaron esfuerzos en los países de la región por aplicar medidas de accesibilidad en relación con la prestación de servicios y la información a fin de efectivizar el ejercicio del derecho a la salud en situaciones de emergencia. </w:t>
      </w:r>
    </w:p>
    <w:p w14:paraId="68C9A66C" w14:textId="77777777" w:rsidR="001A105D" w:rsidRDefault="00000000">
      <w:pPr>
        <w:pStyle w:val="NoSpacing"/>
        <w:numPr>
          <w:ilvl w:val="0"/>
          <w:numId w:val="33"/>
        </w:numPr>
      </w:pPr>
      <w:r>
        <w:rPr>
          <w:rFonts w:eastAsia="Arial Unicode MS" w:cs="Arial Unicode MS"/>
        </w:rPr>
        <w:t xml:space="preserve">A modo de ejemplos, Argentina implementó el uso de lenguaje sencillo para proporcionar información de autocuidado durante </w:t>
      </w:r>
      <w:r>
        <w:rPr>
          <w:rFonts w:eastAsia="Arial Unicode MS" w:cs="Arial Unicode MS"/>
        </w:rPr>
        <w:lastRenderedPageBreak/>
        <w:t>la emergencia</w:t>
      </w:r>
      <w:r>
        <w:rPr>
          <w:rStyle w:val="None"/>
          <w:vertAlign w:val="superscript"/>
        </w:rPr>
        <w:footnoteReference w:id="289"/>
      </w:r>
      <w:r>
        <w:rPr>
          <w:rFonts w:eastAsia="Arial Unicode MS" w:cs="Arial Unicode MS"/>
        </w:rPr>
        <w:t>; junto con la Resolución 48 de 2020, que impulsó la emisión de certificados de pases libres durante la cuarentena para asistentes de personas con discapacidad como política de Estado</w:t>
      </w:r>
      <w:r>
        <w:rPr>
          <w:rStyle w:val="None"/>
          <w:vertAlign w:val="superscript"/>
        </w:rPr>
        <w:footnoteReference w:id="290"/>
      </w:r>
      <w:r>
        <w:rPr>
          <w:rFonts w:eastAsia="Arial Unicode MS" w:cs="Arial Unicode MS"/>
        </w:rPr>
        <w:t>. Ambas medidas han contribuido significativamente al proceso de inclusión de las personas con discapacidad en las políticas de respuesta a la pandemia.</w:t>
      </w:r>
    </w:p>
    <w:p w14:paraId="1B0265B0" w14:textId="77777777" w:rsidR="001A105D" w:rsidRDefault="00000000">
      <w:pPr>
        <w:pStyle w:val="NoSpacing"/>
        <w:numPr>
          <w:ilvl w:val="0"/>
          <w:numId w:val="33"/>
        </w:numPr>
      </w:pPr>
      <w:r>
        <w:rPr>
          <w:rFonts w:eastAsia="Arial Unicode MS" w:cs="Arial Unicode MS"/>
        </w:rPr>
        <w:t xml:space="preserve">En la región del Caribe, en abril de 2020, el Relator Especial de la Comunidad del Caribe (CARICOM) sobre Discapacidad, Dr. Floyd Morris, emitió un </w:t>
      </w:r>
      <w:r>
        <w:rPr>
          <w:rStyle w:val="Hyperlink3"/>
          <w:rFonts w:eastAsia="Arial Unicode MS" w:cs="Arial Unicode MS"/>
        </w:rPr>
        <w:t>comunicado especial</w:t>
      </w:r>
      <w:r>
        <w:rPr>
          <w:rFonts w:eastAsia="Arial Unicode MS" w:cs="Arial Unicode MS"/>
        </w:rPr>
        <w:t xml:space="preserve"> sobre cuestiones que deben tenerse en cuenta al relacionarse con una persona con discapacidad que haya contraído COVID-19</w:t>
      </w:r>
      <w:r>
        <w:rPr>
          <w:rStyle w:val="None"/>
          <w:vertAlign w:val="superscript"/>
        </w:rPr>
        <w:footnoteReference w:id="291"/>
      </w:r>
      <w:r>
        <w:rPr>
          <w:rFonts w:eastAsia="Arial Unicode MS" w:cs="Arial Unicode MS"/>
        </w:rPr>
        <w:t xml:space="preserve">. En conjunto, la Declaración de </w:t>
      </w:r>
      <w:proofErr w:type="spellStart"/>
      <w:r>
        <w:rPr>
          <w:rFonts w:eastAsia="Arial Unicode MS" w:cs="Arial Unicode MS"/>
        </w:rPr>
        <w:t>Petion</w:t>
      </w:r>
      <w:proofErr w:type="spellEnd"/>
      <w:r>
        <w:rPr>
          <w:rFonts w:eastAsia="Arial Unicode MS" w:cs="Arial Unicode MS"/>
        </w:rPr>
        <w:t xml:space="preserve"> </w:t>
      </w:r>
      <w:proofErr w:type="spellStart"/>
      <w:r>
        <w:rPr>
          <w:rFonts w:eastAsia="Arial Unicode MS" w:cs="Arial Unicode MS"/>
        </w:rPr>
        <w:t>Ville</w:t>
      </w:r>
      <w:proofErr w:type="spellEnd"/>
      <w:r>
        <w:rPr>
          <w:rFonts w:eastAsia="Arial Unicode MS" w:cs="Arial Unicode MS"/>
        </w:rPr>
        <w:t xml:space="preserve"> del 2013</w:t>
      </w:r>
      <w:r>
        <w:rPr>
          <w:rStyle w:val="None"/>
          <w:vertAlign w:val="superscript"/>
        </w:rPr>
        <w:footnoteReference w:id="292"/>
      </w:r>
      <w:r>
        <w:rPr>
          <w:rFonts w:eastAsia="Arial Unicode MS" w:cs="Arial Unicode MS"/>
        </w:rPr>
        <w:t xml:space="preserve"> y el Relator Especial sobre Discapacidad constituyen recursos positivos de la región caribeña que los gobiernos pueden utilizar para formular políticas que avancen en el ejercicio de derechos de las personas con discapacidad. El </w:t>
      </w:r>
      <w:r>
        <w:rPr>
          <w:rStyle w:val="Hyperlink3"/>
          <w:rFonts w:eastAsia="Arial Unicode MS" w:cs="Arial Unicode MS"/>
        </w:rPr>
        <w:t xml:space="preserve">comunicado especial </w:t>
      </w:r>
      <w:r>
        <w:rPr>
          <w:rFonts w:eastAsia="Arial Unicode MS" w:cs="Arial Unicode MS"/>
        </w:rPr>
        <w:t>durante la pandemia sirvió como una guía para atender de manera adecuada a las personas con discapacidad que hubieran contraído el virus</w:t>
      </w:r>
      <w:r>
        <w:rPr>
          <w:rStyle w:val="None"/>
          <w:vertAlign w:val="superscript"/>
        </w:rPr>
        <w:footnoteReference w:id="293"/>
      </w:r>
      <w:r>
        <w:rPr>
          <w:rFonts w:eastAsia="Arial Unicode MS" w:cs="Arial Unicode MS"/>
        </w:rPr>
        <w:t>.</w:t>
      </w:r>
    </w:p>
    <w:p w14:paraId="4603CC5B" w14:textId="77777777" w:rsidR="001A105D" w:rsidRDefault="00000000">
      <w:pPr>
        <w:pStyle w:val="NoSpacing"/>
        <w:numPr>
          <w:ilvl w:val="0"/>
          <w:numId w:val="33"/>
        </w:numPr>
      </w:pPr>
      <w:r>
        <w:lastRenderedPageBreak/>
        <w:t>En Chile, el Servicio Nacional de la Discapacidad emitió documentos como "En esta Pandemia por Covid-19 Tengo mis Derechos” y “Estado de Catástrofe en Lectura Fácil". Estos documentos explican el virus Covid-19, el estado de catástrofe declarado, las medidas de prevención y los derechos de las personas con discapacidad</w:t>
      </w:r>
      <w:r>
        <w:rPr>
          <w:rStyle w:val="None"/>
          <w:vertAlign w:val="superscript"/>
        </w:rPr>
        <w:footnoteReference w:id="294"/>
      </w:r>
      <w:r>
        <w:t>. Asimismo, se elaboró el documento “Consideraciones Especiales en el Manejo y Tratamiento de las Personas con Discapacidad durante la Pandemia Sars-Cov-2“</w:t>
      </w:r>
      <w:r>
        <w:rPr>
          <w:rStyle w:val="None"/>
          <w:vertAlign w:val="superscript"/>
        </w:rPr>
        <w:footnoteReference w:id="295"/>
      </w:r>
      <w:r>
        <w:t>, en que se recuerda que las personas con discapacidad son sujetas de derecho y se establecen condiciones de accesibilidad a la información e infraestructura para una atención de salud de calidad en los recintos sanitarios</w:t>
      </w:r>
      <w:r>
        <w:rPr>
          <w:rStyle w:val="None"/>
          <w:vertAlign w:val="superscript"/>
        </w:rPr>
        <w:footnoteReference w:id="296"/>
      </w:r>
      <w:r>
        <w:t>. Igualmente, se orientó a los recintos hospitalarios del país, enfatizando que las personas con discapacidad tienen derecho a acceder a tratamientos para salvar sus vidas en igualdad de condiciones que el resto de la población</w:t>
      </w:r>
      <w:r>
        <w:rPr>
          <w:rStyle w:val="None"/>
          <w:vertAlign w:val="superscript"/>
        </w:rPr>
        <w:footnoteReference w:id="297"/>
      </w:r>
      <w:r>
        <w:t>.</w:t>
      </w:r>
    </w:p>
    <w:p w14:paraId="1AC39A79" w14:textId="77777777" w:rsidR="001A105D" w:rsidRDefault="00000000">
      <w:pPr>
        <w:pStyle w:val="NoSpacing"/>
        <w:numPr>
          <w:ilvl w:val="0"/>
          <w:numId w:val="33"/>
        </w:numPr>
      </w:pPr>
      <w:r>
        <w:rPr>
          <w:rFonts w:eastAsia="Arial Unicode MS" w:cs="Arial Unicode MS"/>
        </w:rPr>
        <w:t xml:space="preserve">El Estado colombiano ha emitido las Recomendaciones Generales para la Toma de Decisiones Éticas en los Servicios </w:t>
      </w:r>
      <w:r>
        <w:rPr>
          <w:rFonts w:eastAsia="Arial Unicode MS" w:cs="Arial Unicode MS"/>
        </w:rPr>
        <w:lastRenderedPageBreak/>
        <w:t>de Salud durante la Pandemia Covid-19. Este documento proporciona un marco de referencia para que los profesionales de la salud puedan encontrar un equilibrio entre el cuidado centrado en la persona y los deberes hacia el bien público, asegurando la igualdad de todas las personas, incluyendo aquellas con discapacidad y personas mayores. Además, priorizó la equidad en la distribución de riesgos y beneficios, garantizando que todas las personas reciban una atención justa y equitativa durante la pandemia</w:t>
      </w:r>
      <w:r>
        <w:rPr>
          <w:rStyle w:val="None"/>
          <w:vertAlign w:val="superscript"/>
        </w:rPr>
        <w:footnoteReference w:id="298"/>
      </w:r>
      <w:r>
        <w:rPr>
          <w:rFonts w:eastAsia="Arial Unicode MS" w:cs="Arial Unicode MS"/>
        </w:rPr>
        <w:t xml:space="preserve">. </w:t>
      </w:r>
    </w:p>
    <w:p w14:paraId="5D09DE82" w14:textId="77777777" w:rsidR="001A105D" w:rsidRDefault="00000000">
      <w:pPr>
        <w:pStyle w:val="NoSpacing"/>
        <w:numPr>
          <w:ilvl w:val="0"/>
          <w:numId w:val="33"/>
        </w:numPr>
      </w:pPr>
      <w:r>
        <w:rPr>
          <w:rFonts w:eastAsia="Arial Unicode MS" w:cs="Arial Unicode MS"/>
        </w:rPr>
        <w:t>En Perú, se estableció un número de atención por WhatsApp para personas sordas o con hipoacusia durante la pandemia de COVID-19, permitiéndoles comunicarse con los servicios de salud. El Consejo Nacional de la Discapacidad impulsó el Decreto Legislativo No 1468, que establece medidas de prevención para personas con discapacidad</w:t>
      </w:r>
      <w:r>
        <w:rPr>
          <w:rStyle w:val="None"/>
          <w:vertAlign w:val="superscript"/>
        </w:rPr>
        <w:footnoteReference w:id="299"/>
      </w:r>
      <w:r>
        <w:rPr>
          <w:rFonts w:eastAsia="Arial Unicode MS" w:cs="Arial Unicode MS"/>
        </w:rPr>
        <w:t xml:space="preserve">. El Gobierno promovió la Red de Soporte para Personas Adultas Mayores de Alto Riesgo y Personas con Discapacidad Severa, además de la Red de Cuidados Integrales a la Salud de las Personas con Discapacidad. El CONADIS lanzó campañas como la "Plataforma de Atención Virtual 24 Horas" para ofrecer información en lengua de señas, e "Intérpretes en Consulta" </w:t>
      </w:r>
      <w:r>
        <w:rPr>
          <w:rFonts w:eastAsia="Arial Unicode MS" w:cs="Arial Unicode MS"/>
        </w:rPr>
        <w:lastRenderedPageBreak/>
        <w:t>para personas con discapacidad auditiva o sordas en entidades públicas</w:t>
      </w:r>
      <w:r>
        <w:rPr>
          <w:rStyle w:val="None"/>
          <w:vertAlign w:val="superscript"/>
        </w:rPr>
        <w:footnoteReference w:id="300"/>
      </w:r>
      <w:r>
        <w:rPr>
          <w:rFonts w:eastAsia="Arial Unicode MS" w:cs="Arial Unicode MS"/>
        </w:rPr>
        <w:t>.</w:t>
      </w:r>
    </w:p>
    <w:p w14:paraId="5EAA172A" w14:textId="77777777" w:rsidR="001A105D" w:rsidRDefault="00000000">
      <w:pPr>
        <w:pStyle w:val="NoSpacing"/>
        <w:numPr>
          <w:ilvl w:val="0"/>
          <w:numId w:val="33"/>
        </w:numPr>
      </w:pPr>
      <w:r>
        <w:rPr>
          <w:rFonts w:eastAsia="Arial Unicode MS" w:cs="Arial Unicode MS"/>
        </w:rPr>
        <w:t xml:space="preserve"> Estas representan algunas de las diversas respuestas de los Estados ante los escenarios de urgente demanda y escasez de recursos. Sin embargo, en muchos otros casos, la emergencia derivó en situaciones de discriminación contra personas mayores y personas con discapacidad. A través de las Resoluciones 1 y 4 de 2020, esta Comisión señaló la necesidad de que los Estados velen por la distribución y acceso equitativos a las instalaciones, bienes y servicios de salud sin discriminación alguna, rechazando cualquier tipo de discriminación directa, indirecta, múltiple o interseccional</w:t>
      </w:r>
      <w:r>
        <w:rPr>
          <w:rStyle w:val="None"/>
          <w:vertAlign w:val="superscript"/>
        </w:rPr>
        <w:footnoteReference w:id="301"/>
      </w:r>
      <w:r>
        <w:rPr>
          <w:rFonts w:eastAsia="Arial Unicode MS" w:cs="Arial Unicode MS"/>
        </w:rPr>
        <w:t>.</w:t>
      </w:r>
    </w:p>
    <w:p w14:paraId="3E477C5A" w14:textId="77777777" w:rsidR="001A105D" w:rsidRDefault="00000000">
      <w:pPr>
        <w:pStyle w:val="NoSpacing"/>
        <w:numPr>
          <w:ilvl w:val="0"/>
          <w:numId w:val="33"/>
        </w:numPr>
      </w:pPr>
      <w:r>
        <w:rPr>
          <w:rFonts w:eastAsia="Arial Unicode MS" w:cs="Arial Unicode MS"/>
        </w:rPr>
        <w:t>Durante la pandemia por Covid-19, si bien varios Estados emitieron recomendaciones para asegurar la inclusión y el acceso a la atención en salud a personas con discapacidad, estas medidas en muchos casos no han sido obligatorias. Eso ha llevado a que, en algunos Estados, debido a la ausencia de una regulación específica, las personas con discapacidad hayan sufrido discriminación por motivos de discapacidad mediante la aplicación de criterios, como las reglas del "</w:t>
      </w:r>
      <w:proofErr w:type="spellStart"/>
      <w:r>
        <w:rPr>
          <w:rFonts w:eastAsia="Arial Unicode MS" w:cs="Arial Unicode MS"/>
        </w:rPr>
        <w:t>triaje</w:t>
      </w:r>
      <w:proofErr w:type="spellEnd"/>
      <w:r>
        <w:rPr>
          <w:rFonts w:eastAsia="Arial Unicode MS" w:cs="Arial Unicode MS"/>
        </w:rPr>
        <w:t xml:space="preserve">", que posibilitaron valoraciones sobre lo que es "funcional" o la </w:t>
      </w:r>
      <w:r>
        <w:rPr>
          <w:rFonts w:eastAsia="Arial Unicode MS" w:cs="Arial Unicode MS"/>
        </w:rPr>
        <w:lastRenderedPageBreak/>
        <w:t>asignación subjetiva del valor y la vida de ciertas personas por sobre otras</w:t>
      </w:r>
      <w:r>
        <w:rPr>
          <w:rStyle w:val="None"/>
          <w:vertAlign w:val="superscript"/>
        </w:rPr>
        <w:footnoteReference w:id="302"/>
      </w:r>
      <w:r>
        <w:rPr>
          <w:rFonts w:eastAsia="Arial Unicode MS" w:cs="Arial Unicode MS"/>
        </w:rPr>
        <w:t>.</w:t>
      </w:r>
    </w:p>
    <w:p w14:paraId="577A5738" w14:textId="77777777" w:rsidR="001A105D" w:rsidRDefault="00000000">
      <w:pPr>
        <w:pStyle w:val="NoSpacing"/>
        <w:numPr>
          <w:ilvl w:val="0"/>
          <w:numId w:val="33"/>
        </w:numPr>
      </w:pPr>
      <w:r>
        <w:rPr>
          <w:rFonts w:eastAsia="Arial Unicode MS" w:cs="Arial Unicode MS"/>
        </w:rPr>
        <w:t>La CIDH enfatiza que, en situaciones de emergencia, es imperativo que los Estados incluyan a las personas con discapacidad en el diseño, ejecución, difusión y monitoreo de las medidas de contención, respuesta y atención, teniendo en cuenta las necesidades particulares de este grupo y anticipándose a posibles desafíos</w:t>
      </w:r>
      <w:r>
        <w:rPr>
          <w:rStyle w:val="None"/>
          <w:vertAlign w:val="superscript"/>
        </w:rPr>
        <w:footnoteReference w:id="303"/>
      </w:r>
      <w:r>
        <w:rPr>
          <w:rFonts w:eastAsia="Arial Unicode MS" w:cs="Arial Unicode MS"/>
        </w:rPr>
        <w:t>.</w:t>
      </w:r>
    </w:p>
    <w:p w14:paraId="0B70E6F9" w14:textId="77777777" w:rsidR="001A105D" w:rsidRDefault="00000000">
      <w:pPr>
        <w:pStyle w:val="Heading3"/>
        <w:numPr>
          <w:ilvl w:val="0"/>
          <w:numId w:val="66"/>
        </w:numPr>
      </w:pPr>
      <w:bookmarkStart w:id="20" w:name="_Toc17"/>
      <w:r>
        <w:rPr>
          <w:rFonts w:eastAsia="Arial Unicode MS" w:cs="Arial Unicode MS"/>
          <w:lang w:val="es-ES_tradnl"/>
        </w:rPr>
        <w:t>Derecho a la integridad f</w:t>
      </w:r>
      <w:r>
        <w:rPr>
          <w:rFonts w:eastAsia="Arial Unicode MS" w:cs="Arial Unicode MS"/>
        </w:rPr>
        <w:t>í</w:t>
      </w:r>
      <w:r>
        <w:rPr>
          <w:rFonts w:eastAsia="Arial Unicode MS" w:cs="Arial Unicode MS"/>
          <w:lang w:val="es-ES_tradnl"/>
        </w:rPr>
        <w:t>sica y psicológica: protección contra la tortura y otros malos tratos</w:t>
      </w:r>
      <w:bookmarkEnd w:id="20"/>
    </w:p>
    <w:p w14:paraId="055999F4" w14:textId="77777777" w:rsidR="001A105D" w:rsidRDefault="00000000">
      <w:pPr>
        <w:pStyle w:val="NoSpacing"/>
        <w:numPr>
          <w:ilvl w:val="0"/>
          <w:numId w:val="67"/>
        </w:numPr>
      </w:pPr>
      <w:r>
        <w:rPr>
          <w:rFonts w:eastAsia="Arial Unicode MS" w:cs="Arial Unicode MS"/>
        </w:rPr>
        <w:t>El derecho a la protección de la integridad personal, así como contra la tortura y otros tratos o penas crueles, inhumanos o degradantes de las personas con discapacidad, se encuentra contemplado en la Convención Americana (artículo 5)</w:t>
      </w:r>
      <w:r>
        <w:rPr>
          <w:rStyle w:val="None"/>
          <w:vertAlign w:val="superscript"/>
        </w:rPr>
        <w:footnoteReference w:id="304"/>
      </w:r>
      <w:r>
        <w:rPr>
          <w:rFonts w:eastAsia="Arial Unicode MS" w:cs="Arial Unicode MS"/>
        </w:rPr>
        <w:t>, así como en la Convención sobre los Derechos de las Personas con Discapacidad (artículos 15, 16 y 17)</w:t>
      </w:r>
      <w:r>
        <w:rPr>
          <w:rStyle w:val="None"/>
          <w:vertAlign w:val="superscript"/>
        </w:rPr>
        <w:footnoteReference w:id="305"/>
      </w:r>
      <w:r>
        <w:rPr>
          <w:rFonts w:eastAsia="Arial Unicode MS" w:cs="Arial Unicode MS"/>
        </w:rPr>
        <w:t xml:space="preserve">. En particular, el artículo 15 de esta última establece que ninguna persona será </w:t>
      </w:r>
      <w:r>
        <w:rPr>
          <w:rFonts w:eastAsia="Arial Unicode MS" w:cs="Arial Unicode MS"/>
        </w:rPr>
        <w:lastRenderedPageBreak/>
        <w:t>sujeta a dichos tratos, incluyendo la prohibición de ser sometido a experimentos médicos o científicos sin su libre consentimiento. Además, se determina la obligación de los Estados de adoptar medidas legislativas, administrativas, judiciales o de cualquier otra índole que sean efectivas para prevenir que las personas con discapacidad sean víctimas de tales prácticas.</w:t>
      </w:r>
    </w:p>
    <w:p w14:paraId="5973E1A8" w14:textId="77777777" w:rsidR="001A105D" w:rsidRDefault="00000000">
      <w:pPr>
        <w:pStyle w:val="NoSpacing"/>
        <w:numPr>
          <w:ilvl w:val="0"/>
          <w:numId w:val="33"/>
        </w:numPr>
      </w:pPr>
      <w:r>
        <w:rPr>
          <w:rFonts w:eastAsia="Arial Unicode MS" w:cs="Arial Unicode MS"/>
        </w:rPr>
        <w:t>En relación con este tema, el Comité de la Convención sobre los Derechos de las Personas con Discapacidad (CDPD) ha destacado que el internamiento psiquiátrico involuntario y el tratamiento médico forzoso violan el derecho a la protección contra la tortura y vulneran el derecho a la capacidad jurídica de las personas con discapacidad. Por lo tanto, los Estados deben proporcionar acceso a apoyo para la toma de decisiones sobre tratamientos psiquiátricos y médicos cuando la persona los requiera, y eliminar políticas y leyes que permitan el tratamiento forzoso en salud mental</w:t>
      </w:r>
      <w:r>
        <w:rPr>
          <w:rStyle w:val="None"/>
          <w:vertAlign w:val="superscript"/>
        </w:rPr>
        <w:footnoteReference w:id="306"/>
      </w:r>
      <w:r>
        <w:rPr>
          <w:rFonts w:eastAsia="Arial Unicode MS" w:cs="Arial Unicode MS"/>
        </w:rPr>
        <w:t xml:space="preserve">. </w:t>
      </w:r>
    </w:p>
    <w:p w14:paraId="4DA4D6D4" w14:textId="77777777" w:rsidR="001A105D" w:rsidRDefault="00000000">
      <w:pPr>
        <w:pStyle w:val="NoSpacing"/>
        <w:numPr>
          <w:ilvl w:val="0"/>
          <w:numId w:val="33"/>
        </w:numPr>
      </w:pPr>
      <w:r>
        <w:rPr>
          <w:rFonts w:eastAsia="Arial Unicode MS" w:cs="Arial Unicode MS"/>
        </w:rPr>
        <w:t>En el ámbito interamericano, el Comité para la Eliminación de Todas las Formas de Discriminación contra las Personas con Discapacidad (CEDDIS) ha reconocido que las personas con discapacidad psicosocial e intelectual están especialmente expuestas a situaciones de riesgo, abandono, abuso y violencia, así como de privación de libertad sin su consentimiento libre e informado</w:t>
      </w:r>
      <w:r>
        <w:rPr>
          <w:rStyle w:val="None"/>
          <w:vertAlign w:val="superscript"/>
        </w:rPr>
        <w:footnoteReference w:id="307"/>
      </w:r>
      <w:r>
        <w:rPr>
          <w:rFonts w:eastAsia="Arial Unicode MS" w:cs="Arial Unicode MS"/>
        </w:rPr>
        <w:t xml:space="preserve">. </w:t>
      </w:r>
    </w:p>
    <w:p w14:paraId="47D252F7" w14:textId="77777777" w:rsidR="001A105D" w:rsidRDefault="00000000">
      <w:pPr>
        <w:pStyle w:val="NoSpacing"/>
        <w:numPr>
          <w:ilvl w:val="0"/>
          <w:numId w:val="33"/>
        </w:numPr>
      </w:pPr>
      <w:r>
        <w:rPr>
          <w:rFonts w:eastAsia="Arial Unicode MS" w:cs="Arial Unicode MS"/>
        </w:rPr>
        <w:lastRenderedPageBreak/>
        <w:t>Aunado a lo anterior, la Corte Interamericana ha subrayado la obligación de los Estados de garantizar un tratamiento digno y humano en instituciones psiquiátricas, protegiendo a las personas contra la explotación y el abuso. La Corte también ha enfatizado que las personas con discapacidad tienen derecho al reconocimiento de su personalidad jurídica y acceso al apoyo necesario para tomar decisiones con efectos legales</w:t>
      </w:r>
      <w:r>
        <w:rPr>
          <w:rStyle w:val="None"/>
          <w:vertAlign w:val="superscript"/>
        </w:rPr>
        <w:footnoteReference w:id="308"/>
      </w:r>
      <w:r>
        <w:rPr>
          <w:rFonts w:eastAsia="Arial Unicode MS" w:cs="Arial Unicode MS"/>
        </w:rPr>
        <w:t>. Asimismo, ha determinado la obligación de los Estados de supervisar y garantizar que, en toda institución psiquiátrica, pública o privada, sea preservado el derecho de las personas a recibir un tratamiento digno, humano y profesional, y de ser protegidas contra la explotación, el abuso y la degradación</w:t>
      </w:r>
      <w:r>
        <w:rPr>
          <w:rStyle w:val="None"/>
          <w:vertAlign w:val="superscript"/>
        </w:rPr>
        <w:footnoteReference w:id="309"/>
      </w:r>
      <w:r>
        <w:rPr>
          <w:rFonts w:eastAsia="Arial Unicode MS" w:cs="Arial Unicode MS"/>
        </w:rPr>
        <w:t>.</w:t>
      </w:r>
    </w:p>
    <w:p w14:paraId="6AC5A04D" w14:textId="77777777" w:rsidR="001A105D" w:rsidRDefault="00000000">
      <w:pPr>
        <w:pStyle w:val="NoSpacing"/>
        <w:numPr>
          <w:ilvl w:val="0"/>
          <w:numId w:val="33"/>
        </w:numPr>
      </w:pPr>
      <w:r>
        <w:rPr>
          <w:rFonts w:eastAsia="Arial Unicode MS" w:cs="Arial Unicode MS"/>
        </w:rPr>
        <w:t xml:space="preserve">En particular, la Corte ha reafirmado que las personas con discapacidad tienen sus derechos garantizados bajo el paradigma social y de derechos humanos, lo cual implica que la discapacidad no se define exclusivamente por la presencia de una deficiencia física, mental, intelectual o sensorial, sino que se interrelaciona con las barreras o limitaciones que socialmente existen para que todas las personas puedan ejercer sus derechos de manera efectiva. Por lo tanto, reconoció que el derecho a la personalidad jurídica, conforme al artículo 12 de la CDPD, implica no negar su capacidad legal y proporcionar apoyo para la toma de decisiones con efectos legales. En este mismo sentido, denegar la capacidad jurídica </w:t>
      </w:r>
      <w:r>
        <w:rPr>
          <w:rFonts w:eastAsia="Arial Unicode MS" w:cs="Arial Unicode MS"/>
        </w:rPr>
        <w:lastRenderedPageBreak/>
        <w:t>a estas personas o privarlas de libertad sin consentimiento constituye discriminación</w:t>
      </w:r>
      <w:r>
        <w:rPr>
          <w:rStyle w:val="None"/>
          <w:vertAlign w:val="superscript"/>
        </w:rPr>
        <w:footnoteReference w:id="310"/>
      </w:r>
      <w:r>
        <w:rPr>
          <w:rFonts w:eastAsia="Arial Unicode MS" w:cs="Arial Unicode MS"/>
        </w:rPr>
        <w:t>.</w:t>
      </w:r>
    </w:p>
    <w:p w14:paraId="3AA38A42" w14:textId="77777777" w:rsidR="001A105D" w:rsidRDefault="00000000">
      <w:pPr>
        <w:pStyle w:val="NoSpacing"/>
        <w:numPr>
          <w:ilvl w:val="0"/>
          <w:numId w:val="33"/>
        </w:numPr>
      </w:pPr>
      <w:r>
        <w:rPr>
          <w:rFonts w:eastAsia="Arial Unicode MS" w:cs="Arial Unicode MS"/>
        </w:rPr>
        <w:t>La Corte IDH ha ido más allá y estableció el deber estatal de regular y fiscalizar el servicio de salud prestado por terceros, enfocándose en la atención médica de personas con discapacidad psicosocial bajo los estándares de integridad personal y dignidad</w:t>
      </w:r>
      <w:r>
        <w:rPr>
          <w:rStyle w:val="None"/>
          <w:vertAlign w:val="superscript"/>
        </w:rPr>
        <w:footnoteReference w:id="311"/>
      </w:r>
      <w:r>
        <w:rPr>
          <w:rFonts w:eastAsia="Arial Unicode MS" w:cs="Arial Unicode MS"/>
        </w:rPr>
        <w:t>. De ese modo, determinó que se debe garantizar una atención médica eficaz y promover la salud mental de las personas, considerando su situación de vulnerabilidad. Al mismo tiempo, determinó que todo tratamiento de salud brindado en este marco debe respetar la dignidad y autonomía de la persona, reconociendo su capacidad para expresar su voluntad</w:t>
      </w:r>
      <w:r>
        <w:rPr>
          <w:rStyle w:val="None"/>
          <w:vertAlign w:val="superscript"/>
        </w:rPr>
        <w:footnoteReference w:id="312"/>
      </w:r>
      <w:r>
        <w:rPr>
          <w:rFonts w:eastAsia="Arial Unicode MS" w:cs="Arial Unicode MS"/>
        </w:rPr>
        <w:t>. La sujeción física indebida constituye una violación de la dignidad y el derecho a la integridad física de las personas con discapacidad</w:t>
      </w:r>
      <w:r>
        <w:rPr>
          <w:rStyle w:val="None"/>
          <w:vertAlign w:val="superscript"/>
        </w:rPr>
        <w:footnoteReference w:id="313"/>
      </w:r>
      <w:r>
        <w:rPr>
          <w:rFonts w:eastAsia="Arial Unicode MS" w:cs="Arial Unicode MS"/>
        </w:rPr>
        <w:t xml:space="preserve">. </w:t>
      </w:r>
    </w:p>
    <w:p w14:paraId="2EFBC930" w14:textId="77777777" w:rsidR="001A105D" w:rsidRDefault="00000000">
      <w:pPr>
        <w:pStyle w:val="NoSpacing"/>
        <w:numPr>
          <w:ilvl w:val="0"/>
          <w:numId w:val="33"/>
        </w:numPr>
      </w:pPr>
      <w:r>
        <w:rPr>
          <w:rFonts w:eastAsia="Arial Unicode MS" w:cs="Arial Unicode MS"/>
        </w:rPr>
        <w:t xml:space="preserve">La CIDH advierte que la institucionalización involuntaria y el tratamiento forzoso afectan principalmente a personas con discapacidad psicosocial, intelectual o múltiple. Esta afectación ocurre debido al desconocimiento por parte de los Estados del derecho a la capacidad jurídica de las personas con discapacidad, que se encuentra reconocido en el artículo 12 de la CDPD y que se refiere, esencialmente, al derecho de las personas a tomar sus propias decisiones conforme a su voluntad y preferencias, cualquiera sea su diagnóstico médico. </w:t>
      </w:r>
      <w:r>
        <w:rPr>
          <w:rFonts w:eastAsia="Arial Unicode MS" w:cs="Arial Unicode MS"/>
        </w:rPr>
        <w:lastRenderedPageBreak/>
        <w:t>Este desconocimiento se da en especial, en el momento de otorgar el consentimiento informado en el contexto de servicios de salud mental durante la aplicación de figuras como la tutela y curatela, y sobre la base de supuestos sobre la “capacidad mental” de la persona</w:t>
      </w:r>
      <w:r>
        <w:rPr>
          <w:rStyle w:val="None"/>
          <w:vertAlign w:val="superscript"/>
        </w:rPr>
        <w:footnoteReference w:id="314"/>
      </w:r>
      <w:r>
        <w:rPr>
          <w:rFonts w:eastAsia="Arial Unicode MS" w:cs="Arial Unicode MS"/>
        </w:rPr>
        <w:t>.</w:t>
      </w:r>
    </w:p>
    <w:p w14:paraId="0C620DA8" w14:textId="77777777" w:rsidR="001A105D" w:rsidRDefault="00000000">
      <w:pPr>
        <w:pStyle w:val="NoSpacing"/>
        <w:numPr>
          <w:ilvl w:val="0"/>
          <w:numId w:val="33"/>
        </w:numPr>
      </w:pPr>
      <w:r>
        <w:rPr>
          <w:rFonts w:eastAsia="Arial Unicode MS" w:cs="Arial Unicode MS"/>
        </w:rPr>
        <w:t xml:space="preserve">Por otro lado, la institucionalización involuntaria y el tratamiento forzoso pueden ocurrir debido a la presencia de figuras legales como el internamiento compulsorio o de urgencia, presentes en las legislaciones civiles y de salud mental. Estas medidas a menudo están asociadas con estigmas y prejuicios hacia las personas con discapacidad psicosocial. Además, se justifican con el argumento del "mayor beneficio para la persona", el cual a veces se basa en criterios externos que no tienen en cuenta las experiencias y preferencias de la propia persona. Estos paradigmas estigmatizantes subestiman la humanidad de las personas con discapacidad y subvaloran sus derechos y autonomía. </w:t>
      </w:r>
    </w:p>
    <w:p w14:paraId="28B2A9FE" w14:textId="77777777" w:rsidR="001A105D" w:rsidRDefault="00000000">
      <w:pPr>
        <w:pStyle w:val="NoSpacing"/>
        <w:numPr>
          <w:ilvl w:val="0"/>
          <w:numId w:val="33"/>
        </w:numPr>
      </w:pPr>
      <w:r>
        <w:rPr>
          <w:rFonts w:eastAsia="Arial Unicode MS" w:cs="Arial Unicode MS"/>
        </w:rPr>
        <w:t xml:space="preserve">Sobre el tema, la ex Relatora Especial sobre los Derechos de las Personas con Discapacidad de la ONU expresó que las leyes de salud mental que permiten la privación de libertad involuntaria, el tratamiento forzoso y la medicación compulsiva son contrarias a la Convención sobre los Derechos de las Personas con Discapacidad, así como al derecho a la capacidad jurídica de estas personas. Igualmente, propuso que </w:t>
      </w:r>
      <w:r>
        <w:rPr>
          <w:rFonts w:eastAsia="Arial Unicode MS" w:cs="Arial Unicode MS"/>
        </w:rPr>
        <w:lastRenderedPageBreak/>
        <w:t>la salud mental se aborde en hospitales comunes y centros comunitarios, sin discriminación, una vez que crear un régimen legal diferente para personas con discapacidad psicosocial viola el derecho a la igualdad según la Convención. De modo que la regulación de los servicios de salud mental debe centrarse en la calidad y la aceptabilidad, asegurando que las personas con discapacidad psicosocial gocen de los mismos derechos y libertades que las demás, incluyendo la capacidad jurídica y la libertad y seguridad personal</w:t>
      </w:r>
      <w:r>
        <w:rPr>
          <w:rStyle w:val="None"/>
          <w:vertAlign w:val="superscript"/>
        </w:rPr>
        <w:footnoteReference w:id="315"/>
      </w:r>
      <w:r>
        <w:rPr>
          <w:rFonts w:eastAsia="Arial Unicode MS" w:cs="Arial Unicode MS"/>
        </w:rPr>
        <w:t>.</w:t>
      </w:r>
    </w:p>
    <w:p w14:paraId="69304572" w14:textId="77777777" w:rsidR="001A105D" w:rsidRDefault="00000000">
      <w:pPr>
        <w:pStyle w:val="NoSpacing"/>
        <w:numPr>
          <w:ilvl w:val="0"/>
          <w:numId w:val="33"/>
        </w:numPr>
      </w:pPr>
      <w:r>
        <w:t>Como se detalla en el Capítulo Cuarto de este informe, la mayoría de los Estados en la región continúan restringiendo la capacidad jurídica de las personas con discapacidad, especialmente basándose los estigmas relacionados con la salud mental. Además, muchos países permiten el internamiento involuntario y el tratamiento forzoso de personas con discapacidad psicosocial, intelectual o múltiple, incluidas mujeres con discapacidad, utilizando métodos coercitivos y violencia física, como la esterilización forzosa y la terapia electroconvulsiva. La CIDH considera que estas prácticas pueden caracterizarse como tratos crueles, inhumanos y degradantes según el derecho internacional de los derechos humanos.</w:t>
      </w:r>
    </w:p>
    <w:p w14:paraId="7BE50DE3" w14:textId="77777777" w:rsidR="001A105D" w:rsidRDefault="00000000">
      <w:pPr>
        <w:pStyle w:val="NoSpacing"/>
        <w:numPr>
          <w:ilvl w:val="0"/>
          <w:numId w:val="33"/>
        </w:numPr>
      </w:pPr>
      <w:r>
        <w:rPr>
          <w:rFonts w:eastAsia="Arial Unicode MS" w:cs="Arial Unicode MS"/>
        </w:rPr>
        <w:t xml:space="preserve">Además, de acuerdo con la Corte Interamericana y el artículo 5.2 de la Convención Americana, un acto constitutivo de tortura implica maltrato intencional que cause severos sufrimientos físicos o mentales, con cualquier fin o propósito. La Corte reconoció que la violación del derecho a la integridad física y </w:t>
      </w:r>
      <w:r>
        <w:rPr>
          <w:rFonts w:eastAsia="Arial Unicode MS" w:cs="Arial Unicode MS"/>
        </w:rPr>
        <w:lastRenderedPageBreak/>
        <w:t>psíquica abarca desde la tortura hasta otros tratos crueles, inhumanos o degradantes, cuyas secuelas varían según diversos factores de la persona. Por tanto, al evaluar si la integridad personal fue vulnerada, es esencial considerar las características individuales de la víctima, como la duración de los tratos, la edad, el sexo, la salud, el contexto y la vulnerabilidad, ya que estas pueden influir en la percepción de la realidad de la persona y aumentar el sufrimiento y la humillación experimentados durante ciertos tratamientos</w:t>
      </w:r>
      <w:r>
        <w:rPr>
          <w:rStyle w:val="None"/>
          <w:vertAlign w:val="superscript"/>
        </w:rPr>
        <w:footnoteReference w:id="316"/>
      </w:r>
      <w:r>
        <w:rPr>
          <w:rFonts w:eastAsia="Arial Unicode MS" w:cs="Arial Unicode MS"/>
        </w:rPr>
        <w:t>.</w:t>
      </w:r>
    </w:p>
    <w:p w14:paraId="1D52B7C0" w14:textId="77777777" w:rsidR="001A105D" w:rsidRDefault="00000000">
      <w:pPr>
        <w:pStyle w:val="NoSpacing"/>
        <w:numPr>
          <w:ilvl w:val="0"/>
          <w:numId w:val="33"/>
        </w:numPr>
      </w:pPr>
      <w:r>
        <w:rPr>
          <w:rFonts w:eastAsia="Arial Unicode MS" w:cs="Arial Unicode MS"/>
        </w:rPr>
        <w:t xml:space="preserve">La Comisión Interamericana reitera que las prácticas regulatorias que afectan los derechos fundamentales, como la capacidad jurídica, la libertad y la integridad personal, al permitir el internamiento y tratamiento médico forzoso de personas con discapacidad sin su consentimiento, constituyen una violación a su integridad y dignidad. </w:t>
      </w:r>
    </w:p>
    <w:p w14:paraId="09600503" w14:textId="77777777" w:rsidR="001A105D" w:rsidRDefault="00000000">
      <w:pPr>
        <w:pStyle w:val="NoSpacing"/>
        <w:numPr>
          <w:ilvl w:val="0"/>
          <w:numId w:val="33"/>
        </w:numPr>
      </w:pPr>
      <w:r>
        <w:t>En ese contexto, se llama a los Estados de la región a derogar estas regulaciones que, al reflejar el modelo médico de la discapacidad, menoscaban la dignidad humana y niegan a las personas con discapacidad el derecho a decisiones autónomas sobre su vida, libertad y cuerpo, así como el acceso igualitario a la justicia de manera informada e independiente.</w:t>
      </w:r>
    </w:p>
    <w:p w14:paraId="43AD09C6" w14:textId="77777777" w:rsidR="001A105D" w:rsidRDefault="00000000">
      <w:pPr>
        <w:pStyle w:val="Heading3"/>
        <w:numPr>
          <w:ilvl w:val="0"/>
          <w:numId w:val="68"/>
        </w:numPr>
      </w:pPr>
      <w:bookmarkStart w:id="21" w:name="_Toc18"/>
      <w:r>
        <w:rPr>
          <w:rFonts w:eastAsia="Arial Unicode MS" w:cs="Arial Unicode MS"/>
          <w:lang w:val="es-ES_tradnl"/>
        </w:rPr>
        <w:t xml:space="preserve">Derecho a la </w:t>
      </w:r>
      <w:r>
        <w:rPr>
          <w:rFonts w:eastAsia="Arial Unicode MS" w:cs="Arial Unicode MS"/>
        </w:rPr>
        <w:t>e</w:t>
      </w:r>
      <w:proofErr w:type="spellStart"/>
      <w:r>
        <w:rPr>
          <w:rFonts w:eastAsia="Arial Unicode MS" w:cs="Arial Unicode MS"/>
          <w:lang w:val="es-ES_tradnl"/>
        </w:rPr>
        <w:t>ducació</w:t>
      </w:r>
      <w:proofErr w:type="spellEnd"/>
      <w:r>
        <w:rPr>
          <w:rFonts w:eastAsia="Arial Unicode MS" w:cs="Arial Unicode MS"/>
        </w:rPr>
        <w:t xml:space="preserve">n </w:t>
      </w:r>
      <w:bookmarkEnd w:id="21"/>
    </w:p>
    <w:p w14:paraId="605CC7EB" w14:textId="77777777" w:rsidR="001A105D" w:rsidRDefault="00000000">
      <w:pPr>
        <w:pStyle w:val="NoSpacing"/>
        <w:numPr>
          <w:ilvl w:val="0"/>
          <w:numId w:val="69"/>
        </w:numPr>
      </w:pPr>
      <w:r>
        <w:rPr>
          <w:rFonts w:eastAsia="Arial Unicode MS" w:cs="Arial Unicode MS"/>
        </w:rPr>
        <w:t xml:space="preserve">La educación de las personas con discapacidad ha respondido a cuatro paradigmas. El primero, de la exclusión, en el que estas personas no accedían a espacios educativos. El segundo modelo trajo la posibilidad de educación tras un proceso de </w:t>
      </w:r>
      <w:r>
        <w:rPr>
          <w:rFonts w:eastAsia="Arial Unicode MS" w:cs="Arial Unicode MS"/>
        </w:rPr>
        <w:lastRenderedPageBreak/>
        <w:t xml:space="preserve">segregación, estableciendo espacios especiales destinados a su educación. El tercer modelo se vincula con la idea de integración, donde las personas con discapacidad acuden a las instituciones educativas regulares, pero son forzadas a adaptarse a los requisitos y estándares “normalizados” al interior de ellas, por lo cual se encuentran en situación de desigualdad estructural en un sistema educativo que niega u omite su diversidad. </w:t>
      </w:r>
    </w:p>
    <w:p w14:paraId="626E7E27" w14:textId="77777777" w:rsidR="001A105D" w:rsidRDefault="00000000">
      <w:pPr>
        <w:pStyle w:val="NoSpacing"/>
        <w:numPr>
          <w:ilvl w:val="0"/>
          <w:numId w:val="33"/>
        </w:numPr>
      </w:pPr>
      <w:r>
        <w:rPr>
          <w:rFonts w:eastAsia="Arial Unicode MS" w:cs="Arial Unicode MS"/>
        </w:rPr>
        <w:t>El cuarto paradigma refleja el cambio en la percepción de la discapacidad e involucra el concepto de educación inclusiva. Este modelo se basa en la idea de que todas las personas son diversas, con distintos ritmos y modos de aprender y con la misma importancia en la escuela, y deben y pueden compartir espacios en un proceso de enseñanza-aprendizaje colaborativo y horizontal. Si alguien presenta dificultades, el énfasis recae en el entorno, que debe modificarse para adaptarse a las necesidades de la persona.</w:t>
      </w:r>
    </w:p>
    <w:p w14:paraId="43EA7AB4" w14:textId="77777777" w:rsidR="001A105D" w:rsidRDefault="00000000">
      <w:pPr>
        <w:pStyle w:val="NoSpacing"/>
        <w:numPr>
          <w:ilvl w:val="0"/>
          <w:numId w:val="33"/>
        </w:numPr>
      </w:pPr>
      <w:r>
        <w:t>Este último concepto del derecho a la educación está consagrado tanto a nivel internacional como regional, en los artículos III.1.a) y 2.b) de la CIADDIS y el artículo 24 de la CDPD</w:t>
      </w:r>
      <w:r>
        <w:rPr>
          <w:rStyle w:val="None"/>
          <w:vertAlign w:val="superscript"/>
        </w:rPr>
        <w:footnoteReference w:id="317"/>
      </w:r>
      <w:r>
        <w:t xml:space="preserve">. Leídos de manera conjunta, este derecho entraña, esencialmente, la no discriminación hacia las personas con discapacidad, sobre la base de asegurar la igualdad de oportunidades y condiciones en el acceso y disfrute de una educación inclusiva y de calidad en todos los niveles, incluyendo la enseñanza a lo largo de la vida, promoviendo el </w:t>
      </w:r>
      <w:r>
        <w:lastRenderedPageBreak/>
        <w:t>desarrollo pleno del potencial humano, la dignidad y la autoestima, y el respeto a los derechos humanos y la diversidad. Implica crear entornos educativos que se adapten a la diversidad de los estudiantes, fomentando su participación efectiva en la sociedad en igualdad con las demás personas</w:t>
      </w:r>
      <w:r>
        <w:rPr>
          <w:rStyle w:val="None"/>
          <w:vertAlign w:val="superscript"/>
        </w:rPr>
        <w:footnoteReference w:id="318"/>
      </w:r>
      <w:r>
        <w:t>.</w:t>
      </w:r>
    </w:p>
    <w:p w14:paraId="157231BF" w14:textId="77777777" w:rsidR="001A105D" w:rsidRDefault="00000000">
      <w:pPr>
        <w:pStyle w:val="NoSpacing"/>
        <w:numPr>
          <w:ilvl w:val="0"/>
          <w:numId w:val="33"/>
        </w:numPr>
      </w:pPr>
      <w:r>
        <w:rPr>
          <w:rStyle w:val="None"/>
          <w:rFonts w:eastAsia="Arial Unicode MS" w:cs="Arial Unicode MS"/>
        </w:rPr>
        <w:t>Los estándares internacionales de la CDPD establecen múltiples obligaciones para garantizar, de manera progresiva y en igualdad de condiciones, una educación inclusiva para las personas con discapacidad.</w:t>
      </w:r>
      <w:r>
        <w:rPr>
          <w:rStyle w:val="None"/>
          <w:rFonts w:eastAsia="Arial Unicode MS" w:cs="Arial Unicode MS"/>
          <w:lang w:val="en-US"/>
        </w:rPr>
        <w:t xml:space="preserve"> </w:t>
      </w:r>
      <w:r>
        <w:rPr>
          <w:rStyle w:val="None"/>
          <w:rFonts w:eastAsia="Arial Unicode MS" w:cs="Arial Unicode MS"/>
        </w:rPr>
        <w:t>Estas incluyen la participación plena de éstas en el sistema educativo general desde la educación primaria hasta la superior, y el aprendizaje a lo largo de la vida, con ajustes razonables para facilitar que este aprendizaje sea efectivo. También involucra el apoyo personalizado en entornos que maximicen su identidad cultural y que promuevan su desarrollo académico y social</w:t>
      </w:r>
      <w:r>
        <w:rPr>
          <w:rStyle w:val="None"/>
          <w:vertAlign w:val="superscript"/>
        </w:rPr>
        <w:footnoteReference w:id="319"/>
      </w:r>
      <w:r>
        <w:rPr>
          <w:rStyle w:val="None"/>
          <w:rFonts w:eastAsia="Arial Unicode MS" w:cs="Arial Unicode MS"/>
        </w:rPr>
        <w:t>.</w:t>
      </w:r>
    </w:p>
    <w:p w14:paraId="58EB2482" w14:textId="77777777" w:rsidR="001A105D" w:rsidRDefault="00000000">
      <w:pPr>
        <w:pStyle w:val="NoSpacing"/>
        <w:numPr>
          <w:ilvl w:val="0"/>
          <w:numId w:val="33"/>
        </w:numPr>
      </w:pPr>
      <w:r>
        <w:rPr>
          <w:rFonts w:eastAsia="Arial Unicode MS" w:cs="Arial Unicode MS"/>
        </w:rPr>
        <w:t>A pesar de esto, en la práctica persiste la coexistencia de los modelos de segregación e “integración” de personas con discapacidad en los sistemas educativos debido a la falta de ajuste de las leyes educativas nacionales a los estándares de derechos de las personas con discapacidad</w:t>
      </w:r>
      <w:r>
        <w:rPr>
          <w:rStyle w:val="None"/>
          <w:vertAlign w:val="superscript"/>
        </w:rPr>
        <w:footnoteReference w:id="320"/>
      </w:r>
      <w:r>
        <w:rPr>
          <w:rFonts w:eastAsia="Arial Unicode MS" w:cs="Arial Unicode MS"/>
        </w:rPr>
        <w:t xml:space="preserve"> Esto genera sistemas educativos híbridos que combinan la educación inclusiva con la segregación, comenzando con medidas de accesibilidad y recurriendo a la segregación si el modelo de inclusión no resulta efectivo.</w:t>
      </w:r>
    </w:p>
    <w:p w14:paraId="4FE46AF0" w14:textId="77777777" w:rsidR="001A105D" w:rsidRDefault="00000000">
      <w:pPr>
        <w:pStyle w:val="NoSpacing"/>
        <w:numPr>
          <w:ilvl w:val="0"/>
          <w:numId w:val="33"/>
        </w:numPr>
      </w:pPr>
      <w:r>
        <w:rPr>
          <w:rFonts w:eastAsia="Arial Unicode MS" w:cs="Arial Unicode MS"/>
        </w:rPr>
        <w:lastRenderedPageBreak/>
        <w:t>En Argentina, se han incorporado algunos elementos de la educación inclusiva, como la posibilidad de contar con sistemas de apoyo adaptados a las necesidades individuales de cada estudiante, así como la implementación de un Proyecto Pedagógico Individual para la Inclusión, el cual establece los criterios para certificar el egreso de cada estudiante de nivel educativo.</w:t>
      </w:r>
      <w:r>
        <w:rPr>
          <w:rStyle w:val="None"/>
          <w:vertAlign w:val="superscript"/>
        </w:rPr>
        <w:footnoteReference w:id="321"/>
      </w:r>
      <w:r>
        <w:rPr>
          <w:rFonts w:eastAsia="Arial Unicode MS" w:cs="Arial Unicode MS"/>
        </w:rPr>
        <w:t xml:space="preserve"> Estos estándares se aplican dentro de las aulas de educación especial en el país</w:t>
      </w:r>
      <w:r>
        <w:rPr>
          <w:rStyle w:val="None"/>
          <w:vertAlign w:val="superscript"/>
        </w:rPr>
        <w:footnoteReference w:id="322"/>
      </w:r>
      <w:r>
        <w:rPr>
          <w:rFonts w:eastAsia="Arial Unicode MS" w:cs="Arial Unicode MS"/>
        </w:rPr>
        <w:t>.</w:t>
      </w:r>
    </w:p>
    <w:p w14:paraId="08E75F9E" w14:textId="77777777" w:rsidR="001A105D" w:rsidRDefault="00000000">
      <w:pPr>
        <w:pStyle w:val="NoSpacing"/>
        <w:numPr>
          <w:ilvl w:val="0"/>
          <w:numId w:val="33"/>
        </w:numPr>
      </w:pPr>
      <w:r>
        <w:rPr>
          <w:rFonts w:eastAsia="Arial Unicode MS" w:cs="Arial Unicode MS"/>
        </w:rPr>
        <w:t>Por otro lado, en Barbados no existe legislación específica sobre educación inclusiva. No obstante, se han logrado avances en materia de accesibilidad educativa, como la instalación de rampas y baños accesibles. Además, se ha implementado una reforma curricular inclusiva y se han incorporado tecnologías accesibles para personas ciegas</w:t>
      </w:r>
      <w:r>
        <w:rPr>
          <w:rStyle w:val="None"/>
          <w:vertAlign w:val="superscript"/>
        </w:rPr>
        <w:footnoteReference w:id="323"/>
      </w:r>
      <w:r>
        <w:rPr>
          <w:rFonts w:eastAsia="Arial Unicode MS" w:cs="Arial Unicode MS"/>
        </w:rPr>
        <w:t>.</w:t>
      </w:r>
    </w:p>
    <w:p w14:paraId="2F4BEF7D" w14:textId="77777777" w:rsidR="001A105D" w:rsidRDefault="00000000">
      <w:pPr>
        <w:pStyle w:val="NoSpacing"/>
        <w:numPr>
          <w:ilvl w:val="0"/>
          <w:numId w:val="33"/>
        </w:numPr>
      </w:pPr>
      <w:r>
        <w:rPr>
          <w:rFonts w:eastAsia="Arial Unicode MS" w:cs="Arial Unicode MS"/>
        </w:rPr>
        <w:t>En el contexto de Bahamas, se reconoce la importancia de la educación inclusiva</w:t>
      </w:r>
      <w:r>
        <w:rPr>
          <w:rStyle w:val="None"/>
          <w:vertAlign w:val="superscript"/>
        </w:rPr>
        <w:footnoteReference w:id="324"/>
      </w:r>
      <w:r>
        <w:rPr>
          <w:rFonts w:eastAsia="Arial Unicode MS" w:cs="Arial Unicode MS"/>
        </w:rPr>
        <w:t xml:space="preserve"> y se efectiviza en la práctica a nivel de la </w:t>
      </w:r>
      <w:r>
        <w:rPr>
          <w:rFonts w:eastAsia="Arial Unicode MS" w:cs="Arial Unicode MS"/>
        </w:rPr>
        <w:lastRenderedPageBreak/>
        <w:t>educación básica.</w:t>
      </w:r>
      <w:r>
        <w:rPr>
          <w:rStyle w:val="None"/>
          <w:vertAlign w:val="superscript"/>
        </w:rPr>
        <w:footnoteReference w:id="325"/>
      </w:r>
      <w:r>
        <w:rPr>
          <w:rFonts w:eastAsia="Arial Unicode MS" w:cs="Arial Unicode MS"/>
        </w:rPr>
        <w:t xml:space="preserve"> Sin embargo, para los niveles educativos superiores, prevalece el modelo de educación especial. Esto afecta la trayectoria educativa de las personas con discapacidad, ya que, al finalizar su educación básica, se ven obligadas a integrarse en un sistema educativo especial. Este sistema, por lo general, no sigue el currículo común y no facilita la continuidad de los estudios, lo que representa un obstáculo significativo para su desarrollo educativo.</w:t>
      </w:r>
    </w:p>
    <w:p w14:paraId="0F2F6601" w14:textId="77777777" w:rsidR="001A105D" w:rsidRDefault="00000000">
      <w:pPr>
        <w:pStyle w:val="NoSpacing"/>
        <w:numPr>
          <w:ilvl w:val="0"/>
          <w:numId w:val="33"/>
        </w:numPr>
      </w:pPr>
      <w:r>
        <w:rPr>
          <w:rFonts w:eastAsia="Arial Unicode MS" w:cs="Arial Unicode MS"/>
        </w:rPr>
        <w:t>Respecto al segundo modelo que se aplica en la región, la modalidad híbrida o paralela en la que coexisten ambos sistemas, legislaciones como la de Chile reconocen el derecho de acceso a una educación regular o especial, contemplando un sistema híbrido en el que la educación especial es el último recurso</w:t>
      </w:r>
      <w:r>
        <w:rPr>
          <w:rStyle w:val="None"/>
          <w:vertAlign w:val="superscript"/>
        </w:rPr>
        <w:footnoteReference w:id="326"/>
      </w:r>
      <w:r>
        <w:rPr>
          <w:rFonts w:eastAsia="Arial Unicode MS" w:cs="Arial Unicode MS"/>
        </w:rPr>
        <w:t>. Así, los centros educativos regulares deben adecuar su currículo con el fin de integrar a las personas con discapacidad en el aula regular. Sin embargo, cuando, según el criterio de equipos multidisciplinarios de evaluación, ello no es posible, deben impartirse clases "especiales", ya sea en el centro educativo regular o en escuelas especiales</w:t>
      </w:r>
      <w:r>
        <w:rPr>
          <w:rStyle w:val="None"/>
          <w:vertAlign w:val="superscript"/>
        </w:rPr>
        <w:footnoteReference w:id="327"/>
      </w:r>
      <w:r>
        <w:rPr>
          <w:rFonts w:eastAsia="Arial Unicode MS" w:cs="Arial Unicode MS"/>
        </w:rPr>
        <w:t>.</w:t>
      </w:r>
    </w:p>
    <w:p w14:paraId="2868F4CE" w14:textId="77777777" w:rsidR="001A105D" w:rsidRDefault="00000000">
      <w:pPr>
        <w:pStyle w:val="NoSpacing"/>
        <w:numPr>
          <w:ilvl w:val="0"/>
          <w:numId w:val="33"/>
        </w:numPr>
      </w:pPr>
      <w:r>
        <w:rPr>
          <w:rFonts w:eastAsia="Arial Unicode MS" w:cs="Arial Unicode MS"/>
        </w:rPr>
        <w:t xml:space="preserve">De manera similar, México reconoció el derecho a la educación inclusiva y, conforme a su régimen de transición, la educación </w:t>
      </w:r>
      <w:r>
        <w:rPr>
          <w:rFonts w:eastAsia="Arial Unicode MS" w:cs="Arial Unicode MS"/>
        </w:rPr>
        <w:lastRenderedPageBreak/>
        <w:t>especial únicamente se imparte en situaciones excepcionales</w:t>
      </w:r>
      <w:r>
        <w:rPr>
          <w:rStyle w:val="None"/>
          <w:vertAlign w:val="superscript"/>
        </w:rPr>
        <w:footnoteReference w:id="328"/>
      </w:r>
      <w:r>
        <w:rPr>
          <w:rFonts w:eastAsia="Arial Unicode MS" w:cs="Arial Unicode MS"/>
        </w:rPr>
        <w:t>. Además, la resolución al Amparo en revisión 272/2019, de la Suprema Corte de Justicia de la Nación, reconoció la obligación de las autoridades educativas de implementar medidas de accesibilidad y ajustes razonables para que una niña indígena con discapacidad cursara educación básica de manera regular en igualdad con el resto del estudiantado</w:t>
      </w:r>
      <w:r>
        <w:rPr>
          <w:rStyle w:val="None"/>
          <w:vertAlign w:val="superscript"/>
        </w:rPr>
        <w:footnoteReference w:id="329"/>
      </w:r>
      <w:r>
        <w:rPr>
          <w:rFonts w:eastAsia="Arial Unicode MS" w:cs="Arial Unicode MS"/>
        </w:rPr>
        <w:t>.</w:t>
      </w:r>
    </w:p>
    <w:p w14:paraId="5D843E67" w14:textId="77777777" w:rsidR="001A105D" w:rsidRDefault="00000000">
      <w:pPr>
        <w:pStyle w:val="NoSpacing"/>
        <w:numPr>
          <w:ilvl w:val="0"/>
          <w:numId w:val="33"/>
        </w:numPr>
      </w:pPr>
      <w:r>
        <w:rPr>
          <w:rFonts w:eastAsia="Arial Unicode MS" w:cs="Arial Unicode MS"/>
        </w:rPr>
        <w:t>A su vez, persisten contradicciones en la legislación mexicana, que establece la educación especial como un modelo que coexiste con la educación inclusiva</w:t>
      </w:r>
      <w:r>
        <w:rPr>
          <w:rStyle w:val="None"/>
          <w:vertAlign w:val="superscript"/>
        </w:rPr>
        <w:footnoteReference w:id="330"/>
      </w:r>
      <w:r>
        <w:rPr>
          <w:rFonts w:eastAsia="Arial Unicode MS" w:cs="Arial Unicode MS"/>
        </w:rPr>
        <w:t xml:space="preserve">. De esa manera, la educación especial se encuentra disponible para todos los tipos, niveles, modalidades y opciones educativas, proporcionándose en condiciones necesarias, tras la decisión y previa valoración de los educandos, los padres de familia o </w:t>
      </w:r>
      <w:r>
        <w:rPr>
          <w:rFonts w:eastAsia="Arial Unicode MS" w:cs="Arial Unicode MS"/>
        </w:rPr>
        <w:lastRenderedPageBreak/>
        <w:t>tutores, el personal docente y, en su caso, por una condición de salud</w:t>
      </w:r>
      <w:r>
        <w:rPr>
          <w:rStyle w:val="None"/>
          <w:vertAlign w:val="superscript"/>
        </w:rPr>
        <w:footnoteReference w:id="331"/>
      </w:r>
      <w:r>
        <w:rPr>
          <w:rFonts w:eastAsia="Arial Unicode MS" w:cs="Arial Unicode MS"/>
        </w:rPr>
        <w:t xml:space="preserve">. </w:t>
      </w:r>
    </w:p>
    <w:p w14:paraId="355ADEC5" w14:textId="77777777" w:rsidR="001A105D" w:rsidRDefault="00000000">
      <w:pPr>
        <w:pStyle w:val="NoSpacing"/>
        <w:numPr>
          <w:ilvl w:val="0"/>
          <w:numId w:val="33"/>
        </w:numPr>
      </w:pPr>
      <w:r>
        <w:t xml:space="preserve">Según lo informado por organizaciones de la sociedad civil de personas con discapacidad de México, estas disposiciones, en general, no son consultadas ni decididas con la </w:t>
      </w:r>
      <w:proofErr w:type="gramStart"/>
      <w:r>
        <w:t>participación activa</w:t>
      </w:r>
      <w:proofErr w:type="gramEnd"/>
      <w:r>
        <w:t xml:space="preserve"> y vinculante de las personas con discapacidad</w:t>
      </w:r>
      <w:r>
        <w:rPr>
          <w:rStyle w:val="None"/>
          <w:vertAlign w:val="superscript"/>
        </w:rPr>
        <w:footnoteReference w:id="332"/>
      </w:r>
      <w:r>
        <w:t>.</w:t>
      </w:r>
    </w:p>
    <w:p w14:paraId="7A20EDE0" w14:textId="77777777" w:rsidR="001A105D" w:rsidRDefault="00000000">
      <w:pPr>
        <w:pStyle w:val="NoSpacing"/>
        <w:numPr>
          <w:ilvl w:val="0"/>
          <w:numId w:val="33"/>
        </w:numPr>
      </w:pPr>
      <w:r>
        <w:t>En relación con el tercer escenario legislativo en la región, que permite una coexistencia plena de ambos sistemas educativos, Bolivia reconoce el derecho a la educación inclusiva de las personas con discapacidad</w:t>
      </w:r>
      <w:r>
        <w:rPr>
          <w:rStyle w:val="None"/>
          <w:vertAlign w:val="superscript"/>
        </w:rPr>
        <w:footnoteReference w:id="333"/>
      </w:r>
      <w:r>
        <w:t>.</w:t>
      </w:r>
      <w:r>
        <w:rPr>
          <w:rStyle w:val="None"/>
          <w:vertAlign w:val="superscript"/>
        </w:rPr>
        <w:t xml:space="preserve"> </w:t>
      </w:r>
      <w:r>
        <w:t>No obstante, la Ley General de Educación mantiene el sistema de educación especial, destinado a responder de manera oportuna y pertinente a las necesidades específicas de personas con discapacidad</w:t>
      </w:r>
      <w:r>
        <w:rPr>
          <w:rStyle w:val="None"/>
          <w:vertAlign w:val="superscript"/>
        </w:rPr>
        <w:footnoteReference w:id="334"/>
      </w:r>
      <w:r>
        <w:t xml:space="preserve">. </w:t>
      </w:r>
    </w:p>
    <w:p w14:paraId="5C52A10F" w14:textId="77777777" w:rsidR="001A105D" w:rsidRDefault="00000000">
      <w:pPr>
        <w:pStyle w:val="NoSpacing"/>
        <w:numPr>
          <w:ilvl w:val="0"/>
          <w:numId w:val="33"/>
        </w:numPr>
      </w:pPr>
      <w:r>
        <w:rPr>
          <w:rFonts w:eastAsia="Arial Unicode MS" w:cs="Arial Unicode MS"/>
        </w:rPr>
        <w:t>En la misma línea, la Ley de la Inclusión de la Persona con Discapacidad de Brasil establece que se garantiza un sistema educativo inclusivo en todos los niveles, incluido el superior</w:t>
      </w:r>
      <w:r>
        <w:rPr>
          <w:rStyle w:val="None"/>
          <w:vertAlign w:val="superscript"/>
        </w:rPr>
        <w:footnoteReference w:id="335"/>
      </w:r>
      <w:r>
        <w:rPr>
          <w:rFonts w:eastAsia="Arial Unicode MS" w:cs="Arial Unicode MS"/>
        </w:rPr>
        <w:t xml:space="preserve">. </w:t>
      </w:r>
      <w:r>
        <w:rPr>
          <w:rFonts w:eastAsia="Arial Unicode MS" w:cs="Arial Unicode MS"/>
        </w:rPr>
        <w:lastRenderedPageBreak/>
        <w:t>Sin embargo, en su legislación educativa, el país aún mantiene vigente la educación especial</w:t>
      </w:r>
      <w:r>
        <w:rPr>
          <w:rStyle w:val="None"/>
          <w:vertAlign w:val="superscript"/>
        </w:rPr>
        <w:footnoteReference w:id="336"/>
      </w:r>
      <w:r>
        <w:rPr>
          <w:rFonts w:eastAsia="Arial Unicode MS" w:cs="Arial Unicode MS"/>
        </w:rPr>
        <w:t>.</w:t>
      </w:r>
    </w:p>
    <w:p w14:paraId="68F9B1DC" w14:textId="77777777" w:rsidR="001A105D" w:rsidRDefault="00000000">
      <w:pPr>
        <w:pStyle w:val="NoSpacing"/>
        <w:numPr>
          <w:ilvl w:val="0"/>
          <w:numId w:val="33"/>
        </w:numPr>
      </w:pPr>
      <w:r>
        <w:rPr>
          <w:rFonts w:eastAsia="Arial Unicode MS" w:cs="Arial Unicode MS"/>
        </w:rPr>
        <w:t>En el contexto del reconocimiento y garantía del modelo de educación inclusiva en todos los niveles educativos en la región, Colombia presenta un avance holístico al considerar una reforma legislativa que incluyó los aspectos de preparación e implementación necesarios para transformar el sistema educativo en uno que sea inclusivo para las personas con discapacidad, asegurando condiciones de igualdad con las demás personas</w:t>
      </w:r>
      <w:r>
        <w:rPr>
          <w:rStyle w:val="None"/>
          <w:vertAlign w:val="superscript"/>
        </w:rPr>
        <w:footnoteReference w:id="337"/>
      </w:r>
      <w:r>
        <w:rPr>
          <w:rFonts w:eastAsia="Arial Unicode MS" w:cs="Arial Unicode MS"/>
        </w:rPr>
        <w:t>.</w:t>
      </w:r>
    </w:p>
    <w:p w14:paraId="4E2936F6" w14:textId="77777777" w:rsidR="001A105D" w:rsidRDefault="00000000">
      <w:pPr>
        <w:pStyle w:val="NoSpacing"/>
        <w:numPr>
          <w:ilvl w:val="0"/>
          <w:numId w:val="33"/>
        </w:numPr>
      </w:pPr>
      <w:r>
        <w:t xml:space="preserve">Este modelo establece el deber de garantizar la educación primaria y secundaria gratuita y obligatoria para las personas con discapacidad bajo un enfoque inclusivo. Para lograr esto, las instituciones educativas deben identificar constantemente las barreras y los requerimientos de accesibilidad, entre otros aspectos. Se adoptan una serie de principios clave para la transformación del sistema educativo y garantizar que la inclusión sea posible. Entre estos principios se encuentra el Diseño Universal para el Aprendizaje (DUA), que implica el diseño de productos, entornos, programas y servicios que puedan ser utilizados por todas las personas en la mayor </w:t>
      </w:r>
      <w:r>
        <w:lastRenderedPageBreak/>
        <w:t>medida posible, sin necesidad de adaptaciones ni diseño especializado</w:t>
      </w:r>
      <w:r>
        <w:rPr>
          <w:rStyle w:val="None"/>
          <w:vertAlign w:val="superscript"/>
        </w:rPr>
        <w:footnoteReference w:id="338"/>
      </w:r>
      <w:r>
        <w:t>.</w:t>
      </w:r>
    </w:p>
    <w:p w14:paraId="1E2E66BE" w14:textId="77777777" w:rsidR="001A105D" w:rsidRDefault="00000000">
      <w:pPr>
        <w:pStyle w:val="NoSpacing"/>
        <w:numPr>
          <w:ilvl w:val="0"/>
          <w:numId w:val="33"/>
        </w:numPr>
      </w:pPr>
      <w:r>
        <w:rPr>
          <w:rFonts w:eastAsia="Arial Unicode MS" w:cs="Arial Unicode MS"/>
        </w:rPr>
        <w:t>El DUA es transversal a los entornos, programas, currículos y servicios educativos. Como propuesta pedagógica, contribuye a que el diseño curricular sea amplio y accesible, reflejado en los objetivos, métodos, materiales, apoyos y evaluaciones formulados según las capacidades y realidades de los estudiantes. Además, la legislación establece que las personas con discapacidad contarán con ajustes razonables definidos en el Plan Individual de Ajustes Razonables, dentro de los espacios, ambientes y actividades escolares, junto con los demás estudiantes</w:t>
      </w:r>
      <w:r>
        <w:rPr>
          <w:rStyle w:val="None"/>
          <w:vertAlign w:val="superscript"/>
        </w:rPr>
        <w:footnoteReference w:id="339"/>
      </w:r>
      <w:r>
        <w:rPr>
          <w:rFonts w:eastAsia="Arial Unicode MS" w:cs="Arial Unicode MS"/>
        </w:rPr>
        <w:t>.</w:t>
      </w:r>
    </w:p>
    <w:p w14:paraId="752845A9" w14:textId="77777777" w:rsidR="001A105D" w:rsidRDefault="00000000">
      <w:pPr>
        <w:pStyle w:val="NoSpacing"/>
        <w:numPr>
          <w:ilvl w:val="0"/>
          <w:numId w:val="33"/>
        </w:numPr>
      </w:pPr>
      <w:r>
        <w:rPr>
          <w:rFonts w:eastAsia="Arial Unicode MS" w:cs="Arial Unicode MS"/>
        </w:rPr>
        <w:t xml:space="preserve">La CIDH destaca que, de este modo, en Colombia se ha dejado de financiar un sistema educativo paralelo o segregado. En su lugar, los recursos se están canalizando hacia la provisión de apoyos a las escuelas regulares. Estos apoyos incluyen la contratación de docentes especializados –incluida la docencia con discapacidad-, intérpretes, modelos lingüísticos, guías intérpretes, mediadores, entre otros recursos necesarios. </w:t>
      </w:r>
    </w:p>
    <w:p w14:paraId="25055EE7" w14:textId="77777777" w:rsidR="001A105D" w:rsidRDefault="00000000">
      <w:pPr>
        <w:pStyle w:val="NoSpacing"/>
        <w:numPr>
          <w:ilvl w:val="0"/>
          <w:numId w:val="33"/>
        </w:numPr>
      </w:pPr>
      <w:r>
        <w:rPr>
          <w:rFonts w:eastAsia="Arial Unicode MS" w:cs="Arial Unicode MS"/>
        </w:rPr>
        <w:t xml:space="preserve">En lo que respecta a la educación superior, algunos países han reconocido la importancia de la educación inclusiva en este </w:t>
      </w:r>
      <w:r>
        <w:rPr>
          <w:rFonts w:eastAsia="Arial Unicode MS" w:cs="Arial Unicode MS"/>
        </w:rPr>
        <w:lastRenderedPageBreak/>
        <w:t>nivel. Por ejemplo, en Argentina, se establece la obligación para las instituciones estatales de educación superior de implementar medidas de accesibilidad. Estas medidas incluyen el acceso al entorno físico, servicios de interpretación en lengua de señas y el suministro de apoyos técnicos adecuados para igualar las oportunidades de las personas con discapacidad</w:t>
      </w:r>
      <w:r>
        <w:rPr>
          <w:rStyle w:val="None"/>
          <w:vertAlign w:val="superscript"/>
        </w:rPr>
        <w:footnoteReference w:id="340"/>
      </w:r>
      <w:r>
        <w:rPr>
          <w:rFonts w:eastAsia="Arial Unicode MS" w:cs="Arial Unicode MS"/>
        </w:rPr>
        <w:t>.</w:t>
      </w:r>
    </w:p>
    <w:p w14:paraId="5A169D28" w14:textId="77777777" w:rsidR="001A105D" w:rsidRDefault="00000000">
      <w:pPr>
        <w:pStyle w:val="NoSpacing"/>
        <w:numPr>
          <w:ilvl w:val="0"/>
          <w:numId w:val="33"/>
        </w:numPr>
      </w:pPr>
      <w:r>
        <w:rPr>
          <w:rFonts w:eastAsia="Arial Unicode MS" w:cs="Arial Unicode MS"/>
        </w:rPr>
        <w:t>En Colombia, se han desarrollado las "Orientaciones para promover la trayectoria educativa desde la educación media hasta la educación superior, en el marco de la educación inclusiva". Estas orientaciones están disponibles para los establecimientos educativos, que pueden adaptarlas según sus necesidades y autonomía institucional, en concordancia con el enfoque del Diseño Universal para el Aprendizaje. Este documento proporciona las bases para la atención educativa de adolescentes, jóvenes y adultos con discapacidad, asegurando su derecho a una educación de calidad basada en la inclusión y la equidad durante su transición educativa desde la educación media hasta la educación superior o la formación para el trabajo y el desarrollo humano</w:t>
      </w:r>
      <w:r>
        <w:rPr>
          <w:rStyle w:val="None"/>
          <w:vertAlign w:val="superscript"/>
        </w:rPr>
        <w:footnoteReference w:id="341"/>
      </w:r>
      <w:r>
        <w:rPr>
          <w:rFonts w:eastAsia="Arial Unicode MS" w:cs="Arial Unicode MS"/>
        </w:rPr>
        <w:t>.</w:t>
      </w:r>
    </w:p>
    <w:p w14:paraId="3097EE2F" w14:textId="77777777" w:rsidR="001A105D" w:rsidRDefault="00000000">
      <w:pPr>
        <w:pStyle w:val="NoSpacing"/>
        <w:numPr>
          <w:ilvl w:val="0"/>
          <w:numId w:val="33"/>
        </w:numPr>
      </w:pPr>
      <w:r>
        <w:rPr>
          <w:rFonts w:eastAsia="Arial Unicode MS" w:cs="Arial Unicode MS"/>
        </w:rPr>
        <w:t xml:space="preserve">La Ley Orgánica de Educación Superior (LOES) de Ecuador impulsó proyectos educativos para personas con discapacidad, </w:t>
      </w:r>
      <w:r>
        <w:rPr>
          <w:rFonts w:eastAsia="Arial Unicode MS" w:cs="Arial Unicode MS"/>
        </w:rPr>
        <w:lastRenderedPageBreak/>
        <w:t>con un sistema de cuotas que reservó el 30% de los cupos (que totalizaron 2,528 personas) en el año 2022. De estos, un 84% logró el acceso a la educación superior. La LOES garantiza, según su texto, la accesibilidad a servicios de interpretación y apoyos técnicos de calidad en todas las instituciones educativas superiores, con el objetivo de asegurar condiciones adecuadas en instalaciones para el desarrollo pleno de habilidades de personas con discapacidad. Esto refleja un compromiso legal con la inclusión educativa y el acceso equitativo a la educación superior en el país</w:t>
      </w:r>
      <w:r>
        <w:rPr>
          <w:rStyle w:val="None"/>
          <w:vertAlign w:val="superscript"/>
        </w:rPr>
        <w:footnoteReference w:id="342"/>
      </w:r>
      <w:r>
        <w:rPr>
          <w:rFonts w:eastAsia="Arial Unicode MS" w:cs="Arial Unicode MS"/>
        </w:rPr>
        <w:t>.</w:t>
      </w:r>
    </w:p>
    <w:p w14:paraId="4F995511" w14:textId="77777777" w:rsidR="001A105D" w:rsidRDefault="00000000">
      <w:pPr>
        <w:pStyle w:val="NoSpacing"/>
        <w:numPr>
          <w:ilvl w:val="0"/>
          <w:numId w:val="33"/>
        </w:numPr>
      </w:pPr>
      <w:r>
        <w:t>Asimismo, México ha reconocido el carácter inclusivo de la Educación Superior, para lo cual prevé la formación de equipos multidisciplinarios encargados de identificar las necesidades específicas de la población con discapacidad y las barreras que enfrentan en el aprendizaje y la participación</w:t>
      </w:r>
      <w:r>
        <w:rPr>
          <w:rStyle w:val="None"/>
          <w:vertAlign w:val="superscript"/>
        </w:rPr>
        <w:footnoteReference w:id="343"/>
      </w:r>
      <w:r>
        <w:t>.</w:t>
      </w:r>
    </w:p>
    <w:p w14:paraId="48615EC4" w14:textId="77777777" w:rsidR="001A105D" w:rsidRDefault="00000000">
      <w:pPr>
        <w:pStyle w:val="NoSpacing"/>
        <w:numPr>
          <w:ilvl w:val="0"/>
          <w:numId w:val="33"/>
        </w:numPr>
      </w:pPr>
      <w:r>
        <w:rPr>
          <w:rFonts w:eastAsia="Arial Unicode MS" w:cs="Arial Unicode MS"/>
        </w:rPr>
        <w:t xml:space="preserve">Paraguay, en su legislación educativa y reglamentación, estableció acciones y mecanismos para la creación e implementación de un modelo educativo inclusivo en todos los niveles del sistema educativo. Este modelo busca garantizar la accesibilidad, permanencia, aprendizaje, participación, promoción y conclusión oportuna de personas con necesidades </w:t>
      </w:r>
      <w:r>
        <w:rPr>
          <w:rFonts w:eastAsia="Arial Unicode MS" w:cs="Arial Unicode MS"/>
        </w:rPr>
        <w:lastRenderedPageBreak/>
        <w:t>específicas de apoyo educativo</w:t>
      </w:r>
      <w:r>
        <w:rPr>
          <w:rStyle w:val="None"/>
          <w:vertAlign w:val="superscript"/>
        </w:rPr>
        <w:footnoteReference w:id="344"/>
      </w:r>
      <w:r>
        <w:rPr>
          <w:rFonts w:eastAsia="Arial Unicode MS" w:cs="Arial Unicode MS"/>
        </w:rPr>
        <w:t>. Además, el país cuenta con la Ley de Igualdad de Oportunidades en la Formación para el Trabajo de Personas con Discapacidad, que exige a las instituciones públicas y privadas dedicadas a la formación para el trabajo destinar al menos el 5% de sus servicios educativos a personas con discapacidad. Estas instituciones deben incluir las condiciones correspondientes en su reglamento para asegurar la inclusión efectiva de las personas con discapacidad en sus programas educativos</w:t>
      </w:r>
      <w:r>
        <w:rPr>
          <w:rStyle w:val="None"/>
          <w:vertAlign w:val="superscript"/>
        </w:rPr>
        <w:footnoteReference w:id="345"/>
      </w:r>
      <w:r>
        <w:rPr>
          <w:rFonts w:eastAsia="Arial Unicode MS" w:cs="Arial Unicode MS"/>
        </w:rPr>
        <w:t>.</w:t>
      </w:r>
    </w:p>
    <w:p w14:paraId="5A7D6D21" w14:textId="77777777" w:rsidR="001A105D" w:rsidRDefault="00000000">
      <w:pPr>
        <w:pStyle w:val="NoSpacing"/>
        <w:numPr>
          <w:ilvl w:val="0"/>
          <w:numId w:val="33"/>
        </w:numPr>
      </w:pPr>
      <w:r>
        <w:rPr>
          <w:rFonts w:eastAsia="Arial Unicode MS" w:cs="Arial Unicode MS"/>
        </w:rPr>
        <w:t>La Comisión observa que en 2023 San Vicente y Granadinas tomó la iniciativa de establecer un sistema de educación inclusiva para estudiantes con discapacidad, así como otros que enfrentan otros desafíos</w:t>
      </w:r>
      <w:r>
        <w:rPr>
          <w:rStyle w:val="None"/>
          <w:vertAlign w:val="superscript"/>
        </w:rPr>
        <w:footnoteReference w:id="346"/>
      </w:r>
      <w:r>
        <w:rPr>
          <w:rFonts w:eastAsia="Arial Unicode MS" w:cs="Arial Unicode MS"/>
        </w:rPr>
        <w:t xml:space="preserve">. </w:t>
      </w:r>
    </w:p>
    <w:p w14:paraId="18D0625B" w14:textId="77777777" w:rsidR="001A105D" w:rsidRDefault="00000000">
      <w:pPr>
        <w:pStyle w:val="NoSpacing"/>
        <w:numPr>
          <w:ilvl w:val="0"/>
          <w:numId w:val="33"/>
        </w:numPr>
      </w:pPr>
      <w:r>
        <w:rPr>
          <w:rFonts w:eastAsia="Arial Unicode MS" w:cs="Arial Unicode MS"/>
        </w:rPr>
        <w:t xml:space="preserve">A pesar de los importantes avances legislativos y las buenas prácticas en las políticas públicas revisadas, en la mayoría de los Estados se evidencia una falta de asignación suficiente de </w:t>
      </w:r>
      <w:r>
        <w:rPr>
          <w:rFonts w:eastAsia="Arial Unicode MS" w:cs="Arial Unicode MS"/>
        </w:rPr>
        <w:tab/>
        <w:t xml:space="preserve">presupuesto público, así como una insuficiente fiscalización de su uso y distribución, para las políticas de educación inclusiva. Esto incluye medidas de accesibilidad y ajustes razonables requeridos para la implementación efectiva de leyes y políticas relacionadas con este tema. En este sentido, se </w:t>
      </w:r>
      <w:r>
        <w:rPr>
          <w:rFonts w:eastAsia="Arial Unicode MS" w:cs="Arial Unicode MS"/>
        </w:rPr>
        <w:lastRenderedPageBreak/>
        <w:t>enfatiza que no es posible cumplir con el derecho a la educación sin que haya una inversión presupuestaria consecuente en políticas públicas que materialicen el derecho</w:t>
      </w:r>
      <w:r>
        <w:rPr>
          <w:rStyle w:val="None"/>
          <w:vertAlign w:val="superscript"/>
        </w:rPr>
        <w:footnoteReference w:id="347"/>
      </w:r>
      <w:r>
        <w:rPr>
          <w:rFonts w:eastAsia="Arial Unicode MS" w:cs="Arial Unicode MS"/>
        </w:rPr>
        <w:t xml:space="preserve">. </w:t>
      </w:r>
    </w:p>
    <w:p w14:paraId="0D5A0EF5" w14:textId="77777777" w:rsidR="001A105D" w:rsidRDefault="00000000">
      <w:pPr>
        <w:pStyle w:val="NoSpacing"/>
        <w:numPr>
          <w:ilvl w:val="0"/>
          <w:numId w:val="33"/>
        </w:numPr>
      </w:pPr>
      <w:r>
        <w:rPr>
          <w:rFonts w:eastAsia="Arial Unicode MS" w:cs="Arial Unicode MS"/>
        </w:rPr>
        <w:t xml:space="preserve">Asimismo, dicha materialización implica una inversión en las personas educadoras. Al respecto, en los países de la región aún es escasa la capacitación destinada a servidores públicos, personal escolar, docentes, familiares, estudiantes con y sin discapacidad y otros actores de la comunidad educativa. Se reporta que la comprensión de cómo se debe implementar una educación inclusiva es errónea y suele considerarse como agotada a través de la presencia de la persona con discapacidad en las escuelas regulares. Asimismo, la perspectiva hacia la implementación de las medidas de </w:t>
      </w:r>
      <w:r>
        <w:rPr>
          <w:rFonts w:eastAsia="Arial Unicode MS" w:cs="Arial Unicode MS"/>
        </w:rPr>
        <w:lastRenderedPageBreak/>
        <w:t>accesibilidad y ajustes curriculares suele ser negativa entre docentes, al ser percibida como una carga o trabajo adicional para ellos</w:t>
      </w:r>
      <w:r>
        <w:rPr>
          <w:rStyle w:val="None"/>
          <w:vertAlign w:val="superscript"/>
        </w:rPr>
        <w:footnoteReference w:id="348"/>
      </w:r>
      <w:r>
        <w:rPr>
          <w:rFonts w:eastAsia="Arial Unicode MS" w:cs="Arial Unicode MS"/>
        </w:rPr>
        <w:t xml:space="preserve">. </w:t>
      </w:r>
    </w:p>
    <w:p w14:paraId="52FC94EF" w14:textId="77777777" w:rsidR="001A105D" w:rsidRDefault="00000000">
      <w:pPr>
        <w:pStyle w:val="NoSpacing"/>
        <w:numPr>
          <w:ilvl w:val="0"/>
          <w:numId w:val="33"/>
        </w:numPr>
      </w:pPr>
      <w:r>
        <w:rPr>
          <w:rFonts w:eastAsia="Arial Unicode MS" w:cs="Arial Unicode MS"/>
        </w:rPr>
        <w:t>El Comité CDPD considera que la educación inclusiva no solo constituye un derecho humano fundamental para todas las personas, sino también un principio que promueve la equidad en la diversidad, el bienestar de cada individuo respetando su dignidad y autonomía inherentes, así como el reconocimiento de sus necesidades específicas y su capacidad efectiva para integrarse en la sociedad y contribuir a ella. Asimismo, se concibe como un medio para garantizar la realización de otros derechos humanos y como el resultado de un proceso de compromiso colectivo y dinámico destinado a eliminar barreras y transformar culturas</w:t>
      </w:r>
      <w:r>
        <w:rPr>
          <w:rStyle w:val="None"/>
          <w:vertAlign w:val="superscript"/>
        </w:rPr>
        <w:footnoteReference w:id="349"/>
      </w:r>
      <w:r>
        <w:rPr>
          <w:rFonts w:eastAsia="Arial Unicode MS" w:cs="Arial Unicode MS"/>
        </w:rPr>
        <w:t>.</w:t>
      </w:r>
    </w:p>
    <w:p w14:paraId="3EEA7D0D" w14:textId="77777777" w:rsidR="001A105D" w:rsidRDefault="00000000">
      <w:pPr>
        <w:pStyle w:val="NoSpacing"/>
        <w:numPr>
          <w:ilvl w:val="0"/>
          <w:numId w:val="33"/>
        </w:numPr>
      </w:pPr>
      <w:r>
        <w:rPr>
          <w:rFonts w:eastAsia="Arial Unicode MS" w:cs="Arial Unicode MS"/>
        </w:rPr>
        <w:t xml:space="preserve">La Comisión interamericana destaca que la mayoría de las leyes y políticas públicas de los países de la región en cuanto al derecho a la educación aún siguen un enfoque médico y asistencialista para abordar la discapacidad, lo que a menudo requiere diagnóstico y evaluación médica como requisitos para la admisión de estudiantes con discapacidad en la escuela. Este enfoque explica la persistente mantención de sistemas </w:t>
      </w:r>
      <w:r>
        <w:rPr>
          <w:rFonts w:eastAsia="Arial Unicode MS" w:cs="Arial Unicode MS"/>
        </w:rPr>
        <w:lastRenderedPageBreak/>
        <w:t xml:space="preserve">educativos "especiales" o segregados junto con sistemas de educación regular. </w:t>
      </w:r>
    </w:p>
    <w:p w14:paraId="44CC2899" w14:textId="77777777" w:rsidR="001A105D" w:rsidRDefault="00000000">
      <w:pPr>
        <w:pStyle w:val="NoSpacing"/>
        <w:numPr>
          <w:ilvl w:val="0"/>
          <w:numId w:val="33"/>
        </w:numPr>
      </w:pPr>
      <w:r>
        <w:rPr>
          <w:rFonts w:eastAsia="Arial Unicode MS" w:cs="Arial Unicode MS"/>
        </w:rPr>
        <w:t xml:space="preserve">En el mismo sentido, las barreras en el acceso a la educación se presentan en todos los niveles educativos, incluyendo la formación para el trabajo y la educación superior, dado que en la mayoría de los países las políticas de educación inclusiva no abarcan ni obligan a la educación terciaria. Por tanto, la accesibilidad y apoyos para el aprendizaje y la participación en la educación superior depende de la voluntad y los recursos de las instituciones educativas. </w:t>
      </w:r>
    </w:p>
    <w:p w14:paraId="673E5D5B" w14:textId="77777777" w:rsidR="001A105D" w:rsidRDefault="00000000">
      <w:pPr>
        <w:pStyle w:val="NoSpacing"/>
        <w:numPr>
          <w:ilvl w:val="0"/>
          <w:numId w:val="33"/>
        </w:numPr>
      </w:pPr>
      <w:r>
        <w:rPr>
          <w:rFonts w:eastAsia="Arial Unicode MS" w:cs="Arial Unicode MS"/>
        </w:rPr>
        <w:t>Como consecuencia, en muchos casos las personas con discapacidad son excluidas de este nivel educativo, lo que agrava las brechas estructurales para su posterior inclusión en el mercado laboral en igualdad de condiciones y oportunidades. Esto las expone a situaciones de vulnerabilidad como la pobreza y pobreza extrema.</w:t>
      </w:r>
    </w:p>
    <w:p w14:paraId="5E905BDA" w14:textId="77777777" w:rsidR="001A105D" w:rsidRDefault="00000000">
      <w:pPr>
        <w:pStyle w:val="NoSpacing"/>
        <w:numPr>
          <w:ilvl w:val="0"/>
          <w:numId w:val="33"/>
        </w:numPr>
      </w:pPr>
      <w:r>
        <w:rPr>
          <w:rFonts w:eastAsia="Arial Unicode MS" w:cs="Arial Unicode MS"/>
        </w:rPr>
        <w:t>La CIDH observa que las personas con discapacidad que se gradúan de sistemas de educación especial a menudo no reciben un reconocimiento académico adecuado por parte de los Ministerios de Educación. Además, al no seguir el mismo currículo pedagógico común, estos graduados no tienen las mismas oportunidades de acceder a instituciones de educación superior que aquellos que egresan del sistema regular. Esta brecha se agrava por las diferencias de calidad en la educación especial en algunos casos, así como por los prejuicios y estereotipos arraigados en la sociedad, que se alimentan de la falta de oportunidades para que los estudiantes interactúen diariamente con la diversidad.</w:t>
      </w:r>
    </w:p>
    <w:p w14:paraId="63209455" w14:textId="77777777" w:rsidR="001A105D" w:rsidRDefault="00000000">
      <w:pPr>
        <w:pStyle w:val="NoSpacing"/>
        <w:numPr>
          <w:ilvl w:val="0"/>
          <w:numId w:val="33"/>
        </w:numPr>
      </w:pPr>
      <w:r>
        <w:rPr>
          <w:rFonts w:eastAsia="Arial Unicode MS" w:cs="Arial Unicode MS"/>
        </w:rPr>
        <w:lastRenderedPageBreak/>
        <w:t>La CIDH enfatiza que la educación es un derecho reconocido a las personas con discapacidad en igualdad con las demás. Destaca que su consecución y ejercicio están sujetos a que las personas transiten por modelos educativos inclusivos, donde toda la comunidad educativa con y sin discapacidad y otras diversidades interseccionales comparten un proceso común de enseñanza-aprendizaje, en espacios también comunes, bajo principios de equidad. El sistema educativo, cuando es inclusivo de verdad, es el espacio esencial para aprender a respetar y aceptar la diversidad humana y para deconstruir el estigma y la discriminación.</w:t>
      </w:r>
    </w:p>
    <w:p w14:paraId="73E76E6C" w14:textId="77777777" w:rsidR="001A105D" w:rsidRDefault="00000000">
      <w:pPr>
        <w:pStyle w:val="NoSpacing"/>
        <w:numPr>
          <w:ilvl w:val="0"/>
          <w:numId w:val="33"/>
        </w:numPr>
      </w:pPr>
      <w:r>
        <w:rPr>
          <w:rFonts w:eastAsia="Arial Unicode MS" w:cs="Arial Unicode MS"/>
        </w:rPr>
        <w:t>Además del acceso a espacios físicos adecuados y accesibles, la garantía de una educación de calidad para las personas con discapacidad requiere una transformación en la forma de abordar los procesos de enseñanza-aprendizaje, teniendo en cuenta la diversidad de las personas estudiantes. La educación inclusiva no se limita a la ubicación física, sino que se trata de una experiencia integral que requiere transformaciones sistémicas. En este sentido, tanto las personas docentes como la comunidad educativa desempeñan un papel fundamental al aplicar el diseño universal de aprendizaje en sus prácticas diarias, fomentando además entornos de interacción dialógica, horizontal, interculturales y multilingües.</w:t>
      </w:r>
    </w:p>
    <w:p w14:paraId="10841482" w14:textId="77777777" w:rsidR="001A105D" w:rsidRDefault="00000000">
      <w:pPr>
        <w:pStyle w:val="NoSpacing"/>
        <w:numPr>
          <w:ilvl w:val="0"/>
          <w:numId w:val="33"/>
        </w:numPr>
      </w:pPr>
      <w:r>
        <w:rPr>
          <w:rFonts w:eastAsia="Arial Unicode MS" w:cs="Arial Unicode MS"/>
        </w:rPr>
        <w:t xml:space="preserve">El Comité CDPD subraya que negar ajustes razonables constituye discriminación, y su implementación no puede ser progresiva. Los Estados deben establecer sistemas de supervisión independientes para garantizar la idoneidad y </w:t>
      </w:r>
      <w:r>
        <w:rPr>
          <w:rFonts w:eastAsia="Arial Unicode MS" w:cs="Arial Unicode MS"/>
        </w:rPr>
        <w:lastRenderedPageBreak/>
        <w:t>efectividad de estos ajustes, ofreciendo mecanismos de reparación accesibles y seguros</w:t>
      </w:r>
      <w:r>
        <w:rPr>
          <w:rStyle w:val="None"/>
          <w:vertAlign w:val="superscript"/>
        </w:rPr>
        <w:footnoteReference w:id="350"/>
      </w:r>
      <w:r>
        <w:rPr>
          <w:rFonts w:eastAsia="Arial Unicode MS" w:cs="Arial Unicode MS"/>
        </w:rPr>
        <w:t xml:space="preserve">. </w:t>
      </w:r>
    </w:p>
    <w:p w14:paraId="361368AA" w14:textId="77777777" w:rsidR="001A105D" w:rsidRDefault="00000000">
      <w:pPr>
        <w:pStyle w:val="NoSpacing"/>
        <w:numPr>
          <w:ilvl w:val="0"/>
          <w:numId w:val="33"/>
        </w:numPr>
      </w:pPr>
      <w:r>
        <w:t>La inclusión requiere una transformación integral del sistema educativo, que implica modificar el contenido, los métodos de enseñanza, los enfoques, las estructuras y las estrategias de manera que se superen los obstáculos existentes. El objetivo es garantizar que todos los alumnos de los grupos de edad pertinentes disfruten de una experiencia de aprendizaje equitativa y participativa, adaptada a sus necesidades y preferencias individuales. Es importante destacar que la mera integración de estudiantes con discapacidad en aulas regulares no cumple con los requisitos de inclusión si no se realizan estos cambios estructurales en el sistema educativo</w:t>
      </w:r>
      <w:r>
        <w:rPr>
          <w:rStyle w:val="None"/>
          <w:vertAlign w:val="superscript"/>
        </w:rPr>
        <w:footnoteReference w:id="351"/>
      </w:r>
      <w:r>
        <w:t>.</w:t>
      </w:r>
    </w:p>
    <w:p w14:paraId="21A30665" w14:textId="77777777" w:rsidR="001A105D" w:rsidRDefault="00000000">
      <w:pPr>
        <w:pStyle w:val="NoSpacing"/>
        <w:numPr>
          <w:ilvl w:val="0"/>
          <w:numId w:val="33"/>
        </w:numPr>
      </w:pPr>
      <w:r>
        <w:rPr>
          <w:rFonts w:eastAsia="Arial Unicode MS" w:cs="Arial Unicode MS"/>
        </w:rPr>
        <w:t xml:space="preserve">De esa manera, la CIDH insta a los Estados de la región a desarrollar políticas públicas basadas en el modelo de derechos humanos, enfocadas en asegurar una educación inclusiva, intercultural y multilingüe, adaptada a los contextos socioeconómicos y culturales específicos de los países y comunidades de la región. Esto implica eliminar la segregación de estudiantes con discapacidad y ajustar la legislación interna a los estándares establecidos en el artículo 24 de la CDPD, reconociendo la educación inclusiva como el medio para garantizar el derecho humano a una educación de calidad. </w:t>
      </w:r>
    </w:p>
    <w:p w14:paraId="063912DB" w14:textId="77777777" w:rsidR="001A105D" w:rsidRDefault="00000000">
      <w:pPr>
        <w:pStyle w:val="NoSpacing"/>
        <w:numPr>
          <w:ilvl w:val="0"/>
          <w:numId w:val="33"/>
        </w:numPr>
      </w:pPr>
      <w:r>
        <w:rPr>
          <w:rFonts w:eastAsia="Arial Unicode MS" w:cs="Arial Unicode MS"/>
        </w:rPr>
        <w:t xml:space="preserve">Igualmente, la CIDH respalda las observaciones del Comité CDPD, que enfatiza la importancia de proporcionar una enseñanza a personas ciegas, sordas o sordociegas en su </w:t>
      </w:r>
      <w:r>
        <w:rPr>
          <w:rFonts w:eastAsia="Arial Unicode MS" w:cs="Arial Unicode MS"/>
        </w:rPr>
        <w:lastRenderedPageBreak/>
        <w:t>lengua y medios de comunicación apropiados, tanto en entornos escolares formales como informales, subrayando la necesidad de que los Estados prioricen la inclusión educativa multilingüe e intercultural en sus leyes, políticas y programas, y provean el apoyo necesario en términos de presupuesto, recursos humanos, tecnología y accesibilidad</w:t>
      </w:r>
      <w:r>
        <w:rPr>
          <w:rStyle w:val="None"/>
          <w:vertAlign w:val="superscript"/>
        </w:rPr>
        <w:footnoteReference w:id="352"/>
      </w:r>
      <w:r>
        <w:rPr>
          <w:rFonts w:eastAsia="Arial Unicode MS" w:cs="Arial Unicode MS"/>
        </w:rPr>
        <w:t>.</w:t>
      </w:r>
    </w:p>
    <w:p w14:paraId="56951DF2" w14:textId="77777777" w:rsidR="001A105D" w:rsidRDefault="00000000">
      <w:pPr>
        <w:pStyle w:val="NoSpacing"/>
        <w:numPr>
          <w:ilvl w:val="0"/>
          <w:numId w:val="33"/>
        </w:numPr>
      </w:pPr>
      <w:r>
        <w:t>Finalmente, se insta a los países a proporcionar información, capacitación continua, recursos y herramientas a los diversos actores del sistema educativo con el objetivo es fomentar una comprensión compartida del modelo de educación inclusiva, alineado con el enfoque social y de derechos humanos de la discapacidad, así como con los principios de igualdad, no discriminación, equidad e igualdad de oportunidades y condiciones.</w:t>
      </w:r>
    </w:p>
    <w:p w14:paraId="31AAA435" w14:textId="77777777" w:rsidR="001A105D" w:rsidRDefault="00000000">
      <w:pPr>
        <w:pStyle w:val="Heading3"/>
        <w:numPr>
          <w:ilvl w:val="0"/>
          <w:numId w:val="70"/>
        </w:numPr>
      </w:pPr>
      <w:bookmarkStart w:id="22" w:name="_Toc19"/>
      <w:r>
        <w:rPr>
          <w:rFonts w:eastAsia="Arial Unicode MS" w:cs="Arial Unicode MS"/>
          <w:lang w:val="es-ES_tradnl"/>
        </w:rPr>
        <w:t xml:space="preserve">Derecho al </w:t>
      </w:r>
      <w:r>
        <w:rPr>
          <w:rFonts w:eastAsia="Arial Unicode MS" w:cs="Arial Unicode MS"/>
        </w:rPr>
        <w:t>t</w:t>
      </w:r>
      <w:proofErr w:type="spellStart"/>
      <w:r>
        <w:rPr>
          <w:rFonts w:eastAsia="Arial Unicode MS" w:cs="Arial Unicode MS"/>
          <w:lang w:val="es-ES_tradnl"/>
        </w:rPr>
        <w:t>rabajo</w:t>
      </w:r>
      <w:bookmarkEnd w:id="22"/>
      <w:proofErr w:type="spellEnd"/>
    </w:p>
    <w:p w14:paraId="7A6A502E" w14:textId="77777777" w:rsidR="001A105D" w:rsidRDefault="00000000">
      <w:pPr>
        <w:pStyle w:val="NoSpacing"/>
        <w:numPr>
          <w:ilvl w:val="0"/>
          <w:numId w:val="33"/>
        </w:numPr>
      </w:pPr>
      <w:r>
        <w:rPr>
          <w:rFonts w:eastAsia="Arial Unicode MS" w:cs="Arial Unicode MS"/>
        </w:rPr>
        <w:t xml:space="preserve">La Convención sobre los Derechos de las Personas con Discapacidad de la ONU estableció un marco jurídico robusto para proteger el derecho al trabajo de las personas con discapacidad. En su artículo 27, la CDPD garantizó a las personas con discapacidad el derecho a trabajar, en igualdad de condiciones con los demás, incluyendo el derecho a ganarse la vida mediante un trabajo libremente elegido o aceptado en un entorno laboral abierto, inclusivo y accesible. Además, ha obligado a los Estados Parte a prohibir la discriminación por motivos de discapacidad en todas las cuestiones relacionadas </w:t>
      </w:r>
      <w:r>
        <w:rPr>
          <w:rFonts w:eastAsia="Arial Unicode MS" w:cs="Arial Unicode MS"/>
        </w:rPr>
        <w:lastRenderedPageBreak/>
        <w:t>con cualquier forma de empleo, incluyendo las condiciones de contratación, empleo, promoción y condiciones de trabajo</w:t>
      </w:r>
      <w:r>
        <w:rPr>
          <w:rStyle w:val="None"/>
          <w:vertAlign w:val="superscript"/>
        </w:rPr>
        <w:footnoteReference w:id="353"/>
      </w:r>
      <w:r>
        <w:rPr>
          <w:rFonts w:eastAsia="Arial Unicode MS" w:cs="Arial Unicode MS"/>
        </w:rPr>
        <w:t>.</w:t>
      </w:r>
    </w:p>
    <w:p w14:paraId="5B92E720" w14:textId="77777777" w:rsidR="001A105D" w:rsidRDefault="00000000">
      <w:pPr>
        <w:pStyle w:val="NoSpacing"/>
        <w:numPr>
          <w:ilvl w:val="0"/>
          <w:numId w:val="33"/>
        </w:numPr>
      </w:pPr>
      <w:r>
        <w:rPr>
          <w:rFonts w:eastAsia="Arial Unicode MS" w:cs="Arial Unicode MS"/>
        </w:rPr>
        <w:t>De manera similar, la CIADDIS estableció, en su artículo III.1.a, la obligación de los Estados de adoptar medidas para eliminar la discriminación y garantizar a las personas con discapacidad igualdad de oportunidades en el acceso y permanencia en el empleo. Esto, por medio de políticas públicas y programas que promuevan la inclusión laboral y los ajustes razonables en los lugares de trabajo. La convención ha incorporado el paradigma social y de derechos humanos, indicando la importancia de un entorno de trabajo abierto, inclusivo, accesible y equitativo para la plena realización de los derechos laborales de las personas con discapacidad</w:t>
      </w:r>
      <w:r>
        <w:rPr>
          <w:rStyle w:val="None"/>
          <w:vertAlign w:val="superscript"/>
        </w:rPr>
        <w:footnoteReference w:id="354"/>
      </w:r>
      <w:r>
        <w:rPr>
          <w:rFonts w:eastAsia="Arial Unicode MS" w:cs="Arial Unicode MS"/>
        </w:rPr>
        <w:t>.</w:t>
      </w:r>
    </w:p>
    <w:p w14:paraId="2DB99E8D" w14:textId="77777777" w:rsidR="001A105D" w:rsidRDefault="00000000">
      <w:pPr>
        <w:pStyle w:val="NoSpacing"/>
        <w:numPr>
          <w:ilvl w:val="0"/>
          <w:numId w:val="33"/>
        </w:numPr>
      </w:pPr>
      <w:r>
        <w:rPr>
          <w:rFonts w:eastAsia="Arial Unicode MS" w:cs="Arial Unicode MS"/>
        </w:rPr>
        <w:t>Sin embargo, debido a la prevalencia histórica del modelo médico, de la caridad y de la prescindencia en el abordaje de la discapacidad, el reconocimiento del derecho al trabajo para esta población ha sido uno de los más difíciles de lograr, y la brecha para su ejercicio en igualdad de condiciones con el resto de la sociedad sigue siendo significativamente amplia. Esto se debe a los mismos estigmas, las barreras sociales y la posición de desigualdad en la que se les coloca, lo que limita las oportunidades de las personas con discapacidad para acceder a una educación de calidad y, por ende, para competir en igualdad de condiciones en el mercado laboral.</w:t>
      </w:r>
    </w:p>
    <w:p w14:paraId="45045E97" w14:textId="77777777" w:rsidR="001A105D" w:rsidRDefault="00000000">
      <w:pPr>
        <w:pStyle w:val="NoSpacing"/>
        <w:numPr>
          <w:ilvl w:val="0"/>
          <w:numId w:val="33"/>
        </w:numPr>
      </w:pPr>
      <w:r>
        <w:lastRenderedPageBreak/>
        <w:t>El estigma arraigado sobre la "incapacidad" y la visión de las personas con discapacidad como una carga social ha influenciado las políticas públicas de acceso al trabajo. Antes de la CDPD, se priorizaban el "trabajo protegido" y los "contratos de aprendizaje", que a menudo implicaban trabajo indefinido con bajos salarios o sin remuneración, y en ocasiones sin contratos formales. Esto ha mantenido la segregación en el ámbito laboral, similar a la situación en la educación. La formación laboral también refleja estereotipos sobre lo que se considera que las personas con discapacidad “serían capaces de hacer”, limitando su derecho de elección y desarrollando una oferta de capacitación con bajas expectativas y opciones reducidas. El mismo Protocolo de San Salvador reconoció el derecho al trabajo de las personas con discapacidad y exige medidas estatales para garantizarlo, tales como programas laborales “adaptados a sus posibilidades”</w:t>
      </w:r>
      <w:r>
        <w:rPr>
          <w:rStyle w:val="None"/>
          <w:vertAlign w:val="superscript"/>
        </w:rPr>
        <w:footnoteReference w:id="355"/>
      </w:r>
      <w:r>
        <w:t>.</w:t>
      </w:r>
    </w:p>
    <w:p w14:paraId="53AD98C0" w14:textId="77777777" w:rsidR="001A105D" w:rsidRDefault="00000000">
      <w:pPr>
        <w:pStyle w:val="NoSpacing"/>
        <w:numPr>
          <w:ilvl w:val="0"/>
          <w:numId w:val="33"/>
        </w:numPr>
      </w:pPr>
      <w:r>
        <w:t xml:space="preserve">Bajo la adopción del modelo de derechos humanos para abordar la discapacidad, el derecho al trabajo de las personas con discapacidad pasó a enfocarse en la eliminación de barreras existentes en los entornos laborales regulares y en el mercado abierto. Esto implica la implementación transversal de medidas de accesibilidad y la adopción de ajustes razonables, incluidos apoyos humanos y tecnológicos, así como medidas afirmativas para equiparar sus opciones en procesos de selección. Estas medidas se diseñan y requieren para </w:t>
      </w:r>
      <w:r>
        <w:lastRenderedPageBreak/>
        <w:t>garantizar su acceso al empleo y que puedan desempeñar sus funciones laborales en igualdad básica con las demás personas</w:t>
      </w:r>
      <w:r>
        <w:rPr>
          <w:rStyle w:val="None"/>
          <w:vertAlign w:val="superscript"/>
        </w:rPr>
        <w:footnoteReference w:id="356"/>
      </w:r>
      <w:r>
        <w:t>.</w:t>
      </w:r>
    </w:p>
    <w:p w14:paraId="45C9EC0B" w14:textId="77777777" w:rsidR="001A105D" w:rsidRDefault="00000000">
      <w:pPr>
        <w:pStyle w:val="NoSpacing"/>
        <w:numPr>
          <w:ilvl w:val="0"/>
          <w:numId w:val="33"/>
        </w:numPr>
      </w:pPr>
      <w:r>
        <w:rPr>
          <w:rFonts w:eastAsia="Arial Unicode MS" w:cs="Arial Unicode MS"/>
        </w:rPr>
        <w:t>Atendiendo a los estándares establecidos en el marco jurídico internacional y regional, varios Estados de la región han reconocido la discapacidad como un motivo prohibido de discriminación en el ámbito laboral. Además, han incorporado la aplicación de ajustes razonables como parte esencial del principio de igualdad y no discriminación en sus legislaciones. Entre estos países se encuentran Argentina</w:t>
      </w:r>
      <w:r>
        <w:rPr>
          <w:rStyle w:val="None"/>
          <w:vertAlign w:val="superscript"/>
        </w:rPr>
        <w:footnoteReference w:id="357"/>
      </w:r>
      <w:r>
        <w:rPr>
          <w:rFonts w:eastAsia="Arial Unicode MS" w:cs="Arial Unicode MS"/>
        </w:rPr>
        <w:t>, Bahamas</w:t>
      </w:r>
      <w:r>
        <w:rPr>
          <w:rStyle w:val="None"/>
          <w:vertAlign w:val="superscript"/>
        </w:rPr>
        <w:footnoteReference w:id="358"/>
      </w:r>
      <w:r>
        <w:rPr>
          <w:rFonts w:eastAsia="Arial Unicode MS" w:cs="Arial Unicode MS"/>
        </w:rPr>
        <w:t xml:space="preserve">, </w:t>
      </w:r>
      <w:r>
        <w:rPr>
          <w:rFonts w:eastAsia="Arial Unicode MS" w:cs="Arial Unicode MS"/>
        </w:rPr>
        <w:lastRenderedPageBreak/>
        <w:t>Barbados</w:t>
      </w:r>
      <w:r>
        <w:rPr>
          <w:rStyle w:val="None"/>
          <w:vertAlign w:val="superscript"/>
        </w:rPr>
        <w:footnoteReference w:id="359"/>
      </w:r>
      <w:r>
        <w:rPr>
          <w:rFonts w:eastAsia="Arial Unicode MS" w:cs="Arial Unicode MS"/>
        </w:rPr>
        <w:t>, Bolivia</w:t>
      </w:r>
      <w:r>
        <w:rPr>
          <w:rStyle w:val="None"/>
          <w:vertAlign w:val="superscript"/>
        </w:rPr>
        <w:footnoteReference w:id="360"/>
      </w:r>
      <w:r>
        <w:rPr>
          <w:rFonts w:eastAsia="Arial Unicode MS" w:cs="Arial Unicode MS"/>
        </w:rPr>
        <w:t>, Brasil</w:t>
      </w:r>
      <w:r>
        <w:rPr>
          <w:rStyle w:val="None"/>
          <w:vertAlign w:val="superscript"/>
        </w:rPr>
        <w:footnoteReference w:id="361"/>
      </w:r>
      <w:r>
        <w:rPr>
          <w:rFonts w:eastAsia="Arial Unicode MS" w:cs="Arial Unicode MS"/>
        </w:rPr>
        <w:t>, Chile</w:t>
      </w:r>
      <w:r>
        <w:rPr>
          <w:rStyle w:val="None"/>
          <w:vertAlign w:val="superscript"/>
        </w:rPr>
        <w:footnoteReference w:id="362"/>
      </w:r>
      <w:r>
        <w:rPr>
          <w:rFonts w:eastAsia="Arial Unicode MS" w:cs="Arial Unicode MS"/>
        </w:rPr>
        <w:t>, Colombia</w:t>
      </w:r>
      <w:r>
        <w:rPr>
          <w:rStyle w:val="None"/>
          <w:vertAlign w:val="superscript"/>
        </w:rPr>
        <w:footnoteReference w:id="363"/>
      </w:r>
      <w:r>
        <w:rPr>
          <w:rFonts w:eastAsia="Arial Unicode MS" w:cs="Arial Unicode MS"/>
        </w:rPr>
        <w:t>, Costa Rica</w:t>
      </w:r>
      <w:r>
        <w:rPr>
          <w:rStyle w:val="None"/>
          <w:vertAlign w:val="superscript"/>
        </w:rPr>
        <w:footnoteReference w:id="364"/>
      </w:r>
      <w:r>
        <w:rPr>
          <w:rFonts w:eastAsia="Arial Unicode MS" w:cs="Arial Unicode MS"/>
        </w:rPr>
        <w:t>, Ecuador</w:t>
      </w:r>
      <w:r>
        <w:rPr>
          <w:rStyle w:val="None"/>
          <w:vertAlign w:val="superscript"/>
        </w:rPr>
        <w:footnoteReference w:id="365"/>
      </w:r>
      <w:r>
        <w:rPr>
          <w:rFonts w:eastAsia="Arial Unicode MS" w:cs="Arial Unicode MS"/>
        </w:rPr>
        <w:t>, El Salvador</w:t>
      </w:r>
      <w:r>
        <w:rPr>
          <w:rStyle w:val="None"/>
          <w:vertAlign w:val="superscript"/>
        </w:rPr>
        <w:footnoteReference w:id="366"/>
      </w:r>
      <w:r>
        <w:rPr>
          <w:rFonts w:eastAsia="Arial Unicode MS" w:cs="Arial Unicode MS"/>
        </w:rPr>
        <w:t>, Guatemala</w:t>
      </w:r>
      <w:r>
        <w:rPr>
          <w:rStyle w:val="None"/>
          <w:vertAlign w:val="superscript"/>
        </w:rPr>
        <w:footnoteReference w:id="367"/>
      </w:r>
      <w:r>
        <w:rPr>
          <w:rFonts w:eastAsia="Arial Unicode MS" w:cs="Arial Unicode MS"/>
        </w:rPr>
        <w:t>, Guyana</w:t>
      </w:r>
      <w:r>
        <w:rPr>
          <w:rStyle w:val="None"/>
          <w:vertAlign w:val="superscript"/>
        </w:rPr>
        <w:footnoteReference w:id="368"/>
      </w:r>
      <w:r>
        <w:rPr>
          <w:rFonts w:eastAsia="Arial Unicode MS" w:cs="Arial Unicode MS"/>
        </w:rPr>
        <w:t xml:space="preserve">, </w:t>
      </w:r>
      <w:r>
        <w:rPr>
          <w:rFonts w:eastAsia="Arial Unicode MS" w:cs="Arial Unicode MS"/>
        </w:rPr>
        <w:lastRenderedPageBreak/>
        <w:t>Honduras</w:t>
      </w:r>
      <w:r>
        <w:rPr>
          <w:rStyle w:val="None"/>
          <w:vertAlign w:val="superscript"/>
        </w:rPr>
        <w:footnoteReference w:id="369"/>
      </w:r>
      <w:r>
        <w:rPr>
          <w:rFonts w:eastAsia="Arial Unicode MS" w:cs="Arial Unicode MS"/>
        </w:rPr>
        <w:t>, México</w:t>
      </w:r>
      <w:r>
        <w:rPr>
          <w:rStyle w:val="None"/>
          <w:vertAlign w:val="superscript"/>
        </w:rPr>
        <w:footnoteReference w:id="370"/>
      </w:r>
      <w:r>
        <w:rPr>
          <w:rFonts w:eastAsia="Arial Unicode MS" w:cs="Arial Unicode MS"/>
        </w:rPr>
        <w:t>, Panamá</w:t>
      </w:r>
      <w:r>
        <w:rPr>
          <w:rStyle w:val="None"/>
          <w:vertAlign w:val="superscript"/>
        </w:rPr>
        <w:footnoteReference w:id="371"/>
      </w:r>
      <w:r>
        <w:rPr>
          <w:rFonts w:eastAsia="Arial Unicode MS" w:cs="Arial Unicode MS"/>
        </w:rPr>
        <w:t>, Paraguay</w:t>
      </w:r>
      <w:r>
        <w:rPr>
          <w:rStyle w:val="None"/>
          <w:vertAlign w:val="superscript"/>
        </w:rPr>
        <w:footnoteReference w:id="372"/>
      </w:r>
      <w:r>
        <w:rPr>
          <w:rFonts w:eastAsia="Arial Unicode MS" w:cs="Arial Unicode MS"/>
        </w:rPr>
        <w:t>, Perú</w:t>
      </w:r>
      <w:r>
        <w:rPr>
          <w:rStyle w:val="None"/>
          <w:vertAlign w:val="superscript"/>
        </w:rPr>
        <w:footnoteReference w:id="373"/>
      </w:r>
      <w:r>
        <w:rPr>
          <w:rFonts w:eastAsia="Arial Unicode MS" w:cs="Arial Unicode MS"/>
        </w:rPr>
        <w:t xml:space="preserve"> </w:t>
      </w:r>
      <w:r>
        <w:br/>
      </w:r>
      <w:r>
        <w:rPr>
          <w:rFonts w:eastAsia="Arial Unicode MS" w:cs="Arial Unicode MS"/>
        </w:rPr>
        <w:t>y Venezuela</w:t>
      </w:r>
      <w:r>
        <w:rPr>
          <w:rStyle w:val="None"/>
          <w:vertAlign w:val="superscript"/>
        </w:rPr>
        <w:footnoteReference w:id="374"/>
      </w:r>
      <w:r>
        <w:rPr>
          <w:rFonts w:eastAsia="Arial Unicode MS" w:cs="Arial Unicode MS"/>
        </w:rPr>
        <w:t xml:space="preserve">. </w:t>
      </w:r>
    </w:p>
    <w:p w14:paraId="6E714A38" w14:textId="77777777" w:rsidR="001A105D" w:rsidRDefault="00000000">
      <w:pPr>
        <w:pStyle w:val="NoSpacing"/>
        <w:numPr>
          <w:ilvl w:val="0"/>
          <w:numId w:val="33"/>
        </w:numPr>
      </w:pPr>
      <w:r>
        <w:t xml:space="preserve">Respecto a la adopción de medidas legislativas para promover la empleabilidad de las personas con discapacidad, la cuota de contratación laboral es la acción afirmativa más comúnmente </w:t>
      </w:r>
      <w:r>
        <w:lastRenderedPageBreak/>
        <w:t>empleada en la región, siempre y cuando los candidatos cumplan con los requisitos de idoneidad para el puesto, tanto en el sector público como en el privado. Alrededor de 16 países de la región cuentan con esta regulación</w:t>
      </w:r>
      <w:r>
        <w:rPr>
          <w:rStyle w:val="None"/>
          <w:vertAlign w:val="superscript"/>
        </w:rPr>
        <w:footnoteReference w:id="375"/>
      </w:r>
      <w:r>
        <w:t>.</w:t>
      </w:r>
    </w:p>
    <w:p w14:paraId="0B393996" w14:textId="77777777" w:rsidR="001A105D" w:rsidRDefault="00000000">
      <w:pPr>
        <w:pStyle w:val="NoSpacing"/>
        <w:numPr>
          <w:ilvl w:val="0"/>
          <w:numId w:val="33"/>
        </w:numPr>
      </w:pPr>
      <w:r>
        <w:rPr>
          <w:rFonts w:eastAsia="Arial Unicode MS" w:cs="Arial Unicode MS"/>
        </w:rPr>
        <w:lastRenderedPageBreak/>
        <w:t>La aplicación de medidas legislativas y administrativas para promover la contratación de personas con discapacidad en un contexto de igualdad y no discriminación puede observarse en Argentina. Como incentivo, el Estado estableció que los empleadores que cumplan con la cuota mínima de contratación del 4% de personas con discapacidad y adopten medidas de accesibilidad en sus instalaciones tienen derecho a obtener créditos especiales para su financiación</w:t>
      </w:r>
      <w:r>
        <w:rPr>
          <w:rStyle w:val="None"/>
          <w:vertAlign w:val="superscript"/>
        </w:rPr>
        <w:footnoteReference w:id="376"/>
      </w:r>
      <w:r>
        <w:rPr>
          <w:rFonts w:eastAsia="Arial Unicode MS" w:cs="Arial Unicode MS"/>
        </w:rPr>
        <w:t>.</w:t>
      </w:r>
    </w:p>
    <w:p w14:paraId="2D62F10E" w14:textId="77777777" w:rsidR="001A105D" w:rsidRDefault="00000000">
      <w:pPr>
        <w:pStyle w:val="NoSpacing"/>
        <w:numPr>
          <w:ilvl w:val="0"/>
          <w:numId w:val="33"/>
        </w:numPr>
      </w:pPr>
      <w:r>
        <w:t>Por su parte, en Chile, el Servicio Nacional de Discapacidad ha puesto en marcha el Programa de Apoyo a la Inclusión Laboral de Personas con Discapacidad. Este programa tiene como objetivo fomentar la inclusión laboral de este grupo en instituciones tanto públicas como privadas a nivel nacional. Esto se logra mediante la capacitación de los encargados de liderar los procesos de inclusión dentro de las entidades empleadoras</w:t>
      </w:r>
      <w:r>
        <w:rPr>
          <w:rStyle w:val="None"/>
          <w:vertAlign w:val="superscript"/>
        </w:rPr>
        <w:footnoteReference w:id="377"/>
      </w:r>
      <w:r>
        <w:t>.</w:t>
      </w:r>
      <w:r>
        <w:rPr>
          <w:rFonts w:ascii="Arial Unicode MS" w:eastAsia="Arial Unicode MS" w:hAnsi="Arial Unicode MS" w:cs="Arial Unicode MS"/>
        </w:rPr>
        <w:br w:type="page"/>
      </w:r>
    </w:p>
    <w:p w14:paraId="47C67D74" w14:textId="77777777" w:rsidR="001A105D" w:rsidRDefault="00000000">
      <w:pPr>
        <w:pStyle w:val="NoSpacing"/>
        <w:numPr>
          <w:ilvl w:val="0"/>
          <w:numId w:val="33"/>
        </w:numPr>
      </w:pPr>
      <w:r>
        <w:rPr>
          <w:rFonts w:eastAsia="Arial Unicode MS" w:cs="Arial Unicode MS"/>
        </w:rPr>
        <w:lastRenderedPageBreak/>
        <w:t>El Ministerio del Trabajo de Colombia ha desarrollado la Guía para el Proceso de Inclusión Laboral de Personas con Discapacidad. Este documento recopila experiencias exitosas de inclusión y proporciona un enfoque metodológico para facilitar la incorporación laboral de personas con discapacidad en empresas e instituciones</w:t>
      </w:r>
      <w:r>
        <w:rPr>
          <w:rStyle w:val="None"/>
          <w:vertAlign w:val="superscript"/>
        </w:rPr>
        <w:footnoteReference w:id="378"/>
      </w:r>
      <w:r>
        <w:rPr>
          <w:rFonts w:eastAsia="Arial Unicode MS" w:cs="Arial Unicode MS"/>
        </w:rPr>
        <w:t>.</w:t>
      </w:r>
    </w:p>
    <w:p w14:paraId="24C79D0A" w14:textId="77777777" w:rsidR="001A105D" w:rsidRDefault="00000000">
      <w:pPr>
        <w:pStyle w:val="NoSpacing"/>
        <w:numPr>
          <w:ilvl w:val="0"/>
          <w:numId w:val="33"/>
        </w:numPr>
      </w:pPr>
      <w:r>
        <w:rPr>
          <w:rFonts w:eastAsia="Arial Unicode MS" w:cs="Arial Unicode MS"/>
        </w:rPr>
        <w:t>El Estado de Granada fomentó mayor inclusión y buscó crear oportunidades para las personas con discapacidad por medio de capacitación en las áreas de apicultura, hidroponía y secado solar a través del Proyecto “Habilitación de la recuperación ante desastres con perspectiva de género, la resiliencia climática y ambiental en el Caribe (</w:t>
      </w:r>
      <w:proofErr w:type="spellStart"/>
      <w:r>
        <w:rPr>
          <w:rFonts w:eastAsia="Arial Unicode MS" w:cs="Arial Unicode MS"/>
        </w:rPr>
        <w:t>EnGenDER</w:t>
      </w:r>
      <w:proofErr w:type="spellEnd"/>
      <w:r>
        <w:rPr>
          <w:rFonts w:eastAsia="Arial Unicode MS" w:cs="Arial Unicode MS"/>
        </w:rPr>
        <w:t>)”. Esto ha resultado en un total de 37 personas con discapacidad se habían beneficiado de esta iniciativa al año 2022</w:t>
      </w:r>
      <w:r>
        <w:rPr>
          <w:rStyle w:val="None"/>
          <w:vertAlign w:val="superscript"/>
        </w:rPr>
        <w:footnoteReference w:id="379"/>
      </w:r>
      <w:r>
        <w:rPr>
          <w:rFonts w:eastAsia="Arial Unicode MS" w:cs="Arial Unicode MS"/>
        </w:rPr>
        <w:t>. La Estrategia buscó mejorar la resiliencia de los medios de vida de los grupos vulnerables, como las personas con discapacidad, tras el impacto de eventos de peligros naturales o desastres, esperando que la capacitación mejorara las perspectivas de empleo de estas personas para que pudieran obtener ingresos de manera sostenible e independiente</w:t>
      </w:r>
      <w:r>
        <w:rPr>
          <w:rStyle w:val="None"/>
          <w:vertAlign w:val="superscript"/>
        </w:rPr>
        <w:footnoteReference w:id="380"/>
      </w:r>
      <w:r>
        <w:rPr>
          <w:rFonts w:eastAsia="Arial Unicode MS" w:cs="Arial Unicode MS"/>
        </w:rPr>
        <w:t>.</w:t>
      </w:r>
    </w:p>
    <w:p w14:paraId="18E05091" w14:textId="77777777" w:rsidR="001A105D" w:rsidRDefault="00000000">
      <w:pPr>
        <w:pStyle w:val="NoSpacing"/>
        <w:numPr>
          <w:ilvl w:val="0"/>
          <w:numId w:val="33"/>
        </w:numPr>
      </w:pPr>
      <w:r>
        <w:rPr>
          <w:rFonts w:eastAsia="Arial Unicode MS" w:cs="Arial Unicode MS"/>
        </w:rPr>
        <w:t xml:space="preserve">En México, se ha implementado el Programa Nacional de Trabajo y Empleo para las Personas con Discapacidad. Este programa tiene como objetivo promover una serie de servicios </w:t>
      </w:r>
      <w:r>
        <w:rPr>
          <w:rFonts w:eastAsia="Arial Unicode MS" w:cs="Arial Unicode MS"/>
        </w:rPr>
        <w:lastRenderedPageBreak/>
        <w:t>que incluyen información, capacitación y movilidad laboral para las personas con discapacidad. Además, ofrece incentivos fiscales y reconocimientos para fomentar la contratación de este grupo de personas en el ámbito laboral</w:t>
      </w:r>
      <w:r>
        <w:rPr>
          <w:rStyle w:val="None"/>
          <w:vertAlign w:val="superscript"/>
        </w:rPr>
        <w:footnoteReference w:id="381"/>
      </w:r>
      <w:r>
        <w:rPr>
          <w:rFonts w:eastAsia="Arial Unicode MS" w:cs="Arial Unicode MS"/>
        </w:rPr>
        <w:t>.</w:t>
      </w:r>
    </w:p>
    <w:p w14:paraId="707F8C89" w14:textId="77777777" w:rsidR="001A105D" w:rsidRDefault="00000000">
      <w:pPr>
        <w:pStyle w:val="NoSpacing"/>
        <w:numPr>
          <w:ilvl w:val="0"/>
          <w:numId w:val="33"/>
        </w:numPr>
      </w:pPr>
      <w:r>
        <w:t>La Norma Técnica para el diseño, implementación y ejecución de ajustes razonables para el empleo de personas con discapacidad en el sector privado de Perú ha buscado avanzar con la inclusión de estas personas en empresas y espacios privados</w:t>
      </w:r>
      <w:r>
        <w:rPr>
          <w:rStyle w:val="None"/>
          <w:vertAlign w:val="superscript"/>
        </w:rPr>
        <w:footnoteReference w:id="382"/>
      </w:r>
      <w:r>
        <w:t>.</w:t>
      </w:r>
    </w:p>
    <w:p w14:paraId="683F5702" w14:textId="77777777" w:rsidR="001A105D" w:rsidRDefault="00000000">
      <w:pPr>
        <w:pStyle w:val="NoSpacing"/>
        <w:numPr>
          <w:ilvl w:val="0"/>
          <w:numId w:val="33"/>
        </w:numPr>
      </w:pPr>
      <w:r>
        <w:rPr>
          <w:rFonts w:eastAsia="Arial Unicode MS" w:cs="Arial Unicode MS"/>
        </w:rPr>
        <w:t>En Uruguay, la Ley de Protección Integral estableció un incentivo de priorización de empresas con trabajadores con discapacidad en las contrataciones estatales</w:t>
      </w:r>
      <w:r>
        <w:rPr>
          <w:rStyle w:val="None"/>
          <w:vertAlign w:val="superscript"/>
        </w:rPr>
        <w:footnoteReference w:id="383"/>
      </w:r>
      <w:r>
        <w:rPr>
          <w:rFonts w:eastAsia="Arial Unicode MS" w:cs="Arial Unicode MS"/>
        </w:rPr>
        <w:t>.</w:t>
      </w:r>
    </w:p>
    <w:p w14:paraId="60F9CFA7" w14:textId="77777777" w:rsidR="001A105D" w:rsidRDefault="00000000">
      <w:pPr>
        <w:pStyle w:val="NoSpacing"/>
        <w:numPr>
          <w:ilvl w:val="0"/>
          <w:numId w:val="33"/>
        </w:numPr>
      </w:pPr>
      <w:r>
        <w:rPr>
          <w:rFonts w:eastAsia="Arial Unicode MS" w:cs="Arial Unicode MS"/>
        </w:rPr>
        <w:t xml:space="preserve">A pesar de los avances, la sociedad civil destacó el uso de figuras de contrato laboral que tratan al trabajo no como un derecho, sino como una concesión hacia la persona con discapacidad. Entre estas, la empleabilidad bajo figuras de “contrato de aprendizaje” y “talleres de trabajo protegido”, en algunos casos, tienden a condicionar a las personas con </w:t>
      </w:r>
      <w:r>
        <w:rPr>
          <w:rFonts w:eastAsia="Arial Unicode MS" w:cs="Arial Unicode MS"/>
        </w:rPr>
        <w:lastRenderedPageBreak/>
        <w:t>discapacidad manteniendo limitaciones e ignorando sus habilidades y potencialidades. Dichas figuras, que afectan especialmente a personas con discapacidad intelectual y psicosocial, tienden a convertirse en formas de abuso laboral, con salarios nulos o mínimos, sin fecha de culminación del período de aprendizaje, sin contratos formales, sin seguridad social y sin posibilidad de crecimiento profesional.</w:t>
      </w:r>
      <w:r>
        <w:rPr>
          <w:rStyle w:val="None"/>
          <w:vertAlign w:val="superscript"/>
        </w:rPr>
        <w:footnoteReference w:id="384"/>
      </w:r>
      <w:r>
        <w:rPr>
          <w:rFonts w:eastAsia="Arial Unicode MS" w:cs="Arial Unicode MS"/>
        </w:rPr>
        <w:t xml:space="preserve"> </w:t>
      </w:r>
    </w:p>
    <w:p w14:paraId="6AA01108" w14:textId="77777777" w:rsidR="001A105D" w:rsidRDefault="00000000">
      <w:pPr>
        <w:pStyle w:val="NoSpacing"/>
        <w:numPr>
          <w:ilvl w:val="0"/>
          <w:numId w:val="33"/>
        </w:numPr>
      </w:pPr>
      <w:r>
        <w:rPr>
          <w:rFonts w:eastAsia="Arial Unicode MS" w:cs="Arial Unicode MS"/>
        </w:rPr>
        <w:t>Asimismo, las organizaciones de la sociedad civil informaron que en muchos países de la región aún no se considera la implementación de ajustes razonables en los entornos laborales como un derecho vinculado a la no discriminación de las personas con discapacidad.</w:t>
      </w:r>
      <w:r>
        <w:rPr>
          <w:rStyle w:val="None"/>
          <w:vertAlign w:val="superscript"/>
        </w:rPr>
        <w:footnoteReference w:id="385"/>
      </w:r>
    </w:p>
    <w:p w14:paraId="19BA582B" w14:textId="77777777" w:rsidR="001A105D" w:rsidRDefault="00000000">
      <w:pPr>
        <w:pStyle w:val="NoSpacing"/>
        <w:numPr>
          <w:ilvl w:val="0"/>
          <w:numId w:val="33"/>
        </w:numPr>
      </w:pPr>
      <w:r>
        <w:rPr>
          <w:rFonts w:eastAsia="Arial Unicode MS" w:cs="Arial Unicode MS"/>
        </w:rPr>
        <w:t>La perspectiva de trabajo bajo estas condiciones contradice el enfoque de derechos humanos establecido en la CDPD, que reconoce el “derecho a tener la oportunidad de ganarse la vida mediante un trabajo libremente elegido o aceptado en un mercado y un entorno laborales que sean abiertos, inclusivos y accesibles”.</w:t>
      </w:r>
      <w:r>
        <w:rPr>
          <w:rStyle w:val="None"/>
          <w:vertAlign w:val="superscript"/>
        </w:rPr>
        <w:footnoteReference w:id="386"/>
      </w:r>
      <w:r>
        <w:rPr>
          <w:rFonts w:eastAsia="Arial Unicode MS" w:cs="Arial Unicode MS"/>
        </w:rPr>
        <w:t xml:space="preserve"> En especial, esto impacta el reconocimiento del derecho a ejercer la capacidad de decidir y elegir los planes de vida laboral, de manera que dicha decisión no recaiga en el </w:t>
      </w:r>
      <w:r>
        <w:rPr>
          <w:rFonts w:eastAsia="Arial Unicode MS" w:cs="Arial Unicode MS"/>
        </w:rPr>
        <w:lastRenderedPageBreak/>
        <w:t>empleador bajo prejuicios sobre lo que puede o no hacer una persona con discapacidad.</w:t>
      </w:r>
    </w:p>
    <w:p w14:paraId="1CD5318E" w14:textId="77777777" w:rsidR="001A105D" w:rsidRDefault="00000000">
      <w:pPr>
        <w:pStyle w:val="NoSpacing"/>
        <w:numPr>
          <w:ilvl w:val="0"/>
          <w:numId w:val="33"/>
        </w:numPr>
      </w:pPr>
      <w:r>
        <w:rPr>
          <w:rFonts w:eastAsia="Arial Unicode MS" w:cs="Arial Unicode MS"/>
        </w:rPr>
        <w:t xml:space="preserve">A criterio de la Comisión, muchas leyes y políticas públicas relacionadas con el derecho al trabajo en los países de la región continúan reproduciendo, en parte de su contenido, el estigma del paradigma médico para abordar la discapacidad. Esto se refleja tanto en la terminología utilizada (como "minusválidos", "discapacitados", "enfermedad” equiparada a “discapacidad", "disminución de capacidad física o intelectual") como en el enfoque adoptado (como el trabajo protegido, la creación y asignación de puestos "específicos o especiales" según "sus capacidades", o la priorización de beneficios según el tipo de diagnóstico de la persona). Estas prácticas continúan perpetuando la segregación de las personas con discapacidad y limitando su acceso a la oferta laboral, basándose en estereotipos "capacitistas" sobre lo que se considera que estas personas pueden realizar. </w:t>
      </w:r>
    </w:p>
    <w:p w14:paraId="39DAD673" w14:textId="77777777" w:rsidR="001A105D" w:rsidRDefault="00000000">
      <w:pPr>
        <w:pStyle w:val="NoSpacing"/>
        <w:numPr>
          <w:ilvl w:val="0"/>
          <w:numId w:val="33"/>
        </w:numPr>
      </w:pPr>
      <w:r>
        <w:t xml:space="preserve">A lo anterior se suma la persistencia de leyes y políticas públicas permeadas por el modelo médico. Estas leyes aún "naturalizan" que las personas con discapacidad no reciban una remuneración adecuada por su trabajo e incluso que no se les pague el salario mínimo; trabajen sin contratos regulares y, en consecuencia, sin seguridad social. Subrayase, que, en la mayoría de los países de la región, las personas con discapacidad pierden los beneficios de protección social al obtener un empleo, a pesar de que en la mayoría de los casos se trata de situaciones de subempleo, temporales y mínimamente remuneradas. Esto, en última instancia, deja a este sector de la población en una situación de mayor vulnerabilidad, dadas las escasas fuentes de ingresos que </w:t>
      </w:r>
      <w:r>
        <w:lastRenderedPageBreak/>
        <w:t>reciben y los gastos adicionales que deben afrontar diariamente en comparación con la población sin discapacidad.</w:t>
      </w:r>
    </w:p>
    <w:p w14:paraId="1B61C6A8" w14:textId="77777777" w:rsidR="001A105D" w:rsidRDefault="00000000">
      <w:pPr>
        <w:pStyle w:val="NoSpacing"/>
        <w:numPr>
          <w:ilvl w:val="0"/>
          <w:numId w:val="33"/>
        </w:numPr>
      </w:pPr>
      <w:r>
        <w:rPr>
          <w:rFonts w:eastAsia="Arial Unicode MS" w:cs="Arial Unicode MS"/>
        </w:rPr>
        <w:t xml:space="preserve">El artículo 27 de la CDPD prohíbe la discriminación por motivos de discapacidad respecto de: i) las condiciones de selección; </w:t>
      </w:r>
      <w:proofErr w:type="spellStart"/>
      <w:r>
        <w:rPr>
          <w:rFonts w:eastAsia="Arial Unicode MS" w:cs="Arial Unicode MS"/>
        </w:rPr>
        <w:t>ii</w:t>
      </w:r>
      <w:proofErr w:type="spellEnd"/>
      <w:r>
        <w:rPr>
          <w:rFonts w:eastAsia="Arial Unicode MS" w:cs="Arial Unicode MS"/>
        </w:rPr>
        <w:t xml:space="preserve">) la contratación; </w:t>
      </w:r>
      <w:proofErr w:type="spellStart"/>
      <w:r>
        <w:rPr>
          <w:rFonts w:eastAsia="Arial Unicode MS" w:cs="Arial Unicode MS"/>
        </w:rPr>
        <w:t>iii</w:t>
      </w:r>
      <w:proofErr w:type="spellEnd"/>
      <w:r>
        <w:rPr>
          <w:rFonts w:eastAsia="Arial Unicode MS" w:cs="Arial Unicode MS"/>
        </w:rPr>
        <w:t xml:space="preserve">) el empleo; </w:t>
      </w:r>
      <w:proofErr w:type="spellStart"/>
      <w:r>
        <w:rPr>
          <w:rFonts w:eastAsia="Arial Unicode MS" w:cs="Arial Unicode MS"/>
        </w:rPr>
        <w:t>iv</w:t>
      </w:r>
      <w:proofErr w:type="spellEnd"/>
      <w:r>
        <w:rPr>
          <w:rFonts w:eastAsia="Arial Unicode MS" w:cs="Arial Unicode MS"/>
        </w:rPr>
        <w:t xml:space="preserve">) la continuidad en el empleo; v) la promoción profesional; </w:t>
      </w:r>
      <w:proofErr w:type="gramStart"/>
      <w:r>
        <w:rPr>
          <w:rFonts w:eastAsia="Arial Unicode MS" w:cs="Arial Unicode MS"/>
        </w:rPr>
        <w:t>y  vi</w:t>
      </w:r>
      <w:proofErr w:type="gramEnd"/>
      <w:r>
        <w:rPr>
          <w:rFonts w:eastAsia="Arial Unicode MS" w:cs="Arial Unicode MS"/>
        </w:rPr>
        <w:t>) las condiciones de trabajo (seguras, saludables, justas y favorables). Adicionalmente, determina la obligación de los Estados de garantizar que las personas con discapacidad puedan ejercer sus derechos laborales y sindicales en igualdad de condiciones con las demás, para lo cual mandata la implementación de ajustes razonables.</w:t>
      </w:r>
      <w:r>
        <w:rPr>
          <w:rStyle w:val="None"/>
          <w:vertAlign w:val="superscript"/>
        </w:rPr>
        <w:footnoteReference w:id="387"/>
      </w:r>
      <w:r>
        <w:rPr>
          <w:rFonts w:eastAsia="Arial Unicode MS" w:cs="Arial Unicode MS"/>
        </w:rPr>
        <w:t xml:space="preserve"> </w:t>
      </w:r>
    </w:p>
    <w:p w14:paraId="110EDC72" w14:textId="77777777" w:rsidR="001A105D" w:rsidRDefault="00000000">
      <w:pPr>
        <w:pStyle w:val="NoSpacing"/>
        <w:numPr>
          <w:ilvl w:val="0"/>
          <w:numId w:val="33"/>
        </w:numPr>
      </w:pPr>
      <w:r>
        <w:rPr>
          <w:rFonts w:eastAsia="Arial Unicode MS" w:cs="Arial Unicode MS"/>
        </w:rPr>
        <w:t>La Convención también estableció la obligación de prevenir y, en su caso, garantizar la reparación por el acoso hacia las personas con discapacidad. Asimismo, indica una serie de medidas que los Estados deben implementar para asegurar el acceso equitativo de estas personas al empleo. Estas medidas incluyen la creación de condiciones que igualen las oportunidades en la búsqueda, obtención, mantenimiento y regreso al empleo, la promoción del autoempleo, la contratación en el sector público, y el estímulo de su empleo en el sector privado mediante acciones afirmativas, incentivos y otras estrategias</w:t>
      </w:r>
      <w:r>
        <w:rPr>
          <w:rStyle w:val="None"/>
          <w:vertAlign w:val="superscript"/>
        </w:rPr>
        <w:footnoteReference w:id="388"/>
      </w:r>
      <w:r>
        <w:rPr>
          <w:rFonts w:eastAsia="Arial Unicode MS" w:cs="Arial Unicode MS"/>
        </w:rPr>
        <w:t>.</w:t>
      </w:r>
    </w:p>
    <w:p w14:paraId="022BCAD9" w14:textId="77777777" w:rsidR="001A105D" w:rsidRDefault="00000000">
      <w:pPr>
        <w:pStyle w:val="NoSpacing"/>
        <w:numPr>
          <w:ilvl w:val="0"/>
          <w:numId w:val="33"/>
        </w:numPr>
      </w:pPr>
      <w:r>
        <w:rPr>
          <w:rFonts w:eastAsia="Arial Unicode MS" w:cs="Arial Unicode MS"/>
        </w:rPr>
        <w:t xml:space="preserve">La Corte Interamericana ha desarrollado estándares interamericanos sobre el derecho al trabajo y la protección social de las personas con discapacidad. En el caso Muelle </w:t>
      </w:r>
      <w:r>
        <w:rPr>
          <w:rFonts w:eastAsia="Arial Unicode MS" w:cs="Arial Unicode MS"/>
        </w:rPr>
        <w:lastRenderedPageBreak/>
        <w:t>Flores vs Perú, que discutió la discriminación interseccional entre discapacidad y edad avanzada, se destacó la importancia del cumplimiento efectivo de las sentencias judiciales, especialmente cuando se trata de prestaciones alimentarias que sustituyen al salario, ya que esto afecta el derecho a una vida digna de personas con discapacidad. Además, reconoció las necesidades particulares de protección de las personas mayores y con discapacidad, cuyas oportunidades laborales se ven significativamente limitadas</w:t>
      </w:r>
      <w:r>
        <w:rPr>
          <w:rStyle w:val="None"/>
          <w:vertAlign w:val="superscript"/>
        </w:rPr>
        <w:footnoteReference w:id="389"/>
      </w:r>
      <w:r>
        <w:rPr>
          <w:rFonts w:eastAsia="Arial Unicode MS" w:cs="Arial Unicode MS"/>
        </w:rPr>
        <w:t>.</w:t>
      </w:r>
    </w:p>
    <w:p w14:paraId="65119A9B" w14:textId="77777777" w:rsidR="001A105D" w:rsidRDefault="00000000">
      <w:pPr>
        <w:pStyle w:val="NoSpacing"/>
        <w:numPr>
          <w:ilvl w:val="0"/>
          <w:numId w:val="33"/>
        </w:numPr>
      </w:pPr>
      <w:r>
        <w:rPr>
          <w:rFonts w:eastAsia="Arial Unicode MS" w:cs="Arial Unicode MS"/>
        </w:rPr>
        <w:t>A su vez, en el Caso Guevara Diaz vs Costa Rica, la Corte IDH enfatizó que la discapacidad es una categoría protegida, y cualquier norma o práctica discriminatoria basada en ella está prohibida. Igualmente, estableció que los Estados deben garantizar el acceso igualitario de las personas con discapacidad a concursos públicos mediante la formación profesional, ajustes en los procesos de evaluación y medidas positivas que promuevan su empleo en el sector público. Esta sentencia representa un hito en la jurisprudencia sobre los derechos económicos, sociales y culturales, especialmente en lo que respecta al derecho al trabajo de las personas con discapacidad en la región</w:t>
      </w:r>
      <w:r>
        <w:rPr>
          <w:rStyle w:val="None"/>
          <w:vertAlign w:val="superscript"/>
        </w:rPr>
        <w:footnoteReference w:id="390"/>
      </w:r>
      <w:r>
        <w:rPr>
          <w:rFonts w:eastAsia="Arial Unicode MS" w:cs="Arial Unicode MS"/>
        </w:rPr>
        <w:t>.</w:t>
      </w:r>
    </w:p>
    <w:p w14:paraId="6F6519DB" w14:textId="77777777" w:rsidR="001A105D" w:rsidRDefault="00000000">
      <w:pPr>
        <w:pStyle w:val="NoSpacing"/>
        <w:numPr>
          <w:ilvl w:val="0"/>
          <w:numId w:val="33"/>
        </w:numPr>
      </w:pPr>
      <w:r>
        <w:t xml:space="preserve">En este contexto, la CIDH afirma que la negación de ajustes razonables constituye discriminación, según lo establecido en los artículos 2 y 5 de la CDPD. Asimismo, se observa la falta de políticas públicas integrales, con presupuesto asignado, así </w:t>
      </w:r>
      <w:r>
        <w:lastRenderedPageBreak/>
        <w:t xml:space="preserve">como medidas concretas de fiscalización y sanción, destinadas a promover y materializar el empleo de las personas con discapacidad tanto en el sector público como en el privado. Esto se lograría mediante una política pública integral, que incluya también la capacitación de empleadores y la implementación de medidas de accesibilidad en los lugares de trabajo. </w:t>
      </w:r>
    </w:p>
    <w:p w14:paraId="149DC678" w14:textId="77777777" w:rsidR="001A105D" w:rsidRDefault="00000000">
      <w:pPr>
        <w:pStyle w:val="NoSpacing"/>
        <w:numPr>
          <w:ilvl w:val="0"/>
          <w:numId w:val="33"/>
        </w:numPr>
      </w:pPr>
      <w:r>
        <w:rPr>
          <w:rFonts w:eastAsia="Arial Unicode MS" w:cs="Arial Unicode MS"/>
        </w:rPr>
        <w:t>Teniendo en cuenta todo lo analizado, se llama a los Estados a implementar sin dilación las medidas legislativas, políticas y administrativas necesarias para garantizar el acceso efectivo al mercado laboral abierto de las personas con discapacidad.</w:t>
      </w:r>
    </w:p>
    <w:p w14:paraId="03D3B041" w14:textId="77777777" w:rsidR="001A105D" w:rsidRDefault="001A105D">
      <w:pPr>
        <w:pStyle w:val="Body"/>
        <w:rPr>
          <w:sz w:val="20"/>
          <w:szCs w:val="20"/>
        </w:rPr>
      </w:pPr>
    </w:p>
    <w:p w14:paraId="6B1D6C1A" w14:textId="77777777" w:rsidR="001A105D" w:rsidRDefault="00000000">
      <w:pPr>
        <w:pStyle w:val="Heading2"/>
      </w:pPr>
      <w:r>
        <w:rPr>
          <w:rFonts w:ascii="Arial Unicode MS" w:eastAsia="Arial Unicode MS" w:hAnsi="Arial Unicode MS" w:cs="Arial Unicode MS"/>
        </w:rPr>
        <w:br w:type="page"/>
      </w:r>
    </w:p>
    <w:p w14:paraId="62C90E04" w14:textId="64D0841A" w:rsidR="001A105D" w:rsidRDefault="00000000">
      <w:pPr>
        <w:pStyle w:val="Heading2"/>
        <w:numPr>
          <w:ilvl w:val="0"/>
          <w:numId w:val="71"/>
        </w:numPr>
      </w:pPr>
      <w:bookmarkStart w:id="23" w:name="_Toc20"/>
      <w:r>
        <w:rPr>
          <w:rFonts w:eastAsia="Arial Unicode MS" w:cs="Arial Unicode MS"/>
        </w:rPr>
        <w:lastRenderedPageBreak/>
        <w:t>DERECHO A LA CAPACIDAD JURÍDICA</w:t>
      </w:r>
      <w:bookmarkEnd w:id="23"/>
    </w:p>
    <w:p w14:paraId="562B90EF" w14:textId="77777777" w:rsidR="001A105D" w:rsidRDefault="00000000">
      <w:pPr>
        <w:pStyle w:val="Heading3"/>
        <w:numPr>
          <w:ilvl w:val="0"/>
          <w:numId w:val="72"/>
        </w:numPr>
      </w:pPr>
      <w:bookmarkStart w:id="24" w:name="_Toc21"/>
      <w:proofErr w:type="spellStart"/>
      <w:r>
        <w:rPr>
          <w:rFonts w:eastAsia="Arial Unicode MS" w:cs="Arial Unicode MS"/>
        </w:rPr>
        <w:t>Consideraciones</w:t>
      </w:r>
      <w:proofErr w:type="spellEnd"/>
      <w:r>
        <w:rPr>
          <w:rFonts w:eastAsia="Arial Unicode MS" w:cs="Arial Unicode MS"/>
        </w:rPr>
        <w:t xml:space="preserve"> </w:t>
      </w:r>
      <w:proofErr w:type="spellStart"/>
      <w:r>
        <w:rPr>
          <w:rFonts w:eastAsia="Arial Unicode MS" w:cs="Arial Unicode MS"/>
        </w:rPr>
        <w:t>generales</w:t>
      </w:r>
      <w:bookmarkEnd w:id="24"/>
      <w:proofErr w:type="spellEnd"/>
    </w:p>
    <w:p w14:paraId="606406BA" w14:textId="77777777" w:rsidR="001A105D" w:rsidRDefault="00000000">
      <w:pPr>
        <w:pStyle w:val="NoSpacing"/>
        <w:numPr>
          <w:ilvl w:val="0"/>
          <w:numId w:val="73"/>
        </w:numPr>
      </w:pPr>
      <w:r>
        <w:rPr>
          <w:rFonts w:eastAsia="Arial Unicode MS" w:cs="Arial Unicode MS"/>
        </w:rPr>
        <w:t>En línea con el modelo social y de derechos humanos en la comprensión de la discapacidad, tanto la CDPD como la reinterpretación de la Convención Interamericana efectuada por el CEDDIS, hicieron hincapié en la transformación paradigmática respecto del derecho a la capacidad jurídica</w:t>
      </w:r>
      <w:r>
        <w:rPr>
          <w:rStyle w:val="None"/>
          <w:vertAlign w:val="superscript"/>
        </w:rPr>
        <w:footnoteReference w:id="391"/>
      </w:r>
      <w:r>
        <w:rPr>
          <w:rFonts w:eastAsia="Arial Unicode MS" w:cs="Arial Unicode MS"/>
        </w:rPr>
        <w:t xml:space="preserve">. </w:t>
      </w:r>
    </w:p>
    <w:p w14:paraId="7862E89B" w14:textId="77777777" w:rsidR="001A105D" w:rsidRDefault="00000000">
      <w:pPr>
        <w:pStyle w:val="NoSpacing"/>
        <w:numPr>
          <w:ilvl w:val="0"/>
          <w:numId w:val="33"/>
        </w:numPr>
      </w:pPr>
      <w:r>
        <w:rPr>
          <w:rFonts w:eastAsia="Arial Unicode MS" w:cs="Arial Unicode MS"/>
        </w:rPr>
        <w:t xml:space="preserve">Esto supone dejar atrás las concepciones que establecen y naturalizan la sustitución de la voluntad, característica del modelo médico-capacitista aún presente en la mayoría de los Códigos Civiles de los Estados de la región, por un modelo basado en el reconocimiento pleno, sin restricciones, del derecho a tomar decisiones en todos los ámbitos de la vida. Ello, a través de la implementación de sistemas de apoyo para esa toma de decisiones cuando la persona lo elija y lo requiera. Igualmente, de un sistema de salvaguardias para garantizar que el derecho sea respetado y vinculante. </w:t>
      </w:r>
    </w:p>
    <w:p w14:paraId="058276C0" w14:textId="77777777" w:rsidR="001A105D" w:rsidRDefault="00000000">
      <w:pPr>
        <w:pStyle w:val="NoSpacing"/>
        <w:numPr>
          <w:ilvl w:val="0"/>
          <w:numId w:val="33"/>
        </w:numPr>
      </w:pPr>
      <w:r>
        <w:t xml:space="preserve">La CIDH entiende que el derecho a la capacidad jurídica es un pilar fundamental y el pre-requisito para el ejercicio práctico de todos los otros derechos humanos por parte de las personas </w:t>
      </w:r>
      <w:r>
        <w:lastRenderedPageBreak/>
        <w:t>con discapacidad. La ausencia de su reconocimiento generaría efectos semejantes a la muerte civil de estas personas.</w:t>
      </w:r>
    </w:p>
    <w:p w14:paraId="791261B6" w14:textId="77777777" w:rsidR="001A105D" w:rsidRDefault="00000000">
      <w:pPr>
        <w:pStyle w:val="NoSpacing"/>
        <w:numPr>
          <w:ilvl w:val="0"/>
          <w:numId w:val="33"/>
        </w:numPr>
      </w:pPr>
      <w:r>
        <w:rPr>
          <w:rFonts w:eastAsia="Arial Unicode MS" w:cs="Arial Unicode MS"/>
        </w:rPr>
        <w:t>En los marcos normativos de la región, se justifica el despojo del derecho al ejercicio de la capacidad jurídica bajo el pretexto de la "discapacidad", interpretada como "incapacidad" o "enfermedad". Esto conlleva a la instauración de una privación de la capacidad de adquirir obligaciones y ejercer derechos a un grupo importante de la población. Este proceso acaba por institucionalizar y normalizar la exclusión y segregación por medio de prácticas sociales, políticas, económicas y culturales que desconocen la esencia de la humanidad como diversa. En su lugar, reproducen estigmas y actitudes que alimentan la discriminación.</w:t>
      </w:r>
    </w:p>
    <w:p w14:paraId="513B8BA3" w14:textId="77777777" w:rsidR="001A105D" w:rsidRDefault="00000000">
      <w:pPr>
        <w:pStyle w:val="NoSpacing"/>
        <w:numPr>
          <w:ilvl w:val="0"/>
          <w:numId w:val="33"/>
        </w:numPr>
      </w:pPr>
      <w:r>
        <w:rPr>
          <w:rFonts w:eastAsia="Arial Unicode MS" w:cs="Arial Unicode MS"/>
        </w:rPr>
        <w:t xml:space="preserve">Los impactos de dichas medidas se extienden más allá del ámbito de la salud, alcanzando otros espacios como la educación, la protección social, la participación política, el derecho a una vida independiente y el acceso a la justicia, entre otros. Como resultado, se impide el ejercicio de diversos derechos humanos a las personas con discapacidad, al mismo tiempo que se profundiza su situación de vulneración y exclusión; así como su exposición </w:t>
      </w:r>
      <w:proofErr w:type="spellStart"/>
      <w:r>
        <w:rPr>
          <w:rFonts w:eastAsia="Arial Unicode MS" w:cs="Arial Unicode MS"/>
        </w:rPr>
        <w:t>al</w:t>
      </w:r>
      <w:proofErr w:type="spellEnd"/>
      <w:r>
        <w:rPr>
          <w:rFonts w:eastAsia="Arial Unicode MS" w:cs="Arial Unicode MS"/>
        </w:rPr>
        <w:t xml:space="preserve"> un escrutinio y desconfianza adicionales, cuando quieren ejercer su derecho inherente a la capacidad jurídica y al acceso a la justicia.</w:t>
      </w:r>
    </w:p>
    <w:p w14:paraId="7468C441" w14:textId="77777777" w:rsidR="001A105D" w:rsidRDefault="00000000">
      <w:pPr>
        <w:pStyle w:val="Heading3"/>
        <w:numPr>
          <w:ilvl w:val="0"/>
          <w:numId w:val="74"/>
        </w:numPr>
      </w:pPr>
      <w:bookmarkStart w:id="25" w:name="_Toc22"/>
      <w:r>
        <w:rPr>
          <w:rFonts w:eastAsia="Arial Unicode MS" w:cs="Arial Unicode MS"/>
          <w:lang w:val="es-ES_tradnl"/>
        </w:rPr>
        <w:t>La discriminación por motivos de discapacidad en el ejercicio del derecho a la capacidad jur</w:t>
      </w:r>
      <w:proofErr w:type="spellStart"/>
      <w:r>
        <w:rPr>
          <w:rFonts w:eastAsia="Arial Unicode MS" w:cs="Arial Unicode MS"/>
        </w:rPr>
        <w:t>ídica</w:t>
      </w:r>
      <w:bookmarkEnd w:id="25"/>
      <w:proofErr w:type="spellEnd"/>
    </w:p>
    <w:p w14:paraId="723DDBDC" w14:textId="77777777" w:rsidR="001A105D" w:rsidRDefault="00000000">
      <w:pPr>
        <w:pStyle w:val="NoSpacing"/>
        <w:numPr>
          <w:ilvl w:val="0"/>
          <w:numId w:val="75"/>
        </w:numPr>
      </w:pPr>
      <w:r>
        <w:rPr>
          <w:rFonts w:eastAsia="Arial Unicode MS" w:cs="Arial Unicode MS"/>
        </w:rPr>
        <w:t xml:space="preserve">El reconocimiento de la capacidad jurídica de las personas con discapacidad está estrechamente ligado al derecho a la igualdad ante la ley, un principio fundamental que se encuentra </w:t>
      </w:r>
      <w:r>
        <w:rPr>
          <w:rFonts w:eastAsia="Arial Unicode MS" w:cs="Arial Unicode MS"/>
        </w:rPr>
        <w:lastRenderedPageBreak/>
        <w:t>ampliamente respaldado en el derecho internacional de los derechos humanos, como principio rector y como derecho fundamental. En el ámbito del Sistema Interamericano, este reconocimiento se consigna en diversos instrumentos como en el artículo II de la Declaración Americana de los Derechos y Deberes del Hombre, así como el artículo 24 de la Convención Americana</w:t>
      </w:r>
      <w:r>
        <w:rPr>
          <w:rStyle w:val="None"/>
          <w:vertAlign w:val="superscript"/>
        </w:rPr>
        <w:footnoteReference w:id="392"/>
      </w:r>
      <w:r>
        <w:rPr>
          <w:rFonts w:eastAsia="Arial Unicode MS" w:cs="Arial Unicode MS"/>
        </w:rPr>
        <w:t>.</w:t>
      </w:r>
    </w:p>
    <w:p w14:paraId="4A2876A4" w14:textId="77777777" w:rsidR="001A105D" w:rsidRDefault="00000000">
      <w:pPr>
        <w:pStyle w:val="NoSpacing"/>
        <w:numPr>
          <w:ilvl w:val="0"/>
          <w:numId w:val="33"/>
        </w:numPr>
      </w:pPr>
      <w:r>
        <w:rPr>
          <w:rFonts w:eastAsia="Arial Unicode MS" w:cs="Arial Unicode MS"/>
        </w:rPr>
        <w:t>La propia Corte IDH ha resaltado la estrecha relación entre el principio de no discriminación y el principio de igualdad ante la ley</w:t>
      </w:r>
      <w:r>
        <w:rPr>
          <w:rStyle w:val="None"/>
          <w:vertAlign w:val="superscript"/>
        </w:rPr>
        <w:footnoteReference w:id="393"/>
      </w:r>
      <w:r>
        <w:rPr>
          <w:rFonts w:eastAsia="Arial Unicode MS" w:cs="Arial Unicode MS"/>
        </w:rPr>
        <w:t>. En consecuencia, la igualdad ante la ley debe ser garantizada sin excepción alguna</w:t>
      </w:r>
      <w:r>
        <w:rPr>
          <w:rStyle w:val="None"/>
          <w:vertAlign w:val="superscript"/>
        </w:rPr>
        <w:footnoteReference w:id="394"/>
      </w:r>
      <w:r>
        <w:rPr>
          <w:rFonts w:eastAsia="Arial Unicode MS" w:cs="Arial Unicode MS"/>
        </w:rPr>
        <w:t>. Por tanto, los Estados están obligados a eliminar de sus ordenamientos jurídicos las leyes discriminatorias y abstenerse de introducir cualquier legislación de este tipo. Además, los Estados tienen el deber de combatir las prácticas discriminatorias y establecer normas y otras medidas que reconozcan y aseguren la efectiva igualdad ante la ley</w:t>
      </w:r>
      <w:r>
        <w:rPr>
          <w:rStyle w:val="None"/>
          <w:vertAlign w:val="superscript"/>
        </w:rPr>
        <w:footnoteReference w:id="395"/>
      </w:r>
      <w:r>
        <w:rPr>
          <w:rFonts w:eastAsia="Arial Unicode MS" w:cs="Arial Unicode MS"/>
        </w:rPr>
        <w:t>.</w:t>
      </w:r>
    </w:p>
    <w:p w14:paraId="0D5C44D4" w14:textId="77777777" w:rsidR="001A105D" w:rsidRDefault="00000000">
      <w:pPr>
        <w:pStyle w:val="NoSpacing"/>
        <w:numPr>
          <w:ilvl w:val="0"/>
          <w:numId w:val="33"/>
        </w:numPr>
      </w:pPr>
      <w:r>
        <w:rPr>
          <w:rFonts w:eastAsia="Arial Unicode MS" w:cs="Arial Unicode MS"/>
        </w:rPr>
        <w:t xml:space="preserve">En el caso de las personas con discapacidad, tanto el CEDDIS como la Corte IDH han interpretado de manera evolutiva el </w:t>
      </w:r>
      <w:r>
        <w:rPr>
          <w:rFonts w:eastAsia="Arial Unicode MS" w:cs="Arial Unicode MS"/>
        </w:rPr>
        <w:lastRenderedPageBreak/>
        <w:t xml:space="preserve">articulo VII de la CIADDIS, respecto a la capacidad jurídica, en consonancia con el artículo 29 de la CADH y la Convención sobre los Derechos de las Personas con Discapacidad de la ONU. Esto para para atender al paradigma social y de derechos humanos y el principio </w:t>
      </w:r>
      <w:proofErr w:type="gramStart"/>
      <w:r>
        <w:rPr>
          <w:rStyle w:val="Hyperlink3"/>
          <w:rFonts w:eastAsia="Arial Unicode MS" w:cs="Arial Unicode MS"/>
        </w:rPr>
        <w:t>pro persona</w:t>
      </w:r>
      <w:proofErr w:type="gramEnd"/>
      <w:r>
        <w:rPr>
          <w:rFonts w:eastAsia="Arial Unicode MS" w:cs="Arial Unicode MS"/>
        </w:rPr>
        <w:t xml:space="preserve"> de la Convención Americana, así como en línea con el artículo 31 de la Convención de Viena</w:t>
      </w:r>
      <w:r>
        <w:rPr>
          <w:rStyle w:val="None"/>
          <w:vertAlign w:val="superscript"/>
        </w:rPr>
        <w:footnoteReference w:id="396"/>
      </w:r>
      <w:r>
        <w:rPr>
          <w:rFonts w:eastAsia="Arial Unicode MS" w:cs="Arial Unicode MS"/>
        </w:rPr>
        <w:t>.</w:t>
      </w:r>
    </w:p>
    <w:p w14:paraId="27C924ED" w14:textId="77777777" w:rsidR="001A105D" w:rsidRDefault="00000000">
      <w:pPr>
        <w:pStyle w:val="NoSpacing"/>
        <w:numPr>
          <w:ilvl w:val="0"/>
          <w:numId w:val="33"/>
        </w:numPr>
      </w:pPr>
      <w:r>
        <w:rPr>
          <w:rFonts w:eastAsia="Arial Unicode MS" w:cs="Arial Unicode MS"/>
        </w:rPr>
        <w:t>El CEDDIS determinó que el artículo I.2, inciso b) in fine de la CIADDIS presenta una seria contradicción con lo establecido en los artículos 2 y 12 de la CDPD. Por lo tanto, requiere una reinterpretación para armonizar el criterio sobre el derecho a la capacidad jurídica y el principio de no discriminación. Basándose en la definición de discriminación del artículo 2 de la CDPD, que prohíbe la discriminación por motivos de discapacidad en cualquier ámbito</w:t>
      </w:r>
      <w:r>
        <w:rPr>
          <w:rStyle w:val="None"/>
          <w:vertAlign w:val="superscript"/>
        </w:rPr>
        <w:footnoteReference w:id="397"/>
      </w:r>
      <w:r>
        <w:rPr>
          <w:rFonts w:eastAsia="Arial Unicode MS" w:cs="Arial Unicode MS"/>
        </w:rPr>
        <w:t>, así como en la concepción y el alcance integral de la capacidad jurídica contemplada en el artículo 12 de dicho tratado</w:t>
      </w:r>
      <w:r>
        <w:rPr>
          <w:rStyle w:val="None"/>
          <w:vertAlign w:val="superscript"/>
        </w:rPr>
        <w:footnoteReference w:id="398"/>
      </w:r>
      <w:r>
        <w:rPr>
          <w:rFonts w:eastAsia="Arial Unicode MS" w:cs="Arial Unicode MS"/>
        </w:rPr>
        <w:t xml:space="preserve">, se reconoció que el nuevo paradigma sobre el derecho al igual reconocimiento como </w:t>
      </w:r>
      <w:r>
        <w:rPr>
          <w:rFonts w:eastAsia="Arial Unicode MS" w:cs="Arial Unicode MS"/>
        </w:rPr>
        <w:lastRenderedPageBreak/>
        <w:t>persona ante la ley reafirma el derecho a la capacidad jurídica y su ejercicio como un derecho universal, inherente a todas las personas, incluidas aquellas con discapacidad, sin distinción alguna</w:t>
      </w:r>
      <w:r>
        <w:rPr>
          <w:rStyle w:val="None"/>
          <w:vertAlign w:val="superscript"/>
        </w:rPr>
        <w:footnoteReference w:id="399"/>
      </w:r>
      <w:r>
        <w:rPr>
          <w:rFonts w:eastAsia="Arial Unicode MS" w:cs="Arial Unicode MS"/>
        </w:rPr>
        <w:t>.</w:t>
      </w:r>
    </w:p>
    <w:p w14:paraId="6A9A5C81" w14:textId="77777777" w:rsidR="001A105D" w:rsidRDefault="00000000">
      <w:pPr>
        <w:pStyle w:val="NoSpacing"/>
        <w:numPr>
          <w:ilvl w:val="0"/>
          <w:numId w:val="33"/>
        </w:numPr>
      </w:pPr>
      <w:r>
        <w:rPr>
          <w:rFonts w:eastAsia="Arial Unicode MS" w:cs="Arial Unicode MS"/>
        </w:rPr>
        <w:t>La Comisión considera que cualquier limitación de la capacidad de tomar decisiones vinculantes de una persona basada en la percepción externa de "incapacidad" constituye discriminación. Por ende, es contraria al artículo 24 de la CADH y al artículo 1.2, reinterpretado a la luz del artículo 12 de la CDPD.</w:t>
      </w:r>
    </w:p>
    <w:p w14:paraId="3EDBBAD9" w14:textId="77777777" w:rsidR="001A105D" w:rsidRDefault="00000000">
      <w:pPr>
        <w:pStyle w:val="NoSpacing"/>
        <w:numPr>
          <w:ilvl w:val="0"/>
          <w:numId w:val="33"/>
        </w:numPr>
      </w:pPr>
      <w:r>
        <w:rPr>
          <w:rFonts w:eastAsia="Arial Unicode MS" w:cs="Arial Unicode MS"/>
        </w:rPr>
        <w:t>La naturaleza operativa de este derecho implica que no debe existir ninguna circunstancia que permita privar a una persona de su reconocimiento ante la ley o que justifique la limitación en el ejercicio de este derecho. Lejos de representar una protección a las personas con discapacidad, figuras como la tutela, curatela, la declaratoria de interdicción o cualquier otra dirigida a limitar, restringir o anular la capacidad jurídica de las personas con discapacidad son ahora consideradas como discriminatorias por motivos de discapacidad.</w:t>
      </w:r>
    </w:p>
    <w:p w14:paraId="0E9BE596" w14:textId="77777777" w:rsidR="001A105D" w:rsidRDefault="00000000">
      <w:pPr>
        <w:pStyle w:val="NoSpacing"/>
        <w:numPr>
          <w:ilvl w:val="0"/>
          <w:numId w:val="33"/>
        </w:numPr>
      </w:pPr>
      <w:r>
        <w:rPr>
          <w:rFonts w:eastAsia="Arial Unicode MS" w:cs="Arial Unicode MS"/>
        </w:rPr>
        <w:t xml:space="preserve">Resulta crucial destacar que, además de las figuras de tutela y curatela ya mencionadas, en los diversos sistemas jurídicos existen disposiciones que, de forma directa o indirecta, restringen la capacidad jurídica de las personas por motivo de discapacidad. Ejemplo de ello es el uso común en la legislación </w:t>
      </w:r>
      <w:r>
        <w:rPr>
          <w:rFonts w:eastAsia="Arial Unicode MS" w:cs="Arial Unicode MS"/>
        </w:rPr>
        <w:lastRenderedPageBreak/>
        <w:t>de la región de términos como "incapacidad natural", "incapacidad mental", "incapacidad cognitiva", "imposibilidad de gobernarse, obligarse o manifestar su voluntad por sí mismos", "limitaciones físicas o mentales", o "estar en pleno juicio para tomar decisiones", entre otras expresiones que limitan la valoración de humanidad, el ejercicio de derechos y la capacidad jurídica de las personas con discapacidad.</w:t>
      </w:r>
    </w:p>
    <w:p w14:paraId="0DC35B4D" w14:textId="77777777" w:rsidR="001A105D" w:rsidRDefault="00000000">
      <w:pPr>
        <w:pStyle w:val="NoSpacing"/>
        <w:numPr>
          <w:ilvl w:val="0"/>
          <w:numId w:val="33"/>
        </w:numPr>
      </w:pPr>
      <w:r>
        <w:rPr>
          <w:rFonts w:eastAsia="Arial Unicode MS" w:cs="Arial Unicode MS"/>
        </w:rPr>
        <w:t>Además, existen normativas y prácticas institucionales que, basadas en prejuicios y estereotipos, asumen que las personas con discapacidad carecen de capacidad jurídica o requieren que otra persona valide sus acciones o actúe en su nombre</w:t>
      </w:r>
      <w:r>
        <w:rPr>
          <w:rStyle w:val="None"/>
          <w:vertAlign w:val="superscript"/>
        </w:rPr>
        <w:footnoteReference w:id="400"/>
      </w:r>
      <w:r>
        <w:rPr>
          <w:rFonts w:eastAsia="Arial Unicode MS" w:cs="Arial Unicode MS"/>
        </w:rPr>
        <w:t>. Como fuera observado en los capítulos anteriores, estas normativas regulan el derecho al trabajo, a la educación, a la salud, y contienen sesgos que discriminan el pleno acceso a los derechos, la toma de decisiones y el consentimiento informado de las personas en diversas situaciones de discapacidad. Este problema afecta especialmente a mujeres, niños, niñas y adolescentes, personas adultas mayores y aquellas con discapacidad psicosocial, intelectual y sensorial.</w:t>
      </w:r>
    </w:p>
    <w:p w14:paraId="1A92481B" w14:textId="77777777" w:rsidR="001A105D" w:rsidRDefault="00000000">
      <w:pPr>
        <w:pStyle w:val="NoSpacing"/>
        <w:numPr>
          <w:ilvl w:val="0"/>
          <w:numId w:val="33"/>
        </w:numPr>
      </w:pPr>
      <w:r>
        <w:rPr>
          <w:rFonts w:eastAsia="Arial Unicode MS" w:cs="Arial Unicode MS"/>
        </w:rPr>
        <w:t xml:space="preserve">En las instituciones educativas, estas normativas y políticas se manifiestan en restricciones que impiden a las personas con discapacidad elegir libremente dónde desean estudiar y con quienes desean hacerlo. En el ámbito laboral, se reflejan en políticas de inclusión laboral donde otras personas toman </w:t>
      </w:r>
      <w:r>
        <w:rPr>
          <w:rFonts w:eastAsia="Arial Unicode MS" w:cs="Arial Unicode MS"/>
        </w:rPr>
        <w:lastRenderedPageBreak/>
        <w:t>decisiones sobre dónde, en qué y en cuáles condiciones se incluirán laboralmente las personas con discapacidad.</w:t>
      </w:r>
    </w:p>
    <w:p w14:paraId="78E4F0F2" w14:textId="77777777" w:rsidR="001A105D" w:rsidRDefault="00000000">
      <w:pPr>
        <w:pStyle w:val="NoSpacing"/>
        <w:numPr>
          <w:ilvl w:val="0"/>
          <w:numId w:val="33"/>
        </w:numPr>
      </w:pPr>
      <w:r>
        <w:rPr>
          <w:rFonts w:eastAsia="Arial Unicode MS" w:cs="Arial Unicode MS"/>
        </w:rPr>
        <w:t>Asimismo, en el contexto de las políticas de salud, estas normas se aplican negando el derecho al consentimiento libre e informado en cuestiones como medicación, tratamientos, esterilización e incluso en la justificación de la internación forzada en instituciones debido a la discapacidad. Además, se establece un régimen jurídico diferente para las personas con discapacidad psicosocial a través de leyes de salud mental, que en muchos casos legitiman la anulación del derecho al consentimiento y la privación de libertad indefinida.</w:t>
      </w:r>
    </w:p>
    <w:p w14:paraId="01FC7C83" w14:textId="77777777" w:rsidR="001A105D" w:rsidRDefault="00000000">
      <w:pPr>
        <w:pStyle w:val="NoSpacing"/>
        <w:numPr>
          <w:ilvl w:val="0"/>
          <w:numId w:val="33"/>
        </w:numPr>
      </w:pPr>
      <w:r>
        <w:rPr>
          <w:rFonts w:eastAsia="Arial Unicode MS" w:cs="Arial Unicode MS"/>
        </w:rPr>
        <w:t>Este conjunto de normas y prácticas, tanto directas como indirectas, contribuyen a la vulneración del derecho a la capacidad jurídica de las personas con discapacidad, perpetuando así la discriminación estructural y la violación de sus derechos humanos. En este sentido, la Comisión reconoce la capacidad jurídica como un derecho fundamental y esencial para el ejercicio de diversos derechos humanos, como el acceso a la justicia, la salud, la autodeterminación, los derechos civiles y políticos, la educación y el trabajo, entre otros. Por consiguiente, cualquier restricción o limitación de este derecho resulta en una afectación directa, profunda y desproporcionada a sus derechos humanos.</w:t>
      </w:r>
    </w:p>
    <w:p w14:paraId="4E416629" w14:textId="77777777" w:rsidR="001A105D" w:rsidRDefault="00000000">
      <w:pPr>
        <w:pStyle w:val="Heading3"/>
        <w:numPr>
          <w:ilvl w:val="0"/>
          <w:numId w:val="76"/>
        </w:numPr>
      </w:pPr>
      <w:bookmarkStart w:id="26" w:name="_Toc23"/>
      <w:proofErr w:type="spellStart"/>
      <w:r>
        <w:rPr>
          <w:rFonts w:eastAsia="Arial Unicode MS" w:cs="Arial Unicode MS"/>
        </w:rPr>
        <w:t>Alcance</w:t>
      </w:r>
      <w:proofErr w:type="spellEnd"/>
      <w:r>
        <w:rPr>
          <w:rFonts w:eastAsia="Arial Unicode MS" w:cs="Arial Unicode MS"/>
        </w:rPr>
        <w:t xml:space="preserve"> y </w:t>
      </w:r>
      <w:proofErr w:type="spellStart"/>
      <w:r>
        <w:rPr>
          <w:rFonts w:eastAsia="Arial Unicode MS" w:cs="Arial Unicode MS"/>
        </w:rPr>
        <w:t>contenido</w:t>
      </w:r>
      <w:proofErr w:type="spellEnd"/>
      <w:r>
        <w:rPr>
          <w:rFonts w:eastAsia="Arial Unicode MS" w:cs="Arial Unicode MS"/>
        </w:rPr>
        <w:t xml:space="preserve"> del derecho a la </w:t>
      </w:r>
      <w:proofErr w:type="spellStart"/>
      <w:r>
        <w:rPr>
          <w:rFonts w:eastAsia="Arial Unicode MS" w:cs="Arial Unicode MS"/>
        </w:rPr>
        <w:t>capacidad</w:t>
      </w:r>
      <w:proofErr w:type="spellEnd"/>
      <w:r>
        <w:rPr>
          <w:rFonts w:eastAsia="Arial Unicode MS" w:cs="Arial Unicode MS"/>
        </w:rPr>
        <w:t xml:space="preserve"> </w:t>
      </w:r>
      <w:proofErr w:type="spellStart"/>
      <w:r>
        <w:rPr>
          <w:rFonts w:eastAsia="Arial Unicode MS" w:cs="Arial Unicode MS"/>
        </w:rPr>
        <w:t>jurídica</w:t>
      </w:r>
      <w:bookmarkEnd w:id="26"/>
      <w:proofErr w:type="spellEnd"/>
    </w:p>
    <w:p w14:paraId="3DF9120E" w14:textId="77777777" w:rsidR="001A105D" w:rsidRDefault="00000000">
      <w:pPr>
        <w:pStyle w:val="NoSpacing"/>
        <w:numPr>
          <w:ilvl w:val="0"/>
          <w:numId w:val="77"/>
        </w:numPr>
      </w:pPr>
      <w:r>
        <w:t xml:space="preserve">Los elementos esenciales que componen el derecho a la capacidad jurídica aparecen consagrados en el artículo 12 de la CDPD. Esto son, la personalidad jurídica; la capacidad jurídica; medidas de apoyo para su ejercicio y salvaguardias </w:t>
      </w:r>
      <w:r>
        <w:lastRenderedPageBreak/>
        <w:t>para impedir los abusos, de conformidad con el derecho internacional en materia de derechos humanos. Estos componentes también han sido reconocidos por el Sistema Interamericano a través de la reinterpretación del artículo I.2, inciso b) in fine de la CIADDIS.</w:t>
      </w:r>
    </w:p>
    <w:p w14:paraId="173687CB" w14:textId="77777777" w:rsidR="001A105D" w:rsidRDefault="00000000">
      <w:pPr>
        <w:pStyle w:val="Heading4"/>
        <w:numPr>
          <w:ilvl w:val="0"/>
          <w:numId w:val="78"/>
        </w:numPr>
      </w:pPr>
      <w:r>
        <w:rPr>
          <w:rFonts w:eastAsia="Arial Unicode MS" w:cs="Arial Unicode MS"/>
        </w:rPr>
        <w:t>Personalidad jurídica</w:t>
      </w:r>
    </w:p>
    <w:p w14:paraId="22042F05" w14:textId="77777777" w:rsidR="001A105D" w:rsidRDefault="00000000">
      <w:pPr>
        <w:pStyle w:val="NoSpacing"/>
        <w:numPr>
          <w:ilvl w:val="0"/>
          <w:numId w:val="79"/>
        </w:numPr>
      </w:pPr>
      <w:r>
        <w:rPr>
          <w:rFonts w:eastAsia="Arial Unicode MS" w:cs="Arial Unicode MS"/>
        </w:rPr>
        <w:t>En el Sistema Interamericano, el derecho al reconocimiento de la personalidad jurídica se encuentra consagrado en el artículo 3 de la Convención Americana sobre Derechos Humanos, el cual establece el reconocimiento de todas las personas "como sujetos de derechos y obligaciones, y a gozar de los derechos civiles fundamentales"</w:t>
      </w:r>
      <w:r>
        <w:rPr>
          <w:rStyle w:val="None"/>
          <w:vertAlign w:val="superscript"/>
        </w:rPr>
        <w:footnoteReference w:id="401"/>
      </w:r>
      <w:r>
        <w:rPr>
          <w:rFonts w:eastAsia="Arial Unicode MS" w:cs="Arial Unicode MS"/>
        </w:rPr>
        <w:t>. Además, la Corte Interamericana ha señalado que este derecho sirve como criterio para determinar si una persona es titular de derechos y si puede ejercerlos, lo que hace que su desconocimiento la vuelva vulnerable frente al Estado o a terceros</w:t>
      </w:r>
      <w:r>
        <w:rPr>
          <w:rStyle w:val="None"/>
          <w:vertAlign w:val="superscript"/>
        </w:rPr>
        <w:footnoteReference w:id="402"/>
      </w:r>
      <w:r>
        <w:rPr>
          <w:rFonts w:eastAsia="Arial Unicode MS" w:cs="Arial Unicode MS"/>
        </w:rPr>
        <w:t>. En consecuencia, el contenido de este derecho alude al deber general del Estado de proporcionar los medios y condiciones legales para que pueda ser ejercido libre y plenamente por sus titulares</w:t>
      </w:r>
      <w:r>
        <w:rPr>
          <w:rStyle w:val="None"/>
          <w:vertAlign w:val="superscript"/>
        </w:rPr>
        <w:footnoteReference w:id="403"/>
      </w:r>
      <w:r>
        <w:rPr>
          <w:rFonts w:eastAsia="Arial Unicode MS" w:cs="Arial Unicode MS"/>
        </w:rPr>
        <w:t>.</w:t>
      </w:r>
    </w:p>
    <w:p w14:paraId="158C961B" w14:textId="77777777" w:rsidR="001A105D" w:rsidRDefault="00000000">
      <w:pPr>
        <w:pStyle w:val="NoSpacing"/>
        <w:numPr>
          <w:ilvl w:val="0"/>
          <w:numId w:val="33"/>
        </w:numPr>
      </w:pPr>
      <w:r>
        <w:rPr>
          <w:rFonts w:eastAsia="Arial Unicode MS" w:cs="Arial Unicode MS"/>
        </w:rPr>
        <w:lastRenderedPageBreak/>
        <w:t>En este punto, el Comité sobre los Derechos de las Personas con Discapacidad de las Naciones Unidas ha afirmado que reconocer a todo individuo como titular de personalidad jurídica "es un requisito indispensable para el reconocimiento de su capacidad jurídica"</w:t>
      </w:r>
      <w:r>
        <w:rPr>
          <w:rStyle w:val="None"/>
          <w:vertAlign w:val="superscript"/>
        </w:rPr>
        <w:footnoteReference w:id="404"/>
      </w:r>
      <w:r>
        <w:rPr>
          <w:rFonts w:eastAsia="Arial Unicode MS" w:cs="Arial Unicode MS"/>
        </w:rPr>
        <w:t>. De manera similar, la ex Relatora Especial de las Naciones Unidas sobre los Derechos de las Personas con Discapacidad argumentó que el derecho a la personalidad jurídica garantiza el reconocimiento de la existencia de la persona en el marco legal y su derecho a ser protegida por la ley</w:t>
      </w:r>
      <w:r>
        <w:rPr>
          <w:rStyle w:val="None"/>
          <w:vertAlign w:val="superscript"/>
        </w:rPr>
        <w:footnoteReference w:id="405"/>
      </w:r>
      <w:r>
        <w:rPr>
          <w:rFonts w:eastAsia="Arial Unicode MS" w:cs="Arial Unicode MS"/>
        </w:rPr>
        <w:t>. Así, se destaca la estrecha relación entre el derecho al reconocimiento de la personalidad jurídica y el derecho a la capacidad jurídica.</w:t>
      </w:r>
    </w:p>
    <w:p w14:paraId="4D6741A1" w14:textId="77777777" w:rsidR="001A105D" w:rsidRDefault="00000000">
      <w:pPr>
        <w:pStyle w:val="Heading4"/>
        <w:numPr>
          <w:ilvl w:val="0"/>
          <w:numId w:val="80"/>
        </w:numPr>
      </w:pPr>
      <w:r>
        <w:rPr>
          <w:rFonts w:eastAsia="Arial Unicode MS" w:cs="Arial Unicode MS"/>
        </w:rPr>
        <w:t>Capacidad jurídica</w:t>
      </w:r>
    </w:p>
    <w:p w14:paraId="0D4DA3B2" w14:textId="77777777" w:rsidR="001A105D" w:rsidRDefault="00000000">
      <w:pPr>
        <w:pStyle w:val="NoSpacing"/>
        <w:numPr>
          <w:ilvl w:val="0"/>
          <w:numId w:val="81"/>
        </w:numPr>
      </w:pPr>
      <w:r>
        <w:rPr>
          <w:rFonts w:eastAsia="Arial Unicode MS" w:cs="Arial Unicode MS"/>
        </w:rPr>
        <w:t>La Corte IDH entiende el derecho humano a la capacidad jurídica como un componente esencial de la personalidad jurídica, ya que esta última "implica la capacidad de ser titular de derechos (capacidad y goce) y de deberes"</w:t>
      </w:r>
      <w:r>
        <w:rPr>
          <w:rStyle w:val="None"/>
          <w:vertAlign w:val="superscript"/>
        </w:rPr>
        <w:footnoteReference w:id="406"/>
      </w:r>
      <w:r>
        <w:rPr>
          <w:rFonts w:eastAsia="Arial Unicode MS" w:cs="Arial Unicode MS"/>
        </w:rPr>
        <w:t>.</w:t>
      </w:r>
    </w:p>
    <w:p w14:paraId="768D8DD8" w14:textId="77777777" w:rsidR="001A105D" w:rsidRDefault="00000000">
      <w:pPr>
        <w:pStyle w:val="NoSpacing"/>
        <w:numPr>
          <w:ilvl w:val="0"/>
          <w:numId w:val="33"/>
        </w:numPr>
      </w:pPr>
      <w:r>
        <w:rPr>
          <w:rFonts w:eastAsia="Arial Unicode MS" w:cs="Arial Unicode MS"/>
        </w:rPr>
        <w:t xml:space="preserve">Así, el derecho humano a la capacidad jurídica es reconocido a todas las personas, incluidas aquellas con discapacidad, incluyendo a las personas con discapacidad intelectual y psicosocial. Todas son reconocidas como individuos ante la ley, </w:t>
      </w:r>
      <w:r>
        <w:rPr>
          <w:rFonts w:eastAsia="Arial Unicode MS" w:cs="Arial Unicode MS"/>
        </w:rPr>
        <w:lastRenderedPageBreak/>
        <w:t>son titulares de derechos humanos y tienen el derecho a ejercerlos, además de contar con la protección del Estado frente a terceros. En este sentido, la ex Relatora Especial de las Naciones Unidas sobre los Derechos de las Personas con Discapacidad observó que "[l]a interpretación del derecho al igual reconocimiento como persona ante la ley ha evolucionado, de forma que ahora se entiende que la capacidad jurídica es un atributo universal inherente a todas las personas debido a su condición humana"</w:t>
      </w:r>
      <w:r>
        <w:rPr>
          <w:rStyle w:val="None"/>
          <w:vertAlign w:val="superscript"/>
        </w:rPr>
        <w:footnoteReference w:id="407"/>
      </w:r>
      <w:r>
        <w:rPr>
          <w:rFonts w:eastAsia="Arial Unicode MS" w:cs="Arial Unicode MS"/>
        </w:rPr>
        <w:t>.</w:t>
      </w:r>
    </w:p>
    <w:p w14:paraId="2F87A1CA" w14:textId="77777777" w:rsidR="001A105D" w:rsidRDefault="00000000">
      <w:pPr>
        <w:pStyle w:val="NoSpacing"/>
        <w:numPr>
          <w:ilvl w:val="0"/>
          <w:numId w:val="33"/>
        </w:numPr>
      </w:pPr>
      <w:r>
        <w:rPr>
          <w:rFonts w:eastAsia="Arial Unicode MS" w:cs="Arial Unicode MS"/>
        </w:rPr>
        <w:t>El contenido de este derecho abarca tanto la capacidad de ser titular de derechos y obligaciones, conocida como "capacidad legal o de goce", como la capacidad de ejercer dichos derechos y obligaciones, denominada "legitimación para actuar" o "capacidad de ejercicio". Esta última facultad permite a la persona realizar transacciones y establecer, modificar o terminar relaciones jurídicas. Por lo tanto, el respeto al derecho a la capacidad jurídica implica reconocer ambos componentes, ya que no es posible separarlos sin afectar la condición de persona ante la ley</w:t>
      </w:r>
      <w:r>
        <w:rPr>
          <w:rStyle w:val="None"/>
          <w:vertAlign w:val="superscript"/>
        </w:rPr>
        <w:footnoteReference w:id="408"/>
      </w:r>
      <w:r>
        <w:rPr>
          <w:rFonts w:eastAsia="Arial Unicode MS" w:cs="Arial Unicode MS"/>
        </w:rPr>
        <w:t>.</w:t>
      </w:r>
    </w:p>
    <w:p w14:paraId="015681DA" w14:textId="77777777" w:rsidR="001A105D" w:rsidRDefault="00000000">
      <w:pPr>
        <w:pStyle w:val="NoSpacing"/>
        <w:numPr>
          <w:ilvl w:val="0"/>
          <w:numId w:val="33"/>
        </w:numPr>
      </w:pPr>
      <w:r>
        <w:rPr>
          <w:rFonts w:eastAsia="Arial Unicode MS" w:cs="Arial Unicode MS"/>
        </w:rPr>
        <w:t>Por otro lado, las acciones más comunes que niegan el derecho a la capacidad jurídica suelen derivar de la confusión entre este concepto y el de capacidad mental.</w:t>
      </w:r>
      <w:r>
        <w:rPr>
          <w:rStyle w:val="None"/>
          <w:vertAlign w:val="superscript"/>
        </w:rPr>
        <w:footnoteReference w:id="409"/>
      </w:r>
      <w:r>
        <w:rPr>
          <w:rFonts w:eastAsia="Arial Unicode MS" w:cs="Arial Unicode MS"/>
        </w:rPr>
        <w:t xml:space="preserve"> Es crucial destacar que la capacidad jurídica se refiere al derecho humano que poseen </w:t>
      </w:r>
      <w:r>
        <w:rPr>
          <w:rFonts w:eastAsia="Arial Unicode MS" w:cs="Arial Unicode MS"/>
        </w:rPr>
        <w:lastRenderedPageBreak/>
        <w:t>todas las personas para ser titulares de derechos y obligaciones, y para ejercerlos simplemente debido a su condición humana. En contraste, la capacidad mental se define como la habilidad de una persona para tomar decisiones, la cual naturalmente varía entre individuos y puede cambiar para una persona específica debido a diversos factores, incluidos factores ambientales y sociales</w:t>
      </w:r>
      <w:r>
        <w:rPr>
          <w:rStyle w:val="None"/>
          <w:vertAlign w:val="superscript"/>
        </w:rPr>
        <w:footnoteReference w:id="410"/>
      </w:r>
      <w:r>
        <w:rPr>
          <w:rFonts w:eastAsia="Arial Unicode MS" w:cs="Arial Unicode MS"/>
        </w:rPr>
        <w:t>.</w:t>
      </w:r>
    </w:p>
    <w:p w14:paraId="6EC035E6" w14:textId="77777777" w:rsidR="001A105D" w:rsidRDefault="00000000">
      <w:pPr>
        <w:pStyle w:val="NoSpacing"/>
        <w:numPr>
          <w:ilvl w:val="0"/>
          <w:numId w:val="33"/>
        </w:numPr>
      </w:pPr>
      <w:r>
        <w:rPr>
          <w:rFonts w:eastAsia="Arial Unicode MS" w:cs="Arial Unicode MS"/>
        </w:rPr>
        <w:t>De esta manera, necesitar apoyo en la toma de decisiones no es exclusivo de personas con discapacidad. Todas las personas pueden requerir apoyo en algún momento para tomar decisiones complejas, pero esto no implica que se les niegue la capacidad y el derecho humano inherente de decidir. La relación de una persona con la capacidad jurídica puede ser problemática debido a cuestiones relacionadas con el acceso al poder, y no necesariamente debido a limitaciones inherentes a la persona misma. El concepto de capacidad jurídica, como ha sostenido el Comité sobre los Derechos de las Personas con Discapacidad, suele ser evaluado sin tener en cuenta las diferentes formas en que las condiciones materiales y los recursos, incluido el capital social (educación, reputación, redes de poder e influencia), así como los recursos económicos, otorgan o restringen la libertad y autonomía efectivas de la persona; y, por lo tanto, el nivel de necesidad de apoyo en el ejercicio de la capacidad jurídica como medio para la autodeterminación.</w:t>
      </w:r>
    </w:p>
    <w:p w14:paraId="5EE0B11D" w14:textId="77777777" w:rsidR="001A105D" w:rsidRDefault="00000000">
      <w:pPr>
        <w:pStyle w:val="NoSpacing"/>
        <w:numPr>
          <w:ilvl w:val="0"/>
          <w:numId w:val="33"/>
        </w:numPr>
      </w:pPr>
      <w:r>
        <w:rPr>
          <w:rFonts w:eastAsia="Arial Unicode MS" w:cs="Arial Unicode MS"/>
        </w:rPr>
        <w:t xml:space="preserve">Frecuentemente, cuando se considera que una persona tiene afectada su capacidad para tomar decisiones, generalmente en base a evaluaciones médicas relacionadas con una </w:t>
      </w:r>
      <w:r>
        <w:rPr>
          <w:rFonts w:eastAsia="Arial Unicode MS" w:cs="Arial Unicode MS"/>
        </w:rPr>
        <w:lastRenderedPageBreak/>
        <w:t>discapacidad cognitiva, intelectual o psicosocial, se restringe o se le retira su capacidad para tomar decisiones específicas, lo que a su vez limita o le priva de su derecho a la capacidad jurídica, entendida como el ejercicio o la legitimación para actuar</w:t>
      </w:r>
      <w:r>
        <w:rPr>
          <w:rStyle w:val="None"/>
          <w:vertAlign w:val="superscript"/>
        </w:rPr>
        <w:footnoteReference w:id="411"/>
      </w:r>
      <w:r>
        <w:rPr>
          <w:rFonts w:eastAsia="Arial Unicode MS" w:cs="Arial Unicode MS"/>
        </w:rPr>
        <w:t>. Estas restricciones a la capacidad jurídica se llevan a cabo a través de sistemas de sustitución en la toma de decisiones, como la tutela total y parcial, la interdicción judicial, la curatela y la curaduría. Estos sistemas se caracterizan por despojar a la persona de la capacidad de tomar decisiones en relación con una o más áreas de sus vidas, designando a una tercera persona como sustituta para tomar las decisiones en su lugar, incluso en contra de su voluntad. Además, las decisiones se toman en función del "interés superior" objetivo de la persona concernida, en lugar de basarse en su voluntad y preferencias, sin que exista la obligación de consultar a la persona sobre las decisiones tomadas en su nombre</w:t>
      </w:r>
      <w:r>
        <w:rPr>
          <w:rStyle w:val="None"/>
          <w:vertAlign w:val="superscript"/>
        </w:rPr>
        <w:footnoteReference w:id="412"/>
      </w:r>
      <w:r>
        <w:rPr>
          <w:rFonts w:eastAsia="Arial Unicode MS" w:cs="Arial Unicode MS"/>
        </w:rPr>
        <w:t>.</w:t>
      </w:r>
    </w:p>
    <w:p w14:paraId="6CF794F3" w14:textId="77777777" w:rsidR="001A105D" w:rsidRDefault="00000000">
      <w:pPr>
        <w:pStyle w:val="NoSpacing"/>
        <w:numPr>
          <w:ilvl w:val="0"/>
          <w:numId w:val="33"/>
        </w:numPr>
      </w:pPr>
      <w:r>
        <w:rPr>
          <w:rFonts w:eastAsia="Arial Unicode MS" w:cs="Arial Unicode MS"/>
        </w:rPr>
        <w:t>En este sentido, la confusión entre capacidad jurídica y mental conduce a un acto de discriminación, ya que los supuestos o reales déficits en la capacidad mental no justifican la negación de la capacidad jurídica a las personas, según lo establecido en el artículo 12 de la Convención sobre los Derechos de las Personas con Discapacidad</w:t>
      </w:r>
      <w:r>
        <w:rPr>
          <w:rStyle w:val="None"/>
          <w:vertAlign w:val="superscript"/>
        </w:rPr>
        <w:footnoteReference w:id="413"/>
      </w:r>
      <w:r>
        <w:rPr>
          <w:rFonts w:eastAsia="Arial Unicode MS" w:cs="Arial Unicode MS"/>
        </w:rPr>
        <w:t>.</w:t>
      </w:r>
    </w:p>
    <w:p w14:paraId="711A324C" w14:textId="77777777" w:rsidR="001A105D" w:rsidRDefault="00000000">
      <w:pPr>
        <w:pStyle w:val="Heading4"/>
        <w:numPr>
          <w:ilvl w:val="0"/>
          <w:numId w:val="82"/>
        </w:numPr>
      </w:pPr>
      <w:r>
        <w:rPr>
          <w:rFonts w:eastAsia="Arial Unicode MS" w:cs="Arial Unicode MS"/>
        </w:rPr>
        <w:t>Los apoyos para el ejercicio de la capacidad jurídica</w:t>
      </w:r>
    </w:p>
    <w:p w14:paraId="15088FEA" w14:textId="77777777" w:rsidR="001A105D" w:rsidRDefault="00000000">
      <w:pPr>
        <w:pStyle w:val="NoSpacing"/>
        <w:numPr>
          <w:ilvl w:val="0"/>
          <w:numId w:val="33"/>
        </w:numPr>
      </w:pPr>
      <w:r>
        <w:rPr>
          <w:rFonts w:eastAsia="Arial Unicode MS" w:cs="Arial Unicode MS"/>
        </w:rPr>
        <w:t xml:space="preserve">El artículo 12 de la CDPD reafirma el carácter universal del derecho a la capacidad jurídica, y para garantizar su ejercicio práctico y efectivo, exige proporcionar el apoyo necesario a las </w:t>
      </w:r>
      <w:r>
        <w:rPr>
          <w:rFonts w:eastAsia="Arial Unicode MS" w:cs="Arial Unicode MS"/>
        </w:rPr>
        <w:lastRenderedPageBreak/>
        <w:t>personas con discapacidad que lo requieran. Esto implica reemplazar los sistemas de sustitución y curatelas por sistemas de apoyo a la toma de decisiones, asegurando en todo momento que esto no suponga la suplantación de la persona titular del derecho, su voluntad y sus preferencias.</w:t>
      </w:r>
    </w:p>
    <w:p w14:paraId="0485B2B1" w14:textId="77777777" w:rsidR="001A105D" w:rsidRDefault="00000000">
      <w:pPr>
        <w:pStyle w:val="NoSpacing"/>
        <w:numPr>
          <w:ilvl w:val="0"/>
          <w:numId w:val="33"/>
        </w:numPr>
      </w:pPr>
      <w:r>
        <w:rPr>
          <w:rFonts w:eastAsia="Arial Unicode MS" w:cs="Arial Unicode MS"/>
        </w:rPr>
        <w:t>En cuanto a los apoyos, se distingue entre el apoyo general y el apoyo para la toma de decisiones. El primero se refiere al acto de proporcionar ayuda o asistencia a una persona que la necesite para llevar a cabo sus actividades diarias y participar en la sociedad</w:t>
      </w:r>
      <w:r>
        <w:rPr>
          <w:rStyle w:val="None"/>
          <w:vertAlign w:val="superscript"/>
        </w:rPr>
        <w:footnoteReference w:id="414"/>
      </w:r>
      <w:r>
        <w:rPr>
          <w:rFonts w:eastAsia="Arial Unicode MS" w:cs="Arial Unicode MS"/>
        </w:rPr>
        <w:t>. Por su parte, el apoyo para la toma de decisiones abarca arreglos tanto oficiales como informales, de diferentes tipos e intensidades, y debe siempre respetar los derechos, la voluntad y las preferencias de las personas con discapacidad, sin nunca consistir en decidir por ellas</w:t>
      </w:r>
      <w:r>
        <w:rPr>
          <w:rStyle w:val="None"/>
          <w:vertAlign w:val="superscript"/>
        </w:rPr>
        <w:footnoteReference w:id="415"/>
      </w:r>
      <w:r>
        <w:rPr>
          <w:rFonts w:eastAsia="Arial Unicode MS" w:cs="Arial Unicode MS"/>
        </w:rPr>
        <w:t>.</w:t>
      </w:r>
    </w:p>
    <w:p w14:paraId="1824EA00" w14:textId="77777777" w:rsidR="001A105D" w:rsidRDefault="00000000">
      <w:pPr>
        <w:pStyle w:val="NoSpacing"/>
        <w:numPr>
          <w:ilvl w:val="0"/>
          <w:numId w:val="33"/>
        </w:numPr>
      </w:pPr>
      <w:r>
        <w:rPr>
          <w:rFonts w:eastAsia="Arial Unicode MS" w:cs="Arial Unicode MS"/>
        </w:rPr>
        <w:t xml:space="preserve">Con relación a este tema, el CEDDIS ha definido el apoyo para la adopción de decisiones como aquel que "facilita el proceso de toma de decisiones sin intervenir en ellas de manera valorativa". Este tipo de apoyo puede comprender: i) ayudar a la persona con discapacidad a obtener y comprender información relevante; </w:t>
      </w:r>
      <w:proofErr w:type="spellStart"/>
      <w:r>
        <w:rPr>
          <w:rFonts w:eastAsia="Arial Unicode MS" w:cs="Arial Unicode MS"/>
        </w:rPr>
        <w:t>ii</w:t>
      </w:r>
      <w:proofErr w:type="spellEnd"/>
      <w:r>
        <w:rPr>
          <w:rFonts w:eastAsia="Arial Unicode MS" w:cs="Arial Unicode MS"/>
        </w:rPr>
        <w:t xml:space="preserve">) asistir a la persona con discapacidad en la evaluación de las posibles alternativas y sus consecuencias; </w:t>
      </w:r>
      <w:proofErr w:type="spellStart"/>
      <w:r>
        <w:rPr>
          <w:rFonts w:eastAsia="Arial Unicode MS" w:cs="Arial Unicode MS"/>
        </w:rPr>
        <w:t>iii</w:t>
      </w:r>
      <w:proofErr w:type="spellEnd"/>
      <w:r>
        <w:rPr>
          <w:rFonts w:eastAsia="Arial Unicode MS" w:cs="Arial Unicode MS"/>
        </w:rPr>
        <w:t xml:space="preserve">) facilitar que la persona con discapacidad </w:t>
      </w:r>
      <w:r>
        <w:rPr>
          <w:rFonts w:eastAsia="Arial Unicode MS" w:cs="Arial Unicode MS"/>
        </w:rPr>
        <w:lastRenderedPageBreak/>
        <w:t xml:space="preserve">exprese y comunique su decisión; y/o </w:t>
      </w:r>
      <w:proofErr w:type="spellStart"/>
      <w:r>
        <w:rPr>
          <w:rFonts w:eastAsia="Arial Unicode MS" w:cs="Arial Unicode MS"/>
        </w:rPr>
        <w:t>iv</w:t>
      </w:r>
      <w:proofErr w:type="spellEnd"/>
      <w:r>
        <w:rPr>
          <w:rFonts w:eastAsia="Arial Unicode MS" w:cs="Arial Unicode MS"/>
        </w:rPr>
        <w:t>) ayudar en la ejecución de la decisión tomada</w:t>
      </w:r>
      <w:r>
        <w:rPr>
          <w:rStyle w:val="None"/>
          <w:vertAlign w:val="superscript"/>
        </w:rPr>
        <w:footnoteReference w:id="416"/>
      </w:r>
      <w:r>
        <w:rPr>
          <w:rFonts w:eastAsia="Arial Unicode MS" w:cs="Arial Unicode MS"/>
        </w:rPr>
        <w:t>.</w:t>
      </w:r>
    </w:p>
    <w:p w14:paraId="5B31B03B" w14:textId="77777777" w:rsidR="001A105D" w:rsidRDefault="00000000">
      <w:pPr>
        <w:pStyle w:val="NoSpacing"/>
        <w:numPr>
          <w:ilvl w:val="0"/>
          <w:numId w:val="33"/>
        </w:numPr>
      </w:pPr>
      <w:r>
        <w:rPr>
          <w:rFonts w:eastAsia="Arial Unicode MS" w:cs="Arial Unicode MS"/>
        </w:rPr>
        <w:t>El principio de igualdad y no discriminación requiere garantizar que los programas destinados a asegurar el ejercicio del derecho a la capacidad jurídica a través de sistemas de apoyo para la toma de decisiones cumplan con los estándares de disponibilidad, accesibilidad, asequibilidad y, aceptabilidad. Esto consonancia con los principios de universalidad, indivisibilidad e interdependencia de los derechos humanos</w:t>
      </w:r>
      <w:r>
        <w:rPr>
          <w:rStyle w:val="None"/>
          <w:vertAlign w:val="superscript"/>
        </w:rPr>
        <w:footnoteReference w:id="417"/>
      </w:r>
      <w:r>
        <w:rPr>
          <w:rFonts w:eastAsia="Arial Unicode MS" w:cs="Arial Unicode MS"/>
        </w:rPr>
        <w:t>.</w:t>
      </w:r>
    </w:p>
    <w:p w14:paraId="1C42A40C" w14:textId="77777777" w:rsidR="001A105D" w:rsidRDefault="00000000">
      <w:pPr>
        <w:pStyle w:val="NoSpacing"/>
        <w:numPr>
          <w:ilvl w:val="0"/>
          <w:numId w:val="33"/>
        </w:numPr>
      </w:pPr>
      <w:r>
        <w:rPr>
          <w:rFonts w:eastAsia="Arial Unicode MS" w:cs="Arial Unicode MS"/>
        </w:rPr>
        <w:t>Este apoyo debe estar disponible para todas las personas con discapacidad, ya sea a través de servicios públicos, privados o una combinación de ambos, así como mediante la participación de la sociedad civil, las familias o las comunidades. Esta disponibilidad implica contar con dispositivos técnicos y tecnologías de apoyo, así como con profesionales confiables, cualificados y capacitados, como intérpretes de lengua de señas o intérpretes para personas sordociegas, asistentes personales y otros intermediarios</w:t>
      </w:r>
      <w:r>
        <w:rPr>
          <w:rStyle w:val="None"/>
          <w:vertAlign w:val="superscript"/>
        </w:rPr>
        <w:footnoteReference w:id="418"/>
      </w:r>
      <w:r>
        <w:rPr>
          <w:rFonts w:eastAsia="Arial Unicode MS" w:cs="Arial Unicode MS"/>
        </w:rPr>
        <w:t>.</w:t>
      </w:r>
    </w:p>
    <w:p w14:paraId="439C2751" w14:textId="77777777" w:rsidR="001A105D" w:rsidRDefault="00000000">
      <w:pPr>
        <w:pStyle w:val="NoSpacing"/>
        <w:numPr>
          <w:ilvl w:val="0"/>
          <w:numId w:val="33"/>
        </w:numPr>
      </w:pPr>
      <w:r>
        <w:rPr>
          <w:rFonts w:eastAsia="Arial Unicode MS" w:cs="Arial Unicode MS"/>
        </w:rPr>
        <w:t xml:space="preserve">En cuanto a la accesibilidad del apoyo en la toma de decisiones, esta se refiere a varios aspectos que confluyen en su disfrute, como el reconocimiento jurídico del mismo, los arreglos y </w:t>
      </w:r>
      <w:r>
        <w:rPr>
          <w:rFonts w:eastAsia="Arial Unicode MS" w:cs="Arial Unicode MS"/>
        </w:rPr>
        <w:lastRenderedPageBreak/>
        <w:t>servicios de apoyo en sí, los centros y lugares (públicos o privados) donde se proporciona. Asimismo, a los diversos sistemas y tecnologías de la información y las comunicaciones involucrados en la prestación de dichos arreglos o servicios</w:t>
      </w:r>
      <w:r>
        <w:rPr>
          <w:rStyle w:val="None"/>
          <w:vertAlign w:val="superscript"/>
        </w:rPr>
        <w:footnoteReference w:id="419"/>
      </w:r>
      <w:r>
        <w:rPr>
          <w:rFonts w:eastAsia="Arial Unicode MS" w:cs="Arial Unicode MS"/>
        </w:rPr>
        <w:t>.</w:t>
      </w:r>
    </w:p>
    <w:p w14:paraId="589D28CA" w14:textId="77777777" w:rsidR="001A105D" w:rsidRDefault="00000000">
      <w:pPr>
        <w:pStyle w:val="NoSpacing"/>
        <w:numPr>
          <w:ilvl w:val="0"/>
          <w:numId w:val="33"/>
        </w:numPr>
      </w:pPr>
      <w:r>
        <w:rPr>
          <w:rFonts w:eastAsia="Arial Unicode MS" w:cs="Arial Unicode MS"/>
        </w:rPr>
        <w:t>La asequibilidad implica que el apoyo debe ofrecerse de forma gratuita o a un costo simbólico. De manera tal que la falta de recursos financieros del Estado no constituya un obstáculo para acceder al apoyo y garantizar así un derecho humano</w:t>
      </w:r>
      <w:r>
        <w:rPr>
          <w:rStyle w:val="None"/>
          <w:vertAlign w:val="superscript"/>
        </w:rPr>
        <w:footnoteReference w:id="420"/>
      </w:r>
      <w:r>
        <w:rPr>
          <w:rFonts w:eastAsia="Arial Unicode MS" w:cs="Arial Unicode MS"/>
        </w:rPr>
        <w:t>.</w:t>
      </w:r>
    </w:p>
    <w:p w14:paraId="2032A979" w14:textId="77777777" w:rsidR="001A105D" w:rsidRDefault="00000000">
      <w:pPr>
        <w:pStyle w:val="NoSpacing"/>
        <w:numPr>
          <w:ilvl w:val="0"/>
          <w:numId w:val="33"/>
        </w:numPr>
      </w:pPr>
      <w:r>
        <w:rPr>
          <w:rFonts w:eastAsia="Arial Unicode MS" w:cs="Arial Unicode MS"/>
        </w:rPr>
        <w:t>De esta manera, se infiere que la persona con discapacidad debe seleccionar y aceptar el apoyo para ejercer su capacidad jurídica, el cual debe estar enraizado en sus derechos, voluntad y preferencias. Además, debe involucrarse activamente en el diseño de su plan de apoyos, basado en los derechos humanos, y asegurar que el apoyo ofrecido sea de alta calidad y culturalmente apropiado. Por último, la capacidad de elección y control sobre los servicios de apoyo implica que las personas con discapacidad deben poder planificar y dirigirlos directamente, incluyendo el derecho a rechazarlos o modificarlos en cualquier momento</w:t>
      </w:r>
      <w:r>
        <w:rPr>
          <w:rStyle w:val="None"/>
          <w:vertAlign w:val="superscript"/>
        </w:rPr>
        <w:footnoteReference w:id="421"/>
      </w:r>
      <w:r>
        <w:rPr>
          <w:rFonts w:eastAsia="Arial Unicode MS" w:cs="Arial Unicode MS"/>
        </w:rPr>
        <w:t>.</w:t>
      </w:r>
    </w:p>
    <w:p w14:paraId="529C4380" w14:textId="77777777" w:rsidR="001A105D" w:rsidRDefault="00000000">
      <w:pPr>
        <w:pStyle w:val="NoSpacing"/>
        <w:numPr>
          <w:ilvl w:val="0"/>
          <w:numId w:val="33"/>
        </w:numPr>
      </w:pPr>
      <w:r>
        <w:rPr>
          <w:rFonts w:eastAsia="Arial Unicode MS" w:cs="Arial Unicode MS"/>
        </w:rPr>
        <w:t xml:space="preserve">El término "apoyo" implica, entonces, establecer una relación y modalidades de trabajo con una o varias personas, con el objetivo de permitir que una persona con discapacidad se exprese por sí misma, comunique sus deseos y tome </w:t>
      </w:r>
      <w:r>
        <w:rPr>
          <w:rFonts w:eastAsia="Arial Unicode MS" w:cs="Arial Unicode MS"/>
        </w:rPr>
        <w:lastRenderedPageBreak/>
        <w:t>decisiones dentro de un acuerdo basado en la confianza y el respeto por su voluntad. Este apoyo nunca debe limitar los derechos de la persona ni obligarla a actuar de cierta manera, ni tampoco debe afectar su capacidad de acción. En ningún caso se debe forzar a una persona a aceptar un "apoyo" en contra de su voluntad.</w:t>
      </w:r>
    </w:p>
    <w:p w14:paraId="4FD65659" w14:textId="77777777" w:rsidR="001A105D" w:rsidRDefault="00000000">
      <w:pPr>
        <w:pStyle w:val="NoSpacing"/>
        <w:numPr>
          <w:ilvl w:val="0"/>
          <w:numId w:val="33"/>
        </w:numPr>
      </w:pPr>
      <w:r>
        <w:rPr>
          <w:rFonts w:eastAsia="Arial Unicode MS" w:cs="Arial Unicode MS"/>
        </w:rPr>
        <w:t>En adición a lo anterior, el Comité sobre los Derechos de las Personas con Discapacidad ha establecido que, en situaciones donde no sea posible determinar la voluntad y preferencias de una persona, el concepto de "interés superior" debe ser reemplazado por la "mejor interpretación posible de la voluntad y preferencias"</w:t>
      </w:r>
      <w:r>
        <w:rPr>
          <w:rStyle w:val="None"/>
          <w:vertAlign w:val="superscript"/>
        </w:rPr>
        <w:footnoteReference w:id="422"/>
      </w:r>
      <w:r>
        <w:rPr>
          <w:rFonts w:eastAsia="Arial Unicode MS" w:cs="Arial Unicode MS"/>
        </w:rPr>
        <w:t>. El CEDDIS ha delineado un estándar para este criterio, especificando que los esfuerzos para obtener la voluntad deben ser genuinos y significativos, incluyendo medidas de accesibilidad y ajustes razonables. Además, se debe considerar la trayectoria de vida de la persona y basarse en evidencia concreta para evitar especulaciones. Esto implica evaluar manifestaciones previas de voluntad, la información proporcionada por personas de confianza, preferencias individuales y cualquier otro aspecto relevante, incluyendo las formas de comunicación de la persona titular del derecho</w:t>
      </w:r>
      <w:r>
        <w:rPr>
          <w:rStyle w:val="None"/>
          <w:vertAlign w:val="superscript"/>
        </w:rPr>
        <w:footnoteReference w:id="423"/>
      </w:r>
      <w:r>
        <w:rPr>
          <w:rFonts w:eastAsia="Arial Unicode MS" w:cs="Arial Unicode MS"/>
        </w:rPr>
        <w:t>.</w:t>
      </w:r>
    </w:p>
    <w:p w14:paraId="6CBB6DCB" w14:textId="77777777" w:rsidR="001A105D" w:rsidRDefault="00000000">
      <w:pPr>
        <w:pStyle w:val="Heading4"/>
        <w:numPr>
          <w:ilvl w:val="0"/>
          <w:numId w:val="83"/>
        </w:numPr>
      </w:pPr>
      <w:r>
        <w:rPr>
          <w:rFonts w:eastAsia="Arial Unicode MS" w:cs="Arial Unicode MS"/>
        </w:rPr>
        <w:t xml:space="preserve">Tipos de apoyos </w:t>
      </w:r>
    </w:p>
    <w:p w14:paraId="6D70004D" w14:textId="77777777" w:rsidR="001A105D" w:rsidRDefault="00000000">
      <w:pPr>
        <w:pStyle w:val="NoSpacing"/>
        <w:numPr>
          <w:ilvl w:val="0"/>
          <w:numId w:val="84"/>
        </w:numPr>
      </w:pPr>
      <w:r>
        <w:rPr>
          <w:rFonts w:eastAsia="Arial Unicode MS" w:cs="Arial Unicode MS"/>
        </w:rPr>
        <w:t xml:space="preserve">En el ámbito de las Naciones Unidas, el apoyo para el ejercicio de la capacidad jurídica se diversifica, adaptándose a las necesidades individuales de las personas con discapacidad. </w:t>
      </w:r>
      <w:r>
        <w:rPr>
          <w:rFonts w:eastAsia="Arial Unicode MS" w:cs="Arial Unicode MS"/>
        </w:rPr>
        <w:lastRenderedPageBreak/>
        <w:t xml:space="preserve">Estas modalidades varían según la situación y las particularidades de cada persona. Entre ellas se incluyen: i) apoyo proveniente de personas en las que la persona con discapacidad confía; </w:t>
      </w:r>
      <w:proofErr w:type="spellStart"/>
      <w:r>
        <w:rPr>
          <w:rFonts w:eastAsia="Arial Unicode MS" w:cs="Arial Unicode MS"/>
        </w:rPr>
        <w:t>ii</w:t>
      </w:r>
      <w:proofErr w:type="spellEnd"/>
      <w:r>
        <w:rPr>
          <w:rFonts w:eastAsia="Arial Unicode MS" w:cs="Arial Unicode MS"/>
        </w:rPr>
        <w:t>) redes de apoyo existentes, como grupos de autoayuda y defensa de intereses; c) medidas relacionadas con el diseño universal y la accesibilidad, como la provisión de información comprensible y la interpretación en lengua de señas; d) métodos de comunicación alternativos y no convencionales; y e) la planificación anticipada, que permite a las personas con discapacidad establecer instrucciones para situaciones futuras, incluyendo la designación de una persona de apoyo</w:t>
      </w:r>
      <w:r>
        <w:rPr>
          <w:rStyle w:val="None"/>
          <w:vertAlign w:val="superscript"/>
        </w:rPr>
        <w:footnoteReference w:id="424"/>
      </w:r>
      <w:r>
        <w:rPr>
          <w:rFonts w:eastAsia="Arial Unicode MS" w:cs="Arial Unicode MS"/>
        </w:rPr>
        <w:t>.</w:t>
      </w:r>
    </w:p>
    <w:p w14:paraId="7CC8780A" w14:textId="77777777" w:rsidR="001A105D" w:rsidRDefault="00000000">
      <w:pPr>
        <w:pStyle w:val="NoSpacing"/>
        <w:numPr>
          <w:ilvl w:val="0"/>
          <w:numId w:val="33"/>
        </w:numPr>
      </w:pPr>
      <w:r>
        <w:rPr>
          <w:rFonts w:eastAsia="Arial Unicode MS" w:cs="Arial Unicode MS"/>
        </w:rPr>
        <w:t xml:space="preserve">En relación con este tema, el CEDDIS ha destacado la importancia de identificar las barreras que obstaculizan el ejercicio de los derechos durante el proceso de toma de decisiones, abogando por su eliminación mediante intervenciones en el entorno en lugar de hacerlo sobre la persona con discapacidad. Asimismo, el comité ha señalado varios tipos de apoyo para el ejercicio de la capacidad jurídica, incluyendo el apoyo en la comunicación, que implica tanto la recepción como la expresión de información y decisiones; el apoyo en la comprensión de actos jurídicos y sus consecuencias; y el apoyo para la vida independiente, abarcando decisiones relevantes para todos los aspectos de la vida en relación con el ejercicio de la capacidad jurídica. La obligación de los Estados de garantizar el acceso al apoyo es </w:t>
      </w:r>
      <w:r>
        <w:rPr>
          <w:rFonts w:eastAsia="Arial Unicode MS" w:cs="Arial Unicode MS"/>
        </w:rPr>
        <w:lastRenderedPageBreak/>
        <w:t>amplia, ya que algunas personas con discapacidad pueden necesitar apoyo para tomar ciertas decisiones que no tienen repercusiones jurídicas</w:t>
      </w:r>
      <w:r>
        <w:rPr>
          <w:rStyle w:val="None"/>
          <w:vertAlign w:val="superscript"/>
        </w:rPr>
        <w:footnoteReference w:id="425"/>
      </w:r>
      <w:r>
        <w:rPr>
          <w:rFonts w:eastAsia="Arial Unicode MS" w:cs="Arial Unicode MS"/>
        </w:rPr>
        <w:t xml:space="preserve">.  </w:t>
      </w:r>
    </w:p>
    <w:p w14:paraId="31B21164" w14:textId="77777777" w:rsidR="001A105D" w:rsidRDefault="00000000">
      <w:pPr>
        <w:pStyle w:val="NoSpacing"/>
        <w:numPr>
          <w:ilvl w:val="0"/>
          <w:numId w:val="33"/>
        </w:numPr>
      </w:pPr>
      <w:r>
        <w:rPr>
          <w:rFonts w:eastAsia="Arial Unicode MS" w:cs="Arial Unicode MS"/>
        </w:rPr>
        <w:t>Sobre la intensidad y temporalidad, los apoyos pueden ser variados: a) Intermitentes, brindados "cuando sea necesario" o en episodios específicos; b) Limitados, consistentes en el tiempo, pero no intermitentes, con una duración definida; c) Extensos, que requieren una intervención regular, posiblemente diaria, y no tienen límites de tiempo, como el apoyo en el trabajo o en el hogar. Es fundamental que la persona con discapacidad sea quien tome siempre las decisiones respecto a sus apoyos y su duración</w:t>
      </w:r>
      <w:r>
        <w:rPr>
          <w:rStyle w:val="None"/>
          <w:vertAlign w:val="superscript"/>
        </w:rPr>
        <w:footnoteReference w:id="426"/>
      </w:r>
      <w:r>
        <w:rPr>
          <w:rFonts w:eastAsia="Arial Unicode MS" w:cs="Arial Unicode MS"/>
        </w:rPr>
        <w:t>.</w:t>
      </w:r>
    </w:p>
    <w:p w14:paraId="1752099D" w14:textId="77777777" w:rsidR="001A105D" w:rsidRDefault="00000000">
      <w:pPr>
        <w:pStyle w:val="NoSpacing"/>
        <w:numPr>
          <w:ilvl w:val="0"/>
          <w:numId w:val="33"/>
        </w:numPr>
      </w:pPr>
      <w:r>
        <w:t>El CEDDIS ha categorizado los apoyos en dos tipos, informales y formales, según su constitución. Los apoyos informales no están respaldados por un documento legal y pueden abarcar la toma de decisiones, recibir información y expresar la voluntad. Ejemplos incluyen el respaldo entre pares o grupos comunitarios en la toma de decisiones y su comunicación, así como la defensa de estas elecciones en situaciones controvertidas</w:t>
      </w:r>
      <w:r>
        <w:rPr>
          <w:rStyle w:val="None"/>
          <w:vertAlign w:val="superscript"/>
        </w:rPr>
        <w:footnoteReference w:id="427"/>
      </w:r>
      <w:r>
        <w:t xml:space="preserve">. Estos apoyos pueden compartirse con los necesarios para la vida independiente en la comunidad. Por otro lado, los apoyos formales están respaldados por </w:t>
      </w:r>
      <w:r>
        <w:lastRenderedPageBreak/>
        <w:t>documentos legales como escrituras públicas o sentencias judiciales. Tanto los apoyos informales como los formales deben ser reconocidos legalmente y tener fuerza vinculante</w:t>
      </w:r>
      <w:r>
        <w:rPr>
          <w:rStyle w:val="None"/>
          <w:vertAlign w:val="superscript"/>
        </w:rPr>
        <w:footnoteReference w:id="428"/>
      </w:r>
      <w:r>
        <w:t>.</w:t>
      </w:r>
    </w:p>
    <w:p w14:paraId="41478F2C" w14:textId="77777777" w:rsidR="001A105D" w:rsidRDefault="00000000">
      <w:pPr>
        <w:pStyle w:val="Heading4"/>
        <w:numPr>
          <w:ilvl w:val="0"/>
          <w:numId w:val="85"/>
        </w:numPr>
      </w:pPr>
      <w:r>
        <w:rPr>
          <w:rFonts w:eastAsia="Arial Unicode MS" w:cs="Arial Unicode MS"/>
        </w:rPr>
        <w:t xml:space="preserve">Salvaguardias </w:t>
      </w:r>
    </w:p>
    <w:p w14:paraId="714C5B3B" w14:textId="77777777" w:rsidR="001A105D" w:rsidRDefault="00000000">
      <w:pPr>
        <w:pStyle w:val="NoSpacing"/>
        <w:numPr>
          <w:ilvl w:val="0"/>
          <w:numId w:val="86"/>
        </w:numPr>
      </w:pPr>
      <w:r>
        <w:t>El artículo 12, párrafo 4 de la CDPD establece salvaguardias para garantizar el respeto de los derechos y la voluntad de las personas con discapacidad al recibir apoyo. Estas salvaguardias buscan prevenir conflictos de interés, abusos y cualquier influencia indebida durante la prestación del apoyo. Se enfocan en asegurar una interacción libre de miedo, agresión, amenaza, engaño o manipulación entre la persona que brinda el apoyo y quien lo recibe. Además, se exige que los apoyos sean proporcionales, adaptados a las circunstancias y el contexto de la persona, y se apliquen en el menor tiempo posible</w:t>
      </w:r>
      <w:r>
        <w:rPr>
          <w:rStyle w:val="None"/>
          <w:vertAlign w:val="superscript"/>
        </w:rPr>
        <w:footnoteReference w:id="429"/>
      </w:r>
      <w:r>
        <w:t>. Como medida adicional, se requiere que los apoyos sean sometidos a exámenes periódicos por parte de una autoridad o un órgano judicial independiente e imparcial</w:t>
      </w:r>
      <w:r>
        <w:rPr>
          <w:rStyle w:val="None"/>
          <w:vertAlign w:val="superscript"/>
        </w:rPr>
        <w:footnoteReference w:id="430"/>
      </w:r>
      <w:r>
        <w:t>.</w:t>
      </w:r>
    </w:p>
    <w:p w14:paraId="1954D4E1" w14:textId="77777777" w:rsidR="001A105D" w:rsidRDefault="00000000">
      <w:pPr>
        <w:pStyle w:val="NoSpacing"/>
        <w:numPr>
          <w:ilvl w:val="0"/>
          <w:numId w:val="33"/>
        </w:numPr>
      </w:pPr>
      <w:r>
        <w:rPr>
          <w:rFonts w:eastAsia="Arial Unicode MS" w:cs="Arial Unicode MS"/>
        </w:rPr>
        <w:t>Por su parte, el CEDDIS define a la salvaguardia como un “mecanismo judicial o extrajudicial orientado a prevenir los abusos contra las personas con discapacidad en su ejercicio de la capacidad jurídica, a fin de asegurar condiciones de igualdad con las demás personas”</w:t>
      </w:r>
      <w:r>
        <w:rPr>
          <w:rStyle w:val="None"/>
          <w:vertAlign w:val="superscript"/>
        </w:rPr>
        <w:footnoteReference w:id="431"/>
      </w:r>
      <w:r>
        <w:rPr>
          <w:rFonts w:eastAsia="Arial Unicode MS" w:cs="Arial Unicode MS"/>
        </w:rPr>
        <w:t xml:space="preserve">. Identifica dos tipos: generales y </w:t>
      </w:r>
      <w:r>
        <w:rPr>
          <w:rFonts w:eastAsia="Arial Unicode MS" w:cs="Arial Unicode MS"/>
        </w:rPr>
        <w:lastRenderedPageBreak/>
        <w:t>particulares. Las generales, que se aplican en todo el sistema jurídico y tienen la función notarial de confirmar la voluntad en un acto legal. Esto garantiza accesibilidad y ajustes razonables, incluyendo a personas de apoyo designadas por la persona con discapacidad</w:t>
      </w:r>
      <w:r>
        <w:rPr>
          <w:rStyle w:val="None"/>
          <w:vertAlign w:val="superscript"/>
        </w:rPr>
        <w:footnoteReference w:id="432"/>
      </w:r>
      <w:r>
        <w:rPr>
          <w:rFonts w:eastAsia="Arial Unicode MS" w:cs="Arial Unicode MS"/>
        </w:rPr>
        <w:t>. Las salvaguardias particulares están integradas en acuerdos de apoyo específicos y dependen de la voluntad y preferencias de la persona con discapacidad</w:t>
      </w:r>
      <w:r>
        <w:rPr>
          <w:rStyle w:val="None"/>
          <w:vertAlign w:val="superscript"/>
        </w:rPr>
        <w:footnoteReference w:id="433"/>
      </w:r>
      <w:r>
        <w:rPr>
          <w:rFonts w:eastAsia="Arial Unicode MS" w:cs="Arial Unicode MS"/>
        </w:rPr>
        <w:t>.</w:t>
      </w:r>
    </w:p>
    <w:p w14:paraId="66778BAF" w14:textId="77777777" w:rsidR="001A105D" w:rsidRDefault="00000000">
      <w:pPr>
        <w:pStyle w:val="NoSpacing"/>
        <w:numPr>
          <w:ilvl w:val="0"/>
          <w:numId w:val="33"/>
        </w:numPr>
      </w:pPr>
      <w:r>
        <w:rPr>
          <w:rFonts w:eastAsia="Arial Unicode MS" w:cs="Arial Unicode MS"/>
        </w:rPr>
        <w:t>Aunado a lo anterior, el CEDDIS ha establecido dos salvaguardias mínimas que deben estar presentes en los acuerdos de apoyo: la renovación periódica y la posibilidad de presentar quejas por abusos o anular el acuerdo en cualquier momento. Además, ha enfatizado que las salvaguardias no pueden reemplazar la voluntad de la persona, ni imponer apoyos en contra de su voluntad. La persona tiene el derecho de modificar o rechazar cualquier tipo de apoyo ofrecido</w:t>
      </w:r>
      <w:r>
        <w:rPr>
          <w:rStyle w:val="None"/>
          <w:vertAlign w:val="superscript"/>
        </w:rPr>
        <w:footnoteReference w:id="434"/>
      </w:r>
      <w:r>
        <w:rPr>
          <w:rFonts w:eastAsia="Arial Unicode MS" w:cs="Arial Unicode MS"/>
        </w:rPr>
        <w:t>.</w:t>
      </w:r>
    </w:p>
    <w:p w14:paraId="1336B183" w14:textId="77777777" w:rsidR="001A105D" w:rsidRDefault="00000000">
      <w:pPr>
        <w:pStyle w:val="Heading3"/>
        <w:numPr>
          <w:ilvl w:val="0"/>
          <w:numId w:val="87"/>
        </w:numPr>
      </w:pPr>
      <w:bookmarkStart w:id="27" w:name="_Toc24"/>
      <w:proofErr w:type="spellStart"/>
      <w:r>
        <w:rPr>
          <w:rFonts w:eastAsia="Arial Unicode MS" w:cs="Arial Unicode MS"/>
        </w:rPr>
        <w:t>Situación</w:t>
      </w:r>
      <w:proofErr w:type="spellEnd"/>
      <w:r>
        <w:rPr>
          <w:rFonts w:eastAsia="Arial Unicode MS" w:cs="Arial Unicode MS"/>
        </w:rPr>
        <w:t xml:space="preserve"> de la </w:t>
      </w:r>
      <w:proofErr w:type="spellStart"/>
      <w:r>
        <w:rPr>
          <w:rFonts w:eastAsia="Arial Unicode MS" w:cs="Arial Unicode MS"/>
        </w:rPr>
        <w:t>capacidad</w:t>
      </w:r>
      <w:proofErr w:type="spellEnd"/>
      <w:r>
        <w:rPr>
          <w:rFonts w:eastAsia="Arial Unicode MS" w:cs="Arial Unicode MS"/>
        </w:rPr>
        <w:t xml:space="preserve"> </w:t>
      </w:r>
      <w:proofErr w:type="spellStart"/>
      <w:r>
        <w:rPr>
          <w:rFonts w:eastAsia="Arial Unicode MS" w:cs="Arial Unicode MS"/>
        </w:rPr>
        <w:t>jurídica</w:t>
      </w:r>
      <w:proofErr w:type="spellEnd"/>
      <w:r>
        <w:rPr>
          <w:rFonts w:eastAsia="Arial Unicode MS" w:cs="Arial Unicode MS"/>
        </w:rPr>
        <w:t xml:space="preserve"> </w:t>
      </w:r>
      <w:proofErr w:type="spellStart"/>
      <w:r>
        <w:rPr>
          <w:rFonts w:eastAsia="Arial Unicode MS" w:cs="Arial Unicode MS"/>
        </w:rPr>
        <w:t>en</w:t>
      </w:r>
      <w:proofErr w:type="spellEnd"/>
      <w:r>
        <w:rPr>
          <w:rFonts w:eastAsia="Arial Unicode MS" w:cs="Arial Unicode MS"/>
        </w:rPr>
        <w:t xml:space="preserve"> la </w:t>
      </w:r>
      <w:proofErr w:type="spellStart"/>
      <w:r>
        <w:rPr>
          <w:rFonts w:eastAsia="Arial Unicode MS" w:cs="Arial Unicode MS"/>
        </w:rPr>
        <w:t>región</w:t>
      </w:r>
      <w:bookmarkEnd w:id="27"/>
      <w:proofErr w:type="spellEnd"/>
    </w:p>
    <w:p w14:paraId="3444A883" w14:textId="77777777" w:rsidR="001A105D" w:rsidRDefault="00000000">
      <w:pPr>
        <w:pStyle w:val="Heading4"/>
        <w:numPr>
          <w:ilvl w:val="0"/>
          <w:numId w:val="88"/>
        </w:numPr>
      </w:pPr>
      <w:r>
        <w:rPr>
          <w:rFonts w:eastAsia="Arial Unicode MS" w:cs="Arial Unicode MS"/>
        </w:rPr>
        <w:t>Contexto general</w:t>
      </w:r>
    </w:p>
    <w:p w14:paraId="49016CBA" w14:textId="77777777" w:rsidR="001A105D" w:rsidRDefault="00000000">
      <w:pPr>
        <w:pStyle w:val="NoSpacing"/>
        <w:numPr>
          <w:ilvl w:val="0"/>
          <w:numId w:val="33"/>
        </w:numPr>
      </w:pPr>
      <w:r>
        <w:t xml:space="preserve">En los diferentes países de la región, se observan avances desiguales en el reconocimiento de la capacidad jurídica de las personas con discapacidad. Varios de estos países han iniciado o completado reformas en sus ordenamientos civiles para ajustarse a los estándares y términos internacionales </w:t>
      </w:r>
      <w:r>
        <w:lastRenderedPageBreak/>
        <w:t>relacionados con la capacidad jurídica</w:t>
      </w:r>
      <w:r>
        <w:rPr>
          <w:rStyle w:val="None"/>
          <w:vertAlign w:val="superscript"/>
        </w:rPr>
        <w:footnoteReference w:id="435"/>
      </w:r>
      <w:r>
        <w:t>. Entre estos se encuentran Argentina (2015)</w:t>
      </w:r>
      <w:r>
        <w:rPr>
          <w:rStyle w:val="None"/>
          <w:vertAlign w:val="superscript"/>
        </w:rPr>
        <w:footnoteReference w:id="436"/>
      </w:r>
      <w:r>
        <w:t>, Brasil (2015)</w:t>
      </w:r>
      <w:r>
        <w:rPr>
          <w:rStyle w:val="None"/>
          <w:vertAlign w:val="superscript"/>
        </w:rPr>
        <w:footnoteReference w:id="437"/>
      </w:r>
      <w:r>
        <w:t>, Costa Rica (2016)</w:t>
      </w:r>
      <w:r>
        <w:rPr>
          <w:rStyle w:val="None"/>
          <w:vertAlign w:val="superscript"/>
        </w:rPr>
        <w:footnoteReference w:id="438"/>
      </w:r>
      <w:r>
        <w:t>, Perú (2018)</w:t>
      </w:r>
      <w:r>
        <w:rPr>
          <w:rStyle w:val="None"/>
          <w:vertAlign w:val="superscript"/>
        </w:rPr>
        <w:footnoteReference w:id="439"/>
      </w:r>
      <w:r>
        <w:t>, Colombia (2019)</w:t>
      </w:r>
      <w:r>
        <w:rPr>
          <w:rStyle w:val="None"/>
          <w:vertAlign w:val="superscript"/>
        </w:rPr>
        <w:footnoteReference w:id="440"/>
      </w:r>
      <w:r>
        <w:t>, y México (2023)</w:t>
      </w:r>
      <w:r>
        <w:rPr>
          <w:rStyle w:val="None"/>
          <w:vertAlign w:val="superscript"/>
        </w:rPr>
        <w:footnoteReference w:id="441"/>
      </w:r>
      <w:r>
        <w:t>.</w:t>
      </w:r>
    </w:p>
    <w:p w14:paraId="56B4EBD1" w14:textId="77777777" w:rsidR="001A105D" w:rsidRDefault="00000000">
      <w:pPr>
        <w:pStyle w:val="NoSpacing"/>
        <w:numPr>
          <w:ilvl w:val="0"/>
          <w:numId w:val="33"/>
        </w:numPr>
      </w:pPr>
      <w:r>
        <w:rPr>
          <w:rFonts w:eastAsia="Arial Unicode MS" w:cs="Arial Unicode MS"/>
        </w:rPr>
        <w:lastRenderedPageBreak/>
        <w:t>El Salvador</w:t>
      </w:r>
      <w:r>
        <w:rPr>
          <w:rStyle w:val="None"/>
          <w:vertAlign w:val="superscript"/>
        </w:rPr>
        <w:footnoteReference w:id="442"/>
      </w:r>
      <w:r>
        <w:rPr>
          <w:rFonts w:eastAsia="Arial Unicode MS" w:cs="Arial Unicode MS"/>
        </w:rPr>
        <w:t>, Nicaragua</w:t>
      </w:r>
      <w:r>
        <w:rPr>
          <w:rStyle w:val="None"/>
          <w:vertAlign w:val="superscript"/>
        </w:rPr>
        <w:footnoteReference w:id="443"/>
      </w:r>
      <w:r>
        <w:rPr>
          <w:rFonts w:eastAsia="Arial Unicode MS" w:cs="Arial Unicode MS"/>
        </w:rPr>
        <w:t xml:space="preserve"> y República Dominicana</w:t>
      </w:r>
      <w:r>
        <w:rPr>
          <w:rStyle w:val="None"/>
          <w:vertAlign w:val="superscript"/>
        </w:rPr>
        <w:footnoteReference w:id="444"/>
      </w:r>
      <w:r>
        <w:rPr>
          <w:rFonts w:eastAsia="Arial Unicode MS" w:cs="Arial Unicode MS"/>
        </w:rPr>
        <w:t xml:space="preserve">, a su vez, han modificado sus leyes específicas sobre discapacidad para incluir el pleno reconocimiento del derecho al ejercicio de la capacidad jurídica, así como la implementación de sistemas de apoyo y salvaguardias. Sin embargo, aún no han realizado reformas similares en sus leyes civiles. </w:t>
      </w:r>
    </w:p>
    <w:p w14:paraId="75C79F5E" w14:textId="77777777" w:rsidR="001A105D" w:rsidRDefault="00000000">
      <w:pPr>
        <w:pStyle w:val="NoSpacing"/>
        <w:numPr>
          <w:ilvl w:val="0"/>
          <w:numId w:val="33"/>
        </w:numPr>
      </w:pPr>
      <w:r>
        <w:t>Estados como Bolivia, Chile, Ecuador, Guatemala, México y Paraguay tienen en marcha iniciativas o proyectos de reforma que buscan el reconocimiento pleno de la capacidad jurídica de las personas con discapacidad, junto con la implementación de sistemas de apoyo y salvaguardias para su ejercicio</w:t>
      </w:r>
      <w:r>
        <w:rPr>
          <w:rStyle w:val="None"/>
          <w:vertAlign w:val="superscript"/>
        </w:rPr>
        <w:footnoteReference w:id="445"/>
      </w:r>
      <w:r>
        <w:t>.</w:t>
      </w:r>
    </w:p>
    <w:p w14:paraId="0639CF50" w14:textId="77777777" w:rsidR="001A105D" w:rsidRDefault="00000000">
      <w:pPr>
        <w:pStyle w:val="NoSpacing"/>
        <w:numPr>
          <w:ilvl w:val="0"/>
          <w:numId w:val="33"/>
        </w:numPr>
      </w:pPr>
      <w:r>
        <w:rPr>
          <w:rFonts w:eastAsia="Arial Unicode MS" w:cs="Arial Unicode MS"/>
        </w:rPr>
        <w:t>A su vez, hay una mayoría de países que aún mantienen legislaciones civiles y leyes de salud mental que restringen o niegan el derecho a la capacidad jurídica y, por ende, otros derechos civiles, políticos, económicos, sociales y culturales a las personas con discapacidad, manteniendo modelos de sustitución de la voluntad.</w:t>
      </w:r>
    </w:p>
    <w:p w14:paraId="72D2F4C5" w14:textId="77777777" w:rsidR="001A105D" w:rsidRDefault="00000000">
      <w:pPr>
        <w:pStyle w:val="NoSpacing"/>
        <w:numPr>
          <w:ilvl w:val="0"/>
          <w:numId w:val="33"/>
        </w:numPr>
      </w:pPr>
      <w:r>
        <w:rPr>
          <w:rFonts w:eastAsia="Arial Unicode MS" w:cs="Arial Unicode MS"/>
        </w:rPr>
        <w:lastRenderedPageBreak/>
        <w:t>Se resaltan los avances realizados por Colombia y Perú, quienes llevaron a cabo modificaciones integrales de sus leyes civiles, derogando completamente las figuras legales de sustitución de la voluntad por motivos relacionados con la discapacidad, e implementando sistemas de toma de decisiones con apoyo, así como salvaguardias para garantizar su ejercicio. Ambos países se encuentran en el proceso de implementación de estas reformas a nivel nacional</w:t>
      </w:r>
      <w:r>
        <w:rPr>
          <w:rStyle w:val="None"/>
          <w:vertAlign w:val="superscript"/>
        </w:rPr>
        <w:footnoteReference w:id="446"/>
      </w:r>
      <w:r>
        <w:rPr>
          <w:rFonts w:eastAsia="Arial Unicode MS" w:cs="Arial Unicode MS"/>
        </w:rPr>
        <w:t>.</w:t>
      </w:r>
    </w:p>
    <w:p w14:paraId="22051910" w14:textId="77777777" w:rsidR="001A105D" w:rsidRDefault="00000000">
      <w:pPr>
        <w:pStyle w:val="NoSpacing"/>
        <w:numPr>
          <w:ilvl w:val="0"/>
          <w:numId w:val="33"/>
        </w:numPr>
      </w:pPr>
      <w:r>
        <w:t>México recientemente inauguró el nuevo Código Nacional de Procedimientos Civiles y Familiares (CNPCF). Aprobado por el Congreso de la Unión el 24 de abril de 2023, este código elimina la figura de interdicción por causa de discapacidad y otras en personas mayores de 18 años y abre la puerta a otras reformas legales que deben realizarse en cada Estado de la federación. Además, esta reforma introduce innovaciones al ampliar los servicios de apoyo para la toma de decisiones de las personas con discapacidad, extendiéndolos a todas aquellas personas que puedan requerirlos en algún momento de sus vidas. Así, el sistema de apoyos no se vincula exclusivamente a la discapacidad. Del mismo modo, esta reforma incorpora innovaciones en los requerimientos y procedimientos periciales relacionados con los informes médicos</w:t>
      </w:r>
      <w:r>
        <w:rPr>
          <w:rStyle w:val="None"/>
          <w:color w:val="333333"/>
          <w:u w:color="333333"/>
          <w:vertAlign w:val="superscript"/>
        </w:rPr>
        <w:footnoteReference w:id="447"/>
      </w:r>
      <w:r>
        <w:t>.</w:t>
      </w:r>
    </w:p>
    <w:p w14:paraId="389F3914" w14:textId="77777777" w:rsidR="001A105D" w:rsidRDefault="00000000">
      <w:pPr>
        <w:pStyle w:val="NoSpacing"/>
        <w:numPr>
          <w:ilvl w:val="0"/>
          <w:numId w:val="33"/>
        </w:numPr>
      </w:pPr>
      <w:r>
        <w:rPr>
          <w:rFonts w:eastAsia="Arial Unicode MS" w:cs="Arial Unicode MS"/>
        </w:rPr>
        <w:t xml:space="preserve">Del mismo modo, El Salvador, Nicaragua y República Dominicana están realizando esfuerzos para reformar sus legislaciones en este tema. Estos últimos tres Estados reconocen el derecho a la capacidad jurídica plena de las </w:t>
      </w:r>
      <w:r>
        <w:rPr>
          <w:rFonts w:eastAsia="Arial Unicode MS" w:cs="Arial Unicode MS"/>
        </w:rPr>
        <w:lastRenderedPageBreak/>
        <w:t>personas con discapacidad, así como su derecho a ejercer la toma de decisiones que afectan sus vidas, y también ordenan la creación de un sistema de apoyos y salvaguardias para su ejercicio en sus leyes específicas sobre personas con discapacidad. Sin embargo, aún no han implementado reformas en otros cuerpos legales para armonizar su legislación civil, que todavía mantiene figuras como la incapacidad y la interdicción</w:t>
      </w:r>
      <w:r>
        <w:rPr>
          <w:rStyle w:val="None"/>
          <w:vertAlign w:val="superscript"/>
        </w:rPr>
        <w:footnoteReference w:id="448"/>
      </w:r>
      <w:r>
        <w:rPr>
          <w:rFonts w:eastAsia="Arial Unicode MS" w:cs="Arial Unicode MS"/>
        </w:rPr>
        <w:t>.</w:t>
      </w:r>
    </w:p>
    <w:p w14:paraId="4F5D8BEE" w14:textId="77777777" w:rsidR="001A105D" w:rsidRDefault="00000000">
      <w:pPr>
        <w:pStyle w:val="NoSpacing"/>
        <w:numPr>
          <w:ilvl w:val="0"/>
          <w:numId w:val="33"/>
        </w:numPr>
      </w:pPr>
      <w:r>
        <w:lastRenderedPageBreak/>
        <w:t>En países como las Bahamas</w:t>
      </w:r>
      <w:r>
        <w:rPr>
          <w:rStyle w:val="None"/>
          <w:vertAlign w:val="superscript"/>
        </w:rPr>
        <w:footnoteReference w:id="449"/>
      </w:r>
      <w:r>
        <w:t>, Barbados</w:t>
      </w:r>
      <w:r>
        <w:rPr>
          <w:rStyle w:val="None"/>
          <w:vertAlign w:val="superscript"/>
        </w:rPr>
        <w:footnoteReference w:id="450"/>
      </w:r>
      <w:r>
        <w:t>, Belice</w:t>
      </w:r>
      <w:r>
        <w:rPr>
          <w:rStyle w:val="None"/>
          <w:vertAlign w:val="superscript"/>
        </w:rPr>
        <w:footnoteReference w:id="451"/>
      </w:r>
      <w:r>
        <w:t>, Bolivia</w:t>
      </w:r>
      <w:r>
        <w:rPr>
          <w:rStyle w:val="None"/>
          <w:vertAlign w:val="superscript"/>
        </w:rPr>
        <w:footnoteReference w:id="452"/>
      </w:r>
      <w:r>
        <w:t>, Chile</w:t>
      </w:r>
      <w:r>
        <w:rPr>
          <w:rStyle w:val="None"/>
          <w:vertAlign w:val="superscript"/>
        </w:rPr>
        <w:footnoteReference w:id="453"/>
      </w:r>
      <w:r>
        <w:t>, Ecuador</w:t>
      </w:r>
      <w:r>
        <w:rPr>
          <w:rStyle w:val="None"/>
          <w:vertAlign w:val="superscript"/>
        </w:rPr>
        <w:footnoteReference w:id="454"/>
      </w:r>
      <w:r>
        <w:t>, Guatemala</w:t>
      </w:r>
      <w:r>
        <w:rPr>
          <w:rStyle w:val="None"/>
          <w:vertAlign w:val="superscript"/>
        </w:rPr>
        <w:footnoteReference w:id="455"/>
      </w:r>
      <w:r>
        <w:t>, Guyana</w:t>
      </w:r>
      <w:r>
        <w:rPr>
          <w:rStyle w:val="None"/>
          <w:vertAlign w:val="superscript"/>
        </w:rPr>
        <w:footnoteReference w:id="456"/>
      </w:r>
      <w:r>
        <w:t xml:space="preserve">, </w:t>
      </w:r>
      <w:r>
        <w:lastRenderedPageBreak/>
        <w:t>Haití</w:t>
      </w:r>
      <w:r>
        <w:rPr>
          <w:rStyle w:val="None"/>
          <w:vertAlign w:val="superscript"/>
        </w:rPr>
        <w:footnoteReference w:id="457"/>
      </w:r>
      <w:r>
        <w:t>, Honduras</w:t>
      </w:r>
      <w:r>
        <w:rPr>
          <w:rStyle w:val="None"/>
          <w:vertAlign w:val="superscript"/>
        </w:rPr>
        <w:footnoteReference w:id="458"/>
      </w:r>
      <w:r>
        <w:t>, Jamaica</w:t>
      </w:r>
      <w:r>
        <w:rPr>
          <w:rStyle w:val="None"/>
          <w:vertAlign w:val="superscript"/>
        </w:rPr>
        <w:footnoteReference w:id="459"/>
      </w:r>
      <w:r>
        <w:t>, México</w:t>
      </w:r>
      <w:r>
        <w:rPr>
          <w:rStyle w:val="None"/>
          <w:vertAlign w:val="superscript"/>
        </w:rPr>
        <w:footnoteReference w:id="460"/>
      </w:r>
      <w:r>
        <w:t>, Panamá</w:t>
      </w:r>
      <w:r>
        <w:rPr>
          <w:rStyle w:val="None"/>
          <w:vertAlign w:val="superscript"/>
        </w:rPr>
        <w:footnoteReference w:id="461"/>
      </w:r>
      <w:r>
        <w:t>, Paraguay</w:t>
      </w:r>
      <w:r>
        <w:rPr>
          <w:rStyle w:val="None"/>
          <w:vertAlign w:val="superscript"/>
        </w:rPr>
        <w:footnoteReference w:id="462"/>
      </w:r>
      <w:r>
        <w:t>, Surinam</w:t>
      </w:r>
      <w:r>
        <w:rPr>
          <w:rStyle w:val="None"/>
          <w:vertAlign w:val="superscript"/>
        </w:rPr>
        <w:footnoteReference w:id="463"/>
      </w:r>
      <w:r>
        <w:t>, Trinidad y Tobago</w:t>
      </w:r>
      <w:r>
        <w:rPr>
          <w:rStyle w:val="None"/>
          <w:vertAlign w:val="superscript"/>
        </w:rPr>
        <w:footnoteReference w:id="464"/>
      </w:r>
      <w:r>
        <w:t>, Uruguay</w:t>
      </w:r>
      <w:r>
        <w:rPr>
          <w:rStyle w:val="None"/>
          <w:vertAlign w:val="superscript"/>
        </w:rPr>
        <w:footnoteReference w:id="465"/>
      </w:r>
      <w:r>
        <w:t xml:space="preserve"> y Venezuela</w:t>
      </w:r>
      <w:r>
        <w:rPr>
          <w:rStyle w:val="None"/>
          <w:vertAlign w:val="superscript"/>
        </w:rPr>
        <w:footnoteReference w:id="466"/>
      </w:r>
      <w:r>
        <w:t xml:space="preserve">, aún se mantienen regímenes de sustitución de la voluntad de las personas con discapacidad. Estos regímenes incluyen figuras como la tutela o curatela, que se obtienen mediante declaratoria o sentencia judicial de interdicción, incapacidad o inhabilitación. En estos contextos, la terminología utilizada para referirse a las personas sujetas a interdicción está impregnada del estigma del modelo médico sobre la discapacidad, con términos como "dementes", "sordos", </w:t>
      </w:r>
      <w:r>
        <w:lastRenderedPageBreak/>
        <w:t>"sordomudos", "</w:t>
      </w:r>
      <w:proofErr w:type="spellStart"/>
      <w:r>
        <w:rPr>
          <w:rStyle w:val="Hyperlink3"/>
        </w:rPr>
        <w:t>idiots</w:t>
      </w:r>
      <w:proofErr w:type="spellEnd"/>
      <w:r>
        <w:t>", "</w:t>
      </w:r>
      <w:proofErr w:type="spellStart"/>
      <w:r>
        <w:rPr>
          <w:rStyle w:val="Hyperlink3"/>
        </w:rPr>
        <w:t>unsound</w:t>
      </w:r>
      <w:proofErr w:type="spellEnd"/>
      <w:r>
        <w:rPr>
          <w:rStyle w:val="Hyperlink3"/>
        </w:rPr>
        <w:t xml:space="preserve"> </w:t>
      </w:r>
      <w:proofErr w:type="spellStart"/>
      <w:r>
        <w:rPr>
          <w:rStyle w:val="Hyperlink3"/>
        </w:rPr>
        <w:t>minds</w:t>
      </w:r>
      <w:proofErr w:type="spellEnd"/>
      <w:r>
        <w:t>", "con trastorno o desorden mental", "débil de entendimiento", "no se puede expresar de manera verbal o escrita", entre otros. Esta estigmatización, además de discriminatoria, naturaliza el despojo de su derecho inherente a ejercer la capacidad jurídica.</w:t>
      </w:r>
    </w:p>
    <w:p w14:paraId="52CE173B" w14:textId="77777777" w:rsidR="001A105D" w:rsidRDefault="00000000">
      <w:pPr>
        <w:pStyle w:val="NoSpacing"/>
        <w:numPr>
          <w:ilvl w:val="0"/>
          <w:numId w:val="33"/>
        </w:numPr>
      </w:pPr>
      <w:r>
        <w:t xml:space="preserve">La mayoría de estos cuerpos legales, al hacer una distinción basada en diagnósticos médicos según “tipos” y “grados” de “situaciones </w:t>
      </w:r>
      <w:proofErr w:type="spellStart"/>
      <w:r>
        <w:t>discapacitantes</w:t>
      </w:r>
      <w:proofErr w:type="spellEnd"/>
      <w:r>
        <w:t xml:space="preserve">” para evaluar la garantía de ejercicio de derechos, confunden en la ley el derecho a la capacidad jurídica con la “capacidad mental” y, al establecer un reconocimiento diferenciado, generan discriminación por causa de discapacidad. En general, los regímenes de tutela o interdicción afectan de manera desproporcionada a las personas con discapacidad intelectual, psicosocial y sensorial, a las mujeres, la infancia y a las personas mayores. </w:t>
      </w:r>
    </w:p>
    <w:p w14:paraId="475E103E" w14:textId="77777777" w:rsidR="001A105D" w:rsidRDefault="00000000">
      <w:pPr>
        <w:pStyle w:val="NoSpacing"/>
        <w:numPr>
          <w:ilvl w:val="0"/>
          <w:numId w:val="33"/>
        </w:numPr>
      </w:pPr>
      <w:r>
        <w:rPr>
          <w:rFonts w:eastAsia="Arial Unicode MS" w:cs="Arial Unicode MS"/>
        </w:rPr>
        <w:t>La Comisión observa la falta de avances significativos en la implementación del nuevo paradigma en discapacidad, que requiere la adecuación interna de los diferentes ordenamientos jurídicos (como los civiles y de salud mental) que regulan la capacidad jurídica o que, sin regularla directamente, impactan indirectamente en el ejercicio de esta</w:t>
      </w:r>
      <w:r>
        <w:rPr>
          <w:rStyle w:val="None"/>
          <w:vertAlign w:val="superscript"/>
        </w:rPr>
        <w:footnoteReference w:id="467"/>
      </w:r>
      <w:r>
        <w:rPr>
          <w:rFonts w:eastAsia="Arial Unicode MS" w:cs="Arial Unicode MS"/>
        </w:rPr>
        <w:t xml:space="preserve">. Entre ello, se destaca </w:t>
      </w:r>
      <w:r>
        <w:rPr>
          <w:rFonts w:eastAsia="Arial Unicode MS" w:cs="Arial Unicode MS"/>
        </w:rPr>
        <w:lastRenderedPageBreak/>
        <w:t>la ausencia de asignación presupuestaria para realizar consultas públicas con personas con discapacidad sobre la implementación de sistemas de apoyo y salvaguardias, como lo estipula la CDPD. Igualmente, la necesidad de asignar recursos para proporcionar apoyo personal a quienes carecen de una red de apoyo natural, así como para capacitar y concientizar a funcionarios públicos, operadores judiciales y personas que asisten a individuos con discapacidad</w:t>
      </w:r>
      <w:r>
        <w:rPr>
          <w:rStyle w:val="None"/>
          <w:vertAlign w:val="superscript"/>
        </w:rPr>
        <w:footnoteReference w:id="468"/>
      </w:r>
      <w:r>
        <w:rPr>
          <w:rFonts w:eastAsia="Arial Unicode MS" w:cs="Arial Unicode MS"/>
        </w:rPr>
        <w:t xml:space="preserve">. </w:t>
      </w:r>
    </w:p>
    <w:p w14:paraId="7EA2043E" w14:textId="77777777" w:rsidR="001A105D" w:rsidRDefault="00000000">
      <w:pPr>
        <w:pStyle w:val="NoSpacing"/>
        <w:numPr>
          <w:ilvl w:val="0"/>
          <w:numId w:val="33"/>
        </w:numPr>
      </w:pPr>
      <w:r>
        <w:t xml:space="preserve">Por otro lado, varios países de la región han realizado reformas legislativas para reconocer la capacidad jurídica de las personas con discapacidad y establecer sistemas de apoyo y salvaguardias. Sin embargo, la Comisión nota que estas acciones aún están en proceso de implementación y muchas no están totalmente alineadas a los estándares del derecho </w:t>
      </w:r>
      <w:r>
        <w:lastRenderedPageBreak/>
        <w:t>internacional de los derechos humanos y en particular el artículo 12 de la CDPD. No obstante, representan un esfuerzo para transitar hacia un cambio de paradigma que permita la implementación de un sistema de apoyos y salvaguardias para la toma de decisiones y, por ende, el reconocimiento de las personas con discapacidad como ciudadanas con plenos derechos</w:t>
      </w:r>
      <w:r>
        <w:rPr>
          <w:rStyle w:val="None"/>
          <w:vertAlign w:val="superscript"/>
        </w:rPr>
        <w:footnoteReference w:id="469"/>
      </w:r>
      <w:r>
        <w:t>.</w:t>
      </w:r>
    </w:p>
    <w:p w14:paraId="2889CA0B" w14:textId="77777777" w:rsidR="001A105D" w:rsidRDefault="00000000">
      <w:pPr>
        <w:pStyle w:val="NoSpacing"/>
        <w:numPr>
          <w:ilvl w:val="0"/>
          <w:numId w:val="33"/>
        </w:numPr>
      </w:pPr>
      <w:r>
        <w:t>Al respecto, en el Código Civil y Comercial de Argentina, se establece la presunción de capacidad para ejercer la toma de decisiones jurídicas por parte de todas las personas, incluso cuando se encuentren internadas en un establecimiento asistencial</w:t>
      </w:r>
      <w:r>
        <w:rPr>
          <w:rStyle w:val="None"/>
          <w:vertAlign w:val="superscript"/>
        </w:rPr>
        <w:footnoteReference w:id="470"/>
      </w:r>
      <w:r>
        <w:t xml:space="preserve">. Sin embargo, para aquellos mayores de edad con una “alteración mental permanente y de suficiente gravedad”, que puedan representar un riesgo para su persona o sus bienes, se contempla la restricción de su capacidad jurídica y la implementación de apoyos. En este proceso judicial, se garantiza la participación directa de la persona con discapacidad mediante medidas de accesibilidad y ajustes razonables en el procedimiento. Además, se requiere la intervención de un equipo interdisciplinario para evaluar los apoyos necesarios. No obstante, no existen políticas públicas </w:t>
      </w:r>
      <w:r>
        <w:lastRenderedPageBreak/>
        <w:t>que faciliten el acceso a estos apoyos fuera del ámbito judicial, ni se ofrece la posibilidad de solicitarlos de manera voluntaria</w:t>
      </w:r>
      <w:r>
        <w:rPr>
          <w:rStyle w:val="None"/>
          <w:vertAlign w:val="superscript"/>
        </w:rPr>
        <w:footnoteReference w:id="471"/>
      </w:r>
      <w:r>
        <w:t>.</w:t>
      </w:r>
    </w:p>
    <w:p w14:paraId="4918C3DD" w14:textId="77777777" w:rsidR="001A105D" w:rsidRDefault="00000000">
      <w:pPr>
        <w:pStyle w:val="NoSpacing"/>
        <w:numPr>
          <w:ilvl w:val="0"/>
          <w:numId w:val="33"/>
        </w:numPr>
      </w:pPr>
      <w:r>
        <w:rPr>
          <w:rFonts w:eastAsia="Arial Unicode MS" w:cs="Arial Unicode MS"/>
        </w:rPr>
        <w:t xml:space="preserve">En Brasil, se modificó el régimen de interdicción para reservar la curatela únicamente a aquellos que “no pueden expresar su voluntad”, estableciendo así un sistema de apoyos y salvaguardias para el resto de las personas. Por vía judicial, pueden designarse al menos dos personas de confianza como apoyos para la toma de decisiones sobre actos de la vida civil, proporcionando la información necesaria para que la persona titular del derecho ejerza su capacidad jurídica. </w:t>
      </w:r>
    </w:p>
    <w:p w14:paraId="561ED425" w14:textId="77777777" w:rsidR="001A105D" w:rsidRDefault="00000000">
      <w:pPr>
        <w:pStyle w:val="NoSpacing"/>
        <w:numPr>
          <w:ilvl w:val="0"/>
          <w:numId w:val="33"/>
        </w:numPr>
      </w:pPr>
      <w:r>
        <w:t>Sin embargo, las personas designadas como apoyo pueden firmar en lugar de la persona con discapacidad si terceros así lo requieren durante una transacción jurídica. Además, en transacciones que puedan generar “riesgos” o perjuicios significativos percibidos para la persona con discapacidad, si el apoyo difiere en su “opinión”, la decisión se traslada a un juez, con la posibilidad de que el Ministerio Público “opine” al respecto</w:t>
      </w:r>
      <w:r>
        <w:rPr>
          <w:rStyle w:val="None"/>
          <w:vertAlign w:val="superscript"/>
        </w:rPr>
        <w:footnoteReference w:id="472"/>
      </w:r>
      <w:r>
        <w:t xml:space="preserve">. </w:t>
      </w:r>
    </w:p>
    <w:p w14:paraId="77BD67A1" w14:textId="77777777" w:rsidR="001A105D" w:rsidRDefault="00000000">
      <w:pPr>
        <w:pStyle w:val="NoSpacing"/>
        <w:numPr>
          <w:ilvl w:val="0"/>
          <w:numId w:val="33"/>
        </w:numPr>
      </w:pPr>
      <w:r>
        <w:rPr>
          <w:rFonts w:eastAsia="Arial Unicode MS" w:cs="Arial Unicode MS"/>
        </w:rPr>
        <w:t xml:space="preserve">Las disposiciones en estos Estados aún reflejan una sustitución de la voluntad y preferencias de la persona con discapacidad, que involucra el mantenimiento de una mirada paternalista y </w:t>
      </w:r>
      <w:r>
        <w:rPr>
          <w:rFonts w:eastAsia="Arial Unicode MS" w:cs="Arial Unicode MS"/>
        </w:rPr>
        <w:lastRenderedPageBreak/>
        <w:t>capacitista sobre ella debido a su discapacidad. La CIDH observa que prevalecen barreras actitudinales basadas en prejuicios y estereotipos nocivos sobre las personas con discapacidad, lo que obstaculiza el reconocimiento pleno de este derecho.</w:t>
      </w:r>
    </w:p>
    <w:p w14:paraId="383D83AD" w14:textId="77777777" w:rsidR="001A105D" w:rsidRDefault="00000000">
      <w:pPr>
        <w:pStyle w:val="NoSpacing"/>
        <w:numPr>
          <w:ilvl w:val="0"/>
          <w:numId w:val="33"/>
        </w:numPr>
      </w:pPr>
      <w:r>
        <w:rPr>
          <w:rFonts w:eastAsia="Arial Unicode MS" w:cs="Arial Unicode MS"/>
        </w:rPr>
        <w:t>Costa Rica, a su vez, emitió la Ley para la Promoción de la Autonomía de las Personas con Discapacidad, que introduce la figura del garante para asegurar la igualdad jurídica de las personas con discapacidad. Este garante, tiene el rol de asegurar el pleno goce del derecho a la igualdad jurídica de las personas con discapacidad intelectual y psicosocial, garantizando la titularidad y el ejercicio seguro de sus derechos y obligaciones</w:t>
      </w:r>
      <w:r>
        <w:rPr>
          <w:rStyle w:val="None"/>
          <w:vertAlign w:val="superscript"/>
        </w:rPr>
        <w:footnoteReference w:id="473"/>
      </w:r>
      <w:r>
        <w:rPr>
          <w:rFonts w:eastAsia="Arial Unicode MS" w:cs="Arial Unicode MS"/>
        </w:rPr>
        <w:t>.</w:t>
      </w:r>
    </w:p>
    <w:p w14:paraId="2AF144D0" w14:textId="77777777" w:rsidR="001A105D" w:rsidRDefault="00000000">
      <w:pPr>
        <w:pStyle w:val="NoSpacing"/>
        <w:numPr>
          <w:ilvl w:val="0"/>
          <w:numId w:val="33"/>
        </w:numPr>
      </w:pPr>
      <w:r>
        <w:rPr>
          <w:rFonts w:eastAsia="Arial Unicode MS" w:cs="Arial Unicode MS"/>
        </w:rPr>
        <w:t xml:space="preserve">Dicha ley revoca las figuras de la interdicción, la insania y la curatela de distintos cuerpos legales civiles, y establece salvaguardias en concordancia con el artículo 12 de la CDPD. Sin embargo, al designar al garante como la persona encargada de salvaguardar los derechos, surge confusión entre el garante como apoyo y las salvaguardias como mecanismos para respetar la voluntad de la persona con discapacidad. Esto deja sin efecto la posibilidad de establecer salvaguardias neutrales </w:t>
      </w:r>
      <w:r>
        <w:rPr>
          <w:rFonts w:eastAsia="Arial Unicode MS" w:cs="Arial Unicode MS"/>
        </w:rPr>
        <w:lastRenderedPageBreak/>
        <w:t>y pertinentes para la persona, además de la revisión judicial del apoyo cada 5 años</w:t>
      </w:r>
      <w:r>
        <w:rPr>
          <w:rStyle w:val="None"/>
          <w:vertAlign w:val="superscript"/>
        </w:rPr>
        <w:footnoteReference w:id="474"/>
      </w:r>
      <w:r>
        <w:rPr>
          <w:rFonts w:eastAsia="Arial Unicode MS" w:cs="Arial Unicode MS"/>
        </w:rPr>
        <w:t>.</w:t>
      </w:r>
    </w:p>
    <w:p w14:paraId="04E9A58D" w14:textId="77777777" w:rsidR="001A105D" w:rsidRDefault="00000000">
      <w:pPr>
        <w:pStyle w:val="NoSpacing"/>
        <w:numPr>
          <w:ilvl w:val="0"/>
          <w:numId w:val="33"/>
        </w:numPr>
      </w:pPr>
      <w:r>
        <w:rPr>
          <w:rFonts w:eastAsia="Arial Unicode MS" w:cs="Arial Unicode MS"/>
        </w:rPr>
        <w:t>Asimismo, cabe a la persona magistrada, en detrimento de la elección por la propia persona con discapacidad, la designación del garante, una vez que también es la persona que toma las decisiones. Aunque la ley establece otra figura de apoyo, la "Asistencia Personal Humana", se entiende que esta se refiere al apoyo para la vida independiente, no en los procesos de toma de decisiones jurídicamente vinculantes</w:t>
      </w:r>
      <w:r>
        <w:rPr>
          <w:rStyle w:val="None"/>
          <w:vertAlign w:val="superscript"/>
        </w:rPr>
        <w:footnoteReference w:id="475"/>
      </w:r>
      <w:r>
        <w:rPr>
          <w:rFonts w:eastAsia="Arial Unicode MS" w:cs="Arial Unicode MS"/>
        </w:rPr>
        <w:t>.</w:t>
      </w:r>
    </w:p>
    <w:p w14:paraId="1280B85D" w14:textId="77777777" w:rsidR="001A105D" w:rsidRDefault="00000000">
      <w:pPr>
        <w:pStyle w:val="NoSpacing"/>
        <w:numPr>
          <w:ilvl w:val="0"/>
          <w:numId w:val="33"/>
        </w:numPr>
      </w:pPr>
      <w:r>
        <w:t>Respecto de Cuba, la Comisión tomó nota que recientemente modificó su Código Civil y emitió el Código de las Familias, reconociendo la capacidad jurídica de las personas con discapacidad. Estas normativas establecen que estas personas tienen capacidad de ejercicio en igualdad de condiciones en todos los aspectos de la vida. Además, se reconoce su derecho a solicitar apoyos para ejercer dicha capacidad, según su libre elección mediante escritura pública notarial o ante juez competente, y se establecen salvaguardias</w:t>
      </w:r>
      <w:r>
        <w:rPr>
          <w:rStyle w:val="None"/>
          <w:vertAlign w:val="superscript"/>
        </w:rPr>
        <w:footnoteReference w:id="476"/>
      </w:r>
      <w:r>
        <w:t>.</w:t>
      </w:r>
    </w:p>
    <w:p w14:paraId="6F2D8CB7" w14:textId="77777777" w:rsidR="001A105D" w:rsidRDefault="00000000">
      <w:pPr>
        <w:pStyle w:val="NoSpacing"/>
        <w:numPr>
          <w:ilvl w:val="0"/>
          <w:numId w:val="33"/>
        </w:numPr>
      </w:pPr>
      <w:r>
        <w:rPr>
          <w:rFonts w:eastAsia="Arial Unicode MS" w:cs="Arial Unicode MS"/>
        </w:rPr>
        <w:lastRenderedPageBreak/>
        <w:t>De manera similar, la regulación cubana contempla la designación judicial de apoyos para aquellas personas que no puedan manifestar su voluntad, una vez agotados los esfuerzos pertinentes mediante medidas de accesibilidad, apoyos y ajustes razonables. Esta designación se considera necesaria para el ejercicio y protección de sus derechos, voluntad y preferencias</w:t>
      </w:r>
      <w:r>
        <w:rPr>
          <w:rStyle w:val="None"/>
          <w:vertAlign w:val="superscript"/>
        </w:rPr>
        <w:footnoteReference w:id="477"/>
      </w:r>
      <w:r>
        <w:rPr>
          <w:rFonts w:eastAsia="Arial Unicode MS" w:cs="Arial Unicode MS"/>
        </w:rPr>
        <w:t>. Sin embargo, se mantiene la restricción a la capacidad jurídica para contraer matrimonio en el caso de personas que no puedan confirmar o expresar su voluntad por cualquier medio para otorgar el consentimiento de forma permanente o temporal</w:t>
      </w:r>
      <w:r>
        <w:rPr>
          <w:rStyle w:val="None"/>
          <w:vertAlign w:val="superscript"/>
        </w:rPr>
        <w:footnoteReference w:id="478"/>
      </w:r>
      <w:r>
        <w:rPr>
          <w:rFonts w:eastAsia="Arial Unicode MS" w:cs="Arial Unicode MS"/>
        </w:rPr>
        <w:t>.</w:t>
      </w:r>
    </w:p>
    <w:p w14:paraId="417C4CE1" w14:textId="77777777" w:rsidR="001A105D" w:rsidRDefault="00000000">
      <w:pPr>
        <w:pStyle w:val="Heading3"/>
        <w:numPr>
          <w:ilvl w:val="0"/>
          <w:numId w:val="89"/>
        </w:numPr>
      </w:pPr>
      <w:bookmarkStart w:id="28" w:name="_Toc25"/>
      <w:r>
        <w:rPr>
          <w:rFonts w:eastAsia="Arial Unicode MS" w:cs="Arial Unicode MS"/>
          <w:lang w:val="es-ES_tradnl"/>
        </w:rPr>
        <w:t>Medidas dirigidas a la eliminación de figuras que sustituyen la capacidad jur</w:t>
      </w:r>
      <w:r>
        <w:rPr>
          <w:rFonts w:eastAsia="Arial Unicode MS" w:cs="Arial Unicode MS"/>
        </w:rPr>
        <w:t>í</w:t>
      </w:r>
      <w:proofErr w:type="spellStart"/>
      <w:r>
        <w:rPr>
          <w:rFonts w:eastAsia="Arial Unicode MS" w:cs="Arial Unicode MS"/>
          <w:lang w:val="es-ES_tradnl"/>
        </w:rPr>
        <w:t>dica</w:t>
      </w:r>
      <w:proofErr w:type="spellEnd"/>
      <w:r>
        <w:rPr>
          <w:rFonts w:eastAsia="Arial Unicode MS" w:cs="Arial Unicode MS"/>
          <w:lang w:val="es-ES_tradnl"/>
        </w:rPr>
        <w:t xml:space="preserve"> en el ordenamiento civil: buenas </w:t>
      </w:r>
      <w:proofErr w:type="spellStart"/>
      <w:r>
        <w:rPr>
          <w:rFonts w:eastAsia="Arial Unicode MS" w:cs="Arial Unicode MS"/>
          <w:lang w:val="es-ES_tradnl"/>
        </w:rPr>
        <w:t>pr</w:t>
      </w:r>
      <w:proofErr w:type="spellEnd"/>
      <w:r>
        <w:rPr>
          <w:rFonts w:eastAsia="Arial Unicode MS" w:cs="Arial Unicode MS"/>
        </w:rPr>
        <w:t>á</w:t>
      </w:r>
      <w:proofErr w:type="spellStart"/>
      <w:r>
        <w:rPr>
          <w:rFonts w:eastAsia="Arial Unicode MS" w:cs="Arial Unicode MS"/>
          <w:lang w:val="es-ES_tradnl"/>
        </w:rPr>
        <w:t>cticas</w:t>
      </w:r>
      <w:proofErr w:type="spellEnd"/>
      <w:r>
        <w:rPr>
          <w:rFonts w:eastAsia="Arial Unicode MS" w:cs="Arial Unicode MS"/>
          <w:lang w:val="es-ES_tradnl"/>
        </w:rPr>
        <w:t xml:space="preserve"> y retos pendientes</w:t>
      </w:r>
      <w:bookmarkEnd w:id="28"/>
    </w:p>
    <w:p w14:paraId="589E2C14" w14:textId="77777777" w:rsidR="001A105D" w:rsidRDefault="00000000">
      <w:pPr>
        <w:pStyle w:val="NoSpacing"/>
        <w:numPr>
          <w:ilvl w:val="0"/>
          <w:numId w:val="33"/>
        </w:numPr>
      </w:pPr>
      <w:r>
        <w:rPr>
          <w:rFonts w:eastAsia="Arial Unicode MS" w:cs="Arial Unicode MS"/>
        </w:rPr>
        <w:t>En cuanto al reconocimiento pleno de la capacidad jurídica de las personas con discapacidad, Colombia</w:t>
      </w:r>
      <w:r>
        <w:rPr>
          <w:rStyle w:val="None"/>
          <w:vertAlign w:val="superscript"/>
        </w:rPr>
        <w:footnoteReference w:id="479"/>
      </w:r>
      <w:r>
        <w:rPr>
          <w:rFonts w:eastAsia="Arial Unicode MS" w:cs="Arial Unicode MS"/>
        </w:rPr>
        <w:t xml:space="preserve"> y Perú</w:t>
      </w:r>
      <w:r>
        <w:rPr>
          <w:rStyle w:val="None"/>
          <w:vertAlign w:val="superscript"/>
        </w:rPr>
        <w:footnoteReference w:id="480"/>
      </w:r>
      <w:r>
        <w:rPr>
          <w:rFonts w:eastAsia="Arial Unicode MS" w:cs="Arial Unicode MS"/>
        </w:rPr>
        <w:t xml:space="preserve"> han registrado significativos e integrales avances legislativos, sumados al establecimiento de sistemas de apoyos y </w:t>
      </w:r>
      <w:r>
        <w:rPr>
          <w:rFonts w:eastAsia="Arial Unicode MS" w:cs="Arial Unicode MS"/>
        </w:rPr>
        <w:lastRenderedPageBreak/>
        <w:t>salvaguardias, conforme a los estándares establecidos en el artículo 12 de la CDPD.</w:t>
      </w:r>
    </w:p>
    <w:p w14:paraId="470DDB06" w14:textId="77777777" w:rsidR="001A105D" w:rsidRDefault="00000000">
      <w:pPr>
        <w:pStyle w:val="NoSpacing"/>
        <w:numPr>
          <w:ilvl w:val="0"/>
          <w:numId w:val="33"/>
        </w:numPr>
      </w:pPr>
      <w:r>
        <w:rPr>
          <w:rFonts w:eastAsia="Arial Unicode MS" w:cs="Arial Unicode MS"/>
        </w:rPr>
        <w:t>La Ley 1996 de 2019 en Colombia marcó un hito al eliminar la interdicción por motivos de discapacidad y establecer en su lugar la presunción de la capacidad legal para todas las personas, junto con la implementación de un sistema de apoyos y salvaguardias. De esa manera, a las personas con discapacidad se garantizó la facultad de designar a una o más personas naturales o jurídicas como apoyos para ejercer su capacidad jurídica si lo requieren, mediante diversos mecanismos, tales como un acuerdo notarial, una conciliación extrajudicial, vía judicial o directivas anticipadas</w:t>
      </w:r>
      <w:r>
        <w:rPr>
          <w:rStyle w:val="None"/>
          <w:vertAlign w:val="superscript"/>
        </w:rPr>
        <w:footnoteReference w:id="481"/>
      </w:r>
      <w:r>
        <w:rPr>
          <w:rFonts w:eastAsia="Arial Unicode MS" w:cs="Arial Unicode MS"/>
        </w:rPr>
        <w:t xml:space="preserve">. </w:t>
      </w:r>
    </w:p>
    <w:p w14:paraId="79985443" w14:textId="77777777" w:rsidR="001A105D" w:rsidRDefault="00000000">
      <w:pPr>
        <w:pStyle w:val="NoSpacing"/>
        <w:numPr>
          <w:ilvl w:val="0"/>
          <w:numId w:val="33"/>
        </w:numPr>
      </w:pPr>
      <w:r>
        <w:rPr>
          <w:rFonts w:eastAsia="Arial Unicode MS" w:cs="Arial Unicode MS"/>
        </w:rPr>
        <w:t>En situaciones en las que las personas con discapacidad no puedan manifestar directamente su voluntad, incluso con la aplicación de ajustes razonables y sistemas de apoyo, la autoridad judicial está autorizada para designar los apoyos y salvaguardias necesarios, especialmente si existe riesgo de vulnerar algún derecho. Además, la ley dispone la derogación inmediata de los procesos de interdicción en curso y la revisión de las interdicciones ya efectuadas para aplicar la evaluación de apoyos en su lugar</w:t>
      </w:r>
      <w:r>
        <w:rPr>
          <w:rStyle w:val="None"/>
          <w:vertAlign w:val="superscript"/>
        </w:rPr>
        <w:footnoteReference w:id="482"/>
      </w:r>
      <w:r>
        <w:rPr>
          <w:rFonts w:eastAsia="Arial Unicode MS" w:cs="Arial Unicode MS"/>
        </w:rPr>
        <w:t>.</w:t>
      </w:r>
    </w:p>
    <w:p w14:paraId="63E57B6F" w14:textId="77777777" w:rsidR="001A105D" w:rsidRDefault="00000000">
      <w:pPr>
        <w:pStyle w:val="NoSpacing"/>
        <w:numPr>
          <w:ilvl w:val="0"/>
          <w:numId w:val="33"/>
        </w:numPr>
      </w:pPr>
      <w:r>
        <w:rPr>
          <w:rFonts w:eastAsia="Arial Unicode MS" w:cs="Arial Unicode MS"/>
        </w:rPr>
        <w:lastRenderedPageBreak/>
        <w:t>A su vez, la mencionada Ley ha sido regulada por el Decreto 1429, que busca establecer pautas para formalizar Acuerdos de Apoyo y Directivas Anticipadas ante Centros de Conciliación y Notarías, así como el Decreto 487, que regula la prestación del servicio de valoración de apoyos por parte de entidades públicas y privadas conforme a la Ley 1996</w:t>
      </w:r>
      <w:r>
        <w:rPr>
          <w:rStyle w:val="None"/>
          <w:vertAlign w:val="superscript"/>
        </w:rPr>
        <w:footnoteReference w:id="483"/>
      </w:r>
      <w:r>
        <w:rPr>
          <w:rFonts w:eastAsia="Arial Unicode MS" w:cs="Arial Unicode MS"/>
        </w:rPr>
        <w:t>. Además, se ha promulgado los Lineamientos y el Protocolo Nacional para la Valoración de Apoyos, herramienta técnica que facilita el proceso de valoración para determinar los apoyos formales requeridos por personas con discapacidad en diversas áreas de sus vidas</w:t>
      </w:r>
      <w:r>
        <w:rPr>
          <w:rStyle w:val="None"/>
          <w:vertAlign w:val="superscript"/>
        </w:rPr>
        <w:footnoteReference w:id="484"/>
      </w:r>
      <w:r>
        <w:rPr>
          <w:rFonts w:eastAsia="Arial Unicode MS" w:cs="Arial Unicode MS"/>
        </w:rPr>
        <w:t>.</w:t>
      </w:r>
    </w:p>
    <w:p w14:paraId="75BD3D25" w14:textId="77777777" w:rsidR="001A105D" w:rsidRDefault="00000000">
      <w:pPr>
        <w:pStyle w:val="NoSpacing"/>
        <w:numPr>
          <w:ilvl w:val="0"/>
          <w:numId w:val="33"/>
        </w:numPr>
      </w:pPr>
      <w:r>
        <w:t>A pesar de los avances logrados, persisten desafíos para garantizar el reconocimiento y ejercicio de la capacidad jurídica de las personas con discapacidad en el país. Según información brindada por la sociedad civil, se evidencia una falta de asignación presupuestaria para la prestación de servicios de valoración de apoyo y designación de apoyos mediante la vía judicial, especialmente en municipios alejados de la capital</w:t>
      </w:r>
      <w:r>
        <w:rPr>
          <w:rStyle w:val="None"/>
          <w:vertAlign w:val="superscript"/>
        </w:rPr>
        <w:footnoteReference w:id="485"/>
      </w:r>
      <w:r>
        <w:t xml:space="preserve">. Además, el Estado de Colombia informó sobre la persistencia de la necesidad de capacitar y sensibilizar a operadores jurídicos y servidores públicos sobre la normativa </w:t>
      </w:r>
      <w:r>
        <w:lastRenderedPageBreak/>
        <w:t>vigente, ya que aún encuentran resistencia para su implementación</w:t>
      </w:r>
      <w:r>
        <w:rPr>
          <w:rStyle w:val="None"/>
          <w:vertAlign w:val="superscript"/>
        </w:rPr>
        <w:footnoteReference w:id="486"/>
      </w:r>
      <w:r>
        <w:t xml:space="preserve">. </w:t>
      </w:r>
    </w:p>
    <w:p w14:paraId="77DF9CE3" w14:textId="77777777" w:rsidR="001A105D" w:rsidRDefault="00000000">
      <w:pPr>
        <w:pStyle w:val="NoSpacing"/>
        <w:numPr>
          <w:ilvl w:val="0"/>
          <w:numId w:val="33"/>
        </w:numPr>
      </w:pPr>
      <w:r>
        <w:rPr>
          <w:rFonts w:eastAsia="Arial Unicode MS" w:cs="Arial Unicode MS"/>
        </w:rPr>
        <w:t>Asimismo, las organizaciones de la sociedad civil indicaron que tanto las personas con discapacidad como sus familiares desconocen en gran medida sus derechos en materia de capacidad jurídica y toma de decisiones con apoyo, lo que dificulta su aplicación efectiva</w:t>
      </w:r>
      <w:r>
        <w:rPr>
          <w:rStyle w:val="None"/>
          <w:vertAlign w:val="superscript"/>
        </w:rPr>
        <w:footnoteReference w:id="487"/>
      </w:r>
      <w:r>
        <w:rPr>
          <w:rFonts w:eastAsia="Arial Unicode MS" w:cs="Arial Unicode MS"/>
        </w:rPr>
        <w:t>. Por último, se carece de información y de sistemas de registro y seguimiento de los procesos de interdicción anteriores a la Ley, los cuales deben migrar hacia un sistema de apoyos y salvaguardias</w:t>
      </w:r>
      <w:r>
        <w:rPr>
          <w:rStyle w:val="None"/>
          <w:vertAlign w:val="superscript"/>
        </w:rPr>
        <w:footnoteReference w:id="488"/>
      </w:r>
      <w:r>
        <w:rPr>
          <w:rFonts w:eastAsia="Arial Unicode MS" w:cs="Arial Unicode MS"/>
        </w:rPr>
        <w:t>.</w:t>
      </w:r>
    </w:p>
    <w:p w14:paraId="5892B8C2" w14:textId="77777777" w:rsidR="001A105D" w:rsidRDefault="00000000">
      <w:pPr>
        <w:pStyle w:val="NoSpacing"/>
        <w:numPr>
          <w:ilvl w:val="0"/>
          <w:numId w:val="33"/>
        </w:numPr>
      </w:pPr>
      <w:r>
        <w:rPr>
          <w:rFonts w:eastAsia="Arial Unicode MS" w:cs="Arial Unicode MS"/>
        </w:rPr>
        <w:t>El Estado de Perú llevó a cabo modificaciones integrales en su Código Civil, el Código Procesal Civil y la Ley de Notariado para reconocer explícitamente que las personas con discapacidad tienen capacidad para tomar decisiones en igualdad de condiciones en todos los ámbitos de la vida. Estas personas pueden designar apoyos para el ejercicio de su capacidad jurídica mediante trámites judiciales o notariales</w:t>
      </w:r>
      <w:r>
        <w:rPr>
          <w:rStyle w:val="None"/>
          <w:vertAlign w:val="superscript"/>
        </w:rPr>
        <w:footnoteReference w:id="489"/>
      </w:r>
      <w:r>
        <w:rPr>
          <w:rFonts w:eastAsia="Arial Unicode MS" w:cs="Arial Unicode MS"/>
        </w:rPr>
        <w:t xml:space="preserve">. </w:t>
      </w:r>
    </w:p>
    <w:p w14:paraId="0FC6D3E7" w14:textId="77777777" w:rsidR="001A105D" w:rsidRDefault="00000000">
      <w:pPr>
        <w:pStyle w:val="NoSpacing"/>
        <w:numPr>
          <w:ilvl w:val="0"/>
          <w:numId w:val="33"/>
        </w:numPr>
      </w:pPr>
      <w:r>
        <w:rPr>
          <w:rFonts w:eastAsia="Arial Unicode MS" w:cs="Arial Unicode MS"/>
        </w:rPr>
        <w:lastRenderedPageBreak/>
        <w:t>En el caso de aquellas personas que no puedan expresar su voluntad, la autoridad judicial puede designar apoyos obligatorios después de haber agotado esfuerzos significativos y pertinentes para obtener una manifestación de voluntad, y habiendo proporcionado medidas de accesibilidad, apoyos y ajustes razonables. Esta designación solo se lleva a cabo cuando es necesaria para garantizar el ejercicio y protección de los derechos de la persona</w:t>
      </w:r>
      <w:r>
        <w:rPr>
          <w:rStyle w:val="None"/>
          <w:vertAlign w:val="superscript"/>
        </w:rPr>
        <w:footnoteReference w:id="490"/>
      </w:r>
      <w:r>
        <w:rPr>
          <w:rStyle w:val="None"/>
          <w:rFonts w:eastAsia="Arial Unicode MS" w:cs="Arial Unicode MS"/>
          <w:vertAlign w:val="superscript"/>
        </w:rPr>
        <w:t xml:space="preserve">  </w:t>
      </w:r>
      <w:r>
        <w:rPr>
          <w:rFonts w:eastAsia="Arial Unicode MS" w:cs="Arial Unicode MS"/>
        </w:rPr>
        <w:t xml:space="preserve">. </w:t>
      </w:r>
    </w:p>
    <w:p w14:paraId="59BC0E32" w14:textId="77777777" w:rsidR="001A105D" w:rsidRDefault="00000000">
      <w:pPr>
        <w:pStyle w:val="NoSpacing"/>
        <w:numPr>
          <w:ilvl w:val="0"/>
          <w:numId w:val="33"/>
        </w:numPr>
      </w:pPr>
      <w:r>
        <w:rPr>
          <w:rFonts w:eastAsia="Arial Unicode MS" w:cs="Arial Unicode MS"/>
        </w:rPr>
        <w:t>Este enfoque normativo implica un cambio fundamental en el derecho civil al abandonar la concepción binaria de la capacidad jurídica (capaz/incapaz) y adoptar un enfoque que reconoce una amplia gama de funcionalidades que no están condicionadas por un diagnóstico médico</w:t>
      </w:r>
      <w:r>
        <w:rPr>
          <w:rStyle w:val="None"/>
          <w:vertAlign w:val="superscript"/>
        </w:rPr>
        <w:footnoteReference w:id="491"/>
      </w:r>
      <w:r>
        <w:rPr>
          <w:rFonts w:eastAsia="Arial Unicode MS" w:cs="Arial Unicode MS"/>
        </w:rPr>
        <w:t>.</w:t>
      </w:r>
    </w:p>
    <w:p w14:paraId="1E7986BB" w14:textId="77777777" w:rsidR="001A105D" w:rsidRDefault="00000000">
      <w:pPr>
        <w:pStyle w:val="NoSpacing"/>
        <w:numPr>
          <w:ilvl w:val="0"/>
          <w:numId w:val="33"/>
        </w:numPr>
      </w:pPr>
      <w:r>
        <w:rPr>
          <w:rFonts w:eastAsia="Arial Unicode MS" w:cs="Arial Unicode MS"/>
        </w:rPr>
        <w:t xml:space="preserve">No obstante, se ha informado sobre la falta de asignación de un presupuesto adecuado para implementar las disposiciones de esta reforma. Las organizaciones de la sociedad civil también han señalado la escasez de capacitación para funcionarios y operadores jurídicos involucrados en la implementación de la ley y en la designación de apoyos, y la falta de difusión del contenido de la norma y del derecho a la capacidad jurídica a la población. A esto se suma la inexistencia de procedimientos </w:t>
      </w:r>
      <w:r>
        <w:rPr>
          <w:rFonts w:eastAsia="Arial Unicode MS" w:cs="Arial Unicode MS"/>
        </w:rPr>
        <w:lastRenderedPageBreak/>
        <w:t>de evaluación del cumplimiento de la normativa ni de fiscalización por parte del Estado</w:t>
      </w:r>
      <w:r>
        <w:rPr>
          <w:rStyle w:val="None"/>
          <w:vertAlign w:val="superscript"/>
        </w:rPr>
        <w:footnoteReference w:id="492"/>
      </w:r>
      <w:r>
        <w:rPr>
          <w:rFonts w:eastAsia="Arial Unicode MS" w:cs="Arial Unicode MS"/>
        </w:rPr>
        <w:t>.</w:t>
      </w:r>
    </w:p>
    <w:p w14:paraId="3732835C" w14:textId="77777777" w:rsidR="001A105D" w:rsidRDefault="00000000">
      <w:pPr>
        <w:pStyle w:val="NoSpacing"/>
        <w:numPr>
          <w:ilvl w:val="0"/>
          <w:numId w:val="33"/>
        </w:numPr>
      </w:pPr>
      <w:r>
        <w:rPr>
          <w:rFonts w:eastAsia="Arial Unicode MS" w:cs="Arial Unicode MS"/>
        </w:rPr>
        <w:t>Esta carencia de capacitación, monitoreo y fiscalización resulta en una falta de claridad en los juzgados respecto a la distinción entre el proceso de reconocimiento voluntario de apoyos y el de designación excepcional. No se están realizando esfuerzos para determinar si la persona manifiesta o no su voluntad, y se sigue equiparando la discapacidad con la incapacidad para expresar dicha voluntad, o se asocia la discapacidad con la "necesidad de contar con un apoyo", utilizando principalmente el informe psiquiátrico como criterio principal. Como resultado, existe el riesgo de que los sistemas de apoyos designados se conviertan en otra forma de aplicar la sustitución de la voluntad</w:t>
      </w:r>
      <w:r>
        <w:rPr>
          <w:rStyle w:val="None"/>
          <w:vertAlign w:val="superscript"/>
        </w:rPr>
        <w:footnoteReference w:id="493"/>
      </w:r>
      <w:r>
        <w:rPr>
          <w:rFonts w:eastAsia="Arial Unicode MS" w:cs="Arial Unicode MS"/>
        </w:rPr>
        <w:t>.</w:t>
      </w:r>
    </w:p>
    <w:p w14:paraId="27E62894" w14:textId="77777777" w:rsidR="001A105D" w:rsidRDefault="00000000">
      <w:pPr>
        <w:pStyle w:val="Heading3"/>
        <w:numPr>
          <w:ilvl w:val="0"/>
          <w:numId w:val="90"/>
        </w:numPr>
      </w:pPr>
      <w:bookmarkStart w:id="29" w:name="_Toc26"/>
      <w:r>
        <w:rPr>
          <w:rFonts w:eastAsia="Arial Unicode MS" w:cs="Arial Unicode MS"/>
          <w:lang w:val="es-ES_tradnl"/>
        </w:rPr>
        <w:t xml:space="preserve">Adopción de otras medidas  </w:t>
      </w:r>
      <w:bookmarkEnd w:id="29"/>
    </w:p>
    <w:p w14:paraId="43AF8C88" w14:textId="77777777" w:rsidR="001A105D" w:rsidRDefault="00000000">
      <w:pPr>
        <w:pStyle w:val="NoSpacing"/>
        <w:numPr>
          <w:ilvl w:val="0"/>
          <w:numId w:val="91"/>
        </w:numPr>
      </w:pPr>
      <w:r>
        <w:rPr>
          <w:rFonts w:eastAsia="Arial Unicode MS" w:cs="Arial Unicode MS"/>
        </w:rPr>
        <w:t>Algunos países de la región han implementado medidas legislativas, administrativas y jurisdiccionales adicionales para avanzar hacia el reconocimiento pleno de la capacidad jurídica y la implementación de un sistema de apoyos y salvaguardias para la toma de decisiones.</w:t>
      </w:r>
    </w:p>
    <w:p w14:paraId="40AF2448" w14:textId="77777777" w:rsidR="001A105D" w:rsidRDefault="00000000">
      <w:pPr>
        <w:pStyle w:val="NoSpacing"/>
        <w:numPr>
          <w:ilvl w:val="0"/>
          <w:numId w:val="33"/>
        </w:numPr>
      </w:pPr>
      <w:r>
        <w:rPr>
          <w:rFonts w:eastAsia="Arial Unicode MS" w:cs="Arial Unicode MS"/>
        </w:rPr>
        <w:lastRenderedPageBreak/>
        <w:t>En Argentina, ciertas sentencias de Cortes aplicaron el Control de Convencionalidad y armonizaciones legales internas para reafirmar el derecho de las personas con discapacidad a ejercer su capacidad jurídica y que sus decisiones sean jurídicamente vinculantes. Un ejemplo reciente de ello es la sentencia de la Cámara de Apelaciones de Viedma, en la provincia de La Plata, que dispuso el cese de la restricción de la capacidad jurídica de una mujer diagnosticada con esquizofrenia (discapacidad psicosocial). La persona en cuestión se negaba a aceptar un tratamiento y medicación. El tribunal evaluó que las limitaciones no pueden imponerse únicamente en función de un diagnóstico médico, destacando la importancia del enfoque interdisciplinario y los derechos humanos consagrados en la CDPD</w:t>
      </w:r>
      <w:r>
        <w:rPr>
          <w:rStyle w:val="None"/>
          <w:vertAlign w:val="superscript"/>
        </w:rPr>
        <w:footnoteReference w:id="494"/>
      </w:r>
      <w:r>
        <w:rPr>
          <w:rFonts w:eastAsia="Arial Unicode MS" w:cs="Arial Unicode MS"/>
        </w:rPr>
        <w:t>.</w:t>
      </w:r>
    </w:p>
    <w:p w14:paraId="1A0FC70F" w14:textId="77777777" w:rsidR="001A105D" w:rsidRDefault="00000000">
      <w:pPr>
        <w:pStyle w:val="NoSpacing"/>
        <w:numPr>
          <w:ilvl w:val="0"/>
          <w:numId w:val="33"/>
        </w:numPr>
      </w:pPr>
      <w:r>
        <w:t>En Bolivia, el Comité Nacional de las Personas con Discapacidad está elaborando la Ley para la Promoción de la Igualdad Jurídica y la Autonomía Personal de las Personas con Discapacidad</w:t>
      </w:r>
      <w:r>
        <w:rPr>
          <w:rStyle w:val="None"/>
          <w:vertAlign w:val="superscript"/>
        </w:rPr>
        <w:footnoteReference w:id="495"/>
      </w:r>
      <w:r>
        <w:t>.</w:t>
      </w:r>
    </w:p>
    <w:p w14:paraId="6A544950" w14:textId="77777777" w:rsidR="001A105D" w:rsidRDefault="00000000">
      <w:pPr>
        <w:pStyle w:val="NoSpacing"/>
        <w:numPr>
          <w:ilvl w:val="0"/>
          <w:numId w:val="33"/>
        </w:numPr>
      </w:pPr>
      <w:r>
        <w:rPr>
          <w:rFonts w:eastAsia="Arial Unicode MS" w:cs="Arial Unicode MS"/>
        </w:rPr>
        <w:t xml:space="preserve">En el Estado chileno, se ha presentado un proyecto de ley que modifica diversos textos legales con el objetivo de eliminar la discriminación contra personas con discapacidad intelectual, cognitiva y psicosocial, y consagrar su derecho a la autonomía. Este proyecto plantea el reconocimiento pleno de la capacidad </w:t>
      </w:r>
      <w:r>
        <w:rPr>
          <w:rFonts w:eastAsia="Arial Unicode MS" w:cs="Arial Unicode MS"/>
        </w:rPr>
        <w:lastRenderedPageBreak/>
        <w:t>jurídica en el Código Civil y la creación de un sistema de apoyos y salvaguardias para su ejercicio</w:t>
      </w:r>
      <w:r>
        <w:rPr>
          <w:rStyle w:val="None"/>
          <w:vertAlign w:val="superscript"/>
        </w:rPr>
        <w:footnoteReference w:id="496"/>
      </w:r>
      <w:r>
        <w:rPr>
          <w:rFonts w:eastAsia="Arial Unicode MS" w:cs="Arial Unicode MS"/>
        </w:rPr>
        <w:t>.</w:t>
      </w:r>
    </w:p>
    <w:p w14:paraId="3E8D6B1D" w14:textId="77777777" w:rsidR="001A105D" w:rsidRDefault="00000000">
      <w:pPr>
        <w:pStyle w:val="NoSpacing"/>
        <w:numPr>
          <w:ilvl w:val="0"/>
          <w:numId w:val="33"/>
        </w:numPr>
      </w:pPr>
      <w:r>
        <w:t>A su vez, el Ministerio de Inclusión Económica y el Consejo Nacional para la Igualdad de Discapacidades de Ecuador están elaborando un proyecto de reforma a la Ley Orgánica de Discapacidades para armonizarla con la CDPD. Además, dicho consejo emitió una resolución en la que reconoce y exhorta a difundir entre todas las instituciones públicas y privadas que las personas con discapacidad física, sensorial, intelectual y psicosocial son legalmente capaces para celebrar actos y contratos por sí mismas, conforme a lo dispuesto en la CDPD</w:t>
      </w:r>
      <w:r>
        <w:rPr>
          <w:rStyle w:val="None"/>
          <w:vertAlign w:val="superscript"/>
        </w:rPr>
        <w:footnoteReference w:id="497"/>
      </w:r>
      <w:r>
        <w:t>.</w:t>
      </w:r>
    </w:p>
    <w:p w14:paraId="52530456" w14:textId="77777777" w:rsidR="001A105D" w:rsidRDefault="00000000">
      <w:pPr>
        <w:pStyle w:val="NoSpacing"/>
        <w:numPr>
          <w:ilvl w:val="0"/>
          <w:numId w:val="33"/>
        </w:numPr>
      </w:pPr>
      <w:r>
        <w:rPr>
          <w:rFonts w:eastAsia="Arial Unicode MS" w:cs="Arial Unicode MS"/>
        </w:rPr>
        <w:t>En Guatemala, se observa una iniciativa que busca emitir la Ley de Personas con Discapacidad, en la que se plantea reconocer el derecho al igual reconocimiento como persona ante la ley sin discriminación por motivos de discapacidad</w:t>
      </w:r>
      <w:r>
        <w:rPr>
          <w:rStyle w:val="None"/>
          <w:vertAlign w:val="superscript"/>
        </w:rPr>
        <w:footnoteReference w:id="498"/>
      </w:r>
      <w:r>
        <w:rPr>
          <w:rFonts w:eastAsia="Arial Unicode MS" w:cs="Arial Unicode MS"/>
        </w:rPr>
        <w:t>.</w:t>
      </w:r>
    </w:p>
    <w:p w14:paraId="55DA380C" w14:textId="77777777" w:rsidR="001A105D" w:rsidRDefault="00000000">
      <w:pPr>
        <w:pStyle w:val="NoSpacing"/>
        <w:numPr>
          <w:ilvl w:val="0"/>
          <w:numId w:val="33"/>
        </w:numPr>
      </w:pPr>
      <w:r>
        <w:rPr>
          <w:rFonts w:eastAsia="Arial Unicode MS" w:cs="Arial Unicode MS"/>
        </w:rPr>
        <w:t xml:space="preserve">En México, se advierte la existencia de una iniciativa de reforma al Código Civil Federal para eliminar la discapacidad como </w:t>
      </w:r>
      <w:r>
        <w:rPr>
          <w:rFonts w:eastAsia="Arial Unicode MS" w:cs="Arial Unicode MS"/>
        </w:rPr>
        <w:lastRenderedPageBreak/>
        <w:t>motivo de declaratoria de incapacidad legal y natural</w:t>
      </w:r>
      <w:r>
        <w:rPr>
          <w:rStyle w:val="None"/>
          <w:vertAlign w:val="superscript"/>
        </w:rPr>
        <w:footnoteReference w:id="499"/>
      </w:r>
      <w:r>
        <w:rPr>
          <w:rFonts w:eastAsia="Arial Unicode MS" w:cs="Arial Unicode MS"/>
        </w:rPr>
        <w:t>. Al mismo tiempo, en el país se aprobó el nuevo Código de Procedimientos Civiles y Familiares, que, al entrar en vigor en el año 2027, obligará a una reforma del primero. Este código elimina la interdicción por causa de discapacidad y cualquier otra causa en personas mayores de 18 años, y regula un procedimiento para la designación de apoyos y salvaguardias ante la autoridad judicial, a fin de garantizar el ejercicio de la capacidad jurídica</w:t>
      </w:r>
      <w:r>
        <w:rPr>
          <w:rStyle w:val="None"/>
          <w:vertAlign w:val="superscript"/>
        </w:rPr>
        <w:footnoteReference w:id="500"/>
      </w:r>
      <w:r>
        <w:rPr>
          <w:rFonts w:eastAsia="Arial Unicode MS" w:cs="Arial Unicode MS"/>
        </w:rPr>
        <w:t>.</w:t>
      </w:r>
    </w:p>
    <w:p w14:paraId="2FA51846" w14:textId="77777777" w:rsidR="001A105D" w:rsidRDefault="00000000">
      <w:pPr>
        <w:pStyle w:val="NoSpacing"/>
        <w:numPr>
          <w:ilvl w:val="0"/>
          <w:numId w:val="33"/>
        </w:numPr>
      </w:pPr>
      <w:r>
        <w:rPr>
          <w:rFonts w:eastAsia="Arial Unicode MS" w:cs="Arial Unicode MS"/>
        </w:rPr>
        <w:t>En lo relativo a la experiencia de México, la CIDH celebra el resultado positivo del trabajo mancomunado entre el Estado y la sociedad civil organizada para asegurar que el resultado legislativo, las reformas que deben hacerse a nivel de los Estados Federados, y su posterior implementación sean acordes a los estándares internacionales en la materia</w:t>
      </w:r>
      <w:r>
        <w:rPr>
          <w:rStyle w:val="None"/>
          <w:vertAlign w:val="superscript"/>
        </w:rPr>
        <w:footnoteReference w:id="501"/>
      </w:r>
      <w:r>
        <w:rPr>
          <w:rFonts w:eastAsia="Arial Unicode MS" w:cs="Arial Unicode MS"/>
        </w:rPr>
        <w:t xml:space="preserve">. Del mismo modo, la CIDH exhorta a los Estados y organizaciones de la sociedad civil de Colombia y Chile para que continúen el </w:t>
      </w:r>
      <w:r>
        <w:rPr>
          <w:rFonts w:eastAsia="Arial Unicode MS" w:cs="Arial Unicode MS"/>
        </w:rPr>
        <w:lastRenderedPageBreak/>
        <w:t xml:space="preserve">trabajo colaborativo del que surgieron las reformas, en el camino hacia su plena implementación. </w:t>
      </w:r>
    </w:p>
    <w:p w14:paraId="6BA10F31" w14:textId="77777777" w:rsidR="001A105D" w:rsidRDefault="00000000">
      <w:pPr>
        <w:pStyle w:val="NoSpacing"/>
        <w:numPr>
          <w:ilvl w:val="0"/>
          <w:numId w:val="33"/>
        </w:numPr>
      </w:pPr>
      <w:r>
        <w:rPr>
          <w:rFonts w:eastAsia="Arial Unicode MS" w:cs="Arial Unicode MS"/>
        </w:rPr>
        <w:t>En relación con las medidas jurisdiccionales, el Estado mexicano ha informado sobre su avance jurisprudencial en la materia. La Suprema Corte de Justicia de la Nación, a través de la resolución de los Amparos en Revisión y de los Amparos Directos en Revisión, determinó que el régimen de incapacidad e interdicción respecto de las personas con discapacidad mayores de edad, contemplado en la legislación civil de diversos estados de la República, es inconstitucional y contrario a los derechos reconocidos en la CDPD, incluyendo el derecho al igual reconocimiento ante la ley</w:t>
      </w:r>
      <w:r>
        <w:rPr>
          <w:rStyle w:val="None"/>
          <w:vertAlign w:val="superscript"/>
        </w:rPr>
        <w:footnoteReference w:id="502"/>
      </w:r>
      <w:r>
        <w:rPr>
          <w:rFonts w:eastAsia="Arial Unicode MS" w:cs="Arial Unicode MS"/>
        </w:rPr>
        <w:t>.</w:t>
      </w:r>
    </w:p>
    <w:p w14:paraId="1CD0BBDF" w14:textId="77777777" w:rsidR="001A105D" w:rsidRDefault="00000000">
      <w:pPr>
        <w:pStyle w:val="NoSpacing"/>
        <w:numPr>
          <w:ilvl w:val="0"/>
          <w:numId w:val="33"/>
        </w:numPr>
      </w:pPr>
      <w:r>
        <w:rPr>
          <w:rFonts w:eastAsia="Arial Unicode MS" w:cs="Arial Unicode MS"/>
        </w:rPr>
        <w:t>A su vez, mediante la sentencia emitida en el Amparo en Revisión 702/2018, se reconoció la capacidad jurídica de las personas con discapacidad para celebrar actos jurídicos ante notario público y se determinó la inconstitucionalidad de la Ley del Notariado para el Distrito Federal</w:t>
      </w:r>
      <w:r>
        <w:rPr>
          <w:rStyle w:val="None"/>
          <w:vertAlign w:val="superscript"/>
        </w:rPr>
        <w:footnoteReference w:id="503"/>
      </w:r>
      <w:r>
        <w:rPr>
          <w:rFonts w:eastAsia="Arial Unicode MS" w:cs="Arial Unicode MS"/>
        </w:rPr>
        <w:t>.</w:t>
      </w:r>
    </w:p>
    <w:p w14:paraId="0EC4113D" w14:textId="77777777" w:rsidR="001A105D" w:rsidRDefault="00000000">
      <w:pPr>
        <w:pStyle w:val="NoSpacing"/>
        <w:numPr>
          <w:ilvl w:val="0"/>
          <w:numId w:val="33"/>
        </w:numPr>
      </w:pPr>
      <w:r>
        <w:rPr>
          <w:rFonts w:eastAsia="Arial Unicode MS" w:cs="Arial Unicode MS"/>
        </w:rPr>
        <w:lastRenderedPageBreak/>
        <w:t>Por su parte, Paraguay informó que existen iniciativas de reforma al Código Civil y a la Ley procesal, con el fin de eliminar el modelo de sustitución de la voluntad de las personas con discapacidad psicosocial, y reemplazarlo por el modelo de apoyos para la toma de decisiones</w:t>
      </w:r>
      <w:r>
        <w:rPr>
          <w:rStyle w:val="None"/>
          <w:vertAlign w:val="superscript"/>
        </w:rPr>
        <w:footnoteReference w:id="504"/>
      </w:r>
      <w:r>
        <w:rPr>
          <w:rFonts w:eastAsia="Arial Unicode MS" w:cs="Arial Unicode MS"/>
        </w:rPr>
        <w:t>.</w:t>
      </w:r>
    </w:p>
    <w:p w14:paraId="12D5FF9E" w14:textId="77777777" w:rsidR="001A105D" w:rsidRDefault="00000000">
      <w:pPr>
        <w:pStyle w:val="Heading3"/>
        <w:numPr>
          <w:ilvl w:val="0"/>
          <w:numId w:val="92"/>
        </w:numPr>
      </w:pPr>
      <w:bookmarkStart w:id="30" w:name="_Toc27"/>
      <w:r>
        <w:rPr>
          <w:rFonts w:eastAsia="Arial Unicode MS" w:cs="Arial Unicode MS"/>
          <w:lang w:val="es-ES_tradnl"/>
        </w:rPr>
        <w:t>Protección de otros derechos vinculados con el ejercicio de la capacidad jur</w:t>
      </w:r>
      <w:r>
        <w:rPr>
          <w:rFonts w:eastAsia="Arial Unicode MS" w:cs="Arial Unicode MS"/>
        </w:rPr>
        <w:t>í</w:t>
      </w:r>
      <w:r>
        <w:rPr>
          <w:rFonts w:eastAsia="Arial Unicode MS" w:cs="Arial Unicode MS"/>
          <w:lang w:val="it-IT"/>
        </w:rPr>
        <w:t xml:space="preserve">dica </w:t>
      </w:r>
      <w:bookmarkEnd w:id="30"/>
    </w:p>
    <w:p w14:paraId="36BC1B8D" w14:textId="77777777" w:rsidR="001A105D" w:rsidRDefault="00000000">
      <w:pPr>
        <w:pStyle w:val="Heading4"/>
        <w:numPr>
          <w:ilvl w:val="0"/>
          <w:numId w:val="93"/>
        </w:numPr>
      </w:pPr>
      <w:r>
        <w:rPr>
          <w:rFonts w:eastAsia="Arial Unicode MS" w:cs="Arial Unicode MS"/>
        </w:rPr>
        <w:t>Acceso a la justicia</w:t>
      </w:r>
    </w:p>
    <w:p w14:paraId="6979D12D" w14:textId="77777777" w:rsidR="001A105D" w:rsidRDefault="00000000">
      <w:pPr>
        <w:pStyle w:val="NoSpacing"/>
        <w:numPr>
          <w:ilvl w:val="0"/>
          <w:numId w:val="94"/>
        </w:numPr>
      </w:pPr>
      <w:r>
        <w:rPr>
          <w:rFonts w:eastAsia="Arial Unicode MS" w:cs="Arial Unicode MS"/>
        </w:rPr>
        <w:t xml:space="preserve">El derecho de acceso a la justicia de las personas con discapacidad, reconocido en el artículo III de la CIADDIS y en el artículo 13 de la CDPD, abarca implícitamente el reconocimiento del derecho a la capacidad jurídica plena y en igualdad de condiciones que el resto de las personas. </w:t>
      </w:r>
    </w:p>
    <w:p w14:paraId="015AAD34" w14:textId="77777777" w:rsidR="001A105D" w:rsidRDefault="00000000">
      <w:pPr>
        <w:pStyle w:val="NoSpacing"/>
        <w:numPr>
          <w:ilvl w:val="0"/>
          <w:numId w:val="33"/>
        </w:numPr>
      </w:pPr>
      <w:r>
        <w:rPr>
          <w:rFonts w:eastAsia="Arial Unicode MS" w:cs="Arial Unicode MS"/>
        </w:rPr>
        <w:t>Tanto el Comité CDPD como el CEDDIS han enfatizado que la negativa o el desconocimiento de este derecho a través de figuras como la interdicción y la inimputabilidad en el ámbito penal, significa que a las personas con discapacidad no se les reconoce su capacidad jurídica ante los órganos de justicia, lo que les impide iniciar y participar en procesos judiciales por sí mismas, elegir a sus representantes, proporcionar testimonios y presentar denuncias</w:t>
      </w:r>
      <w:r>
        <w:rPr>
          <w:rStyle w:val="None"/>
          <w:vertAlign w:val="superscript"/>
        </w:rPr>
        <w:footnoteReference w:id="505"/>
      </w:r>
      <w:r>
        <w:rPr>
          <w:rFonts w:eastAsia="Arial Unicode MS" w:cs="Arial Unicode MS"/>
        </w:rPr>
        <w:t>.</w:t>
      </w:r>
    </w:p>
    <w:p w14:paraId="0EB34F0D" w14:textId="77777777" w:rsidR="001A105D" w:rsidRDefault="00000000">
      <w:pPr>
        <w:pStyle w:val="NoSpacing"/>
        <w:numPr>
          <w:ilvl w:val="0"/>
          <w:numId w:val="33"/>
        </w:numPr>
      </w:pPr>
      <w:r>
        <w:rPr>
          <w:rFonts w:eastAsia="Arial Unicode MS" w:cs="Arial Unicode MS"/>
        </w:rPr>
        <w:lastRenderedPageBreak/>
        <w:t>Además, destacan que garantizar la capacidad jurídica en el acceso a la justicia no solo implica proporcionar acceso a los apoyos que puedan necesitar las personas con discapacidad, sino también reconocer las diversas formas alternativas de comunicación que puedan utilizar. Esto incluye la prestación de servicios de interpretación en la lengua de señas nacional, la aplicación de ajustes de procedimiento, y la elaboración de comunicaciones judiciales y sentencias en formatos accesibles y adecuados para la diversidad de las personas con discapacidad, entre otros aspectos</w:t>
      </w:r>
      <w:r>
        <w:rPr>
          <w:rStyle w:val="None"/>
          <w:vertAlign w:val="superscript"/>
        </w:rPr>
        <w:footnoteReference w:id="506"/>
      </w:r>
      <w:r>
        <w:rPr>
          <w:rFonts w:eastAsia="Arial Unicode MS" w:cs="Arial Unicode MS"/>
        </w:rPr>
        <w:t>.</w:t>
      </w:r>
    </w:p>
    <w:p w14:paraId="0FEC712E" w14:textId="77777777" w:rsidR="001A105D" w:rsidRDefault="00000000">
      <w:pPr>
        <w:pStyle w:val="NoSpacing"/>
        <w:numPr>
          <w:ilvl w:val="0"/>
          <w:numId w:val="33"/>
        </w:numPr>
      </w:pPr>
      <w:r>
        <w:rPr>
          <w:rFonts w:eastAsia="Arial Unicode MS" w:cs="Arial Unicode MS"/>
        </w:rPr>
        <w:t>La Corte IDH, a su vez, ha establecido estándares sobre el acceso a la justicia para la infancia con discapacidad, enfatizando la importancia de garantizar este acceso en igualdad de condiciones, incluso mediante ajustes de procedimiento adecuados a la edad. En este sentido, consideró que, en casos de personas en situación de vulneración, como las personas con discapacidad, es imperativo tomar las medidas pertinentes, incluyendo la priorización en la atención y resolución del procedimiento por parte de las autoridades a su cargo, con el fin de evitar retrasos en la tramitación de los procesos, de manera que se garantice la pronta resolución y ejecución de estos</w:t>
      </w:r>
      <w:r>
        <w:rPr>
          <w:rStyle w:val="None"/>
          <w:vertAlign w:val="superscript"/>
        </w:rPr>
        <w:footnoteReference w:id="507"/>
      </w:r>
      <w:r>
        <w:rPr>
          <w:rFonts w:eastAsia="Arial Unicode MS" w:cs="Arial Unicode MS"/>
        </w:rPr>
        <w:t>.</w:t>
      </w:r>
    </w:p>
    <w:p w14:paraId="7CBEAD50" w14:textId="77777777" w:rsidR="001A105D" w:rsidRDefault="00000000">
      <w:pPr>
        <w:pStyle w:val="NoSpacing"/>
        <w:numPr>
          <w:ilvl w:val="0"/>
          <w:numId w:val="33"/>
        </w:numPr>
      </w:pPr>
      <w:r>
        <w:t xml:space="preserve">A fin de determinar la razonabilidad de la duración del proceso, la Corte también consideró la obligación del Estado de adoptar una "obligación reforzada" de respeto y garantía de los </w:t>
      </w:r>
      <w:r>
        <w:lastRenderedPageBreak/>
        <w:t>derechos de adultos con discapacidad, en este caso, y determinó la violación de varios derechos, incluidos los del niño, a la propiedad privada, a la protección judicial, al desarrollo progresivo, a la integridad personal y a las garantías judiciales, con base en un análisis exhaustivo de los elementos que inciden en la duración y efectividad del proceso judicial</w:t>
      </w:r>
      <w:r>
        <w:rPr>
          <w:rStyle w:val="None"/>
          <w:vertAlign w:val="superscript"/>
        </w:rPr>
        <w:footnoteReference w:id="508"/>
      </w:r>
      <w:r>
        <w:t>.</w:t>
      </w:r>
    </w:p>
    <w:p w14:paraId="3A0BD614" w14:textId="77777777" w:rsidR="001A105D" w:rsidRDefault="00000000">
      <w:pPr>
        <w:pStyle w:val="NoSpacing"/>
        <w:numPr>
          <w:ilvl w:val="0"/>
          <w:numId w:val="33"/>
        </w:numPr>
      </w:pPr>
      <w:r>
        <w:t xml:space="preserve">Los regímenes de interdicción, incapacitación o inhabilitación, junto con la figura de la inimputabilidad, obstaculizan significativamente el derecho al acceso a la justicia de las personas con discapacidad en la región. Además, la falta de adecuación de los códigos penales a las necesidades específicas de este grupo genera exclusiones adicionales. Es común que las personas con discapacidad psicosocial e intelectual que están institucionalizadas o bajo interdicción, no estén registradas en los padrones electorales ni posean documentos de identidad, lo que limita aún más su acceso a la justicia. </w:t>
      </w:r>
    </w:p>
    <w:p w14:paraId="732090CF" w14:textId="77777777" w:rsidR="001A105D" w:rsidRDefault="00000000">
      <w:pPr>
        <w:pStyle w:val="NoSpacing"/>
        <w:numPr>
          <w:ilvl w:val="0"/>
          <w:numId w:val="33"/>
        </w:numPr>
      </w:pPr>
      <w:r>
        <w:rPr>
          <w:rFonts w:eastAsia="Arial Unicode MS" w:cs="Arial Unicode MS"/>
        </w:rPr>
        <w:t>Aunque algunos Estados han avanzado en el reconocimiento del ejercicio de la capacidad jurídica, persisten barreras culturales, falta de comprensión del derecho y carencia de capacitación entre operadores judiciales. A esto se suman deficiencias en la accesibilidad, incluyendo ajustes procesales y evaluaciones multidisciplinarias de apoyo no médicas ni diagnósticas, lo que impide una transformación efectiva del sistema en esta área.</w:t>
      </w:r>
    </w:p>
    <w:p w14:paraId="43604358" w14:textId="77777777" w:rsidR="001A105D" w:rsidRDefault="00000000">
      <w:pPr>
        <w:pStyle w:val="NoSpacing"/>
        <w:numPr>
          <w:ilvl w:val="0"/>
          <w:numId w:val="33"/>
        </w:numPr>
      </w:pPr>
      <w:r>
        <w:rPr>
          <w:rFonts w:eastAsia="Arial Unicode MS" w:cs="Arial Unicode MS"/>
        </w:rPr>
        <w:lastRenderedPageBreak/>
        <w:t>En el contexto colombiano, tanto el Estado como las organizaciones de la sociedad civil que representan a personas con discapacidad concuerdan en que, tras la promulgación de la Ley 1996, uno de los desafíos más comunes es la revisión de los procesos de interdicción que estaban en marcha antes de su entrada en vigor. Esta dificultad surge debido a la escasez de información y registro sobre los procesos de interdicción preexistentes</w:t>
      </w:r>
      <w:r>
        <w:rPr>
          <w:rStyle w:val="None"/>
          <w:vertAlign w:val="superscript"/>
        </w:rPr>
        <w:footnoteReference w:id="509"/>
      </w:r>
      <w:r>
        <w:rPr>
          <w:rFonts w:eastAsia="Arial Unicode MS" w:cs="Arial Unicode MS"/>
        </w:rPr>
        <w:t>.</w:t>
      </w:r>
    </w:p>
    <w:p w14:paraId="5F046168" w14:textId="77777777" w:rsidR="001A105D" w:rsidRDefault="00000000">
      <w:pPr>
        <w:pStyle w:val="NoSpacing"/>
        <w:numPr>
          <w:ilvl w:val="0"/>
          <w:numId w:val="33"/>
        </w:numPr>
      </w:pPr>
      <w:r>
        <w:rPr>
          <w:rFonts w:eastAsia="Arial Unicode MS" w:cs="Arial Unicode MS"/>
        </w:rPr>
        <w:t>Por otro lado, esta legislación establece un plazo de 36 meses desde la entrada en vigor para que los juzgados revisen los procesos de adjudicación judicial de apoyos. Sin embargo, debido a la congestión judicial, este período podría verse comprometido y, posiblemente, no cumplirse. Además, se observa una falta de operativización en la prestación de servicios de valoración de apoyos, lo cual es fundamental para los procesos judiciales. Esto se debe a la falta de claridad en la definición de criterios por parte de las entidades encargadas, así como a la escasez de recursos presupuestarios, lo que afecta la posibilidad de contar con equipos interdisciplinarios en los juzgados</w:t>
      </w:r>
      <w:r>
        <w:rPr>
          <w:rStyle w:val="None"/>
          <w:vertAlign w:val="superscript"/>
        </w:rPr>
        <w:footnoteReference w:id="510"/>
      </w:r>
      <w:r>
        <w:rPr>
          <w:rFonts w:eastAsia="Arial Unicode MS" w:cs="Arial Unicode MS"/>
        </w:rPr>
        <w:t>.</w:t>
      </w:r>
    </w:p>
    <w:p w14:paraId="4619B5D6" w14:textId="77777777" w:rsidR="001A105D" w:rsidRDefault="00000000">
      <w:pPr>
        <w:pStyle w:val="NoSpacing"/>
        <w:numPr>
          <w:ilvl w:val="0"/>
          <w:numId w:val="33"/>
        </w:numPr>
      </w:pPr>
      <w:r>
        <w:rPr>
          <w:rFonts w:eastAsia="Arial Unicode MS" w:cs="Arial Unicode MS"/>
        </w:rPr>
        <w:lastRenderedPageBreak/>
        <w:t>Otro desafío mencionado directamente por el Estado colombiano es la formalización de acuerdos de apoyo y directivas anticipadas ante centros de conciliación y notarías. Para abordar esta cuestión, se hace necesario implementar un programa de capacitación dirigido al personal de dichos centros, así como a los operadores judiciales de zonas rurales. Este programa deberá centrarse en el modelo social de la discapacidad y en el paradigma de los derechos humanos</w:t>
      </w:r>
      <w:r>
        <w:rPr>
          <w:rStyle w:val="None"/>
          <w:vertAlign w:val="superscript"/>
        </w:rPr>
        <w:footnoteReference w:id="511"/>
      </w:r>
      <w:r>
        <w:rPr>
          <w:rFonts w:eastAsia="Arial Unicode MS" w:cs="Arial Unicode MS"/>
        </w:rPr>
        <w:t>.</w:t>
      </w:r>
    </w:p>
    <w:p w14:paraId="6361B186" w14:textId="77777777" w:rsidR="001A105D" w:rsidRDefault="00000000">
      <w:pPr>
        <w:pStyle w:val="NoSpacing"/>
        <w:numPr>
          <w:ilvl w:val="0"/>
          <w:numId w:val="33"/>
        </w:numPr>
      </w:pPr>
      <w:r>
        <w:rPr>
          <w:rFonts w:eastAsia="Arial Unicode MS" w:cs="Arial Unicode MS"/>
        </w:rPr>
        <w:t>En el caso de Perú, la falta de reformas y capacitación sistemática dentro del sistema de justicia, junto con la ausencia de mecanismos activadores de salvaguardias, conlleva el riesgo de que la asignación judicial de apoyos, permitida por la Ley de Notariado y el Decreto Legislativo 1384, se convierta en una continuación encubierta del sistema de sustitución de la voluntad</w:t>
      </w:r>
      <w:r>
        <w:rPr>
          <w:rStyle w:val="None"/>
          <w:vertAlign w:val="superscript"/>
        </w:rPr>
        <w:footnoteReference w:id="512"/>
      </w:r>
      <w:r>
        <w:rPr>
          <w:rFonts w:eastAsia="Arial Unicode MS" w:cs="Arial Unicode MS"/>
        </w:rPr>
        <w:t>.</w:t>
      </w:r>
    </w:p>
    <w:p w14:paraId="35E45944" w14:textId="77777777" w:rsidR="001A105D" w:rsidRDefault="00000000">
      <w:pPr>
        <w:pStyle w:val="NoSpacing"/>
        <w:numPr>
          <w:ilvl w:val="0"/>
          <w:numId w:val="33"/>
        </w:numPr>
      </w:pPr>
      <w:r>
        <w:rPr>
          <w:rFonts w:eastAsia="Arial Unicode MS" w:cs="Arial Unicode MS"/>
        </w:rPr>
        <w:t xml:space="preserve">La Comisión reconoce los esfuerzos realizados por varios Estados para garantizar el acceso a la justicia de las personas con discapacidad, permitiéndoles participar directa o indirectamente, incluso como testigos, en todos los </w:t>
      </w:r>
      <w:r>
        <w:rPr>
          <w:rFonts w:eastAsia="Arial Unicode MS" w:cs="Arial Unicode MS"/>
        </w:rPr>
        <w:lastRenderedPageBreak/>
        <w:t>procedimientos judiciales. A nivel legislativo, países como Bolivia, Brasil, Chile, Colombia, El Salvador, México, Nicaragua y Panamá han incluido este derecho en leyes generales destinadas a personas con discapacidad. Estas leyes prohíben la restricción del derecho por motivos de discapacidad y exigen la formación y capacitación de operadores jurídicos y servidores públicos involucrados en su aplicación</w:t>
      </w:r>
      <w:r>
        <w:rPr>
          <w:rStyle w:val="None"/>
          <w:vertAlign w:val="superscript"/>
        </w:rPr>
        <w:footnoteReference w:id="513"/>
      </w:r>
      <w:r>
        <w:rPr>
          <w:rFonts w:eastAsia="Arial Unicode MS" w:cs="Arial Unicode MS"/>
        </w:rPr>
        <w:t>.</w:t>
      </w:r>
    </w:p>
    <w:p w14:paraId="14415BA6" w14:textId="77777777" w:rsidR="001A105D" w:rsidRDefault="00000000">
      <w:pPr>
        <w:pStyle w:val="NoSpacing"/>
        <w:numPr>
          <w:ilvl w:val="0"/>
          <w:numId w:val="33"/>
        </w:numPr>
      </w:pPr>
      <w:r>
        <w:rPr>
          <w:rFonts w:eastAsia="Arial Unicode MS" w:cs="Arial Unicode MS"/>
        </w:rPr>
        <w:t>En el caso de Bolivia, el Estado se comprometió a garantizar que las personas con discapacidad accedan a la justicia con apoyo psicológico, social y comunicacional en igualdad de condiciones que las demás personas. Esto se logrará mediante la transversalización de la norma, permitiendo su participación directa o indirecta en todos los procedimientos judiciales, incluida la declaración como testigos. Asimismo, se contempla la capacitación de operadores y administradores de justicia, incluyendo al personal policial y penitenciario</w:t>
      </w:r>
      <w:r>
        <w:rPr>
          <w:rStyle w:val="None"/>
          <w:vertAlign w:val="superscript"/>
        </w:rPr>
        <w:footnoteReference w:id="514"/>
      </w:r>
      <w:r>
        <w:rPr>
          <w:rFonts w:eastAsia="Arial Unicode MS" w:cs="Arial Unicode MS"/>
        </w:rPr>
        <w:t>.</w:t>
      </w:r>
    </w:p>
    <w:p w14:paraId="2A65AFE5" w14:textId="77777777" w:rsidR="001A105D" w:rsidRDefault="00000000">
      <w:pPr>
        <w:pStyle w:val="NoSpacing"/>
        <w:numPr>
          <w:ilvl w:val="0"/>
          <w:numId w:val="33"/>
        </w:numPr>
      </w:pPr>
      <w:r>
        <w:rPr>
          <w:rFonts w:eastAsia="Arial Unicode MS" w:cs="Arial Unicode MS"/>
        </w:rPr>
        <w:lastRenderedPageBreak/>
        <w:t>En el caso de Brasil, se destaca la necesidad de proporcionar ajustes razonables y tecnología asistida para asegurar el acceso a la justicia en condiciones equitativas respecto a otras personas. Asimismo, se enfatiza la importancia de capacitar no solo al personal del sistema judicial, ministerio y defensoría pública, sino también a quienes laboran en el sistema penitenciario. Además, se reafirma el reconocimiento de los derechos de las personas con discapacidad privadas de libertad, incluyendo el acceso a medidas de accesibilidad. La ley también garantiza el derecho de las personas con discapacidad a acceder al contenido de todos los actos procesales que les conciernan, con las medidas de accesibilidad pertinentes</w:t>
      </w:r>
      <w:r>
        <w:rPr>
          <w:rStyle w:val="None"/>
          <w:vertAlign w:val="superscript"/>
        </w:rPr>
        <w:footnoteReference w:id="515"/>
      </w:r>
      <w:r>
        <w:rPr>
          <w:rFonts w:eastAsia="Arial Unicode MS" w:cs="Arial Unicode MS"/>
        </w:rPr>
        <w:t>.</w:t>
      </w:r>
    </w:p>
    <w:p w14:paraId="1A19ADB3" w14:textId="77777777" w:rsidR="001A105D" w:rsidRDefault="00000000">
      <w:pPr>
        <w:pStyle w:val="NoSpacing"/>
        <w:numPr>
          <w:ilvl w:val="0"/>
          <w:numId w:val="33"/>
        </w:numPr>
      </w:pPr>
      <w:r>
        <w:rPr>
          <w:rFonts w:eastAsia="Arial Unicode MS" w:cs="Arial Unicode MS"/>
        </w:rPr>
        <w:t>En la región del Caribe la Comisión destaca la iniciativa de la Corte Caribeña de Justicia, que elaboró en 2023 una guía para operadores judiciales en relación con el acceso a la justicia de las personas con discapacidad</w:t>
      </w:r>
      <w:r>
        <w:rPr>
          <w:rStyle w:val="None"/>
          <w:vertAlign w:val="superscript"/>
        </w:rPr>
        <w:footnoteReference w:id="516"/>
      </w:r>
      <w:r>
        <w:rPr>
          <w:rFonts w:eastAsia="Arial Unicode MS" w:cs="Arial Unicode MS"/>
        </w:rPr>
        <w:t xml:space="preserve">. </w:t>
      </w:r>
    </w:p>
    <w:p w14:paraId="662966C5" w14:textId="77777777" w:rsidR="001A105D" w:rsidRDefault="00000000">
      <w:pPr>
        <w:pStyle w:val="NoSpacing"/>
        <w:numPr>
          <w:ilvl w:val="0"/>
          <w:numId w:val="33"/>
        </w:numPr>
      </w:pPr>
      <w:r>
        <w:rPr>
          <w:rFonts w:eastAsia="Arial Unicode MS" w:cs="Arial Unicode MS"/>
        </w:rPr>
        <w:t>En Chile, la legislación protege específicamente el acceso a la justicia de las personas con discapacidad sensorial, asegurando que el tribunal realice los ajustes necesarios para facilitar su comunicación y acceso a la información procesal</w:t>
      </w:r>
      <w:r>
        <w:rPr>
          <w:rStyle w:val="None"/>
          <w:vertAlign w:val="superscript"/>
        </w:rPr>
        <w:footnoteReference w:id="517"/>
      </w:r>
      <w:r>
        <w:rPr>
          <w:rFonts w:eastAsia="Arial Unicode MS" w:cs="Arial Unicode MS"/>
        </w:rPr>
        <w:t>.</w:t>
      </w:r>
    </w:p>
    <w:p w14:paraId="5D587CFD" w14:textId="77777777" w:rsidR="001A105D" w:rsidRDefault="00000000">
      <w:pPr>
        <w:pStyle w:val="NoSpacing"/>
        <w:numPr>
          <w:ilvl w:val="0"/>
          <w:numId w:val="33"/>
        </w:numPr>
      </w:pPr>
      <w:r>
        <w:lastRenderedPageBreak/>
        <w:t>En Colombia, se hace hincapié en la necesidad de proporcionar los servicios de apoyo requeridos para garantizar que las personas con discapacidad accedan a la justicia en igualdad de condiciones que otras personas. Se resalta también la importancia de establecer una reforma del sistema de interdicción judicial, promoviendo un enfoque que favorezca el ejercicio de la capacidad jurídica y la toma de decisiones con apoyo. La Ley 1996 incluye la obligación de fortalecer a las organizaciones de y para personas con discapacidad, así como la realización de campañas de concientización y la inclusión del tema en el currículum de las Escuelas de Derecho</w:t>
      </w:r>
      <w:r>
        <w:rPr>
          <w:rStyle w:val="None"/>
          <w:vertAlign w:val="superscript"/>
        </w:rPr>
        <w:footnoteReference w:id="518"/>
      </w:r>
      <w:r>
        <w:t>.</w:t>
      </w:r>
    </w:p>
    <w:p w14:paraId="26BFE58E" w14:textId="77777777" w:rsidR="001A105D" w:rsidRDefault="00000000">
      <w:pPr>
        <w:pStyle w:val="NoSpacing"/>
        <w:numPr>
          <w:ilvl w:val="0"/>
          <w:numId w:val="33"/>
        </w:numPr>
      </w:pPr>
      <w:r>
        <w:t>En El Salvador, México y Nicaragua, se reconocen ajustes de procedimiento para el acceso a la justicia en igualdad de condiciones para personas con discapacidad. Estos ajustes incluyen medidas como intérpretes profesionales de lengua de señas, documentos en sistema Braille, y acciones de concientización y capacitación del personal involucrado en la toma de decisiones. Además, en El Salvador se reconoce el derecho de las personas con discapacidad a ejercer su capacidad jurídica y autonomía de voluntad en el acceso a la justicia en la Ley Especial de Inclusión de las Personas con Discapacidad</w:t>
      </w:r>
      <w:r>
        <w:rPr>
          <w:rStyle w:val="None"/>
          <w:vertAlign w:val="superscript"/>
        </w:rPr>
        <w:footnoteReference w:id="519"/>
      </w:r>
      <w:r>
        <w:t>.</w:t>
      </w:r>
    </w:p>
    <w:p w14:paraId="2AD644CA" w14:textId="77777777" w:rsidR="001A105D" w:rsidRDefault="00000000">
      <w:pPr>
        <w:pStyle w:val="NoSpacing"/>
        <w:numPr>
          <w:ilvl w:val="0"/>
          <w:numId w:val="33"/>
        </w:numPr>
      </w:pPr>
      <w:r>
        <w:rPr>
          <w:rFonts w:eastAsia="Arial Unicode MS" w:cs="Arial Unicode MS"/>
        </w:rPr>
        <w:lastRenderedPageBreak/>
        <w:t>Panamá, a su vez, también incluye modificaciones a las Normas de Procedimiento Penal para garantizar la integración de ajustes razonables destinados a las personas con discapacidad tras la Ley de Equiparación de Oportunidades para Personas con Discapacidad</w:t>
      </w:r>
      <w:r>
        <w:rPr>
          <w:rStyle w:val="None"/>
          <w:vertAlign w:val="superscript"/>
        </w:rPr>
        <w:footnoteReference w:id="520"/>
      </w:r>
      <w:r>
        <w:rPr>
          <w:rFonts w:eastAsia="Arial Unicode MS" w:cs="Arial Unicode MS"/>
        </w:rPr>
        <w:t>.</w:t>
      </w:r>
    </w:p>
    <w:p w14:paraId="7919C8CE" w14:textId="77777777" w:rsidR="001A105D" w:rsidRDefault="00000000">
      <w:pPr>
        <w:pStyle w:val="NoSpacing"/>
        <w:numPr>
          <w:ilvl w:val="0"/>
          <w:numId w:val="33"/>
        </w:numPr>
      </w:pPr>
      <w:r>
        <w:rPr>
          <w:rFonts w:eastAsia="Arial Unicode MS" w:cs="Arial Unicode MS"/>
        </w:rPr>
        <w:t>Por otro lado, la Comisión advierte la implementación de medidas puntuales para garantizar el derecho de acceso a la justicia más allá de la mención en el cuerpo de sus leyes generales sobre discapacidad. Colombia ha implementado medidas específicas a través del Protocolo de Atención Inclusiva en el Acceso a la Justicia, en que se identifican y eliminan barreras en los servicios de justicia. Se destaca también la emisión de recursos educativos para el personal de notarías, como la cartilla sobre Capacidad Jurídica y Derechos de Personas con Discapacidad</w:t>
      </w:r>
      <w:r>
        <w:rPr>
          <w:rStyle w:val="None"/>
          <w:vertAlign w:val="superscript"/>
        </w:rPr>
        <w:footnoteReference w:id="521"/>
      </w:r>
      <w:r>
        <w:rPr>
          <w:rFonts w:eastAsia="Arial Unicode MS" w:cs="Arial Unicode MS"/>
        </w:rPr>
        <w:t xml:space="preserve">. </w:t>
      </w:r>
    </w:p>
    <w:p w14:paraId="6D39755A" w14:textId="77777777" w:rsidR="001A105D" w:rsidRDefault="00000000">
      <w:pPr>
        <w:pStyle w:val="NoSpacing"/>
        <w:numPr>
          <w:ilvl w:val="0"/>
          <w:numId w:val="33"/>
        </w:numPr>
      </w:pPr>
      <w:r>
        <w:rPr>
          <w:rFonts w:eastAsia="Arial Unicode MS" w:cs="Arial Unicode MS"/>
        </w:rPr>
        <w:t xml:space="preserve">En México, la Suprema Corte de Justicia de la Nación ha elaborado versiones en lectura fácil de sus sentencias relacionadas con personas con discapacidad, reconociendo la obligación de implementar ajustes de procedimiento en estos </w:t>
      </w:r>
      <w:r>
        <w:rPr>
          <w:rFonts w:eastAsia="Arial Unicode MS" w:cs="Arial Unicode MS"/>
        </w:rPr>
        <w:lastRenderedPageBreak/>
        <w:t>casos</w:t>
      </w:r>
      <w:r>
        <w:rPr>
          <w:rStyle w:val="None"/>
          <w:vertAlign w:val="superscript"/>
        </w:rPr>
        <w:footnoteReference w:id="522"/>
      </w:r>
      <w:r>
        <w:rPr>
          <w:rFonts w:eastAsia="Arial Unicode MS" w:cs="Arial Unicode MS"/>
        </w:rPr>
        <w:t>. En la resolución del Amparo en Revisión No. 1043 de 2015, reconoció la obligación de los operadores jurídicos de implementar ajustes de procedimiento en aquellos casos en los que estén involucradas personas con discapacidad</w:t>
      </w:r>
      <w:r>
        <w:rPr>
          <w:rStyle w:val="None"/>
          <w:vertAlign w:val="superscript"/>
        </w:rPr>
        <w:footnoteReference w:id="523"/>
      </w:r>
      <w:r>
        <w:rPr>
          <w:rFonts w:eastAsia="Arial Unicode MS" w:cs="Arial Unicode MS"/>
        </w:rPr>
        <w:t>. Además, se ha publicado un manual sobre Justicia y Personas con Discapacidad como herramienta para operadores jurídicos, facilitando el acceso a la justicia con una perspectiva de discapacidad</w:t>
      </w:r>
      <w:r>
        <w:rPr>
          <w:rStyle w:val="None"/>
          <w:vertAlign w:val="superscript"/>
        </w:rPr>
        <w:footnoteReference w:id="524"/>
      </w:r>
      <w:r>
        <w:rPr>
          <w:rFonts w:eastAsia="Arial Unicode MS" w:cs="Arial Unicode MS"/>
        </w:rPr>
        <w:t>.</w:t>
      </w:r>
    </w:p>
    <w:p w14:paraId="5057FAE6" w14:textId="77777777" w:rsidR="001A105D" w:rsidRDefault="00000000">
      <w:pPr>
        <w:pStyle w:val="Heading4"/>
        <w:numPr>
          <w:ilvl w:val="0"/>
          <w:numId w:val="95"/>
        </w:numPr>
      </w:pPr>
      <w:r>
        <w:rPr>
          <w:rFonts w:eastAsia="Arial Unicode MS" w:cs="Arial Unicode MS"/>
        </w:rPr>
        <w:t>Libertad personal y vida en comunidad</w:t>
      </w:r>
    </w:p>
    <w:p w14:paraId="5A413779" w14:textId="77777777" w:rsidR="001A105D" w:rsidRDefault="00000000">
      <w:pPr>
        <w:pStyle w:val="NoSpacing"/>
        <w:numPr>
          <w:ilvl w:val="0"/>
          <w:numId w:val="96"/>
        </w:numPr>
      </w:pPr>
      <w:r>
        <w:rPr>
          <w:rFonts w:eastAsia="Arial Unicode MS" w:cs="Arial Unicode MS"/>
        </w:rPr>
        <w:t>Los derechos a la libertad, integridad y seguridad personal de las personas con discapacidad, reconocidos en los artículos 5 y 7 de la Convención Americana sobre Derechos Humanos, los artículos I y XXV de la Declaración Americana, así como el artículo 14 de la CDPD, implican el ejercicio del derecho a la capacidad jurídica</w:t>
      </w:r>
      <w:r>
        <w:rPr>
          <w:rStyle w:val="None"/>
          <w:vertAlign w:val="superscript"/>
        </w:rPr>
        <w:footnoteReference w:id="525"/>
      </w:r>
      <w:r>
        <w:rPr>
          <w:rFonts w:eastAsia="Arial Unicode MS" w:cs="Arial Unicode MS"/>
        </w:rPr>
        <w:t>.</w:t>
      </w:r>
      <w:r>
        <w:rPr>
          <w:rFonts w:ascii="Arial Unicode MS" w:eastAsia="Arial Unicode MS" w:hAnsi="Arial Unicode MS" w:cs="Arial Unicode MS"/>
        </w:rPr>
        <w:br w:type="page"/>
      </w:r>
    </w:p>
    <w:p w14:paraId="12FA08B5" w14:textId="77777777" w:rsidR="001A105D" w:rsidRDefault="00000000">
      <w:pPr>
        <w:pStyle w:val="NoSpacing"/>
        <w:numPr>
          <w:ilvl w:val="0"/>
          <w:numId w:val="33"/>
        </w:numPr>
      </w:pPr>
      <w:r>
        <w:rPr>
          <w:rFonts w:eastAsia="Arial Unicode MS" w:cs="Arial Unicode MS"/>
        </w:rPr>
        <w:lastRenderedPageBreak/>
        <w:t>En múltiples ocasiones, tanto la Corte IDH como el Comité de la CDPD y el Comité de Expertos en Derechos de las Personas con Discapacidad, han destacado que la restricción de la capacidad jurídica de las personas con discapacidad ha resultado en su privación de libertad en instituciones asistenciales o psiquiátricas en contra de su voluntad. Ello, mediante consentimientos otorgados en sustitución de su voluntad o en cumplimiento de medidas de seguridad en procesos penales</w:t>
      </w:r>
      <w:r>
        <w:rPr>
          <w:rStyle w:val="None"/>
          <w:vertAlign w:val="superscript"/>
        </w:rPr>
        <w:footnoteReference w:id="526"/>
      </w:r>
      <w:r>
        <w:rPr>
          <w:rFonts w:eastAsia="Arial Unicode MS" w:cs="Arial Unicode MS"/>
        </w:rPr>
        <w:t xml:space="preserve">. </w:t>
      </w:r>
    </w:p>
    <w:p w14:paraId="1D2CC2E0" w14:textId="77777777" w:rsidR="001A105D" w:rsidRDefault="00000000">
      <w:pPr>
        <w:pStyle w:val="NoSpacing"/>
        <w:numPr>
          <w:ilvl w:val="0"/>
          <w:numId w:val="33"/>
        </w:numPr>
      </w:pPr>
      <w:r>
        <w:t>Lo anterior, no solo afecta el derecho a la capacidad jurídica y a la libertad personal, sino que también vulnera un amplio conjunto de derechos. En particular, afecta el derecho a la dignidad, a vivir de forma independiente y a ser incluidos en la comunidad.</w:t>
      </w:r>
    </w:p>
    <w:p w14:paraId="593CCAEA" w14:textId="77777777" w:rsidR="001A105D" w:rsidRDefault="00000000">
      <w:pPr>
        <w:pStyle w:val="NoSpacing"/>
        <w:numPr>
          <w:ilvl w:val="0"/>
          <w:numId w:val="33"/>
        </w:numPr>
      </w:pPr>
      <w:r>
        <w:rPr>
          <w:rFonts w:eastAsia="Arial Unicode MS" w:cs="Arial Unicode MS"/>
        </w:rPr>
        <w:lastRenderedPageBreak/>
        <w:t>En cuanto al alcance del derecho a la libertad personal, el Comité de la CDPD ha enfatizado que este derecho no admite excepciones que permitan privar de libertad a una persona debido a su discapacidad real o percibida, o por motivos "capacitistas" u otros que consideren un supuesto peligro para ellas mismas o para terceros. Además, ha instado a los Estados parte de dicho instrumento a derogar las normativas que respaldan prácticas contrarias al derecho internacional en esta materia</w:t>
      </w:r>
      <w:r>
        <w:rPr>
          <w:rStyle w:val="None"/>
          <w:vertAlign w:val="superscript"/>
        </w:rPr>
        <w:footnoteReference w:id="527"/>
      </w:r>
      <w:r>
        <w:rPr>
          <w:rFonts w:eastAsia="Arial Unicode MS" w:cs="Arial Unicode MS"/>
        </w:rPr>
        <w:t>.</w:t>
      </w:r>
    </w:p>
    <w:p w14:paraId="0C414E0D" w14:textId="77777777" w:rsidR="001A105D" w:rsidRDefault="00000000">
      <w:pPr>
        <w:pStyle w:val="NoSpacing"/>
        <w:numPr>
          <w:ilvl w:val="0"/>
          <w:numId w:val="33"/>
        </w:numPr>
      </w:pPr>
      <w:r>
        <w:rPr>
          <w:rFonts w:eastAsia="Arial Unicode MS" w:cs="Arial Unicode MS"/>
        </w:rPr>
        <w:t>Por su parte, el CEDDIS ha señalado a los Estados de la región que, para garantizar el respeto y la protección de este derecho, las "urgencias psiquiátricas" o situaciones de crisis psicosocial deben abordarse mediante la implementación de sistemas de apoyo para la toma de decisiones, junto con la aplicación de ajustes razonables, siempre respetando las decisiones de las personas con discapacidad en igualdad de condiciones con los demás y deben tratarse en los sistemas de salud general. Asimismo, cuando sea necesario, se debe utilizar el criterio de la mejor interpretación posible de su voluntad y preferencias, así como reemplazar la terminología de "emergencia psiquiátrica" y dejar de equiparar los estándares de las emergencias y urgencias médicas en esta situación particular, dado que la urgencia es de naturaleza psíquica y/o social, no biológico-corporal</w:t>
      </w:r>
      <w:r>
        <w:rPr>
          <w:rStyle w:val="None"/>
          <w:vertAlign w:val="superscript"/>
        </w:rPr>
        <w:footnoteReference w:id="528"/>
      </w:r>
      <w:r>
        <w:rPr>
          <w:rFonts w:eastAsia="Arial Unicode MS" w:cs="Arial Unicode MS"/>
        </w:rPr>
        <w:t>.</w:t>
      </w:r>
    </w:p>
    <w:p w14:paraId="405BF06F" w14:textId="77777777" w:rsidR="001A105D" w:rsidRDefault="00000000">
      <w:pPr>
        <w:pStyle w:val="NoSpacing"/>
        <w:numPr>
          <w:ilvl w:val="0"/>
          <w:numId w:val="33"/>
        </w:numPr>
      </w:pPr>
      <w:r>
        <w:rPr>
          <w:rFonts w:eastAsia="Arial Unicode MS" w:cs="Arial Unicode MS"/>
        </w:rPr>
        <w:lastRenderedPageBreak/>
        <w:t>La institucionalización forzada de las personas con discapacidad es una práctica reiterada y arraigada en los diversos sistemas de salud mental de los países de la región, en ausencia de modelos comunitarios, y sistemas para la toma de decisiones con apoyos y salvaguardias. Una abrumadora mayoría de legislaciones civiles y de salud mental de la región contemplan la figura del internamiento involuntario, compulsorio o de urgencia</w:t>
      </w:r>
      <w:r>
        <w:rPr>
          <w:rStyle w:val="None"/>
          <w:vertAlign w:val="superscript"/>
        </w:rPr>
        <w:footnoteReference w:id="529"/>
      </w:r>
      <w:r>
        <w:rPr>
          <w:rFonts w:eastAsia="Arial Unicode MS" w:cs="Arial Unicode MS"/>
        </w:rPr>
        <w:t>.</w:t>
      </w:r>
    </w:p>
    <w:p w14:paraId="2223B681" w14:textId="77777777" w:rsidR="001A105D" w:rsidRDefault="00000000">
      <w:pPr>
        <w:pStyle w:val="NoSpacing"/>
        <w:numPr>
          <w:ilvl w:val="0"/>
          <w:numId w:val="33"/>
        </w:numPr>
      </w:pPr>
      <w:r>
        <w:rPr>
          <w:rFonts w:eastAsia="Arial Unicode MS" w:cs="Arial Unicode MS"/>
        </w:rPr>
        <w:t xml:space="preserve">Legislaciones de países de la región admiten el internamiento involuntario, en uno o varios de los siguientes supuestos: i) la existencia o presunción de un "trastorno, desorden o incapacidad mental" basada en la recomendación de profesionales de la salud o una orden judicial; </w:t>
      </w:r>
      <w:proofErr w:type="spellStart"/>
      <w:r>
        <w:rPr>
          <w:rFonts w:eastAsia="Arial Unicode MS" w:cs="Arial Unicode MS"/>
        </w:rPr>
        <w:t>ii</w:t>
      </w:r>
      <w:proofErr w:type="spellEnd"/>
      <w:r>
        <w:rPr>
          <w:rFonts w:eastAsia="Arial Unicode MS" w:cs="Arial Unicode MS"/>
        </w:rPr>
        <w:t>) la existencia de un riesgo inminente para la salud o seguridad, incluida la de terceros, lo cual está estrechamente relacionado con estereotipos y prejuicios perjudiciales sobre las personas con discapacidad psicosocial, como la supuesta "peligrosidad"</w:t>
      </w:r>
      <w:r>
        <w:rPr>
          <w:rStyle w:val="None"/>
          <w:vertAlign w:val="superscript"/>
        </w:rPr>
        <w:footnoteReference w:id="530"/>
      </w:r>
      <w:r>
        <w:rPr>
          <w:rFonts w:eastAsia="Arial Unicode MS" w:cs="Arial Unicode MS"/>
        </w:rPr>
        <w:t xml:space="preserve">; </w:t>
      </w:r>
      <w:proofErr w:type="spellStart"/>
      <w:r>
        <w:rPr>
          <w:rFonts w:eastAsia="Arial Unicode MS" w:cs="Arial Unicode MS"/>
        </w:rPr>
        <w:t>iii</w:t>
      </w:r>
      <w:proofErr w:type="spellEnd"/>
      <w:r>
        <w:rPr>
          <w:rFonts w:eastAsia="Arial Unicode MS" w:cs="Arial Unicode MS"/>
        </w:rPr>
        <w:t xml:space="preserve">) </w:t>
      </w:r>
      <w:r>
        <w:rPr>
          <w:rFonts w:eastAsia="Arial Unicode MS" w:cs="Arial Unicode MS"/>
        </w:rPr>
        <w:lastRenderedPageBreak/>
        <w:t>aunque no se contemple el internamiento involuntario conforme a los regímenes de interdicción o incapacidad legal, el tutor o curador respectivo otorga consentimiento para el internamiento "voluntario" de personas con discapacidad intelectual o psicosocial</w:t>
      </w:r>
      <w:r>
        <w:rPr>
          <w:rStyle w:val="None"/>
          <w:vertAlign w:val="superscript"/>
        </w:rPr>
        <w:footnoteReference w:id="531"/>
      </w:r>
      <w:r>
        <w:rPr>
          <w:rFonts w:eastAsia="Arial Unicode MS" w:cs="Arial Unicode MS"/>
        </w:rPr>
        <w:t xml:space="preserve">; y  </w:t>
      </w:r>
      <w:proofErr w:type="spellStart"/>
      <w:r>
        <w:rPr>
          <w:rFonts w:eastAsia="Arial Unicode MS" w:cs="Arial Unicode MS"/>
        </w:rPr>
        <w:t>iv</w:t>
      </w:r>
      <w:proofErr w:type="spellEnd"/>
      <w:r>
        <w:rPr>
          <w:rFonts w:eastAsia="Arial Unicode MS" w:cs="Arial Unicode MS"/>
        </w:rPr>
        <w:t>) mediante la aplicación de medidas de seguridad o tratamiento forzoso en centros penitenciarios destinados a personas con discapacidad intelectual o psicosocial</w:t>
      </w:r>
      <w:r>
        <w:rPr>
          <w:rStyle w:val="None"/>
          <w:vertAlign w:val="superscript"/>
        </w:rPr>
        <w:footnoteReference w:id="532"/>
      </w:r>
      <w:r>
        <w:rPr>
          <w:rFonts w:eastAsia="Arial Unicode MS" w:cs="Arial Unicode MS"/>
        </w:rPr>
        <w:t>.</w:t>
      </w:r>
    </w:p>
    <w:p w14:paraId="4F1D4715" w14:textId="77777777" w:rsidR="001A105D" w:rsidRDefault="00000000">
      <w:pPr>
        <w:pStyle w:val="NoSpacing"/>
        <w:numPr>
          <w:ilvl w:val="0"/>
          <w:numId w:val="33"/>
        </w:numPr>
      </w:pPr>
      <w:r>
        <w:rPr>
          <w:rFonts w:eastAsia="Arial Unicode MS" w:cs="Arial Unicode MS"/>
        </w:rPr>
        <w:t xml:space="preserve">En países como Argentina, Jamaica, Paraguay y Uruguay, el internamiento involuntario se regula como una medida </w:t>
      </w:r>
      <w:r>
        <w:rPr>
          <w:rFonts w:eastAsia="Arial Unicode MS" w:cs="Arial Unicode MS"/>
        </w:rPr>
        <w:lastRenderedPageBreak/>
        <w:t>excepcional, aplicable en situaciones en las que no sean factibles los abordajes comunitarios o ambulatorios y exista un riesgo de "peligro inminente" para la persona o terceros</w:t>
      </w:r>
      <w:r>
        <w:rPr>
          <w:rStyle w:val="None"/>
          <w:vertAlign w:val="superscript"/>
        </w:rPr>
        <w:footnoteReference w:id="533"/>
      </w:r>
      <w:r>
        <w:rPr>
          <w:rFonts w:eastAsia="Arial Unicode MS" w:cs="Arial Unicode MS"/>
        </w:rPr>
        <w:t>. La Comisión observa que esta medida persiste como una respuesta a situaciones de emergencia en contextos de salud mental, incluso cuando se establecen una serie de medidas o salvaguardias para su implementación controlada.</w:t>
      </w:r>
    </w:p>
    <w:p w14:paraId="313CD0C3" w14:textId="77777777" w:rsidR="001A105D" w:rsidRDefault="00000000">
      <w:pPr>
        <w:pStyle w:val="NoSpacing"/>
        <w:numPr>
          <w:ilvl w:val="0"/>
          <w:numId w:val="33"/>
        </w:numPr>
      </w:pPr>
      <w:r>
        <w:rPr>
          <w:rFonts w:eastAsia="Arial Unicode MS" w:cs="Arial Unicode MS"/>
        </w:rPr>
        <w:t>En el caso específico de Argentina, se establece que este tipo de medidas deben ser validadas por una autoridad judicial y se instituye un órgano de revisión encargado de evaluar la justificación de los internamientos involuntarios, garantizar que no se prolonguen de manera innecesaria y, en caso de irregularidades, apelar las decisiones ante la autoridad judicial correspondiente</w:t>
      </w:r>
      <w:r>
        <w:rPr>
          <w:rStyle w:val="None"/>
          <w:vertAlign w:val="superscript"/>
        </w:rPr>
        <w:footnoteReference w:id="534"/>
      </w:r>
      <w:r>
        <w:rPr>
          <w:rFonts w:eastAsia="Arial Unicode MS" w:cs="Arial Unicode MS"/>
        </w:rPr>
        <w:t>.</w:t>
      </w:r>
    </w:p>
    <w:p w14:paraId="0521A468" w14:textId="77777777" w:rsidR="001A105D" w:rsidRDefault="00000000">
      <w:pPr>
        <w:pStyle w:val="NoSpacing"/>
        <w:numPr>
          <w:ilvl w:val="0"/>
          <w:numId w:val="33"/>
        </w:numPr>
      </w:pPr>
      <w:r>
        <w:rPr>
          <w:rFonts w:eastAsia="Arial Unicode MS" w:cs="Arial Unicode MS"/>
        </w:rPr>
        <w:t>Por su parte, Jamaica determina la procedencia del internamiento involuntario basándose en certificados médicos emitidos por al menos dos profesionales de la salud que contengan la evidencia pertinente que justifique la absoluta necesidad de dicho internamiento, siempre que no existan otras alternativas viables, y siempre con la excepción en casos de emergencia</w:t>
      </w:r>
      <w:r>
        <w:rPr>
          <w:rStyle w:val="None"/>
          <w:vertAlign w:val="superscript"/>
        </w:rPr>
        <w:footnoteReference w:id="535"/>
      </w:r>
      <w:r>
        <w:rPr>
          <w:rFonts w:eastAsia="Arial Unicode MS" w:cs="Arial Unicode MS"/>
        </w:rPr>
        <w:t>.</w:t>
      </w:r>
    </w:p>
    <w:p w14:paraId="76ACDBE8" w14:textId="77777777" w:rsidR="001A105D" w:rsidRDefault="00000000">
      <w:pPr>
        <w:pStyle w:val="NoSpacing"/>
        <w:numPr>
          <w:ilvl w:val="0"/>
          <w:numId w:val="33"/>
        </w:numPr>
      </w:pPr>
      <w:r>
        <w:rPr>
          <w:rFonts w:eastAsia="Arial Unicode MS" w:cs="Arial Unicode MS"/>
        </w:rPr>
        <w:lastRenderedPageBreak/>
        <w:t>De manera similar, Paraguay establece criterios para el internamiento involuntario, tales como el diagnóstico confirmado por al menos dos médicos y su limitación a un máximo de dos semanas. Además, se autoriza únicamente “en casos de emergencia” o cuando exista un riesgo de deterioro potencialmente irreversible para la persona</w:t>
      </w:r>
      <w:r>
        <w:rPr>
          <w:rStyle w:val="None"/>
          <w:vertAlign w:val="superscript"/>
        </w:rPr>
        <w:footnoteReference w:id="536"/>
      </w:r>
      <w:r>
        <w:rPr>
          <w:rFonts w:eastAsia="Arial Unicode MS" w:cs="Arial Unicode MS"/>
        </w:rPr>
        <w:t>.</w:t>
      </w:r>
    </w:p>
    <w:p w14:paraId="607D40FA" w14:textId="77777777" w:rsidR="001A105D" w:rsidRDefault="00000000">
      <w:pPr>
        <w:pStyle w:val="NoSpacing"/>
        <w:numPr>
          <w:ilvl w:val="0"/>
          <w:numId w:val="33"/>
        </w:numPr>
      </w:pPr>
      <w:r>
        <w:rPr>
          <w:rFonts w:eastAsia="Arial Unicode MS" w:cs="Arial Unicode MS"/>
        </w:rPr>
        <w:t xml:space="preserve">Sin embargo, la Comisión enfatiza que el estándar internacional de derechos humanos no admite ninguna excepción que habilite la privación de la libertad personal por causa de discapacidad. El criterio para determinar tales excepciones está comúnmente marcado por el estigma médico hacia las personas con discapacidad psicosocial e intelectual. El Comité de la CDPD emitió las Directrices sobre la Desinstitucionalización, incluso en Situaciones de Emergencia, en un esfuerzo por orientar a los Estados para poner fin a la institucionalización de las personas con discapacidad, incluso en situaciones de emergencia. Ello, desde la comprensión del </w:t>
      </w:r>
      <w:r>
        <w:rPr>
          <w:rFonts w:eastAsia="Arial Unicode MS" w:cs="Arial Unicode MS"/>
        </w:rPr>
        <w:lastRenderedPageBreak/>
        <w:t>paradigma de derechos humanos</w:t>
      </w:r>
      <w:r>
        <w:rPr>
          <w:rStyle w:val="None"/>
          <w:vertAlign w:val="superscript"/>
        </w:rPr>
        <w:footnoteReference w:id="537"/>
      </w:r>
      <w:r>
        <w:rPr>
          <w:rFonts w:eastAsia="Arial Unicode MS" w:cs="Arial Unicode MS"/>
        </w:rPr>
        <w:t xml:space="preserve"> y de diversos procesos que pueden ser implementados</w:t>
      </w:r>
      <w:r>
        <w:rPr>
          <w:rStyle w:val="None"/>
          <w:vertAlign w:val="superscript"/>
        </w:rPr>
        <w:footnoteReference w:id="538"/>
      </w:r>
      <w:r>
        <w:rPr>
          <w:rFonts w:eastAsia="Arial Unicode MS" w:cs="Arial Unicode MS"/>
        </w:rPr>
        <w:t>.</w:t>
      </w:r>
    </w:p>
    <w:p w14:paraId="40328DAA" w14:textId="77777777" w:rsidR="001A105D" w:rsidRDefault="00000000">
      <w:pPr>
        <w:pStyle w:val="NoSpacing"/>
        <w:numPr>
          <w:ilvl w:val="0"/>
          <w:numId w:val="33"/>
        </w:numPr>
      </w:pPr>
      <w:r>
        <w:rPr>
          <w:rFonts w:eastAsia="Arial Unicode MS" w:cs="Arial Unicode MS"/>
        </w:rPr>
        <w:t>El Comité de la CDPD sostiene que la institucionalización es discriminatoria y viola los derechos de las personas con discapacidad. Niega su capacidad jurídica e infringe su libertad debido a la percepción de una “deficiencia” en la persona, considerándola una forma de violencia</w:t>
      </w:r>
      <w:r>
        <w:rPr>
          <w:rStyle w:val="None"/>
          <w:vertAlign w:val="superscript"/>
        </w:rPr>
        <w:footnoteReference w:id="539"/>
      </w:r>
      <w:r>
        <w:rPr>
          <w:rFonts w:eastAsia="Arial Unicode MS" w:cs="Arial Unicode MS"/>
        </w:rPr>
        <w:t>.</w:t>
      </w:r>
    </w:p>
    <w:p w14:paraId="6E717A3D" w14:textId="77777777" w:rsidR="001A105D" w:rsidRDefault="00000000">
      <w:pPr>
        <w:pStyle w:val="NoSpacing"/>
        <w:numPr>
          <w:ilvl w:val="0"/>
          <w:numId w:val="33"/>
        </w:numPr>
      </w:pPr>
      <w:r>
        <w:t>Sobre este punto, la CIDH toma nota de las acciones emprendidas por Argentina, Colombia, México, Perú y Uruguay, para transitar hacia una política de desinstitucionalización de las personas con discapacidad.</w:t>
      </w:r>
    </w:p>
    <w:p w14:paraId="126B5AF1" w14:textId="77777777" w:rsidR="001A105D" w:rsidRDefault="00000000">
      <w:pPr>
        <w:pStyle w:val="NoSpacing"/>
        <w:numPr>
          <w:ilvl w:val="0"/>
          <w:numId w:val="33"/>
        </w:numPr>
      </w:pPr>
      <w:r>
        <w:rPr>
          <w:rFonts w:eastAsia="Arial Unicode MS" w:cs="Arial Unicode MS"/>
        </w:rPr>
        <w:t xml:space="preserve">En Argentina, los avances se manifiestan a través de la Ley de Salud Pública, que prohíbe la creación de nuevos manicomios, neuropsiquiátricos o instituciones de internación, tanto públicas como privadas. Asimismo, el reglamento de la Ley de Salud </w:t>
      </w:r>
      <w:r>
        <w:rPr>
          <w:rFonts w:eastAsia="Arial Unicode MS" w:cs="Arial Unicode MS"/>
        </w:rPr>
        <w:lastRenderedPageBreak/>
        <w:t>Mental estipuló que el cierre definitivo de estas instituciones debería haberse llevado a cabo en 2020; proceso que aún no se ha concluido</w:t>
      </w:r>
      <w:r>
        <w:rPr>
          <w:rStyle w:val="None"/>
          <w:vertAlign w:val="superscript"/>
        </w:rPr>
        <w:footnoteReference w:id="540"/>
      </w:r>
      <w:r>
        <w:rPr>
          <w:rFonts w:eastAsia="Arial Unicode MS" w:cs="Arial Unicode MS"/>
        </w:rPr>
        <w:t>.</w:t>
      </w:r>
    </w:p>
    <w:p w14:paraId="3B8C8EDE" w14:textId="77777777" w:rsidR="001A105D" w:rsidRDefault="00000000">
      <w:pPr>
        <w:pStyle w:val="NoSpacing"/>
        <w:numPr>
          <w:ilvl w:val="0"/>
          <w:numId w:val="33"/>
        </w:numPr>
      </w:pPr>
      <w:r>
        <w:t>Colombia, por su parte, ha implementado una estrategia de Rehabilitación Basada en la Comunidad, con el propósito de integrar a las familias y a la comunidad en todos los aspectos de la vida de las personas con discapacidad. Siguiendo esta línea, mediante la Resolución 4886 de 2018, se adoptó la Política Nacional de Salud Mental, la cual incluye como una de sus estrategias el fortalecimiento de redes de apoyo comunitarias</w:t>
      </w:r>
      <w:r>
        <w:rPr>
          <w:rStyle w:val="None"/>
          <w:vertAlign w:val="superscript"/>
        </w:rPr>
        <w:footnoteReference w:id="541"/>
      </w:r>
      <w:r>
        <w:t>.</w:t>
      </w:r>
    </w:p>
    <w:p w14:paraId="1A51A0C9" w14:textId="77777777" w:rsidR="001A105D" w:rsidRDefault="00000000">
      <w:pPr>
        <w:pStyle w:val="NoSpacing"/>
        <w:numPr>
          <w:ilvl w:val="0"/>
          <w:numId w:val="33"/>
        </w:numPr>
      </w:pPr>
      <w:r>
        <w:rPr>
          <w:rFonts w:eastAsia="Arial Unicode MS" w:cs="Arial Unicode MS"/>
        </w:rPr>
        <w:t xml:space="preserve">En México, la reforma a la Ley General de Salud estableció la eliminación del modelo psiquiátrico asilar. Esta reforma prohíbe la construcción de nuevos hospitales </w:t>
      </w:r>
      <w:proofErr w:type="spellStart"/>
      <w:r>
        <w:rPr>
          <w:rFonts w:eastAsia="Arial Unicode MS" w:cs="Arial Unicode MS"/>
        </w:rPr>
        <w:t>monoespecializados</w:t>
      </w:r>
      <w:proofErr w:type="spellEnd"/>
      <w:r>
        <w:rPr>
          <w:rFonts w:eastAsia="Arial Unicode MS" w:cs="Arial Unicode MS"/>
        </w:rPr>
        <w:t xml:space="preserve"> en psiquiatría y dispone que los hospitales psiquiátricos actuales deben convertirse progresivamente en centros ambulatorios o en hospitales generales dentro de la red integrada de servicios de salud</w:t>
      </w:r>
      <w:r>
        <w:rPr>
          <w:rStyle w:val="None"/>
          <w:vertAlign w:val="superscript"/>
        </w:rPr>
        <w:footnoteReference w:id="542"/>
      </w:r>
      <w:r>
        <w:rPr>
          <w:rFonts w:eastAsia="Arial Unicode MS" w:cs="Arial Unicode MS"/>
        </w:rPr>
        <w:t>.</w:t>
      </w:r>
    </w:p>
    <w:p w14:paraId="4891F318" w14:textId="77777777" w:rsidR="001A105D" w:rsidRDefault="00000000">
      <w:pPr>
        <w:pStyle w:val="NoSpacing"/>
        <w:numPr>
          <w:ilvl w:val="0"/>
          <w:numId w:val="33"/>
        </w:numPr>
      </w:pPr>
      <w:r>
        <w:rPr>
          <w:rFonts w:eastAsia="Arial Unicode MS" w:cs="Arial Unicode MS"/>
        </w:rPr>
        <w:lastRenderedPageBreak/>
        <w:t>En Perú, se ha establecido un modelo progresivo de desinstitucionalización mediante la Norma Técnica 138-MINSA/2017/DGIESP, que regula el funcionamiento de los centros de salud comunitarios, la Norma Técnica 140-MINSA/2018/DGIESP, sobre la creación de Hogares Protegidos que funcionan mediante el sistema de redes integradas de salud, y la adopción del Plan Nacional de Fortalecimiento de Servicios de Salud Mental Comunitaria 2018-2021</w:t>
      </w:r>
      <w:r>
        <w:rPr>
          <w:rStyle w:val="None"/>
          <w:vertAlign w:val="superscript"/>
        </w:rPr>
        <w:footnoteReference w:id="543"/>
      </w:r>
      <w:r>
        <w:rPr>
          <w:rFonts w:eastAsia="Arial Unicode MS" w:cs="Arial Unicode MS"/>
        </w:rPr>
        <w:t>.</w:t>
      </w:r>
    </w:p>
    <w:p w14:paraId="2227C2C7" w14:textId="77777777" w:rsidR="001A105D" w:rsidRDefault="00000000">
      <w:pPr>
        <w:pStyle w:val="NoSpacing"/>
        <w:numPr>
          <w:ilvl w:val="0"/>
          <w:numId w:val="33"/>
        </w:numPr>
      </w:pPr>
      <w:r>
        <w:t>Uruguay ha determinado el cierre progresivo de los institutos de asilo y monovalentes, que serán reemplazados por los Centros de Atención Comunitaria, Centros de Rehabilitación e Integración y Residencias con Apoyo. Además, prohíbe la creación de nuevas instituciones asilares y monovalentes, así como el internamiento de nuevas personas en estos desde su entrada en vigor en 2017. Sin embargo, el Estado uruguayo ha informado que no cumplirá con el plazo establecido para dicho cierre</w:t>
      </w:r>
      <w:r>
        <w:rPr>
          <w:rStyle w:val="None"/>
          <w:vertAlign w:val="superscript"/>
        </w:rPr>
        <w:footnoteReference w:id="544"/>
      </w:r>
      <w:r>
        <w:t>.</w:t>
      </w:r>
    </w:p>
    <w:p w14:paraId="6A6804B6" w14:textId="77777777" w:rsidR="001A105D" w:rsidRDefault="00000000">
      <w:pPr>
        <w:pStyle w:val="Heading4"/>
        <w:numPr>
          <w:ilvl w:val="0"/>
          <w:numId w:val="97"/>
        </w:numPr>
      </w:pPr>
      <w:r>
        <w:rPr>
          <w:rFonts w:eastAsia="Arial Unicode MS" w:cs="Arial Unicode MS"/>
        </w:rPr>
        <w:lastRenderedPageBreak/>
        <w:t>Derechos económicos y patrimoniales</w:t>
      </w:r>
    </w:p>
    <w:p w14:paraId="3389B1B4" w14:textId="77777777" w:rsidR="001A105D" w:rsidRDefault="00000000">
      <w:pPr>
        <w:pStyle w:val="NoSpacing"/>
        <w:numPr>
          <w:ilvl w:val="0"/>
          <w:numId w:val="98"/>
        </w:numPr>
      </w:pPr>
      <w:r>
        <w:rPr>
          <w:rFonts w:eastAsia="Arial Unicode MS" w:cs="Arial Unicode MS"/>
        </w:rPr>
        <w:t>El artículo 12, párrafo 5, de la CDPD reconoce explícitamente el derecho al ejercicio de la capacidad jurídica de las personas con discapacidad en asuntos financieros y económicos en igualdad de condiciones con los demás. Esto implica que los Estados signatarios deben garantizar su derecho a ser propietarios y heredar bienes, administrar sus asuntos económicos y acceder a préstamos bancarios, hipotecas y otras formas de crédito en condiciones de igualdad. Según lo indicado por el Comité CDPD, ello conlleva la obligación de implementar medidas legislativas, administrativas y judiciales, así como acciones de apoyo para ejercer la capacidad jurídica en el ámbito económico-financiero</w:t>
      </w:r>
      <w:r>
        <w:rPr>
          <w:rStyle w:val="None"/>
          <w:vertAlign w:val="superscript"/>
        </w:rPr>
        <w:footnoteReference w:id="545"/>
      </w:r>
      <w:r>
        <w:rPr>
          <w:rFonts w:eastAsia="Arial Unicode MS" w:cs="Arial Unicode MS"/>
        </w:rPr>
        <w:t>.</w:t>
      </w:r>
    </w:p>
    <w:p w14:paraId="44731C55" w14:textId="77777777" w:rsidR="001A105D" w:rsidRDefault="00000000">
      <w:pPr>
        <w:pStyle w:val="NoSpacing"/>
        <w:numPr>
          <w:ilvl w:val="0"/>
          <w:numId w:val="33"/>
        </w:numPr>
      </w:pPr>
      <w:r>
        <w:rPr>
          <w:rFonts w:eastAsia="Arial Unicode MS" w:cs="Arial Unicode MS"/>
        </w:rPr>
        <w:t xml:space="preserve">Los regímenes de incapacitación legal o interdicción, así como las políticas públicas o prácticas nocivas basadas en prejuicios y estereotipos, impactan el ejercicio de la capacidad jurídica de las personas con discapacidad. Estas afectan su derecho a la propiedad, herencia, administración de sus asuntos económicos, apertura de cuentas bancarias, acceso a préstamos y tarjetas de crédito, así como el manejo de beneficios económicos otorgados por los Estados y el manejo de sumas de dinero en efectivo. Todo esto refleja estereotipos y prejuicios que asumen que las personas con discapacidad no pueden comprender los efectos de actos jurídicos </w:t>
      </w:r>
      <w:r>
        <w:rPr>
          <w:rFonts w:eastAsia="Arial Unicode MS" w:cs="Arial Unicode MS"/>
        </w:rPr>
        <w:lastRenderedPageBreak/>
        <w:t>patrimoniales, relacionados con la administración o disposición de bienes</w:t>
      </w:r>
      <w:r>
        <w:rPr>
          <w:rStyle w:val="None"/>
          <w:vertAlign w:val="superscript"/>
        </w:rPr>
        <w:footnoteReference w:id="546"/>
      </w:r>
      <w:r>
        <w:rPr>
          <w:rFonts w:eastAsia="Arial Unicode MS" w:cs="Arial Unicode MS"/>
        </w:rPr>
        <w:t>.</w:t>
      </w:r>
    </w:p>
    <w:p w14:paraId="0F12CFD5" w14:textId="77777777" w:rsidR="001A105D" w:rsidRDefault="00000000">
      <w:pPr>
        <w:pStyle w:val="NoSpacing"/>
        <w:numPr>
          <w:ilvl w:val="0"/>
          <w:numId w:val="33"/>
        </w:numPr>
      </w:pPr>
      <w:r>
        <w:rPr>
          <w:rFonts w:eastAsia="Arial Unicode MS" w:cs="Arial Unicode MS"/>
        </w:rPr>
        <w:t>La Comisión expresa su preocupación por el hecho de que, excepto en los casos de Colombia y Perú, donde se reconoce la capacidad jurídica plena de las personas con discapacidad, en la mayoría de los países de la región la sustitución de la voluntad sigue siendo el régimen jurídico predominante. Además, el arraigado paradigma médico para evaluar a las personas con discapacidad desde una perspectiva basada en diagnósticos significa que, en general, y especialmente en el caso de aquellas con discapacidades intelectuales, psicosociales y sensoriales, aún enfrentan obstáculos para controlar y decidir sobre asuntos económicos y su patrimonio.</w:t>
      </w:r>
    </w:p>
    <w:p w14:paraId="5FBBE7E2" w14:textId="77777777" w:rsidR="001A105D" w:rsidRDefault="00000000">
      <w:pPr>
        <w:pStyle w:val="NoSpacing"/>
        <w:numPr>
          <w:ilvl w:val="0"/>
          <w:numId w:val="33"/>
        </w:numPr>
      </w:pPr>
      <w:r>
        <w:t>Según lo informado por el Banco Interamericano de Desarrollo (BID) y la OEA, los avances en la región para garantizar el acceso de las personas con discapacidad a los servicios financieros han sido superficiales. En especial, no se han observado esfuerzos significativos para adoptar sistemas de apoyo para la toma de decisiones y la expresión de la voluntad de las personas con discapacidad en el ámbito financiero</w:t>
      </w:r>
      <w:r>
        <w:rPr>
          <w:rStyle w:val="None"/>
          <w:vertAlign w:val="superscript"/>
        </w:rPr>
        <w:footnoteReference w:id="547"/>
      </w:r>
      <w:r>
        <w:t xml:space="preserve">. </w:t>
      </w:r>
      <w:r>
        <w:lastRenderedPageBreak/>
        <w:t>Aunque países como Bahamas</w:t>
      </w:r>
      <w:r>
        <w:rPr>
          <w:rStyle w:val="None"/>
          <w:vertAlign w:val="superscript"/>
        </w:rPr>
        <w:footnoteReference w:id="548"/>
      </w:r>
      <w:r>
        <w:t xml:space="preserve"> y Bolivia</w:t>
      </w:r>
      <w:r>
        <w:rPr>
          <w:rStyle w:val="None"/>
          <w:vertAlign w:val="superscript"/>
        </w:rPr>
        <w:footnoteReference w:id="549"/>
      </w:r>
      <w:r>
        <w:t xml:space="preserve"> reconocen el derecho de las personas con discapacidad a acceder a servicios financieros en sus legislaciones, no se han implementado medidas o políticas específicas para garantizarlo.</w:t>
      </w:r>
    </w:p>
    <w:p w14:paraId="46BBAA35" w14:textId="77777777" w:rsidR="001A105D" w:rsidRDefault="00000000">
      <w:pPr>
        <w:pStyle w:val="Heading4"/>
        <w:numPr>
          <w:ilvl w:val="0"/>
          <w:numId w:val="99"/>
        </w:numPr>
      </w:pPr>
      <w:r>
        <w:rPr>
          <w:rFonts w:eastAsia="Arial Unicode MS" w:cs="Arial Unicode MS"/>
        </w:rPr>
        <w:t xml:space="preserve"> Salud</w:t>
      </w:r>
    </w:p>
    <w:p w14:paraId="287D9CAE" w14:textId="77777777" w:rsidR="001A105D" w:rsidRDefault="00000000">
      <w:pPr>
        <w:pStyle w:val="NoSpacing"/>
        <w:numPr>
          <w:ilvl w:val="0"/>
          <w:numId w:val="33"/>
        </w:numPr>
      </w:pPr>
      <w:r>
        <w:rPr>
          <w:rFonts w:eastAsia="Arial Unicode MS" w:cs="Arial Unicode MS"/>
        </w:rPr>
        <w:t>La Comisión Interamericana reconoce la estrecha relación entre el derecho a disfrutar del más alto nivel posible de salud y el ejercicio de la capacidad jurídica de las personas con discapacidad. En este sentido, el Comité sobre los Derechos de las Personas con Discapacidad ha enfatizado que el acceso a una atención de salud de calidad debe basarse en el consentimiento libre e informado. Esto implica que los profesionales médicos deben obtener el consentimiento de las personas con discapacidad antes de cualquier tratamiento, y dicho consentimiento no debe ser otorgado por personas que tomen decisiones en su lugar</w:t>
      </w:r>
      <w:r>
        <w:rPr>
          <w:rStyle w:val="None"/>
          <w:vertAlign w:val="superscript"/>
        </w:rPr>
        <w:footnoteReference w:id="550"/>
      </w:r>
      <w:r>
        <w:rPr>
          <w:rFonts w:eastAsia="Arial Unicode MS" w:cs="Arial Unicode MS"/>
        </w:rPr>
        <w:t>.</w:t>
      </w:r>
    </w:p>
    <w:p w14:paraId="75F0887D" w14:textId="77777777" w:rsidR="001A105D" w:rsidRDefault="00000000">
      <w:pPr>
        <w:pStyle w:val="NoSpacing"/>
        <w:numPr>
          <w:ilvl w:val="0"/>
          <w:numId w:val="33"/>
        </w:numPr>
      </w:pPr>
      <w:r>
        <w:rPr>
          <w:rFonts w:eastAsia="Arial Unicode MS" w:cs="Arial Unicode MS"/>
        </w:rPr>
        <w:lastRenderedPageBreak/>
        <w:t>En cuanto a la situación en los países de la región, a excepción de Colombia</w:t>
      </w:r>
      <w:r>
        <w:rPr>
          <w:rStyle w:val="None"/>
          <w:vertAlign w:val="superscript"/>
        </w:rPr>
        <w:footnoteReference w:id="551"/>
      </w:r>
      <w:r>
        <w:rPr>
          <w:rFonts w:eastAsia="Arial Unicode MS" w:cs="Arial Unicode MS"/>
        </w:rPr>
        <w:t>, Perú</w:t>
      </w:r>
      <w:r>
        <w:rPr>
          <w:rStyle w:val="None"/>
          <w:vertAlign w:val="superscript"/>
        </w:rPr>
        <w:footnoteReference w:id="552"/>
      </w:r>
      <w:r>
        <w:rPr>
          <w:rFonts w:eastAsia="Arial Unicode MS" w:cs="Arial Unicode MS"/>
        </w:rPr>
        <w:t xml:space="preserve"> y, en cierta medida, Costa Rica</w:t>
      </w:r>
      <w:r>
        <w:rPr>
          <w:rStyle w:val="None"/>
          <w:vertAlign w:val="superscript"/>
        </w:rPr>
        <w:footnoteReference w:id="553"/>
      </w:r>
      <w:r>
        <w:rPr>
          <w:rFonts w:eastAsia="Arial Unicode MS" w:cs="Arial Unicode MS"/>
        </w:rPr>
        <w:t>, la mayoría de los Estados mantienen un régimen de incapacitación o interdicción. Bajo sus leyes civiles o de salud mental, no reconocen el derecho de las personas con discapacidad, especialmente aquellos con discapacidad intelectual, psicosocial y sensorial, a otorgar su consentimiento para tratamientos médicos</w:t>
      </w:r>
      <w:r>
        <w:rPr>
          <w:rStyle w:val="None"/>
          <w:vertAlign w:val="superscript"/>
        </w:rPr>
        <w:footnoteReference w:id="554"/>
      </w:r>
      <w:r>
        <w:rPr>
          <w:rFonts w:eastAsia="Arial Unicode MS" w:cs="Arial Unicode MS"/>
        </w:rPr>
        <w:t>.</w:t>
      </w:r>
    </w:p>
    <w:p w14:paraId="27B115FA" w14:textId="77777777" w:rsidR="001A105D" w:rsidRDefault="00000000">
      <w:pPr>
        <w:pStyle w:val="NoSpacing"/>
        <w:numPr>
          <w:ilvl w:val="0"/>
          <w:numId w:val="33"/>
        </w:numPr>
      </w:pPr>
      <w:r>
        <w:rPr>
          <w:rFonts w:eastAsia="Arial Unicode MS" w:cs="Arial Unicode MS"/>
        </w:rPr>
        <w:lastRenderedPageBreak/>
        <w:t>Por otro lado, países como Bolivia</w:t>
      </w:r>
      <w:r>
        <w:rPr>
          <w:rStyle w:val="None"/>
          <w:vertAlign w:val="superscript"/>
        </w:rPr>
        <w:footnoteReference w:id="555"/>
      </w:r>
      <w:r>
        <w:rPr>
          <w:rFonts w:eastAsia="Arial Unicode MS" w:cs="Arial Unicode MS"/>
        </w:rPr>
        <w:t>, Costa Rica</w:t>
      </w:r>
      <w:r>
        <w:rPr>
          <w:rStyle w:val="None"/>
          <w:vertAlign w:val="superscript"/>
        </w:rPr>
        <w:footnoteReference w:id="556"/>
      </w:r>
      <w:r>
        <w:rPr>
          <w:rFonts w:eastAsia="Arial Unicode MS" w:cs="Arial Unicode MS"/>
        </w:rPr>
        <w:t>, El Salvador</w:t>
      </w:r>
      <w:r>
        <w:rPr>
          <w:rStyle w:val="None"/>
          <w:vertAlign w:val="superscript"/>
        </w:rPr>
        <w:footnoteReference w:id="557"/>
      </w:r>
      <w:r>
        <w:rPr>
          <w:rFonts w:eastAsia="Arial Unicode MS" w:cs="Arial Unicode MS"/>
        </w:rPr>
        <w:t xml:space="preserve"> y Panamá</w:t>
      </w:r>
      <w:r>
        <w:rPr>
          <w:rStyle w:val="None"/>
          <w:vertAlign w:val="superscript"/>
        </w:rPr>
        <w:footnoteReference w:id="558"/>
      </w:r>
      <w:r>
        <w:rPr>
          <w:rFonts w:eastAsia="Arial Unicode MS" w:cs="Arial Unicode MS"/>
        </w:rPr>
        <w:t xml:space="preserve"> reconocen el derecho a otorgar el </w:t>
      </w:r>
      <w:r>
        <w:rPr>
          <w:rFonts w:eastAsia="Arial Unicode MS" w:cs="Arial Unicode MS"/>
        </w:rPr>
        <w:lastRenderedPageBreak/>
        <w:t>consentimiento libre e informado a personas con discapacidad, pero lo condicionan a la "capacidad mental" de la persona. En situaciones donde la persona requiere apoyos intensivos, ya sea para comprender la información o para expresar su voluntad, se recurre a la sustitución de su voluntad, permitiendo que el consentimiento sea otorgado por un familiar o representante legal. Esto va en contra de los estándares internacionales en la materia.</w:t>
      </w:r>
    </w:p>
    <w:p w14:paraId="4FA4E752" w14:textId="77777777" w:rsidR="001A105D" w:rsidRDefault="00000000">
      <w:pPr>
        <w:pStyle w:val="NoSpacing"/>
        <w:numPr>
          <w:ilvl w:val="0"/>
          <w:numId w:val="33"/>
        </w:numPr>
      </w:pPr>
      <w:r>
        <w:rPr>
          <w:rFonts w:eastAsia="Arial Unicode MS" w:cs="Arial Unicode MS"/>
        </w:rPr>
        <w:lastRenderedPageBreak/>
        <w:t>Por otro lado, los Estados de Argentina</w:t>
      </w:r>
      <w:r>
        <w:rPr>
          <w:rStyle w:val="None"/>
          <w:vertAlign w:val="superscript"/>
        </w:rPr>
        <w:footnoteReference w:id="559"/>
      </w:r>
      <w:r>
        <w:rPr>
          <w:rFonts w:eastAsia="Arial Unicode MS" w:cs="Arial Unicode MS"/>
        </w:rPr>
        <w:t>, Brasil</w:t>
      </w:r>
      <w:r>
        <w:rPr>
          <w:rStyle w:val="None"/>
          <w:vertAlign w:val="superscript"/>
        </w:rPr>
        <w:footnoteReference w:id="560"/>
      </w:r>
      <w:r>
        <w:rPr>
          <w:rFonts w:eastAsia="Arial Unicode MS" w:cs="Arial Unicode MS"/>
        </w:rPr>
        <w:t>, Chile</w:t>
      </w:r>
      <w:r>
        <w:rPr>
          <w:rStyle w:val="None"/>
          <w:vertAlign w:val="superscript"/>
        </w:rPr>
        <w:footnoteReference w:id="561"/>
      </w:r>
      <w:r>
        <w:rPr>
          <w:rFonts w:eastAsia="Arial Unicode MS" w:cs="Arial Unicode MS"/>
        </w:rPr>
        <w:t xml:space="preserve"> y México</w:t>
      </w:r>
      <w:r>
        <w:rPr>
          <w:rStyle w:val="None"/>
          <w:vertAlign w:val="superscript"/>
        </w:rPr>
        <w:footnoteReference w:id="562"/>
      </w:r>
      <w:r>
        <w:rPr>
          <w:rFonts w:eastAsia="Arial Unicode MS" w:cs="Arial Unicode MS"/>
        </w:rPr>
        <w:t xml:space="preserve"> cuentan con disposiciones específicas que </w:t>
      </w:r>
      <w:r>
        <w:rPr>
          <w:rFonts w:eastAsia="Arial Unicode MS" w:cs="Arial Unicode MS"/>
        </w:rPr>
        <w:lastRenderedPageBreak/>
        <w:t>reconocen el derecho de las personas con discapacidad a otorgar su consentimiento libre e informado, salvo en determinados casos</w:t>
      </w:r>
      <w:r>
        <w:rPr>
          <w:rStyle w:val="None"/>
          <w:vertAlign w:val="superscript"/>
        </w:rPr>
        <w:footnoteReference w:id="563"/>
      </w:r>
      <w:r>
        <w:rPr>
          <w:rFonts w:eastAsia="Arial Unicode MS" w:cs="Arial Unicode MS"/>
        </w:rPr>
        <w:t>.</w:t>
      </w:r>
    </w:p>
    <w:p w14:paraId="044B03EB" w14:textId="77777777" w:rsidR="001A105D" w:rsidRDefault="00000000">
      <w:pPr>
        <w:pStyle w:val="NoSpacing"/>
        <w:numPr>
          <w:ilvl w:val="0"/>
          <w:numId w:val="33"/>
        </w:numPr>
      </w:pPr>
      <w:r>
        <w:rPr>
          <w:rFonts w:eastAsia="Arial Unicode MS" w:cs="Arial Unicode MS"/>
        </w:rPr>
        <w:t>La CIDH observa que, si bien estas disposiciones representan un avance en el reconocimiento legal de este derecho, el mantenimiento de excepciones indica que aún no se ha abandonado por completo el modelo médico. Esto complica su aplicación y operatividad, ya que coexisten con normativas de incapacitación o interdicción que contradicen el ejercicio de este derecho, así como la ausencia de sistemas de apoyo para la toma de decisiones y mecanismos de fiscalización.</w:t>
      </w:r>
    </w:p>
    <w:p w14:paraId="4CE1FAA7" w14:textId="77777777" w:rsidR="001A105D" w:rsidRDefault="00000000">
      <w:pPr>
        <w:pStyle w:val="NoSpacing"/>
        <w:numPr>
          <w:ilvl w:val="0"/>
          <w:numId w:val="33"/>
        </w:numPr>
      </w:pPr>
      <w:r>
        <w:rPr>
          <w:rFonts w:eastAsia="Arial Unicode MS" w:cs="Arial Unicode MS"/>
        </w:rPr>
        <w:t>En cuanto al ejercicio del derecho a la salud y al consentimiento libre e informado, la Comisión reconoce la convergencia de otros factores de discriminación, como el género, el origen étnico, las minorías religiosas, factores socioeconómicos, geográficos, migración, diversidad sexual e identidad de género, produciendo afectaciones más profundas y desproporcionadas.</w:t>
      </w:r>
    </w:p>
    <w:p w14:paraId="1459BFEC" w14:textId="77777777" w:rsidR="001A105D" w:rsidRDefault="00000000">
      <w:pPr>
        <w:pStyle w:val="NoSpacing"/>
        <w:numPr>
          <w:ilvl w:val="0"/>
          <w:numId w:val="33"/>
        </w:numPr>
      </w:pPr>
      <w:r>
        <w:rPr>
          <w:rFonts w:eastAsia="Arial Unicode MS" w:cs="Arial Unicode MS"/>
        </w:rPr>
        <w:lastRenderedPageBreak/>
        <w:t>Entre los derechos particularmente afectados por la discriminación interseccional se encuentran los derechos sexuales y reproductivos de niñas, mujeres y personas con capacidad de gestación con discapacidad, así como de personas con discapacidad pertenecientes a otros grupos en situación de vulnerabilidad.</w:t>
      </w:r>
    </w:p>
    <w:p w14:paraId="52247FC0" w14:textId="77777777" w:rsidR="001A105D" w:rsidRDefault="00000000">
      <w:pPr>
        <w:pStyle w:val="NoSpacing"/>
        <w:numPr>
          <w:ilvl w:val="0"/>
          <w:numId w:val="33"/>
        </w:numPr>
      </w:pPr>
      <w:r>
        <w:rPr>
          <w:rFonts w:eastAsia="Arial Unicode MS" w:cs="Arial Unicode MS"/>
        </w:rPr>
        <w:t xml:space="preserve">Al respecto, el Comité CDPD y la Relatora Especial han señalado que las niñas, adolescentes y mujeres con discapacidad son especialmente vulnerables. A menudo se les priva de tomar decisiones sobre su salud sexual y reproductiva debido a estigmatización y estereotipos "capacitistas". Esto resulta en que se les perciba como personas asexuales o, por el contrario, como hipersexualizadas, </w:t>
      </w:r>
      <w:proofErr w:type="gramStart"/>
      <w:r>
        <w:rPr>
          <w:rFonts w:eastAsia="Arial Unicode MS" w:cs="Arial Unicode MS"/>
        </w:rPr>
        <w:t>en razón de</w:t>
      </w:r>
      <w:proofErr w:type="gramEnd"/>
      <w:r>
        <w:rPr>
          <w:rFonts w:eastAsia="Arial Unicode MS" w:cs="Arial Unicode MS"/>
        </w:rPr>
        <w:t xml:space="preserve"> obstáculos que les impiden tomar decisiones en ese ámbito de vida, incluyendo la percepción de que no están capacitadas</w:t>
      </w:r>
      <w:r>
        <w:rPr>
          <w:rStyle w:val="None"/>
          <w:vertAlign w:val="superscript"/>
        </w:rPr>
        <w:footnoteReference w:id="564"/>
      </w:r>
      <w:r>
        <w:rPr>
          <w:rFonts w:eastAsia="Arial Unicode MS" w:cs="Arial Unicode MS"/>
        </w:rPr>
        <w:t>.</w:t>
      </w:r>
    </w:p>
    <w:p w14:paraId="5D45B95F" w14:textId="77777777" w:rsidR="001A105D" w:rsidRDefault="00000000">
      <w:pPr>
        <w:pStyle w:val="NoSpacing"/>
        <w:numPr>
          <w:ilvl w:val="0"/>
          <w:numId w:val="33"/>
        </w:numPr>
      </w:pPr>
      <w:r>
        <w:rPr>
          <w:rFonts w:eastAsia="Arial Unicode MS" w:cs="Arial Unicode MS"/>
        </w:rPr>
        <w:t xml:space="preserve">Además, debido a las múltiples barreras del entorno, les resulta más difícil acceder a información sobre prevención, denuncia y recuperación en casos de violencia y abuso. Por lo tanto, es posible que no reconozcan el abuso ni la violación de sus derechos como tal. Esto las expone sistemáticamente, especialmente aquellas que están institucionalizadas, a prácticas nocivas como la anticoncepción forzada, el aborto y </w:t>
      </w:r>
      <w:r>
        <w:rPr>
          <w:rFonts w:eastAsia="Arial Unicode MS" w:cs="Arial Unicode MS"/>
        </w:rPr>
        <w:lastRenderedPageBreak/>
        <w:t>la esterilización forzadas y otros procedimientos quirúrgicos o médicos sin su consentimiento libre e informado</w:t>
      </w:r>
      <w:r>
        <w:rPr>
          <w:rStyle w:val="None"/>
          <w:vertAlign w:val="superscript"/>
        </w:rPr>
        <w:footnoteReference w:id="565"/>
      </w:r>
      <w:r>
        <w:rPr>
          <w:rFonts w:eastAsia="Arial Unicode MS" w:cs="Arial Unicode MS"/>
        </w:rPr>
        <w:t>.</w:t>
      </w:r>
    </w:p>
    <w:p w14:paraId="56E55C6F" w14:textId="77777777" w:rsidR="001A105D" w:rsidRDefault="00000000">
      <w:pPr>
        <w:pStyle w:val="NoSpacing"/>
        <w:numPr>
          <w:ilvl w:val="0"/>
          <w:numId w:val="33"/>
        </w:numPr>
      </w:pPr>
      <w:r>
        <w:rPr>
          <w:rFonts w:eastAsia="Arial Unicode MS" w:cs="Arial Unicode MS"/>
        </w:rPr>
        <w:t>En este contexto, el CEDDIS ha sugerido a los Estados de la región derogar normas que permiten estas prácticas y adoptar medidas para garantizar el consentimiento libre e informado en materia de derechos sexuales y reproductivos de las personas con discapacidad</w:t>
      </w:r>
      <w:r>
        <w:rPr>
          <w:rStyle w:val="None"/>
          <w:vertAlign w:val="superscript"/>
        </w:rPr>
        <w:footnoteReference w:id="566"/>
      </w:r>
      <w:r>
        <w:rPr>
          <w:rFonts w:eastAsia="Arial Unicode MS" w:cs="Arial Unicode MS"/>
        </w:rPr>
        <w:t>.</w:t>
      </w:r>
    </w:p>
    <w:p w14:paraId="3817EFE2" w14:textId="77777777" w:rsidR="001A105D" w:rsidRDefault="00000000">
      <w:pPr>
        <w:pStyle w:val="NoSpacing"/>
        <w:numPr>
          <w:ilvl w:val="0"/>
          <w:numId w:val="33"/>
        </w:numPr>
      </w:pPr>
      <w:r>
        <w:rPr>
          <w:rFonts w:eastAsia="Arial Unicode MS" w:cs="Arial Unicode MS"/>
        </w:rPr>
        <w:t>Al respecto, algunos países han desarrollado normativa específica o jurisprudencia para garantizar el consentimiento libre e informado en este ámbito, como en el caso de Argentina, que reconoce el derecho de las mujeres con discapacidad a obtener apoyos para dar su consentimiento en la práctica de la interrupción voluntaria del embarazo.</w:t>
      </w:r>
      <w:r>
        <w:rPr>
          <w:rStyle w:val="None"/>
          <w:vertAlign w:val="superscript"/>
        </w:rPr>
        <w:footnoteReference w:id="567"/>
      </w:r>
      <w:r>
        <w:rPr>
          <w:rFonts w:eastAsia="Arial Unicode MS" w:cs="Arial Unicode MS"/>
        </w:rPr>
        <w:t xml:space="preserve"> </w:t>
      </w:r>
    </w:p>
    <w:p w14:paraId="095A779D" w14:textId="77777777" w:rsidR="001A105D" w:rsidRDefault="00000000">
      <w:pPr>
        <w:pStyle w:val="NoSpacing"/>
        <w:numPr>
          <w:ilvl w:val="0"/>
          <w:numId w:val="33"/>
        </w:numPr>
      </w:pPr>
      <w:r>
        <w:rPr>
          <w:rFonts w:eastAsia="Arial Unicode MS" w:cs="Arial Unicode MS"/>
        </w:rPr>
        <w:t xml:space="preserve">A su vez, Chile, prohíbe la esterilización de personas con discapacidad intelectual y psicosocial sin su consentimiento libre e informado, aunque con excepciones bajo ciertas </w:t>
      </w:r>
      <w:r>
        <w:rPr>
          <w:rFonts w:eastAsia="Arial Unicode MS" w:cs="Arial Unicode MS"/>
        </w:rPr>
        <w:lastRenderedPageBreak/>
        <w:t>condiciones</w:t>
      </w:r>
      <w:r>
        <w:rPr>
          <w:rStyle w:val="None"/>
          <w:vertAlign w:val="superscript"/>
        </w:rPr>
        <w:footnoteReference w:id="568"/>
      </w:r>
      <w:r>
        <w:rPr>
          <w:rFonts w:eastAsia="Arial Unicode MS" w:cs="Arial Unicode MS"/>
        </w:rPr>
        <w:t>. No obstante, se destaca la excepción establecida por el artículo 15 de la Ley 21.331 de 2021 que indica la necesidad de contar con un informe favorable del comité de ética del establecimiento</w:t>
      </w:r>
      <w:r>
        <w:rPr>
          <w:rStyle w:val="None"/>
          <w:vertAlign w:val="superscript"/>
        </w:rPr>
        <w:footnoteReference w:id="569"/>
      </w:r>
      <w:r>
        <w:rPr>
          <w:rFonts w:eastAsia="Arial Unicode MS" w:cs="Arial Unicode MS"/>
        </w:rPr>
        <w:t>.</w:t>
      </w:r>
    </w:p>
    <w:p w14:paraId="6EAB7296" w14:textId="77777777" w:rsidR="001A105D" w:rsidRDefault="00000000">
      <w:pPr>
        <w:pStyle w:val="NoSpacing"/>
        <w:numPr>
          <w:ilvl w:val="0"/>
          <w:numId w:val="33"/>
        </w:numPr>
      </w:pPr>
      <w:r>
        <w:rPr>
          <w:rFonts w:eastAsia="Arial Unicode MS" w:cs="Arial Unicode MS"/>
        </w:rPr>
        <w:t>En Colombia, la Corte Suprema de Justicia ha emitido la sentencia la Sentencia T-573 de 2016, que exige el acceso de las personas con discapacidad a información sobre sus derechos sexuales y reproductivos mediante apoyos y ajustes razonables. A raíz de esta sentencia, el Ministerio de Salud y Protección Social emitió la Resolución 1904 de 2017, la cual establece la formulación y obligatoriedad del uso y provisión de apoyos, ajustes razonables y salvaguardias que permiten que las personas con discapacidad reciban información sobre sus derechos sexuales y reproductivos</w:t>
      </w:r>
      <w:r>
        <w:rPr>
          <w:rStyle w:val="None"/>
          <w:vertAlign w:val="superscript"/>
        </w:rPr>
        <w:footnoteReference w:id="570"/>
      </w:r>
      <w:r>
        <w:rPr>
          <w:rFonts w:eastAsia="Arial Unicode MS" w:cs="Arial Unicode MS"/>
        </w:rPr>
        <w:t>.</w:t>
      </w:r>
    </w:p>
    <w:p w14:paraId="4257D94E" w14:textId="77777777" w:rsidR="001A105D" w:rsidRDefault="00000000">
      <w:pPr>
        <w:pStyle w:val="NoSpacing"/>
        <w:numPr>
          <w:ilvl w:val="0"/>
          <w:numId w:val="33"/>
        </w:numPr>
      </w:pPr>
      <w:r>
        <w:rPr>
          <w:rFonts w:eastAsia="Arial Unicode MS" w:cs="Arial Unicode MS"/>
        </w:rPr>
        <w:t xml:space="preserve">La Sentencia T-357 de 2023 de la Corte Constitucional </w:t>
      </w:r>
      <w:proofErr w:type="spellStart"/>
      <w:r>
        <w:rPr>
          <w:rFonts w:eastAsia="Arial Unicode MS" w:cs="Arial Unicode MS"/>
        </w:rPr>
        <w:t>colombia</w:t>
      </w:r>
      <w:proofErr w:type="spellEnd"/>
      <w:r>
        <w:rPr>
          <w:rFonts w:eastAsia="Arial Unicode MS" w:cs="Arial Unicode MS"/>
        </w:rPr>
        <w:t xml:space="preserve"> reafirmó que las personas adultas con diversidad cognitiva son plenamente capaces de decidir sobre sus derechos sexuales y reproductivos, prohibiendo que se exija autorización judicial para sustituir su voluntad por su diagnóstico. La Corte destacó la obligación de garantizar </w:t>
      </w:r>
      <w:r>
        <w:rPr>
          <w:rFonts w:eastAsia="Arial Unicode MS" w:cs="Arial Unicode MS"/>
        </w:rPr>
        <w:lastRenderedPageBreak/>
        <w:t>apoyos que permitan el ejercicio pleno de sus derechos fundamentales y la implementación de ajustes razonables, sin que estos puedan imponerse contra su voluntad. Además, subrayó que el trato diferencial debe basarse en la igualdad de oportunidades, preservando siempre la autonomía y dignidad de la persona. Esta decisión refuerza el respeto a la voluntad individual como pilar fundamental en la protección de los derechos humanos</w:t>
      </w:r>
      <w:r>
        <w:rPr>
          <w:rStyle w:val="None"/>
          <w:vertAlign w:val="superscript"/>
        </w:rPr>
        <w:footnoteReference w:id="571"/>
      </w:r>
      <w:r>
        <w:rPr>
          <w:rFonts w:eastAsia="Arial Unicode MS" w:cs="Arial Unicode MS"/>
        </w:rPr>
        <w:t>.</w:t>
      </w:r>
    </w:p>
    <w:p w14:paraId="3F386612" w14:textId="77777777" w:rsidR="001A105D" w:rsidRDefault="00000000">
      <w:pPr>
        <w:pStyle w:val="NoSpacing"/>
        <w:numPr>
          <w:ilvl w:val="0"/>
          <w:numId w:val="33"/>
        </w:numPr>
      </w:pPr>
      <w:r>
        <w:t>Por otro lado, países como Brasil</w:t>
      </w:r>
      <w:r>
        <w:rPr>
          <w:rStyle w:val="None"/>
          <w:vertAlign w:val="superscript"/>
        </w:rPr>
        <w:footnoteReference w:id="572"/>
      </w:r>
      <w:r>
        <w:t>, Chile</w:t>
      </w:r>
      <w:r>
        <w:rPr>
          <w:rStyle w:val="None"/>
          <w:vertAlign w:val="superscript"/>
        </w:rPr>
        <w:footnoteReference w:id="573"/>
      </w:r>
      <w:r>
        <w:t>, Ecuador</w:t>
      </w:r>
      <w:r>
        <w:rPr>
          <w:rStyle w:val="None"/>
          <w:vertAlign w:val="superscript"/>
        </w:rPr>
        <w:footnoteReference w:id="574"/>
      </w:r>
      <w:r>
        <w:t>, Honduras</w:t>
      </w:r>
      <w:r>
        <w:rPr>
          <w:rStyle w:val="None"/>
          <w:vertAlign w:val="superscript"/>
        </w:rPr>
        <w:footnoteReference w:id="575"/>
      </w:r>
      <w:r>
        <w:t xml:space="preserve"> y México</w:t>
      </w:r>
      <w:r>
        <w:rPr>
          <w:rStyle w:val="None"/>
          <w:vertAlign w:val="superscript"/>
        </w:rPr>
        <w:footnoteReference w:id="576"/>
      </w:r>
      <w:r>
        <w:t xml:space="preserve"> cuentan con disposiciones específicas que restringen el otorgamiento del consentimiento libre e informado para el ejercicio de los derechos sexuales y reproductivos, permitiendo la esterilización por autorización </w:t>
      </w:r>
      <w:r>
        <w:lastRenderedPageBreak/>
        <w:t>judicial o médica en los casos de supuesta "incapacidad absoluta", lo cual impacta desproporcionadamente a niñas, adolescentes y mujeres con discapacidad intelectual o psicosocial.</w:t>
      </w:r>
    </w:p>
    <w:p w14:paraId="71B0871E" w14:textId="77777777" w:rsidR="001A105D" w:rsidRDefault="00000000">
      <w:pPr>
        <w:pStyle w:val="NoSpacing"/>
        <w:numPr>
          <w:ilvl w:val="0"/>
          <w:numId w:val="33"/>
        </w:numPr>
      </w:pPr>
      <w:r>
        <w:t>La CIDH advierte que, basándose en prejuicios sobre la "capacidad mental" y su confusión con el derecho a la capacidad jurídica, estos Estados permiten la esterilización por autorización judicial o médica en casos de supuesta "incapacidad absoluta", determinada únicamente por diagnósticos médicos. Esto afecta de manera desproporcionada a niñas, adolescentes y mujeres con discapacidad intelectual o psicosocial que puedan necesitar apoyos adicionales para expresar su voluntad.</w:t>
      </w:r>
    </w:p>
    <w:p w14:paraId="1C3C8E26" w14:textId="77777777" w:rsidR="001A105D" w:rsidRDefault="001A105D">
      <w:pPr>
        <w:pStyle w:val="Heading"/>
      </w:pPr>
    </w:p>
    <w:p w14:paraId="5A261235" w14:textId="77777777" w:rsidR="001A105D" w:rsidRDefault="00000000">
      <w:pPr>
        <w:pStyle w:val="Body"/>
      </w:pPr>
      <w:r>
        <w:rPr>
          <w:rStyle w:val="None"/>
          <w:rFonts w:ascii="Arial Unicode MS" w:eastAsia="Arial Unicode MS" w:hAnsi="Arial Unicode MS" w:cs="Arial Unicode MS"/>
          <w:sz w:val="20"/>
          <w:szCs w:val="20"/>
        </w:rPr>
        <w:br w:type="page"/>
      </w:r>
    </w:p>
    <w:p w14:paraId="01956342" w14:textId="08F68CC5" w:rsidR="001A105D" w:rsidRDefault="00000000">
      <w:pPr>
        <w:pStyle w:val="Heading2"/>
        <w:numPr>
          <w:ilvl w:val="0"/>
          <w:numId w:val="100"/>
        </w:numPr>
      </w:pPr>
      <w:bookmarkStart w:id="31" w:name="ConclusionesYRecomendaciones"/>
      <w:bookmarkStart w:id="32" w:name="_Toc28"/>
      <w:bookmarkEnd w:id="31"/>
      <w:r>
        <w:rPr>
          <w:rFonts w:eastAsia="Arial Unicode MS" w:cs="Arial Unicode MS"/>
        </w:rPr>
        <w:lastRenderedPageBreak/>
        <w:t>CONCLUSIONES Y RECOMENDACIONES</w:t>
      </w:r>
      <w:bookmarkEnd w:id="32"/>
    </w:p>
    <w:p w14:paraId="5B0D92F2" w14:textId="77777777" w:rsidR="001A105D" w:rsidRDefault="00000000">
      <w:pPr>
        <w:pStyle w:val="NoSpacing"/>
        <w:numPr>
          <w:ilvl w:val="0"/>
          <w:numId w:val="33"/>
        </w:numPr>
      </w:pPr>
      <w:r>
        <w:rPr>
          <w:rFonts w:eastAsia="Arial Unicode MS" w:cs="Arial Unicode MS"/>
        </w:rPr>
        <w:t xml:space="preserve">La Comisión Interamericana destaca que las personas con discapacidad en las Américas enfrentan un proceso de desigualdad y exclusión históricos que consiste en dinámicas sociales e institucionales, reflejada en leyes y políticas públicas que impiden el acceso y ejercicio efectivo de sus derechos. Estas barreras son consecuencia de la discriminación estructural que concibe la discapacidad como “patologías” individuales de cuerpos divergentes que deberían, de alguna forma, ser “reparados” o apartados. </w:t>
      </w:r>
    </w:p>
    <w:p w14:paraId="32CB420E" w14:textId="77777777" w:rsidR="001A105D" w:rsidRDefault="00000000">
      <w:pPr>
        <w:pStyle w:val="NoSpacing"/>
        <w:numPr>
          <w:ilvl w:val="0"/>
          <w:numId w:val="33"/>
        </w:numPr>
      </w:pPr>
      <w:r>
        <w:rPr>
          <w:rFonts w:eastAsia="Arial Unicode MS" w:cs="Arial Unicode MS"/>
        </w:rPr>
        <w:t xml:space="preserve">En los últimos años, en los Estados de las Américas se han registrado importantes progresos en el reconocimiento de los derechos de las personas con discapacidad, mediante la adopción de medidas legislativas en línea con el marco jurídico internacional de la Convención sobre los Derechos de las Personas con Discapacidad y de la Convención Interamericana para la Eliminación de Todas las Formas de Discriminación contra las Personas con Discapacidad, así como de sus interpretaciones. De esta manera, se ha avanzado en considerar a estas personas como sujetas de derechos y la discapacidad como una construcción social de acuerdo con el modelo social y de derechos humanos. </w:t>
      </w:r>
    </w:p>
    <w:p w14:paraId="3AB1E6DB" w14:textId="77777777" w:rsidR="001A105D" w:rsidRDefault="00000000">
      <w:pPr>
        <w:pStyle w:val="NoSpacing"/>
        <w:numPr>
          <w:ilvl w:val="0"/>
          <w:numId w:val="33"/>
        </w:numPr>
      </w:pPr>
      <w:r>
        <w:t xml:space="preserve">A pesar de los avances en políticas educativas, inclusión laboral, reformas legales y políticas de salud, persiste en muchos países una concepción de discapacidad arraigada en el modelo médico, que se centra en diagnósticos individuales estigmatizantes y </w:t>
      </w:r>
      <w:proofErr w:type="spellStart"/>
      <w:r>
        <w:t>subvalorativos</w:t>
      </w:r>
      <w:proofErr w:type="spellEnd"/>
      <w:r>
        <w:t xml:space="preserve">. Las leyes y políticas públicas reflejan una mezcla confusa de este modelo médico y el modelo social, que promueve la inclusión y la igualdad de derechos. </w:t>
      </w:r>
      <w:r>
        <w:lastRenderedPageBreak/>
        <w:t>Aunque se han realizado reformas, los avances siguen siendo dispersos y no logran superar por completo los estereotipos socioculturales arraigados en el paradigma médico.</w:t>
      </w:r>
    </w:p>
    <w:p w14:paraId="55F23C3E" w14:textId="77777777" w:rsidR="001A105D" w:rsidRDefault="00000000">
      <w:pPr>
        <w:pStyle w:val="NoSpacing"/>
        <w:numPr>
          <w:ilvl w:val="0"/>
          <w:numId w:val="33"/>
        </w:numPr>
      </w:pPr>
      <w:r>
        <w:rPr>
          <w:rFonts w:eastAsia="Arial Unicode MS" w:cs="Arial Unicode MS"/>
        </w:rPr>
        <w:t>Asimismo, se observa una falta en los marcos legales de los Estados al no reconocer la discapacidad como una categoría protegida contra la discriminación y al no considerar la negación de ajustes razonables como actos discriminatorios. La sensibilización sobre el cambio de paradigma en la percepción de la discapacidad es una obligación pendiente para la mayoría de los Estados, tanto en legislación como en políticas públicas, dirigida tanto a la población en general como a las autoridades y tomadores de decisiones. La discapacidad no se integra adecuadamente en todas las áreas de la política pública, a diferencia de la variable de género, y la responsabilidad sobre este tema suele recaer en una sola institución gubernamental. Esta situación afecta directamente la garantía del derecho a la igualdad y no discriminación de estas personas.</w:t>
      </w:r>
    </w:p>
    <w:p w14:paraId="48FE0AD0" w14:textId="77777777" w:rsidR="001A105D" w:rsidRDefault="00000000">
      <w:pPr>
        <w:pStyle w:val="NoSpacing"/>
        <w:numPr>
          <w:ilvl w:val="0"/>
          <w:numId w:val="33"/>
        </w:numPr>
      </w:pPr>
      <w:r>
        <w:rPr>
          <w:rFonts w:eastAsia="Arial Unicode MS" w:cs="Arial Unicode MS"/>
        </w:rPr>
        <w:t xml:space="preserve">Aunque los Estados han progresado en alinear sus legislaciones internas con estándares internacionales en derechos humanos para las personas con discapacidad, la Comisión destaca la necesidad de una transversalización más amplia de estos esfuerzos en todos los ámbitos legales y políticos que afectan los derechos de este grupo. No basta con focalizarse en unas pocas leyes temáticas; es crucial que la armonización se extienda a todos los aspectos civiles, políticos, económicos, sociales y culturales. </w:t>
      </w:r>
    </w:p>
    <w:p w14:paraId="54F1A3CE" w14:textId="77777777" w:rsidR="001A105D" w:rsidRDefault="00000000">
      <w:pPr>
        <w:pStyle w:val="NoSpacing"/>
        <w:numPr>
          <w:ilvl w:val="0"/>
          <w:numId w:val="33"/>
        </w:numPr>
      </w:pPr>
      <w:r>
        <w:rPr>
          <w:rFonts w:eastAsia="Arial Unicode MS" w:cs="Arial Unicode MS"/>
        </w:rPr>
        <w:t xml:space="preserve">La Comisión señala que, a pesar de la existencia de leyes que reconocen derechos como el consentimiento informado, la coexistencia de normativas que restringen este derecho, como </w:t>
      </w:r>
      <w:r>
        <w:rPr>
          <w:rFonts w:eastAsia="Arial Unicode MS" w:cs="Arial Unicode MS"/>
        </w:rPr>
        <w:lastRenderedPageBreak/>
        <w:t xml:space="preserve">las leyes de salud mental y los códigos civiles, impide el pleno ejercicio de los derechos humanos de las personas con discapacidad y obstaculiza la plena conformidad con los estándares internacionales. Es esencial abordar esta discrepancia para garantizar la igualdad y la plena protección de los derechos de este sector de la población. </w:t>
      </w:r>
    </w:p>
    <w:p w14:paraId="5525F24C" w14:textId="77777777" w:rsidR="001A105D" w:rsidRDefault="00000000">
      <w:pPr>
        <w:pStyle w:val="NoSpacing"/>
        <w:numPr>
          <w:ilvl w:val="0"/>
          <w:numId w:val="33"/>
        </w:numPr>
      </w:pPr>
      <w:r>
        <w:rPr>
          <w:rFonts w:eastAsia="Arial Unicode MS" w:cs="Arial Unicode MS"/>
        </w:rPr>
        <w:t xml:space="preserve">De esa manera, se destaca la urgencia de eliminar la ambigüedad tanto en el ámbito legislativo como en el político y programático en lo que respecta a los derechos de las personas con discapacidad. Son incompatibles leyes que reafirmen el derecho al consentimiento libre e informado, por una parte, mientras coexisten las figuras de la interdicción y la curatela, por la otra. No se pueden garantizar derechos y mantener excepciones que se convierten en la norma tácita por la cual se guían los fallos judiciales por causa de discapacidad. Igualmente, no se puede afirmar el derecho a la capacidad jurídica de las personas con discapacidad y mantener prácticas de internación forzosa. </w:t>
      </w:r>
    </w:p>
    <w:p w14:paraId="2BCD2CFF" w14:textId="77777777" w:rsidR="001A105D" w:rsidRDefault="00000000">
      <w:pPr>
        <w:pStyle w:val="NoSpacing"/>
        <w:numPr>
          <w:ilvl w:val="0"/>
          <w:numId w:val="33"/>
        </w:numPr>
      </w:pPr>
      <w:r>
        <w:rPr>
          <w:rFonts w:eastAsia="Arial Unicode MS" w:cs="Arial Unicode MS"/>
        </w:rPr>
        <w:t>La dualidad entre los modelos genera la escasez de datos estadísticos desglosados sobre la situación de las personas con discapacidad en la región. Este grupo está ausente en informes sobre derechos económicos, sociales, culturales, respuestas estatales a desastres, infancia, adolescencia, migración, derechos indígenas, afrodescendientes, colectivo LGBTI y violencia de género. Esta carencia dificulta comprender sus necesidades y desafíos, obstaculizando la formulación de políticas efectivas. Mejorar la recopilación de datos es esencial para garantizar la inclusión de las personas con discapacidad en todos los ámbitos sociales.</w:t>
      </w:r>
    </w:p>
    <w:p w14:paraId="7943EEE0" w14:textId="77777777" w:rsidR="001A105D" w:rsidRDefault="00000000">
      <w:pPr>
        <w:pStyle w:val="NoSpacing"/>
        <w:numPr>
          <w:ilvl w:val="0"/>
          <w:numId w:val="33"/>
        </w:numPr>
      </w:pPr>
      <w:r>
        <w:rPr>
          <w:rFonts w:eastAsia="Arial Unicode MS" w:cs="Arial Unicode MS"/>
        </w:rPr>
        <w:lastRenderedPageBreak/>
        <w:t>A su vez, la CIDH reconoce que el derecho a la accesibilidad es fundamental para garantizar los demás derechos humanos de las personas con discapacidad. La discriminación que enfrentan radica en las barreras físicas en entornos urbanos y rurales, así como en el transporte, comunicaciones, educación, trabajo, salud, justicia y participación política, entre otros. También se enfrentan a barreras actitudinales debido a estereotipos y prejuicios. La accesibilidad como principio transversal y como derecho específico implica modificar el entorno para eliminar estas barreras y permitir que las personas con discapacidad ejerzan sus derechos en igualdad de condiciones. Sin acceso igualitario a todos los ámbitos de la vida, la inclusión y el ejercicio de derechos son imposibles.</w:t>
      </w:r>
    </w:p>
    <w:p w14:paraId="3E300914" w14:textId="77777777" w:rsidR="001A105D" w:rsidRDefault="00000000">
      <w:pPr>
        <w:pStyle w:val="NoSpacing"/>
        <w:numPr>
          <w:ilvl w:val="0"/>
          <w:numId w:val="33"/>
        </w:numPr>
      </w:pPr>
      <w:r>
        <w:rPr>
          <w:rFonts w:eastAsia="Arial Unicode MS" w:cs="Arial Unicode MS"/>
        </w:rPr>
        <w:t>Si bien el derecho a la accesibilidad se considera progresivo, los Estados no pueden postergar su implementación ni desvincularse de proporcionarla. La mayoría de los Estados de la región aún no han recopilado datos desglosados para identificar y abordar las barreras de accesibilidad que enfrentan las personas con discapacidad en todos los ámbitos. Se requieren estrategias y mecanismos para adoptar planes de acción con plazos y responsabilidades específicas de las autoridades. Además, se necesita un sistema de revisión periódica del progreso y sanciones por incumplimiento. La falta de asignación presupuestaria y recursos humanos y materiales también obstaculiza su implementación.</w:t>
      </w:r>
    </w:p>
    <w:p w14:paraId="53D907ED" w14:textId="77777777" w:rsidR="001A105D" w:rsidRDefault="00000000">
      <w:pPr>
        <w:pStyle w:val="NoSpacing"/>
        <w:numPr>
          <w:ilvl w:val="0"/>
          <w:numId w:val="33"/>
        </w:numPr>
      </w:pPr>
      <w:r>
        <w:rPr>
          <w:rFonts w:eastAsia="Arial Unicode MS" w:cs="Arial Unicode MS"/>
        </w:rPr>
        <w:t xml:space="preserve">Adicionalmente, las personas con discapacidad de la región aún enfrentan grandes desafíos para participar plenamente en procesos político-electorales debido a barreras legales, de accesibilidad, de igualdad de oportunidades y actitudinales. Existe una brecha estructural de desigualdad que dificulta su </w:t>
      </w:r>
      <w:r>
        <w:rPr>
          <w:rFonts w:eastAsia="Arial Unicode MS" w:cs="Arial Unicode MS"/>
        </w:rPr>
        <w:lastRenderedPageBreak/>
        <w:t>participación en igualdad de condiciones, a menos que se implementen medidas afirmativas claras para garantizarla. Estas barreras impiden que las personas con discapacidad ejerzan su derecho a la participación política de manera efectiva, lo que subraya la necesidad urgente de políticas y acciones específicas para promover su inclusión en estos procesos democráticos.</w:t>
      </w:r>
    </w:p>
    <w:p w14:paraId="4811E9C3" w14:textId="77777777" w:rsidR="001A105D" w:rsidRDefault="00000000">
      <w:pPr>
        <w:pStyle w:val="NoSpacing"/>
        <w:numPr>
          <w:ilvl w:val="0"/>
          <w:numId w:val="33"/>
        </w:numPr>
      </w:pPr>
      <w:r>
        <w:rPr>
          <w:rFonts w:eastAsia="Arial Unicode MS" w:cs="Arial Unicode MS"/>
        </w:rPr>
        <w:t>A lo anterior, se suma que la mayoría de los procesos de consulta de los Estados con organizaciones de personas con discapacidad sobre el diseño y toma de decisiones en leyes y políticas públicas, cuando ocurren, carecen de vinculación y suelen llevarse a cabo en etapas avanzadas, lo que los hace poco efectivos. Esta falta de consulta genuina y vinculante priva a las personas con discapacidad de una participación significativa en la formulación de políticas que afectan directamente sus vidas, lo que subraya la necesidad de una mayor inclusión y consideración de sus perspectivas en todo el proceso de toma de decisiones.</w:t>
      </w:r>
    </w:p>
    <w:p w14:paraId="7241AF6F" w14:textId="77777777" w:rsidR="001A105D" w:rsidRDefault="00000000">
      <w:pPr>
        <w:pStyle w:val="NoSpacing"/>
        <w:numPr>
          <w:ilvl w:val="0"/>
          <w:numId w:val="33"/>
        </w:numPr>
      </w:pPr>
      <w:r>
        <w:rPr>
          <w:rFonts w:eastAsia="Arial Unicode MS" w:cs="Arial Unicode MS"/>
        </w:rPr>
        <w:t xml:space="preserve">En especial, las mujeres con discapacidad enfrentan una discriminación interseccional que afecta especialmente sus derechos sexuales, reproductivos y la prevención de la violencia de género. Estigmas, prejuicios y barreras de accesibilidad limitan su acceso a educación sexual, programas de prevención de violencia, canales de denuncia y atención médica, y desconocen su derecho al consentimiento informado. Aunado a eso, la escasez de medidas legales, políticas y programas adaptados a las necesidades de las mujeres y niñas con discapacidad, tanto en términos transversales como diferenciales, se las expone a la discriminación y violencia. </w:t>
      </w:r>
    </w:p>
    <w:p w14:paraId="5CF42E1B" w14:textId="77777777" w:rsidR="001A105D" w:rsidRDefault="00000000">
      <w:pPr>
        <w:pStyle w:val="NoSpacing"/>
        <w:numPr>
          <w:ilvl w:val="0"/>
          <w:numId w:val="33"/>
        </w:numPr>
      </w:pPr>
      <w:r>
        <w:lastRenderedPageBreak/>
        <w:t>La denegación de la capacidad jurídica, el acceso y el aprendizaje de la lengua de señas para mujeres sordas, así como la falta de apoyo técnico y humano, y el estigma asociado a la discapacidad que les despoja de sus roles de género, constituyen formas de violencia contra las mujeres con discapacidad, que a menudo pasan desapercibidas. Esta violencia puede provenir de la familia, personal de apoyo o instituciones estatales. La exclusión de estas mujeres de políticas, programas, estadísticas y reportes también es una forma de violencia. Es esencial que los Estados reconozcan y aborden estas formas de violencia para garantizar la igualdad de derechos y oportunidades para todas las mujeres con discapacidad.</w:t>
      </w:r>
    </w:p>
    <w:p w14:paraId="1E99BA85" w14:textId="77777777" w:rsidR="001A105D" w:rsidRDefault="00000000">
      <w:pPr>
        <w:pStyle w:val="NoSpacing"/>
        <w:numPr>
          <w:ilvl w:val="0"/>
          <w:numId w:val="33"/>
        </w:numPr>
      </w:pPr>
      <w:r>
        <w:t>En cuanto a la educación, a pesar de que la mayoría de los países de la región han reconocido la educación inclusiva como un derecho para las personas con discapacidad, el modelo predominante sigue siendo la educación especial. En algunos casos, coexiste con un modelo "inclusivo" que apenas se transforma para la inclusión real, o se considera como último recurso cuando el estudiante no se adapta al modelo ordinario. Esto obliga a las personas con discapacidad a adaptarse al sistema en lugar de lo contrario, lo que contradice el verdadero concepto de inclusión. La Comisión subraya que mientras exista un sistema educativo "especial" paralelo, no se logrará transformar el sistema educativo regular en uno inclusivo que atienda a la diversidad de todos los estudiantes en un espacio social compartido, con apoyo multidisciplinario adecuado.</w:t>
      </w:r>
    </w:p>
    <w:p w14:paraId="0A954BB3" w14:textId="77777777" w:rsidR="001A105D" w:rsidRDefault="00000000">
      <w:pPr>
        <w:pStyle w:val="NoSpacing"/>
        <w:numPr>
          <w:ilvl w:val="0"/>
          <w:numId w:val="33"/>
        </w:numPr>
      </w:pPr>
      <w:r>
        <w:rPr>
          <w:rFonts w:eastAsia="Arial Unicode MS" w:cs="Arial Unicode MS"/>
        </w:rPr>
        <w:t xml:space="preserve">A su vez, la falta de acceso de las personas con discapacidad a la educación inclusiva perpetúa el ciclo de pobreza para grupos históricamente discriminados, ya que el acceso al </w:t>
      </w:r>
      <w:r>
        <w:rPr>
          <w:rFonts w:eastAsia="Arial Unicode MS" w:cs="Arial Unicode MS"/>
        </w:rPr>
        <w:lastRenderedPageBreak/>
        <w:t>mercado laboral depende en gran medida de la formación académica y de medidas de accesibilidad en los procesos de contratación y en los lugares de trabajo. Las acciones afirmativas, como las cuotas laborales, están condicionadas a la creación de un entorno laboral adecuado para que las personas con discapacidad puedan postularse y trabajar en igualdad de condiciones. Además, se observa una brecha en la capacitación técnico-profesional y en el acceso a la educación superior para las personas con discapacidad, así como una falta de formación sobre el modelo social de la discapacidad y el derecho al trabajo en igualdad para prevenir la discriminación en el entorno laboral.</w:t>
      </w:r>
    </w:p>
    <w:p w14:paraId="1C85BB2A" w14:textId="77777777" w:rsidR="001A105D" w:rsidRDefault="00000000">
      <w:pPr>
        <w:pStyle w:val="NoSpacing"/>
        <w:numPr>
          <w:ilvl w:val="0"/>
          <w:numId w:val="33"/>
        </w:numPr>
      </w:pPr>
      <w:r>
        <w:rPr>
          <w:rFonts w:eastAsia="Arial Unicode MS" w:cs="Arial Unicode MS"/>
        </w:rPr>
        <w:t xml:space="preserve">La Comisión Interamericana subraya que el reconocimiento del derecho al ejercicio pleno de la capacidad jurídica, junto con el acceso a los apoyos necesarios y las salvaguardias adecuadas, es fundamental para garantizar otros derechos humanos de las personas con discapacidad. Estos incluyen la libertad, seguridad e integridad personal, el acceso a la salud, los derechos sexuales y reproductivos, la vida independiente, la inclusión en la comunidad, los derechos político-electorales, la educación inclusiva y el empleo digno, entre otros. </w:t>
      </w:r>
    </w:p>
    <w:p w14:paraId="516A0962" w14:textId="77777777" w:rsidR="001A105D" w:rsidRDefault="00000000">
      <w:pPr>
        <w:pStyle w:val="NoSpacing"/>
        <w:numPr>
          <w:ilvl w:val="0"/>
          <w:numId w:val="33"/>
        </w:numPr>
      </w:pPr>
      <w:r>
        <w:rPr>
          <w:rFonts w:eastAsia="Arial Unicode MS" w:cs="Arial Unicode MS"/>
        </w:rPr>
        <w:t>La invisibilidad histórica de las personas con discapacidad, la falta de comprensión del cambio de paradigma hacia un enfoque de derechos humanos, la escasez de recursos para sistemas de apoyo y salvaguardias, y la falta de capacitación continua son obstáculos clave para lograr un modelo efectivo de toma de decisiones con apoyos.</w:t>
      </w:r>
    </w:p>
    <w:p w14:paraId="6BF6C73F" w14:textId="77777777" w:rsidR="001A105D" w:rsidRDefault="00000000">
      <w:pPr>
        <w:pStyle w:val="NoSpacing"/>
        <w:numPr>
          <w:ilvl w:val="0"/>
          <w:numId w:val="33"/>
        </w:numPr>
      </w:pPr>
      <w:r>
        <w:rPr>
          <w:rFonts w:eastAsia="Arial Unicode MS" w:cs="Arial Unicode MS"/>
        </w:rPr>
        <w:t xml:space="preserve">Finalmente, la Comisión Interamericana reconoce que aún persiste un largo camino para garantizar a las personas con </w:t>
      </w:r>
      <w:r>
        <w:rPr>
          <w:rFonts w:eastAsia="Arial Unicode MS" w:cs="Arial Unicode MS"/>
        </w:rPr>
        <w:lastRenderedPageBreak/>
        <w:t>discapacidad sus derechos humanos. Para esto, se necesita un enfoque integral en leyes y políticas públicas para eliminar la desigualdad estructural que les impide ejercer sus derechos en igualdad. En ese sentido, la CIDH se compromete a brindar apoyo técnico a los Estados para avanzar en este proceso hacia la implementación practica y efectiva de los estándares interamericanos en la materia.</w:t>
      </w:r>
    </w:p>
    <w:p w14:paraId="7546A323" w14:textId="77777777" w:rsidR="001A105D" w:rsidRDefault="001A105D">
      <w:pPr>
        <w:pStyle w:val="NoSpacing"/>
        <w:rPr>
          <w:rFonts w:ascii="Helvetica LT Std Bold" w:eastAsia="Helvetica LT Std Bold" w:hAnsi="Helvetica LT Std Bold" w:cs="Helvetica LT Std Bold"/>
        </w:rPr>
      </w:pPr>
    </w:p>
    <w:p w14:paraId="31ED5B3E" w14:textId="77777777" w:rsidR="001A105D" w:rsidRDefault="00000000">
      <w:pPr>
        <w:pStyle w:val="NoSpacing"/>
        <w:rPr>
          <w:rFonts w:ascii="Helvetica LT Std Bold" w:eastAsia="Helvetica LT Std Bold" w:hAnsi="Helvetica LT Std Bold" w:cs="Helvetica LT Std Bold"/>
          <w:color w:val="22527C"/>
        </w:rPr>
      </w:pPr>
      <w:r>
        <w:rPr>
          <w:rFonts w:ascii="Helvetica LT Std Bold" w:hAnsi="Helvetica LT Std Bold"/>
          <w:color w:val="22527C"/>
        </w:rPr>
        <w:t xml:space="preserve">RECOMENDACIONES </w:t>
      </w:r>
    </w:p>
    <w:p w14:paraId="79D23828" w14:textId="77777777" w:rsidR="001A105D" w:rsidRDefault="00000000">
      <w:pPr>
        <w:pStyle w:val="NoSpacing"/>
        <w:numPr>
          <w:ilvl w:val="0"/>
          <w:numId w:val="101"/>
        </w:numPr>
      </w:pPr>
      <w:r>
        <w:rPr>
          <w:rFonts w:eastAsia="Arial Unicode MS" w:cs="Arial Unicode MS"/>
        </w:rPr>
        <w:t>Con fundamento en las atribuciones conferidas en el artículo 41.b de la Convención Americana sobre Derechos Humanos, la Comisión Interamericana formula las siguientes recomendaciones dirigidas a los Estados de la región:</w:t>
      </w:r>
    </w:p>
    <w:p w14:paraId="10C1402F" w14:textId="77777777" w:rsidR="001A105D" w:rsidRDefault="00000000">
      <w:pPr>
        <w:pStyle w:val="NoSpacing"/>
        <w:jc w:val="left"/>
        <w:rPr>
          <w:rFonts w:ascii="Helvetica LT Std Bold" w:eastAsia="Helvetica LT Std Bold" w:hAnsi="Helvetica LT Std Bold" w:cs="Helvetica LT Std Bold"/>
        </w:rPr>
      </w:pPr>
      <w:r>
        <w:rPr>
          <w:rFonts w:ascii="Helvetica LT Std Bold" w:hAnsi="Helvetica LT Std Bold"/>
        </w:rPr>
        <w:t>Adopción del Modelo Social y de Derechos Humanos y recomendaciones generales</w:t>
      </w:r>
    </w:p>
    <w:p w14:paraId="60C8030B" w14:textId="77777777" w:rsidR="001A105D" w:rsidRDefault="00000000">
      <w:pPr>
        <w:pStyle w:val="NoSpacing"/>
        <w:numPr>
          <w:ilvl w:val="0"/>
          <w:numId w:val="102"/>
        </w:numPr>
      </w:pPr>
      <w:r>
        <w:rPr>
          <w:rFonts w:eastAsia="Arial Unicode MS" w:cs="Arial Unicode MS"/>
        </w:rPr>
        <w:t>Implementar el modelo social y de derechos humanos de manera integral en las leyes, normativas, decisiones judiciales y políticas públicas relacionadas con la discapacidad.</w:t>
      </w:r>
    </w:p>
    <w:p w14:paraId="7429B122" w14:textId="77777777" w:rsidR="001A105D" w:rsidRDefault="00000000">
      <w:pPr>
        <w:pStyle w:val="NoSpacing"/>
        <w:numPr>
          <w:ilvl w:val="0"/>
          <w:numId w:val="33"/>
        </w:numPr>
      </w:pPr>
      <w:r>
        <w:rPr>
          <w:rFonts w:eastAsia="Arial Unicode MS" w:cs="Arial Unicode MS"/>
        </w:rPr>
        <w:t>Establecer los mecanismos necesarios y efectivos para prevenir, investigar y sancionar cualquier violación a los derechos de las personas con discapacidad.</w:t>
      </w:r>
    </w:p>
    <w:p w14:paraId="7E7D5404" w14:textId="77777777" w:rsidR="001A105D" w:rsidRDefault="00000000">
      <w:pPr>
        <w:pStyle w:val="NoSpacing"/>
        <w:numPr>
          <w:ilvl w:val="0"/>
          <w:numId w:val="33"/>
        </w:numPr>
      </w:pPr>
      <w:r>
        <w:rPr>
          <w:rFonts w:eastAsia="Arial Unicode MS" w:cs="Arial Unicode MS"/>
        </w:rPr>
        <w:t>Desarrollar y promulgar leyes y regulaciones claras que protejan los derechos de las personas con discapacidad, incluyendo disposiciones específicas para prevenir y sancionar violaciones.</w:t>
      </w:r>
    </w:p>
    <w:p w14:paraId="290D2899" w14:textId="77777777" w:rsidR="001A105D" w:rsidRDefault="00000000">
      <w:pPr>
        <w:pStyle w:val="NoSpacing"/>
        <w:numPr>
          <w:ilvl w:val="0"/>
          <w:numId w:val="33"/>
        </w:numPr>
      </w:pPr>
      <w:r>
        <w:rPr>
          <w:rFonts w:eastAsia="Arial Unicode MS" w:cs="Arial Unicode MS"/>
        </w:rPr>
        <w:lastRenderedPageBreak/>
        <w:t>Crear unidades especializadas dentro de los organismos encargados de hacer cumplir la ley para investigar y responder a denuncias de violaciones de derechos de las personas con discapacidad.</w:t>
      </w:r>
    </w:p>
    <w:p w14:paraId="78DB34E5" w14:textId="77777777" w:rsidR="001A105D" w:rsidRDefault="00000000">
      <w:pPr>
        <w:pStyle w:val="NoSpacing"/>
        <w:numPr>
          <w:ilvl w:val="0"/>
          <w:numId w:val="33"/>
        </w:numPr>
      </w:pPr>
      <w:r>
        <w:rPr>
          <w:rFonts w:eastAsia="Arial Unicode MS" w:cs="Arial Unicode MS"/>
        </w:rPr>
        <w:t>Establecer canales de denuncia accesibles y confidenciales para que las personas con discapacidad y sus familias puedan reportar casos de violación de derechos.</w:t>
      </w:r>
    </w:p>
    <w:p w14:paraId="0C8921B1" w14:textId="77777777" w:rsidR="001A105D" w:rsidRDefault="00000000">
      <w:pPr>
        <w:pStyle w:val="NoSpacing"/>
        <w:numPr>
          <w:ilvl w:val="0"/>
          <w:numId w:val="33"/>
        </w:numPr>
      </w:pPr>
      <w:r>
        <w:rPr>
          <w:rFonts w:eastAsia="Arial Unicode MS" w:cs="Arial Unicode MS"/>
        </w:rPr>
        <w:t>Capacitar a los funcionarios encargados de hacer cumplir la ley y a los profesionales de la justicia en la identificación y manejo adecuado de casos relacionados con violaciones de derechos de las personas con discapacidad.</w:t>
      </w:r>
    </w:p>
    <w:p w14:paraId="03DE3761" w14:textId="77777777" w:rsidR="001A105D" w:rsidRDefault="00000000">
      <w:pPr>
        <w:pStyle w:val="NoSpacing"/>
        <w:numPr>
          <w:ilvl w:val="0"/>
          <w:numId w:val="33"/>
        </w:numPr>
      </w:pPr>
      <w:r>
        <w:rPr>
          <w:rFonts w:eastAsia="Arial Unicode MS" w:cs="Arial Unicode MS"/>
        </w:rPr>
        <w:t>Designar recursos adecuados para la implementación efectiva de los mecanismos de prevención, investigación y sanción de violaciones de derechos de las personas con discapacidad.</w:t>
      </w:r>
    </w:p>
    <w:p w14:paraId="7EFF40ED" w14:textId="77777777" w:rsidR="001A105D" w:rsidRDefault="00000000">
      <w:pPr>
        <w:pStyle w:val="NoSpacing"/>
        <w:rPr>
          <w:rFonts w:ascii="Helvetica LT Std Bold" w:eastAsia="Helvetica LT Std Bold" w:hAnsi="Helvetica LT Std Bold" w:cs="Helvetica LT Std Bold"/>
        </w:rPr>
      </w:pPr>
      <w:r>
        <w:rPr>
          <w:rFonts w:ascii="Helvetica LT Std Bold" w:hAnsi="Helvetica LT Std Bold"/>
        </w:rPr>
        <w:t>Igualdad y no Discriminación</w:t>
      </w:r>
    </w:p>
    <w:p w14:paraId="216AC93F" w14:textId="77777777" w:rsidR="001A105D" w:rsidRDefault="00000000">
      <w:pPr>
        <w:pStyle w:val="NoSpacing"/>
        <w:numPr>
          <w:ilvl w:val="0"/>
          <w:numId w:val="33"/>
        </w:numPr>
      </w:pPr>
      <w:r>
        <w:rPr>
          <w:rFonts w:eastAsia="Arial Unicode MS" w:cs="Arial Unicode MS"/>
        </w:rPr>
        <w:t>Adoptar medidas para asegurar que la igualdad y la no discriminación sean principios fundamentales que atraviesen todas las esferas de la vida social, política, económica, cultural y ambiental de las personas con discapacidad.</w:t>
      </w:r>
    </w:p>
    <w:p w14:paraId="18B74730" w14:textId="77777777" w:rsidR="001A105D" w:rsidRDefault="00000000">
      <w:pPr>
        <w:pStyle w:val="NoSpacing"/>
        <w:numPr>
          <w:ilvl w:val="0"/>
          <w:numId w:val="33"/>
        </w:numPr>
      </w:pPr>
      <w:r>
        <w:rPr>
          <w:rFonts w:eastAsia="Arial Unicode MS" w:cs="Arial Unicode MS"/>
        </w:rPr>
        <w:t xml:space="preserve">Reformar o derogar legislaciones que caracterizan la discapacidad de manera discriminatoria, especialmente aquellas que la consideran como una enfermedad, que asimilan patología o deficiencia como sustantivo o adjetivo de la definición y valor de la persona misma, que justifican prácticas de prescindencia, eugenesia y de anulación del derecho al consentimiento libre e informado, o ponen obstáculos para el </w:t>
      </w:r>
      <w:r>
        <w:rPr>
          <w:rFonts w:eastAsia="Arial Unicode MS" w:cs="Arial Unicode MS"/>
        </w:rPr>
        <w:lastRenderedPageBreak/>
        <w:t>pleno ejercicio de los derechos, con el fin de promover un marco legal inclusivo y respetuoso de los derechos humanos de las personas con discapacidad en igualdad básica con todas las demás personas.</w:t>
      </w:r>
    </w:p>
    <w:p w14:paraId="4A32B2FC" w14:textId="77777777" w:rsidR="001A105D" w:rsidRDefault="00000000">
      <w:pPr>
        <w:pStyle w:val="NoSpacing"/>
        <w:numPr>
          <w:ilvl w:val="0"/>
          <w:numId w:val="33"/>
        </w:numPr>
      </w:pPr>
      <w:r>
        <w:rPr>
          <w:rFonts w:eastAsia="Arial Unicode MS" w:cs="Arial Unicode MS"/>
        </w:rPr>
        <w:t>Establecer medidas para prohibir y sancionar prácticas perjudiciales que generen discriminación tanto en el ámbito público como en el privado, con el objetivo de salvaguardar los derechos de las personas con discapacidad y promover la igualdad de oportunidades.</w:t>
      </w:r>
    </w:p>
    <w:p w14:paraId="16095061" w14:textId="77777777" w:rsidR="001A105D" w:rsidRDefault="00000000">
      <w:pPr>
        <w:pStyle w:val="NoSpacing"/>
        <w:numPr>
          <w:ilvl w:val="0"/>
          <w:numId w:val="33"/>
        </w:numPr>
      </w:pPr>
      <w:r>
        <w:rPr>
          <w:rFonts w:eastAsia="Arial Unicode MS" w:cs="Arial Unicode MS"/>
        </w:rPr>
        <w:t>Implementar políticas públicas con medidas afirmativas para reducir las desigualdades históricas que enfrentan las personas con discapacidad.</w:t>
      </w:r>
    </w:p>
    <w:p w14:paraId="7E5D631D" w14:textId="77777777" w:rsidR="001A105D" w:rsidRDefault="00000000">
      <w:pPr>
        <w:pStyle w:val="NoSpacing"/>
        <w:numPr>
          <w:ilvl w:val="0"/>
          <w:numId w:val="33"/>
        </w:numPr>
      </w:pPr>
      <w:r>
        <w:rPr>
          <w:rFonts w:eastAsia="Arial Unicode MS" w:cs="Arial Unicode MS"/>
        </w:rPr>
        <w:t xml:space="preserve">Implementar un programa de capacitación continua para el personal público de los sectores de educación, salud, justicia, protección social, empleo, judicial y fuerzas de seguridad sobre los derechos de las personas con discapacidad, basado en el modelo social y de derechos humanos. </w:t>
      </w:r>
    </w:p>
    <w:p w14:paraId="5FB0537B" w14:textId="77777777" w:rsidR="001A105D" w:rsidRDefault="00000000">
      <w:pPr>
        <w:pStyle w:val="NoSpacing"/>
        <w:numPr>
          <w:ilvl w:val="0"/>
          <w:numId w:val="33"/>
        </w:numPr>
      </w:pPr>
      <w:r>
        <w:rPr>
          <w:rFonts w:eastAsia="Arial Unicode MS" w:cs="Arial Unicode MS"/>
        </w:rPr>
        <w:t xml:space="preserve">Establecer un protocolo de actuación para asegurar el cumplimiento del estándar de debida diligencia en la prevención, investigación, sanción y reparación de casos de discriminación y violencia hacia personas con discapacidad. </w:t>
      </w:r>
    </w:p>
    <w:p w14:paraId="0A7F90F2" w14:textId="77777777" w:rsidR="001A105D" w:rsidRDefault="00000000">
      <w:pPr>
        <w:pStyle w:val="NoSpacing"/>
        <w:numPr>
          <w:ilvl w:val="0"/>
          <w:numId w:val="33"/>
        </w:numPr>
      </w:pPr>
      <w:r>
        <w:t>Incluir indicadores específicos para medir la eficacia de las acciones tomadas en cada etapa del proceso, así como plazos definidos para su implementación y evaluación periódica de resultados.</w:t>
      </w:r>
    </w:p>
    <w:p w14:paraId="5AE83FAC" w14:textId="77777777" w:rsidR="001A105D" w:rsidRDefault="00000000">
      <w:pPr>
        <w:pStyle w:val="NoSpacing"/>
        <w:numPr>
          <w:ilvl w:val="0"/>
          <w:numId w:val="33"/>
        </w:numPr>
      </w:pPr>
      <w:r>
        <w:rPr>
          <w:rFonts w:eastAsia="Arial Unicode MS" w:cs="Arial Unicode MS"/>
        </w:rPr>
        <w:lastRenderedPageBreak/>
        <w:t xml:space="preserve">Implementar legislación específica que reconozca de forma explícita a la discapacidad como un motivo prohibido de discriminación en todos los ámbitos, incluyendo leyes, normativas, decisiones judiciales y políticas públicas. </w:t>
      </w:r>
    </w:p>
    <w:p w14:paraId="1ADF8653" w14:textId="77777777" w:rsidR="001A105D" w:rsidRDefault="00000000">
      <w:pPr>
        <w:pStyle w:val="NoSpacing"/>
        <w:numPr>
          <w:ilvl w:val="0"/>
          <w:numId w:val="33"/>
        </w:numPr>
      </w:pPr>
      <w:r>
        <w:rPr>
          <w:rFonts w:eastAsia="Arial Unicode MS" w:cs="Arial Unicode MS"/>
        </w:rPr>
        <w:t xml:space="preserve">Integrar la perspectiva de la discapacidad en el análisis de los crímenes de odio, incluyendo la recolección de datos específicos sobre casos de discriminación por discapacidad. </w:t>
      </w:r>
    </w:p>
    <w:p w14:paraId="0C30D3A8" w14:textId="77777777" w:rsidR="001A105D" w:rsidRDefault="00000000">
      <w:pPr>
        <w:pStyle w:val="NoSpacing"/>
        <w:numPr>
          <w:ilvl w:val="0"/>
          <w:numId w:val="33"/>
        </w:numPr>
      </w:pPr>
      <w:r>
        <w:t xml:space="preserve">Establecer mecanismos claros y efectivos de reparación integral para las víctimas y sus familias, como compensación financiera, apoyo psicológico y acceso a servicios de rehabilitación. </w:t>
      </w:r>
    </w:p>
    <w:p w14:paraId="48347BAB" w14:textId="77777777" w:rsidR="001A105D" w:rsidRDefault="00000000">
      <w:pPr>
        <w:pStyle w:val="NoSpacing"/>
        <w:numPr>
          <w:ilvl w:val="0"/>
          <w:numId w:val="33"/>
        </w:numPr>
      </w:pPr>
      <w:r>
        <w:t>Establecer indicadores para monitorear el número de casos identificados y la efectividad de las medidas de reparación implementadas.</w:t>
      </w:r>
    </w:p>
    <w:p w14:paraId="20792C56" w14:textId="77777777" w:rsidR="001A105D" w:rsidRDefault="00000000">
      <w:pPr>
        <w:pStyle w:val="NoSpacing"/>
        <w:rPr>
          <w:rFonts w:ascii="Helvetica LT Std Bold" w:eastAsia="Helvetica LT Std Bold" w:hAnsi="Helvetica LT Std Bold" w:cs="Helvetica LT Std Bold"/>
        </w:rPr>
      </w:pPr>
      <w:r>
        <w:rPr>
          <w:rFonts w:ascii="Helvetica LT Std Bold" w:hAnsi="Helvetica LT Std Bold"/>
        </w:rPr>
        <w:t>Recolección de datos estadísticos desagregados</w:t>
      </w:r>
    </w:p>
    <w:p w14:paraId="63A69138" w14:textId="77777777" w:rsidR="001A105D" w:rsidRDefault="00000000">
      <w:pPr>
        <w:pStyle w:val="NoSpacing"/>
        <w:numPr>
          <w:ilvl w:val="0"/>
          <w:numId w:val="33"/>
        </w:numPr>
      </w:pPr>
      <w:r>
        <w:rPr>
          <w:rFonts w:eastAsia="Arial Unicode MS" w:cs="Arial Unicode MS"/>
        </w:rPr>
        <w:t>Establecer y ejecutar un plan para la producción de registros estadísticos desagregados por género, orientación sexual, identidad de género, origen étnico-racial, edad, condición socioeconómica, entre otros, utilizando las herramientas del Grupo de Washington, con el fin de lograr su comparabilidad internacional.</w:t>
      </w:r>
    </w:p>
    <w:p w14:paraId="081DF11B" w14:textId="77777777" w:rsidR="001A105D" w:rsidRDefault="00000000">
      <w:pPr>
        <w:pStyle w:val="NoSpacing"/>
        <w:numPr>
          <w:ilvl w:val="0"/>
          <w:numId w:val="33"/>
        </w:numPr>
      </w:pPr>
      <w:r>
        <w:rPr>
          <w:rFonts w:eastAsia="Arial Unicode MS" w:cs="Arial Unicode MS"/>
        </w:rPr>
        <w:t xml:space="preserve">Establecer y poner en funcionamiento un sistema formal que asegure la </w:t>
      </w:r>
      <w:proofErr w:type="gramStart"/>
      <w:r>
        <w:rPr>
          <w:rFonts w:eastAsia="Arial Unicode MS" w:cs="Arial Unicode MS"/>
        </w:rPr>
        <w:t>participación activa</w:t>
      </w:r>
      <w:proofErr w:type="gramEnd"/>
      <w:r>
        <w:rPr>
          <w:rFonts w:eastAsia="Arial Unicode MS" w:cs="Arial Unicode MS"/>
        </w:rPr>
        <w:t xml:space="preserve"> y significativa de las organizaciones representativas de personas con discapacidad en la revisión y consulta de metodologías y enfoques para la recolección de datos.</w:t>
      </w:r>
    </w:p>
    <w:p w14:paraId="7FB75187" w14:textId="77777777" w:rsidR="001A105D" w:rsidRDefault="00000000">
      <w:pPr>
        <w:pStyle w:val="NoSpacing"/>
        <w:numPr>
          <w:ilvl w:val="0"/>
          <w:numId w:val="33"/>
        </w:numPr>
      </w:pPr>
      <w:r>
        <w:lastRenderedPageBreak/>
        <w:t xml:space="preserve">Llevar a cabo estudios estadísticos cualitativos que aborden las condiciones de vida y las barreras enfrentadas por las personas con discapacidad en múltiples ámbitos, incluyendo trabajo, educación, acceso a la salud, seguridad social, acceso a la justicia, vida independiente, participación política y </w:t>
      </w:r>
      <w:r>
        <w:rPr>
          <w:rStyle w:val="None"/>
        </w:rPr>
        <w:t>electoral, y violencia de género, situación de</w:t>
      </w:r>
      <w:r>
        <w:t xml:space="preserve"> institucionalización o privación de libertad, entre otros aspectos relevantes, con el objetivo de comprender mejor sus necesidades y promover acciones específicas para mejorar su calidad de vida y proteger sus derechos.</w:t>
      </w:r>
    </w:p>
    <w:p w14:paraId="36BF9524" w14:textId="77777777" w:rsidR="001A105D" w:rsidRDefault="00000000">
      <w:pPr>
        <w:pStyle w:val="NoSpacing"/>
        <w:numPr>
          <w:ilvl w:val="0"/>
          <w:numId w:val="33"/>
        </w:numPr>
      </w:pPr>
      <w:r>
        <w:rPr>
          <w:rFonts w:eastAsia="Arial Unicode MS" w:cs="Arial Unicode MS"/>
        </w:rPr>
        <w:t>Implementar programas de capacitación continuos dirigidos al personal encargado de llevar a cabo encuestas y censos, con un enfoque específico en los derechos humanos y sociales de las personas con discapacidad, con el propósito de garantizar que las metodologías utilizadas sean inclusivas y sensibles a las necesidades de este grupo poblacional, promoviendo así la recopilación de datos más precisos y representativos.</w:t>
      </w:r>
    </w:p>
    <w:p w14:paraId="6EC94B89" w14:textId="77777777" w:rsidR="001A105D" w:rsidRDefault="00000000">
      <w:pPr>
        <w:pStyle w:val="NoSpacing"/>
        <w:jc w:val="left"/>
        <w:rPr>
          <w:rFonts w:ascii="Helvetica LT Std Bold" w:eastAsia="Helvetica LT Std Bold" w:hAnsi="Helvetica LT Std Bold" w:cs="Helvetica LT Std Bold"/>
        </w:rPr>
      </w:pPr>
      <w:r>
        <w:rPr>
          <w:rFonts w:ascii="Helvetica LT Std Bold" w:hAnsi="Helvetica LT Std Bold"/>
        </w:rPr>
        <w:t>Reconocimiento del derecho de acceso a servicios de cuidados y apoyos como herramientas para la autonomía personal y la vida independiente</w:t>
      </w:r>
    </w:p>
    <w:p w14:paraId="3B63AF38" w14:textId="77777777" w:rsidR="001A105D" w:rsidRDefault="00000000">
      <w:pPr>
        <w:pStyle w:val="NoSpacing"/>
        <w:numPr>
          <w:ilvl w:val="0"/>
          <w:numId w:val="33"/>
        </w:numPr>
      </w:pPr>
      <w:r>
        <w:rPr>
          <w:rFonts w:eastAsia="Arial Unicode MS" w:cs="Arial Unicode MS"/>
        </w:rPr>
        <w:t>Establecer políticas y normativas que reconozcan el derecho a acceder a servicios e infraestructuras de cuidado y de apoyo, que consideren el doble rol de las personas con discapacidad como cuidadoras y como receptoras de servicios de apoyo y cuidado, con base en el modelo de derechos humanos y en el artículo 19 de la CDPD, el derecho a la autonomía y a la vida independiente, y medir el cumplimiento mediante la creación de indicadores que evalúen la implementación de estas políticas y normativas en la práctica.</w:t>
      </w:r>
    </w:p>
    <w:p w14:paraId="7A45D946" w14:textId="77777777" w:rsidR="001A105D" w:rsidRDefault="00000000">
      <w:pPr>
        <w:pStyle w:val="NoSpacing"/>
        <w:numPr>
          <w:ilvl w:val="0"/>
          <w:numId w:val="33"/>
        </w:numPr>
      </w:pPr>
      <w:r>
        <w:rPr>
          <w:rFonts w:eastAsia="Arial Unicode MS" w:cs="Arial Unicode MS"/>
        </w:rPr>
        <w:lastRenderedPageBreak/>
        <w:t>Desarrollar e implementar programas y medidas específicas que fomenten la vida autónoma e independiente de las personas con discapacidad, y establecer métricas para evaluar el progreso en la implementación de estas políticas, tales como el número de personas con discapacidad que acceden a servicios de apoyo para la vida independiente y el grado de accesibilidad de entornos y servicios.</w:t>
      </w:r>
    </w:p>
    <w:p w14:paraId="64AD3BC7" w14:textId="77777777" w:rsidR="001A105D" w:rsidRDefault="00000000">
      <w:pPr>
        <w:pStyle w:val="NoSpacing"/>
        <w:numPr>
          <w:ilvl w:val="0"/>
          <w:numId w:val="33"/>
        </w:numPr>
      </w:pPr>
      <w:r>
        <w:rPr>
          <w:rFonts w:eastAsia="Arial Unicode MS" w:cs="Arial Unicode MS"/>
        </w:rPr>
        <w:t>Establecer un sistema de valoración de apoyos basados en la comunidad y en el respeto del derecho de las personas con discapacidad a decidir el tipo, condiciones y duración del apoyo requerido, en el caso que lo requiera.</w:t>
      </w:r>
    </w:p>
    <w:p w14:paraId="64DB2A1E" w14:textId="77777777" w:rsidR="001A105D" w:rsidRDefault="00000000">
      <w:pPr>
        <w:pStyle w:val="NoSpacing"/>
        <w:numPr>
          <w:ilvl w:val="0"/>
          <w:numId w:val="33"/>
        </w:numPr>
      </w:pPr>
      <w:r>
        <w:rPr>
          <w:rFonts w:eastAsia="Arial Unicode MS" w:cs="Arial Unicode MS"/>
        </w:rPr>
        <w:t>Establecer un índice anual de accesibilidad que evalúe el cumplimiento de políticas públicas, servicios e infraestructuras en términos de garantizar el acceso a servicios de apoyo para la autonomía personal de las personas con discapacidad, incluyendo su acceso a brindar cuidado y autocuidado. Este índice debe considerar la disponibilidad y accesibilidad de ayudas para la movilidad, dispositivos técnicos, asistencia humana y tecnologías de apoyo.</w:t>
      </w:r>
    </w:p>
    <w:p w14:paraId="46EB9F28" w14:textId="77777777" w:rsidR="001A105D" w:rsidRDefault="00000000">
      <w:pPr>
        <w:pStyle w:val="NoSpacing"/>
        <w:rPr>
          <w:rFonts w:ascii="Helvetica LT Std Bold" w:eastAsia="Helvetica LT Std Bold" w:hAnsi="Helvetica LT Std Bold" w:cs="Helvetica LT Std Bold"/>
        </w:rPr>
      </w:pPr>
      <w:r>
        <w:rPr>
          <w:rFonts w:ascii="Helvetica LT Std Bold" w:hAnsi="Helvetica LT Std Bold"/>
        </w:rPr>
        <w:t>Accesibilidad y eliminación de barreras</w:t>
      </w:r>
    </w:p>
    <w:p w14:paraId="5845AEB3" w14:textId="77777777" w:rsidR="001A105D" w:rsidRDefault="00000000">
      <w:pPr>
        <w:pStyle w:val="NoSpacing"/>
        <w:numPr>
          <w:ilvl w:val="0"/>
          <w:numId w:val="33"/>
        </w:numPr>
      </w:pPr>
      <w:r>
        <w:rPr>
          <w:rFonts w:eastAsia="Arial Unicode MS" w:cs="Arial Unicode MS"/>
        </w:rPr>
        <w:t>Implementar medidas legislativas y políticas públicas concretas para reducir las barreras físicas, comunicativas, actitudinales y simbólicas que obstaculizan el pleno ejercicio de los derechos de las personas con discapacidad.</w:t>
      </w:r>
    </w:p>
    <w:p w14:paraId="044BFBD2" w14:textId="77777777" w:rsidR="001A105D" w:rsidRDefault="00000000">
      <w:pPr>
        <w:pStyle w:val="NoSpacing"/>
        <w:numPr>
          <w:ilvl w:val="0"/>
          <w:numId w:val="33"/>
        </w:numPr>
      </w:pPr>
      <w:r>
        <w:rPr>
          <w:rFonts w:eastAsia="Arial Unicode MS" w:cs="Arial Unicode MS"/>
        </w:rPr>
        <w:t xml:space="preserve">Realizar un diagnóstico exhaustivo de las barreras de accesibilidad que enfrentan las personas con discapacidad, identificando áreas de mejora específicas. </w:t>
      </w:r>
    </w:p>
    <w:p w14:paraId="72086541" w14:textId="77777777" w:rsidR="001A105D" w:rsidRDefault="00000000">
      <w:pPr>
        <w:pStyle w:val="NoSpacing"/>
        <w:numPr>
          <w:ilvl w:val="0"/>
          <w:numId w:val="33"/>
        </w:numPr>
      </w:pPr>
      <w:r>
        <w:rPr>
          <w:rFonts w:eastAsia="Arial Unicode MS" w:cs="Arial Unicode MS"/>
        </w:rPr>
        <w:lastRenderedPageBreak/>
        <w:t>Desarrollar planes de acción con objetivos medibles y claros, involucrando tanto al sector público como al privado, y asegurando la inclusión de áreas rurales.</w:t>
      </w:r>
    </w:p>
    <w:p w14:paraId="472150C5" w14:textId="77777777" w:rsidR="001A105D" w:rsidRDefault="00000000">
      <w:pPr>
        <w:pStyle w:val="NoSpacing"/>
        <w:numPr>
          <w:ilvl w:val="0"/>
          <w:numId w:val="33"/>
        </w:numPr>
      </w:pPr>
      <w:r>
        <w:rPr>
          <w:rFonts w:eastAsia="Arial Unicode MS" w:cs="Arial Unicode MS"/>
        </w:rPr>
        <w:t>Establecer e implementar planes de acción con metas específicas, derivadas del diagnóstico, para garantizar el derecho a la accesibilidad en áreas críticas como la infraestructura urbana, el transporte, las comunicaciones y los sistemas de información.</w:t>
      </w:r>
    </w:p>
    <w:p w14:paraId="64246D9B" w14:textId="77777777" w:rsidR="001A105D" w:rsidRDefault="00000000">
      <w:pPr>
        <w:pStyle w:val="NoSpacing"/>
        <w:numPr>
          <w:ilvl w:val="0"/>
          <w:numId w:val="33"/>
        </w:numPr>
      </w:pPr>
      <w:r>
        <w:rPr>
          <w:rFonts w:eastAsia="Arial Unicode MS" w:cs="Arial Unicode MS"/>
        </w:rPr>
        <w:t xml:space="preserve">Desarrollar e implementar una legislación específica que priorice la accesibilidad a la información y a la asistencia durante emergencias y desastres, abarcando situaciones como emergencias sanitarias y humanitarias, para todas las personas con discapacidad, incluyendo aquellas con discapacidad intelectual, psicosocial, personas sordas, </w:t>
      </w:r>
      <w:proofErr w:type="gramStart"/>
      <w:r>
        <w:rPr>
          <w:rFonts w:eastAsia="Arial Unicode MS" w:cs="Arial Unicode MS"/>
        </w:rPr>
        <w:t>sordo-ciegas</w:t>
      </w:r>
      <w:proofErr w:type="gramEnd"/>
      <w:r>
        <w:rPr>
          <w:rFonts w:eastAsia="Arial Unicode MS" w:cs="Arial Unicode MS"/>
        </w:rPr>
        <w:t xml:space="preserve"> y con desafíos múltiples. </w:t>
      </w:r>
    </w:p>
    <w:p w14:paraId="648DBD8E" w14:textId="77777777" w:rsidR="001A105D" w:rsidRDefault="00000000">
      <w:pPr>
        <w:pStyle w:val="NoSpacing"/>
        <w:numPr>
          <w:ilvl w:val="0"/>
          <w:numId w:val="33"/>
        </w:numPr>
      </w:pPr>
      <w:r>
        <w:rPr>
          <w:rFonts w:eastAsia="Arial Unicode MS" w:cs="Arial Unicode MS"/>
        </w:rPr>
        <w:t>Establecer métricas claras para evaluar el cumplimiento y efectividad de dicha legislación en la práctica.</w:t>
      </w:r>
    </w:p>
    <w:p w14:paraId="2CADE028" w14:textId="77777777" w:rsidR="001A105D" w:rsidRDefault="00000000">
      <w:pPr>
        <w:pStyle w:val="NoSpacing"/>
        <w:numPr>
          <w:ilvl w:val="0"/>
          <w:numId w:val="33"/>
        </w:numPr>
      </w:pPr>
      <w:r>
        <w:rPr>
          <w:rFonts w:eastAsia="Arial Unicode MS" w:cs="Arial Unicode MS"/>
        </w:rPr>
        <w:t xml:space="preserve">Identificar y cuantificar las barreras contextuales que afectan la accesibilidad y autonomía de las personas con discapacidad. </w:t>
      </w:r>
    </w:p>
    <w:p w14:paraId="257D23C4" w14:textId="77777777" w:rsidR="001A105D" w:rsidRDefault="00000000">
      <w:pPr>
        <w:pStyle w:val="NoSpacing"/>
        <w:numPr>
          <w:ilvl w:val="4"/>
          <w:numId w:val="104"/>
        </w:numPr>
        <w:rPr>
          <w:rFonts w:ascii="Helvetica LT Std Bold" w:hAnsi="Helvetica LT Std Bold"/>
          <w:color w:val="535353"/>
        </w:rPr>
      </w:pPr>
      <w:r>
        <w:rPr>
          <w:rFonts w:ascii="Helvetica LT Std Bold" w:hAnsi="Helvetica LT Std Bold"/>
          <w:color w:val="535353"/>
        </w:rPr>
        <w:t xml:space="preserve">Elaborar un diagnóstico en estrecha colaboración con las organizaciones de personas con discapacidad. </w:t>
      </w:r>
    </w:p>
    <w:p w14:paraId="4CD1E9BF" w14:textId="77777777" w:rsidR="001A105D" w:rsidRDefault="00000000">
      <w:pPr>
        <w:pStyle w:val="NoSpacing"/>
        <w:numPr>
          <w:ilvl w:val="0"/>
          <w:numId w:val="105"/>
        </w:numPr>
      </w:pPr>
      <w:r>
        <w:rPr>
          <w:rFonts w:eastAsia="Arial Unicode MS" w:cs="Arial Unicode MS"/>
        </w:rPr>
        <w:t xml:space="preserve">Desarrollar un plan con medidas específicas y calendario definido para abordar y eliminar estas barreras. </w:t>
      </w:r>
    </w:p>
    <w:p w14:paraId="2C013288" w14:textId="77777777" w:rsidR="001A105D" w:rsidRDefault="00000000">
      <w:pPr>
        <w:pStyle w:val="NoSpacing"/>
        <w:numPr>
          <w:ilvl w:val="0"/>
          <w:numId w:val="33"/>
        </w:numPr>
      </w:pPr>
      <w:r>
        <w:rPr>
          <w:rFonts w:eastAsia="Arial Unicode MS" w:cs="Arial Unicode MS"/>
        </w:rPr>
        <w:t>Establecer indicadores de progreso y evaluar periódicamente la efectividad de las estrategias implementadas.</w:t>
      </w:r>
    </w:p>
    <w:p w14:paraId="44FC65B2" w14:textId="77777777" w:rsidR="001A105D" w:rsidRDefault="00000000">
      <w:pPr>
        <w:pStyle w:val="NoSpacing"/>
        <w:numPr>
          <w:ilvl w:val="0"/>
          <w:numId w:val="33"/>
        </w:numPr>
      </w:pPr>
      <w:r>
        <w:lastRenderedPageBreak/>
        <w:t xml:space="preserve">Desarrollar un plan integral para eliminar las barreras legales, de accesibilidad, socioeconómicas, actitudinales y de equiparación de oportunidades que impiden la plena participación político-electoral de las personas con discapacidad. </w:t>
      </w:r>
    </w:p>
    <w:p w14:paraId="21D632C9" w14:textId="77777777" w:rsidR="001A105D" w:rsidRDefault="00000000">
      <w:pPr>
        <w:pStyle w:val="NoSpacing"/>
        <w:numPr>
          <w:ilvl w:val="0"/>
          <w:numId w:val="33"/>
        </w:numPr>
      </w:pPr>
      <w:r>
        <w:rPr>
          <w:rFonts w:eastAsia="Arial Unicode MS" w:cs="Arial Unicode MS"/>
        </w:rPr>
        <w:t xml:space="preserve">Establecer medidas concretas y plazos para abordar cada tipo de barrera identificada. </w:t>
      </w:r>
    </w:p>
    <w:p w14:paraId="316709AF" w14:textId="77777777" w:rsidR="001A105D" w:rsidRDefault="00000000">
      <w:pPr>
        <w:pStyle w:val="NoSpacing"/>
        <w:numPr>
          <w:ilvl w:val="0"/>
          <w:numId w:val="33"/>
        </w:numPr>
      </w:pPr>
      <w:r>
        <w:t>Establecer indicadores de progreso y realizar evaluaciones periódicas para garantizar la efectividad de las acciones implementadas.</w:t>
      </w:r>
    </w:p>
    <w:p w14:paraId="58EB4F0C" w14:textId="77777777" w:rsidR="001A105D" w:rsidRDefault="00000000">
      <w:pPr>
        <w:pStyle w:val="NoSpacing"/>
        <w:numPr>
          <w:ilvl w:val="0"/>
          <w:numId w:val="33"/>
        </w:numPr>
      </w:pPr>
      <w:r>
        <w:t xml:space="preserve">Establecer un plan de acción para la desinstitucionalización gradual de personas con discapacidad que se encuentran actualmente internadas en instituciones psiquiátricas y centros de asistencia social, así como un plan de reemplazo de estas instituciones por atención ambulatoria en centros de salud generales y centros de rehabilitación basados en la comunidad. </w:t>
      </w:r>
    </w:p>
    <w:p w14:paraId="56445C58" w14:textId="77777777" w:rsidR="001A105D" w:rsidRDefault="00000000">
      <w:pPr>
        <w:pStyle w:val="NoSpacing"/>
        <w:numPr>
          <w:ilvl w:val="0"/>
          <w:numId w:val="33"/>
        </w:numPr>
      </w:pPr>
      <w:r>
        <w:t xml:space="preserve">Establecer un programa específico para la creación de sistemas de apoyo y salvaguardias, así como para la implementación de servicios de atención y rehabilitación en la comunidad. </w:t>
      </w:r>
    </w:p>
    <w:p w14:paraId="179785C5" w14:textId="77777777" w:rsidR="001A105D" w:rsidRDefault="00000000">
      <w:pPr>
        <w:pStyle w:val="NoSpacing"/>
        <w:numPr>
          <w:ilvl w:val="0"/>
          <w:numId w:val="33"/>
        </w:numPr>
      </w:pPr>
      <w:r>
        <w:t>Definir objetivos medibles y plazos concretos para cada etapa del proceso de desinstitucionalización, asegurando que todas las personas con discapacidad tengan la oportunidad de ejercer su derecho a vivir de manera independiente en la comunidad.</w:t>
      </w:r>
    </w:p>
    <w:p w14:paraId="2AF39C54" w14:textId="77777777" w:rsidR="001A105D" w:rsidRDefault="00000000">
      <w:pPr>
        <w:pStyle w:val="NoSpacing"/>
        <w:numPr>
          <w:ilvl w:val="0"/>
          <w:numId w:val="33"/>
        </w:numPr>
      </w:pPr>
      <w:r>
        <w:rPr>
          <w:rFonts w:eastAsia="Arial Unicode MS" w:cs="Arial Unicode MS"/>
        </w:rPr>
        <w:t>Establecer mecanismos de monitoreo regular para evaluar el avance de estas políticas y realizar ajustes cuando sea necesario para garantizar su efectividad.</w:t>
      </w:r>
    </w:p>
    <w:p w14:paraId="5EC0FA1C" w14:textId="77777777" w:rsidR="001A105D" w:rsidRDefault="00000000">
      <w:pPr>
        <w:pStyle w:val="NoSpacing"/>
        <w:rPr>
          <w:rFonts w:ascii="Helvetica LT Std Bold" w:eastAsia="Helvetica LT Std Bold" w:hAnsi="Helvetica LT Std Bold" w:cs="Helvetica LT Std Bold"/>
        </w:rPr>
      </w:pPr>
      <w:r>
        <w:rPr>
          <w:rFonts w:ascii="Helvetica LT Std Bold" w:hAnsi="Helvetica LT Std Bold"/>
        </w:rPr>
        <w:lastRenderedPageBreak/>
        <w:t>DESCA y Derechos Políticos y Sociales</w:t>
      </w:r>
    </w:p>
    <w:p w14:paraId="2C47FBD5" w14:textId="77777777" w:rsidR="001A105D" w:rsidRDefault="00000000">
      <w:pPr>
        <w:pStyle w:val="NoSpacing"/>
        <w:rPr>
          <w:rFonts w:ascii="Helvetica LT Std Bold" w:eastAsia="Helvetica LT Std Bold" w:hAnsi="Helvetica LT Std Bold" w:cs="Helvetica LT Std Bold"/>
          <w:color w:val="535353"/>
        </w:rPr>
      </w:pPr>
      <w:r>
        <w:rPr>
          <w:rFonts w:ascii="Helvetica LT Std Bold" w:hAnsi="Helvetica LT Std Bold"/>
          <w:color w:val="535353"/>
        </w:rPr>
        <w:t xml:space="preserve">Participación política </w:t>
      </w:r>
    </w:p>
    <w:p w14:paraId="6094F74A" w14:textId="77777777" w:rsidR="001A105D" w:rsidRDefault="00000000">
      <w:pPr>
        <w:pStyle w:val="NoSpacing"/>
        <w:numPr>
          <w:ilvl w:val="0"/>
          <w:numId w:val="33"/>
        </w:numPr>
      </w:pPr>
      <w:r>
        <w:rPr>
          <w:rFonts w:eastAsia="Arial Unicode MS" w:cs="Arial Unicode MS"/>
        </w:rPr>
        <w:t>Establecer políticas que reconozcan el derecho al voto de las personas con discapacidad, incluyendo el derecho a recibir apoyos si es necesario, así como el derecho a postularse como candidatas.</w:t>
      </w:r>
    </w:p>
    <w:p w14:paraId="4DDFB4B6" w14:textId="77777777" w:rsidR="001A105D" w:rsidRDefault="00000000">
      <w:pPr>
        <w:pStyle w:val="NoSpacing"/>
        <w:numPr>
          <w:ilvl w:val="0"/>
          <w:numId w:val="33"/>
        </w:numPr>
      </w:pPr>
      <w:r>
        <w:rPr>
          <w:rFonts w:eastAsia="Arial Unicode MS" w:cs="Arial Unicode MS"/>
        </w:rPr>
        <w:t>Establecer medidas específicas para garantizar que las autoridades y los partidos políticos equiparen las condiciones para reducir la brecha estructural de desigualdad en el proceso electoral.</w:t>
      </w:r>
    </w:p>
    <w:p w14:paraId="1A249A5D" w14:textId="77777777" w:rsidR="001A105D" w:rsidRDefault="00000000">
      <w:pPr>
        <w:pStyle w:val="NoSpacing"/>
        <w:numPr>
          <w:ilvl w:val="0"/>
          <w:numId w:val="33"/>
        </w:numPr>
      </w:pPr>
      <w:r>
        <w:rPr>
          <w:rFonts w:eastAsia="Arial Unicode MS" w:cs="Arial Unicode MS"/>
        </w:rPr>
        <w:t>Establecer indicadores medibles para evaluar el cumplimiento de estas políticas, como la accesibilidad de los centros de votación y la representación de personas con discapacidad en cargos electos.</w:t>
      </w:r>
    </w:p>
    <w:p w14:paraId="09429903" w14:textId="77777777" w:rsidR="001A105D" w:rsidRDefault="00000000">
      <w:pPr>
        <w:pStyle w:val="NoSpacing"/>
        <w:numPr>
          <w:ilvl w:val="0"/>
          <w:numId w:val="33"/>
        </w:numPr>
      </w:pPr>
      <w:r>
        <w:rPr>
          <w:rFonts w:eastAsia="Arial Unicode MS" w:cs="Arial Unicode MS"/>
        </w:rPr>
        <w:t>Monitorear regularmente el cumplimiento de estas medidas y tomar medidas correctivas si es necesario para garantizar la plena participación de las personas con discapacidad en los procesos electorales.</w:t>
      </w:r>
    </w:p>
    <w:p w14:paraId="5AF4B68B" w14:textId="77777777" w:rsidR="001A105D" w:rsidRDefault="00000000">
      <w:pPr>
        <w:pStyle w:val="NoSpacing"/>
        <w:numPr>
          <w:ilvl w:val="0"/>
          <w:numId w:val="33"/>
        </w:numPr>
      </w:pPr>
      <w:r>
        <w:rPr>
          <w:rFonts w:eastAsia="Arial Unicode MS" w:cs="Arial Unicode MS"/>
        </w:rPr>
        <w:t>Proporcionar material electoral accesible, incluyendo información y propaganda, antes, durante y después del mismo proceso electoral, a todas las personas con discapacidad, abarcando toda su diversidad.</w:t>
      </w:r>
    </w:p>
    <w:p w14:paraId="790BE402" w14:textId="77777777" w:rsidR="001A105D" w:rsidRDefault="00000000">
      <w:pPr>
        <w:pStyle w:val="NoSpacing"/>
        <w:numPr>
          <w:ilvl w:val="0"/>
          <w:numId w:val="33"/>
        </w:numPr>
      </w:pPr>
      <w:r>
        <w:rPr>
          <w:rFonts w:eastAsia="Arial Unicode MS" w:cs="Arial Unicode MS"/>
        </w:rPr>
        <w:t xml:space="preserve">Establecer indicadores medibles, con </w:t>
      </w:r>
      <w:proofErr w:type="gramStart"/>
      <w:r>
        <w:rPr>
          <w:rFonts w:eastAsia="Arial Unicode MS" w:cs="Arial Unicode MS"/>
        </w:rPr>
        <w:t>participación activa</w:t>
      </w:r>
      <w:proofErr w:type="gramEnd"/>
      <w:r>
        <w:rPr>
          <w:rFonts w:eastAsia="Arial Unicode MS" w:cs="Arial Unicode MS"/>
        </w:rPr>
        <w:t xml:space="preserve"> y efectiva de las organizaciones de personas con discapacidad, para evaluar la accesibilidad del material electoral, como la </w:t>
      </w:r>
      <w:r>
        <w:rPr>
          <w:rFonts w:eastAsia="Arial Unicode MS" w:cs="Arial Unicode MS"/>
        </w:rPr>
        <w:lastRenderedPageBreak/>
        <w:t>disponibilidad de versiones en braille, formatos de fácil lectura y vídeos con subtítulos o interpretación en lengua de señas.</w:t>
      </w:r>
    </w:p>
    <w:p w14:paraId="5837280C" w14:textId="77777777" w:rsidR="001A105D" w:rsidRDefault="00000000">
      <w:pPr>
        <w:pStyle w:val="NoSpacing"/>
        <w:numPr>
          <w:ilvl w:val="0"/>
          <w:numId w:val="33"/>
        </w:numPr>
      </w:pPr>
      <w:r>
        <w:rPr>
          <w:rFonts w:eastAsia="Arial Unicode MS" w:cs="Arial Unicode MS"/>
        </w:rPr>
        <w:t>Monitorear regularmente la implementación de estas medidas y tomar medidas correctivas si es necesario para garantizar que todas las personas con discapacidad tengan acceso a la información electoral y política, al mismo tiempo que las demás personas y de la misma manera.</w:t>
      </w:r>
    </w:p>
    <w:p w14:paraId="57082FFF" w14:textId="77777777" w:rsidR="001A105D" w:rsidRDefault="00000000">
      <w:pPr>
        <w:pStyle w:val="NoSpacing"/>
        <w:numPr>
          <w:ilvl w:val="0"/>
          <w:numId w:val="33"/>
        </w:numPr>
      </w:pPr>
      <w:r>
        <w:t>Establecer procedimientos claros y mensurables para garantizar el derecho de las personas con discapacidad y sus organizaciones representativas a participar en consultas vinculantes y en la toma de decisiones en asuntos de interés público.</w:t>
      </w:r>
    </w:p>
    <w:p w14:paraId="70262918" w14:textId="77777777" w:rsidR="001A105D" w:rsidRDefault="00000000">
      <w:pPr>
        <w:pStyle w:val="NoSpacing"/>
        <w:numPr>
          <w:ilvl w:val="0"/>
          <w:numId w:val="33"/>
        </w:numPr>
      </w:pPr>
      <w:r>
        <w:t xml:space="preserve">Desarrollar indicadores específicos para evaluar la implementación de estos procedimientos, como la frecuencia y el alcance de las consultas realizadas, así como el grado de influencia de las personas con discapacidad en las decisiones tomadas. </w:t>
      </w:r>
    </w:p>
    <w:p w14:paraId="0303674C" w14:textId="77777777" w:rsidR="001A105D" w:rsidRDefault="00000000">
      <w:pPr>
        <w:pStyle w:val="NoSpacing"/>
        <w:numPr>
          <w:ilvl w:val="0"/>
          <w:numId w:val="33"/>
        </w:numPr>
      </w:pPr>
      <w:r>
        <w:rPr>
          <w:rFonts w:eastAsia="Arial Unicode MS" w:cs="Arial Unicode MS"/>
        </w:rPr>
        <w:t>Monitorear regularmente el cumplimiento de estos indicadores y ajustar los procesos según sea necesario para garantizar la plena participación de las personas con discapacidad en la esfera pública.</w:t>
      </w:r>
    </w:p>
    <w:p w14:paraId="349E7F8A" w14:textId="77777777" w:rsidR="001A105D" w:rsidRDefault="00000000">
      <w:pPr>
        <w:pStyle w:val="NoSpacing"/>
        <w:rPr>
          <w:rFonts w:ascii="Helvetica LT Std Bold" w:eastAsia="Helvetica LT Std Bold" w:hAnsi="Helvetica LT Std Bold" w:cs="Helvetica LT Std Bold"/>
          <w:color w:val="535353"/>
        </w:rPr>
      </w:pPr>
      <w:r>
        <w:rPr>
          <w:rFonts w:ascii="Helvetica LT Std Bold" w:hAnsi="Helvetica LT Std Bold"/>
          <w:color w:val="535353"/>
        </w:rPr>
        <w:t>Educación</w:t>
      </w:r>
    </w:p>
    <w:p w14:paraId="3F8F9C10" w14:textId="77777777" w:rsidR="001A105D" w:rsidRDefault="00000000">
      <w:pPr>
        <w:pStyle w:val="NoSpacing"/>
        <w:numPr>
          <w:ilvl w:val="0"/>
          <w:numId w:val="33"/>
        </w:numPr>
      </w:pPr>
      <w:r>
        <w:rPr>
          <w:rFonts w:eastAsia="Arial Unicode MS" w:cs="Arial Unicode MS"/>
        </w:rPr>
        <w:t xml:space="preserve">Implementar una legislación integral para desarrollar un modelo educativo inclusivo con una definición precisa de inclusión y sin ambigüedades. </w:t>
      </w:r>
    </w:p>
    <w:p w14:paraId="0362F4DF" w14:textId="77777777" w:rsidR="001A105D" w:rsidRDefault="00000000">
      <w:pPr>
        <w:pStyle w:val="NoSpacing"/>
        <w:numPr>
          <w:ilvl w:val="0"/>
          <w:numId w:val="33"/>
        </w:numPr>
      </w:pPr>
      <w:r>
        <w:rPr>
          <w:rFonts w:eastAsia="Arial Unicode MS" w:cs="Arial Unicode MS"/>
        </w:rPr>
        <w:lastRenderedPageBreak/>
        <w:t>Aumentar el número de escuelas con instalaciones accesibles, hasta alcanzar la totalidad de los establecimientos educacionales en todos los niveles del sistema educativo.</w:t>
      </w:r>
    </w:p>
    <w:p w14:paraId="0658C770" w14:textId="77777777" w:rsidR="001A105D" w:rsidRDefault="00000000">
      <w:pPr>
        <w:pStyle w:val="NoSpacing"/>
        <w:numPr>
          <w:ilvl w:val="0"/>
          <w:numId w:val="33"/>
        </w:numPr>
      </w:pPr>
      <w:r>
        <w:rPr>
          <w:rFonts w:eastAsia="Arial Unicode MS" w:cs="Arial Unicode MS"/>
        </w:rPr>
        <w:t>Reducir la tasa de abandono escolar entre estudiantes con discapacidad.</w:t>
      </w:r>
    </w:p>
    <w:p w14:paraId="16E7BE8D" w14:textId="77777777" w:rsidR="001A105D" w:rsidRDefault="00000000">
      <w:pPr>
        <w:pStyle w:val="NoSpacing"/>
        <w:numPr>
          <w:ilvl w:val="0"/>
          <w:numId w:val="33"/>
        </w:numPr>
      </w:pPr>
      <w:r>
        <w:rPr>
          <w:rFonts w:eastAsia="Arial Unicode MS" w:cs="Arial Unicode MS"/>
        </w:rPr>
        <w:t xml:space="preserve">Establecer programas de capacitación periódica para docentes y la comunidad educativa. </w:t>
      </w:r>
    </w:p>
    <w:p w14:paraId="5385D6CD" w14:textId="77777777" w:rsidR="001A105D" w:rsidRDefault="00000000">
      <w:pPr>
        <w:pStyle w:val="NoSpacing"/>
        <w:numPr>
          <w:ilvl w:val="0"/>
          <w:numId w:val="33"/>
        </w:numPr>
      </w:pPr>
      <w:r>
        <w:rPr>
          <w:rFonts w:eastAsia="Arial Unicode MS" w:cs="Arial Unicode MS"/>
        </w:rPr>
        <w:t>Incrementar el presupuesto destinado a recursos educativos relativos al diseño universal de aprendizaje y las medidas de accesibilidad y de ajustes razonables para asegurar que el estudiantado con discapacidad aprenda en igualdad de condiciones que las demás personas.</w:t>
      </w:r>
    </w:p>
    <w:p w14:paraId="508E5D6C" w14:textId="77777777" w:rsidR="001A105D" w:rsidRDefault="00000000">
      <w:pPr>
        <w:pStyle w:val="NoSpacing"/>
        <w:numPr>
          <w:ilvl w:val="0"/>
          <w:numId w:val="33"/>
        </w:numPr>
      </w:pPr>
      <w:r>
        <w:rPr>
          <w:rFonts w:eastAsia="Arial Unicode MS" w:cs="Arial Unicode MS"/>
        </w:rPr>
        <w:t>Desarrollar e implementar modelos de educación intercultural y multilingüe, en ambientes que maximicen el desarrollo y expresión de las diversas identidades y culturas.</w:t>
      </w:r>
    </w:p>
    <w:p w14:paraId="00A2E81B" w14:textId="77777777" w:rsidR="001A105D" w:rsidRDefault="00000000">
      <w:pPr>
        <w:pStyle w:val="NoSpacing"/>
        <w:numPr>
          <w:ilvl w:val="0"/>
          <w:numId w:val="33"/>
        </w:numPr>
      </w:pPr>
      <w:r>
        <w:rPr>
          <w:rFonts w:eastAsia="Arial Unicode MS" w:cs="Arial Unicode MS"/>
        </w:rPr>
        <w:t>Establecer métricas claras para evaluar la efectividad de la legislación y el grado de inclusión logrado en las instituciones educativas. Entre estas, la tasa de participación de estudiantes con discapacidad, la accesibilidad de las instalaciones y la satisfacción de los padres y estudiantes.</w:t>
      </w:r>
    </w:p>
    <w:p w14:paraId="04AF0E8E" w14:textId="77777777" w:rsidR="001A105D" w:rsidRDefault="00000000">
      <w:pPr>
        <w:pStyle w:val="NoSpacing"/>
        <w:numPr>
          <w:ilvl w:val="0"/>
          <w:numId w:val="33"/>
        </w:numPr>
      </w:pPr>
      <w:r>
        <w:t>Establecer políticas educativas que garanticen que las personas estudiantes ciegas, sordas o sordociegas reciban enseñanza adaptada a su lengua y modalidad de comunicación.</w:t>
      </w:r>
    </w:p>
    <w:p w14:paraId="4ACE20A6" w14:textId="77777777" w:rsidR="001A105D" w:rsidRDefault="00000000">
      <w:pPr>
        <w:pStyle w:val="NoSpacing"/>
        <w:numPr>
          <w:ilvl w:val="0"/>
          <w:numId w:val="33"/>
        </w:numPr>
      </w:pPr>
      <w:r>
        <w:rPr>
          <w:rFonts w:eastAsia="Arial Unicode MS" w:cs="Arial Unicode MS"/>
        </w:rPr>
        <w:lastRenderedPageBreak/>
        <w:t>Implementar programas de formación docente para enseñar en formatos accesibles. Proporcionar recursos y entornos adecuados para el desarrollo integral de estas personas en los contextos educativos formales e informales.</w:t>
      </w:r>
    </w:p>
    <w:p w14:paraId="60C75514" w14:textId="77777777" w:rsidR="001A105D" w:rsidRDefault="00000000">
      <w:pPr>
        <w:pStyle w:val="NoSpacing"/>
        <w:numPr>
          <w:ilvl w:val="0"/>
          <w:numId w:val="33"/>
        </w:numPr>
      </w:pPr>
      <w:r>
        <w:t xml:space="preserve">Establecer un plan de acción para la modificación de la legislación nacional, derogando disposiciones que respalden la segregación en la educación especial para estudiantes con discapacidad. </w:t>
      </w:r>
    </w:p>
    <w:p w14:paraId="5A17D9DF" w14:textId="77777777" w:rsidR="001A105D" w:rsidRDefault="00000000">
      <w:pPr>
        <w:pStyle w:val="NoSpacing"/>
        <w:numPr>
          <w:ilvl w:val="0"/>
          <w:numId w:val="33"/>
        </w:numPr>
      </w:pPr>
      <w:r>
        <w:rPr>
          <w:rFonts w:eastAsia="Arial Unicode MS" w:cs="Arial Unicode MS"/>
        </w:rPr>
        <w:t>Establecer un cronograma claro para la revisión y modificación de las leyes pertinentes.</w:t>
      </w:r>
    </w:p>
    <w:p w14:paraId="600E38A5" w14:textId="77777777" w:rsidR="001A105D" w:rsidRDefault="00000000">
      <w:pPr>
        <w:pStyle w:val="NoSpacing"/>
        <w:numPr>
          <w:ilvl w:val="0"/>
          <w:numId w:val="33"/>
        </w:numPr>
      </w:pPr>
      <w:r>
        <w:rPr>
          <w:rFonts w:eastAsia="Arial Unicode MS" w:cs="Arial Unicode MS"/>
        </w:rPr>
        <w:t xml:space="preserve">Redirigir los recursos económicos asignados a la educación segregada hacia la implementación de sistemas de apoyo multidisciplinarios permanentes y la aplicación de medidas de accesibilidad y ajustes razonables en los entornos educativos inclusivos. </w:t>
      </w:r>
    </w:p>
    <w:p w14:paraId="1C9FFCB7" w14:textId="77777777" w:rsidR="001A105D" w:rsidRDefault="00000000">
      <w:pPr>
        <w:pStyle w:val="NoSpacing"/>
        <w:numPr>
          <w:ilvl w:val="0"/>
          <w:numId w:val="33"/>
        </w:numPr>
      </w:pPr>
      <w:r>
        <w:rPr>
          <w:rFonts w:eastAsia="Arial Unicode MS" w:cs="Arial Unicode MS"/>
        </w:rPr>
        <w:t xml:space="preserve">Establecer un plan de redistribución de fondos con objetivos claros y plazos definidos. </w:t>
      </w:r>
    </w:p>
    <w:p w14:paraId="40AECC1A" w14:textId="77777777" w:rsidR="001A105D" w:rsidRDefault="00000000">
      <w:pPr>
        <w:pStyle w:val="NoSpacing"/>
        <w:rPr>
          <w:rFonts w:ascii="Helvetica LT Std Bold" w:eastAsia="Helvetica LT Std Bold" w:hAnsi="Helvetica LT Std Bold" w:cs="Helvetica LT Std Bold"/>
          <w:color w:val="535353"/>
        </w:rPr>
      </w:pPr>
      <w:r>
        <w:rPr>
          <w:rFonts w:ascii="Helvetica LT Std Bold" w:hAnsi="Helvetica LT Std Bold"/>
          <w:color w:val="535353"/>
        </w:rPr>
        <w:t>Trabajo</w:t>
      </w:r>
    </w:p>
    <w:p w14:paraId="0CD8D033" w14:textId="77777777" w:rsidR="001A105D" w:rsidRDefault="00000000">
      <w:pPr>
        <w:pStyle w:val="NoSpacing"/>
        <w:numPr>
          <w:ilvl w:val="0"/>
          <w:numId w:val="33"/>
        </w:numPr>
      </w:pPr>
      <w:r>
        <w:rPr>
          <w:rFonts w:eastAsia="Arial Unicode MS" w:cs="Arial Unicode MS"/>
        </w:rPr>
        <w:t>Establecer programas concretos para fortalecer el acceso al empleo de las personas con discapacidad en un mercado abierto, accesible e inclusivo.</w:t>
      </w:r>
    </w:p>
    <w:p w14:paraId="74B7E454" w14:textId="77777777" w:rsidR="001A105D" w:rsidRDefault="00000000">
      <w:pPr>
        <w:pStyle w:val="NoSpacing"/>
        <w:numPr>
          <w:ilvl w:val="0"/>
          <w:numId w:val="33"/>
        </w:numPr>
      </w:pPr>
      <w:r>
        <w:rPr>
          <w:rFonts w:eastAsia="Arial Unicode MS" w:cs="Arial Unicode MS"/>
        </w:rPr>
        <w:t xml:space="preserve">Revocar leyes y políticas que promuevan el empleo segregado y los contratos de aprendizaje a tiempo indefinido para personas con discapacidad. </w:t>
      </w:r>
    </w:p>
    <w:p w14:paraId="4DBF665F" w14:textId="77777777" w:rsidR="001A105D" w:rsidRDefault="00000000">
      <w:pPr>
        <w:pStyle w:val="NoSpacing"/>
        <w:numPr>
          <w:ilvl w:val="0"/>
          <w:numId w:val="33"/>
        </w:numPr>
      </w:pPr>
      <w:r>
        <w:rPr>
          <w:rFonts w:eastAsia="Arial Unicode MS" w:cs="Arial Unicode MS"/>
        </w:rPr>
        <w:lastRenderedPageBreak/>
        <w:t xml:space="preserve">Prohibir explícitamente la discriminación y el acoso interseccional basados en la discapacidad en el ámbito laboral. </w:t>
      </w:r>
    </w:p>
    <w:p w14:paraId="42C72E17" w14:textId="77777777" w:rsidR="001A105D" w:rsidRDefault="00000000">
      <w:pPr>
        <w:pStyle w:val="NoSpacing"/>
        <w:numPr>
          <w:ilvl w:val="0"/>
          <w:numId w:val="33"/>
        </w:numPr>
      </w:pPr>
      <w:r>
        <w:rPr>
          <w:rFonts w:eastAsia="Arial Unicode MS" w:cs="Arial Unicode MS"/>
        </w:rPr>
        <w:t>Establecer medidas de cumplimiento y sanciones para garantizar el respeto de estas disposiciones.</w:t>
      </w:r>
    </w:p>
    <w:p w14:paraId="6E40118D" w14:textId="77777777" w:rsidR="001A105D" w:rsidRDefault="00000000">
      <w:pPr>
        <w:pStyle w:val="NoSpacing"/>
        <w:numPr>
          <w:ilvl w:val="0"/>
          <w:numId w:val="33"/>
        </w:numPr>
      </w:pPr>
      <w:r>
        <w:rPr>
          <w:rFonts w:eastAsia="Arial Unicode MS" w:cs="Arial Unicode MS"/>
        </w:rPr>
        <w:t xml:space="preserve">Implementar políticas para garantizar la igualdad salarial entre personas con y sin discapacidad por trabajos equivalentes. </w:t>
      </w:r>
    </w:p>
    <w:p w14:paraId="2AEE4F53" w14:textId="77777777" w:rsidR="001A105D" w:rsidRDefault="00000000">
      <w:pPr>
        <w:pStyle w:val="NoSpacing"/>
        <w:numPr>
          <w:ilvl w:val="0"/>
          <w:numId w:val="33"/>
        </w:numPr>
      </w:pPr>
      <w:r>
        <w:rPr>
          <w:rFonts w:eastAsia="Arial Unicode MS" w:cs="Arial Unicode MS"/>
        </w:rPr>
        <w:t xml:space="preserve">Establecer medidas que promuevan la formalización de empleos para personas con discapacidad. </w:t>
      </w:r>
    </w:p>
    <w:p w14:paraId="1365FBCC" w14:textId="77777777" w:rsidR="001A105D" w:rsidRDefault="00000000">
      <w:pPr>
        <w:pStyle w:val="NoSpacing"/>
        <w:numPr>
          <w:ilvl w:val="0"/>
          <w:numId w:val="33"/>
        </w:numPr>
      </w:pPr>
      <w:r>
        <w:rPr>
          <w:rFonts w:eastAsia="Arial Unicode MS" w:cs="Arial Unicode MS"/>
        </w:rPr>
        <w:t xml:space="preserve">Monitorear regularmente los salarios y la formalización laboral de personas con discapacidad mediante informes periódicos y auditorías laborales. </w:t>
      </w:r>
    </w:p>
    <w:p w14:paraId="4A797004" w14:textId="77777777" w:rsidR="001A105D" w:rsidRDefault="00000000">
      <w:pPr>
        <w:pStyle w:val="NoSpacing"/>
        <w:numPr>
          <w:ilvl w:val="0"/>
          <w:numId w:val="33"/>
        </w:numPr>
      </w:pPr>
      <w:r>
        <w:rPr>
          <w:rFonts w:eastAsia="Arial Unicode MS" w:cs="Arial Unicode MS"/>
        </w:rPr>
        <w:t>Establecer sanciones para los empleadores que no cumplan con estas políticas.</w:t>
      </w:r>
    </w:p>
    <w:p w14:paraId="2FCB180E" w14:textId="77777777" w:rsidR="001A105D" w:rsidRDefault="00000000">
      <w:pPr>
        <w:pStyle w:val="NoSpacing"/>
        <w:numPr>
          <w:ilvl w:val="0"/>
          <w:numId w:val="33"/>
        </w:numPr>
      </w:pPr>
      <w:r>
        <w:rPr>
          <w:rFonts w:eastAsia="Arial Unicode MS" w:cs="Arial Unicode MS"/>
        </w:rPr>
        <w:t xml:space="preserve">Implementar políticas de contratación laboral afirmativas en el sector público y privado para personas con discapacidad. </w:t>
      </w:r>
    </w:p>
    <w:p w14:paraId="1D669952" w14:textId="77777777" w:rsidR="001A105D" w:rsidRDefault="00000000">
      <w:pPr>
        <w:pStyle w:val="NoSpacing"/>
        <w:numPr>
          <w:ilvl w:val="0"/>
          <w:numId w:val="33"/>
        </w:numPr>
      </w:pPr>
      <w:r>
        <w:rPr>
          <w:rFonts w:eastAsia="Arial Unicode MS" w:cs="Arial Unicode MS"/>
        </w:rPr>
        <w:t xml:space="preserve">Establecer condiciones equitativas en procesos de selección y en el ambiente laboral. </w:t>
      </w:r>
    </w:p>
    <w:p w14:paraId="0414962A" w14:textId="77777777" w:rsidR="001A105D" w:rsidRDefault="00000000">
      <w:pPr>
        <w:pStyle w:val="NoSpacing"/>
        <w:numPr>
          <w:ilvl w:val="0"/>
          <w:numId w:val="33"/>
        </w:numPr>
      </w:pPr>
      <w:r>
        <w:rPr>
          <w:rFonts w:eastAsia="Arial Unicode MS" w:cs="Arial Unicode MS"/>
        </w:rPr>
        <w:t xml:space="preserve">Garantizar acceso, tránsito y permanencia en puestos de trabajo. </w:t>
      </w:r>
    </w:p>
    <w:p w14:paraId="24D185A7" w14:textId="77777777" w:rsidR="001A105D" w:rsidRDefault="00000000">
      <w:pPr>
        <w:pStyle w:val="NoSpacing"/>
        <w:numPr>
          <w:ilvl w:val="0"/>
          <w:numId w:val="33"/>
        </w:numPr>
      </w:pPr>
      <w:r>
        <w:rPr>
          <w:rFonts w:eastAsia="Arial Unicode MS" w:cs="Arial Unicode MS"/>
        </w:rPr>
        <w:t xml:space="preserve">Asegurar un mercado laboral abierto con medidas de accesibilidad y ajustes necesarios. </w:t>
      </w:r>
    </w:p>
    <w:p w14:paraId="15011A95" w14:textId="77777777" w:rsidR="001A105D" w:rsidRDefault="00000000">
      <w:pPr>
        <w:pStyle w:val="NoSpacing"/>
        <w:numPr>
          <w:ilvl w:val="0"/>
          <w:numId w:val="33"/>
        </w:numPr>
      </w:pPr>
      <w:r>
        <w:rPr>
          <w:rFonts w:eastAsia="Arial Unicode MS" w:cs="Arial Unicode MS"/>
        </w:rPr>
        <w:lastRenderedPageBreak/>
        <w:t xml:space="preserve">Establecer planes de capacitación obligatoria para empleadores y equipos laborales sobre el modelo social de la discapacidad y el derecho al trabajo de estas personas. </w:t>
      </w:r>
    </w:p>
    <w:p w14:paraId="66658178" w14:textId="77777777" w:rsidR="001A105D" w:rsidRDefault="00000000">
      <w:pPr>
        <w:pStyle w:val="NoSpacing"/>
        <w:numPr>
          <w:ilvl w:val="0"/>
          <w:numId w:val="33"/>
        </w:numPr>
      </w:pPr>
      <w:r>
        <w:rPr>
          <w:rFonts w:eastAsia="Arial Unicode MS" w:cs="Arial Unicode MS"/>
        </w:rPr>
        <w:t xml:space="preserve">Priorizar la inclusión efectiva y la prevención de discriminación. </w:t>
      </w:r>
    </w:p>
    <w:p w14:paraId="5F24D366" w14:textId="77777777" w:rsidR="001A105D" w:rsidRDefault="00000000">
      <w:pPr>
        <w:pStyle w:val="NoSpacing"/>
        <w:numPr>
          <w:ilvl w:val="0"/>
          <w:numId w:val="33"/>
        </w:numPr>
      </w:pPr>
      <w:r>
        <w:rPr>
          <w:rFonts w:eastAsia="Arial Unicode MS" w:cs="Arial Unicode MS"/>
        </w:rPr>
        <w:t xml:space="preserve">Medir la participación y el conocimiento adquirido mediante evaluaciones periódicas. </w:t>
      </w:r>
    </w:p>
    <w:p w14:paraId="22CEE518" w14:textId="77777777" w:rsidR="001A105D" w:rsidRDefault="00000000">
      <w:pPr>
        <w:pStyle w:val="NoSpacing"/>
        <w:numPr>
          <w:ilvl w:val="0"/>
          <w:numId w:val="33"/>
        </w:numPr>
      </w:pPr>
      <w:proofErr w:type="gramStart"/>
      <w:r>
        <w:rPr>
          <w:rFonts w:eastAsia="Arial Unicode MS" w:cs="Arial Unicode MS"/>
        </w:rPr>
        <w:t>Asegurar</w:t>
      </w:r>
      <w:proofErr w:type="gramEnd"/>
      <w:r>
        <w:rPr>
          <w:rFonts w:eastAsia="Arial Unicode MS" w:cs="Arial Unicode MS"/>
        </w:rPr>
        <w:t xml:space="preserve"> que los programas se adapten a las necesidades específicas de cada entorno laboral.</w:t>
      </w:r>
    </w:p>
    <w:p w14:paraId="763798EA" w14:textId="77777777" w:rsidR="001A105D" w:rsidRDefault="00000000">
      <w:pPr>
        <w:pStyle w:val="NoSpacing"/>
        <w:numPr>
          <w:ilvl w:val="0"/>
          <w:numId w:val="33"/>
        </w:numPr>
      </w:pPr>
      <w:r>
        <w:rPr>
          <w:rFonts w:eastAsia="Arial Unicode MS" w:cs="Arial Unicode MS"/>
        </w:rPr>
        <w:t xml:space="preserve">Incluir en las leyes laborales la obligación de realizar ajustes razonables según el artículo 27 de la CDPD. </w:t>
      </w:r>
    </w:p>
    <w:p w14:paraId="4DF248FC" w14:textId="77777777" w:rsidR="001A105D" w:rsidRDefault="00000000">
      <w:pPr>
        <w:pStyle w:val="NoSpacing"/>
        <w:numPr>
          <w:ilvl w:val="0"/>
          <w:numId w:val="33"/>
        </w:numPr>
      </w:pPr>
      <w:r>
        <w:rPr>
          <w:rFonts w:eastAsia="Arial Unicode MS" w:cs="Arial Unicode MS"/>
        </w:rPr>
        <w:t>Establecer la negativa a realizar ajustes razonables como forma de discriminación, reflejada explícitamente en la legislación.</w:t>
      </w:r>
    </w:p>
    <w:p w14:paraId="62E6CEAD" w14:textId="77777777" w:rsidR="001A105D" w:rsidRDefault="00000000">
      <w:pPr>
        <w:pStyle w:val="NoSpacing"/>
        <w:numPr>
          <w:ilvl w:val="0"/>
          <w:numId w:val="33"/>
        </w:numPr>
      </w:pPr>
      <w:r>
        <w:rPr>
          <w:rFonts w:eastAsia="Arial Unicode MS" w:cs="Arial Unicode MS"/>
        </w:rPr>
        <w:t xml:space="preserve">Modificar la legislación y las políticas públicas para eliminar la pérdida de beneficios de asignaciones asistenciales por discapacidad al iniciar la vida laboral. </w:t>
      </w:r>
    </w:p>
    <w:p w14:paraId="4B93A89A" w14:textId="77777777" w:rsidR="001A105D" w:rsidRDefault="00000000">
      <w:pPr>
        <w:pStyle w:val="NoSpacing"/>
        <w:numPr>
          <w:ilvl w:val="0"/>
          <w:numId w:val="33"/>
        </w:numPr>
      </w:pPr>
      <w:r>
        <w:rPr>
          <w:rFonts w:eastAsia="Arial Unicode MS" w:cs="Arial Unicode MS"/>
        </w:rPr>
        <w:t>Establecer criterios que reconozcan los gastos adicionales para eliminar barreras en el entorno laboral.</w:t>
      </w:r>
    </w:p>
    <w:p w14:paraId="7AB7E90B" w14:textId="77777777" w:rsidR="001A105D" w:rsidRDefault="00000000">
      <w:pPr>
        <w:pStyle w:val="NoSpacing"/>
        <w:rPr>
          <w:rFonts w:ascii="Helvetica LT Std Bold" w:eastAsia="Helvetica LT Std Bold" w:hAnsi="Helvetica LT Std Bold" w:cs="Helvetica LT Std Bold"/>
          <w:color w:val="535353"/>
        </w:rPr>
      </w:pPr>
      <w:r>
        <w:rPr>
          <w:rFonts w:ascii="Helvetica LT Std Bold" w:hAnsi="Helvetica LT Std Bold"/>
          <w:color w:val="535353"/>
        </w:rPr>
        <w:t>Salud</w:t>
      </w:r>
    </w:p>
    <w:p w14:paraId="7C7447AC" w14:textId="77777777" w:rsidR="001A105D" w:rsidRDefault="00000000">
      <w:pPr>
        <w:pStyle w:val="NoSpacing"/>
        <w:numPr>
          <w:ilvl w:val="0"/>
          <w:numId w:val="33"/>
        </w:numPr>
      </w:pPr>
      <w:proofErr w:type="gramStart"/>
      <w:r>
        <w:rPr>
          <w:rFonts w:eastAsia="Arial Unicode MS" w:cs="Arial Unicode MS"/>
        </w:rPr>
        <w:t>Asegurar</w:t>
      </w:r>
      <w:proofErr w:type="gramEnd"/>
      <w:r>
        <w:rPr>
          <w:rFonts w:eastAsia="Arial Unicode MS" w:cs="Arial Unicode MS"/>
        </w:rPr>
        <w:t xml:space="preserve"> que las personas con discapacidad accedan a los servicios de atención médica en igualdad de condiciones que el resto de la población. </w:t>
      </w:r>
    </w:p>
    <w:p w14:paraId="13EE9B48" w14:textId="77777777" w:rsidR="001A105D" w:rsidRDefault="00000000">
      <w:pPr>
        <w:pStyle w:val="NoSpacing"/>
        <w:numPr>
          <w:ilvl w:val="0"/>
          <w:numId w:val="33"/>
        </w:numPr>
      </w:pPr>
      <w:r>
        <w:rPr>
          <w:rFonts w:eastAsia="Arial Unicode MS" w:cs="Arial Unicode MS"/>
        </w:rPr>
        <w:lastRenderedPageBreak/>
        <w:t>Establecer criterios de accesibilidad física y comunicacional en hospitales y centros de salud, incluyendo información administrativa y de emergencia.</w:t>
      </w:r>
    </w:p>
    <w:p w14:paraId="43C7CE21" w14:textId="77777777" w:rsidR="001A105D" w:rsidRDefault="00000000">
      <w:pPr>
        <w:pStyle w:val="NoSpacing"/>
        <w:numPr>
          <w:ilvl w:val="0"/>
          <w:numId w:val="33"/>
        </w:numPr>
      </w:pPr>
      <w:r>
        <w:rPr>
          <w:rFonts w:eastAsia="Arial Unicode MS" w:cs="Arial Unicode MS"/>
        </w:rPr>
        <w:t>Establecer indicadores para medir el acceso equitativo de las personas con discapacidad a los servicios de salud, como el número de consultas realizadas, la disponibilidad de equipos de accesibilidad, y la satisfacción del usuario.</w:t>
      </w:r>
    </w:p>
    <w:p w14:paraId="633BB1EF" w14:textId="77777777" w:rsidR="001A105D" w:rsidRDefault="00000000">
      <w:pPr>
        <w:pStyle w:val="NoSpacing"/>
        <w:numPr>
          <w:ilvl w:val="0"/>
          <w:numId w:val="33"/>
        </w:numPr>
      </w:pPr>
      <w:r>
        <w:rPr>
          <w:rFonts w:eastAsia="Arial Unicode MS" w:cs="Arial Unicode MS"/>
        </w:rPr>
        <w:t xml:space="preserve">Establecer protocolos que aseguren el respeto al consentimiento libre, previo e informado para tratamientos médicos de personas con discapacidad. </w:t>
      </w:r>
    </w:p>
    <w:p w14:paraId="042617E3" w14:textId="77777777" w:rsidR="001A105D" w:rsidRDefault="00000000">
      <w:pPr>
        <w:pStyle w:val="NoSpacing"/>
        <w:numPr>
          <w:ilvl w:val="0"/>
          <w:numId w:val="33"/>
        </w:numPr>
      </w:pPr>
      <w:r>
        <w:rPr>
          <w:rFonts w:eastAsia="Arial Unicode MS" w:cs="Arial Unicode MS"/>
        </w:rPr>
        <w:t xml:space="preserve">Establecer un plan de acción para el cierre de las instituciones psiquiátricas y la transición progresiva a atención ambulatoria en centros de salud generales y centros de apoyo basados en la comunidad, con objetivos cuantitativos. </w:t>
      </w:r>
    </w:p>
    <w:p w14:paraId="446F0ED2" w14:textId="77777777" w:rsidR="001A105D" w:rsidRDefault="00000000">
      <w:pPr>
        <w:pStyle w:val="NoSpacing"/>
        <w:numPr>
          <w:ilvl w:val="0"/>
          <w:numId w:val="33"/>
        </w:numPr>
      </w:pPr>
      <w:r>
        <w:rPr>
          <w:rFonts w:eastAsia="Arial Unicode MS" w:cs="Arial Unicode MS"/>
        </w:rPr>
        <w:t>Evaluar periódicamente el cumplimiento de estos objetivos y realizar ajustes según sea necesario para garantizar el respeto a los derechos humanos.</w:t>
      </w:r>
    </w:p>
    <w:p w14:paraId="73986055" w14:textId="77777777" w:rsidR="001A105D" w:rsidRDefault="00000000">
      <w:pPr>
        <w:pStyle w:val="NoSpacing"/>
        <w:numPr>
          <w:ilvl w:val="0"/>
          <w:numId w:val="33"/>
        </w:numPr>
      </w:pPr>
      <w:r>
        <w:rPr>
          <w:rFonts w:eastAsia="Arial Unicode MS" w:cs="Arial Unicode MS"/>
        </w:rPr>
        <w:t xml:space="preserve">Desarrollar legislaciones y políticas públicas para garantizar los derechos sexuales y reproductivos de las personas con discapacidad, especialmente mujeres, personas lesbianas, bisexuales, trans y niñas con discapacidad intelectual, psicosocial y sensorial. </w:t>
      </w:r>
    </w:p>
    <w:p w14:paraId="37B4991C" w14:textId="77777777" w:rsidR="001A105D" w:rsidRDefault="00000000">
      <w:pPr>
        <w:pStyle w:val="NoSpacing"/>
        <w:numPr>
          <w:ilvl w:val="0"/>
          <w:numId w:val="33"/>
        </w:numPr>
      </w:pPr>
      <w:r>
        <w:rPr>
          <w:rFonts w:eastAsia="Arial Unicode MS" w:cs="Arial Unicode MS"/>
        </w:rPr>
        <w:t xml:space="preserve">Garantizar el acceso a una educación sexual y de género equitativa, en igualdad de condiciones y oportunidades, y con los ajustes razonables y medidas de accesibilidad que </w:t>
      </w:r>
      <w:r>
        <w:rPr>
          <w:rFonts w:eastAsia="Arial Unicode MS" w:cs="Arial Unicode MS"/>
        </w:rPr>
        <w:lastRenderedPageBreak/>
        <w:t>requieran las personas con discapacidad en el proceso de enseñanza-aprendizaje.</w:t>
      </w:r>
    </w:p>
    <w:p w14:paraId="2662A74F" w14:textId="77777777" w:rsidR="001A105D" w:rsidRDefault="00000000">
      <w:pPr>
        <w:pStyle w:val="NoSpacing"/>
        <w:numPr>
          <w:ilvl w:val="0"/>
          <w:numId w:val="33"/>
        </w:numPr>
      </w:pPr>
      <w:r>
        <w:rPr>
          <w:rFonts w:eastAsia="Arial Unicode MS" w:cs="Arial Unicode MS"/>
        </w:rPr>
        <w:t xml:space="preserve">Garantizar que se respete el consentimiento libre, previo e informado de las personas con discapacidad en todo momento y en toda circunstancia, proporcionando los apoyos que se requieran, tales como asistencia personal, intérpretes de lengua de señas nacionales y otros, capacitados, certificados, con ética profesional y neutrales. </w:t>
      </w:r>
    </w:p>
    <w:p w14:paraId="31B936E6" w14:textId="77777777" w:rsidR="001A105D" w:rsidRDefault="00000000">
      <w:pPr>
        <w:pStyle w:val="NoSpacing"/>
        <w:numPr>
          <w:ilvl w:val="0"/>
          <w:numId w:val="33"/>
        </w:numPr>
      </w:pPr>
      <w:r>
        <w:rPr>
          <w:rFonts w:eastAsia="Arial Unicode MS" w:cs="Arial Unicode MS"/>
        </w:rPr>
        <w:t xml:space="preserve">Modificar las leyes y reglamentos que regulan los servicios de salud para prohibir la realización de prácticas médicas sin el consentimiento libre, previo e informado de las personas con discapacidad, incluyendo la esterilización y el aborto forzado. </w:t>
      </w:r>
    </w:p>
    <w:p w14:paraId="297BEE0C" w14:textId="77777777" w:rsidR="001A105D" w:rsidRDefault="00000000">
      <w:pPr>
        <w:pStyle w:val="NoSpacing"/>
        <w:numPr>
          <w:ilvl w:val="0"/>
          <w:numId w:val="33"/>
        </w:numPr>
      </w:pPr>
      <w:r>
        <w:rPr>
          <w:rFonts w:eastAsia="Arial Unicode MS" w:cs="Arial Unicode MS"/>
        </w:rPr>
        <w:t>Capacitar a profesionales de la salud y a futuros profesionales sobre el modelo social y de derechos humanos de la discapacidad, especialmente sobre el derecho a la capacidad jurídica plena y los derechos sexuales y reproductivos de las personas con discapacidad, a fin de eliminar los estereotipos que justifican prácticas eugenésicas y violan el consentimiento libre e informado de las personas con discapacidad.</w:t>
      </w:r>
    </w:p>
    <w:p w14:paraId="126809B2" w14:textId="77777777" w:rsidR="001A105D" w:rsidRDefault="00000000">
      <w:pPr>
        <w:pStyle w:val="NoSpacing"/>
        <w:numPr>
          <w:ilvl w:val="0"/>
          <w:numId w:val="33"/>
        </w:numPr>
      </w:pPr>
      <w:r>
        <w:rPr>
          <w:rFonts w:eastAsia="Arial Unicode MS" w:cs="Arial Unicode MS"/>
        </w:rPr>
        <w:t xml:space="preserve">Implementar protocolos y programas específicos para abordar la violencia de género, considerando la discapacidad y el enfoque interseccional como un factor central. </w:t>
      </w:r>
    </w:p>
    <w:p w14:paraId="3C48A225" w14:textId="77777777" w:rsidR="001A105D" w:rsidRDefault="00000000">
      <w:pPr>
        <w:pStyle w:val="NoSpacing"/>
        <w:numPr>
          <w:ilvl w:val="0"/>
          <w:numId w:val="33"/>
        </w:numPr>
      </w:pPr>
      <w:r>
        <w:rPr>
          <w:rFonts w:eastAsia="Arial Unicode MS" w:cs="Arial Unicode MS"/>
        </w:rPr>
        <w:t xml:space="preserve">Registrar tanto el número de mujeres y niñas con discapacidad que sufren violencia de género como los obstáculos que enfrentan al denunciar. </w:t>
      </w:r>
    </w:p>
    <w:p w14:paraId="49812CEC" w14:textId="77777777" w:rsidR="001A105D" w:rsidRDefault="00000000">
      <w:pPr>
        <w:pStyle w:val="NoSpacing"/>
        <w:numPr>
          <w:ilvl w:val="0"/>
          <w:numId w:val="33"/>
        </w:numPr>
      </w:pPr>
      <w:r>
        <w:lastRenderedPageBreak/>
        <w:t xml:space="preserve">Garantizar que los centros de justicia y atención a sobrevivientes cuenten con infraestructura adecuada y apoyo multidisciplinario. </w:t>
      </w:r>
    </w:p>
    <w:p w14:paraId="7BA53E82" w14:textId="77777777" w:rsidR="001A105D" w:rsidRDefault="00000000">
      <w:pPr>
        <w:pStyle w:val="NoSpacing"/>
        <w:numPr>
          <w:ilvl w:val="0"/>
          <w:numId w:val="33"/>
        </w:numPr>
      </w:pPr>
      <w:r>
        <w:rPr>
          <w:rFonts w:eastAsia="Arial Unicode MS" w:cs="Arial Unicode MS"/>
        </w:rPr>
        <w:t>Capacitar al personal de la salud en perspectiva de discapacidad, género y enfoque interseccional.</w:t>
      </w:r>
    </w:p>
    <w:p w14:paraId="0D5C0D32" w14:textId="77777777" w:rsidR="001A105D" w:rsidRDefault="00000000">
      <w:pPr>
        <w:pStyle w:val="NoSpacing"/>
        <w:numPr>
          <w:ilvl w:val="0"/>
          <w:numId w:val="33"/>
        </w:numPr>
      </w:pPr>
      <w:r>
        <w:t>Crear e implementar un protocolo con criterios detallados y equitativos, basados en principios de igualdad y no discriminación, para guiar las decisiones de los profesionales de la salud en contextos de emergencia y escasez de recursos. Establecer indicadores medibles para evaluar la aplicación efectiva de estos criterios en situaciones reales de emergencia.</w:t>
      </w:r>
    </w:p>
    <w:p w14:paraId="1F72F655" w14:textId="77777777" w:rsidR="001A105D" w:rsidRDefault="00000000">
      <w:pPr>
        <w:pStyle w:val="NoSpacing"/>
        <w:rPr>
          <w:rFonts w:ascii="Helvetica LT Std Bold" w:eastAsia="Helvetica LT Std Bold" w:hAnsi="Helvetica LT Std Bold" w:cs="Helvetica LT Std Bold"/>
          <w:color w:val="535353"/>
        </w:rPr>
      </w:pPr>
      <w:r>
        <w:rPr>
          <w:rFonts w:ascii="Helvetica LT Std Bold" w:hAnsi="Helvetica LT Std Bold"/>
          <w:color w:val="535353"/>
        </w:rPr>
        <w:t>Promoción de la capacidad jurídica</w:t>
      </w:r>
    </w:p>
    <w:p w14:paraId="1860D314" w14:textId="77777777" w:rsidR="001A105D" w:rsidRDefault="00000000">
      <w:pPr>
        <w:pStyle w:val="NoSpacing"/>
        <w:numPr>
          <w:ilvl w:val="0"/>
          <w:numId w:val="33"/>
        </w:numPr>
      </w:pPr>
      <w:r>
        <w:rPr>
          <w:rFonts w:eastAsia="Arial Unicode MS" w:cs="Arial Unicode MS"/>
        </w:rPr>
        <w:t>Eliminar las medidas legislativas que vulneran los derechos de las personas con discapacidad y promover su plena participación y autonomía en la toma de decisiones.</w:t>
      </w:r>
    </w:p>
    <w:p w14:paraId="558E6295" w14:textId="77777777" w:rsidR="001A105D" w:rsidRDefault="00000000">
      <w:pPr>
        <w:pStyle w:val="NoSpacing"/>
        <w:numPr>
          <w:ilvl w:val="0"/>
          <w:numId w:val="33"/>
        </w:numPr>
      </w:pPr>
      <w:r>
        <w:rPr>
          <w:rFonts w:eastAsia="Arial Unicode MS" w:cs="Arial Unicode MS"/>
        </w:rPr>
        <w:t>Establecer un programa de implementación de reformas legales y políticas para garantizar que las personas con discapacidad puedan ejercer su capacidad jurídica sin restricciones, con el objetivo de asegurar el pleno ejercicio de sus derechos humanos.</w:t>
      </w:r>
    </w:p>
    <w:p w14:paraId="5268D06F" w14:textId="77777777" w:rsidR="001A105D" w:rsidRDefault="00000000">
      <w:pPr>
        <w:pStyle w:val="NoSpacing"/>
        <w:numPr>
          <w:ilvl w:val="0"/>
          <w:numId w:val="33"/>
        </w:numPr>
      </w:pPr>
      <w:r>
        <w:rPr>
          <w:rFonts w:eastAsia="Arial Unicode MS" w:cs="Arial Unicode MS"/>
        </w:rPr>
        <w:t>Prohibir el internamiento involuntario y cualquier tratamiento forzoso de personas con discapacidad, garantizando el respeto a su autonomía y dignidad.</w:t>
      </w:r>
    </w:p>
    <w:p w14:paraId="1A111828" w14:textId="77777777" w:rsidR="001A105D" w:rsidRDefault="00000000">
      <w:pPr>
        <w:pStyle w:val="NoSpacing"/>
        <w:numPr>
          <w:ilvl w:val="0"/>
          <w:numId w:val="33"/>
        </w:numPr>
      </w:pPr>
      <w:r>
        <w:rPr>
          <w:rFonts w:eastAsia="Arial Unicode MS" w:cs="Arial Unicode MS"/>
        </w:rPr>
        <w:lastRenderedPageBreak/>
        <w:t>Implementar políticas y medidas para garantizar el derecho al voto y a postularse a cargos públicos de las personas con discapacidad, eliminando cualquier barrera que lo impida.</w:t>
      </w:r>
    </w:p>
    <w:p w14:paraId="1CD8643D" w14:textId="77777777" w:rsidR="001A105D" w:rsidRDefault="00000000">
      <w:pPr>
        <w:pStyle w:val="NoSpacing"/>
        <w:numPr>
          <w:ilvl w:val="0"/>
          <w:numId w:val="33"/>
        </w:numPr>
      </w:pPr>
      <w:r>
        <w:rPr>
          <w:rFonts w:eastAsia="Arial Unicode MS" w:cs="Arial Unicode MS"/>
        </w:rPr>
        <w:t>Establecer normativas que prohíban la esterilización forzada o cualquier tratamiento anticonceptivo sin el consentimiento informado de la persona con discapacidad.</w:t>
      </w:r>
    </w:p>
    <w:p w14:paraId="348A4A5C" w14:textId="77777777" w:rsidR="001A105D" w:rsidRDefault="00000000">
      <w:pPr>
        <w:pStyle w:val="NoSpacing"/>
        <w:numPr>
          <w:ilvl w:val="0"/>
          <w:numId w:val="33"/>
        </w:numPr>
      </w:pPr>
      <w:r>
        <w:rPr>
          <w:rFonts w:eastAsia="Arial Unicode MS" w:cs="Arial Unicode MS"/>
        </w:rPr>
        <w:t>Promover la educación inclusiva y el acceso equitativo a oportunidades de empleo para personas con discapacidad, garantizando su plena participación en la sociedad.</w:t>
      </w:r>
    </w:p>
    <w:p w14:paraId="385368DD" w14:textId="77777777" w:rsidR="001A105D" w:rsidRDefault="00000000">
      <w:pPr>
        <w:pStyle w:val="NoSpacing"/>
        <w:numPr>
          <w:ilvl w:val="0"/>
          <w:numId w:val="33"/>
        </w:numPr>
      </w:pPr>
      <w:r>
        <w:t>Establecer mecanismos de seguimiento y evaluación periódica para monitorear el cumplimiento de estas acciones y su impacto en la protección de los derechos de las personas con discapacidad.</w:t>
      </w:r>
    </w:p>
    <w:p w14:paraId="72EABE06" w14:textId="77777777" w:rsidR="001A105D" w:rsidRDefault="00000000">
      <w:pPr>
        <w:pStyle w:val="NoSpacing"/>
        <w:numPr>
          <w:ilvl w:val="0"/>
          <w:numId w:val="33"/>
        </w:numPr>
      </w:pPr>
      <w:r>
        <w:t>Erradicar las prácticas nocivas que restringen los derechos, promoviendo la inclusión y no discriminación de las personas con discapacidad en todos los ámbitos, tanto públicos como privados.</w:t>
      </w:r>
    </w:p>
    <w:p w14:paraId="3288E0EB" w14:textId="77777777" w:rsidR="001A105D" w:rsidRDefault="00000000">
      <w:pPr>
        <w:pStyle w:val="NoSpacing"/>
        <w:numPr>
          <w:ilvl w:val="0"/>
          <w:numId w:val="33"/>
        </w:numPr>
      </w:pPr>
      <w:r>
        <w:rPr>
          <w:rFonts w:eastAsia="Arial Unicode MS" w:cs="Arial Unicode MS"/>
        </w:rPr>
        <w:t>Identificar y definir las prácticas nocivas que restringen los derechos de las personas con discapacidad, tanto en el sector público como en el privado.</w:t>
      </w:r>
    </w:p>
    <w:p w14:paraId="48297136" w14:textId="77777777" w:rsidR="001A105D" w:rsidRDefault="00000000">
      <w:pPr>
        <w:pStyle w:val="NoSpacing"/>
        <w:numPr>
          <w:ilvl w:val="0"/>
          <w:numId w:val="33"/>
        </w:numPr>
      </w:pPr>
      <w:r>
        <w:t>Establecer una legislación clara y coherente que prohíba estas prácticas, basada en el modelo social que reconozca y promueva los derechos y la autonomía de las personas con discapacidad.</w:t>
      </w:r>
    </w:p>
    <w:p w14:paraId="78E8F649" w14:textId="77777777" w:rsidR="001A105D" w:rsidRDefault="00000000">
      <w:pPr>
        <w:pStyle w:val="NoSpacing"/>
        <w:numPr>
          <w:ilvl w:val="0"/>
          <w:numId w:val="33"/>
        </w:numPr>
      </w:pPr>
      <w:r>
        <w:rPr>
          <w:rFonts w:eastAsia="Arial Unicode MS" w:cs="Arial Unicode MS"/>
        </w:rPr>
        <w:lastRenderedPageBreak/>
        <w:t>Implementar mecanismos efectivos de sanción para aquellos que realicen prácticas nocivas, asegurando la aplicación de medidas punitivas proporcionales y disuasorias.</w:t>
      </w:r>
    </w:p>
    <w:p w14:paraId="1C3D4E46" w14:textId="77777777" w:rsidR="001A105D" w:rsidRDefault="00000000">
      <w:pPr>
        <w:pStyle w:val="NoSpacing"/>
        <w:numPr>
          <w:ilvl w:val="0"/>
          <w:numId w:val="33"/>
        </w:numPr>
      </w:pPr>
      <w:r>
        <w:rPr>
          <w:rFonts w:eastAsia="Arial Unicode MS" w:cs="Arial Unicode MS"/>
        </w:rPr>
        <w:t>Capacitar a los funcionarios públicos y a los empleados del sector privado sobre los derechos de las personas con discapacidad y las consecuencias de las prácticas nocivas, fomentando una cultura de respeto e inclusión.</w:t>
      </w:r>
    </w:p>
    <w:p w14:paraId="76F0A1BA" w14:textId="77777777" w:rsidR="001A105D" w:rsidRDefault="00000000">
      <w:pPr>
        <w:pStyle w:val="NoSpacing"/>
        <w:numPr>
          <w:ilvl w:val="0"/>
          <w:numId w:val="33"/>
        </w:numPr>
      </w:pPr>
      <w:r>
        <w:rPr>
          <w:rFonts w:eastAsia="Arial Unicode MS" w:cs="Arial Unicode MS"/>
        </w:rPr>
        <w:t>Establecer sistemas de monitoreo y evaluación para supervisar el cumplimiento de la legislación y detectar posibles casos de prácticas nocivas, con el fin de tomar medidas correctivas oportunas.</w:t>
      </w:r>
    </w:p>
    <w:p w14:paraId="087955A8" w14:textId="77777777" w:rsidR="001A105D" w:rsidRDefault="00000000">
      <w:pPr>
        <w:pStyle w:val="NoSpacing"/>
        <w:numPr>
          <w:ilvl w:val="0"/>
          <w:numId w:val="33"/>
        </w:numPr>
      </w:pPr>
      <w:r>
        <w:t>Establecer e implementar políticas para desarrollar sistemas de apoyo y salvaguardias que permitan a todas las personas con discapacidad, incluidas aquellas que requieran diferentes niveles de asistencia, ejercer plenamente su capacidad jurídica.</w:t>
      </w:r>
    </w:p>
    <w:p w14:paraId="31D7D5E4" w14:textId="77777777" w:rsidR="001A105D" w:rsidRDefault="00000000">
      <w:pPr>
        <w:pStyle w:val="NoSpacing"/>
        <w:numPr>
          <w:ilvl w:val="0"/>
          <w:numId w:val="33"/>
        </w:numPr>
      </w:pPr>
      <w:r>
        <w:t>Formular un marco jurídico claro y coherente que establezca los sistemas de apoyo y salvaguardias, basado en los estándares y principios del marco internacional de derechos humanos.</w:t>
      </w:r>
    </w:p>
    <w:p w14:paraId="403546B9" w14:textId="77777777" w:rsidR="001A105D" w:rsidRDefault="00000000">
      <w:pPr>
        <w:pStyle w:val="NoSpacing"/>
        <w:numPr>
          <w:ilvl w:val="0"/>
          <w:numId w:val="33"/>
        </w:numPr>
      </w:pPr>
      <w:r>
        <w:rPr>
          <w:rFonts w:eastAsia="Arial Unicode MS" w:cs="Arial Unicode MS"/>
        </w:rPr>
        <w:t>Identificar las necesidades específicas de apoyo de las personas con discapacidad, considerando diferentes niveles de asistencia según cada caso individual.</w:t>
      </w:r>
    </w:p>
    <w:p w14:paraId="56E6F834" w14:textId="77777777" w:rsidR="001A105D" w:rsidRDefault="00000000">
      <w:pPr>
        <w:pStyle w:val="NoSpacing"/>
        <w:numPr>
          <w:ilvl w:val="0"/>
          <w:numId w:val="33"/>
        </w:numPr>
      </w:pPr>
      <w:r>
        <w:rPr>
          <w:rFonts w:eastAsia="Arial Unicode MS" w:cs="Arial Unicode MS"/>
        </w:rPr>
        <w:t>Desarrollar e implementar programas de capacitación para profesionales, funcionarios públicos y cuidadores sobre la importancia de respetar la capacidad jurídica de las personas con discapacidad y cómo proporcionar apoyo adecuado sin restringir sus derechos.</w:t>
      </w:r>
    </w:p>
    <w:p w14:paraId="75CCCA4A" w14:textId="77777777" w:rsidR="001A105D" w:rsidRDefault="00000000">
      <w:pPr>
        <w:pStyle w:val="NoSpacing"/>
        <w:numPr>
          <w:ilvl w:val="0"/>
          <w:numId w:val="33"/>
        </w:numPr>
      </w:pPr>
      <w:r>
        <w:rPr>
          <w:rFonts w:eastAsia="Arial Unicode MS" w:cs="Arial Unicode MS"/>
        </w:rPr>
        <w:lastRenderedPageBreak/>
        <w:t>Destinar recursos públicos suficientes para la implementación efectiva de estos sistemas de apoyo y salvaguardias, asegurando su accesibilidad y disponibilidad para todas las personas con discapacidad que lo requieran.</w:t>
      </w:r>
    </w:p>
    <w:p w14:paraId="4C796C32" w14:textId="77777777" w:rsidR="001A105D" w:rsidRDefault="00000000">
      <w:pPr>
        <w:pStyle w:val="NoSpacing"/>
        <w:numPr>
          <w:ilvl w:val="0"/>
          <w:numId w:val="33"/>
        </w:numPr>
      </w:pPr>
      <w:r>
        <w:rPr>
          <w:rFonts w:eastAsia="Arial Unicode MS" w:cs="Arial Unicode MS"/>
        </w:rPr>
        <w:t>Establecer mecanismos de monitoreo y evaluación para medir el impacto y la efectividad de los sistemas de apoyo y salvaguardias en el ejercicio de la capacidad jurídica de las personas con discapacidad.</w:t>
      </w:r>
    </w:p>
    <w:p w14:paraId="6938A8FB" w14:textId="77777777" w:rsidR="001A105D" w:rsidRDefault="00000000">
      <w:pPr>
        <w:pStyle w:val="NoSpacing"/>
        <w:numPr>
          <w:ilvl w:val="0"/>
          <w:numId w:val="33"/>
        </w:numPr>
      </w:pPr>
      <w:r>
        <w:rPr>
          <w:rFonts w:eastAsia="Arial Unicode MS" w:cs="Arial Unicode MS"/>
        </w:rPr>
        <w:t xml:space="preserve">Promover la difusión de información sobre el modelo de toma de decisiones con apoyos a personas con discapacidad y sus familias, así como establecer planes y evaluaciones de apoyos con la participación directa y vinculante de las propias personas con discapacidad. </w:t>
      </w:r>
    </w:p>
    <w:p w14:paraId="3DB797D3" w14:textId="77777777" w:rsidR="001A105D" w:rsidRDefault="00000000">
      <w:pPr>
        <w:pStyle w:val="NoSpacing"/>
        <w:numPr>
          <w:ilvl w:val="0"/>
          <w:numId w:val="33"/>
        </w:numPr>
      </w:pPr>
      <w:r>
        <w:rPr>
          <w:rFonts w:eastAsia="Arial Unicode MS" w:cs="Arial Unicode MS"/>
        </w:rPr>
        <w:t>Elaborar material informativo claro y accesible sobre el modelo de toma de decisiones con apoyos dirigido a personas con discapacidad, sus familias y la comunidad en general.</w:t>
      </w:r>
    </w:p>
    <w:p w14:paraId="4748500B" w14:textId="77777777" w:rsidR="001A105D" w:rsidRDefault="00000000">
      <w:pPr>
        <w:pStyle w:val="NoSpacing"/>
        <w:numPr>
          <w:ilvl w:val="0"/>
          <w:numId w:val="33"/>
        </w:numPr>
      </w:pPr>
      <w:r>
        <w:rPr>
          <w:rFonts w:eastAsia="Arial Unicode MS" w:cs="Arial Unicode MS"/>
        </w:rPr>
        <w:t xml:space="preserve">Establecer procedimientos para la evaluación de las necesidades de apoyo de las personas con discapacidad, con la </w:t>
      </w:r>
      <w:proofErr w:type="gramStart"/>
      <w:r>
        <w:rPr>
          <w:rFonts w:eastAsia="Arial Unicode MS" w:cs="Arial Unicode MS"/>
        </w:rPr>
        <w:t>participación activa</w:t>
      </w:r>
      <w:proofErr w:type="gramEnd"/>
      <w:r>
        <w:rPr>
          <w:rFonts w:eastAsia="Arial Unicode MS" w:cs="Arial Unicode MS"/>
        </w:rPr>
        <w:t xml:space="preserve"> y vinculante de las propias personas con discapacidad en este proceso.</w:t>
      </w:r>
    </w:p>
    <w:p w14:paraId="3C33A065" w14:textId="77777777" w:rsidR="001A105D" w:rsidRDefault="00000000">
      <w:pPr>
        <w:pStyle w:val="NoSpacing"/>
        <w:numPr>
          <w:ilvl w:val="0"/>
          <w:numId w:val="33"/>
        </w:numPr>
      </w:pPr>
      <w:r>
        <w:rPr>
          <w:rFonts w:eastAsia="Arial Unicode MS" w:cs="Arial Unicode MS"/>
        </w:rPr>
        <w:t>Establecer sistemas de seguimiento y evaluación para monitorear la difusión de la información, la participación de las personas con discapacidad en la evaluación de apoyos y la efectividad de los programas de capacitación.</w:t>
      </w:r>
    </w:p>
    <w:p w14:paraId="239D19D6" w14:textId="77777777" w:rsidR="001A105D" w:rsidRDefault="00000000">
      <w:pPr>
        <w:pStyle w:val="NoSpacing"/>
        <w:numPr>
          <w:ilvl w:val="0"/>
          <w:numId w:val="33"/>
        </w:numPr>
      </w:pPr>
      <w:r>
        <w:rPr>
          <w:rFonts w:eastAsia="Arial Unicode MS" w:cs="Arial Unicode MS"/>
        </w:rPr>
        <w:t xml:space="preserve">Implementar mecanismos de retroalimentación que permitan a las personas con discapacidad y sus familias brindar </w:t>
      </w:r>
      <w:r>
        <w:rPr>
          <w:rFonts w:eastAsia="Arial Unicode MS" w:cs="Arial Unicode MS"/>
        </w:rPr>
        <w:lastRenderedPageBreak/>
        <w:t>comentarios y sugerencias sobre el proceso de evaluación de apoyos y la capacitación de los profesionales involucrados.</w:t>
      </w:r>
    </w:p>
    <w:p w14:paraId="5CF4E3BB" w14:textId="77777777" w:rsidR="001A105D" w:rsidRDefault="00000000">
      <w:pPr>
        <w:pStyle w:val="NoSpacing"/>
        <w:numPr>
          <w:ilvl w:val="0"/>
          <w:numId w:val="33"/>
        </w:numPr>
      </w:pPr>
      <w:r>
        <w:t>Establecer un programa de capacitación periódica y continua para operadores de justicia y otros actores relevantes en todos los niveles, con el objetivo de asegurar que las personas con discapacidad puedan ejercer su capacidad jurídica sin restricciones.</w:t>
      </w:r>
    </w:p>
    <w:p w14:paraId="39D17798" w14:textId="77777777" w:rsidR="001A105D" w:rsidRDefault="00000000">
      <w:pPr>
        <w:pStyle w:val="NoSpacing"/>
        <w:numPr>
          <w:ilvl w:val="0"/>
          <w:numId w:val="33"/>
        </w:numPr>
      </w:pPr>
      <w:r>
        <w:t>Implementar medidas inmediatas para restablecer la capacidad jurídica de las personas con discapacidad que han visto limitado este derecho y/o están bajo declaratorias de interdicción.</w:t>
      </w:r>
    </w:p>
    <w:p w14:paraId="33E5C2F5" w14:textId="77777777" w:rsidR="001A105D" w:rsidRDefault="00000000">
      <w:pPr>
        <w:pStyle w:val="NoSpacing"/>
        <w:numPr>
          <w:ilvl w:val="0"/>
          <w:numId w:val="33"/>
        </w:numPr>
      </w:pPr>
      <w:r>
        <w:rPr>
          <w:rFonts w:eastAsia="Arial Unicode MS" w:cs="Arial Unicode MS"/>
        </w:rPr>
        <w:t>Revisar los casos de personas con discapacidad bajo declaratorias de interdicción para identificar aquellos en los que sea posible restablecer su capacidad jurídica.</w:t>
      </w:r>
    </w:p>
    <w:p w14:paraId="10750873" w14:textId="77777777" w:rsidR="001A105D" w:rsidRDefault="00000000">
      <w:pPr>
        <w:pStyle w:val="NoSpacing"/>
        <w:numPr>
          <w:ilvl w:val="0"/>
          <w:numId w:val="33"/>
        </w:numPr>
      </w:pPr>
      <w:r>
        <w:rPr>
          <w:rFonts w:eastAsia="Arial Unicode MS" w:cs="Arial Unicode MS"/>
        </w:rPr>
        <w:t>Establecer procesos ágiles y eficientes para la revisión y revocación de declaratorias de interdicción, asegurando la participación directa de las personas con discapacidad en este proceso, siempre que sea posible.</w:t>
      </w:r>
    </w:p>
    <w:p w14:paraId="74D1D647" w14:textId="77777777" w:rsidR="001A105D" w:rsidRDefault="00000000">
      <w:pPr>
        <w:pStyle w:val="NoSpacing"/>
        <w:numPr>
          <w:ilvl w:val="0"/>
          <w:numId w:val="33"/>
        </w:numPr>
      </w:pPr>
      <w:r>
        <w:rPr>
          <w:rFonts w:eastAsia="Arial Unicode MS" w:cs="Arial Unicode MS"/>
        </w:rPr>
        <w:t>Designar equipos multidisciplinarios que evalúen las necesidades de apoyo de las personas con discapacidad y desarrollen planes individualizados para garantizar su plena capacidad jurídica con los apoyos adecuados.</w:t>
      </w:r>
    </w:p>
    <w:p w14:paraId="31164BF8" w14:textId="77777777" w:rsidR="001A105D" w:rsidRDefault="00000000">
      <w:pPr>
        <w:pStyle w:val="NoSpacing"/>
        <w:numPr>
          <w:ilvl w:val="0"/>
          <w:numId w:val="33"/>
        </w:numPr>
      </w:pPr>
      <w:r>
        <w:rPr>
          <w:rFonts w:eastAsia="Arial Unicode MS" w:cs="Arial Unicode MS"/>
        </w:rPr>
        <w:t>Proporcionar recursos y servicios de apoyo necesarios para facilitar la transición hacia el restablecimiento de la capacidad jurídica de las personas con discapacidad, incluyendo asesoramiento legal, servicios sociales y de salud mental, entre otros.</w:t>
      </w:r>
    </w:p>
    <w:p w14:paraId="3F6D2B68" w14:textId="77777777" w:rsidR="001A105D" w:rsidRDefault="00000000">
      <w:pPr>
        <w:pStyle w:val="NoSpacing"/>
        <w:numPr>
          <w:ilvl w:val="0"/>
          <w:numId w:val="33"/>
        </w:numPr>
      </w:pPr>
      <w:r>
        <w:rPr>
          <w:rFonts w:eastAsia="Arial Unicode MS" w:cs="Arial Unicode MS"/>
        </w:rPr>
        <w:lastRenderedPageBreak/>
        <w:t xml:space="preserve">Establecer mecanismos de seguimiento para monitorear el progreso y el impacto del restablecimiento de la capacidad jurídica de las personas con discapacidad, asegurando su </w:t>
      </w:r>
      <w:proofErr w:type="gramStart"/>
      <w:r>
        <w:rPr>
          <w:rFonts w:eastAsia="Arial Unicode MS" w:cs="Arial Unicode MS"/>
        </w:rPr>
        <w:t>participación activa</w:t>
      </w:r>
      <w:proofErr w:type="gramEnd"/>
      <w:r>
        <w:rPr>
          <w:rFonts w:eastAsia="Arial Unicode MS" w:cs="Arial Unicode MS"/>
        </w:rPr>
        <w:t xml:space="preserve"> en la toma de decisiones relacionadas con su vida y bienestar.</w:t>
      </w:r>
    </w:p>
    <w:p w14:paraId="5A27051A" w14:textId="77777777" w:rsidR="001A105D" w:rsidRDefault="00000000">
      <w:pPr>
        <w:pStyle w:val="NoSpacing"/>
        <w:rPr>
          <w:rFonts w:ascii="Helvetica LT Std Bold" w:eastAsia="Helvetica LT Std Bold" w:hAnsi="Helvetica LT Std Bold" w:cs="Helvetica LT Std Bold"/>
          <w:color w:val="535353"/>
        </w:rPr>
      </w:pPr>
      <w:r>
        <w:rPr>
          <w:rFonts w:ascii="Helvetica LT Std Bold" w:hAnsi="Helvetica LT Std Bold"/>
          <w:color w:val="535353"/>
        </w:rPr>
        <w:t>Desarrollo de políticas públicas inclusivas</w:t>
      </w:r>
    </w:p>
    <w:p w14:paraId="25FBABDC" w14:textId="77777777" w:rsidR="001A105D" w:rsidRDefault="00000000">
      <w:pPr>
        <w:pStyle w:val="NoSpacing"/>
        <w:numPr>
          <w:ilvl w:val="0"/>
          <w:numId w:val="33"/>
        </w:numPr>
      </w:pPr>
      <w:r>
        <w:rPr>
          <w:rFonts w:eastAsia="Arial Unicode MS" w:cs="Arial Unicode MS"/>
        </w:rPr>
        <w:t>Establecer y aplicar un protocolo que garantice el derecho a la consulta y participación informada y vinculante de las organizaciones de la sociedad civil de personas con discapacidad en todas las fases de diseño, implementación, monitoreo y evaluación de normas y políticas de interés público, se relacionen o no con los temas de discapacidad.</w:t>
      </w:r>
    </w:p>
    <w:p w14:paraId="42FCE299" w14:textId="77777777" w:rsidR="001A105D" w:rsidRDefault="00000000">
      <w:pPr>
        <w:pStyle w:val="NoSpacing"/>
        <w:numPr>
          <w:ilvl w:val="0"/>
          <w:numId w:val="33"/>
        </w:numPr>
      </w:pPr>
      <w:r>
        <w:rPr>
          <w:rFonts w:eastAsia="Arial Unicode MS" w:cs="Arial Unicode MS"/>
        </w:rPr>
        <w:t xml:space="preserve">Desarrollar un protocolo detallado que establezca los procedimientos y criterios para la consulta y participación de las organizaciones de la sociedad civil de personas con discapacidad en los procesos de diseño, implementación, monitoreo y evaluación de normas y políticas, con la participación de </w:t>
      </w:r>
      <w:proofErr w:type="gramStart"/>
      <w:r>
        <w:rPr>
          <w:rFonts w:eastAsia="Arial Unicode MS" w:cs="Arial Unicode MS"/>
        </w:rPr>
        <w:t>las mismas</w:t>
      </w:r>
      <w:proofErr w:type="gramEnd"/>
      <w:r>
        <w:rPr>
          <w:rFonts w:eastAsia="Arial Unicode MS" w:cs="Arial Unicode MS"/>
        </w:rPr>
        <w:t xml:space="preserve"> en la elaboración del protocolo.</w:t>
      </w:r>
    </w:p>
    <w:p w14:paraId="7A8DF2F3" w14:textId="77777777" w:rsidR="001A105D" w:rsidRDefault="00000000">
      <w:pPr>
        <w:pStyle w:val="NoSpacing"/>
        <w:numPr>
          <w:ilvl w:val="0"/>
          <w:numId w:val="33"/>
        </w:numPr>
      </w:pPr>
      <w:r>
        <w:t>Garantizar la accesibilidad del protocolo y sus procedimientos para asegurar la participación plena y efectiva de las organizaciones de la sociedad civil de personas con discapacidad.</w:t>
      </w:r>
    </w:p>
    <w:p w14:paraId="32AE5FA5" w14:textId="77777777" w:rsidR="001A105D" w:rsidRDefault="00000000">
      <w:pPr>
        <w:pStyle w:val="NoSpacing"/>
        <w:numPr>
          <w:ilvl w:val="0"/>
          <w:numId w:val="33"/>
        </w:numPr>
      </w:pPr>
      <w:r>
        <w:rPr>
          <w:rFonts w:eastAsia="Arial Unicode MS" w:cs="Arial Unicode MS"/>
        </w:rPr>
        <w:t>Capacitar a funcionarios y personal relevante en la aplicación del protocolo, incluyendo la sensibilización sobre los derechos y necesidades de las personas con discapacidad y las organizaciones que las representan.</w:t>
      </w:r>
    </w:p>
    <w:p w14:paraId="66981115" w14:textId="77777777" w:rsidR="001A105D" w:rsidRDefault="00000000">
      <w:pPr>
        <w:pStyle w:val="NoSpacing"/>
        <w:numPr>
          <w:ilvl w:val="0"/>
          <w:numId w:val="33"/>
        </w:numPr>
      </w:pPr>
      <w:r>
        <w:rPr>
          <w:rFonts w:eastAsia="Arial Unicode MS" w:cs="Arial Unicode MS"/>
        </w:rPr>
        <w:lastRenderedPageBreak/>
        <w:t>Establecer mecanismos de divulgación y difusión del protocolo a las organizaciones de la sociedad civil de personas con discapacidad, así como de retroalimentación para mejorar continuamente su aplicación.</w:t>
      </w:r>
    </w:p>
    <w:p w14:paraId="72D45227" w14:textId="77777777" w:rsidR="001A105D" w:rsidRDefault="00000000">
      <w:pPr>
        <w:pStyle w:val="NoSpacing"/>
        <w:numPr>
          <w:ilvl w:val="0"/>
          <w:numId w:val="33"/>
        </w:numPr>
      </w:pPr>
      <w:r>
        <w:rPr>
          <w:rFonts w:eastAsia="Arial Unicode MS" w:cs="Arial Unicode MS"/>
        </w:rPr>
        <w:t>Integrar la consulta y participación de las organizaciones de la sociedad civil de personas con discapacidad como un componente fundamental en todos los procesos de desarrollo y revisión de normas y políticas.</w:t>
      </w:r>
    </w:p>
    <w:p w14:paraId="5660A837" w14:textId="77777777" w:rsidR="001A105D" w:rsidRDefault="00000000">
      <w:pPr>
        <w:pStyle w:val="NoSpacing"/>
        <w:numPr>
          <w:ilvl w:val="0"/>
          <w:numId w:val="33"/>
        </w:numPr>
      </w:pPr>
      <w:r>
        <w:rPr>
          <w:rFonts w:eastAsia="Arial Unicode MS" w:cs="Arial Unicode MS"/>
        </w:rPr>
        <w:t>Fortalecer mecanismos institucionales para la promoción y protección de los derechos de las personas con discapacidad.</w:t>
      </w:r>
    </w:p>
    <w:p w14:paraId="55221E2C" w14:textId="77777777" w:rsidR="001A105D" w:rsidRDefault="00000000">
      <w:pPr>
        <w:pStyle w:val="NoSpacing"/>
        <w:numPr>
          <w:ilvl w:val="0"/>
          <w:numId w:val="33"/>
        </w:numPr>
      </w:pPr>
      <w:r>
        <w:rPr>
          <w:rFonts w:eastAsia="Arial Unicode MS" w:cs="Arial Unicode MS"/>
        </w:rPr>
        <w:t>Revisar la estructura y el mandato de los mecanismos, instituciones o estructuras de derechos humanos que asuman el monitoreo de derechos de las personas con discapacidad, a fin de asegurar que aborden de manera específica e independiente las causas de la discriminación contra las personas con discapacidad.</w:t>
      </w:r>
    </w:p>
    <w:p w14:paraId="18EC4FCF" w14:textId="77777777" w:rsidR="001A105D" w:rsidRDefault="00000000">
      <w:pPr>
        <w:pStyle w:val="NoSpacing"/>
        <w:numPr>
          <w:ilvl w:val="0"/>
          <w:numId w:val="33"/>
        </w:numPr>
      </w:pPr>
      <w:r>
        <w:rPr>
          <w:rFonts w:eastAsia="Arial Unicode MS" w:cs="Arial Unicode MS"/>
        </w:rPr>
        <w:t>Asignar recursos adecuados y garantizar la independencia financiera de estas entidades para que puedan llevar a cabo sus funciones de manera efectiva.</w:t>
      </w:r>
    </w:p>
    <w:p w14:paraId="3CBE792A" w14:textId="77777777" w:rsidR="001A105D" w:rsidRDefault="00000000">
      <w:pPr>
        <w:pStyle w:val="NoSpacing"/>
        <w:numPr>
          <w:ilvl w:val="0"/>
          <w:numId w:val="33"/>
        </w:numPr>
      </w:pPr>
      <w:r>
        <w:rPr>
          <w:rFonts w:eastAsia="Arial Unicode MS" w:cs="Arial Unicode MS"/>
        </w:rPr>
        <w:t xml:space="preserve">Facilitar la </w:t>
      </w:r>
      <w:proofErr w:type="gramStart"/>
      <w:r>
        <w:rPr>
          <w:rFonts w:eastAsia="Arial Unicode MS" w:cs="Arial Unicode MS"/>
        </w:rPr>
        <w:t>participación activa</w:t>
      </w:r>
      <w:proofErr w:type="gramEnd"/>
      <w:r>
        <w:rPr>
          <w:rFonts w:eastAsia="Arial Unicode MS" w:cs="Arial Unicode MS"/>
        </w:rPr>
        <w:t xml:space="preserve"> de personas con discapacidad en la dirección y toma de decisiones de estos mecanismos, asegurando su representación en todas las etapas de diseño, implementación y evaluación de políticas y programas.</w:t>
      </w:r>
    </w:p>
    <w:p w14:paraId="723B063D" w14:textId="77777777" w:rsidR="001A105D" w:rsidRDefault="00000000">
      <w:pPr>
        <w:pStyle w:val="NoSpacing"/>
        <w:numPr>
          <w:ilvl w:val="0"/>
          <w:numId w:val="33"/>
        </w:numPr>
      </w:pPr>
      <w:r>
        <w:rPr>
          <w:rFonts w:eastAsia="Arial Unicode MS" w:cs="Arial Unicode MS"/>
        </w:rPr>
        <w:t xml:space="preserve">Desarrollar y promover campañas de concientización pública sobre los derechos de las personas con discapacidad y las </w:t>
      </w:r>
      <w:r>
        <w:rPr>
          <w:rFonts w:eastAsia="Arial Unicode MS" w:cs="Arial Unicode MS"/>
        </w:rPr>
        <w:lastRenderedPageBreak/>
        <w:t>formas de prevenir y erradicar la discriminación, en colaboración con estas entidades de derechos humanos.</w:t>
      </w:r>
    </w:p>
    <w:p w14:paraId="5D6B4506" w14:textId="77777777" w:rsidR="001A105D" w:rsidRDefault="00000000">
      <w:pPr>
        <w:pStyle w:val="NoSpacing"/>
        <w:numPr>
          <w:ilvl w:val="0"/>
          <w:numId w:val="33"/>
        </w:numPr>
      </w:pPr>
      <w:r>
        <w:rPr>
          <w:rFonts w:eastAsia="Arial Unicode MS" w:cs="Arial Unicode MS"/>
        </w:rPr>
        <w:t>Establecer mecanismos de monitoreo y evaluación independientes para supervisar el cumplimiento de las recomendaciones y acciones propuestas por estas instituciones en la lucha contra la discriminación hacia las personas con discapacidad.</w:t>
      </w:r>
    </w:p>
    <w:p w14:paraId="7743E28D" w14:textId="77777777" w:rsidR="001A105D" w:rsidRDefault="00000000">
      <w:pPr>
        <w:pStyle w:val="NoSpacing"/>
        <w:numPr>
          <w:ilvl w:val="0"/>
          <w:numId w:val="33"/>
        </w:numPr>
      </w:pPr>
      <w:r>
        <w:rPr>
          <w:rFonts w:eastAsia="Arial Unicode MS" w:cs="Arial Unicode MS"/>
        </w:rPr>
        <w:t>Diseñar, implementar y evaluar políticas nacionales para la promoción de los derechos de las personas con discapacidad, armonizada con los estándares regionales e internacionales en la materia.</w:t>
      </w:r>
    </w:p>
    <w:p w14:paraId="0257203B" w14:textId="77777777" w:rsidR="001A105D" w:rsidRDefault="00000000">
      <w:pPr>
        <w:pStyle w:val="NoSpacing"/>
        <w:numPr>
          <w:ilvl w:val="0"/>
          <w:numId w:val="33"/>
        </w:numPr>
      </w:pPr>
      <w:r>
        <w:t xml:space="preserve">Elaborar un borrador de política nacional en consulta con personas con discapacidad y organizaciones representativas, garantizando su </w:t>
      </w:r>
      <w:proofErr w:type="gramStart"/>
      <w:r>
        <w:t>participación activa</w:t>
      </w:r>
      <w:proofErr w:type="gramEnd"/>
      <w:r>
        <w:t xml:space="preserve"> en todas las etapas del proceso.</w:t>
      </w:r>
    </w:p>
    <w:p w14:paraId="637C2537" w14:textId="77777777" w:rsidR="001A105D" w:rsidRDefault="00000000">
      <w:pPr>
        <w:pStyle w:val="NoSpacing"/>
        <w:numPr>
          <w:ilvl w:val="0"/>
          <w:numId w:val="33"/>
        </w:numPr>
      </w:pPr>
      <w:r>
        <w:rPr>
          <w:rFonts w:eastAsia="Arial Unicode MS" w:cs="Arial Unicode MS"/>
        </w:rPr>
        <w:t>Establecer objetivos claros y alcanzables, así como metas específicas y medibles que reflejen las necesidades y aspiraciones de las personas con discapacidad.</w:t>
      </w:r>
    </w:p>
    <w:p w14:paraId="2CAC8826" w14:textId="77777777" w:rsidR="001A105D" w:rsidRDefault="00000000">
      <w:pPr>
        <w:pStyle w:val="NoSpacing"/>
        <w:numPr>
          <w:ilvl w:val="0"/>
          <w:numId w:val="33"/>
        </w:numPr>
      </w:pPr>
      <w:r>
        <w:rPr>
          <w:rFonts w:eastAsia="Arial Unicode MS" w:cs="Arial Unicode MS"/>
        </w:rPr>
        <w:t>Implementar la política nacional, asignando recursos adecuados y capacitando a los actores relevantes para su ejecución efectiva.</w:t>
      </w:r>
    </w:p>
    <w:p w14:paraId="71EFEA20" w14:textId="77777777" w:rsidR="001A105D" w:rsidRDefault="00000000">
      <w:pPr>
        <w:pStyle w:val="NoSpacing"/>
        <w:numPr>
          <w:ilvl w:val="0"/>
          <w:numId w:val="33"/>
        </w:numPr>
      </w:pPr>
      <w:r>
        <w:rPr>
          <w:rFonts w:eastAsia="Arial Unicode MS" w:cs="Arial Unicode MS"/>
        </w:rPr>
        <w:t>Establecer un sistema de monitoreo y evaluación que recoja datos sobre el progreso de la política y permita ajustes según sea necesario para alcanzar los objetivos establecidos.</w:t>
      </w:r>
    </w:p>
    <w:p w14:paraId="1BF5C30A" w14:textId="77777777" w:rsidR="001A105D" w:rsidRDefault="00000000">
      <w:pPr>
        <w:pStyle w:val="NoSpacing"/>
        <w:numPr>
          <w:ilvl w:val="0"/>
          <w:numId w:val="33"/>
        </w:numPr>
      </w:pPr>
      <w:r>
        <w:rPr>
          <w:rFonts w:eastAsia="Arial Unicode MS" w:cs="Arial Unicode MS"/>
        </w:rPr>
        <w:lastRenderedPageBreak/>
        <w:t>Realizar evaluaciones periódicas y participativas de la política nacional, involucrando a personas con discapacidad y sus organizaciones en el proceso de revisión y retroalimentación.</w:t>
      </w:r>
    </w:p>
    <w:p w14:paraId="3E482263" w14:textId="77777777" w:rsidR="001A105D" w:rsidRDefault="00000000">
      <w:pPr>
        <w:pStyle w:val="NoSpacing"/>
        <w:numPr>
          <w:ilvl w:val="0"/>
          <w:numId w:val="33"/>
        </w:numPr>
      </w:pPr>
      <w:r>
        <w:rPr>
          <w:rFonts w:eastAsia="Arial Unicode MS" w:cs="Arial Unicode MS"/>
        </w:rPr>
        <w:t>Identificar y abordar los desafíos y obstáculos encontrados durante la implementación de la política, desarrollando planes de acción específicos para superarlos.</w:t>
      </w:r>
    </w:p>
    <w:p w14:paraId="705BFBF1" w14:textId="77777777" w:rsidR="001A105D" w:rsidRDefault="00000000">
      <w:pPr>
        <w:pStyle w:val="NoSpacing"/>
        <w:numPr>
          <w:ilvl w:val="0"/>
          <w:numId w:val="33"/>
        </w:numPr>
      </w:pPr>
      <w:r>
        <w:rPr>
          <w:rFonts w:eastAsia="Arial Unicode MS" w:cs="Arial Unicode MS"/>
        </w:rPr>
        <w:t>Adoptar medidas que promuevan el derecho a vivir de manera autónoma, independiente y en comunidad, como objetivo fundamental, incluyendo inversión y presupuesto estatal.</w:t>
      </w:r>
    </w:p>
    <w:p w14:paraId="13DD2D70" w14:textId="77777777" w:rsidR="001A105D" w:rsidRDefault="00000000">
      <w:pPr>
        <w:pStyle w:val="NoSpacing"/>
        <w:numPr>
          <w:ilvl w:val="0"/>
          <w:numId w:val="33"/>
        </w:numPr>
      </w:pPr>
      <w:r>
        <w:rPr>
          <w:rFonts w:eastAsia="Arial Unicode MS" w:cs="Arial Unicode MS"/>
        </w:rPr>
        <w:t>Desarrollar y promulgar políticas y programas específicos que promuevan la vida autónoma e independiente de las personas con discapacidad, garantizando su inclusión en la comunidad.</w:t>
      </w:r>
    </w:p>
    <w:p w14:paraId="2724CFEC" w14:textId="77777777" w:rsidR="001A105D" w:rsidRDefault="00000000">
      <w:pPr>
        <w:pStyle w:val="NoSpacing"/>
        <w:numPr>
          <w:ilvl w:val="0"/>
          <w:numId w:val="33"/>
        </w:numPr>
      </w:pPr>
      <w:r>
        <w:rPr>
          <w:rFonts w:eastAsia="Arial Unicode MS" w:cs="Arial Unicode MS"/>
        </w:rPr>
        <w:t>Establecer fondos y asignaciones presupuestarias específicas para la implementación de estas políticas y programas, asegurando recursos adecuados para apoyar a las personas con discapacidad en sus necesidades de vivienda, accesibilidad y apoyo personal.</w:t>
      </w:r>
    </w:p>
    <w:p w14:paraId="4A4946FB" w14:textId="77777777" w:rsidR="001A105D" w:rsidRDefault="00000000">
      <w:pPr>
        <w:pStyle w:val="NoSpacing"/>
        <w:numPr>
          <w:ilvl w:val="0"/>
          <w:numId w:val="33"/>
        </w:numPr>
      </w:pPr>
      <w:r>
        <w:rPr>
          <w:rFonts w:eastAsia="Arial Unicode MS" w:cs="Arial Unicode MS"/>
        </w:rPr>
        <w:t>Fomentar la creación de servicios y recursos de apoyo, como asistentes personales, viviendas asistidas, y programas de capacitación y habilidades de vida independiente.</w:t>
      </w:r>
    </w:p>
    <w:p w14:paraId="7834F880" w14:textId="77777777" w:rsidR="001A105D" w:rsidRDefault="00000000">
      <w:pPr>
        <w:pStyle w:val="NoSpacing"/>
        <w:numPr>
          <w:ilvl w:val="0"/>
          <w:numId w:val="33"/>
        </w:numPr>
      </w:pPr>
      <w:r>
        <w:rPr>
          <w:rFonts w:eastAsia="Arial Unicode MS" w:cs="Arial Unicode MS"/>
        </w:rPr>
        <w:t>Promover la accesibilidad universal en la vivienda y en la comunidad, asegurando que las personas con discapacidad tengan acceso a entornos inclusivos que les permitan vivir de manera autónoma.</w:t>
      </w:r>
    </w:p>
    <w:p w14:paraId="232E473B" w14:textId="77777777" w:rsidR="001A105D" w:rsidRDefault="00000000">
      <w:pPr>
        <w:pStyle w:val="NoSpacing"/>
        <w:numPr>
          <w:ilvl w:val="0"/>
          <w:numId w:val="33"/>
        </w:numPr>
      </w:pPr>
      <w:r>
        <w:rPr>
          <w:rFonts w:eastAsia="Arial Unicode MS" w:cs="Arial Unicode MS"/>
        </w:rPr>
        <w:lastRenderedPageBreak/>
        <w:t>Desarrollar programas de concientización y educación para la comunidad sobre los derechos de las personas con discapacidad, fomentando el respeto y la aceptación de la diversidad humana.</w:t>
      </w:r>
    </w:p>
    <w:p w14:paraId="466FF36F" w14:textId="77777777" w:rsidR="00270AC1" w:rsidRDefault="00000000" w:rsidP="00270AC1">
      <w:pPr>
        <w:pStyle w:val="NoSpacing"/>
        <w:rPr>
          <w:rFonts w:ascii="Arial Unicode MS" w:eastAsia="Arial Unicode MS" w:hAnsi="Arial Unicode MS" w:cs="Arial Unicode MS"/>
        </w:rPr>
      </w:pPr>
      <w:r>
        <w:rPr>
          <w:rFonts w:ascii="Arial Unicode MS" w:eastAsia="Arial Unicode MS" w:hAnsi="Arial Unicode MS" w:cs="Arial Unicode MS"/>
        </w:rPr>
        <w:br w:type="page"/>
      </w:r>
    </w:p>
    <w:p w14:paraId="13E03211" w14:textId="552E248A" w:rsidR="00270AC1" w:rsidRPr="00270AC1" w:rsidRDefault="00270AC1" w:rsidP="00270AC1">
      <w:pPr>
        <w:pStyle w:val="NoSpacing"/>
        <w:jc w:val="left"/>
        <w:rPr>
          <w:rFonts w:asciiTheme="minorHAnsi" w:eastAsia="Arial Unicode MS" w:hAnsiTheme="minorHAnsi" w:cs="Arial Unicode MS"/>
          <w:color w:val="21527C"/>
        </w:rPr>
      </w:pPr>
      <w:bookmarkStart w:id="33" w:name="voto"/>
      <w:r w:rsidRPr="00270AC1">
        <w:rPr>
          <w:rFonts w:asciiTheme="minorHAnsi" w:eastAsia="Arial Unicode MS" w:hAnsiTheme="minorHAnsi" w:cs="Arial Unicode MS"/>
          <w:b/>
          <w:bCs/>
          <w:color w:val="21527C"/>
          <w:lang w:val="en-US"/>
        </w:rPr>
        <w:lastRenderedPageBreak/>
        <w:t>VOTO</w:t>
      </w:r>
      <w:bookmarkEnd w:id="33"/>
      <w:r w:rsidRPr="00270AC1">
        <w:rPr>
          <w:rFonts w:asciiTheme="minorHAnsi" w:eastAsia="Arial Unicode MS" w:hAnsiTheme="minorHAnsi" w:cs="Arial Unicode MS"/>
          <w:b/>
          <w:bCs/>
          <w:color w:val="21527C"/>
          <w:lang w:val="en-US"/>
        </w:rPr>
        <w:t xml:space="preserve"> DISIDENTE PARCIAL DEL COMISIONADO CARLOS BERNAL PULIDO FRENTE AL INFORME “LA SITUACIÓN DE LOS DERECHOS DE LAS PERSONAS CON DISCAPACIDAD EN LAS AMÉRICAS”</w:t>
      </w:r>
    </w:p>
    <w:p w14:paraId="57504251" w14:textId="4FDAB1B4" w:rsidR="001A105D" w:rsidRDefault="00000000" w:rsidP="00270AC1">
      <w:pPr>
        <w:pStyle w:val="NoSpacing"/>
        <w:rPr>
          <w:rStyle w:val="None"/>
        </w:rPr>
      </w:pPr>
      <w:r>
        <w:rPr>
          <w:rStyle w:val="None"/>
        </w:rPr>
        <w:t>Con el acostumbrado respeto a mis colegas y de conformidad con el artículo 19.1 del Reglamento de la Comisión Interamericana de Derechos Humanos (“la Comisión”</w:t>
      </w:r>
      <w:r>
        <w:rPr>
          <w:rStyle w:val="None"/>
          <w:lang w:val="pt-PT"/>
        </w:rPr>
        <w:t xml:space="preserve"> o </w:t>
      </w:r>
      <w:r>
        <w:rPr>
          <w:rStyle w:val="None"/>
        </w:rPr>
        <w:t>“</w:t>
      </w:r>
      <w:r>
        <w:rPr>
          <w:rStyle w:val="None"/>
          <w:lang w:val="fr-FR"/>
        </w:rPr>
        <w:t>la CIDH</w:t>
      </w:r>
      <w:r>
        <w:rPr>
          <w:rStyle w:val="None"/>
        </w:rPr>
        <w:t xml:space="preserve">”), presento voto disidente parcial en relación con el informe </w:t>
      </w:r>
      <w:proofErr w:type="spellStart"/>
      <w:r>
        <w:rPr>
          <w:rStyle w:val="None"/>
        </w:rPr>
        <w:t>temá</w:t>
      </w:r>
      <w:r>
        <w:rPr>
          <w:rStyle w:val="None"/>
          <w:lang w:val="it-IT"/>
        </w:rPr>
        <w:t>tico</w:t>
      </w:r>
      <w:proofErr w:type="spellEnd"/>
      <w:r>
        <w:rPr>
          <w:rStyle w:val="None"/>
          <w:lang w:val="it-IT"/>
        </w:rPr>
        <w:t xml:space="preserve"> </w:t>
      </w:r>
      <w:r>
        <w:rPr>
          <w:rStyle w:val="None"/>
        </w:rPr>
        <w:t>“La Situación de los Derechos de las Personas con Discapacidad en las Amé</w:t>
      </w:r>
      <w:r>
        <w:rPr>
          <w:rStyle w:val="None"/>
          <w:lang w:val="pt-PT"/>
        </w:rPr>
        <w:t>ricas</w:t>
      </w:r>
      <w:r>
        <w:rPr>
          <w:rStyle w:val="None"/>
        </w:rPr>
        <w:t xml:space="preserve">”. </w:t>
      </w:r>
      <w:proofErr w:type="spellStart"/>
      <w:r>
        <w:rPr>
          <w:rStyle w:val="None"/>
        </w:rPr>
        <w:t>Resalto</w:t>
      </w:r>
      <w:proofErr w:type="spellEnd"/>
      <w:r>
        <w:rPr>
          <w:rStyle w:val="None"/>
        </w:rPr>
        <w:t xml:space="preserve"> la importancia de este informe en la garantía de los derechos de las personas con discapacidad, así como la valiosa información que se presenta con una buena rigurosidad. Por eso, en general estoy de acuerdo con este informe.</w:t>
      </w:r>
    </w:p>
    <w:p w14:paraId="3D0CF7A4"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5851CBB"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No obstante, a </w:t>
      </w:r>
      <w:proofErr w:type="spellStart"/>
      <w:r>
        <w:rPr>
          <w:rStyle w:val="None"/>
          <w:rFonts w:ascii="Helvetica LT Std Roman" w:hAnsi="Helvetica LT Std Roman"/>
          <w:color w:val="000000"/>
          <w:sz w:val="24"/>
          <w:szCs w:val="24"/>
          <w:u w:color="000000"/>
        </w:rPr>
        <w:t>continuació</w:t>
      </w:r>
      <w:proofErr w:type="spellEnd"/>
      <w:r>
        <w:rPr>
          <w:rStyle w:val="None"/>
          <w:rFonts w:ascii="Helvetica LT Std Roman" w:hAnsi="Helvetica LT Std Roman"/>
          <w:color w:val="000000"/>
          <w:sz w:val="24"/>
          <w:szCs w:val="24"/>
          <w:u w:color="000000"/>
          <w:lang w:val="fr-FR"/>
        </w:rPr>
        <w:t xml:space="preserve">n, </w:t>
      </w:r>
      <w:proofErr w:type="spellStart"/>
      <w:r>
        <w:rPr>
          <w:rStyle w:val="None"/>
          <w:rFonts w:ascii="Helvetica LT Std Roman" w:hAnsi="Helvetica LT Std Roman"/>
          <w:color w:val="000000"/>
          <w:sz w:val="24"/>
          <w:szCs w:val="24"/>
          <w:u w:color="000000"/>
          <w:lang w:val="fr-FR"/>
        </w:rPr>
        <w:t>expondr</w:t>
      </w:r>
      <w:proofErr w:type="spellEnd"/>
      <w:r>
        <w:rPr>
          <w:rStyle w:val="None"/>
          <w:rFonts w:ascii="Helvetica LT Std Roman" w:hAnsi="Helvetica LT Std Roman"/>
          <w:color w:val="000000"/>
          <w:sz w:val="24"/>
          <w:szCs w:val="24"/>
          <w:u w:color="000000"/>
        </w:rPr>
        <w:t>é algunas discrepancias que tengo con ciertas secciones del informe. En tal sentido, me referiré a: (i) la omisión del informe sobre la protección integral de las personas con discapacidad desde la gestación, especialmente por la ausencia de un pronunciamiento expreso frente a abortos selectivos; (</w:t>
      </w:r>
      <w:proofErr w:type="spellStart"/>
      <w:r>
        <w:rPr>
          <w:rStyle w:val="None"/>
          <w:rFonts w:ascii="Helvetica LT Std Roman" w:hAnsi="Helvetica LT Std Roman"/>
          <w:color w:val="000000"/>
          <w:sz w:val="24"/>
          <w:szCs w:val="24"/>
          <w:u w:color="000000"/>
        </w:rPr>
        <w:t>ii</w:t>
      </w:r>
      <w:proofErr w:type="spellEnd"/>
      <w:r>
        <w:rPr>
          <w:rStyle w:val="None"/>
          <w:rFonts w:ascii="Helvetica LT Std Roman" w:hAnsi="Helvetica LT Std Roman"/>
          <w:color w:val="000000"/>
          <w:sz w:val="24"/>
          <w:szCs w:val="24"/>
          <w:u w:color="000000"/>
        </w:rPr>
        <w:t>) la legislación que permite el aborto a personas con discapacidad y la necesidad de salvaguardas a la persona en gestación; y (</w:t>
      </w:r>
      <w:proofErr w:type="spellStart"/>
      <w:r>
        <w:rPr>
          <w:rStyle w:val="None"/>
          <w:rFonts w:ascii="Helvetica LT Std Roman" w:hAnsi="Helvetica LT Std Roman"/>
          <w:color w:val="000000"/>
          <w:sz w:val="24"/>
          <w:szCs w:val="24"/>
          <w:u w:color="000000"/>
        </w:rPr>
        <w:t>iii</w:t>
      </w:r>
      <w:proofErr w:type="spellEnd"/>
      <w:r>
        <w:rPr>
          <w:rStyle w:val="None"/>
          <w:rFonts w:ascii="Helvetica LT Std Roman" w:hAnsi="Helvetica LT Std Roman"/>
          <w:color w:val="000000"/>
          <w:sz w:val="24"/>
          <w:szCs w:val="24"/>
          <w:u w:color="000000"/>
        </w:rPr>
        <w:t xml:space="preserve">) la educación sexual y de género, señalando que no hay un único modelo y que se debe garantizar el derecho de </w:t>
      </w:r>
      <w:proofErr w:type="spellStart"/>
      <w:r>
        <w:rPr>
          <w:rStyle w:val="None"/>
          <w:rFonts w:ascii="Helvetica LT Std Roman" w:hAnsi="Helvetica LT Std Roman"/>
          <w:color w:val="000000"/>
          <w:sz w:val="24"/>
          <w:szCs w:val="24"/>
          <w:u w:color="000000"/>
        </w:rPr>
        <w:t>lo</w:t>
      </w:r>
      <w:proofErr w:type="spellEnd"/>
      <w:r>
        <w:rPr>
          <w:rStyle w:val="None"/>
          <w:rFonts w:ascii="Helvetica LT Std Roman" w:hAnsi="Helvetica LT Std Roman"/>
          <w:color w:val="000000"/>
          <w:sz w:val="24"/>
          <w:szCs w:val="24"/>
          <w:u w:color="000000"/>
        </w:rPr>
        <w:t xml:space="preserve"> padres a elegir la educación de sus hijos.</w:t>
      </w:r>
    </w:p>
    <w:p w14:paraId="4EABF6B8"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624C0F1"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 xml:space="preserve">Es importante señalar que, como Relator sobre los Derechos de las Personas con Discapacidad, presenté estas observaciones para que el informe fuera ajustado. Sin embargo, éstas no fueron acogidas por la mayoría, razón por la cual me veo obligado a presentar este voto, dada mi gran responsabilidad a cargo de la Relatoría que justamente </w:t>
      </w:r>
      <w:r>
        <w:rPr>
          <w:rStyle w:val="None"/>
          <w:rFonts w:ascii="Helvetica LT Std Roman" w:hAnsi="Helvetica LT Std Roman"/>
          <w:color w:val="000000"/>
          <w:sz w:val="24"/>
          <w:szCs w:val="24"/>
          <w:u w:color="000000"/>
        </w:rPr>
        <w:lastRenderedPageBreak/>
        <w:t>fue creada para proteger los derechos de todas las personas con discapacidad, sin distinción alguna.</w:t>
      </w:r>
    </w:p>
    <w:p w14:paraId="3B0ABE0F" w14:textId="77777777" w:rsidR="001A105D" w:rsidRDefault="001A105D">
      <w:pPr>
        <w:pStyle w:val="Body"/>
        <w:spacing w:line="276" w:lineRule="auto"/>
        <w:rPr>
          <w:rStyle w:val="None"/>
          <w:color w:val="000000"/>
          <w:sz w:val="24"/>
          <w:szCs w:val="24"/>
          <w:u w:color="000000"/>
        </w:rPr>
      </w:pPr>
    </w:p>
    <w:p w14:paraId="262A1D7E" w14:textId="77777777" w:rsidR="001A105D" w:rsidRDefault="00000000">
      <w:pPr>
        <w:pStyle w:val="Body"/>
        <w:numPr>
          <w:ilvl w:val="0"/>
          <w:numId w:val="106"/>
        </w:numPr>
        <w:spacing w:line="276" w:lineRule="auto"/>
        <w:jc w:val="left"/>
        <w:rPr>
          <w:rFonts w:ascii="Helvetica LT Std Bold" w:hAnsi="Helvetica LT Std Bold"/>
          <w:color w:val="000000"/>
          <w:sz w:val="24"/>
          <w:szCs w:val="24"/>
          <w:u w:color="000000"/>
        </w:rPr>
      </w:pPr>
      <w:r>
        <w:rPr>
          <w:rFonts w:ascii="Helvetica LT Std Bold" w:hAnsi="Helvetica LT Std Bold"/>
          <w:color w:val="000000"/>
          <w:sz w:val="24"/>
          <w:szCs w:val="24"/>
          <w:u w:color="000000"/>
        </w:rPr>
        <w:t>El Informe omiti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 xml:space="preserve"> la protecci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integral de las personas con discapacidad desde la gestaci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ausencia de pronunciamiento frente a abortos selectivos</w:t>
      </w:r>
    </w:p>
    <w:p w14:paraId="38BA2EA9" w14:textId="77777777" w:rsidR="001A105D" w:rsidRDefault="001A105D">
      <w:pPr>
        <w:pStyle w:val="Body"/>
        <w:spacing w:line="276" w:lineRule="auto"/>
        <w:rPr>
          <w:rStyle w:val="None"/>
          <w:color w:val="000000"/>
          <w:sz w:val="24"/>
          <w:szCs w:val="24"/>
          <w:u w:color="000000"/>
        </w:rPr>
      </w:pPr>
    </w:p>
    <w:p w14:paraId="599CD299" w14:textId="77777777" w:rsidR="001A105D" w:rsidRDefault="00000000">
      <w:pPr>
        <w:pStyle w:val="Body"/>
        <w:spacing w:line="276" w:lineRule="auto"/>
        <w:rPr>
          <w:rStyle w:val="None"/>
          <w:color w:val="000000"/>
          <w:sz w:val="24"/>
          <w:szCs w:val="24"/>
          <w:u w:color="000000"/>
          <w:shd w:val="clear" w:color="auto" w:fill="FFFFFF"/>
        </w:rPr>
      </w:pPr>
      <w:r>
        <w:rPr>
          <w:rStyle w:val="None"/>
          <w:rFonts w:ascii="Helvetica LT Std Roman" w:hAnsi="Helvetica LT Std Roman"/>
          <w:color w:val="000000"/>
          <w:sz w:val="24"/>
          <w:szCs w:val="24"/>
          <w:u w:color="000000"/>
        </w:rPr>
        <w:t xml:space="preserve">El informe omite la necesaria mención a la protección integral de las personas con discapacidad y sus derechos desde la gestación hasta la muerte natural. Esto, teniendo en cuenta su especial vulnerabilidad y particular afectación por los abortos selectivos o eugenésicos, que buscan terminar la vida de los seres humanos en gestación con base en su discapacidad, lo que resulta abiertamente discriminatorio. </w:t>
      </w:r>
      <w:proofErr w:type="spellStart"/>
      <w:r>
        <w:rPr>
          <w:rStyle w:val="None"/>
          <w:rFonts w:ascii="Helvetica LT Std Roman" w:hAnsi="Helvetica LT Std Roman"/>
          <w:color w:val="000000"/>
          <w:sz w:val="24"/>
          <w:szCs w:val="24"/>
          <w:u w:color="000000"/>
        </w:rPr>
        <w:t>Có</w:t>
      </w:r>
      <w:r>
        <w:rPr>
          <w:rStyle w:val="None"/>
          <w:rFonts w:ascii="Helvetica LT Std Roman" w:hAnsi="Helvetica LT Std Roman"/>
          <w:color w:val="000000"/>
          <w:sz w:val="24"/>
          <w:szCs w:val="24"/>
          <w:u w:color="000000"/>
          <w:lang w:val="it-IT"/>
        </w:rPr>
        <w:t>mo</w:t>
      </w:r>
      <w:proofErr w:type="spellEnd"/>
      <w:r>
        <w:rPr>
          <w:rStyle w:val="None"/>
          <w:rFonts w:ascii="Helvetica LT Std Roman" w:hAnsi="Helvetica LT Std Roman"/>
          <w:color w:val="000000"/>
          <w:sz w:val="24"/>
          <w:szCs w:val="24"/>
          <w:u w:color="000000"/>
          <w:lang w:val="it-IT"/>
        </w:rPr>
        <w:t xml:space="preserve"> lo se</w:t>
      </w:r>
      <w:proofErr w:type="spellStart"/>
      <w:r>
        <w:rPr>
          <w:rStyle w:val="None"/>
          <w:rFonts w:ascii="Helvetica LT Std Roman" w:hAnsi="Helvetica LT Std Roman"/>
          <w:color w:val="000000"/>
          <w:sz w:val="24"/>
          <w:szCs w:val="24"/>
          <w:u w:color="000000"/>
        </w:rPr>
        <w:t>ñaló</w:t>
      </w:r>
      <w:proofErr w:type="spellEnd"/>
      <w:r>
        <w:rPr>
          <w:rStyle w:val="None"/>
          <w:rFonts w:ascii="Helvetica LT Std Roman" w:hAnsi="Helvetica LT Std Roman"/>
          <w:color w:val="000000"/>
          <w:sz w:val="24"/>
          <w:szCs w:val="24"/>
          <w:u w:color="000000"/>
        </w:rPr>
        <w:t xml:space="preserve"> el </w:t>
      </w:r>
      <w:proofErr w:type="spellStart"/>
      <w:r>
        <w:rPr>
          <w:rStyle w:val="None"/>
          <w:rFonts w:ascii="Helvetica LT Std Roman" w:hAnsi="Helvetica LT Std Roman"/>
          <w:color w:val="000000"/>
          <w:sz w:val="24"/>
          <w:szCs w:val="24"/>
          <w:u w:color="000000"/>
          <w:shd w:val="clear" w:color="auto" w:fill="FFFFFF"/>
          <w:lang w:val="pt-PT"/>
        </w:rPr>
        <w:t>Comit</w:t>
      </w:r>
      <w:proofErr w:type="spellEnd"/>
      <w:r>
        <w:rPr>
          <w:rStyle w:val="None"/>
          <w:rFonts w:ascii="Helvetica LT Std Roman" w:hAnsi="Helvetica LT Std Roman"/>
          <w:color w:val="000000"/>
          <w:sz w:val="24"/>
          <w:szCs w:val="24"/>
          <w:u w:color="000000"/>
          <w:shd w:val="clear" w:color="auto" w:fill="FFFFFF"/>
        </w:rPr>
        <w:t xml:space="preserve">é sobre los Derechos de las Personas con Discapacidad de Naciones Unidas (CDPD), en sus Comentarios al proyecto de </w:t>
      </w:r>
      <w:proofErr w:type="spellStart"/>
      <w:r>
        <w:rPr>
          <w:rStyle w:val="None"/>
          <w:rFonts w:ascii="Helvetica LT Std Roman" w:hAnsi="Helvetica LT Std Roman"/>
          <w:color w:val="000000"/>
          <w:sz w:val="24"/>
          <w:szCs w:val="24"/>
          <w:u w:color="000000"/>
          <w:shd w:val="clear" w:color="auto" w:fill="FFFFFF"/>
        </w:rPr>
        <w:t>Observació</w:t>
      </w:r>
      <w:proofErr w:type="spellEnd"/>
      <w:r>
        <w:rPr>
          <w:rStyle w:val="None"/>
          <w:rFonts w:ascii="Helvetica LT Std Roman" w:hAnsi="Helvetica LT Std Roman"/>
          <w:color w:val="000000"/>
          <w:sz w:val="24"/>
          <w:szCs w:val="24"/>
          <w:u w:color="000000"/>
          <w:shd w:val="clear" w:color="auto" w:fill="FFFFFF"/>
          <w:lang w:val="de-DE"/>
        </w:rPr>
        <w:t>n General n</w:t>
      </w:r>
      <w:r>
        <w:rPr>
          <w:rStyle w:val="None"/>
          <w:rFonts w:ascii="Helvetica LT Std Roman" w:hAnsi="Helvetica LT Std Roman"/>
          <w:color w:val="000000"/>
          <w:sz w:val="24"/>
          <w:szCs w:val="24"/>
          <w:u w:color="000000"/>
          <w:shd w:val="clear" w:color="auto" w:fill="FFFFFF"/>
        </w:rPr>
        <w:t>º</w:t>
      </w:r>
      <w:r>
        <w:rPr>
          <w:rStyle w:val="None"/>
          <w:rFonts w:ascii="Helvetica LT Std Roman" w:hAnsi="Helvetica LT Std Roman"/>
          <w:color w:val="000000"/>
          <w:sz w:val="24"/>
          <w:szCs w:val="24"/>
          <w:u w:color="000000"/>
          <w:shd w:val="clear" w:color="auto" w:fill="FFFFFF"/>
          <w:lang w:val="it-IT"/>
        </w:rPr>
        <w:t xml:space="preserve"> 36 del Comit</w:t>
      </w:r>
      <w:r>
        <w:rPr>
          <w:rStyle w:val="None"/>
          <w:rFonts w:ascii="Helvetica LT Std Roman" w:hAnsi="Helvetica LT Std Roman"/>
          <w:color w:val="000000"/>
          <w:sz w:val="24"/>
          <w:szCs w:val="24"/>
          <w:u w:color="000000"/>
          <w:shd w:val="clear" w:color="auto" w:fill="FFFFFF"/>
        </w:rPr>
        <w:t>é de Derechos Humanos sobre el artículo 6 del Pacto Internacional de Derechos Civiles y Polí</w:t>
      </w:r>
      <w:r>
        <w:rPr>
          <w:rStyle w:val="None"/>
          <w:rFonts w:ascii="Helvetica LT Std Roman" w:hAnsi="Helvetica LT Std Roman"/>
          <w:color w:val="000000"/>
          <w:sz w:val="24"/>
          <w:szCs w:val="24"/>
          <w:u w:color="000000"/>
          <w:shd w:val="clear" w:color="auto" w:fill="FFFFFF"/>
          <w:lang w:val="pt-PT"/>
        </w:rPr>
        <w:t>ticos:</w:t>
      </w:r>
    </w:p>
    <w:p w14:paraId="7048232D" w14:textId="77777777" w:rsidR="001A105D" w:rsidRDefault="00000000">
      <w:pPr>
        <w:pStyle w:val="Body"/>
        <w:spacing w:line="276" w:lineRule="auto"/>
        <w:ind w:left="720"/>
        <w:rPr>
          <w:rStyle w:val="None"/>
          <w:color w:val="000000"/>
          <w:sz w:val="24"/>
          <w:szCs w:val="24"/>
          <w:u w:color="000000"/>
          <w:shd w:val="clear" w:color="auto" w:fill="FFFFFF"/>
        </w:rPr>
      </w:pPr>
      <w:r>
        <w:rPr>
          <w:rStyle w:val="None"/>
          <w:color w:val="000000"/>
          <w:sz w:val="24"/>
          <w:szCs w:val="24"/>
          <w:u w:color="000000"/>
          <w:shd w:val="clear" w:color="auto" w:fill="FFFFFF"/>
        </w:rPr>
        <w:t xml:space="preserve"> </w:t>
      </w:r>
    </w:p>
    <w:p w14:paraId="1A7A6F42" w14:textId="77777777" w:rsidR="001A105D" w:rsidRDefault="00000000">
      <w:pPr>
        <w:pStyle w:val="Body"/>
        <w:spacing w:line="276" w:lineRule="auto"/>
        <w:ind w:left="720"/>
        <w:rPr>
          <w:rStyle w:val="None"/>
          <w:rFonts w:ascii="Helvetica LT Std Oblique" w:eastAsia="Helvetica LT Std Oblique" w:hAnsi="Helvetica LT Std Oblique" w:cs="Helvetica LT Std Oblique"/>
          <w:color w:val="000000"/>
          <w:sz w:val="24"/>
          <w:szCs w:val="24"/>
          <w:u w:color="000000"/>
          <w:shd w:val="clear" w:color="auto" w:fill="FFFFFF"/>
        </w:rPr>
      </w:pPr>
      <w:r>
        <w:rPr>
          <w:rStyle w:val="None"/>
          <w:rFonts w:ascii="Helvetica LT Std Bold" w:hAnsi="Helvetica LT Std Bold"/>
          <w:color w:val="000000"/>
          <w:sz w:val="24"/>
          <w:szCs w:val="24"/>
          <w:u w:color="000000"/>
          <w:shd w:val="clear" w:color="auto" w:fill="FFFFFF"/>
        </w:rPr>
        <w:t>“Las leyes que permiten explícitamente el aborto por motivos de discapacidad violan la Convención sobre los Derechos de las Personas con Discapacidad (</w:t>
      </w:r>
      <w:proofErr w:type="gramStart"/>
      <w:r>
        <w:rPr>
          <w:rStyle w:val="None"/>
          <w:rFonts w:ascii="Helvetica LT Std Bold" w:hAnsi="Helvetica LT Std Bold"/>
          <w:color w:val="000000"/>
          <w:sz w:val="24"/>
          <w:szCs w:val="24"/>
          <w:u w:color="000000"/>
          <w:shd w:val="clear" w:color="auto" w:fill="FFFFFF"/>
        </w:rPr>
        <w:t>Art,.</w:t>
      </w:r>
      <w:proofErr w:type="gramEnd"/>
      <w:r>
        <w:rPr>
          <w:rStyle w:val="None"/>
          <w:rFonts w:ascii="Helvetica LT Std Bold" w:hAnsi="Helvetica LT Std Bold"/>
          <w:color w:val="000000"/>
          <w:sz w:val="24"/>
          <w:szCs w:val="24"/>
          <w:u w:color="000000"/>
          <w:shd w:val="clear" w:color="auto" w:fill="FFFFFF"/>
        </w:rPr>
        <w:t xml:space="preserve"> 4,5,8). </w:t>
      </w:r>
      <w:r>
        <w:rPr>
          <w:rStyle w:val="None"/>
          <w:rFonts w:ascii="Helvetica LT Std Roman" w:hAnsi="Helvetica LT Std Roman"/>
          <w:color w:val="000000"/>
          <w:sz w:val="24"/>
          <w:szCs w:val="24"/>
          <w:u w:color="000000"/>
          <w:shd w:val="clear" w:color="auto" w:fill="FFFFFF"/>
        </w:rPr>
        <w:t xml:space="preserve">Incluso si la </w:t>
      </w:r>
      <w:proofErr w:type="spellStart"/>
      <w:r>
        <w:rPr>
          <w:rStyle w:val="None"/>
          <w:rFonts w:ascii="Helvetica LT Std Roman" w:hAnsi="Helvetica LT Std Roman"/>
          <w:color w:val="000000"/>
          <w:sz w:val="24"/>
          <w:szCs w:val="24"/>
          <w:u w:color="000000"/>
          <w:shd w:val="clear" w:color="auto" w:fill="FFFFFF"/>
        </w:rPr>
        <w:t>condició</w:t>
      </w:r>
      <w:proofErr w:type="spellEnd"/>
      <w:r>
        <w:rPr>
          <w:rStyle w:val="None"/>
          <w:rFonts w:ascii="Helvetica LT Std Roman" w:hAnsi="Helvetica LT Std Roman"/>
          <w:color w:val="000000"/>
          <w:sz w:val="24"/>
          <w:szCs w:val="24"/>
          <w:u w:color="000000"/>
          <w:shd w:val="clear" w:color="auto" w:fill="FFFFFF"/>
          <w:lang w:val="it-IT"/>
        </w:rPr>
        <w:t>n se considera fatal, la decisi</w:t>
      </w:r>
      <w:proofErr w:type="spellStart"/>
      <w:r>
        <w:rPr>
          <w:rStyle w:val="None"/>
          <w:rFonts w:ascii="Helvetica LT Std Roman" w:hAnsi="Helvetica LT Std Roman"/>
          <w:color w:val="000000"/>
          <w:sz w:val="24"/>
          <w:szCs w:val="24"/>
          <w:u w:color="000000"/>
          <w:shd w:val="clear" w:color="auto" w:fill="FFFFFF"/>
        </w:rPr>
        <w:t>ón</w:t>
      </w:r>
      <w:proofErr w:type="spellEnd"/>
      <w:r>
        <w:rPr>
          <w:rStyle w:val="None"/>
          <w:rFonts w:ascii="Helvetica LT Std Roman" w:hAnsi="Helvetica LT Std Roman"/>
          <w:color w:val="000000"/>
          <w:sz w:val="24"/>
          <w:szCs w:val="24"/>
          <w:u w:color="000000"/>
          <w:shd w:val="clear" w:color="auto" w:fill="FFFFFF"/>
        </w:rPr>
        <w:t xml:space="preserve"> sigue siendo tomada sobre la base de la discapacidad. A menudo no se puede decir si una deficiencia es mortal. La experiencia demuestra que las valoraciones sobre las condiciones de deficiencia suelen ser falsas. Incluso si no es falsa, la </w:t>
      </w:r>
      <w:proofErr w:type="spellStart"/>
      <w:r>
        <w:rPr>
          <w:rStyle w:val="None"/>
          <w:rFonts w:ascii="Helvetica LT Std Roman" w:hAnsi="Helvetica LT Std Roman"/>
          <w:color w:val="000000"/>
          <w:sz w:val="24"/>
          <w:szCs w:val="24"/>
          <w:u w:color="000000"/>
          <w:shd w:val="clear" w:color="auto" w:fill="FFFFFF"/>
        </w:rPr>
        <w:t>evaluació</w:t>
      </w:r>
      <w:proofErr w:type="spellEnd"/>
      <w:r>
        <w:rPr>
          <w:rStyle w:val="None"/>
          <w:rFonts w:ascii="Helvetica LT Std Roman" w:hAnsi="Helvetica LT Std Roman"/>
          <w:color w:val="000000"/>
          <w:sz w:val="24"/>
          <w:szCs w:val="24"/>
          <w:u w:color="000000"/>
          <w:shd w:val="clear" w:color="auto" w:fill="FFFFFF"/>
          <w:lang w:val="it-IT"/>
        </w:rPr>
        <w:t xml:space="preserve">n </w:t>
      </w:r>
      <w:proofErr w:type="spellStart"/>
      <w:r>
        <w:rPr>
          <w:rStyle w:val="None"/>
          <w:rFonts w:ascii="Helvetica LT Std Roman" w:hAnsi="Helvetica LT Std Roman"/>
          <w:color w:val="000000"/>
          <w:sz w:val="24"/>
          <w:szCs w:val="24"/>
          <w:u w:color="000000"/>
          <w:shd w:val="clear" w:color="auto" w:fill="FFFFFF"/>
          <w:lang w:val="it-IT"/>
        </w:rPr>
        <w:t>perpet</w:t>
      </w:r>
      <w:r>
        <w:rPr>
          <w:rStyle w:val="None"/>
          <w:rFonts w:ascii="Helvetica LT Std Roman" w:hAnsi="Helvetica LT Std Roman"/>
          <w:color w:val="000000"/>
          <w:sz w:val="24"/>
          <w:szCs w:val="24"/>
          <w:u w:color="000000"/>
          <w:shd w:val="clear" w:color="auto" w:fill="FFFFFF"/>
        </w:rPr>
        <w:t>úa</w:t>
      </w:r>
      <w:proofErr w:type="spellEnd"/>
      <w:r>
        <w:rPr>
          <w:rStyle w:val="None"/>
          <w:rFonts w:ascii="Helvetica LT Std Roman" w:hAnsi="Helvetica LT Std Roman"/>
          <w:color w:val="000000"/>
          <w:sz w:val="24"/>
          <w:szCs w:val="24"/>
          <w:u w:color="000000"/>
          <w:shd w:val="clear" w:color="auto" w:fill="FFFFFF"/>
        </w:rPr>
        <w:t xml:space="preserve"> las nociones de estereotipo de la </w:t>
      </w:r>
      <w:r>
        <w:rPr>
          <w:rStyle w:val="None"/>
          <w:rFonts w:ascii="Helvetica LT Std Roman" w:hAnsi="Helvetica LT Std Roman"/>
          <w:color w:val="000000"/>
          <w:sz w:val="24"/>
          <w:szCs w:val="24"/>
          <w:u w:color="000000"/>
          <w:shd w:val="clear" w:color="auto" w:fill="FFFFFF"/>
        </w:rPr>
        <w:lastRenderedPageBreak/>
        <w:t>discapacidad como incompatible con una buena vida”</w:t>
      </w:r>
      <w:r>
        <w:rPr>
          <w:rStyle w:val="None"/>
          <w:rFonts w:ascii="Helvetica LT Std Roman" w:eastAsia="Helvetica LT Std Roman" w:hAnsi="Helvetica LT Std Roman" w:cs="Helvetica LT Std Roman"/>
          <w:color w:val="000000"/>
          <w:sz w:val="24"/>
          <w:szCs w:val="24"/>
          <w:u w:color="000000"/>
          <w:shd w:val="clear" w:color="auto" w:fill="FFFFFF"/>
          <w:vertAlign w:val="superscript"/>
        </w:rPr>
        <w:footnoteReference w:id="577"/>
      </w:r>
      <w:r>
        <w:rPr>
          <w:rStyle w:val="None"/>
          <w:rFonts w:ascii="Helvetica LT Std Roman" w:hAnsi="Helvetica LT Std Roman"/>
          <w:color w:val="000000"/>
          <w:sz w:val="24"/>
          <w:szCs w:val="24"/>
          <w:u w:color="000000"/>
          <w:shd w:val="clear" w:color="auto" w:fill="FFFFFF"/>
        </w:rPr>
        <w:t xml:space="preserve"> </w:t>
      </w:r>
      <w:r>
        <w:rPr>
          <w:rStyle w:val="None"/>
          <w:rFonts w:ascii="Helvetica LT Std Oblique" w:hAnsi="Helvetica LT Std Oblique"/>
          <w:color w:val="000000"/>
          <w:sz w:val="24"/>
          <w:szCs w:val="24"/>
          <w:u w:color="000000"/>
          <w:shd w:val="clear" w:color="auto" w:fill="FFFFFF"/>
        </w:rPr>
        <w:t>(Negrillas fuera del texto original).</w:t>
      </w:r>
    </w:p>
    <w:p w14:paraId="660AFED5" w14:textId="77777777" w:rsidR="001A105D" w:rsidRDefault="001A105D">
      <w:pPr>
        <w:pStyle w:val="Body"/>
        <w:spacing w:line="276" w:lineRule="auto"/>
        <w:rPr>
          <w:rStyle w:val="None"/>
          <w:color w:val="000000"/>
          <w:sz w:val="24"/>
          <w:szCs w:val="24"/>
          <w:u w:color="000000"/>
          <w:shd w:val="clear" w:color="auto" w:fill="FFFFFF"/>
        </w:rPr>
      </w:pPr>
    </w:p>
    <w:p w14:paraId="4EDF12A3"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 xml:space="preserve">Coincido plenamente con el Comité de Naciones Unidas en que los abortos debido a la discapacidad son inadmisibles, y me sorprende que la mayoría de la Comisión Interamericana no haya aceptado incluir al menos una mención a este asunto en este informe. Ante esta grave omisión, considero fundamental tratar, en este voto disidente, i) el significativo impacto y la magnitud de los abortos selectivos en la región, y </w:t>
      </w:r>
      <w:proofErr w:type="spellStart"/>
      <w:r>
        <w:rPr>
          <w:rStyle w:val="None"/>
          <w:rFonts w:ascii="Helvetica LT Std Roman" w:hAnsi="Helvetica LT Std Roman"/>
          <w:color w:val="000000"/>
          <w:sz w:val="24"/>
          <w:szCs w:val="24"/>
          <w:u w:color="000000"/>
        </w:rPr>
        <w:t>ii</w:t>
      </w:r>
      <w:proofErr w:type="spellEnd"/>
      <w:r>
        <w:rPr>
          <w:rStyle w:val="None"/>
          <w:rFonts w:ascii="Helvetica LT Std Roman" w:hAnsi="Helvetica LT Std Roman"/>
          <w:color w:val="000000"/>
          <w:sz w:val="24"/>
          <w:szCs w:val="24"/>
          <w:u w:color="000000"/>
        </w:rPr>
        <w:t xml:space="preserve">) la protección de las personas con discapacidad desde la gestación, y la afectación a sus derechos por los abortos colectivos. </w:t>
      </w:r>
    </w:p>
    <w:p w14:paraId="5EDAC836" w14:textId="77777777" w:rsidR="001A105D" w:rsidRDefault="001A105D">
      <w:pPr>
        <w:pStyle w:val="Body"/>
        <w:spacing w:line="276" w:lineRule="auto"/>
        <w:rPr>
          <w:rStyle w:val="None"/>
          <w:color w:val="000000"/>
          <w:sz w:val="24"/>
          <w:szCs w:val="24"/>
          <w:u w:color="000000"/>
        </w:rPr>
      </w:pPr>
    </w:p>
    <w:p w14:paraId="0A3FA706" w14:textId="77777777" w:rsidR="001A105D" w:rsidRDefault="00000000">
      <w:pPr>
        <w:pStyle w:val="Body"/>
        <w:numPr>
          <w:ilvl w:val="1"/>
          <w:numId w:val="106"/>
        </w:numPr>
        <w:spacing w:line="276" w:lineRule="auto"/>
        <w:jc w:val="left"/>
        <w:rPr>
          <w:rFonts w:ascii="Helvetica LT Std Bold" w:hAnsi="Helvetica LT Std Bold"/>
          <w:color w:val="000000"/>
          <w:sz w:val="24"/>
          <w:szCs w:val="24"/>
          <w:u w:color="000000"/>
        </w:rPr>
      </w:pPr>
      <w:r>
        <w:rPr>
          <w:rFonts w:ascii="Helvetica LT Std Bold" w:hAnsi="Helvetica LT Std Bold"/>
          <w:color w:val="000000"/>
          <w:sz w:val="24"/>
          <w:szCs w:val="24"/>
          <w:u w:color="000000"/>
        </w:rPr>
        <w:t xml:space="preserve">Los abortos selectivos en el mundo y la </w:t>
      </w:r>
      <w:proofErr w:type="spellStart"/>
      <w:r>
        <w:rPr>
          <w:rFonts w:ascii="Helvetica LT Std Bold" w:hAnsi="Helvetica LT Std Bold"/>
          <w:color w:val="000000"/>
          <w:sz w:val="24"/>
          <w:szCs w:val="24"/>
          <w:u w:color="000000"/>
        </w:rPr>
        <w:t>regi</w:t>
      </w:r>
      <w:r>
        <w:rPr>
          <w:rStyle w:val="None"/>
          <w:rFonts w:ascii="Helvetica LT Std Bold" w:hAnsi="Helvetica LT Std Bold"/>
          <w:color w:val="000000"/>
          <w:sz w:val="24"/>
          <w:szCs w:val="24"/>
          <w:u w:color="000000"/>
        </w:rPr>
        <w:t>ó</w:t>
      </w:r>
      <w:proofErr w:type="spellEnd"/>
      <w:r>
        <w:rPr>
          <w:rFonts w:ascii="Helvetica LT Std Bold" w:hAnsi="Helvetica LT Std Bold"/>
          <w:color w:val="000000"/>
          <w:sz w:val="24"/>
          <w:szCs w:val="24"/>
          <w:u w:color="000000"/>
          <w:lang w:val="it-IT"/>
        </w:rPr>
        <w:t xml:space="preserve">n: una </w:t>
      </w:r>
      <w:proofErr w:type="spellStart"/>
      <w:r>
        <w:rPr>
          <w:rFonts w:ascii="Helvetica LT Std Bold" w:hAnsi="Helvetica LT Std Bold"/>
          <w:color w:val="000000"/>
          <w:sz w:val="24"/>
          <w:szCs w:val="24"/>
          <w:u w:color="000000"/>
          <w:lang w:val="it-IT"/>
        </w:rPr>
        <w:t>problem</w:t>
      </w:r>
      <w:proofErr w:type="spellEnd"/>
      <w:r>
        <w:rPr>
          <w:rStyle w:val="None"/>
          <w:rFonts w:ascii="Helvetica LT Std Bold" w:hAnsi="Helvetica LT Std Bold"/>
          <w:color w:val="000000"/>
          <w:sz w:val="24"/>
          <w:szCs w:val="24"/>
          <w:u w:color="000000"/>
        </w:rPr>
        <w:t>á</w:t>
      </w:r>
      <w:r>
        <w:rPr>
          <w:rFonts w:ascii="Helvetica LT Std Bold" w:hAnsi="Helvetica LT Std Bold"/>
          <w:color w:val="000000"/>
          <w:sz w:val="24"/>
          <w:szCs w:val="24"/>
          <w:u w:color="000000"/>
        </w:rPr>
        <w:t>tica que requiere urgente atenci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de la comunidad internacional</w:t>
      </w:r>
    </w:p>
    <w:p w14:paraId="46F737C5" w14:textId="77777777" w:rsidR="001A105D" w:rsidRDefault="001A105D">
      <w:pPr>
        <w:pStyle w:val="Body"/>
        <w:spacing w:line="276" w:lineRule="auto"/>
        <w:rPr>
          <w:rStyle w:val="None"/>
          <w:color w:val="000000"/>
          <w:sz w:val="24"/>
          <w:szCs w:val="24"/>
          <w:u w:color="000000"/>
        </w:rPr>
      </w:pPr>
    </w:p>
    <w:p w14:paraId="152348F3"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El aborto sistemático de personas con discapacidad ha sido ampliamente estudiado en diversas regiones del mundo. Un estudio estadístico realizado en 18 países europeos arrojó que el 68% de casos de síndrome de </w:t>
      </w:r>
      <w:proofErr w:type="spellStart"/>
      <w:r>
        <w:rPr>
          <w:rStyle w:val="None"/>
          <w:rFonts w:ascii="Helvetica LT Std Roman" w:hAnsi="Helvetica LT Std Roman"/>
          <w:color w:val="000000"/>
          <w:sz w:val="24"/>
          <w:szCs w:val="24"/>
          <w:u w:color="000000"/>
        </w:rPr>
        <w:t>down</w:t>
      </w:r>
      <w:proofErr w:type="spellEnd"/>
      <w:r>
        <w:rPr>
          <w:rStyle w:val="None"/>
          <w:rFonts w:ascii="Helvetica LT Std Roman" w:hAnsi="Helvetica LT Std Roman"/>
          <w:color w:val="000000"/>
          <w:sz w:val="24"/>
          <w:szCs w:val="24"/>
          <w:u w:color="000000"/>
        </w:rPr>
        <w:t xml:space="preserve"> de los embarazos y nacimientos que monitorearon fueron detectados prenatalmente, de los cuales el 88% terminó</w:t>
      </w:r>
      <w:r>
        <w:rPr>
          <w:rStyle w:val="None"/>
          <w:rFonts w:ascii="Helvetica LT Std Roman" w:hAnsi="Helvetica LT Std Roman"/>
          <w:color w:val="000000"/>
          <w:sz w:val="24"/>
          <w:szCs w:val="24"/>
          <w:u w:color="000000"/>
          <w:lang w:val="en-US"/>
        </w:rPr>
        <w:t xml:space="preserve"> </w:t>
      </w:r>
      <w:proofErr w:type="spellStart"/>
      <w:r>
        <w:rPr>
          <w:rStyle w:val="None"/>
          <w:rFonts w:ascii="Helvetica LT Std Roman" w:hAnsi="Helvetica LT Std Roman"/>
          <w:color w:val="000000"/>
          <w:sz w:val="24"/>
          <w:szCs w:val="24"/>
          <w:u w:color="000000"/>
          <w:lang w:val="en-US"/>
        </w:rPr>
        <w:t>en</w:t>
      </w:r>
      <w:proofErr w:type="spellEnd"/>
      <w:r>
        <w:rPr>
          <w:rStyle w:val="None"/>
          <w:rFonts w:ascii="Helvetica LT Std Roman" w:hAnsi="Helvetica LT Std Roman"/>
          <w:color w:val="000000"/>
          <w:sz w:val="24"/>
          <w:szCs w:val="24"/>
          <w:u w:color="000000"/>
          <w:lang w:val="en-US"/>
        </w:rPr>
        <w:t xml:space="preserve"> </w:t>
      </w:r>
      <w:proofErr w:type="spellStart"/>
      <w:r>
        <w:rPr>
          <w:rStyle w:val="None"/>
          <w:rFonts w:ascii="Helvetica LT Std Roman" w:hAnsi="Helvetica LT Std Roman"/>
          <w:color w:val="000000"/>
          <w:sz w:val="24"/>
          <w:szCs w:val="24"/>
          <w:u w:color="000000"/>
          <w:lang w:val="en-US"/>
        </w:rPr>
        <w:t>aborto</w:t>
      </w:r>
      <w:proofErr w:type="spellEnd"/>
      <w:r>
        <w:rPr>
          <w:rStyle w:val="None"/>
          <w:rFonts w:ascii="Helvetica LT Std Roman" w:eastAsia="Helvetica LT Std Roman" w:hAnsi="Helvetica LT Std Roman" w:cs="Helvetica LT Std Roman"/>
          <w:color w:val="000000"/>
          <w:sz w:val="24"/>
          <w:szCs w:val="24"/>
          <w:u w:color="000000"/>
          <w:vertAlign w:val="superscript"/>
        </w:rPr>
        <w:footnoteReference w:id="578"/>
      </w:r>
      <w:r>
        <w:rPr>
          <w:rStyle w:val="None"/>
          <w:rFonts w:ascii="Helvetica LT Std Roman" w:hAnsi="Helvetica LT Std Roman"/>
          <w:color w:val="000000"/>
          <w:sz w:val="24"/>
          <w:szCs w:val="24"/>
          <w:u w:color="000000"/>
        </w:rPr>
        <w:t>. A nivel domé</w:t>
      </w:r>
      <w:proofErr w:type="spellStart"/>
      <w:r>
        <w:rPr>
          <w:rStyle w:val="None"/>
          <w:rFonts w:ascii="Helvetica LT Std Roman" w:hAnsi="Helvetica LT Std Roman"/>
          <w:color w:val="000000"/>
          <w:sz w:val="24"/>
          <w:szCs w:val="24"/>
          <w:u w:color="000000"/>
          <w:lang w:val="pt-PT"/>
        </w:rPr>
        <w:t>stico</w:t>
      </w:r>
      <w:proofErr w:type="spellEnd"/>
      <w:r>
        <w:rPr>
          <w:rStyle w:val="None"/>
          <w:rFonts w:ascii="Helvetica LT Std Roman" w:hAnsi="Helvetica LT Std Roman"/>
          <w:color w:val="000000"/>
          <w:sz w:val="24"/>
          <w:szCs w:val="24"/>
          <w:u w:color="000000"/>
          <w:lang w:val="pt-PT"/>
        </w:rPr>
        <w:t xml:space="preserve">, </w:t>
      </w:r>
      <w:proofErr w:type="spellStart"/>
      <w:r>
        <w:rPr>
          <w:rStyle w:val="None"/>
          <w:rFonts w:ascii="Helvetica LT Std Roman" w:hAnsi="Helvetica LT Std Roman"/>
          <w:color w:val="000000"/>
          <w:sz w:val="24"/>
          <w:szCs w:val="24"/>
          <w:u w:color="000000"/>
          <w:lang w:val="pt-PT"/>
        </w:rPr>
        <w:t>acad</w:t>
      </w:r>
      <w:r>
        <w:rPr>
          <w:rStyle w:val="None"/>
          <w:rFonts w:ascii="Helvetica LT Std Roman" w:hAnsi="Helvetica LT Std Roman"/>
          <w:color w:val="000000"/>
          <w:sz w:val="24"/>
          <w:szCs w:val="24"/>
          <w:u w:color="000000"/>
        </w:rPr>
        <w:t>émicos</w:t>
      </w:r>
      <w:proofErr w:type="spellEnd"/>
      <w:r>
        <w:rPr>
          <w:rStyle w:val="None"/>
          <w:rFonts w:ascii="Helvetica LT Std Roman" w:hAnsi="Helvetica LT Std Roman"/>
          <w:color w:val="000000"/>
          <w:sz w:val="24"/>
          <w:szCs w:val="24"/>
          <w:u w:color="000000"/>
        </w:rPr>
        <w:t xml:space="preserve"> como Hill y </w:t>
      </w:r>
      <w:r>
        <w:rPr>
          <w:rStyle w:val="None"/>
          <w:rFonts w:ascii="Helvetica LT Std Roman" w:hAnsi="Helvetica LT Std Roman"/>
          <w:color w:val="000000"/>
          <w:sz w:val="24"/>
          <w:szCs w:val="24"/>
          <w:u w:color="000000"/>
        </w:rPr>
        <w:lastRenderedPageBreak/>
        <w:t>otros</w:t>
      </w:r>
      <w:r>
        <w:rPr>
          <w:rStyle w:val="None"/>
          <w:rFonts w:ascii="Helvetica LT Std Roman" w:eastAsia="Helvetica LT Std Roman" w:hAnsi="Helvetica LT Std Roman" w:cs="Helvetica LT Std Roman"/>
          <w:color w:val="000000"/>
          <w:sz w:val="24"/>
          <w:szCs w:val="24"/>
          <w:u w:color="000000"/>
          <w:vertAlign w:val="superscript"/>
        </w:rPr>
        <w:footnoteReference w:id="579"/>
      </w:r>
      <w:r>
        <w:rPr>
          <w:rStyle w:val="None"/>
          <w:rFonts w:ascii="Helvetica LT Std Roman" w:hAnsi="Helvetica LT Std Roman"/>
          <w:color w:val="000000"/>
          <w:sz w:val="24"/>
          <w:szCs w:val="24"/>
          <w:u w:color="000000"/>
          <w:lang w:val="da-DK"/>
        </w:rPr>
        <w:t xml:space="preserve"> han se</w:t>
      </w:r>
      <w:proofErr w:type="spellStart"/>
      <w:r>
        <w:rPr>
          <w:rStyle w:val="None"/>
          <w:rFonts w:ascii="Helvetica LT Std Roman" w:hAnsi="Helvetica LT Std Roman"/>
          <w:color w:val="000000"/>
          <w:sz w:val="24"/>
          <w:szCs w:val="24"/>
          <w:u w:color="000000"/>
        </w:rPr>
        <w:t>ñalado</w:t>
      </w:r>
      <w:proofErr w:type="spellEnd"/>
      <w:r>
        <w:rPr>
          <w:rStyle w:val="None"/>
          <w:rFonts w:ascii="Helvetica LT Std Roman" w:hAnsi="Helvetica LT Std Roman"/>
          <w:color w:val="000000"/>
          <w:sz w:val="24"/>
          <w:szCs w:val="24"/>
          <w:u w:color="000000"/>
        </w:rPr>
        <w:t xml:space="preserve"> que la tasa de aborto de personas con síndrome de </w:t>
      </w:r>
      <w:proofErr w:type="spellStart"/>
      <w:r>
        <w:rPr>
          <w:rStyle w:val="None"/>
          <w:rFonts w:ascii="Helvetica LT Std Roman" w:hAnsi="Helvetica LT Std Roman"/>
          <w:color w:val="000000"/>
          <w:sz w:val="24"/>
          <w:szCs w:val="24"/>
          <w:u w:color="000000"/>
        </w:rPr>
        <w:t>down</w:t>
      </w:r>
      <w:proofErr w:type="spellEnd"/>
      <w:r>
        <w:rPr>
          <w:rStyle w:val="None"/>
          <w:rFonts w:ascii="Helvetica LT Std Roman" w:hAnsi="Helvetica LT Std Roman"/>
          <w:color w:val="000000"/>
          <w:sz w:val="24"/>
          <w:szCs w:val="24"/>
          <w:u w:color="000000"/>
        </w:rPr>
        <w:t xml:space="preserve"> diagnosticado prenatalmente es del 90% o más en países como Gran Bretaña</w:t>
      </w:r>
      <w:r>
        <w:rPr>
          <w:rStyle w:val="None"/>
          <w:rFonts w:ascii="Helvetica LT Std Roman" w:eastAsia="Helvetica LT Std Roman" w:hAnsi="Helvetica LT Std Roman" w:cs="Helvetica LT Std Roman"/>
          <w:color w:val="000000"/>
          <w:sz w:val="24"/>
          <w:szCs w:val="24"/>
          <w:u w:color="000000"/>
          <w:vertAlign w:val="superscript"/>
        </w:rPr>
        <w:footnoteReference w:id="580"/>
      </w:r>
      <w:r>
        <w:rPr>
          <w:rStyle w:val="None"/>
          <w:rFonts w:ascii="Helvetica LT Std Roman" w:hAnsi="Helvetica LT Std Roman"/>
          <w:color w:val="000000"/>
          <w:sz w:val="24"/>
          <w:szCs w:val="24"/>
          <w:u w:color="000000"/>
          <w:lang w:val="de-DE"/>
        </w:rPr>
        <w:t>,  Australia</w:t>
      </w:r>
      <w:r>
        <w:rPr>
          <w:rStyle w:val="None"/>
          <w:rFonts w:ascii="Helvetica LT Std Roman" w:eastAsia="Helvetica LT Std Roman" w:hAnsi="Helvetica LT Std Roman" w:cs="Helvetica LT Std Roman"/>
          <w:color w:val="000000"/>
          <w:sz w:val="24"/>
          <w:szCs w:val="24"/>
          <w:u w:color="000000"/>
          <w:vertAlign w:val="superscript"/>
        </w:rPr>
        <w:footnoteReference w:id="581"/>
      </w:r>
      <w:r>
        <w:rPr>
          <w:rStyle w:val="None"/>
          <w:rFonts w:ascii="Helvetica LT Std Roman" w:hAnsi="Helvetica LT Std Roman"/>
          <w:color w:val="000000"/>
          <w:sz w:val="24"/>
          <w:szCs w:val="24"/>
          <w:u w:color="000000"/>
        </w:rPr>
        <w:t xml:space="preserve"> y los Países Bajos</w:t>
      </w:r>
      <w:r>
        <w:rPr>
          <w:rStyle w:val="None"/>
          <w:rFonts w:ascii="Helvetica LT Std Roman" w:eastAsia="Helvetica LT Std Roman" w:hAnsi="Helvetica LT Std Roman" w:cs="Helvetica LT Std Roman"/>
          <w:color w:val="000000"/>
          <w:sz w:val="24"/>
          <w:szCs w:val="24"/>
          <w:u w:color="000000"/>
          <w:vertAlign w:val="superscript"/>
        </w:rPr>
        <w:footnoteReference w:id="582"/>
      </w:r>
      <w:r>
        <w:rPr>
          <w:rStyle w:val="None"/>
          <w:rFonts w:ascii="Helvetica LT Std Roman" w:hAnsi="Helvetica LT Std Roman"/>
          <w:color w:val="000000"/>
          <w:sz w:val="24"/>
          <w:szCs w:val="24"/>
          <w:u w:color="000000"/>
        </w:rPr>
        <w:t xml:space="preserve">. </w:t>
      </w:r>
    </w:p>
    <w:p w14:paraId="05B25797"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25D6F002"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 xml:space="preserve">En nuestro continente, diversos estudios muestran la sistematicidad del aborto selectivo de personas con discapacidad. La Universidad de Connecticut halló una fuerte correlación entre el incremento de los estudios prenatales para detectar discapacidades y la </w:t>
      </w:r>
      <w:proofErr w:type="spellStart"/>
      <w:r>
        <w:rPr>
          <w:rStyle w:val="None"/>
          <w:rFonts w:ascii="Helvetica LT Std Roman" w:hAnsi="Helvetica LT Std Roman"/>
          <w:color w:val="000000"/>
          <w:sz w:val="24"/>
          <w:szCs w:val="24"/>
          <w:u w:color="000000"/>
        </w:rPr>
        <w:t>reducció</w:t>
      </w:r>
      <w:proofErr w:type="spellEnd"/>
      <w:r>
        <w:rPr>
          <w:rStyle w:val="None"/>
          <w:rFonts w:ascii="Helvetica LT Std Roman" w:hAnsi="Helvetica LT Std Roman"/>
          <w:color w:val="000000"/>
          <w:sz w:val="24"/>
          <w:szCs w:val="24"/>
          <w:u w:color="000000"/>
          <w:lang w:val="it-IT"/>
        </w:rPr>
        <w:t>n del n</w:t>
      </w:r>
      <w:proofErr w:type="spellStart"/>
      <w:r>
        <w:rPr>
          <w:rStyle w:val="None"/>
          <w:rFonts w:ascii="Helvetica LT Std Roman" w:hAnsi="Helvetica LT Std Roman"/>
          <w:color w:val="000000"/>
          <w:sz w:val="24"/>
          <w:szCs w:val="24"/>
          <w:u w:color="000000"/>
        </w:rPr>
        <w:t>úmero</w:t>
      </w:r>
      <w:proofErr w:type="spellEnd"/>
      <w:r>
        <w:rPr>
          <w:rStyle w:val="None"/>
          <w:rFonts w:ascii="Helvetica LT Std Roman" w:hAnsi="Helvetica LT Std Roman"/>
          <w:color w:val="000000"/>
          <w:sz w:val="24"/>
          <w:szCs w:val="24"/>
          <w:u w:color="000000"/>
        </w:rPr>
        <w:t xml:space="preserve"> de nacimientos de niños con sí</w:t>
      </w:r>
      <w:proofErr w:type="spellStart"/>
      <w:r>
        <w:rPr>
          <w:rStyle w:val="None"/>
          <w:rFonts w:ascii="Helvetica LT Std Roman" w:hAnsi="Helvetica LT Std Roman"/>
          <w:color w:val="000000"/>
          <w:sz w:val="24"/>
          <w:szCs w:val="24"/>
          <w:u w:color="000000"/>
          <w:lang w:val="en-US"/>
        </w:rPr>
        <w:t>ndrome</w:t>
      </w:r>
      <w:proofErr w:type="spellEnd"/>
      <w:r>
        <w:rPr>
          <w:rStyle w:val="None"/>
          <w:rFonts w:ascii="Helvetica LT Std Roman" w:hAnsi="Helvetica LT Std Roman"/>
          <w:color w:val="000000"/>
          <w:sz w:val="24"/>
          <w:szCs w:val="24"/>
          <w:u w:color="000000"/>
          <w:lang w:val="en-US"/>
        </w:rPr>
        <w:t xml:space="preserve"> de down</w:t>
      </w:r>
      <w:r>
        <w:rPr>
          <w:rStyle w:val="None"/>
          <w:rFonts w:ascii="Helvetica LT Std Roman" w:eastAsia="Helvetica LT Std Roman" w:hAnsi="Helvetica LT Std Roman" w:cs="Helvetica LT Std Roman"/>
          <w:color w:val="000000"/>
          <w:sz w:val="24"/>
          <w:szCs w:val="24"/>
          <w:u w:color="000000"/>
          <w:vertAlign w:val="superscript"/>
        </w:rPr>
        <w:footnoteReference w:id="583"/>
      </w:r>
      <w:r>
        <w:rPr>
          <w:rStyle w:val="None"/>
          <w:rFonts w:ascii="Helvetica LT Std Roman" w:hAnsi="Helvetica LT Std Roman"/>
          <w:color w:val="000000"/>
          <w:sz w:val="24"/>
          <w:szCs w:val="24"/>
          <w:u w:color="000000"/>
          <w:lang w:val="it-IT"/>
        </w:rPr>
        <w:t xml:space="preserve">. Una </w:t>
      </w:r>
      <w:proofErr w:type="spellStart"/>
      <w:r>
        <w:rPr>
          <w:rStyle w:val="None"/>
          <w:rFonts w:ascii="Helvetica LT Std Roman" w:hAnsi="Helvetica LT Std Roman"/>
          <w:color w:val="000000"/>
          <w:sz w:val="24"/>
          <w:szCs w:val="24"/>
          <w:u w:color="000000"/>
          <w:lang w:val="it-IT"/>
        </w:rPr>
        <w:t>revisi</w:t>
      </w:r>
      <w:r>
        <w:rPr>
          <w:rStyle w:val="None"/>
          <w:rFonts w:ascii="Helvetica LT Std Roman" w:hAnsi="Helvetica LT Std Roman"/>
          <w:color w:val="000000"/>
          <w:sz w:val="24"/>
          <w:szCs w:val="24"/>
          <w:u w:color="000000"/>
        </w:rPr>
        <w:t>ó</w:t>
      </w:r>
      <w:proofErr w:type="spellEnd"/>
      <w:r>
        <w:rPr>
          <w:rStyle w:val="None"/>
          <w:rFonts w:ascii="Helvetica LT Std Roman" w:hAnsi="Helvetica LT Std Roman"/>
          <w:color w:val="000000"/>
          <w:sz w:val="24"/>
          <w:szCs w:val="24"/>
          <w:u w:color="000000"/>
          <w:lang w:val="it-IT"/>
        </w:rPr>
        <w:t xml:space="preserve">n </w:t>
      </w:r>
      <w:proofErr w:type="spellStart"/>
      <w:r>
        <w:rPr>
          <w:rStyle w:val="None"/>
          <w:rFonts w:ascii="Helvetica LT Std Roman" w:hAnsi="Helvetica LT Std Roman"/>
          <w:color w:val="000000"/>
          <w:sz w:val="24"/>
          <w:szCs w:val="24"/>
          <w:u w:color="000000"/>
          <w:lang w:val="it-IT"/>
        </w:rPr>
        <w:t>sistem</w:t>
      </w:r>
      <w:proofErr w:type="spellEnd"/>
      <w:r>
        <w:rPr>
          <w:rStyle w:val="None"/>
          <w:rFonts w:ascii="Helvetica LT Std Roman" w:hAnsi="Helvetica LT Std Roman"/>
          <w:color w:val="000000"/>
          <w:sz w:val="24"/>
          <w:szCs w:val="24"/>
          <w:u w:color="000000"/>
        </w:rPr>
        <w:t xml:space="preserve">ática de la terminación de embarazos tras el </w:t>
      </w:r>
      <w:proofErr w:type="spellStart"/>
      <w:r>
        <w:rPr>
          <w:rStyle w:val="None"/>
          <w:rFonts w:ascii="Helvetica LT Std Roman" w:hAnsi="Helvetica LT Std Roman"/>
          <w:color w:val="000000"/>
          <w:sz w:val="24"/>
          <w:szCs w:val="24"/>
          <w:u w:color="000000"/>
        </w:rPr>
        <w:t>diagnó</w:t>
      </w:r>
      <w:proofErr w:type="spellEnd"/>
      <w:r>
        <w:rPr>
          <w:rStyle w:val="None"/>
          <w:rFonts w:ascii="Helvetica LT Std Roman" w:hAnsi="Helvetica LT Std Roman"/>
          <w:color w:val="000000"/>
          <w:sz w:val="24"/>
          <w:szCs w:val="24"/>
          <w:u w:color="000000"/>
          <w:lang w:val="it-IT"/>
        </w:rPr>
        <w:t xml:space="preserve">stico </w:t>
      </w:r>
      <w:proofErr w:type="spellStart"/>
      <w:r>
        <w:rPr>
          <w:rStyle w:val="None"/>
          <w:rFonts w:ascii="Helvetica LT Std Roman" w:hAnsi="Helvetica LT Std Roman"/>
          <w:color w:val="000000"/>
          <w:sz w:val="24"/>
          <w:szCs w:val="24"/>
          <w:u w:color="000000"/>
          <w:lang w:val="it-IT"/>
        </w:rPr>
        <w:t>prenatal</w:t>
      </w:r>
      <w:proofErr w:type="spellEnd"/>
      <w:r>
        <w:rPr>
          <w:rStyle w:val="None"/>
          <w:rFonts w:ascii="Helvetica LT Std Roman" w:hAnsi="Helvetica LT Std Roman"/>
          <w:color w:val="000000"/>
          <w:sz w:val="24"/>
          <w:szCs w:val="24"/>
          <w:u w:color="000000"/>
          <w:lang w:val="it-IT"/>
        </w:rPr>
        <w:t xml:space="preserve"> de s</w:t>
      </w:r>
      <w:proofErr w:type="spellStart"/>
      <w:r>
        <w:rPr>
          <w:rStyle w:val="None"/>
          <w:rFonts w:ascii="Helvetica LT Std Roman" w:hAnsi="Helvetica LT Std Roman"/>
          <w:color w:val="000000"/>
          <w:sz w:val="24"/>
          <w:szCs w:val="24"/>
          <w:u w:color="000000"/>
        </w:rPr>
        <w:t>índrome</w:t>
      </w:r>
      <w:proofErr w:type="spellEnd"/>
      <w:r>
        <w:rPr>
          <w:rStyle w:val="None"/>
          <w:rFonts w:ascii="Helvetica LT Std Roman" w:hAnsi="Helvetica LT Std Roman"/>
          <w:color w:val="000000"/>
          <w:sz w:val="24"/>
          <w:szCs w:val="24"/>
          <w:u w:color="000000"/>
        </w:rPr>
        <w:t xml:space="preserve"> de </w:t>
      </w:r>
      <w:proofErr w:type="spellStart"/>
      <w:r>
        <w:rPr>
          <w:rStyle w:val="None"/>
          <w:rFonts w:ascii="Helvetica LT Std Roman" w:hAnsi="Helvetica LT Std Roman"/>
          <w:color w:val="000000"/>
          <w:sz w:val="24"/>
          <w:szCs w:val="24"/>
          <w:u w:color="000000"/>
        </w:rPr>
        <w:t>down</w:t>
      </w:r>
      <w:proofErr w:type="spellEnd"/>
      <w:r>
        <w:rPr>
          <w:rStyle w:val="None"/>
          <w:rFonts w:ascii="Helvetica LT Std Roman" w:hAnsi="Helvetica LT Std Roman"/>
          <w:color w:val="000000"/>
          <w:sz w:val="24"/>
          <w:szCs w:val="24"/>
          <w:u w:color="000000"/>
        </w:rPr>
        <w:t xml:space="preserve"> realizada entre 1995 y 2011 en el </w:t>
      </w:r>
      <w:proofErr w:type="spellStart"/>
      <w:r>
        <w:rPr>
          <w:rStyle w:val="None"/>
          <w:rFonts w:ascii="Helvetica LT Std Roman" w:hAnsi="Helvetica LT Std Roman"/>
          <w:color w:val="000000"/>
          <w:sz w:val="24"/>
          <w:szCs w:val="24"/>
          <w:u w:color="000000"/>
        </w:rPr>
        <w:t>paí</w:t>
      </w:r>
      <w:proofErr w:type="spellEnd"/>
      <w:r>
        <w:rPr>
          <w:rStyle w:val="None"/>
          <w:rFonts w:ascii="Helvetica LT Std Roman" w:hAnsi="Helvetica LT Std Roman"/>
          <w:color w:val="000000"/>
          <w:sz w:val="24"/>
          <w:szCs w:val="24"/>
          <w:u w:color="000000"/>
          <w:lang w:val="pt-PT"/>
        </w:rPr>
        <w:t xml:space="preserve">s Norte Americano </w:t>
      </w:r>
      <w:proofErr w:type="spellStart"/>
      <w:r>
        <w:rPr>
          <w:rStyle w:val="None"/>
          <w:rFonts w:ascii="Helvetica LT Std Roman" w:hAnsi="Helvetica LT Std Roman"/>
          <w:color w:val="000000"/>
          <w:sz w:val="24"/>
          <w:szCs w:val="24"/>
          <w:u w:color="000000"/>
          <w:lang w:val="pt-PT"/>
        </w:rPr>
        <w:t>arroj</w:t>
      </w:r>
      <w:r>
        <w:rPr>
          <w:rStyle w:val="None"/>
          <w:rFonts w:ascii="Helvetica LT Std Roman" w:hAnsi="Helvetica LT Std Roman"/>
          <w:color w:val="000000"/>
          <w:sz w:val="24"/>
          <w:szCs w:val="24"/>
          <w:u w:color="000000"/>
        </w:rPr>
        <w:t>ó</w:t>
      </w:r>
      <w:proofErr w:type="spellEnd"/>
      <w:r>
        <w:rPr>
          <w:rStyle w:val="None"/>
          <w:rFonts w:ascii="Helvetica LT Std Roman" w:hAnsi="Helvetica LT Std Roman"/>
          <w:color w:val="000000"/>
          <w:sz w:val="24"/>
          <w:szCs w:val="24"/>
          <w:u w:color="000000"/>
        </w:rPr>
        <w:t xml:space="preserve"> que la tasa de aborto de esta </w:t>
      </w:r>
      <w:r>
        <w:rPr>
          <w:rStyle w:val="None"/>
          <w:rFonts w:ascii="Helvetica LT Std Roman" w:hAnsi="Helvetica LT Std Roman"/>
          <w:color w:val="000000"/>
          <w:sz w:val="24"/>
          <w:szCs w:val="24"/>
          <w:u w:color="000000"/>
        </w:rPr>
        <w:lastRenderedPageBreak/>
        <w:t>población por parte de la mujer gestante se sitúa entre el 67 y el 85%</w:t>
      </w:r>
      <w:r>
        <w:rPr>
          <w:rStyle w:val="None"/>
          <w:rFonts w:ascii="Helvetica LT Std Roman" w:eastAsia="Helvetica LT Std Roman" w:hAnsi="Helvetica LT Std Roman" w:cs="Helvetica LT Std Roman"/>
          <w:color w:val="000000"/>
          <w:sz w:val="24"/>
          <w:szCs w:val="24"/>
          <w:u w:color="000000"/>
          <w:vertAlign w:val="superscript"/>
        </w:rPr>
        <w:footnoteReference w:id="584"/>
      </w:r>
      <w:r>
        <w:rPr>
          <w:rStyle w:val="None"/>
          <w:rFonts w:ascii="Helvetica LT Std Roman" w:hAnsi="Helvetica LT Std Roman"/>
          <w:color w:val="000000"/>
          <w:sz w:val="24"/>
          <w:szCs w:val="24"/>
          <w:u w:color="000000"/>
        </w:rPr>
        <w:t xml:space="preserve">. </w:t>
      </w:r>
    </w:p>
    <w:p w14:paraId="41C24063" w14:textId="77777777" w:rsidR="001A105D" w:rsidRDefault="001A105D">
      <w:pPr>
        <w:pStyle w:val="Body"/>
        <w:spacing w:line="276" w:lineRule="auto"/>
        <w:rPr>
          <w:rStyle w:val="None"/>
          <w:color w:val="000000"/>
          <w:sz w:val="24"/>
          <w:szCs w:val="24"/>
          <w:u w:color="000000"/>
        </w:rPr>
      </w:pPr>
    </w:p>
    <w:p w14:paraId="542CF0A1"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lang w:val="nl-NL"/>
        </w:rPr>
        <w:t>En Am</w:t>
      </w:r>
      <w:proofErr w:type="spellStart"/>
      <w:r>
        <w:rPr>
          <w:rStyle w:val="None"/>
          <w:rFonts w:ascii="Helvetica LT Std Roman" w:hAnsi="Helvetica LT Std Roman"/>
          <w:color w:val="000000"/>
          <w:sz w:val="24"/>
          <w:szCs w:val="24"/>
          <w:u w:color="000000"/>
        </w:rPr>
        <w:t>érica</w:t>
      </w:r>
      <w:proofErr w:type="spellEnd"/>
      <w:r>
        <w:rPr>
          <w:rStyle w:val="None"/>
          <w:rFonts w:ascii="Helvetica LT Std Roman" w:hAnsi="Helvetica LT Std Roman"/>
          <w:color w:val="000000"/>
          <w:sz w:val="24"/>
          <w:szCs w:val="24"/>
          <w:u w:color="000000"/>
        </w:rPr>
        <w:t xml:space="preserve"> Latina, al menos 5 de los 24 Estados parte de la Convención Americana sobre Derechos Humanos autorizan el aborto </w:t>
      </w:r>
      <w:proofErr w:type="spellStart"/>
      <w:r>
        <w:rPr>
          <w:rStyle w:val="None"/>
          <w:rFonts w:ascii="Helvetica LT Std Roman" w:hAnsi="Helvetica LT Std Roman"/>
          <w:color w:val="000000"/>
          <w:sz w:val="24"/>
          <w:szCs w:val="24"/>
          <w:u w:color="000000"/>
        </w:rPr>
        <w:t>eugené</w:t>
      </w:r>
      <w:r>
        <w:rPr>
          <w:rStyle w:val="None"/>
          <w:rFonts w:ascii="Helvetica LT Std Roman" w:hAnsi="Helvetica LT Std Roman"/>
          <w:color w:val="000000"/>
          <w:sz w:val="24"/>
          <w:szCs w:val="24"/>
          <w:u w:color="000000"/>
          <w:lang w:val="it-IT"/>
        </w:rPr>
        <w:t>sico</w:t>
      </w:r>
      <w:proofErr w:type="spellEnd"/>
      <w:r>
        <w:rPr>
          <w:rStyle w:val="None"/>
          <w:rFonts w:ascii="Helvetica LT Std Roman" w:hAnsi="Helvetica LT Std Roman"/>
          <w:color w:val="000000"/>
          <w:sz w:val="24"/>
          <w:szCs w:val="24"/>
          <w:u w:color="000000"/>
          <w:lang w:val="it-IT"/>
        </w:rPr>
        <w:t xml:space="preserve">, </w:t>
      </w:r>
      <w:proofErr w:type="spellStart"/>
      <w:r>
        <w:rPr>
          <w:rStyle w:val="None"/>
          <w:rFonts w:ascii="Helvetica LT Std Roman" w:hAnsi="Helvetica LT Std Roman"/>
          <w:color w:val="000000"/>
          <w:sz w:val="24"/>
          <w:szCs w:val="24"/>
          <w:u w:color="000000"/>
          <w:lang w:val="it-IT"/>
        </w:rPr>
        <w:t>seg</w:t>
      </w:r>
      <w:r>
        <w:rPr>
          <w:rStyle w:val="None"/>
          <w:rFonts w:ascii="Helvetica LT Std Roman" w:hAnsi="Helvetica LT Std Roman"/>
          <w:color w:val="000000"/>
          <w:sz w:val="24"/>
          <w:szCs w:val="24"/>
          <w:u w:color="000000"/>
        </w:rPr>
        <w:t>ún</w:t>
      </w:r>
      <w:proofErr w:type="spellEnd"/>
      <w:r>
        <w:rPr>
          <w:rStyle w:val="None"/>
          <w:rFonts w:ascii="Helvetica LT Std Roman" w:hAnsi="Helvetica LT Std Roman"/>
          <w:color w:val="000000"/>
          <w:sz w:val="24"/>
          <w:szCs w:val="24"/>
          <w:u w:color="000000"/>
        </w:rPr>
        <w:t xml:space="preserve"> </w:t>
      </w:r>
      <w:proofErr w:type="spellStart"/>
      <w:r>
        <w:rPr>
          <w:rStyle w:val="None"/>
          <w:rFonts w:ascii="Helvetica LT Std Roman" w:hAnsi="Helvetica LT Std Roman"/>
          <w:color w:val="000000"/>
          <w:sz w:val="24"/>
          <w:szCs w:val="24"/>
          <w:u w:color="000000"/>
        </w:rPr>
        <w:t>esta</w:t>
      </w:r>
      <w:proofErr w:type="spellEnd"/>
      <w:r>
        <w:rPr>
          <w:rStyle w:val="None"/>
          <w:rFonts w:ascii="Helvetica LT Std Roman" w:hAnsi="Helvetica LT Std Roman"/>
          <w:color w:val="000000"/>
          <w:sz w:val="24"/>
          <w:szCs w:val="24"/>
          <w:u w:color="000000"/>
        </w:rPr>
        <w:t xml:space="preserve"> honorable Comisión</w:t>
      </w:r>
      <w:r>
        <w:rPr>
          <w:rStyle w:val="None"/>
          <w:rFonts w:ascii="Helvetica LT Std Roman" w:eastAsia="Helvetica LT Std Roman" w:hAnsi="Helvetica LT Std Roman" w:cs="Helvetica LT Std Roman"/>
          <w:color w:val="000000"/>
          <w:sz w:val="24"/>
          <w:szCs w:val="24"/>
          <w:u w:color="000000"/>
          <w:vertAlign w:val="superscript"/>
        </w:rPr>
        <w:footnoteReference w:id="585"/>
      </w:r>
      <w:r>
        <w:rPr>
          <w:rStyle w:val="None"/>
          <w:rFonts w:ascii="Helvetica LT Std Roman" w:hAnsi="Helvetica LT Std Roman"/>
          <w:color w:val="000000"/>
          <w:sz w:val="24"/>
          <w:szCs w:val="24"/>
          <w:u w:color="000000"/>
        </w:rPr>
        <w:t>. Esto demuestra que la práctica de abortos por la condición de salud o de la capacidad del no nacido (abortos eugenésicos) es posible e inclusive lícita en algunos países de la región, lo que reclama un pronunciamiento de la Comisión y es en sí</w:t>
      </w:r>
      <w:r>
        <w:rPr>
          <w:rStyle w:val="None"/>
          <w:rFonts w:ascii="Helvetica LT Std Roman" w:hAnsi="Helvetica LT Std Roman"/>
          <w:color w:val="000000"/>
          <w:sz w:val="24"/>
          <w:szCs w:val="24"/>
          <w:u w:color="000000"/>
          <w:lang w:val="it-IT"/>
        </w:rPr>
        <w:t xml:space="preserve"> </w:t>
      </w:r>
      <w:proofErr w:type="spellStart"/>
      <w:r>
        <w:rPr>
          <w:rStyle w:val="None"/>
          <w:rFonts w:ascii="Helvetica LT Std Roman" w:hAnsi="Helvetica LT Std Roman"/>
          <w:color w:val="000000"/>
          <w:sz w:val="24"/>
          <w:szCs w:val="24"/>
          <w:u w:color="000000"/>
          <w:lang w:val="it-IT"/>
        </w:rPr>
        <w:t>mismo</w:t>
      </w:r>
      <w:proofErr w:type="spellEnd"/>
      <w:r>
        <w:rPr>
          <w:rStyle w:val="None"/>
          <w:rFonts w:ascii="Helvetica LT Std Roman" w:hAnsi="Helvetica LT Std Roman"/>
          <w:color w:val="000000"/>
          <w:sz w:val="24"/>
          <w:szCs w:val="24"/>
          <w:u w:color="000000"/>
          <w:lang w:val="it-IT"/>
        </w:rPr>
        <w:t xml:space="preserve"> discriminatorio.</w:t>
      </w:r>
    </w:p>
    <w:p w14:paraId="5B182215" w14:textId="77777777" w:rsidR="001A105D" w:rsidRDefault="001A105D">
      <w:pPr>
        <w:pStyle w:val="Body"/>
        <w:spacing w:line="276" w:lineRule="auto"/>
        <w:rPr>
          <w:rFonts w:ascii="Helvetica LT Std Roman" w:eastAsia="Helvetica LT Std Roman" w:hAnsi="Helvetica LT Std Roman" w:cs="Helvetica LT Std Roman"/>
          <w:color w:val="000000"/>
          <w:spacing w:val="-2"/>
          <w:sz w:val="24"/>
          <w:szCs w:val="24"/>
          <w:u w:color="000000"/>
        </w:rPr>
      </w:pPr>
    </w:p>
    <w:p w14:paraId="47E0786A"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En este punto es importante señalar que la Convención Americana no contiene ninguna disposición que obligue a los Estados a legalizar el aborto, ni mucho menos a permitirlo para eliminar deliberadamente a las personas con discapacidad. En cambio, sí establece la obligación internacional de proteger el derecho a la vida de todas las personas desde la concepción</w:t>
      </w:r>
      <w:r>
        <w:rPr>
          <w:rStyle w:val="None"/>
          <w:rFonts w:ascii="Helvetica LT Std Roman" w:eastAsia="Helvetica LT Std Roman" w:hAnsi="Helvetica LT Std Roman" w:cs="Helvetica LT Std Roman"/>
          <w:color w:val="000000"/>
          <w:spacing w:val="-2"/>
          <w:sz w:val="24"/>
          <w:szCs w:val="24"/>
          <w:u w:color="000000"/>
          <w:vertAlign w:val="superscript"/>
        </w:rPr>
        <w:footnoteReference w:id="586"/>
      </w:r>
      <w:r>
        <w:rPr>
          <w:rStyle w:val="None"/>
          <w:rFonts w:ascii="Helvetica LT Std Roman" w:hAnsi="Helvetica LT Std Roman"/>
          <w:color w:val="000000"/>
          <w:spacing w:val="-2"/>
          <w:sz w:val="24"/>
          <w:szCs w:val="24"/>
          <w:u w:color="000000"/>
        </w:rPr>
        <w:t>. Pretender establecer un derecho al aborto que emane de la Convención, en palabras del Juez Vio Grossi, “no sería ajustado a su letra y espíritu”</w:t>
      </w:r>
      <w:r>
        <w:rPr>
          <w:rStyle w:val="None"/>
          <w:rFonts w:ascii="Helvetica LT Std Roman" w:eastAsia="Helvetica LT Std Roman" w:hAnsi="Helvetica LT Std Roman" w:cs="Helvetica LT Std Roman"/>
          <w:color w:val="000000"/>
          <w:spacing w:val="-2"/>
          <w:sz w:val="24"/>
          <w:szCs w:val="24"/>
          <w:u w:color="000000"/>
          <w:vertAlign w:val="superscript"/>
        </w:rPr>
        <w:footnoteReference w:id="587"/>
      </w:r>
      <w:r>
        <w:rPr>
          <w:rStyle w:val="None"/>
          <w:rFonts w:ascii="Helvetica LT Std Roman" w:hAnsi="Helvetica LT Std Roman"/>
          <w:color w:val="000000"/>
          <w:spacing w:val="-2"/>
          <w:sz w:val="24"/>
          <w:szCs w:val="24"/>
          <w:u w:color="000000"/>
        </w:rPr>
        <w:t>.</w:t>
      </w:r>
    </w:p>
    <w:p w14:paraId="09784CDC"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672938EF"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Así mismo, es menester señalar que organizaciones no gubernamentales y de la sociedad civil que agrupan y representan a personas con discapacidad en la región se han pronunciado en contra de la práctica de abortos selectivos de personas con discapacidades o malformaciones congénitas, por considerarlas </w:t>
      </w:r>
      <w:r>
        <w:rPr>
          <w:rStyle w:val="None"/>
          <w:rFonts w:ascii="Helvetica LT Std Roman" w:hAnsi="Helvetica LT Std Roman"/>
          <w:color w:val="000000"/>
          <w:sz w:val="24"/>
          <w:szCs w:val="24"/>
          <w:u w:color="000000"/>
        </w:rPr>
        <w:lastRenderedPageBreak/>
        <w:t xml:space="preserve">discriminatorias. La </w:t>
      </w:r>
      <w:proofErr w:type="spellStart"/>
      <w:r>
        <w:rPr>
          <w:rStyle w:val="None"/>
          <w:rFonts w:ascii="Helvetica LT Std Roman" w:hAnsi="Helvetica LT Std Roman"/>
          <w:color w:val="000000"/>
          <w:sz w:val="24"/>
          <w:szCs w:val="24"/>
          <w:u w:color="000000"/>
        </w:rPr>
        <w:t>Asociació</w:t>
      </w:r>
      <w:proofErr w:type="spellEnd"/>
      <w:r>
        <w:rPr>
          <w:rStyle w:val="None"/>
          <w:rFonts w:ascii="Helvetica LT Std Roman" w:hAnsi="Helvetica LT Std Roman"/>
          <w:color w:val="000000"/>
          <w:sz w:val="24"/>
          <w:szCs w:val="24"/>
          <w:u w:color="000000"/>
          <w:lang w:val="de-DE"/>
        </w:rPr>
        <w:t>n S</w:t>
      </w:r>
      <w:proofErr w:type="spellStart"/>
      <w:r>
        <w:rPr>
          <w:rStyle w:val="None"/>
          <w:rFonts w:ascii="Helvetica LT Std Roman" w:hAnsi="Helvetica LT Std Roman"/>
          <w:color w:val="000000"/>
          <w:sz w:val="24"/>
          <w:szCs w:val="24"/>
          <w:u w:color="000000"/>
        </w:rPr>
        <w:t>índrome</w:t>
      </w:r>
      <w:proofErr w:type="spellEnd"/>
      <w:r>
        <w:rPr>
          <w:rStyle w:val="None"/>
          <w:rFonts w:ascii="Helvetica LT Std Roman" w:hAnsi="Helvetica LT Std Roman"/>
          <w:color w:val="000000"/>
          <w:sz w:val="24"/>
          <w:szCs w:val="24"/>
          <w:u w:color="000000"/>
        </w:rPr>
        <w:t xml:space="preserve"> de Down de la República Argentina (ASDRA), por ejemplo, alertó en 2020 que:</w:t>
      </w:r>
    </w:p>
    <w:p w14:paraId="337A1EB0" w14:textId="77777777" w:rsidR="001A105D" w:rsidRDefault="001A105D">
      <w:pPr>
        <w:pStyle w:val="Body"/>
        <w:spacing w:line="276" w:lineRule="auto"/>
        <w:rPr>
          <w:rStyle w:val="None"/>
          <w:color w:val="000000"/>
          <w:sz w:val="24"/>
          <w:szCs w:val="24"/>
          <w:u w:color="000000"/>
        </w:rPr>
      </w:pPr>
    </w:p>
    <w:p w14:paraId="6EF8150F" w14:textId="77777777" w:rsidR="001A105D" w:rsidRDefault="00000000">
      <w:pPr>
        <w:pStyle w:val="Body"/>
        <w:spacing w:line="276" w:lineRule="auto"/>
        <w:ind w:left="720"/>
        <w:rPr>
          <w:rStyle w:val="None"/>
          <w:rFonts w:ascii="Helvetica LT Std Roman" w:eastAsia="Helvetica LT Std Roman" w:hAnsi="Helvetica LT Std Roman" w:cs="Helvetica LT Std Roman"/>
          <w:color w:val="000000"/>
          <w:sz w:val="24"/>
          <w:szCs w:val="24"/>
          <w:u w:color="000000"/>
          <w:shd w:val="clear" w:color="auto" w:fill="FFFFFF"/>
        </w:rPr>
      </w:pPr>
      <w:r>
        <w:rPr>
          <w:rStyle w:val="None"/>
          <w:rFonts w:ascii="Helvetica LT Std Roman" w:hAnsi="Helvetica LT Std Roman"/>
          <w:color w:val="000000"/>
          <w:sz w:val="24"/>
          <w:szCs w:val="24"/>
          <w:u w:color="000000"/>
        </w:rPr>
        <w:t xml:space="preserve">“en la mayoría de los países donde se eliminaron restricciones al aborto [hubo] incrementos significativos de </w:t>
      </w:r>
      <w:proofErr w:type="spellStart"/>
      <w:r>
        <w:rPr>
          <w:rStyle w:val="None"/>
          <w:rFonts w:ascii="Helvetica LT Std Roman" w:hAnsi="Helvetica LT Std Roman"/>
          <w:color w:val="000000"/>
          <w:sz w:val="24"/>
          <w:szCs w:val="24"/>
          <w:u w:color="000000"/>
        </w:rPr>
        <w:t>prá</w:t>
      </w:r>
      <w:r>
        <w:rPr>
          <w:rStyle w:val="None"/>
          <w:rFonts w:ascii="Helvetica LT Std Roman" w:hAnsi="Helvetica LT Std Roman"/>
          <w:color w:val="000000"/>
          <w:sz w:val="24"/>
          <w:szCs w:val="24"/>
          <w:u w:color="000000"/>
          <w:lang w:val="pt-PT"/>
        </w:rPr>
        <w:t>cticas</w:t>
      </w:r>
      <w:proofErr w:type="spellEnd"/>
      <w:r>
        <w:rPr>
          <w:rStyle w:val="None"/>
          <w:rFonts w:ascii="Helvetica LT Std Roman" w:hAnsi="Helvetica LT Std Roman"/>
          <w:color w:val="000000"/>
          <w:sz w:val="24"/>
          <w:szCs w:val="24"/>
          <w:u w:color="000000"/>
          <w:lang w:val="pt-PT"/>
        </w:rPr>
        <w:t xml:space="preserve"> </w:t>
      </w:r>
      <w:proofErr w:type="spellStart"/>
      <w:r>
        <w:rPr>
          <w:rStyle w:val="None"/>
          <w:rFonts w:ascii="Helvetica LT Std Roman" w:hAnsi="Helvetica LT Std Roman"/>
          <w:color w:val="000000"/>
          <w:sz w:val="24"/>
          <w:szCs w:val="24"/>
          <w:u w:color="000000"/>
          <w:lang w:val="pt-PT"/>
        </w:rPr>
        <w:t>eugen</w:t>
      </w:r>
      <w:r>
        <w:rPr>
          <w:rStyle w:val="None"/>
          <w:rFonts w:ascii="Helvetica LT Std Roman" w:hAnsi="Helvetica LT Std Roman"/>
          <w:color w:val="000000"/>
          <w:sz w:val="24"/>
          <w:szCs w:val="24"/>
          <w:u w:color="000000"/>
        </w:rPr>
        <w:t>ésicas</w:t>
      </w:r>
      <w:proofErr w:type="spellEnd"/>
      <w:r>
        <w:rPr>
          <w:rStyle w:val="None"/>
          <w:rFonts w:ascii="Helvetica LT Std Roman" w:hAnsi="Helvetica LT Std Roman"/>
          <w:color w:val="000000"/>
          <w:sz w:val="24"/>
          <w:szCs w:val="24"/>
          <w:u w:color="000000"/>
        </w:rPr>
        <w:t xml:space="preserve"> de hasta un 90 % sobre fetos diagnosticados con síndrome de Down en el vientre materno</w:t>
      </w:r>
      <w:r>
        <w:rPr>
          <w:rStyle w:val="None"/>
          <w:rFonts w:ascii="Helvetica LT Std Roman" w:hAnsi="Helvetica LT Std Roman"/>
          <w:color w:val="000000"/>
          <w:sz w:val="24"/>
          <w:szCs w:val="24"/>
          <w:u w:color="000000"/>
          <w:shd w:val="clear" w:color="auto" w:fill="FFFFFF"/>
        </w:rPr>
        <w:t>. Los casos son numerosos: Estados Unidos, Holanda, República Checa, Finlandia, Francia, Noruega, Italia, Israel, Suecia, Canadá, Australia e Inglaterra, entre otros”</w:t>
      </w:r>
      <w:r>
        <w:rPr>
          <w:rStyle w:val="None"/>
          <w:rFonts w:ascii="Helvetica LT Std Roman" w:eastAsia="Helvetica LT Std Roman" w:hAnsi="Helvetica LT Std Roman" w:cs="Helvetica LT Std Roman"/>
          <w:color w:val="000000"/>
          <w:sz w:val="24"/>
          <w:szCs w:val="24"/>
          <w:u w:color="000000"/>
          <w:shd w:val="clear" w:color="auto" w:fill="FFFFFF"/>
          <w:vertAlign w:val="superscript"/>
        </w:rPr>
        <w:footnoteReference w:id="588"/>
      </w:r>
      <w:r>
        <w:rPr>
          <w:rStyle w:val="None"/>
          <w:rFonts w:ascii="Helvetica LT Std Roman" w:hAnsi="Helvetica LT Std Roman"/>
          <w:color w:val="000000"/>
          <w:sz w:val="24"/>
          <w:szCs w:val="24"/>
          <w:u w:color="000000"/>
          <w:shd w:val="clear" w:color="auto" w:fill="FFFFFF"/>
        </w:rPr>
        <w:t xml:space="preserve">. </w:t>
      </w:r>
    </w:p>
    <w:p w14:paraId="3E4CD975"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shd w:val="clear" w:color="auto" w:fill="FFFFFF"/>
        </w:rPr>
      </w:pPr>
    </w:p>
    <w:p w14:paraId="253F44D5" w14:textId="77777777" w:rsidR="001A105D" w:rsidRDefault="00000000">
      <w:pPr>
        <w:pStyle w:val="Body"/>
        <w:spacing w:line="276" w:lineRule="auto"/>
        <w:rPr>
          <w:rStyle w:val="None"/>
          <w:color w:val="000000"/>
          <w:sz w:val="24"/>
          <w:szCs w:val="24"/>
          <w:u w:color="000000"/>
          <w:shd w:val="clear" w:color="auto" w:fill="FFFFFF"/>
        </w:rPr>
      </w:pPr>
      <w:r>
        <w:rPr>
          <w:rStyle w:val="None"/>
          <w:rFonts w:ascii="Helvetica LT Std Roman" w:hAnsi="Helvetica LT Std Roman"/>
          <w:color w:val="000000"/>
          <w:sz w:val="24"/>
          <w:szCs w:val="24"/>
          <w:u w:color="000000"/>
          <w:shd w:val="clear" w:color="auto" w:fill="FFFFFF"/>
        </w:rPr>
        <w:t xml:space="preserve">Así, los abortos selectivos y las </w:t>
      </w:r>
      <w:proofErr w:type="spellStart"/>
      <w:r>
        <w:rPr>
          <w:rStyle w:val="None"/>
          <w:rFonts w:ascii="Helvetica LT Std Roman" w:hAnsi="Helvetica LT Std Roman"/>
          <w:color w:val="000000"/>
          <w:sz w:val="24"/>
          <w:szCs w:val="24"/>
          <w:u w:color="000000"/>
          <w:shd w:val="clear" w:color="auto" w:fill="FFFFFF"/>
        </w:rPr>
        <w:t>prá</w:t>
      </w:r>
      <w:r>
        <w:rPr>
          <w:rStyle w:val="None"/>
          <w:rFonts w:ascii="Helvetica LT Std Roman" w:hAnsi="Helvetica LT Std Roman"/>
          <w:color w:val="000000"/>
          <w:sz w:val="24"/>
          <w:szCs w:val="24"/>
          <w:u w:color="000000"/>
          <w:shd w:val="clear" w:color="auto" w:fill="FFFFFF"/>
          <w:lang w:val="pt-PT"/>
        </w:rPr>
        <w:t>cticas</w:t>
      </w:r>
      <w:proofErr w:type="spellEnd"/>
      <w:r>
        <w:rPr>
          <w:rStyle w:val="None"/>
          <w:rFonts w:ascii="Helvetica LT Std Roman" w:hAnsi="Helvetica LT Std Roman"/>
          <w:color w:val="000000"/>
          <w:sz w:val="24"/>
          <w:szCs w:val="24"/>
          <w:u w:color="000000"/>
          <w:shd w:val="clear" w:color="auto" w:fill="FFFFFF"/>
          <w:lang w:val="pt-PT"/>
        </w:rPr>
        <w:t xml:space="preserve"> </w:t>
      </w:r>
      <w:proofErr w:type="spellStart"/>
      <w:r>
        <w:rPr>
          <w:rStyle w:val="None"/>
          <w:rFonts w:ascii="Helvetica LT Std Roman" w:hAnsi="Helvetica LT Std Roman"/>
          <w:color w:val="000000"/>
          <w:sz w:val="24"/>
          <w:szCs w:val="24"/>
          <w:u w:color="000000"/>
          <w:shd w:val="clear" w:color="auto" w:fill="FFFFFF"/>
          <w:lang w:val="pt-PT"/>
        </w:rPr>
        <w:t>eugen</w:t>
      </w:r>
      <w:r>
        <w:rPr>
          <w:rStyle w:val="None"/>
          <w:rFonts w:ascii="Helvetica LT Std Roman" w:hAnsi="Helvetica LT Std Roman"/>
          <w:color w:val="000000"/>
          <w:sz w:val="24"/>
          <w:szCs w:val="24"/>
          <w:u w:color="000000"/>
          <w:shd w:val="clear" w:color="auto" w:fill="FFFFFF"/>
        </w:rPr>
        <w:t>ésicas</w:t>
      </w:r>
      <w:proofErr w:type="spellEnd"/>
      <w:r>
        <w:rPr>
          <w:rStyle w:val="None"/>
          <w:rFonts w:ascii="Helvetica LT Std Roman" w:hAnsi="Helvetica LT Std Roman"/>
          <w:color w:val="000000"/>
          <w:sz w:val="24"/>
          <w:szCs w:val="24"/>
          <w:u w:color="000000"/>
          <w:shd w:val="clear" w:color="auto" w:fill="FFFFFF"/>
        </w:rPr>
        <w:t xml:space="preserve"> en el mundo y en la región son una problemática grave y generalizada que amenaza los derechos fundamentales de las personas con discapacidad, lo cual por supuesto requiere la urgente atención de la comunidad internacional. Por ello, su omisión en </w:t>
      </w:r>
      <w:proofErr w:type="gramStart"/>
      <w:r>
        <w:rPr>
          <w:rStyle w:val="None"/>
          <w:rFonts w:ascii="Helvetica LT Std Roman" w:hAnsi="Helvetica LT Std Roman"/>
          <w:color w:val="000000"/>
          <w:sz w:val="24"/>
          <w:szCs w:val="24"/>
          <w:u w:color="000000"/>
          <w:shd w:val="clear" w:color="auto" w:fill="FFFFFF"/>
        </w:rPr>
        <w:t>el informe resulta inaceptable</w:t>
      </w:r>
      <w:proofErr w:type="gramEnd"/>
      <w:r>
        <w:rPr>
          <w:rStyle w:val="None"/>
          <w:rFonts w:ascii="Helvetica LT Std Roman" w:hAnsi="Helvetica LT Std Roman"/>
          <w:color w:val="000000"/>
          <w:sz w:val="24"/>
          <w:szCs w:val="24"/>
          <w:u w:color="000000"/>
          <w:shd w:val="clear" w:color="auto" w:fill="FFFFFF"/>
        </w:rPr>
        <w:t>.</w:t>
      </w:r>
    </w:p>
    <w:p w14:paraId="0740655E" w14:textId="77777777" w:rsidR="001A105D" w:rsidRDefault="001A105D">
      <w:pPr>
        <w:pStyle w:val="Body"/>
        <w:spacing w:line="276" w:lineRule="auto"/>
        <w:rPr>
          <w:rStyle w:val="None"/>
          <w:color w:val="000000"/>
          <w:sz w:val="24"/>
          <w:szCs w:val="24"/>
          <w:u w:color="000000"/>
        </w:rPr>
      </w:pPr>
    </w:p>
    <w:p w14:paraId="4C7D6D49" w14:textId="77777777" w:rsidR="001A105D" w:rsidRDefault="00000000">
      <w:pPr>
        <w:pStyle w:val="Body"/>
        <w:numPr>
          <w:ilvl w:val="1"/>
          <w:numId w:val="106"/>
        </w:numPr>
        <w:spacing w:line="276" w:lineRule="auto"/>
        <w:jc w:val="left"/>
        <w:rPr>
          <w:rFonts w:ascii="Helvetica LT Std Bold" w:hAnsi="Helvetica LT Std Bold"/>
          <w:color w:val="000000"/>
          <w:sz w:val="24"/>
          <w:szCs w:val="24"/>
          <w:u w:color="000000"/>
        </w:rPr>
      </w:pPr>
      <w:r>
        <w:rPr>
          <w:rFonts w:ascii="Helvetica LT Std Bold" w:hAnsi="Helvetica LT Std Bold"/>
          <w:color w:val="000000"/>
          <w:sz w:val="24"/>
          <w:szCs w:val="24"/>
          <w:u w:color="000000"/>
        </w:rPr>
        <w:t>Protecci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de las personas con discapacidad desde la gestaci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y la m</w:t>
      </w:r>
      <w:r>
        <w:rPr>
          <w:rStyle w:val="None"/>
          <w:rFonts w:ascii="Helvetica LT Std Bold" w:hAnsi="Helvetica LT Std Bold"/>
          <w:color w:val="000000"/>
          <w:sz w:val="24"/>
          <w:szCs w:val="24"/>
          <w:u w:color="000000"/>
        </w:rPr>
        <w:t>ú</w:t>
      </w:r>
      <w:r>
        <w:rPr>
          <w:rFonts w:ascii="Helvetica LT Std Bold" w:hAnsi="Helvetica LT Std Bold"/>
          <w:color w:val="000000"/>
          <w:sz w:val="24"/>
          <w:szCs w:val="24"/>
          <w:u w:color="000000"/>
        </w:rPr>
        <w:t>ltiple afectaci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a derechos como consecuencia de los abortos selectivos</w:t>
      </w:r>
    </w:p>
    <w:p w14:paraId="02D674D2" w14:textId="77777777" w:rsidR="001A105D" w:rsidRDefault="001A105D">
      <w:pPr>
        <w:pStyle w:val="Body"/>
        <w:spacing w:line="276" w:lineRule="auto"/>
        <w:rPr>
          <w:rStyle w:val="None"/>
          <w:color w:val="000000"/>
          <w:sz w:val="24"/>
          <w:szCs w:val="24"/>
          <w:u w:color="000000"/>
        </w:rPr>
      </w:pPr>
    </w:p>
    <w:p w14:paraId="784C53F5"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El artículo 1.1. de la Convención Americana obliga a los Estados a respetar y garantizar los derechos reconocidos en esta sin discriminación, especialmente hacia las personas en situación de vulnerabilidad como las personas con discapacidad, que son titulares de una protección especial y reforzada por parte del Estado</w:t>
      </w:r>
      <w:r>
        <w:rPr>
          <w:rStyle w:val="None"/>
          <w:rFonts w:ascii="Helvetica LT Std Roman" w:eastAsia="Helvetica LT Std Roman" w:hAnsi="Helvetica LT Std Roman" w:cs="Helvetica LT Std Roman"/>
          <w:color w:val="000000"/>
          <w:sz w:val="24"/>
          <w:szCs w:val="24"/>
          <w:u w:color="000000"/>
          <w:vertAlign w:val="superscript"/>
        </w:rPr>
        <w:footnoteReference w:id="589"/>
      </w:r>
      <w:r>
        <w:rPr>
          <w:rStyle w:val="None"/>
          <w:rFonts w:ascii="Helvetica LT Std Roman" w:hAnsi="Helvetica LT Std Roman"/>
          <w:color w:val="000000"/>
          <w:sz w:val="24"/>
          <w:szCs w:val="24"/>
          <w:u w:color="000000"/>
        </w:rPr>
        <w:t xml:space="preserve">. La obligación internacional de respetar y garantizar derechos es </w:t>
      </w:r>
      <w:r>
        <w:rPr>
          <w:rStyle w:val="None"/>
          <w:rFonts w:ascii="Helvetica LT Std Roman" w:hAnsi="Helvetica LT Std Roman"/>
          <w:color w:val="000000"/>
          <w:sz w:val="24"/>
          <w:szCs w:val="24"/>
          <w:u w:color="000000"/>
        </w:rPr>
        <w:lastRenderedPageBreak/>
        <w:t xml:space="preserve">especialmente relevante frente al artículo 4.1., que consagra el derecho de todas las personas a que se respete su vida desde la concepción, por ser este el derecho que habilita el ejercicio de todos los </w:t>
      </w:r>
      <w:proofErr w:type="spellStart"/>
      <w:r>
        <w:rPr>
          <w:rStyle w:val="None"/>
          <w:rFonts w:ascii="Helvetica LT Std Roman" w:hAnsi="Helvetica LT Std Roman"/>
          <w:color w:val="000000"/>
          <w:sz w:val="24"/>
          <w:szCs w:val="24"/>
          <w:u w:color="000000"/>
        </w:rPr>
        <w:t>demá</w:t>
      </w:r>
      <w:proofErr w:type="spellEnd"/>
      <w:r>
        <w:rPr>
          <w:rStyle w:val="None"/>
          <w:rFonts w:ascii="Helvetica LT Std Roman" w:hAnsi="Helvetica LT Std Roman"/>
          <w:color w:val="000000"/>
          <w:sz w:val="24"/>
          <w:szCs w:val="24"/>
          <w:u w:color="000000"/>
          <w:lang w:val="pt-PT"/>
        </w:rPr>
        <w:t>s.</w:t>
      </w:r>
    </w:p>
    <w:p w14:paraId="233DDCA3"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174622B9"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La protección de este derecho es especialmente relevante para las personas con discapacidad, quienes históricamente han sufrido discriminación y violencia estructural, como ha podido comprobar esta corporación</w:t>
      </w:r>
      <w:r>
        <w:rPr>
          <w:rStyle w:val="None"/>
          <w:rFonts w:ascii="Helvetica LT Std Roman" w:eastAsia="Helvetica LT Std Roman" w:hAnsi="Helvetica LT Std Roman" w:cs="Helvetica LT Std Roman"/>
          <w:color w:val="000000"/>
          <w:sz w:val="24"/>
          <w:szCs w:val="24"/>
          <w:u w:color="000000"/>
          <w:vertAlign w:val="superscript"/>
        </w:rPr>
        <w:footnoteReference w:id="590"/>
      </w:r>
      <w:r>
        <w:rPr>
          <w:rStyle w:val="None"/>
          <w:rFonts w:ascii="Helvetica LT Std Roman" w:hAnsi="Helvetica LT Std Roman"/>
          <w:color w:val="000000"/>
          <w:sz w:val="24"/>
          <w:szCs w:val="24"/>
          <w:u w:color="000000"/>
        </w:rPr>
        <w:t xml:space="preserve"> y como nota la Convención Interamericana para la Eliminación de Todas las Formas de Discriminación contra las Personas con Discapacidad en su preámbulo. </w:t>
      </w:r>
    </w:p>
    <w:p w14:paraId="78AECDF3"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651FCCB3"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La necesidad de proteger la vida de las personas con discapacidad en igualdad de condiciones y sin discriminación se evidencia también en la Convención sobre los Derechos de las Personas con Discapacidad (CDPD) del Sistema Universal de Derechos Humanos, principal instrumento internacional en la materia. En su artículo 10, esta Convención consagra la obligación de los Estados de respetar “el derecho inherente a la vida de todos los seres humanos” y garantizar su goce “por las personas con discapacidad en igualdad de condiciones con las </w:t>
      </w:r>
      <w:proofErr w:type="spellStart"/>
      <w:r>
        <w:rPr>
          <w:rStyle w:val="None"/>
          <w:rFonts w:ascii="Helvetica LT Std Roman" w:hAnsi="Helvetica LT Std Roman"/>
          <w:color w:val="000000"/>
          <w:sz w:val="24"/>
          <w:szCs w:val="24"/>
          <w:u w:color="000000"/>
        </w:rPr>
        <w:t>dema</w:t>
      </w:r>
      <w:r>
        <w:rPr>
          <w:rStyle w:val="None"/>
          <w:rFonts w:ascii="Arial Unicode MS" w:eastAsia="Arial Unicode MS" w:hAnsi="Arial Unicode MS" w:cs="Arial Unicode MS"/>
          <w:color w:val="000000"/>
          <w:sz w:val="24"/>
          <w:szCs w:val="24"/>
          <w:u w:color="000000"/>
        </w:rPr>
        <w:t>́</w:t>
      </w:r>
      <w:r>
        <w:rPr>
          <w:rStyle w:val="None"/>
          <w:rFonts w:ascii="Helvetica LT Std Roman" w:hAnsi="Helvetica LT Std Roman"/>
          <w:color w:val="000000"/>
          <w:sz w:val="24"/>
          <w:szCs w:val="24"/>
          <w:u w:color="000000"/>
        </w:rPr>
        <w:t>s</w:t>
      </w:r>
      <w:proofErr w:type="spellEnd"/>
      <w:r>
        <w:rPr>
          <w:rStyle w:val="None"/>
          <w:rFonts w:ascii="Helvetica LT Std Roman" w:hAnsi="Helvetica LT Std Roman"/>
          <w:color w:val="000000"/>
          <w:sz w:val="24"/>
          <w:szCs w:val="24"/>
          <w:u w:color="000000"/>
        </w:rPr>
        <w:t xml:space="preserve">”. En ese sentido, la igualdad es un criterio esencial para la protección de la vida de las personas con discapacidad. </w:t>
      </w:r>
    </w:p>
    <w:p w14:paraId="0FFCDEC0"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72FA188E"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El Comité de los Derechos de las Personas con Discapacidad, órgano del tratado en cuestión, ha afirmado reiteradamente que una de las formas en las que se vulnera el derecho a la vida de las personas con discapacidad y su garantía en igualdad de condiciones con las demás es la práctica de abortos selectivos </w:t>
      </w:r>
      <w:proofErr w:type="gramStart"/>
      <w:r>
        <w:rPr>
          <w:rStyle w:val="None"/>
          <w:rFonts w:ascii="Helvetica LT Std Roman" w:hAnsi="Helvetica LT Std Roman"/>
          <w:color w:val="000000"/>
          <w:sz w:val="24"/>
          <w:szCs w:val="24"/>
          <w:u w:color="000000"/>
        </w:rPr>
        <w:t>en razón de</w:t>
      </w:r>
      <w:proofErr w:type="gramEnd"/>
      <w:r>
        <w:rPr>
          <w:rStyle w:val="None"/>
          <w:rFonts w:ascii="Helvetica LT Std Roman" w:hAnsi="Helvetica LT Std Roman"/>
          <w:color w:val="000000"/>
          <w:sz w:val="24"/>
          <w:szCs w:val="24"/>
          <w:u w:color="000000"/>
        </w:rPr>
        <w:t xml:space="preserve"> la discapacidad. En este sentido, como ya se mencionó, ha afirmado </w:t>
      </w:r>
      <w:r>
        <w:rPr>
          <w:rStyle w:val="None"/>
          <w:rFonts w:ascii="Helvetica LT Std Roman" w:hAnsi="Helvetica LT Std Roman"/>
          <w:color w:val="000000"/>
          <w:sz w:val="24"/>
          <w:szCs w:val="24"/>
          <w:u w:color="000000"/>
        </w:rPr>
        <w:lastRenderedPageBreak/>
        <w:t xml:space="preserve">que las leyes que permiten explícitamente el aborto por malformaciones “violan la Convención sobre los Derechos de las Personas con Discapacidad (arts. 4, 5 y 8) (...) </w:t>
      </w:r>
      <w:proofErr w:type="spellStart"/>
      <w:r>
        <w:rPr>
          <w:rStyle w:val="None"/>
          <w:rFonts w:ascii="Helvetica LT Std Roman" w:hAnsi="Helvetica LT Std Roman"/>
          <w:color w:val="000000"/>
          <w:sz w:val="24"/>
          <w:szCs w:val="24"/>
          <w:u w:color="000000"/>
        </w:rPr>
        <w:t>aú</w:t>
      </w:r>
      <w:proofErr w:type="spellEnd"/>
      <w:r>
        <w:rPr>
          <w:rStyle w:val="None"/>
          <w:rFonts w:ascii="Helvetica LT Std Roman" w:hAnsi="Helvetica LT Std Roman"/>
          <w:color w:val="000000"/>
          <w:sz w:val="24"/>
          <w:szCs w:val="24"/>
          <w:u w:color="000000"/>
          <w:lang w:val="it-IT"/>
        </w:rPr>
        <w:t xml:space="preserve">n si la </w:t>
      </w:r>
      <w:proofErr w:type="spellStart"/>
      <w:r>
        <w:rPr>
          <w:rStyle w:val="None"/>
          <w:rFonts w:ascii="Helvetica LT Std Roman" w:hAnsi="Helvetica LT Std Roman"/>
          <w:color w:val="000000"/>
          <w:sz w:val="24"/>
          <w:szCs w:val="24"/>
          <w:u w:color="000000"/>
          <w:lang w:val="it-IT"/>
        </w:rPr>
        <w:t>condici</w:t>
      </w:r>
      <w:r>
        <w:rPr>
          <w:rStyle w:val="None"/>
          <w:rFonts w:ascii="Helvetica LT Std Roman" w:hAnsi="Helvetica LT Std Roman"/>
          <w:color w:val="000000"/>
          <w:sz w:val="24"/>
          <w:szCs w:val="24"/>
          <w:u w:color="000000"/>
        </w:rPr>
        <w:t>ón</w:t>
      </w:r>
      <w:proofErr w:type="spellEnd"/>
      <w:r>
        <w:rPr>
          <w:rStyle w:val="None"/>
          <w:rFonts w:ascii="Helvetica LT Std Roman" w:hAnsi="Helvetica LT Std Roman"/>
          <w:color w:val="000000"/>
          <w:sz w:val="24"/>
          <w:szCs w:val="24"/>
          <w:u w:color="000000"/>
        </w:rPr>
        <w:t xml:space="preserve"> es considerada como fatal” ya que, “</w:t>
      </w:r>
      <w:r>
        <w:rPr>
          <w:rStyle w:val="None"/>
          <w:rFonts w:ascii="Helvetica LT Std Roman" w:hAnsi="Helvetica LT Std Roman"/>
          <w:color w:val="000000"/>
          <w:sz w:val="24"/>
          <w:szCs w:val="24"/>
          <w:u w:color="000000"/>
          <w:lang w:val="it-IT"/>
        </w:rPr>
        <w:t>la decisi</w:t>
      </w:r>
      <w:proofErr w:type="spellStart"/>
      <w:r>
        <w:rPr>
          <w:rStyle w:val="None"/>
          <w:rFonts w:ascii="Helvetica LT Std Roman" w:hAnsi="Helvetica LT Std Roman"/>
          <w:color w:val="000000"/>
          <w:sz w:val="24"/>
          <w:szCs w:val="24"/>
          <w:u w:color="000000"/>
        </w:rPr>
        <w:t>ón</w:t>
      </w:r>
      <w:proofErr w:type="spellEnd"/>
      <w:r>
        <w:rPr>
          <w:rStyle w:val="None"/>
          <w:rFonts w:ascii="Helvetica LT Std Roman" w:hAnsi="Helvetica LT Std Roman"/>
          <w:color w:val="000000"/>
          <w:sz w:val="24"/>
          <w:szCs w:val="24"/>
          <w:u w:color="000000"/>
        </w:rPr>
        <w:t xml:space="preserve"> se está tomando en base a la discapacidad”</w:t>
      </w:r>
      <w:r>
        <w:rPr>
          <w:rStyle w:val="None"/>
          <w:rFonts w:ascii="Helvetica LT Std Roman" w:eastAsia="Helvetica LT Std Roman" w:hAnsi="Helvetica LT Std Roman" w:cs="Helvetica LT Std Roman"/>
          <w:color w:val="000000"/>
          <w:sz w:val="24"/>
          <w:szCs w:val="24"/>
          <w:u w:color="000000"/>
          <w:vertAlign w:val="superscript"/>
        </w:rPr>
        <w:footnoteReference w:id="591"/>
      </w:r>
      <w:r>
        <w:rPr>
          <w:rStyle w:val="None"/>
          <w:rFonts w:ascii="Helvetica LT Std Roman" w:hAnsi="Helvetica LT Std Roman"/>
          <w:color w:val="000000"/>
          <w:sz w:val="24"/>
          <w:szCs w:val="24"/>
          <w:u w:color="000000"/>
        </w:rPr>
        <w:t>.</w:t>
      </w:r>
    </w:p>
    <w:p w14:paraId="7F8CF140"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5D101338"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En sus recomendaciones a países también ha reafirmado la naturaleza discriminatoria del aborto eugenésico por razones de discapacidad. A España le solicitó suprimir “</w:t>
      </w:r>
      <w:r>
        <w:rPr>
          <w:rStyle w:val="None"/>
          <w:rFonts w:ascii="Helvetica LT Std Roman" w:hAnsi="Helvetica LT Std Roman"/>
          <w:color w:val="000000"/>
          <w:sz w:val="24"/>
          <w:szCs w:val="24"/>
          <w:u w:color="000000"/>
          <w:lang w:val="it-IT"/>
        </w:rPr>
        <w:t xml:space="preserve">la </w:t>
      </w:r>
      <w:proofErr w:type="spellStart"/>
      <w:r>
        <w:rPr>
          <w:rStyle w:val="None"/>
          <w:rFonts w:ascii="Helvetica LT Std Roman" w:hAnsi="Helvetica LT Std Roman"/>
          <w:color w:val="000000"/>
          <w:sz w:val="24"/>
          <w:szCs w:val="24"/>
          <w:u w:color="000000"/>
          <w:lang w:val="it-IT"/>
        </w:rPr>
        <w:t>distinci</w:t>
      </w:r>
      <w:r>
        <w:rPr>
          <w:rStyle w:val="None"/>
          <w:rFonts w:ascii="Helvetica LT Std Roman" w:hAnsi="Helvetica LT Std Roman"/>
          <w:color w:val="000000"/>
          <w:sz w:val="24"/>
          <w:szCs w:val="24"/>
          <w:u w:color="000000"/>
        </w:rPr>
        <w:t>ón</w:t>
      </w:r>
      <w:proofErr w:type="spellEnd"/>
      <w:r>
        <w:rPr>
          <w:rStyle w:val="None"/>
          <w:rFonts w:ascii="Helvetica LT Std Roman" w:hAnsi="Helvetica LT Std Roman"/>
          <w:color w:val="000000"/>
          <w:sz w:val="24"/>
          <w:szCs w:val="24"/>
          <w:u w:color="000000"/>
        </w:rPr>
        <w:t xml:space="preserve"> hecha en la Ley </w:t>
      </w:r>
      <w:proofErr w:type="spellStart"/>
      <w:r>
        <w:rPr>
          <w:rStyle w:val="None"/>
          <w:rFonts w:ascii="Helvetica LT Std Roman" w:hAnsi="Helvetica LT Std Roman"/>
          <w:color w:val="000000"/>
          <w:sz w:val="24"/>
          <w:szCs w:val="24"/>
          <w:u w:color="000000"/>
        </w:rPr>
        <w:t>Nº</w:t>
      </w:r>
      <w:proofErr w:type="spellEnd"/>
      <w:r>
        <w:rPr>
          <w:rStyle w:val="None"/>
          <w:rFonts w:ascii="Helvetica LT Std Roman" w:hAnsi="Helvetica LT Std Roman"/>
          <w:color w:val="000000"/>
          <w:sz w:val="24"/>
          <w:szCs w:val="24"/>
          <w:u w:color="000000"/>
        </w:rPr>
        <w:t xml:space="preserve"> 2/2010 en cuanto al plazo dentro del cual la ley permite que se interrumpa un embarazo por motivos de discapacidad exclusivamente”</w:t>
      </w:r>
      <w:r>
        <w:rPr>
          <w:rStyle w:val="None"/>
          <w:rFonts w:ascii="Helvetica LT Std Roman" w:eastAsia="Helvetica LT Std Roman" w:hAnsi="Helvetica LT Std Roman" w:cs="Helvetica LT Std Roman"/>
          <w:color w:val="000000"/>
          <w:sz w:val="24"/>
          <w:szCs w:val="24"/>
          <w:u w:color="000000"/>
          <w:vertAlign w:val="superscript"/>
        </w:rPr>
        <w:footnoteReference w:id="592"/>
      </w:r>
      <w:r>
        <w:rPr>
          <w:rStyle w:val="None"/>
          <w:rFonts w:ascii="Helvetica LT Std Roman" w:hAnsi="Helvetica LT Std Roman"/>
          <w:color w:val="000000"/>
          <w:sz w:val="24"/>
          <w:szCs w:val="24"/>
          <w:u w:color="000000"/>
        </w:rPr>
        <w:t xml:space="preserve">. En el caso de </w:t>
      </w:r>
      <w:proofErr w:type="spellStart"/>
      <w:r>
        <w:rPr>
          <w:rStyle w:val="None"/>
          <w:rFonts w:ascii="Helvetica LT Std Roman" w:hAnsi="Helvetica LT Std Roman"/>
          <w:color w:val="000000"/>
          <w:sz w:val="24"/>
          <w:szCs w:val="24"/>
          <w:u w:color="000000"/>
        </w:rPr>
        <w:t>Hungrí</w:t>
      </w:r>
      <w:proofErr w:type="spellEnd"/>
      <w:r>
        <w:rPr>
          <w:rStyle w:val="None"/>
          <w:rFonts w:ascii="Helvetica LT Std Roman" w:hAnsi="Helvetica LT Std Roman"/>
          <w:color w:val="000000"/>
          <w:sz w:val="24"/>
          <w:szCs w:val="24"/>
          <w:u w:color="000000"/>
          <w:lang w:val="it-IT"/>
        </w:rPr>
        <w:t xml:space="preserve">a, </w:t>
      </w:r>
      <w:proofErr w:type="spellStart"/>
      <w:r>
        <w:rPr>
          <w:rStyle w:val="None"/>
          <w:rFonts w:ascii="Helvetica LT Std Roman" w:hAnsi="Helvetica LT Std Roman"/>
          <w:color w:val="000000"/>
          <w:sz w:val="24"/>
          <w:szCs w:val="24"/>
          <w:u w:color="000000"/>
          <w:lang w:val="it-IT"/>
        </w:rPr>
        <w:t>not</w:t>
      </w:r>
      <w:r>
        <w:rPr>
          <w:rStyle w:val="None"/>
          <w:rFonts w:ascii="Helvetica LT Std Roman" w:hAnsi="Helvetica LT Std Roman"/>
          <w:color w:val="000000"/>
          <w:sz w:val="24"/>
          <w:szCs w:val="24"/>
          <w:u w:color="000000"/>
        </w:rPr>
        <w:t>ó</w:t>
      </w:r>
      <w:proofErr w:type="spellEnd"/>
      <w:r>
        <w:rPr>
          <w:rStyle w:val="None"/>
          <w:rFonts w:ascii="Helvetica LT Std Roman" w:hAnsi="Helvetica LT Std Roman"/>
          <w:color w:val="000000"/>
          <w:sz w:val="24"/>
          <w:szCs w:val="24"/>
          <w:u w:color="000000"/>
        </w:rPr>
        <w:t xml:space="preserve"> que la ley domé</w:t>
      </w:r>
      <w:proofErr w:type="spellStart"/>
      <w:r>
        <w:rPr>
          <w:rStyle w:val="None"/>
          <w:rFonts w:ascii="Helvetica LT Std Roman" w:hAnsi="Helvetica LT Std Roman"/>
          <w:color w:val="000000"/>
          <w:sz w:val="24"/>
          <w:szCs w:val="24"/>
          <w:u w:color="000000"/>
          <w:lang w:val="it-IT"/>
        </w:rPr>
        <w:t>stica</w:t>
      </w:r>
      <w:proofErr w:type="spellEnd"/>
      <w:r>
        <w:rPr>
          <w:rStyle w:val="None"/>
          <w:rFonts w:ascii="Helvetica LT Std Roman" w:hAnsi="Helvetica LT Std Roman"/>
          <w:color w:val="000000"/>
          <w:sz w:val="24"/>
          <w:szCs w:val="24"/>
          <w:u w:color="000000"/>
          <w:lang w:val="it-IT"/>
        </w:rPr>
        <w:t xml:space="preserve"> </w:t>
      </w:r>
      <w:r>
        <w:rPr>
          <w:rStyle w:val="None"/>
          <w:rFonts w:ascii="Helvetica LT Std Roman" w:hAnsi="Helvetica LT Std Roman"/>
          <w:color w:val="000000"/>
          <w:sz w:val="24"/>
          <w:szCs w:val="24"/>
          <w:u w:color="000000"/>
        </w:rPr>
        <w:t xml:space="preserve">“hace posible la práctica del aborto para un </w:t>
      </w:r>
      <w:proofErr w:type="spellStart"/>
      <w:r>
        <w:rPr>
          <w:rStyle w:val="None"/>
          <w:rFonts w:ascii="Helvetica LT Std Roman" w:hAnsi="Helvetica LT Std Roman"/>
          <w:color w:val="000000"/>
          <w:sz w:val="24"/>
          <w:szCs w:val="24"/>
          <w:u w:color="000000"/>
        </w:rPr>
        <w:t>cí</w:t>
      </w:r>
      <w:r>
        <w:rPr>
          <w:rStyle w:val="None"/>
          <w:rFonts w:ascii="Helvetica LT Std Roman" w:hAnsi="Helvetica LT Std Roman"/>
          <w:color w:val="000000"/>
          <w:sz w:val="24"/>
          <w:szCs w:val="24"/>
          <w:u w:color="000000"/>
          <w:lang w:val="pt-PT"/>
        </w:rPr>
        <w:t>rculo</w:t>
      </w:r>
      <w:proofErr w:type="spellEnd"/>
      <w:r>
        <w:rPr>
          <w:rStyle w:val="None"/>
          <w:rFonts w:ascii="Helvetica LT Std Roman" w:hAnsi="Helvetica LT Std Roman"/>
          <w:color w:val="000000"/>
          <w:sz w:val="24"/>
          <w:szCs w:val="24"/>
          <w:u w:color="000000"/>
          <w:lang w:val="pt-PT"/>
        </w:rPr>
        <w:t xml:space="preserve"> m</w:t>
      </w:r>
      <w:proofErr w:type="spellStart"/>
      <w:r>
        <w:rPr>
          <w:rStyle w:val="None"/>
          <w:rFonts w:ascii="Helvetica LT Std Roman" w:hAnsi="Helvetica LT Std Roman"/>
          <w:color w:val="000000"/>
          <w:sz w:val="24"/>
          <w:szCs w:val="24"/>
          <w:u w:color="000000"/>
        </w:rPr>
        <w:t>ás</w:t>
      </w:r>
      <w:proofErr w:type="spellEnd"/>
      <w:r>
        <w:rPr>
          <w:rStyle w:val="None"/>
          <w:rFonts w:ascii="Helvetica LT Std Roman" w:hAnsi="Helvetica LT Std Roman"/>
          <w:color w:val="000000"/>
          <w:sz w:val="24"/>
          <w:szCs w:val="24"/>
          <w:u w:color="000000"/>
        </w:rPr>
        <w:t xml:space="preserve"> amplio de lo habitual en el caso de los fetos que presentan problemas de salud o alguna discapacidad, lo que constituye un caso de discriminación por motivos de discapacidad”</w:t>
      </w:r>
      <w:r>
        <w:rPr>
          <w:rStyle w:val="None"/>
          <w:rFonts w:ascii="Helvetica LT Std Roman" w:eastAsia="Helvetica LT Std Roman" w:hAnsi="Helvetica LT Std Roman" w:cs="Helvetica LT Std Roman"/>
          <w:color w:val="000000"/>
          <w:sz w:val="24"/>
          <w:szCs w:val="24"/>
          <w:u w:color="000000"/>
          <w:vertAlign w:val="superscript"/>
        </w:rPr>
        <w:footnoteReference w:id="593"/>
      </w:r>
      <w:r>
        <w:rPr>
          <w:rStyle w:val="None"/>
          <w:rFonts w:ascii="Helvetica LT Std Roman" w:hAnsi="Helvetica LT Std Roman"/>
          <w:color w:val="000000"/>
          <w:sz w:val="24"/>
          <w:szCs w:val="24"/>
          <w:u w:color="000000"/>
        </w:rPr>
        <w:t>.</w:t>
      </w:r>
    </w:p>
    <w:p w14:paraId="4CBE25A2"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5B68CF9"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Finalmente, frente al caso austriaco expresó preocupación por la posibilidad que da la ley de que la mujer gestante aborte “hasta el comienzo del parto si se prevé</w:t>
      </w:r>
      <w:r>
        <w:rPr>
          <w:rStyle w:val="None"/>
          <w:rFonts w:ascii="Helvetica LT Std Roman" w:hAnsi="Helvetica LT Std Roman"/>
          <w:color w:val="000000"/>
          <w:sz w:val="24"/>
          <w:szCs w:val="24"/>
          <w:u w:color="000000"/>
          <w:lang w:val="it-IT"/>
        </w:rPr>
        <w:t xml:space="preserve"> un da</w:t>
      </w:r>
      <w:proofErr w:type="spellStart"/>
      <w:r>
        <w:rPr>
          <w:rStyle w:val="None"/>
          <w:rFonts w:ascii="Helvetica LT Std Roman" w:hAnsi="Helvetica LT Std Roman"/>
          <w:color w:val="000000"/>
          <w:sz w:val="24"/>
          <w:szCs w:val="24"/>
          <w:u w:color="000000"/>
        </w:rPr>
        <w:t>ño</w:t>
      </w:r>
      <w:proofErr w:type="spellEnd"/>
      <w:r>
        <w:rPr>
          <w:rStyle w:val="None"/>
          <w:rFonts w:ascii="Helvetica LT Std Roman" w:hAnsi="Helvetica LT Std Roman"/>
          <w:color w:val="000000"/>
          <w:sz w:val="24"/>
          <w:szCs w:val="24"/>
          <w:u w:color="000000"/>
        </w:rPr>
        <w:t xml:space="preserve"> grave a la salud del feto”</w:t>
      </w:r>
      <w:r>
        <w:rPr>
          <w:rStyle w:val="None"/>
          <w:rFonts w:ascii="Helvetica LT Std Roman" w:hAnsi="Helvetica LT Std Roman"/>
          <w:color w:val="000000"/>
          <w:sz w:val="24"/>
          <w:szCs w:val="24"/>
          <w:u w:color="000000"/>
          <w:lang w:val="it-IT"/>
        </w:rPr>
        <w:t xml:space="preserve">. Notando la </w:t>
      </w:r>
      <w:r>
        <w:rPr>
          <w:rStyle w:val="None"/>
          <w:rFonts w:ascii="Helvetica LT Std Roman" w:hAnsi="Helvetica LT Std Roman"/>
          <w:color w:val="000000"/>
          <w:sz w:val="24"/>
          <w:szCs w:val="24"/>
          <w:u w:color="000000"/>
        </w:rPr>
        <w:t xml:space="preserve">“aparente relación directa existente entre esta disposición y el hecho de que, según las estadísticas de la Organización de </w:t>
      </w:r>
      <w:r>
        <w:rPr>
          <w:rStyle w:val="None"/>
          <w:rFonts w:ascii="Helvetica LT Std Roman" w:hAnsi="Helvetica LT Std Roman"/>
          <w:color w:val="000000"/>
          <w:sz w:val="24"/>
          <w:szCs w:val="24"/>
          <w:u w:color="000000"/>
        </w:rPr>
        <w:lastRenderedPageBreak/>
        <w:t>Cooperación y Desarrollo Económicos (OCDE), entre 1965 y 2006 se haya registrado en Austria un descenso del 60% de los nacimientos de niños con sí</w:t>
      </w:r>
      <w:proofErr w:type="spellStart"/>
      <w:r>
        <w:rPr>
          <w:rStyle w:val="None"/>
          <w:rFonts w:ascii="Helvetica LT Std Roman" w:hAnsi="Helvetica LT Std Roman"/>
          <w:color w:val="000000"/>
          <w:sz w:val="24"/>
          <w:szCs w:val="24"/>
          <w:u w:color="000000"/>
          <w:lang w:val="en-US"/>
        </w:rPr>
        <w:t>ndrome</w:t>
      </w:r>
      <w:proofErr w:type="spellEnd"/>
      <w:r>
        <w:rPr>
          <w:rStyle w:val="None"/>
          <w:rFonts w:ascii="Helvetica LT Std Roman" w:hAnsi="Helvetica LT Std Roman"/>
          <w:color w:val="000000"/>
          <w:sz w:val="24"/>
          <w:szCs w:val="24"/>
          <w:u w:color="000000"/>
          <w:lang w:val="en-US"/>
        </w:rPr>
        <w:t xml:space="preserve"> de Down</w:t>
      </w:r>
      <w:r>
        <w:rPr>
          <w:rStyle w:val="None"/>
          <w:rFonts w:ascii="Helvetica LT Std Roman" w:hAnsi="Helvetica LT Std Roman"/>
          <w:color w:val="000000"/>
          <w:sz w:val="24"/>
          <w:szCs w:val="24"/>
          <w:u w:color="000000"/>
        </w:rPr>
        <w:t>”</w:t>
      </w:r>
      <w:r>
        <w:rPr>
          <w:rStyle w:val="None"/>
          <w:rFonts w:ascii="Helvetica LT Std Roman" w:eastAsia="Helvetica LT Std Roman" w:hAnsi="Helvetica LT Std Roman" w:cs="Helvetica LT Std Roman"/>
          <w:color w:val="000000"/>
          <w:sz w:val="24"/>
          <w:szCs w:val="24"/>
          <w:u w:color="000000"/>
          <w:vertAlign w:val="superscript"/>
        </w:rPr>
        <w:footnoteReference w:id="594"/>
      </w:r>
      <w:r>
        <w:rPr>
          <w:rStyle w:val="None"/>
          <w:rFonts w:ascii="Helvetica LT Std Roman" w:hAnsi="Helvetica LT Std Roman"/>
          <w:color w:val="000000"/>
          <w:sz w:val="24"/>
          <w:szCs w:val="24"/>
          <w:u w:color="000000"/>
        </w:rPr>
        <w:t xml:space="preserve">. </w:t>
      </w:r>
    </w:p>
    <w:p w14:paraId="374AED1F"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50778EBC"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En definitiva, el Derecho Internacional de los Derechos Humanos protege a las personas con discapacidad desde la concepción. Los abortos selectivos por razones de discapacidad suponen una grave vulneración a sus derechos, por lo que la omisión de la temática en el informe, a pesar de mi insistencia como Relator, me exige manifestar mi disenso frente a este asunto. </w:t>
      </w:r>
    </w:p>
    <w:p w14:paraId="15AB9F49"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740A76F4"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 xml:space="preserve">Pongo de presente que la solución frente a la problemática eugenésica derivada de las causales que permiten el aborto no puede ser, </w:t>
      </w:r>
      <w:proofErr w:type="gramStart"/>
      <w:r>
        <w:rPr>
          <w:rStyle w:val="None"/>
          <w:rFonts w:ascii="Helvetica LT Std Roman" w:hAnsi="Helvetica LT Std Roman"/>
          <w:color w:val="000000"/>
          <w:spacing w:val="-2"/>
          <w:sz w:val="24"/>
          <w:szCs w:val="24"/>
          <w:u w:color="000000"/>
        </w:rPr>
        <w:t>bajo ninguna circunstancia</w:t>
      </w:r>
      <w:proofErr w:type="gramEnd"/>
      <w:r>
        <w:rPr>
          <w:rStyle w:val="None"/>
          <w:rFonts w:ascii="Helvetica LT Std Roman" w:hAnsi="Helvetica LT Std Roman"/>
          <w:color w:val="000000"/>
          <w:spacing w:val="-2"/>
          <w:sz w:val="24"/>
          <w:szCs w:val="24"/>
          <w:u w:color="000000"/>
        </w:rPr>
        <w:t>, ampliar irrestrictamente el acceso al aborto. Sostener que la eliminación del modelo de causales es la solución a la discriminación por razón de discapacidad no solo es un planteamiento erróneo, sino que además ignora el riesgo de que una regulación sin limitaciones pueda incrementar los abortos eugenésicos en lugar de prevenirlos. La solución no debe ser eliminar toda restricción al aborto, sino implementar medidas concretas que impidan que la discapacidad del feto se convierta en un criterio de selección para la vida o la muerte.</w:t>
      </w:r>
    </w:p>
    <w:p w14:paraId="50825AC3"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3E0C8E0"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 xml:space="preserve">La discusión sobre la autonomía reproductiva no puede desligarse del deber de los Estados de garantizar la igualdad y la no discriminación de las personas con discapacidad. Un enfoque verdaderamente respetuoso de los derechos humanos debe abordar esta problemática con responsabilidad, asegurando que las políticas públicas no </w:t>
      </w:r>
      <w:r>
        <w:rPr>
          <w:rStyle w:val="None"/>
          <w:rFonts w:ascii="Helvetica LT Std Roman" w:hAnsi="Helvetica LT Std Roman"/>
          <w:color w:val="000000"/>
          <w:spacing w:val="-2"/>
          <w:sz w:val="24"/>
          <w:szCs w:val="24"/>
          <w:u w:color="000000"/>
        </w:rPr>
        <w:lastRenderedPageBreak/>
        <w:t>reproduzcan sesgos históricos que desvaloricen la vida de quienes se gestan con una condición de discapacidad.</w:t>
      </w:r>
    </w:p>
    <w:p w14:paraId="518711A4" w14:textId="77777777" w:rsidR="001A105D" w:rsidRDefault="001A105D">
      <w:pPr>
        <w:pStyle w:val="Body"/>
        <w:spacing w:line="276" w:lineRule="auto"/>
        <w:rPr>
          <w:rStyle w:val="None"/>
          <w:color w:val="000000"/>
          <w:sz w:val="24"/>
          <w:szCs w:val="24"/>
          <w:u w:color="000000"/>
        </w:rPr>
      </w:pPr>
    </w:p>
    <w:p w14:paraId="45BC995E" w14:textId="77777777" w:rsidR="001A105D" w:rsidRDefault="00000000">
      <w:pPr>
        <w:pStyle w:val="Body"/>
        <w:numPr>
          <w:ilvl w:val="0"/>
          <w:numId w:val="106"/>
        </w:numPr>
        <w:spacing w:line="276" w:lineRule="auto"/>
        <w:jc w:val="left"/>
        <w:rPr>
          <w:rFonts w:ascii="Helvetica LT Std Bold" w:hAnsi="Helvetica LT Std Bold"/>
          <w:color w:val="000000"/>
          <w:sz w:val="24"/>
          <w:szCs w:val="24"/>
          <w:u w:color="000000"/>
        </w:rPr>
      </w:pPr>
      <w:r>
        <w:rPr>
          <w:rFonts w:ascii="Helvetica LT Std Bold" w:hAnsi="Helvetica LT Std Bold"/>
          <w:color w:val="000000"/>
          <w:sz w:val="24"/>
          <w:szCs w:val="24"/>
          <w:u w:color="000000"/>
        </w:rPr>
        <w:t>De la legislaci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 xml:space="preserve">n que permite el aborto a personas con discapacidad: necesidad de salvaguardas a la persona </w:t>
      </w:r>
      <w:r>
        <w:rPr>
          <w:rFonts w:ascii="Helvetica LT Std Bold" w:eastAsia="Helvetica LT Std Bold" w:hAnsi="Helvetica LT Std Bold" w:cs="Helvetica LT Std Bold"/>
          <w:color w:val="000000"/>
          <w:sz w:val="24"/>
          <w:szCs w:val="24"/>
          <w:u w:color="000000"/>
        </w:rPr>
        <w:br/>
      </w:r>
      <w:r>
        <w:rPr>
          <w:rFonts w:ascii="Helvetica LT Std Bold" w:hAnsi="Helvetica LT Std Bold"/>
          <w:color w:val="000000"/>
          <w:sz w:val="24"/>
          <w:szCs w:val="24"/>
          <w:u w:color="000000"/>
        </w:rPr>
        <w:t>en gestaci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w:t>
      </w:r>
    </w:p>
    <w:p w14:paraId="6F548E5A" w14:textId="77777777" w:rsidR="001A105D" w:rsidRDefault="001A105D">
      <w:pPr>
        <w:pStyle w:val="Body"/>
        <w:spacing w:line="276" w:lineRule="auto"/>
        <w:rPr>
          <w:rStyle w:val="None"/>
          <w:color w:val="000000"/>
          <w:sz w:val="24"/>
          <w:szCs w:val="24"/>
          <w:u w:color="000000"/>
        </w:rPr>
      </w:pPr>
    </w:p>
    <w:p w14:paraId="19E5FF6B"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El párrafo 431 del informe respaldado por la mayoría establece que:</w:t>
      </w:r>
    </w:p>
    <w:p w14:paraId="278474EE" w14:textId="77777777" w:rsidR="001A105D" w:rsidRDefault="001A105D">
      <w:pPr>
        <w:pStyle w:val="Body"/>
        <w:spacing w:line="276" w:lineRule="auto"/>
        <w:ind w:left="720"/>
        <w:rPr>
          <w:rFonts w:ascii="Helvetica LT Std Roman" w:eastAsia="Helvetica LT Std Roman" w:hAnsi="Helvetica LT Std Roman" w:cs="Helvetica LT Std Roman"/>
          <w:color w:val="000000"/>
          <w:sz w:val="24"/>
          <w:szCs w:val="24"/>
          <w:u w:color="000000"/>
        </w:rPr>
      </w:pPr>
    </w:p>
    <w:p w14:paraId="1F8685C3" w14:textId="77777777" w:rsidR="001A105D" w:rsidRDefault="00000000">
      <w:pPr>
        <w:pStyle w:val="Body"/>
        <w:spacing w:line="276" w:lineRule="auto"/>
        <w:ind w:left="720"/>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“431.</w:t>
      </w:r>
      <w:r>
        <w:rPr>
          <w:rStyle w:val="None"/>
          <w:rFonts w:ascii="Helvetica LT Std Roman" w:hAnsi="Helvetica LT Std Roman"/>
          <w:color w:val="000000"/>
          <w:sz w:val="24"/>
          <w:szCs w:val="24"/>
          <w:u w:color="000000"/>
        </w:rPr>
        <w:tab/>
        <w:t>Al respecto, algunos países han desarrollado normativa específica para garantizar el consentimiento libre e informado en este ámbito, como en el caso de Argentina, que reconoce el derecho de las mujeres con discapacidad a obtener apoyos para dar su consentimiento en la práctica de la interrupción voluntaria del embarazo”</w:t>
      </w:r>
    </w:p>
    <w:p w14:paraId="06C63F44" w14:textId="77777777" w:rsidR="001A105D" w:rsidRDefault="001A105D">
      <w:pPr>
        <w:pStyle w:val="Body"/>
        <w:spacing w:line="276" w:lineRule="auto"/>
        <w:ind w:left="720"/>
        <w:rPr>
          <w:rFonts w:ascii="Helvetica LT Std Roman" w:eastAsia="Helvetica LT Std Roman" w:hAnsi="Helvetica LT Std Roman" w:cs="Helvetica LT Std Roman"/>
          <w:color w:val="000000"/>
          <w:sz w:val="24"/>
          <w:szCs w:val="24"/>
          <w:u w:color="000000"/>
        </w:rPr>
      </w:pPr>
    </w:p>
    <w:p w14:paraId="7E75DABB"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Asimismo, como recomendación, el informe incluye la de “desarrollar legislaciones y polí</w:t>
      </w:r>
      <w:r>
        <w:rPr>
          <w:rStyle w:val="None"/>
          <w:rFonts w:ascii="Helvetica LT Std Roman" w:hAnsi="Helvetica LT Std Roman"/>
          <w:color w:val="000000"/>
          <w:spacing w:val="-2"/>
          <w:sz w:val="24"/>
          <w:szCs w:val="24"/>
          <w:u w:color="000000"/>
          <w:lang w:val="pt-PT"/>
        </w:rPr>
        <w:t>ticas p</w:t>
      </w:r>
      <w:proofErr w:type="spellStart"/>
      <w:r>
        <w:rPr>
          <w:rStyle w:val="None"/>
          <w:rFonts w:ascii="Helvetica LT Std Roman" w:hAnsi="Helvetica LT Std Roman"/>
          <w:color w:val="000000"/>
          <w:spacing w:val="-2"/>
          <w:sz w:val="24"/>
          <w:szCs w:val="24"/>
          <w:u w:color="000000"/>
        </w:rPr>
        <w:t>úblicas</w:t>
      </w:r>
      <w:proofErr w:type="spellEnd"/>
      <w:r>
        <w:rPr>
          <w:rStyle w:val="None"/>
          <w:rFonts w:ascii="Helvetica LT Std Roman" w:hAnsi="Helvetica LT Std Roman"/>
          <w:color w:val="000000"/>
          <w:spacing w:val="-2"/>
          <w:sz w:val="24"/>
          <w:szCs w:val="24"/>
          <w:u w:color="000000"/>
        </w:rPr>
        <w:t xml:space="preserve"> para garantizar los derechos sexuales y reproductivos de las personas con discapacidad, especialmente mujeres, personas lesbianas, bisexuales, trans y niñas con discapacidad intelectual, psicosocial y sensorial”.</w:t>
      </w:r>
    </w:p>
    <w:p w14:paraId="0A553FA2"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0376DB88"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 xml:space="preserve">Al respecto, a </w:t>
      </w:r>
      <w:proofErr w:type="spellStart"/>
      <w:r>
        <w:rPr>
          <w:rStyle w:val="None"/>
          <w:rFonts w:ascii="Helvetica LT Std Roman" w:hAnsi="Helvetica LT Std Roman"/>
          <w:color w:val="000000"/>
          <w:sz w:val="24"/>
          <w:szCs w:val="24"/>
          <w:u w:color="000000"/>
        </w:rPr>
        <w:t>continuació</w:t>
      </w:r>
      <w:proofErr w:type="spellEnd"/>
      <w:r>
        <w:rPr>
          <w:rStyle w:val="None"/>
          <w:rFonts w:ascii="Helvetica LT Std Roman" w:hAnsi="Helvetica LT Std Roman"/>
          <w:color w:val="000000"/>
          <w:sz w:val="24"/>
          <w:szCs w:val="24"/>
          <w:u w:color="000000"/>
          <w:lang w:val="da-DK"/>
        </w:rPr>
        <w:t>n, har</w:t>
      </w:r>
      <w:r>
        <w:rPr>
          <w:rStyle w:val="None"/>
          <w:rFonts w:ascii="Helvetica LT Std Roman" w:hAnsi="Helvetica LT Std Roman"/>
          <w:color w:val="000000"/>
          <w:sz w:val="24"/>
          <w:szCs w:val="24"/>
          <w:u w:color="000000"/>
        </w:rPr>
        <w:t xml:space="preserve">é referencia a: (i) la garantía del derecho a la vida del ser humano en gestación frente al aborto y la titularidad del derecho a la vida y </w:t>
      </w:r>
      <w:proofErr w:type="spellStart"/>
      <w:r>
        <w:rPr>
          <w:rStyle w:val="None"/>
          <w:rFonts w:ascii="Helvetica LT Std Roman" w:hAnsi="Helvetica LT Std Roman"/>
          <w:color w:val="000000"/>
          <w:sz w:val="24"/>
          <w:szCs w:val="24"/>
          <w:u w:color="000000"/>
        </w:rPr>
        <w:t>prohibició</w:t>
      </w:r>
      <w:proofErr w:type="spellEnd"/>
      <w:r>
        <w:rPr>
          <w:rStyle w:val="None"/>
          <w:rFonts w:ascii="Helvetica LT Std Roman" w:hAnsi="Helvetica LT Std Roman"/>
          <w:color w:val="000000"/>
          <w:sz w:val="24"/>
          <w:szCs w:val="24"/>
          <w:u w:color="000000"/>
          <w:lang w:val="pt-PT"/>
        </w:rPr>
        <w:t xml:space="preserve">n de abortos </w:t>
      </w:r>
      <w:proofErr w:type="spellStart"/>
      <w:r>
        <w:rPr>
          <w:rStyle w:val="None"/>
          <w:rFonts w:ascii="Helvetica LT Std Roman" w:hAnsi="Helvetica LT Std Roman"/>
          <w:color w:val="000000"/>
          <w:sz w:val="24"/>
          <w:szCs w:val="24"/>
          <w:u w:color="000000"/>
          <w:lang w:val="pt-PT"/>
        </w:rPr>
        <w:t>eugen</w:t>
      </w:r>
      <w:r>
        <w:rPr>
          <w:rStyle w:val="None"/>
          <w:rFonts w:ascii="Helvetica LT Std Roman" w:hAnsi="Helvetica LT Std Roman"/>
          <w:color w:val="000000"/>
          <w:sz w:val="24"/>
          <w:szCs w:val="24"/>
          <w:u w:color="000000"/>
        </w:rPr>
        <w:t>ésicos</w:t>
      </w:r>
      <w:proofErr w:type="spellEnd"/>
      <w:r>
        <w:rPr>
          <w:rStyle w:val="None"/>
          <w:rFonts w:ascii="Helvetica LT Std Roman" w:hAnsi="Helvetica LT Std Roman"/>
          <w:color w:val="000000"/>
          <w:sz w:val="24"/>
          <w:szCs w:val="24"/>
          <w:u w:color="000000"/>
        </w:rPr>
        <w:t>, y (</w:t>
      </w:r>
      <w:proofErr w:type="spellStart"/>
      <w:r>
        <w:rPr>
          <w:rStyle w:val="None"/>
          <w:rFonts w:ascii="Helvetica LT Std Roman" w:hAnsi="Helvetica LT Std Roman"/>
          <w:color w:val="000000"/>
          <w:sz w:val="24"/>
          <w:szCs w:val="24"/>
          <w:u w:color="000000"/>
        </w:rPr>
        <w:t>ii</w:t>
      </w:r>
      <w:proofErr w:type="spellEnd"/>
      <w:r>
        <w:rPr>
          <w:rStyle w:val="None"/>
          <w:rFonts w:ascii="Helvetica LT Std Roman" w:hAnsi="Helvetica LT Std Roman"/>
          <w:color w:val="000000"/>
          <w:sz w:val="24"/>
          <w:szCs w:val="24"/>
          <w:u w:color="000000"/>
        </w:rPr>
        <w:t>) la existencia de un margen de regulación estatal frente al aborto.</w:t>
      </w:r>
    </w:p>
    <w:p w14:paraId="01D0B44C" w14:textId="77777777" w:rsidR="001A105D" w:rsidRDefault="001A105D">
      <w:pPr>
        <w:pStyle w:val="Body"/>
        <w:spacing w:line="276" w:lineRule="auto"/>
        <w:rPr>
          <w:rStyle w:val="None"/>
          <w:color w:val="000000"/>
          <w:sz w:val="24"/>
          <w:szCs w:val="24"/>
          <w:u w:color="000000"/>
        </w:rPr>
      </w:pPr>
    </w:p>
    <w:p w14:paraId="3EA16A74" w14:textId="77777777" w:rsidR="001A105D" w:rsidRDefault="00000000">
      <w:pPr>
        <w:pStyle w:val="Body"/>
        <w:numPr>
          <w:ilvl w:val="1"/>
          <w:numId w:val="106"/>
        </w:numPr>
        <w:spacing w:line="276" w:lineRule="auto"/>
        <w:rPr>
          <w:rFonts w:ascii="Helvetica LT Std Bold" w:hAnsi="Helvetica LT Std Bold"/>
          <w:color w:val="000000"/>
          <w:sz w:val="24"/>
          <w:szCs w:val="24"/>
          <w:u w:color="000000"/>
          <w:lang w:val="it-IT"/>
        </w:rPr>
      </w:pPr>
      <w:r>
        <w:rPr>
          <w:rFonts w:ascii="Helvetica LT Std Bold" w:hAnsi="Helvetica LT Std Bold"/>
          <w:color w:val="000000"/>
          <w:sz w:val="24"/>
          <w:szCs w:val="24"/>
          <w:u w:color="000000"/>
          <w:lang w:val="it-IT"/>
        </w:rPr>
        <w:t xml:space="preserve">La </w:t>
      </w:r>
      <w:proofErr w:type="spellStart"/>
      <w:r>
        <w:rPr>
          <w:rFonts w:ascii="Helvetica LT Std Bold" w:hAnsi="Helvetica LT Std Bold"/>
          <w:color w:val="000000"/>
          <w:sz w:val="24"/>
          <w:szCs w:val="24"/>
          <w:u w:color="000000"/>
          <w:lang w:val="it-IT"/>
        </w:rPr>
        <w:t>garant</w:t>
      </w:r>
      <w:r>
        <w:rPr>
          <w:rStyle w:val="None"/>
          <w:rFonts w:ascii="Helvetica LT Std Bold" w:hAnsi="Helvetica LT Std Bold"/>
          <w:color w:val="000000"/>
          <w:sz w:val="24"/>
          <w:szCs w:val="24"/>
          <w:u w:color="000000"/>
        </w:rPr>
        <w:t>í</w:t>
      </w:r>
      <w:r>
        <w:rPr>
          <w:rFonts w:ascii="Helvetica LT Std Bold" w:hAnsi="Helvetica LT Std Bold"/>
          <w:color w:val="000000"/>
          <w:sz w:val="24"/>
          <w:szCs w:val="24"/>
          <w:u w:color="000000"/>
        </w:rPr>
        <w:t>a</w:t>
      </w:r>
      <w:proofErr w:type="spellEnd"/>
      <w:r>
        <w:rPr>
          <w:rFonts w:ascii="Helvetica LT Std Bold" w:hAnsi="Helvetica LT Std Bold"/>
          <w:color w:val="000000"/>
          <w:sz w:val="24"/>
          <w:szCs w:val="24"/>
          <w:u w:color="000000"/>
        </w:rPr>
        <w:t xml:space="preserve"> del derecho a la vida del ser humano en gestaci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 xml:space="preserve">n frente </w:t>
      </w:r>
      <w:proofErr w:type="gramStart"/>
      <w:r>
        <w:rPr>
          <w:rFonts w:ascii="Helvetica LT Std Bold" w:hAnsi="Helvetica LT Std Bold"/>
          <w:color w:val="000000"/>
          <w:sz w:val="24"/>
          <w:szCs w:val="24"/>
          <w:u w:color="000000"/>
        </w:rPr>
        <w:t>al aborto</w:t>
      </w:r>
      <w:proofErr w:type="gramEnd"/>
      <w:r>
        <w:rPr>
          <w:rFonts w:ascii="Helvetica LT Std Bold" w:hAnsi="Helvetica LT Std Bold"/>
          <w:color w:val="000000"/>
          <w:sz w:val="24"/>
          <w:szCs w:val="24"/>
          <w:u w:color="000000"/>
        </w:rPr>
        <w:t xml:space="preserve">: titularidad del derecho a la vida y </w:t>
      </w:r>
      <w:proofErr w:type="spellStart"/>
      <w:r>
        <w:rPr>
          <w:rFonts w:ascii="Helvetica LT Std Bold" w:hAnsi="Helvetica LT Std Bold"/>
          <w:color w:val="000000"/>
          <w:sz w:val="24"/>
          <w:szCs w:val="24"/>
          <w:u w:color="000000"/>
        </w:rPr>
        <w:t>prohibici</w:t>
      </w:r>
      <w:r>
        <w:rPr>
          <w:rStyle w:val="None"/>
          <w:rFonts w:ascii="Helvetica LT Std Bold" w:hAnsi="Helvetica LT Std Bold"/>
          <w:color w:val="000000"/>
          <w:sz w:val="24"/>
          <w:szCs w:val="24"/>
          <w:u w:color="000000"/>
        </w:rPr>
        <w:t>ó</w:t>
      </w:r>
      <w:proofErr w:type="spellEnd"/>
      <w:r>
        <w:rPr>
          <w:rFonts w:ascii="Helvetica LT Std Bold" w:hAnsi="Helvetica LT Std Bold"/>
          <w:color w:val="000000"/>
          <w:sz w:val="24"/>
          <w:szCs w:val="24"/>
          <w:u w:color="000000"/>
          <w:lang w:val="pt-PT"/>
        </w:rPr>
        <w:t xml:space="preserve">n de abortos </w:t>
      </w:r>
      <w:proofErr w:type="spellStart"/>
      <w:r>
        <w:rPr>
          <w:rFonts w:ascii="Helvetica LT Std Bold" w:hAnsi="Helvetica LT Std Bold"/>
          <w:color w:val="000000"/>
          <w:sz w:val="24"/>
          <w:szCs w:val="24"/>
          <w:u w:color="000000"/>
          <w:lang w:val="pt-PT"/>
        </w:rPr>
        <w:t>eugen</w:t>
      </w:r>
      <w:proofErr w:type="spellEnd"/>
      <w:r>
        <w:rPr>
          <w:rStyle w:val="None"/>
          <w:rFonts w:ascii="Helvetica LT Std Bold" w:hAnsi="Helvetica LT Std Bold"/>
          <w:color w:val="000000"/>
          <w:sz w:val="24"/>
          <w:szCs w:val="24"/>
          <w:u w:color="000000"/>
        </w:rPr>
        <w:t>é</w:t>
      </w:r>
      <w:proofErr w:type="spellStart"/>
      <w:r>
        <w:rPr>
          <w:rFonts w:ascii="Helvetica LT Std Bold" w:hAnsi="Helvetica LT Std Bold"/>
          <w:color w:val="000000"/>
          <w:sz w:val="24"/>
          <w:szCs w:val="24"/>
          <w:u w:color="000000"/>
          <w:lang w:val="pt-PT"/>
        </w:rPr>
        <w:t>sicos</w:t>
      </w:r>
      <w:proofErr w:type="spellEnd"/>
    </w:p>
    <w:p w14:paraId="517DA960" w14:textId="77777777" w:rsidR="001A105D" w:rsidRDefault="001A105D">
      <w:pPr>
        <w:pStyle w:val="Body"/>
        <w:spacing w:line="276" w:lineRule="auto"/>
        <w:ind w:left="1440"/>
        <w:rPr>
          <w:rStyle w:val="None"/>
          <w:color w:val="000000"/>
          <w:sz w:val="24"/>
          <w:szCs w:val="24"/>
          <w:u w:color="000000"/>
        </w:rPr>
      </w:pPr>
    </w:p>
    <w:p w14:paraId="5CD7B26C"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En el informe debió resaltarse que las medidas legislativas que regulen el aborto deben incluir salvaguardas para garantizar el </w:t>
      </w:r>
      <w:r>
        <w:rPr>
          <w:rStyle w:val="None"/>
          <w:rFonts w:ascii="Helvetica LT Std Roman" w:hAnsi="Helvetica LT Std Roman"/>
          <w:color w:val="000000"/>
          <w:sz w:val="24"/>
          <w:szCs w:val="24"/>
          <w:u w:color="000000"/>
        </w:rPr>
        <w:lastRenderedPageBreak/>
        <w:t xml:space="preserve">derecho a la vida del ser humano en gestación (artículo 4.1 de la CADH), máxime atendiendo a que el aborto es un fenómeno que también afecta a los seres humanos en gestación que tienen discapacidad cuando se practican abortos eugenésicos tal como se expuso en el apartado anterior. Es así </w:t>
      </w:r>
      <w:proofErr w:type="gramStart"/>
      <w:r>
        <w:rPr>
          <w:rStyle w:val="None"/>
          <w:rFonts w:ascii="Helvetica LT Std Roman" w:hAnsi="Helvetica LT Std Roman"/>
          <w:color w:val="000000"/>
          <w:sz w:val="24"/>
          <w:szCs w:val="24"/>
          <w:u w:color="000000"/>
        </w:rPr>
        <w:t>que</w:t>
      </w:r>
      <w:proofErr w:type="gramEnd"/>
      <w:r>
        <w:rPr>
          <w:rStyle w:val="None"/>
          <w:rFonts w:ascii="Helvetica LT Std Roman" w:hAnsi="Helvetica LT Std Roman"/>
          <w:color w:val="000000"/>
          <w:sz w:val="24"/>
          <w:szCs w:val="24"/>
          <w:u w:color="000000"/>
        </w:rPr>
        <w:t xml:space="preserve"> la CIDH como llamada a proteger los derechos humanos de todas las personas no puede limitarse a citar normas sin efectuar las aclaraciones necesarias, como ya lo he reiterado en múltiples asuntos. </w:t>
      </w:r>
    </w:p>
    <w:p w14:paraId="59E4BE50"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765DE2D"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Sin embargo, aunque el informe resaltó como un avance la posibilidad de que las personas con discapacidad emitan su opinión frente al aborto, ignoró a la otra persona cuyo derecho a la vida también está protegido convencionalmente, esto es, la persona no nacida; y no tuvo en cuenta la necesaria ponderación que debe existir entre los derechos en tensión.  Al respecto, se reitera que las personas en gestación son también sujetos de derecho y titulares del derecho a la vida. </w:t>
      </w:r>
    </w:p>
    <w:p w14:paraId="5A093964"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2EEB9163"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 xml:space="preserve">Es indispensable tener en cuenta que un pronunciamiento sobre el aborto siempre supone una postura acerca de una práctica que necesariamente implica la terminación de la vida de un ser humano digno y que el artículo 4 de la CADH protege, por lo que resulta necesario reconocer expresamente los derechos de la persona en gestación como parte de la ponderación que requiere todo caso de aborto. </w:t>
      </w:r>
    </w:p>
    <w:p w14:paraId="1E355790"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7F6CE58F"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Al respecto, destaco que el artículo 1.2 de la CADH establece claramente que, para los efectos de la Convención, una "persona" es todo ser humano</w:t>
      </w:r>
      <w:r>
        <w:rPr>
          <w:rStyle w:val="None"/>
          <w:rFonts w:ascii="Helvetica LT Std Roman" w:eastAsia="Helvetica LT Std Roman" w:hAnsi="Helvetica LT Std Roman" w:cs="Helvetica LT Std Roman"/>
          <w:color w:val="000000"/>
          <w:sz w:val="24"/>
          <w:szCs w:val="24"/>
          <w:u w:color="000000"/>
          <w:vertAlign w:val="superscript"/>
        </w:rPr>
        <w:footnoteReference w:id="595"/>
      </w:r>
      <w:r>
        <w:rPr>
          <w:rStyle w:val="None"/>
          <w:rFonts w:ascii="Helvetica LT Std Roman" w:hAnsi="Helvetica LT Std Roman"/>
          <w:color w:val="000000"/>
          <w:sz w:val="24"/>
          <w:szCs w:val="24"/>
          <w:u w:color="000000"/>
        </w:rPr>
        <w:t xml:space="preserve">. Así, a la luz de la Convención, los derechos humanos no se reconocen únicamente a las personas que ya han nacido, sino que se debe protección a todos los individuos desde su </w:t>
      </w:r>
      <w:r>
        <w:rPr>
          <w:rStyle w:val="None"/>
          <w:rFonts w:ascii="Helvetica LT Std Roman" w:hAnsi="Helvetica LT Std Roman"/>
          <w:color w:val="000000"/>
          <w:sz w:val="24"/>
          <w:szCs w:val="24"/>
          <w:u w:color="000000"/>
        </w:rPr>
        <w:lastRenderedPageBreak/>
        <w:t xml:space="preserve">concepción, </w:t>
      </w:r>
      <w:proofErr w:type="spellStart"/>
      <w:r>
        <w:rPr>
          <w:rStyle w:val="None"/>
          <w:rFonts w:ascii="Helvetica LT Std Roman" w:hAnsi="Helvetica LT Std Roman"/>
          <w:color w:val="000000"/>
          <w:sz w:val="24"/>
          <w:szCs w:val="24"/>
          <w:u w:color="000000"/>
        </w:rPr>
        <w:t>entendié</w:t>
      </w:r>
      <w:r>
        <w:rPr>
          <w:rStyle w:val="None"/>
          <w:rFonts w:ascii="Helvetica LT Std Roman" w:hAnsi="Helvetica LT Std Roman"/>
          <w:color w:val="000000"/>
          <w:sz w:val="24"/>
          <w:szCs w:val="24"/>
          <w:u w:color="000000"/>
          <w:lang w:val="pt-PT"/>
        </w:rPr>
        <w:t>ndolos</w:t>
      </w:r>
      <w:proofErr w:type="spellEnd"/>
      <w:r>
        <w:rPr>
          <w:rStyle w:val="None"/>
          <w:rFonts w:ascii="Helvetica LT Std Roman" w:hAnsi="Helvetica LT Std Roman"/>
          <w:color w:val="000000"/>
          <w:sz w:val="24"/>
          <w:szCs w:val="24"/>
          <w:u w:color="000000"/>
          <w:lang w:val="pt-PT"/>
        </w:rPr>
        <w:t xml:space="preserve"> como seres humanos. </w:t>
      </w:r>
      <w:proofErr w:type="spellStart"/>
      <w:r>
        <w:rPr>
          <w:rStyle w:val="None"/>
          <w:rFonts w:ascii="Helvetica LT Std Roman" w:hAnsi="Helvetica LT Std Roman"/>
          <w:color w:val="000000"/>
          <w:sz w:val="24"/>
          <w:szCs w:val="24"/>
          <w:u w:color="000000"/>
          <w:lang w:val="pt-PT"/>
        </w:rPr>
        <w:t>Es</w:t>
      </w:r>
      <w:proofErr w:type="spellEnd"/>
      <w:r>
        <w:rPr>
          <w:rStyle w:val="None"/>
          <w:rFonts w:ascii="Helvetica LT Std Roman" w:hAnsi="Helvetica LT Std Roman"/>
          <w:color w:val="000000"/>
          <w:sz w:val="24"/>
          <w:szCs w:val="24"/>
          <w:u w:color="000000"/>
          <w:lang w:val="pt-PT"/>
        </w:rPr>
        <w:t xml:space="preserve"> m</w:t>
      </w:r>
      <w:proofErr w:type="spellStart"/>
      <w:r>
        <w:rPr>
          <w:rStyle w:val="None"/>
          <w:rFonts w:ascii="Helvetica LT Std Roman" w:hAnsi="Helvetica LT Std Roman"/>
          <w:color w:val="000000"/>
          <w:sz w:val="24"/>
          <w:szCs w:val="24"/>
          <w:u w:color="000000"/>
        </w:rPr>
        <w:t>ás</w:t>
      </w:r>
      <w:proofErr w:type="spellEnd"/>
      <w:r>
        <w:rPr>
          <w:rStyle w:val="None"/>
          <w:rFonts w:ascii="Helvetica LT Std Roman" w:hAnsi="Helvetica LT Std Roman"/>
          <w:color w:val="000000"/>
          <w:sz w:val="24"/>
          <w:szCs w:val="24"/>
          <w:u w:color="000000"/>
        </w:rPr>
        <w:t xml:space="preserve">, la </w:t>
      </w:r>
      <w:proofErr w:type="gramStart"/>
      <w:r>
        <w:rPr>
          <w:rStyle w:val="None"/>
          <w:rFonts w:ascii="Helvetica LT Std Roman" w:hAnsi="Helvetica LT Std Roman"/>
          <w:color w:val="000000"/>
          <w:sz w:val="24"/>
          <w:szCs w:val="24"/>
          <w:u w:color="000000"/>
        </w:rPr>
        <w:t>propia Corte</w:t>
      </w:r>
      <w:proofErr w:type="gramEnd"/>
      <w:r>
        <w:rPr>
          <w:rStyle w:val="None"/>
          <w:rFonts w:ascii="Helvetica LT Std Roman" w:hAnsi="Helvetica LT Std Roman"/>
          <w:color w:val="000000"/>
          <w:sz w:val="24"/>
          <w:szCs w:val="24"/>
          <w:u w:color="000000"/>
        </w:rPr>
        <w:t xml:space="preserve"> IDH en su </w:t>
      </w:r>
      <w:proofErr w:type="spellStart"/>
      <w:r>
        <w:rPr>
          <w:rStyle w:val="None"/>
          <w:rFonts w:ascii="Helvetica LT Std Roman" w:hAnsi="Helvetica LT Std Roman"/>
          <w:color w:val="000000"/>
          <w:sz w:val="24"/>
          <w:szCs w:val="24"/>
          <w:u w:color="000000"/>
        </w:rPr>
        <w:t>opinió</w:t>
      </w:r>
      <w:proofErr w:type="spellEnd"/>
      <w:r>
        <w:rPr>
          <w:rStyle w:val="None"/>
          <w:rFonts w:ascii="Helvetica LT Std Roman" w:hAnsi="Helvetica LT Std Roman"/>
          <w:color w:val="000000"/>
          <w:sz w:val="24"/>
          <w:szCs w:val="24"/>
          <w:u w:color="000000"/>
          <w:lang w:val="it-IT"/>
        </w:rPr>
        <w:t xml:space="preserve">n consultiva 22 </w:t>
      </w:r>
      <w:proofErr w:type="spellStart"/>
      <w:r>
        <w:rPr>
          <w:rStyle w:val="None"/>
          <w:rFonts w:ascii="Helvetica LT Std Roman" w:hAnsi="Helvetica LT Std Roman"/>
          <w:color w:val="000000"/>
          <w:sz w:val="24"/>
          <w:szCs w:val="24"/>
          <w:u w:color="000000"/>
          <w:lang w:val="it-IT"/>
        </w:rPr>
        <w:t>indic</w:t>
      </w:r>
      <w:r>
        <w:rPr>
          <w:rStyle w:val="None"/>
          <w:rFonts w:ascii="Helvetica LT Std Roman" w:hAnsi="Helvetica LT Std Roman"/>
          <w:color w:val="000000"/>
          <w:sz w:val="24"/>
          <w:szCs w:val="24"/>
          <w:u w:color="000000"/>
        </w:rPr>
        <w:t>ó</w:t>
      </w:r>
      <w:proofErr w:type="spellEnd"/>
      <w:r>
        <w:rPr>
          <w:rStyle w:val="None"/>
          <w:rFonts w:ascii="Helvetica LT Std Roman" w:hAnsi="Helvetica LT Std Roman"/>
          <w:color w:val="000000"/>
          <w:sz w:val="24"/>
          <w:szCs w:val="24"/>
          <w:u w:color="000000"/>
        </w:rPr>
        <w:t xml:space="preserve"> que, sin ser un asunto abierto a la interpretación, el término persona es equivalente al término ser humano</w:t>
      </w:r>
      <w:r>
        <w:rPr>
          <w:rStyle w:val="None"/>
          <w:rFonts w:ascii="Helvetica LT Std Roman" w:eastAsia="Helvetica LT Std Roman" w:hAnsi="Helvetica LT Std Roman" w:cs="Helvetica LT Std Roman"/>
          <w:color w:val="000000"/>
          <w:sz w:val="24"/>
          <w:szCs w:val="24"/>
          <w:u w:color="000000"/>
          <w:vertAlign w:val="superscript"/>
        </w:rPr>
        <w:footnoteReference w:id="596"/>
      </w:r>
      <w:r>
        <w:rPr>
          <w:rStyle w:val="None"/>
          <w:rFonts w:ascii="Helvetica LT Std Roman" w:hAnsi="Helvetica LT Std Roman"/>
          <w:color w:val="000000"/>
          <w:sz w:val="24"/>
          <w:szCs w:val="24"/>
          <w:u w:color="000000"/>
        </w:rPr>
        <w:t>.</w:t>
      </w:r>
    </w:p>
    <w:p w14:paraId="0FAF8C46"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5CA50D81"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Frente a ello, es claro que la persona en gestación es un ser humano</w:t>
      </w:r>
      <w:r>
        <w:rPr>
          <w:rStyle w:val="None"/>
          <w:rFonts w:ascii="Helvetica LT Std Roman" w:eastAsia="Helvetica LT Std Roman" w:hAnsi="Helvetica LT Std Roman" w:cs="Helvetica LT Std Roman"/>
          <w:color w:val="000000"/>
          <w:sz w:val="24"/>
          <w:szCs w:val="24"/>
          <w:u w:color="000000"/>
          <w:vertAlign w:val="superscript"/>
        </w:rPr>
        <w:footnoteReference w:id="597"/>
      </w:r>
      <w:r>
        <w:rPr>
          <w:rStyle w:val="None"/>
          <w:rFonts w:ascii="Helvetica LT Std Roman" w:hAnsi="Helvetica LT Std Roman"/>
          <w:color w:val="000000"/>
          <w:sz w:val="24"/>
          <w:szCs w:val="24"/>
          <w:u w:color="000000"/>
        </w:rPr>
        <w:t>. Incluso, la Declaración Universal sobre el Genoma Humano y los Derechos Humanos, establece que “el genoma humano es la base de la unidad fundamental de todos los miembros de la familia humana y del reconocimiento de su dignidad intrínseca y su diversidad. En sentido simbólico, el genoma humano es el patrimonio de la humanidad”</w:t>
      </w:r>
      <w:r>
        <w:rPr>
          <w:rStyle w:val="None"/>
          <w:rFonts w:ascii="Helvetica LT Std Roman" w:eastAsia="Helvetica LT Std Roman" w:hAnsi="Helvetica LT Std Roman" w:cs="Helvetica LT Std Roman"/>
          <w:color w:val="000000"/>
          <w:sz w:val="24"/>
          <w:szCs w:val="24"/>
          <w:u w:color="000000"/>
          <w:vertAlign w:val="superscript"/>
        </w:rPr>
        <w:footnoteReference w:id="598"/>
      </w:r>
    </w:p>
    <w:p w14:paraId="4303F0EB"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093E4629"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La consecuencia de reconocer al no nacido como persona en tanto ser humano es que se hace titular de derechos. Así la CADH establece en los artículos que desarrollan derechos la fórmula “Toda persona (...)”</w:t>
      </w:r>
      <w:r>
        <w:rPr>
          <w:rStyle w:val="None"/>
          <w:rFonts w:ascii="Helvetica LT Std Roman" w:eastAsia="Helvetica LT Std Roman" w:hAnsi="Helvetica LT Std Roman" w:cs="Helvetica LT Std Roman"/>
          <w:color w:val="000000"/>
          <w:sz w:val="24"/>
          <w:szCs w:val="24"/>
          <w:u w:color="000000"/>
          <w:vertAlign w:val="superscript"/>
        </w:rPr>
        <w:footnoteReference w:id="599"/>
      </w:r>
      <w:r>
        <w:rPr>
          <w:rStyle w:val="None"/>
          <w:rFonts w:ascii="Helvetica LT Std Roman" w:hAnsi="Helvetica LT Std Roman"/>
          <w:color w:val="000000"/>
          <w:sz w:val="24"/>
          <w:szCs w:val="24"/>
          <w:u w:color="000000"/>
        </w:rPr>
        <w:t>. Asimismo, generalmente, los instrumentos de protección de los derechos humanos reconocen la titularidad de los derechos en cabeza de los miembros de la especie humana, en especial, el derecho a la vida</w:t>
      </w:r>
      <w:r>
        <w:rPr>
          <w:rStyle w:val="None"/>
          <w:rFonts w:ascii="Helvetica LT Std Roman" w:eastAsia="Helvetica LT Std Roman" w:hAnsi="Helvetica LT Std Roman" w:cs="Helvetica LT Std Roman"/>
          <w:color w:val="000000"/>
          <w:sz w:val="24"/>
          <w:szCs w:val="24"/>
          <w:u w:color="000000"/>
          <w:vertAlign w:val="superscript"/>
        </w:rPr>
        <w:footnoteReference w:id="600"/>
      </w:r>
      <w:r>
        <w:rPr>
          <w:rStyle w:val="None"/>
          <w:rFonts w:ascii="Helvetica LT Std Roman" w:hAnsi="Helvetica LT Std Roman"/>
          <w:color w:val="000000"/>
          <w:sz w:val="24"/>
          <w:szCs w:val="24"/>
          <w:u w:color="000000"/>
        </w:rPr>
        <w:t>.</w:t>
      </w:r>
    </w:p>
    <w:p w14:paraId="35163DC1"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14BEB0F"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Incluso, en la sentencia del caso Artavia Murillo, la Corte IDH determinó que “la protección del derecho a la vida no es absoluta, sino gradual e incremental a medida que avanza el desarrollo del feto”. Lo anterior implica que, sin perjuicio de los conceptos de gradualidad e </w:t>
      </w:r>
      <w:proofErr w:type="spellStart"/>
      <w:r>
        <w:rPr>
          <w:rStyle w:val="None"/>
          <w:rFonts w:ascii="Helvetica LT Std Roman" w:hAnsi="Helvetica LT Std Roman"/>
          <w:color w:val="000000"/>
          <w:sz w:val="24"/>
          <w:szCs w:val="24"/>
          <w:u w:color="000000"/>
        </w:rPr>
        <w:t>incrementalidad</w:t>
      </w:r>
      <w:proofErr w:type="spellEnd"/>
      <w:r>
        <w:rPr>
          <w:rStyle w:val="None"/>
          <w:rFonts w:ascii="Helvetica LT Std Roman" w:hAnsi="Helvetica LT Std Roman"/>
          <w:color w:val="000000"/>
          <w:sz w:val="24"/>
          <w:szCs w:val="24"/>
          <w:u w:color="000000"/>
        </w:rPr>
        <w:t xml:space="preserve"> (de los cuales me separo completamente), la Corte ya estableció que las personas en gestación deben ser protegidas por el Estado en su “</w:t>
      </w:r>
      <w:proofErr w:type="spellStart"/>
      <w:r>
        <w:rPr>
          <w:rStyle w:val="None"/>
          <w:rFonts w:ascii="Helvetica LT Std Roman" w:hAnsi="Helvetica LT Std Roman"/>
          <w:color w:val="000000"/>
          <w:sz w:val="24"/>
          <w:szCs w:val="24"/>
          <w:u w:color="000000"/>
          <w:lang w:val="pt-PT"/>
        </w:rPr>
        <w:t>derecho</w:t>
      </w:r>
      <w:proofErr w:type="spellEnd"/>
      <w:r>
        <w:rPr>
          <w:rStyle w:val="None"/>
          <w:rFonts w:ascii="Helvetica LT Std Roman" w:hAnsi="Helvetica LT Std Roman"/>
          <w:color w:val="000000"/>
          <w:sz w:val="24"/>
          <w:szCs w:val="24"/>
          <w:u w:color="000000"/>
          <w:lang w:val="pt-PT"/>
        </w:rPr>
        <w:t xml:space="preserve"> a la vida</w:t>
      </w:r>
      <w:r>
        <w:rPr>
          <w:rStyle w:val="None"/>
          <w:rFonts w:ascii="Helvetica LT Std Roman" w:hAnsi="Helvetica LT Std Roman"/>
          <w:color w:val="000000"/>
          <w:sz w:val="24"/>
          <w:szCs w:val="24"/>
          <w:u w:color="000000"/>
        </w:rPr>
        <w:t xml:space="preserve">”. En sentido similar, en la sentencia del caso </w:t>
      </w:r>
      <w:proofErr w:type="spellStart"/>
      <w:r>
        <w:rPr>
          <w:rStyle w:val="None"/>
          <w:rFonts w:ascii="Helvetica LT Std Roman" w:hAnsi="Helvetica LT Std Roman"/>
          <w:color w:val="000000"/>
          <w:sz w:val="24"/>
          <w:szCs w:val="24"/>
          <w:u w:color="000000"/>
        </w:rPr>
        <w:t>Cuscul</w:t>
      </w:r>
      <w:proofErr w:type="spellEnd"/>
      <w:r>
        <w:rPr>
          <w:rStyle w:val="None"/>
          <w:rFonts w:ascii="Helvetica LT Std Roman" w:hAnsi="Helvetica LT Std Roman"/>
          <w:color w:val="000000"/>
          <w:sz w:val="24"/>
          <w:szCs w:val="24"/>
          <w:u w:color="000000"/>
        </w:rPr>
        <w:t xml:space="preserve"> Pivaral</w:t>
      </w:r>
      <w:r>
        <w:rPr>
          <w:rStyle w:val="None"/>
          <w:rFonts w:ascii="Helvetica LT Std Roman" w:eastAsia="Helvetica LT Std Roman" w:hAnsi="Helvetica LT Std Roman" w:cs="Helvetica LT Std Roman"/>
          <w:color w:val="000000"/>
          <w:sz w:val="24"/>
          <w:szCs w:val="24"/>
          <w:u w:color="000000"/>
          <w:vertAlign w:val="superscript"/>
        </w:rPr>
        <w:footnoteReference w:id="601"/>
      </w:r>
      <w:r>
        <w:rPr>
          <w:rStyle w:val="None"/>
          <w:rFonts w:ascii="Helvetica LT Std Roman" w:hAnsi="Helvetica LT Std Roman"/>
          <w:color w:val="000000"/>
          <w:sz w:val="24"/>
          <w:szCs w:val="24"/>
          <w:u w:color="000000"/>
        </w:rPr>
        <w:t xml:space="preserve">, la Corte IDH aplicó la CADH a una persona en gestación y </w:t>
      </w:r>
      <w:proofErr w:type="spellStart"/>
      <w:r>
        <w:rPr>
          <w:rStyle w:val="None"/>
          <w:rFonts w:ascii="Helvetica LT Std Roman" w:hAnsi="Helvetica LT Std Roman"/>
          <w:color w:val="000000"/>
          <w:sz w:val="24"/>
          <w:szCs w:val="24"/>
          <w:u w:color="000000"/>
        </w:rPr>
        <w:t>ademá</w:t>
      </w:r>
      <w:proofErr w:type="spellEnd"/>
      <w:r>
        <w:rPr>
          <w:rStyle w:val="None"/>
          <w:rFonts w:ascii="Helvetica LT Std Roman" w:hAnsi="Helvetica LT Std Roman"/>
          <w:color w:val="000000"/>
          <w:sz w:val="24"/>
          <w:szCs w:val="24"/>
          <w:u w:color="000000"/>
          <w:lang w:val="pt-PT"/>
        </w:rPr>
        <w:t xml:space="preserve">s </w:t>
      </w:r>
      <w:proofErr w:type="spellStart"/>
      <w:r>
        <w:rPr>
          <w:rStyle w:val="None"/>
          <w:rFonts w:ascii="Helvetica LT Std Roman" w:hAnsi="Helvetica LT Std Roman"/>
          <w:color w:val="000000"/>
          <w:sz w:val="24"/>
          <w:szCs w:val="24"/>
          <w:u w:color="000000"/>
          <w:lang w:val="pt-PT"/>
        </w:rPr>
        <w:t>aplic</w:t>
      </w:r>
      <w:r>
        <w:rPr>
          <w:rStyle w:val="None"/>
          <w:rFonts w:ascii="Helvetica LT Std Roman" w:hAnsi="Helvetica LT Std Roman"/>
          <w:color w:val="000000"/>
          <w:sz w:val="24"/>
          <w:szCs w:val="24"/>
          <w:u w:color="000000"/>
        </w:rPr>
        <w:t>ó</w:t>
      </w:r>
      <w:proofErr w:type="spellEnd"/>
      <w:r>
        <w:rPr>
          <w:rStyle w:val="None"/>
          <w:rFonts w:ascii="Helvetica LT Std Roman" w:hAnsi="Helvetica LT Std Roman"/>
          <w:color w:val="000000"/>
          <w:sz w:val="24"/>
          <w:szCs w:val="24"/>
          <w:u w:color="000000"/>
        </w:rPr>
        <w:t xml:space="preserve"> el artículo 19 de la CADH, reconociendo así el estatus jurídico de niño a la persona en gestación. </w:t>
      </w:r>
    </w:p>
    <w:p w14:paraId="48855F0A"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F9BCC23"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 xml:space="preserve">En la misma línea, resalto que el preámbulo de la Convención sobre los Derechos de los </w:t>
      </w:r>
      <w:proofErr w:type="spellStart"/>
      <w:r>
        <w:rPr>
          <w:rStyle w:val="None"/>
          <w:rFonts w:ascii="Helvetica LT Std Roman" w:hAnsi="Helvetica LT Std Roman"/>
          <w:color w:val="000000"/>
          <w:spacing w:val="-2"/>
          <w:sz w:val="24"/>
          <w:szCs w:val="24"/>
          <w:u w:color="000000"/>
        </w:rPr>
        <w:t>Niñ</w:t>
      </w:r>
      <w:proofErr w:type="spellEnd"/>
      <w:r>
        <w:rPr>
          <w:rStyle w:val="None"/>
          <w:rFonts w:ascii="Helvetica LT Std Roman" w:hAnsi="Helvetica LT Std Roman"/>
          <w:color w:val="000000"/>
          <w:spacing w:val="-2"/>
          <w:sz w:val="24"/>
          <w:szCs w:val="24"/>
          <w:u w:color="000000"/>
          <w:lang w:val="pt-PT"/>
        </w:rPr>
        <w:t>os se</w:t>
      </w:r>
      <w:proofErr w:type="spellStart"/>
      <w:r>
        <w:rPr>
          <w:rStyle w:val="None"/>
          <w:rFonts w:ascii="Helvetica LT Std Roman" w:hAnsi="Helvetica LT Std Roman"/>
          <w:color w:val="000000"/>
          <w:spacing w:val="-2"/>
          <w:sz w:val="24"/>
          <w:szCs w:val="24"/>
          <w:u w:color="000000"/>
        </w:rPr>
        <w:t>ñala</w:t>
      </w:r>
      <w:proofErr w:type="spellEnd"/>
      <w:r>
        <w:rPr>
          <w:rStyle w:val="None"/>
          <w:rFonts w:ascii="Helvetica LT Std Roman" w:hAnsi="Helvetica LT Std Roman"/>
          <w:color w:val="000000"/>
          <w:spacing w:val="-2"/>
          <w:sz w:val="24"/>
          <w:szCs w:val="24"/>
          <w:u w:color="000000"/>
        </w:rPr>
        <w:t xml:space="preserve"> que el niño necesita protección y cuidados tanto antes como después del nacimiento. Ello implica que, a la luz de la CDN, la persona en gestación es un niño/a que requiere cuidado especial. Ello, fue sido reiterado en los trabajos preparatorios del Pacto Internacional de Derechos Civiles y Polí</w:t>
      </w:r>
      <w:r>
        <w:rPr>
          <w:rStyle w:val="None"/>
          <w:rFonts w:ascii="Helvetica LT Std Roman" w:hAnsi="Helvetica LT Std Roman"/>
          <w:color w:val="000000"/>
          <w:spacing w:val="-2"/>
          <w:sz w:val="24"/>
          <w:szCs w:val="24"/>
          <w:u w:color="000000"/>
          <w:lang w:val="pt-PT"/>
        </w:rPr>
        <w:t>ticos</w:t>
      </w:r>
      <w:r>
        <w:rPr>
          <w:rStyle w:val="None"/>
          <w:rFonts w:ascii="Helvetica LT Std Roman" w:eastAsia="Helvetica LT Std Roman" w:hAnsi="Helvetica LT Std Roman" w:cs="Helvetica LT Std Roman"/>
          <w:color w:val="000000"/>
          <w:spacing w:val="-2"/>
          <w:sz w:val="24"/>
          <w:szCs w:val="24"/>
          <w:u w:color="000000"/>
          <w:vertAlign w:val="superscript"/>
        </w:rPr>
        <w:footnoteReference w:id="602"/>
      </w:r>
      <w:r>
        <w:rPr>
          <w:rStyle w:val="None"/>
          <w:rFonts w:ascii="Helvetica LT Std Roman" w:hAnsi="Helvetica LT Std Roman"/>
          <w:color w:val="000000"/>
          <w:spacing w:val="-2"/>
          <w:sz w:val="24"/>
          <w:szCs w:val="24"/>
          <w:u w:color="000000"/>
        </w:rPr>
        <w:t>.</w:t>
      </w:r>
    </w:p>
    <w:p w14:paraId="56F33BD2"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4C4AD0B6"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En conclusión, en el informe, la CIDH debió tener en cuenta la titularidad de derechos del no nacido, en especial, su derecho a la vida reconocido no solo en el SIDH sino en múltiples instrumentos de derecho internacional, lo anterior, máxime cuando el aborto eugenésico es un fenómeno que afecta multiplicidad de derechos de la persona en gestación. </w:t>
      </w:r>
    </w:p>
    <w:p w14:paraId="6D35C5C2" w14:textId="77777777" w:rsidR="001A105D" w:rsidRDefault="001A105D">
      <w:pPr>
        <w:pStyle w:val="Body"/>
        <w:spacing w:line="276" w:lineRule="auto"/>
        <w:rPr>
          <w:rStyle w:val="None"/>
          <w:rFonts w:ascii="Helvetica LT Std Roman" w:eastAsia="Helvetica LT Std Roman" w:hAnsi="Helvetica LT Std Roman" w:cs="Helvetica LT Std Roman"/>
          <w:color w:val="000000"/>
          <w:sz w:val="24"/>
          <w:szCs w:val="24"/>
          <w:u w:color="000000"/>
        </w:rPr>
      </w:pPr>
    </w:p>
    <w:p w14:paraId="42F0960B" w14:textId="77777777" w:rsidR="001A105D" w:rsidRDefault="001A105D">
      <w:pPr>
        <w:pStyle w:val="Body"/>
        <w:spacing w:line="276" w:lineRule="auto"/>
        <w:rPr>
          <w:rStyle w:val="None"/>
          <w:rFonts w:ascii="Helvetica LT Std Roman" w:eastAsia="Helvetica LT Std Roman" w:hAnsi="Helvetica LT Std Roman" w:cs="Helvetica LT Std Roman"/>
          <w:color w:val="000000"/>
          <w:sz w:val="24"/>
          <w:szCs w:val="24"/>
          <w:u w:color="000000"/>
        </w:rPr>
      </w:pPr>
    </w:p>
    <w:p w14:paraId="22B8F37F" w14:textId="77777777" w:rsidR="001A105D" w:rsidRDefault="001A105D">
      <w:pPr>
        <w:pStyle w:val="Body"/>
        <w:spacing w:line="276" w:lineRule="auto"/>
        <w:jc w:val="left"/>
        <w:rPr>
          <w:rStyle w:val="None"/>
          <w:color w:val="000000"/>
          <w:sz w:val="24"/>
          <w:szCs w:val="24"/>
          <w:u w:color="000000"/>
        </w:rPr>
      </w:pPr>
    </w:p>
    <w:p w14:paraId="2C621E43" w14:textId="77777777" w:rsidR="001A105D" w:rsidRDefault="00000000">
      <w:pPr>
        <w:pStyle w:val="Body"/>
        <w:numPr>
          <w:ilvl w:val="1"/>
          <w:numId w:val="106"/>
        </w:numPr>
        <w:spacing w:line="276" w:lineRule="auto"/>
        <w:jc w:val="left"/>
        <w:rPr>
          <w:rFonts w:ascii="Helvetica LT Std Bold" w:hAnsi="Helvetica LT Std Bold"/>
          <w:color w:val="000000"/>
          <w:sz w:val="24"/>
          <w:szCs w:val="24"/>
          <w:u w:color="000000"/>
        </w:rPr>
      </w:pPr>
      <w:r>
        <w:rPr>
          <w:rFonts w:ascii="Helvetica LT Std Bold" w:hAnsi="Helvetica LT Std Bold"/>
          <w:color w:val="000000"/>
          <w:sz w:val="24"/>
          <w:szCs w:val="24"/>
          <w:u w:color="000000"/>
        </w:rPr>
        <w:t>La existencia de un margen de regulaci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 xml:space="preserve">n estatal frente </w:t>
      </w:r>
      <w:r>
        <w:rPr>
          <w:rFonts w:ascii="Helvetica LT Std Bold" w:eastAsia="Helvetica LT Std Bold" w:hAnsi="Helvetica LT Std Bold" w:cs="Helvetica LT Std Bold"/>
          <w:color w:val="000000"/>
          <w:sz w:val="24"/>
          <w:szCs w:val="24"/>
          <w:u w:color="000000"/>
        </w:rPr>
        <w:br/>
      </w:r>
      <w:r>
        <w:rPr>
          <w:rFonts w:ascii="Helvetica LT Std Bold" w:hAnsi="Helvetica LT Std Bold"/>
          <w:color w:val="000000"/>
          <w:sz w:val="24"/>
          <w:szCs w:val="24"/>
          <w:u w:color="000000"/>
        </w:rPr>
        <w:t xml:space="preserve">al aborto </w:t>
      </w:r>
    </w:p>
    <w:p w14:paraId="4B2FC2FC" w14:textId="77777777" w:rsidR="001A105D" w:rsidRDefault="001A105D">
      <w:pPr>
        <w:pStyle w:val="Body"/>
        <w:spacing w:line="276" w:lineRule="auto"/>
        <w:rPr>
          <w:rStyle w:val="None"/>
          <w:color w:val="000000"/>
          <w:sz w:val="24"/>
          <w:szCs w:val="24"/>
          <w:u w:color="000000"/>
        </w:rPr>
      </w:pPr>
    </w:p>
    <w:p w14:paraId="025824CD"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La CIDH también omitió señalar en su análisis que las medidas legislativas que regulen el aborto en relación con personas con discapacidad se deben implementar de conformidad con la legislación nacional de cada país, atendiendo a que, ante la inexistencia de un derecho al aborto en el derecho internacional, se configura un margen de configuración importante en la materia para los Estados. Por supuesto, sin perjuicio de que ninguna regulación puede desconocer el mínimo de protección del derecho a la vida de todos los miembros de la familia humana.</w:t>
      </w:r>
    </w:p>
    <w:p w14:paraId="0A888B7E"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35C0B09"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Frente a ello, reitero que no existen fuentes vinculantes en el derecho internacional -y especialmente en la Convención Americana u otros tratados que integran el Sistema Interamericano- que contemplen (i) el denominado derecho al aborto o (</w:t>
      </w:r>
      <w:proofErr w:type="spellStart"/>
      <w:r>
        <w:rPr>
          <w:rStyle w:val="None"/>
          <w:rFonts w:ascii="Helvetica LT Std Roman" w:hAnsi="Helvetica LT Std Roman"/>
          <w:color w:val="000000"/>
          <w:sz w:val="24"/>
          <w:szCs w:val="24"/>
          <w:u w:color="000000"/>
        </w:rPr>
        <w:t>ii</w:t>
      </w:r>
      <w:proofErr w:type="spellEnd"/>
      <w:r>
        <w:rPr>
          <w:rStyle w:val="None"/>
          <w:rFonts w:ascii="Helvetica LT Std Roman" w:hAnsi="Helvetica LT Std Roman"/>
          <w:color w:val="000000"/>
          <w:sz w:val="24"/>
          <w:szCs w:val="24"/>
          <w:u w:color="000000"/>
        </w:rPr>
        <w:t>) supuestos deberes relacionados con la despenalización del aborto. Bajo este marco, los Estados cuentan con un amplio margen de configuración –en virtud de los principios de subsidiariedad o complementariedad y de democracia representativa– para tomar medidas de protección de la vida prenatal –que sí está protegida por la Convenció</w:t>
      </w:r>
      <w:r>
        <w:rPr>
          <w:rStyle w:val="None"/>
          <w:rFonts w:ascii="Helvetica LT Std Roman" w:hAnsi="Helvetica LT Std Roman"/>
          <w:color w:val="000000"/>
          <w:sz w:val="24"/>
          <w:szCs w:val="24"/>
          <w:u w:color="000000"/>
          <w:lang w:val="it-IT"/>
        </w:rPr>
        <w:t xml:space="preserve">n </w:t>
      </w:r>
      <w:r>
        <w:rPr>
          <w:rStyle w:val="None"/>
          <w:rFonts w:ascii="Helvetica LT Std Roman" w:hAnsi="Helvetica LT Std Roman"/>
          <w:color w:val="000000"/>
          <w:sz w:val="24"/>
          <w:szCs w:val="24"/>
          <w:u w:color="000000"/>
          <w:lang w:val="it-IT"/>
        </w:rPr>
        <w:lastRenderedPageBreak/>
        <w:t>Americana</w:t>
      </w:r>
      <w:r>
        <w:rPr>
          <w:rStyle w:val="None"/>
          <w:rFonts w:ascii="Helvetica LT Std Roman" w:eastAsia="Helvetica LT Std Roman" w:hAnsi="Helvetica LT Std Roman" w:cs="Helvetica LT Std Roman"/>
          <w:color w:val="000000"/>
          <w:sz w:val="24"/>
          <w:szCs w:val="24"/>
          <w:u w:color="000000"/>
          <w:vertAlign w:val="superscript"/>
        </w:rPr>
        <w:footnoteReference w:id="603"/>
      </w:r>
      <w:r>
        <w:rPr>
          <w:rStyle w:val="None"/>
          <w:rFonts w:ascii="Helvetica LT Std Roman" w:hAnsi="Helvetica LT Std Roman"/>
          <w:color w:val="000000"/>
          <w:sz w:val="24"/>
          <w:szCs w:val="24"/>
          <w:u w:color="000000"/>
        </w:rPr>
        <w:t>– que incluyen, aunque no sea el único medio, el uso del derecho penal.</w:t>
      </w:r>
    </w:p>
    <w:p w14:paraId="6D2033D2"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0770EEE6"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Frente a la inexistencia del derecho al aborto, el exjuez de la Corte IDH Eduardo Vio Grossi (Q.E.P.D), dejó por sentado en su voto parcialmente disidente a la sentencia del caso Manuela y otros vs. El Salvador que:</w:t>
      </w:r>
    </w:p>
    <w:p w14:paraId="1289A322" w14:textId="77777777" w:rsidR="001A105D" w:rsidRDefault="001A105D">
      <w:pPr>
        <w:pStyle w:val="Body"/>
        <w:spacing w:line="276" w:lineRule="auto"/>
        <w:rPr>
          <w:rStyle w:val="None"/>
          <w:color w:val="000000"/>
          <w:sz w:val="24"/>
          <w:szCs w:val="24"/>
          <w:u w:color="000000"/>
        </w:rPr>
      </w:pPr>
    </w:p>
    <w:p w14:paraId="4543FDF5" w14:textId="77777777" w:rsidR="001A105D" w:rsidRDefault="00000000">
      <w:pPr>
        <w:pStyle w:val="Body"/>
        <w:spacing w:line="276" w:lineRule="auto"/>
        <w:ind w:left="720"/>
        <w:rPr>
          <w:rStyle w:val="None"/>
          <w:color w:val="000000"/>
          <w:sz w:val="24"/>
          <w:szCs w:val="24"/>
          <w:u w:color="000000"/>
        </w:rPr>
      </w:pPr>
      <w:r>
        <w:rPr>
          <w:rStyle w:val="None"/>
          <w:rFonts w:ascii="Helvetica LT Std Roman" w:hAnsi="Helvetica LT Std Roman"/>
          <w:color w:val="000000"/>
          <w:sz w:val="24"/>
          <w:szCs w:val="24"/>
          <w:u w:color="000000"/>
        </w:rPr>
        <w:t xml:space="preserve">“Y a este respecto es indiscutible que, (…) </w:t>
      </w:r>
      <w:r>
        <w:rPr>
          <w:rStyle w:val="None"/>
          <w:rFonts w:ascii="Helvetica LT Std Bold" w:hAnsi="Helvetica LT Std Bold"/>
          <w:color w:val="000000"/>
          <w:sz w:val="24"/>
          <w:szCs w:val="24"/>
          <w:u w:color="000000"/>
          <w:lang w:val="pt-PT"/>
        </w:rPr>
        <w:t xml:space="preserve">no existe norma </w:t>
      </w:r>
      <w:proofErr w:type="spellStart"/>
      <w:r>
        <w:rPr>
          <w:rStyle w:val="None"/>
          <w:rFonts w:ascii="Helvetica LT Std Bold" w:hAnsi="Helvetica LT Std Bold"/>
          <w:color w:val="000000"/>
          <w:sz w:val="24"/>
          <w:szCs w:val="24"/>
          <w:u w:color="000000"/>
          <w:lang w:val="pt-PT"/>
        </w:rPr>
        <w:t>jur</w:t>
      </w:r>
      <w:proofErr w:type="spellEnd"/>
      <w:r>
        <w:rPr>
          <w:rStyle w:val="None"/>
          <w:rFonts w:ascii="Helvetica LT Std Bold" w:hAnsi="Helvetica LT Std Bold"/>
          <w:color w:val="000000"/>
          <w:sz w:val="24"/>
          <w:szCs w:val="24"/>
          <w:u w:color="000000"/>
        </w:rPr>
        <w:t>í</w:t>
      </w:r>
      <w:proofErr w:type="spellStart"/>
      <w:r>
        <w:rPr>
          <w:rStyle w:val="None"/>
          <w:rFonts w:ascii="Helvetica LT Std Bold" w:hAnsi="Helvetica LT Std Bold"/>
          <w:color w:val="000000"/>
          <w:sz w:val="24"/>
          <w:szCs w:val="24"/>
          <w:u w:color="000000"/>
          <w:lang w:val="en-US"/>
        </w:rPr>
        <w:t>dica</w:t>
      </w:r>
      <w:proofErr w:type="spellEnd"/>
      <w:r>
        <w:rPr>
          <w:rStyle w:val="None"/>
          <w:rFonts w:ascii="Helvetica LT Std Roman" w:hAnsi="Helvetica LT Std Roman"/>
          <w:color w:val="000000"/>
          <w:sz w:val="24"/>
          <w:szCs w:val="24"/>
          <w:u w:color="000000"/>
        </w:rPr>
        <w:t xml:space="preserve"> interamericana ni internacional alguna, sea convencional, costumbre internacional o principio general de derecho, </w:t>
      </w:r>
      <w:r>
        <w:rPr>
          <w:rStyle w:val="None"/>
          <w:rFonts w:ascii="Helvetica LT Std Bold" w:hAnsi="Helvetica LT Std Bold"/>
          <w:color w:val="000000"/>
          <w:sz w:val="24"/>
          <w:szCs w:val="24"/>
          <w:u w:color="000000"/>
        </w:rPr>
        <w:t>que reconozca al aborto como un derecho.</w:t>
      </w:r>
      <w:r>
        <w:rPr>
          <w:rStyle w:val="None"/>
          <w:rFonts w:ascii="Helvetica LT Std Roman" w:hAnsi="Helvetica LT Std Roman"/>
          <w:color w:val="000000"/>
          <w:sz w:val="24"/>
          <w:szCs w:val="24"/>
          <w:u w:color="000000"/>
        </w:rPr>
        <w:t xml:space="preserve"> Solo existen resoluciones de órganos internacionales, la mayoría de éstos conformado por funcionarios internacionales y no por representantes de Estados, decisiones que, además de no ser vinculantes, no son interpretativas del Derecho Internacional vigente sino más bien reflejan aspiraciones en orden a que éste cambie en el sentido que sugieren”</w:t>
      </w:r>
      <w:r>
        <w:rPr>
          <w:rStyle w:val="None"/>
          <w:rFonts w:ascii="Helvetica LT Std Roman" w:eastAsia="Helvetica LT Std Roman" w:hAnsi="Helvetica LT Std Roman" w:cs="Helvetica LT Std Roman"/>
          <w:color w:val="000000"/>
          <w:sz w:val="24"/>
          <w:szCs w:val="24"/>
          <w:u w:color="000000"/>
          <w:vertAlign w:val="superscript"/>
        </w:rPr>
        <w:footnoteReference w:id="604"/>
      </w:r>
      <w:r>
        <w:rPr>
          <w:rStyle w:val="None"/>
          <w:rFonts w:ascii="Helvetica LT Std Roman" w:hAnsi="Helvetica LT Std Roman"/>
          <w:color w:val="000000"/>
          <w:sz w:val="24"/>
          <w:szCs w:val="24"/>
          <w:u w:color="000000"/>
        </w:rPr>
        <w:t xml:space="preserve"> </w:t>
      </w:r>
      <w:r>
        <w:rPr>
          <w:rStyle w:val="None"/>
          <w:rFonts w:ascii="Helvetica LT Std Oblique" w:hAnsi="Helvetica LT Std Oblique"/>
          <w:color w:val="000000"/>
          <w:sz w:val="24"/>
          <w:szCs w:val="24"/>
          <w:u w:color="000000"/>
        </w:rPr>
        <w:t xml:space="preserve">(Negrillas fuera del texto original). </w:t>
      </w:r>
    </w:p>
    <w:p w14:paraId="5C727918" w14:textId="77777777" w:rsidR="001A105D" w:rsidRDefault="001A105D">
      <w:pPr>
        <w:pStyle w:val="Body"/>
        <w:spacing w:line="276" w:lineRule="auto"/>
        <w:ind w:left="720"/>
        <w:rPr>
          <w:rStyle w:val="None"/>
          <w:color w:val="000000"/>
          <w:sz w:val="24"/>
          <w:szCs w:val="24"/>
          <w:u w:color="000000"/>
        </w:rPr>
      </w:pPr>
    </w:p>
    <w:p w14:paraId="2E9C666F"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 xml:space="preserve">Ahora bien, destaco que este margen de configuración derivado de la inexistencia de un derecho al aborto y la convergencia de derechos en tensión adquiere mayor amplitud gracias a la facultad que recae en los Estados de definir las conductas punibles y sus consecuencias, y a la </w:t>
      </w:r>
      <w:proofErr w:type="spellStart"/>
      <w:r>
        <w:rPr>
          <w:rStyle w:val="None"/>
          <w:rFonts w:ascii="Helvetica LT Std Roman" w:hAnsi="Helvetica LT Std Roman"/>
          <w:color w:val="000000"/>
          <w:spacing w:val="-2"/>
          <w:sz w:val="24"/>
          <w:szCs w:val="24"/>
          <w:u w:color="000000"/>
        </w:rPr>
        <w:t>remisió</w:t>
      </w:r>
      <w:proofErr w:type="spellEnd"/>
      <w:r>
        <w:rPr>
          <w:rStyle w:val="None"/>
          <w:rFonts w:ascii="Helvetica LT Std Roman" w:hAnsi="Helvetica LT Std Roman"/>
          <w:color w:val="000000"/>
          <w:spacing w:val="-2"/>
          <w:sz w:val="24"/>
          <w:szCs w:val="24"/>
          <w:u w:color="000000"/>
          <w:lang w:val="de-DE"/>
        </w:rPr>
        <w:t xml:space="preserve">n </w:t>
      </w:r>
      <w:proofErr w:type="spellStart"/>
      <w:r>
        <w:rPr>
          <w:rStyle w:val="None"/>
          <w:rFonts w:ascii="Helvetica LT Std Roman" w:hAnsi="Helvetica LT Std Roman"/>
          <w:color w:val="000000"/>
          <w:spacing w:val="-2"/>
          <w:sz w:val="24"/>
          <w:szCs w:val="24"/>
          <w:u w:color="000000"/>
          <w:lang w:val="de-DE"/>
        </w:rPr>
        <w:t>autom</w:t>
      </w:r>
      <w:proofErr w:type="spellEnd"/>
      <w:r>
        <w:rPr>
          <w:rStyle w:val="None"/>
          <w:rFonts w:ascii="Helvetica LT Std Roman" w:hAnsi="Helvetica LT Std Roman"/>
          <w:color w:val="000000"/>
          <w:spacing w:val="-2"/>
          <w:sz w:val="24"/>
          <w:szCs w:val="24"/>
          <w:u w:color="000000"/>
        </w:rPr>
        <w:t>á</w:t>
      </w:r>
      <w:r>
        <w:rPr>
          <w:rStyle w:val="None"/>
          <w:rFonts w:ascii="Helvetica LT Std Roman" w:hAnsi="Helvetica LT Std Roman"/>
          <w:color w:val="000000"/>
          <w:spacing w:val="-2"/>
          <w:sz w:val="24"/>
          <w:szCs w:val="24"/>
          <w:u w:color="000000"/>
          <w:lang w:val="pt-PT"/>
        </w:rPr>
        <w:t xml:space="preserve">tica que, </w:t>
      </w:r>
      <w:proofErr w:type="spellStart"/>
      <w:r>
        <w:rPr>
          <w:rStyle w:val="None"/>
          <w:rFonts w:ascii="Helvetica LT Std Roman" w:hAnsi="Helvetica LT Std Roman"/>
          <w:color w:val="000000"/>
          <w:spacing w:val="-2"/>
          <w:sz w:val="24"/>
          <w:szCs w:val="24"/>
          <w:u w:color="000000"/>
          <w:lang w:val="pt-PT"/>
        </w:rPr>
        <w:t>seg</w:t>
      </w:r>
      <w:r>
        <w:rPr>
          <w:rStyle w:val="None"/>
          <w:rFonts w:ascii="Helvetica LT Std Roman" w:hAnsi="Helvetica LT Std Roman"/>
          <w:color w:val="000000"/>
          <w:spacing w:val="-2"/>
          <w:sz w:val="24"/>
          <w:szCs w:val="24"/>
          <w:u w:color="000000"/>
        </w:rPr>
        <w:t>ún</w:t>
      </w:r>
      <w:proofErr w:type="spellEnd"/>
      <w:r>
        <w:rPr>
          <w:rStyle w:val="None"/>
          <w:rFonts w:ascii="Helvetica LT Std Roman" w:hAnsi="Helvetica LT Std Roman"/>
          <w:color w:val="000000"/>
          <w:spacing w:val="-2"/>
          <w:sz w:val="24"/>
          <w:szCs w:val="24"/>
          <w:u w:color="000000"/>
        </w:rPr>
        <w:t xml:space="preserve"> la Corte IDH, el artículo 7.2 de la Convención Americana hace a la ley interna para el ámbito de la privación de la libertad –principio de reserva de ley-</w:t>
      </w:r>
      <w:r>
        <w:rPr>
          <w:rStyle w:val="None"/>
          <w:rFonts w:ascii="Helvetica LT Std Roman" w:eastAsia="Helvetica LT Std Roman" w:hAnsi="Helvetica LT Std Roman" w:cs="Helvetica LT Std Roman"/>
          <w:color w:val="000000"/>
          <w:spacing w:val="-2"/>
          <w:sz w:val="24"/>
          <w:szCs w:val="24"/>
          <w:u w:color="000000"/>
          <w:vertAlign w:val="superscript"/>
        </w:rPr>
        <w:footnoteReference w:id="605"/>
      </w:r>
      <w:r>
        <w:rPr>
          <w:rStyle w:val="None"/>
          <w:rFonts w:ascii="Helvetica LT Std Roman" w:hAnsi="Helvetica LT Std Roman"/>
          <w:color w:val="000000"/>
          <w:spacing w:val="-2"/>
          <w:sz w:val="24"/>
          <w:szCs w:val="24"/>
          <w:u w:color="000000"/>
        </w:rPr>
        <w:t>.</w:t>
      </w:r>
    </w:p>
    <w:p w14:paraId="41128C90"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7FA73ACA" w14:textId="77777777" w:rsidR="001A105D" w:rsidRDefault="00000000">
      <w:pPr>
        <w:pStyle w:val="Body"/>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 xml:space="preserve">Además, también destaco que los apartados en los que se formulan dichas valoraciones no tienen el suficiente soporte para derivar la existencia, en el Sistema Interamericano, de un parámetro claro y vinculante que pueda servir de base para valorar los modelos de penalización de la conducta de aborto como negativos. El parámetro convencional que sí existe y que resulta obligatorio es el artículo 4 de la CADH que, como lo he dicho en otras ocasiones, contempla la protección del derecho a la vida desde la concepción y demanda de la existencia de marcos normativos que no dejen un déficit de protección absoluto a las personas en estado de gestación. </w:t>
      </w:r>
    </w:p>
    <w:p w14:paraId="4D87465A"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59A2C4FC"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Ello resulta relevante si se tiene presente que, de una lectura sistemática de los artículos 31, 76 y 77 de la Convención Americana, es solo a </w:t>
      </w:r>
      <w:proofErr w:type="spellStart"/>
      <w:r>
        <w:rPr>
          <w:rStyle w:val="None"/>
          <w:rFonts w:ascii="Helvetica LT Std Roman" w:hAnsi="Helvetica LT Std Roman"/>
          <w:color w:val="000000"/>
          <w:sz w:val="24"/>
          <w:szCs w:val="24"/>
          <w:u w:color="000000"/>
        </w:rPr>
        <w:t>travé</w:t>
      </w:r>
      <w:proofErr w:type="spellEnd"/>
      <w:r>
        <w:rPr>
          <w:rStyle w:val="None"/>
          <w:rFonts w:ascii="Helvetica LT Std Roman" w:hAnsi="Helvetica LT Std Roman"/>
          <w:color w:val="000000"/>
          <w:sz w:val="24"/>
          <w:szCs w:val="24"/>
          <w:u w:color="000000"/>
          <w:lang w:val="it-IT"/>
        </w:rPr>
        <w:t xml:space="preserve">s del consenso </w:t>
      </w:r>
      <w:r>
        <w:rPr>
          <w:rStyle w:val="None"/>
          <w:rFonts w:ascii="Helvetica LT Std Roman" w:hAnsi="Helvetica LT Std Roman"/>
          <w:color w:val="000000"/>
          <w:sz w:val="24"/>
          <w:szCs w:val="24"/>
          <w:u w:color="000000"/>
        </w:rPr>
        <w:t>–que los Estados expresan con la firma y ratificación de enmiendas o tratados– que pueden surgir obligaciones internacionales para los Estados, diferentes a las ya contempladas en la CADH.</w:t>
      </w:r>
    </w:p>
    <w:p w14:paraId="546BCCAA"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46977CC9"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En tal sentido, concluyo que, ante la inexistencia de un derecho al aborto en el SIDH y la ausencia de reglas claras frente a los modelos de penalización, existe un amplio margen de configuración para los Estados en la materia. </w:t>
      </w:r>
    </w:p>
    <w:p w14:paraId="3C9AFB7E"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20AEEDC3"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Por supuesto que estoy de acuerdo con la necesidad de garantizar que las personas con discapacidad puedan expresar su consentimiento, sin embargo, estos asuntos deberían reflejar una aproximación más integral que permita la protección de la persona en gestación y la mujer gestante. En ese sentido, estas discusiones deberían llevar a revisar políticas de apoyo y protección a la mujer gestante con discapacidad; de seguridad y de salud. Lejos de abordar esta responsabilidad, el informe promueve una apertura </w:t>
      </w:r>
      <w:r>
        <w:rPr>
          <w:rStyle w:val="None"/>
          <w:rFonts w:ascii="Helvetica LT Std Roman" w:hAnsi="Helvetica LT Std Roman"/>
          <w:color w:val="000000"/>
          <w:sz w:val="24"/>
          <w:szCs w:val="24"/>
          <w:u w:color="000000"/>
        </w:rPr>
        <w:lastRenderedPageBreak/>
        <w:t>irrestricta del aborto, omitiendo cualquier referencia a la necesidad de equilibrar los derechos de todos los involucrados.</w:t>
      </w:r>
    </w:p>
    <w:p w14:paraId="71E41546" w14:textId="77777777" w:rsidR="001A105D" w:rsidRDefault="001A105D">
      <w:pPr>
        <w:pStyle w:val="Body"/>
        <w:spacing w:line="276" w:lineRule="auto"/>
        <w:rPr>
          <w:rFonts w:ascii="Helvetica LT Std Bold" w:eastAsia="Helvetica LT Std Bold" w:hAnsi="Helvetica LT Std Bold" w:cs="Helvetica LT Std Bold"/>
          <w:color w:val="000000"/>
          <w:sz w:val="24"/>
          <w:szCs w:val="24"/>
          <w:u w:color="000000"/>
        </w:rPr>
      </w:pPr>
    </w:p>
    <w:p w14:paraId="56110A8D" w14:textId="77777777" w:rsidR="001A105D" w:rsidRDefault="00000000">
      <w:pPr>
        <w:pStyle w:val="Body"/>
        <w:numPr>
          <w:ilvl w:val="0"/>
          <w:numId w:val="106"/>
        </w:numPr>
        <w:spacing w:line="276" w:lineRule="auto"/>
        <w:jc w:val="left"/>
        <w:rPr>
          <w:rFonts w:ascii="Helvetica LT Std Bold" w:hAnsi="Helvetica LT Std Bold"/>
          <w:color w:val="000000"/>
          <w:sz w:val="24"/>
          <w:szCs w:val="24"/>
          <w:u w:color="000000"/>
        </w:rPr>
      </w:pPr>
      <w:r>
        <w:rPr>
          <w:rFonts w:ascii="Helvetica LT Std Bold" w:hAnsi="Helvetica LT Std Bold"/>
          <w:color w:val="000000"/>
          <w:sz w:val="24"/>
          <w:szCs w:val="24"/>
          <w:u w:color="000000"/>
        </w:rPr>
        <w:t>Frente a la educaci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sexual y de g</w:t>
      </w:r>
      <w:r>
        <w:rPr>
          <w:rStyle w:val="None"/>
          <w:rFonts w:ascii="Helvetica LT Std Bold" w:hAnsi="Helvetica LT Std Bold"/>
          <w:color w:val="000000"/>
          <w:sz w:val="24"/>
          <w:szCs w:val="24"/>
          <w:u w:color="000000"/>
        </w:rPr>
        <w:t>é</w:t>
      </w:r>
      <w:r>
        <w:rPr>
          <w:rFonts w:ascii="Helvetica LT Std Bold" w:hAnsi="Helvetica LT Std Bold"/>
          <w:color w:val="000000"/>
          <w:sz w:val="24"/>
          <w:szCs w:val="24"/>
          <w:u w:color="000000"/>
        </w:rPr>
        <w:t xml:space="preserve">nero: no hay un </w:t>
      </w:r>
      <w:r>
        <w:rPr>
          <w:rStyle w:val="None"/>
          <w:rFonts w:ascii="Helvetica LT Std Bold" w:hAnsi="Helvetica LT Std Bold"/>
          <w:color w:val="000000"/>
          <w:sz w:val="24"/>
          <w:szCs w:val="24"/>
          <w:u w:color="000000"/>
        </w:rPr>
        <w:t>ú</w:t>
      </w:r>
      <w:r>
        <w:rPr>
          <w:rFonts w:ascii="Helvetica LT Std Bold" w:hAnsi="Helvetica LT Std Bold"/>
          <w:color w:val="000000"/>
          <w:sz w:val="24"/>
          <w:szCs w:val="24"/>
          <w:u w:color="000000"/>
        </w:rPr>
        <w:t xml:space="preserve">nico modelo y se debe garantizar el derecho de </w:t>
      </w:r>
      <w:proofErr w:type="spellStart"/>
      <w:r>
        <w:rPr>
          <w:rFonts w:ascii="Helvetica LT Std Bold" w:hAnsi="Helvetica LT Std Bold"/>
          <w:color w:val="000000"/>
          <w:sz w:val="24"/>
          <w:szCs w:val="24"/>
          <w:u w:color="000000"/>
        </w:rPr>
        <w:t>lo</w:t>
      </w:r>
      <w:proofErr w:type="spellEnd"/>
      <w:r>
        <w:rPr>
          <w:rFonts w:ascii="Helvetica LT Std Bold" w:hAnsi="Helvetica LT Std Bold"/>
          <w:color w:val="000000"/>
          <w:sz w:val="24"/>
          <w:szCs w:val="24"/>
          <w:u w:color="000000"/>
        </w:rPr>
        <w:t xml:space="preserve"> padres a elegir la educaci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 de sus hijos</w:t>
      </w:r>
    </w:p>
    <w:p w14:paraId="66CEA141" w14:textId="77777777" w:rsidR="001A105D" w:rsidRDefault="001A105D">
      <w:pPr>
        <w:pStyle w:val="Body"/>
        <w:spacing w:line="276" w:lineRule="auto"/>
        <w:rPr>
          <w:rStyle w:val="None"/>
          <w:color w:val="000000"/>
          <w:sz w:val="24"/>
          <w:szCs w:val="24"/>
          <w:u w:color="000000"/>
        </w:rPr>
      </w:pPr>
    </w:p>
    <w:p w14:paraId="200D393F"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Frente a la recomendación incluida en el informe </w:t>
      </w:r>
      <w:proofErr w:type="gramStart"/>
      <w:r>
        <w:rPr>
          <w:rStyle w:val="None"/>
          <w:rFonts w:ascii="Helvetica LT Std Roman" w:hAnsi="Helvetica LT Std Roman"/>
          <w:color w:val="000000"/>
          <w:sz w:val="24"/>
          <w:szCs w:val="24"/>
          <w:u w:color="000000"/>
        </w:rPr>
        <w:t>de  “</w:t>
      </w:r>
      <w:proofErr w:type="gramEnd"/>
      <w:r>
        <w:rPr>
          <w:rStyle w:val="None"/>
          <w:rFonts w:ascii="Helvetica LT Std Roman" w:hAnsi="Helvetica LT Std Roman"/>
          <w:color w:val="000000"/>
          <w:sz w:val="24"/>
          <w:szCs w:val="24"/>
          <w:u w:color="000000"/>
        </w:rPr>
        <w:t>garantizar el acceso a una educación sexual y de género equitativa y adaptada para personas con discapacidad” debió aclararse que no hay un único modelo de educación sexual y que, en todo caso, esta educación debe ir de acuerdo con las convicciones morales de padres y tutores de conformidad con el artículo 12.4 de la Convenció</w:t>
      </w:r>
      <w:r>
        <w:rPr>
          <w:rStyle w:val="None"/>
          <w:rFonts w:ascii="Helvetica LT Std Roman" w:hAnsi="Helvetica LT Std Roman"/>
          <w:color w:val="000000"/>
          <w:sz w:val="24"/>
          <w:szCs w:val="24"/>
          <w:u w:color="000000"/>
          <w:lang w:val="pt-PT"/>
        </w:rPr>
        <w:t xml:space="preserve">n Americana sobre </w:t>
      </w:r>
      <w:proofErr w:type="spellStart"/>
      <w:r>
        <w:rPr>
          <w:rStyle w:val="None"/>
          <w:rFonts w:ascii="Helvetica LT Std Roman" w:hAnsi="Helvetica LT Std Roman"/>
          <w:color w:val="000000"/>
          <w:sz w:val="24"/>
          <w:szCs w:val="24"/>
          <w:u w:color="000000"/>
          <w:lang w:val="pt-PT"/>
        </w:rPr>
        <w:t>Derechos</w:t>
      </w:r>
      <w:proofErr w:type="spellEnd"/>
      <w:r>
        <w:rPr>
          <w:rStyle w:val="None"/>
          <w:rFonts w:ascii="Helvetica LT Std Roman" w:hAnsi="Helvetica LT Std Roman"/>
          <w:color w:val="000000"/>
          <w:sz w:val="24"/>
          <w:szCs w:val="24"/>
          <w:u w:color="000000"/>
          <w:lang w:val="pt-PT"/>
        </w:rPr>
        <w:t xml:space="preserve"> Humanos.</w:t>
      </w:r>
    </w:p>
    <w:p w14:paraId="3659D850"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2FCC5845"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Al respecto, aunque se me indicó que el “estándar” de la Corte Interamericana se refiere a garantizar el acceso a una educación sexual integral, no discriminatoria, basada en evidencia, científicamente rigurosa </w:t>
      </w:r>
      <w:proofErr w:type="gramStart"/>
      <w:r>
        <w:rPr>
          <w:rStyle w:val="None"/>
          <w:rFonts w:ascii="Helvetica LT Std Roman" w:hAnsi="Helvetica LT Std Roman"/>
          <w:color w:val="000000"/>
          <w:sz w:val="24"/>
          <w:szCs w:val="24"/>
          <w:u w:color="000000"/>
        </w:rPr>
        <w:t>y  apropiada</w:t>
      </w:r>
      <w:proofErr w:type="gramEnd"/>
      <w:r>
        <w:rPr>
          <w:rStyle w:val="None"/>
          <w:rFonts w:ascii="Helvetica LT Std Roman" w:hAnsi="Helvetica LT Std Roman"/>
          <w:color w:val="000000"/>
          <w:sz w:val="24"/>
          <w:szCs w:val="24"/>
          <w:u w:color="000000"/>
        </w:rPr>
        <w:t xml:space="preserve"> a la edad, debo destacar que esto no se aclara en la recomendación. Además, aclaro que no se trata ni de crear estándares ni de priorizar el derecho de los padres, sino de reconocer un derecho convencionalmente protegido, que se reconoce explícitamente en el artículo 12.4 de la Convención. Es el propio informe el que incluye el asunto de la educación sexual, por lo que al incluirse este tema debe considerarse el marco jurídico completo que lo informa, y este marco jurídico está compuesto por el </w:t>
      </w:r>
      <w:proofErr w:type="spellStart"/>
      <w:r>
        <w:rPr>
          <w:rStyle w:val="None"/>
          <w:rFonts w:ascii="Helvetica LT Std Roman" w:hAnsi="Helvetica LT Std Roman"/>
          <w:color w:val="000000"/>
          <w:sz w:val="24"/>
          <w:szCs w:val="24"/>
          <w:u w:color="000000"/>
        </w:rPr>
        <w:t>artí</w:t>
      </w:r>
      <w:r>
        <w:rPr>
          <w:rStyle w:val="None"/>
          <w:rFonts w:ascii="Helvetica LT Std Roman" w:hAnsi="Helvetica LT Std Roman"/>
          <w:color w:val="000000"/>
          <w:sz w:val="24"/>
          <w:szCs w:val="24"/>
          <w:u w:color="000000"/>
          <w:lang w:val="pt-PT"/>
        </w:rPr>
        <w:t>culo</w:t>
      </w:r>
      <w:proofErr w:type="spellEnd"/>
      <w:r>
        <w:rPr>
          <w:rStyle w:val="None"/>
          <w:rFonts w:ascii="Helvetica LT Std Roman" w:hAnsi="Helvetica LT Std Roman"/>
          <w:color w:val="000000"/>
          <w:sz w:val="24"/>
          <w:szCs w:val="24"/>
          <w:u w:color="000000"/>
          <w:lang w:val="pt-PT"/>
        </w:rPr>
        <w:t xml:space="preserve"> 12.4. </w:t>
      </w:r>
    </w:p>
    <w:p w14:paraId="4D63156C"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6D39BF93"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 xml:space="preserve">En línea con lo anterior a </w:t>
      </w:r>
      <w:proofErr w:type="spellStart"/>
      <w:r>
        <w:rPr>
          <w:rStyle w:val="None"/>
          <w:rFonts w:ascii="Helvetica LT Std Roman" w:hAnsi="Helvetica LT Std Roman"/>
          <w:color w:val="000000"/>
          <w:sz w:val="24"/>
          <w:szCs w:val="24"/>
          <w:u w:color="000000"/>
        </w:rPr>
        <w:t>continuació</w:t>
      </w:r>
      <w:proofErr w:type="spellEnd"/>
      <w:r>
        <w:rPr>
          <w:rStyle w:val="None"/>
          <w:rFonts w:ascii="Helvetica LT Std Roman" w:hAnsi="Helvetica LT Std Roman"/>
          <w:color w:val="000000"/>
          <w:sz w:val="24"/>
          <w:szCs w:val="24"/>
          <w:u w:color="000000"/>
          <w:lang w:val="da-DK"/>
        </w:rPr>
        <w:t>n har</w:t>
      </w:r>
      <w:r>
        <w:rPr>
          <w:rStyle w:val="None"/>
          <w:rFonts w:ascii="Helvetica LT Std Roman" w:hAnsi="Helvetica LT Std Roman"/>
          <w:color w:val="000000"/>
          <w:sz w:val="24"/>
          <w:szCs w:val="24"/>
          <w:u w:color="000000"/>
        </w:rPr>
        <w:t>é referencia a: (i) el derecho de los padres y tutores a que sus hijos reciban la educación moral según sus propias convicciones; y (</w:t>
      </w:r>
      <w:proofErr w:type="spellStart"/>
      <w:r>
        <w:rPr>
          <w:rStyle w:val="None"/>
          <w:rFonts w:ascii="Helvetica LT Std Roman" w:hAnsi="Helvetica LT Std Roman"/>
          <w:color w:val="000000"/>
          <w:sz w:val="24"/>
          <w:szCs w:val="24"/>
          <w:u w:color="000000"/>
        </w:rPr>
        <w:t>ii</w:t>
      </w:r>
      <w:proofErr w:type="spellEnd"/>
      <w:r>
        <w:rPr>
          <w:rStyle w:val="None"/>
          <w:rFonts w:ascii="Helvetica LT Std Roman" w:hAnsi="Helvetica LT Std Roman"/>
          <w:color w:val="000000"/>
          <w:sz w:val="24"/>
          <w:szCs w:val="24"/>
          <w:u w:color="000000"/>
        </w:rPr>
        <w:t>) el ejercicio colectivo de la libertad religiosa.</w:t>
      </w:r>
    </w:p>
    <w:p w14:paraId="5B776775" w14:textId="77777777" w:rsidR="001A105D" w:rsidRDefault="001A105D">
      <w:pPr>
        <w:pStyle w:val="Body"/>
        <w:spacing w:line="276" w:lineRule="auto"/>
        <w:rPr>
          <w:rStyle w:val="None"/>
          <w:color w:val="000000"/>
          <w:sz w:val="24"/>
          <w:szCs w:val="24"/>
          <w:u w:color="000000"/>
        </w:rPr>
      </w:pPr>
    </w:p>
    <w:p w14:paraId="0EC8D37E" w14:textId="77777777" w:rsidR="001A105D" w:rsidRDefault="00000000">
      <w:pPr>
        <w:pStyle w:val="Body"/>
        <w:numPr>
          <w:ilvl w:val="1"/>
          <w:numId w:val="106"/>
        </w:numPr>
        <w:spacing w:line="276" w:lineRule="auto"/>
        <w:rPr>
          <w:rFonts w:ascii="Helvetica LT Std Bold" w:hAnsi="Helvetica LT Std Bold"/>
          <w:color w:val="000000"/>
          <w:sz w:val="24"/>
          <w:szCs w:val="24"/>
          <w:u w:color="000000"/>
        </w:rPr>
      </w:pPr>
      <w:r>
        <w:rPr>
          <w:rStyle w:val="None"/>
          <w:rFonts w:ascii="Helvetica LT Std Bold" w:hAnsi="Helvetica LT Std Bold"/>
          <w:color w:val="000000"/>
          <w:sz w:val="24"/>
          <w:szCs w:val="24"/>
          <w:u w:color="000000"/>
          <w:shd w:val="clear" w:color="auto" w:fill="FFFFFF"/>
        </w:rPr>
        <w:lastRenderedPageBreak/>
        <w:t>El derecho de los padres y tutores a que sus hijos reciban la educación moral según sus propias convicciones</w:t>
      </w:r>
    </w:p>
    <w:p w14:paraId="49663009" w14:textId="77777777" w:rsidR="001A105D" w:rsidRDefault="001A105D">
      <w:pPr>
        <w:pStyle w:val="Body"/>
        <w:spacing w:line="276" w:lineRule="auto"/>
        <w:rPr>
          <w:rStyle w:val="None"/>
          <w:color w:val="000000"/>
          <w:sz w:val="24"/>
          <w:szCs w:val="24"/>
          <w:u w:color="000000"/>
          <w:shd w:val="clear" w:color="auto" w:fill="FFFFFF"/>
        </w:rPr>
      </w:pPr>
    </w:p>
    <w:p w14:paraId="704DAA00"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El informe omite por completo el derecho de los padres y tutores a que sus hijos reciban la educación moral según sus propias convicciones, el cual resulta especialmente relevante frente a las discusiones relacionadas con la educación sexual y de género para personas con discapacidad. </w:t>
      </w:r>
    </w:p>
    <w:p w14:paraId="6E7FAEF1" w14:textId="77777777" w:rsidR="001A105D" w:rsidRDefault="001A105D">
      <w:pPr>
        <w:pStyle w:val="Body"/>
        <w:spacing w:line="276" w:lineRule="auto"/>
        <w:rPr>
          <w:rStyle w:val="None"/>
          <w:color w:val="000000"/>
          <w:sz w:val="24"/>
          <w:szCs w:val="24"/>
          <w:u w:color="000000"/>
        </w:rPr>
      </w:pPr>
    </w:p>
    <w:p w14:paraId="336757F3"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Al respecto, llamo la atención sobre la literalidad del artículo 12.4 de la CADH, que sostiene que “</w:t>
      </w:r>
      <w:r>
        <w:rPr>
          <w:rStyle w:val="None"/>
          <w:rFonts w:ascii="Helvetica LT Std Bold" w:hAnsi="Helvetica LT Std Bold"/>
          <w:color w:val="000000"/>
          <w:sz w:val="24"/>
          <w:szCs w:val="24"/>
          <w:u w:color="000000"/>
        </w:rPr>
        <w:t>[l]os padres, y en su caso los tutores, tienen derecho</w:t>
      </w:r>
      <w:r>
        <w:rPr>
          <w:rStyle w:val="None"/>
          <w:rFonts w:ascii="Helvetica LT Std Roman" w:hAnsi="Helvetica LT Std Roman"/>
          <w:color w:val="000000"/>
          <w:sz w:val="24"/>
          <w:szCs w:val="24"/>
          <w:u w:color="000000"/>
        </w:rPr>
        <w:t xml:space="preserve"> a que sus hijos o pupilos r</w:t>
      </w:r>
      <w:r>
        <w:rPr>
          <w:rStyle w:val="None"/>
          <w:rFonts w:ascii="Helvetica LT Std Bold" w:hAnsi="Helvetica LT Std Bold"/>
          <w:color w:val="000000"/>
          <w:sz w:val="24"/>
          <w:szCs w:val="24"/>
          <w:u w:color="000000"/>
        </w:rPr>
        <w:t>eciban la educación</w:t>
      </w:r>
      <w:r>
        <w:rPr>
          <w:rStyle w:val="None"/>
          <w:rFonts w:ascii="Helvetica LT Std Roman" w:hAnsi="Helvetica LT Std Roman"/>
          <w:color w:val="000000"/>
          <w:sz w:val="24"/>
          <w:szCs w:val="24"/>
          <w:u w:color="000000"/>
        </w:rPr>
        <w:t xml:space="preserve"> religiosa y </w:t>
      </w:r>
      <w:r>
        <w:rPr>
          <w:rStyle w:val="None"/>
          <w:rFonts w:ascii="Helvetica LT Std Bold" w:hAnsi="Helvetica LT Std Bold"/>
          <w:color w:val="000000"/>
          <w:sz w:val="24"/>
          <w:szCs w:val="24"/>
          <w:u w:color="000000"/>
        </w:rPr>
        <w:t>moral</w:t>
      </w:r>
      <w:r>
        <w:rPr>
          <w:rStyle w:val="None"/>
          <w:rFonts w:ascii="Helvetica LT Std Roman" w:hAnsi="Helvetica LT Std Roman"/>
          <w:color w:val="000000"/>
          <w:sz w:val="24"/>
          <w:szCs w:val="24"/>
          <w:u w:color="000000"/>
        </w:rPr>
        <w:t xml:space="preserve"> que esté de acuerdo con sus propias convicciones”</w:t>
      </w:r>
      <w:r>
        <w:rPr>
          <w:rStyle w:val="None"/>
          <w:rFonts w:ascii="Helvetica LT Std Oblique" w:hAnsi="Helvetica LT Std Oblique"/>
          <w:color w:val="000000"/>
          <w:sz w:val="24"/>
          <w:szCs w:val="24"/>
          <w:u w:color="000000"/>
        </w:rPr>
        <w:t xml:space="preserve"> (Negrilla fuera de texto original). </w:t>
      </w:r>
    </w:p>
    <w:p w14:paraId="1EA5DD9F" w14:textId="77777777" w:rsidR="001A105D" w:rsidRDefault="001A105D">
      <w:pPr>
        <w:pStyle w:val="Body"/>
        <w:spacing w:line="276" w:lineRule="auto"/>
        <w:rPr>
          <w:rStyle w:val="None"/>
          <w:color w:val="000000"/>
          <w:sz w:val="24"/>
          <w:szCs w:val="24"/>
          <w:u w:color="000000"/>
        </w:rPr>
      </w:pPr>
    </w:p>
    <w:p w14:paraId="5C33D628"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Esta misma garantía ha sido prevista en el Pacto Internacional de Derechos Civiles y Polí</w:t>
      </w:r>
      <w:r>
        <w:rPr>
          <w:rStyle w:val="None"/>
          <w:rFonts w:ascii="Helvetica LT Std Roman" w:hAnsi="Helvetica LT Std Roman"/>
          <w:color w:val="000000"/>
          <w:sz w:val="24"/>
          <w:szCs w:val="24"/>
          <w:u w:color="000000"/>
          <w:lang w:val="pt-PT"/>
        </w:rPr>
        <w:t>ticos</w:t>
      </w:r>
      <w:r>
        <w:rPr>
          <w:rStyle w:val="None"/>
          <w:rFonts w:ascii="Helvetica LT Std Roman" w:eastAsia="Helvetica LT Std Roman" w:hAnsi="Helvetica LT Std Roman" w:cs="Helvetica LT Std Roman"/>
          <w:color w:val="000000"/>
          <w:sz w:val="24"/>
          <w:szCs w:val="24"/>
          <w:u w:color="000000"/>
          <w:vertAlign w:val="superscript"/>
        </w:rPr>
        <w:footnoteReference w:id="606"/>
      </w:r>
      <w:r>
        <w:rPr>
          <w:rStyle w:val="None"/>
          <w:rFonts w:ascii="Helvetica LT Std Roman" w:hAnsi="Helvetica LT Std Roman"/>
          <w:color w:val="000000"/>
          <w:sz w:val="24"/>
          <w:szCs w:val="24"/>
          <w:u w:color="000000"/>
        </w:rPr>
        <w:t>, Pacto Internacional de Derechos Económicos, Sociales y Culturales</w:t>
      </w:r>
      <w:r>
        <w:rPr>
          <w:rStyle w:val="None"/>
          <w:rFonts w:ascii="Helvetica LT Std Roman" w:eastAsia="Helvetica LT Std Roman" w:hAnsi="Helvetica LT Std Roman" w:cs="Helvetica LT Std Roman"/>
          <w:color w:val="000000"/>
          <w:sz w:val="24"/>
          <w:szCs w:val="24"/>
          <w:u w:color="000000"/>
          <w:vertAlign w:val="superscript"/>
        </w:rPr>
        <w:footnoteReference w:id="607"/>
      </w:r>
      <w:r>
        <w:rPr>
          <w:rStyle w:val="None"/>
          <w:rFonts w:ascii="Helvetica LT Std Roman" w:hAnsi="Helvetica LT Std Roman"/>
          <w:color w:val="000000"/>
          <w:sz w:val="24"/>
          <w:szCs w:val="24"/>
          <w:u w:color="000000"/>
        </w:rPr>
        <w:t>, la Convención sobre los Derechos de Niño</w:t>
      </w:r>
      <w:r>
        <w:rPr>
          <w:rStyle w:val="None"/>
          <w:rFonts w:ascii="Helvetica LT Std Roman" w:eastAsia="Helvetica LT Std Roman" w:hAnsi="Helvetica LT Std Roman" w:cs="Helvetica LT Std Roman"/>
          <w:color w:val="000000"/>
          <w:sz w:val="24"/>
          <w:szCs w:val="24"/>
          <w:u w:color="000000"/>
          <w:vertAlign w:val="superscript"/>
        </w:rPr>
        <w:footnoteReference w:id="608"/>
      </w:r>
      <w:r>
        <w:rPr>
          <w:rStyle w:val="None"/>
          <w:rFonts w:ascii="Helvetica LT Std Roman" w:hAnsi="Helvetica LT Std Roman"/>
          <w:color w:val="000000"/>
          <w:sz w:val="24"/>
          <w:szCs w:val="24"/>
          <w:u w:color="000000"/>
        </w:rPr>
        <w:t xml:space="preserve"> y el Protocolo Adicional al Convenio Europeo de Derechos Humanos</w:t>
      </w:r>
      <w:r>
        <w:rPr>
          <w:rStyle w:val="None"/>
          <w:rFonts w:ascii="Helvetica LT Std Roman" w:eastAsia="Helvetica LT Std Roman" w:hAnsi="Helvetica LT Std Roman" w:cs="Helvetica LT Std Roman"/>
          <w:color w:val="000000"/>
          <w:sz w:val="24"/>
          <w:szCs w:val="24"/>
          <w:u w:color="000000"/>
          <w:vertAlign w:val="superscript"/>
        </w:rPr>
        <w:footnoteReference w:id="609"/>
      </w:r>
      <w:r>
        <w:rPr>
          <w:rStyle w:val="None"/>
          <w:rFonts w:ascii="Helvetica LT Std Roman" w:hAnsi="Helvetica LT Std Roman"/>
          <w:color w:val="000000"/>
          <w:sz w:val="24"/>
          <w:szCs w:val="24"/>
          <w:u w:color="000000"/>
        </w:rPr>
        <w:t xml:space="preserve">. De acuerdo con el TEDH, </w:t>
      </w:r>
      <w:r>
        <w:rPr>
          <w:rStyle w:val="None"/>
          <w:rFonts w:ascii="Helvetica LT Std Bold" w:hAnsi="Helvetica LT Std Bold"/>
          <w:color w:val="000000"/>
          <w:sz w:val="24"/>
          <w:szCs w:val="24"/>
          <w:u w:color="000000"/>
        </w:rPr>
        <w:t xml:space="preserve">el derecho de los padres a elegir la educación de sus hijos, incluida la </w:t>
      </w:r>
      <w:proofErr w:type="spellStart"/>
      <w:r>
        <w:rPr>
          <w:rStyle w:val="None"/>
          <w:rFonts w:ascii="Helvetica LT Std Bold" w:hAnsi="Helvetica LT Std Bold"/>
          <w:color w:val="000000"/>
          <w:sz w:val="24"/>
          <w:szCs w:val="24"/>
          <w:u w:color="000000"/>
        </w:rPr>
        <w:t>educació</w:t>
      </w:r>
      <w:proofErr w:type="spellEnd"/>
      <w:r>
        <w:rPr>
          <w:rStyle w:val="None"/>
          <w:rFonts w:ascii="Helvetica LT Std Bold" w:hAnsi="Helvetica LT Std Bold"/>
          <w:color w:val="000000"/>
          <w:sz w:val="24"/>
          <w:szCs w:val="24"/>
          <w:u w:color="000000"/>
          <w:lang w:val="en-US"/>
        </w:rPr>
        <w:t>n sexual</w:t>
      </w:r>
      <w:r>
        <w:rPr>
          <w:rStyle w:val="None"/>
          <w:rFonts w:ascii="Helvetica LT Std Roman" w:hAnsi="Helvetica LT Std Roman"/>
          <w:color w:val="000000"/>
          <w:sz w:val="24"/>
          <w:szCs w:val="24"/>
          <w:u w:color="000000"/>
        </w:rPr>
        <w:t>, es un aspecto del derecho al respeto de la vida privada y familiar protegido por el CEDH</w:t>
      </w:r>
      <w:r>
        <w:rPr>
          <w:rStyle w:val="None"/>
          <w:rFonts w:ascii="Helvetica LT Std Roman" w:eastAsia="Helvetica LT Std Roman" w:hAnsi="Helvetica LT Std Roman" w:cs="Helvetica LT Std Roman"/>
          <w:color w:val="000000"/>
          <w:sz w:val="24"/>
          <w:szCs w:val="24"/>
          <w:u w:color="000000"/>
          <w:vertAlign w:val="superscript"/>
        </w:rPr>
        <w:footnoteReference w:id="610"/>
      </w:r>
      <w:r>
        <w:rPr>
          <w:rStyle w:val="None"/>
          <w:rFonts w:ascii="Helvetica LT Std Roman" w:hAnsi="Helvetica LT Std Roman"/>
          <w:color w:val="000000"/>
          <w:sz w:val="24"/>
          <w:szCs w:val="24"/>
          <w:u w:color="000000"/>
        </w:rPr>
        <w:t xml:space="preserve">. </w:t>
      </w:r>
    </w:p>
    <w:p w14:paraId="4BAB9B9D" w14:textId="77777777" w:rsidR="001A105D" w:rsidRDefault="001A105D">
      <w:pPr>
        <w:pStyle w:val="Body"/>
        <w:spacing w:line="276" w:lineRule="auto"/>
        <w:rPr>
          <w:rStyle w:val="None"/>
          <w:color w:val="000000"/>
          <w:sz w:val="24"/>
          <w:szCs w:val="24"/>
          <w:u w:color="000000"/>
        </w:rPr>
      </w:pPr>
    </w:p>
    <w:p w14:paraId="117DC322"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 xml:space="preserve">Así, existe un consenso -omitido por la Comisión en el informe- frente a la existencia y reconocimiento de este derecho de los padres. La Comisión Interamericana ha entendido que el derecho de los padres </w:t>
      </w:r>
      <w:r>
        <w:rPr>
          <w:rStyle w:val="None"/>
          <w:rFonts w:ascii="Helvetica LT Std Roman" w:hAnsi="Helvetica LT Std Roman"/>
          <w:color w:val="000000"/>
          <w:sz w:val="24"/>
          <w:szCs w:val="24"/>
          <w:u w:color="000000"/>
        </w:rPr>
        <w:lastRenderedPageBreak/>
        <w:t>a elegir la educación de sus hijos (i) debe interpretarse en conjunto con los derechos de niñas, niños y adolescentes, especialmente el derecho a la educación</w:t>
      </w:r>
      <w:r>
        <w:rPr>
          <w:rStyle w:val="None"/>
          <w:rFonts w:ascii="Helvetica LT Std Roman" w:eastAsia="Helvetica LT Std Roman" w:hAnsi="Helvetica LT Std Roman" w:cs="Helvetica LT Std Roman"/>
          <w:color w:val="000000"/>
          <w:sz w:val="24"/>
          <w:szCs w:val="24"/>
          <w:u w:color="000000"/>
          <w:vertAlign w:val="superscript"/>
        </w:rPr>
        <w:footnoteReference w:id="611"/>
      </w:r>
      <w:r>
        <w:rPr>
          <w:rStyle w:val="None"/>
          <w:rFonts w:ascii="Helvetica LT Std Roman" w:hAnsi="Helvetica LT Std Roman"/>
          <w:color w:val="000000"/>
          <w:sz w:val="24"/>
          <w:szCs w:val="24"/>
          <w:u w:color="000000"/>
        </w:rPr>
        <w:t xml:space="preserve"> y (</w:t>
      </w:r>
      <w:proofErr w:type="spellStart"/>
      <w:r>
        <w:rPr>
          <w:rStyle w:val="None"/>
          <w:rFonts w:ascii="Helvetica LT Std Roman" w:hAnsi="Helvetica LT Std Roman"/>
          <w:color w:val="000000"/>
          <w:sz w:val="24"/>
          <w:szCs w:val="24"/>
          <w:u w:color="000000"/>
        </w:rPr>
        <w:t>ii</w:t>
      </w:r>
      <w:proofErr w:type="spellEnd"/>
      <w:r>
        <w:rPr>
          <w:rStyle w:val="None"/>
          <w:rFonts w:ascii="Helvetica LT Std Roman" w:hAnsi="Helvetica LT Std Roman"/>
          <w:color w:val="000000"/>
          <w:sz w:val="24"/>
          <w:szCs w:val="24"/>
          <w:u w:color="000000"/>
        </w:rPr>
        <w:t xml:space="preserve">) debe respetar las disposiciones de los instrumentos interamericanos que establecen que la educación debe orientarse a formar a </w:t>
      </w:r>
      <w:proofErr w:type="gramStart"/>
      <w:r>
        <w:rPr>
          <w:rStyle w:val="None"/>
          <w:rFonts w:ascii="Helvetica LT Std Roman" w:hAnsi="Helvetica LT Std Roman"/>
          <w:color w:val="000000"/>
          <w:sz w:val="24"/>
          <w:szCs w:val="24"/>
          <w:u w:color="000000"/>
        </w:rPr>
        <w:t>niños y niñas</w:t>
      </w:r>
      <w:proofErr w:type="gramEnd"/>
      <w:r>
        <w:rPr>
          <w:rStyle w:val="None"/>
          <w:rFonts w:ascii="Helvetica LT Std Roman" w:hAnsi="Helvetica LT Std Roman"/>
          <w:color w:val="000000"/>
          <w:sz w:val="24"/>
          <w:szCs w:val="24"/>
          <w:u w:color="000000"/>
        </w:rPr>
        <w:t xml:space="preserve"> en el respeto de los derechos humanos, las libertades públicas y la tolerancia</w:t>
      </w:r>
      <w:r>
        <w:rPr>
          <w:rStyle w:val="None"/>
          <w:rFonts w:ascii="Helvetica LT Std Roman" w:eastAsia="Helvetica LT Std Roman" w:hAnsi="Helvetica LT Std Roman" w:cs="Helvetica LT Std Roman"/>
          <w:color w:val="000000"/>
          <w:sz w:val="24"/>
          <w:szCs w:val="24"/>
          <w:u w:color="000000"/>
          <w:vertAlign w:val="superscript"/>
        </w:rPr>
        <w:footnoteReference w:id="612"/>
      </w:r>
      <w:r>
        <w:rPr>
          <w:rStyle w:val="None"/>
          <w:rFonts w:ascii="Helvetica LT Std Roman" w:hAnsi="Helvetica LT Std Roman"/>
          <w:color w:val="000000"/>
          <w:sz w:val="24"/>
          <w:szCs w:val="24"/>
          <w:u w:color="000000"/>
        </w:rPr>
        <w:t xml:space="preserve"> .</w:t>
      </w:r>
    </w:p>
    <w:p w14:paraId="20B3B4D0" w14:textId="77777777" w:rsidR="001A105D" w:rsidRDefault="001A105D">
      <w:pPr>
        <w:pStyle w:val="Body"/>
        <w:widowControl w:val="0"/>
        <w:spacing w:line="276" w:lineRule="auto"/>
        <w:rPr>
          <w:rFonts w:ascii="Helvetica LT Std Roman" w:eastAsia="Helvetica LT Std Roman" w:hAnsi="Helvetica LT Std Roman" w:cs="Helvetica LT Std Roman"/>
          <w:color w:val="000000"/>
          <w:sz w:val="24"/>
          <w:szCs w:val="24"/>
          <w:u w:color="000000"/>
        </w:rPr>
      </w:pPr>
    </w:p>
    <w:p w14:paraId="292C51A7" w14:textId="77777777" w:rsidR="001A105D" w:rsidRDefault="00000000">
      <w:pPr>
        <w:pStyle w:val="Body"/>
        <w:widowControl w:val="0"/>
        <w:spacing w:line="276" w:lineRule="auto"/>
        <w:rPr>
          <w:rStyle w:val="None"/>
          <w:rFonts w:ascii="Helvetica LT Std Roman" w:eastAsia="Helvetica LT Std Roman" w:hAnsi="Helvetica LT Std Roman" w:cs="Helvetica LT Std Roman"/>
          <w:color w:val="000000"/>
          <w:spacing w:val="2"/>
          <w:sz w:val="24"/>
          <w:szCs w:val="24"/>
          <w:u w:color="000000"/>
        </w:rPr>
      </w:pPr>
      <w:r>
        <w:rPr>
          <w:rStyle w:val="None"/>
          <w:rFonts w:ascii="Helvetica LT Std Roman" w:hAnsi="Helvetica LT Std Roman"/>
          <w:color w:val="000000"/>
          <w:spacing w:val="2"/>
          <w:sz w:val="24"/>
          <w:szCs w:val="24"/>
          <w:u w:color="000000"/>
        </w:rPr>
        <w:t>Por supuesto que estoy de acuerdo con esos criterios, sin embargo, no puede omitirse que: (i) todo tipo de educación deberá ser respetuosa del interés superior de los niños como principio rector, y (</w:t>
      </w:r>
      <w:proofErr w:type="spellStart"/>
      <w:r>
        <w:rPr>
          <w:rStyle w:val="None"/>
          <w:rFonts w:ascii="Helvetica LT Std Roman" w:hAnsi="Helvetica LT Std Roman"/>
          <w:color w:val="000000"/>
          <w:spacing w:val="2"/>
          <w:sz w:val="24"/>
          <w:szCs w:val="24"/>
          <w:u w:color="000000"/>
        </w:rPr>
        <w:t>ii</w:t>
      </w:r>
      <w:proofErr w:type="spellEnd"/>
      <w:r>
        <w:rPr>
          <w:rStyle w:val="None"/>
          <w:rFonts w:ascii="Helvetica LT Std Roman" w:hAnsi="Helvetica LT Std Roman"/>
          <w:color w:val="000000"/>
          <w:spacing w:val="2"/>
          <w:sz w:val="24"/>
          <w:szCs w:val="24"/>
          <w:u w:color="000000"/>
        </w:rPr>
        <w:t>) el derecho de los padres a elegir la educación de sus hijos se deriva del derecho a la educación de los niños en sí mismo; por lo cual, existe un falso dilema en considerar que ambos derechos son incompatibles.</w:t>
      </w:r>
    </w:p>
    <w:p w14:paraId="24452F17" w14:textId="77777777" w:rsidR="001A105D" w:rsidRDefault="001A105D">
      <w:pPr>
        <w:pStyle w:val="Body"/>
        <w:widowControl w:val="0"/>
        <w:spacing w:line="276" w:lineRule="auto"/>
        <w:rPr>
          <w:rFonts w:ascii="Helvetica LT Std Roman" w:eastAsia="Helvetica LT Std Roman" w:hAnsi="Helvetica LT Std Roman" w:cs="Helvetica LT Std Roman"/>
          <w:color w:val="000000"/>
          <w:sz w:val="24"/>
          <w:szCs w:val="24"/>
          <w:u w:color="000000"/>
        </w:rPr>
      </w:pPr>
    </w:p>
    <w:p w14:paraId="0D2C3A68" w14:textId="77777777" w:rsidR="001A105D" w:rsidRDefault="00000000">
      <w:pPr>
        <w:pStyle w:val="Body"/>
        <w:widowControl w:val="0"/>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t>Así, el TEDH, en el marco de su interpretación del artículo 2 del Protocolo N. 1 ha enunciado que</w:t>
      </w:r>
      <w:r>
        <w:rPr>
          <w:rStyle w:val="None"/>
          <w:rFonts w:ascii="Helvetica LT Std Roman" w:eastAsia="Helvetica LT Std Roman" w:hAnsi="Helvetica LT Std Roman" w:cs="Helvetica LT Std Roman"/>
          <w:color w:val="000000"/>
          <w:sz w:val="24"/>
          <w:szCs w:val="24"/>
          <w:u w:color="000000"/>
          <w:vertAlign w:val="superscript"/>
        </w:rPr>
        <w:footnoteReference w:id="613"/>
      </w:r>
      <w:r>
        <w:rPr>
          <w:rStyle w:val="None"/>
          <w:rFonts w:ascii="Helvetica LT Std Roman" w:hAnsi="Helvetica LT Std Roman"/>
          <w:color w:val="000000"/>
          <w:sz w:val="24"/>
          <w:szCs w:val="24"/>
          <w:u w:color="000000"/>
        </w:rPr>
        <w:t xml:space="preserve">, es sobre el derecho fundamental a la instrucción sobre el que se asienta el derecho de los padres al respeto de sus convicciones filosóficas y religiosas.  De acuerdo con el Tribunal Europeo de Derechos Humanos, si bien la titularidad de este derecho reposa en cabeza de los padres, lo hace también en cabeza de los NNA, quienes tienen derecho a una educación y </w:t>
      </w:r>
      <w:proofErr w:type="spellStart"/>
      <w:r>
        <w:rPr>
          <w:rStyle w:val="None"/>
          <w:rFonts w:ascii="Helvetica LT Std Roman" w:hAnsi="Helvetica LT Std Roman"/>
          <w:color w:val="000000"/>
          <w:sz w:val="24"/>
          <w:szCs w:val="24"/>
          <w:u w:color="000000"/>
        </w:rPr>
        <w:t>enseñ</w:t>
      </w:r>
      <w:r>
        <w:rPr>
          <w:rStyle w:val="None"/>
          <w:rFonts w:ascii="Helvetica LT Std Roman" w:hAnsi="Helvetica LT Std Roman"/>
          <w:color w:val="000000"/>
          <w:sz w:val="24"/>
          <w:szCs w:val="24"/>
          <w:u w:color="000000"/>
          <w:lang w:val="it-IT"/>
        </w:rPr>
        <w:t>anza</w:t>
      </w:r>
      <w:proofErr w:type="spellEnd"/>
      <w:r>
        <w:rPr>
          <w:rStyle w:val="None"/>
          <w:rFonts w:ascii="Helvetica LT Std Roman" w:eastAsia="Helvetica LT Std Roman" w:hAnsi="Helvetica LT Std Roman" w:cs="Helvetica LT Std Roman"/>
          <w:color w:val="000000"/>
          <w:sz w:val="24"/>
          <w:szCs w:val="24"/>
          <w:u w:color="000000"/>
          <w:vertAlign w:val="superscript"/>
        </w:rPr>
        <w:footnoteReference w:id="614"/>
      </w:r>
      <w:r>
        <w:rPr>
          <w:rStyle w:val="None"/>
          <w:rFonts w:ascii="Helvetica LT Std Roman" w:hAnsi="Helvetica LT Std Roman"/>
          <w:color w:val="000000"/>
          <w:sz w:val="24"/>
          <w:szCs w:val="24"/>
          <w:u w:color="000000"/>
        </w:rPr>
        <w:t>.</w:t>
      </w:r>
    </w:p>
    <w:p w14:paraId="74C97255" w14:textId="77777777" w:rsidR="001A105D" w:rsidRDefault="001A105D">
      <w:pPr>
        <w:pStyle w:val="Body"/>
        <w:widowControl w:val="0"/>
        <w:spacing w:line="276" w:lineRule="auto"/>
        <w:rPr>
          <w:rFonts w:ascii="Helvetica LT Std Roman" w:eastAsia="Helvetica LT Std Roman" w:hAnsi="Helvetica LT Std Roman" w:cs="Helvetica LT Std Roman"/>
          <w:color w:val="000000"/>
          <w:sz w:val="24"/>
          <w:szCs w:val="24"/>
          <w:u w:color="000000"/>
        </w:rPr>
      </w:pPr>
    </w:p>
    <w:p w14:paraId="6F341CD0" w14:textId="77777777" w:rsidR="001A105D" w:rsidRDefault="00000000">
      <w:pPr>
        <w:pStyle w:val="Body"/>
        <w:spacing w:line="276" w:lineRule="auto"/>
        <w:rPr>
          <w:rStyle w:val="None"/>
          <w:rFonts w:ascii="Helvetica LT Std Roman" w:eastAsia="Helvetica LT Std Roman" w:hAnsi="Helvetica LT Std Roman" w:cs="Helvetica LT Std Roman"/>
          <w:color w:val="000000"/>
          <w:sz w:val="24"/>
          <w:szCs w:val="24"/>
          <w:u w:color="000000"/>
        </w:rPr>
      </w:pPr>
      <w:r>
        <w:rPr>
          <w:rStyle w:val="None"/>
          <w:rFonts w:ascii="Helvetica LT Std Roman" w:hAnsi="Helvetica LT Std Roman"/>
          <w:color w:val="000000"/>
          <w:sz w:val="24"/>
          <w:szCs w:val="24"/>
          <w:u w:color="000000"/>
        </w:rPr>
        <w:lastRenderedPageBreak/>
        <w:t xml:space="preserve">Sin duda, este derecho tiene un impacto en la educación sexual y de género para los niños, niñas y adolescentes puesto que al igual que cualquier otro tipo de educación, debe enmarcarse en el ámbito de protección del derecho convencional, reconocido por el derecho internacional de los derechos humanos, que otorga a los padres el derecho a elegir la educación de sus hijos, de conformidad con el </w:t>
      </w:r>
      <w:proofErr w:type="spellStart"/>
      <w:r>
        <w:rPr>
          <w:rStyle w:val="None"/>
          <w:rFonts w:ascii="Helvetica LT Std Roman" w:hAnsi="Helvetica LT Std Roman"/>
          <w:color w:val="000000"/>
          <w:sz w:val="24"/>
          <w:szCs w:val="24"/>
          <w:u w:color="000000"/>
        </w:rPr>
        <w:t>artí</w:t>
      </w:r>
      <w:r>
        <w:rPr>
          <w:rStyle w:val="None"/>
          <w:rFonts w:ascii="Helvetica LT Std Roman" w:hAnsi="Helvetica LT Std Roman"/>
          <w:color w:val="000000"/>
          <w:sz w:val="24"/>
          <w:szCs w:val="24"/>
          <w:u w:color="000000"/>
          <w:lang w:val="pt-PT"/>
        </w:rPr>
        <w:t>culo</w:t>
      </w:r>
      <w:proofErr w:type="spellEnd"/>
      <w:r>
        <w:rPr>
          <w:rStyle w:val="None"/>
          <w:rFonts w:ascii="Helvetica LT Std Roman" w:hAnsi="Helvetica LT Std Roman"/>
          <w:color w:val="000000"/>
          <w:sz w:val="24"/>
          <w:szCs w:val="24"/>
          <w:u w:color="000000"/>
          <w:lang w:val="pt-PT"/>
        </w:rPr>
        <w:t xml:space="preserve"> 12.4 convencional. </w:t>
      </w:r>
    </w:p>
    <w:p w14:paraId="3D42542B" w14:textId="77777777" w:rsidR="001A105D" w:rsidRDefault="001A105D">
      <w:pPr>
        <w:pStyle w:val="Body"/>
        <w:spacing w:line="276" w:lineRule="auto"/>
        <w:rPr>
          <w:rFonts w:ascii="Helvetica LT Std Roman" w:eastAsia="Helvetica LT Std Roman" w:hAnsi="Helvetica LT Std Roman" w:cs="Helvetica LT Std Roman"/>
          <w:color w:val="000000"/>
          <w:sz w:val="24"/>
          <w:szCs w:val="24"/>
          <w:u w:color="000000"/>
        </w:rPr>
      </w:pPr>
    </w:p>
    <w:p w14:paraId="34A3D229" w14:textId="77777777" w:rsidR="001A105D" w:rsidRDefault="00000000">
      <w:pPr>
        <w:pStyle w:val="Body"/>
        <w:spacing w:line="276" w:lineRule="auto"/>
        <w:rPr>
          <w:rStyle w:val="None"/>
          <w:color w:val="000000"/>
          <w:sz w:val="24"/>
          <w:szCs w:val="24"/>
          <w:u w:color="000000"/>
        </w:rPr>
      </w:pPr>
      <w:r>
        <w:rPr>
          <w:rStyle w:val="None"/>
          <w:rFonts w:ascii="Helvetica LT Std Roman" w:hAnsi="Helvetica LT Std Roman"/>
          <w:color w:val="000000"/>
          <w:sz w:val="24"/>
          <w:szCs w:val="24"/>
          <w:u w:color="000000"/>
        </w:rPr>
        <w:t xml:space="preserve">La educación sexual y de género están íntimamente relacionadas y tienen un impacto relevante en el sistema de valores de las personas. Por lo tanto, la educación sexual y de género hacen parte integral de la educación moral de los NNA. </w:t>
      </w:r>
    </w:p>
    <w:p w14:paraId="0BC22EE3" w14:textId="77777777" w:rsidR="001A105D" w:rsidRDefault="00000000">
      <w:pPr>
        <w:pStyle w:val="Body"/>
        <w:numPr>
          <w:ilvl w:val="1"/>
          <w:numId w:val="106"/>
        </w:numPr>
        <w:spacing w:before="240" w:after="240" w:line="276" w:lineRule="auto"/>
        <w:jc w:val="left"/>
        <w:rPr>
          <w:rFonts w:ascii="Helvetica LT Std Bold" w:hAnsi="Helvetica LT Std Bold"/>
          <w:color w:val="000000"/>
          <w:sz w:val="24"/>
          <w:szCs w:val="24"/>
          <w:u w:color="000000"/>
        </w:rPr>
      </w:pPr>
      <w:r>
        <w:rPr>
          <w:rFonts w:ascii="Helvetica LT Std Bold" w:hAnsi="Helvetica LT Std Bold"/>
          <w:color w:val="000000"/>
          <w:sz w:val="24"/>
          <w:szCs w:val="24"/>
          <w:u w:color="000000"/>
        </w:rPr>
        <w:t>Del ejercicio colectivo de la libertad religiosa: imposici</w:t>
      </w:r>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 xml:space="preserve">n de una </w:t>
      </w:r>
      <w:r>
        <w:rPr>
          <w:rStyle w:val="None"/>
          <w:rFonts w:ascii="Helvetica LT Std Bold" w:hAnsi="Helvetica LT Std Bold"/>
          <w:color w:val="000000"/>
          <w:sz w:val="24"/>
          <w:szCs w:val="24"/>
          <w:u w:color="000000"/>
        </w:rPr>
        <w:t>ú</w:t>
      </w:r>
      <w:proofErr w:type="spellStart"/>
      <w:r>
        <w:rPr>
          <w:rFonts w:ascii="Helvetica LT Std Bold" w:hAnsi="Helvetica LT Std Bold"/>
          <w:color w:val="000000"/>
          <w:sz w:val="24"/>
          <w:szCs w:val="24"/>
          <w:u w:color="000000"/>
          <w:lang w:val="it-IT"/>
        </w:rPr>
        <w:t>nica</w:t>
      </w:r>
      <w:proofErr w:type="spellEnd"/>
      <w:r>
        <w:rPr>
          <w:rFonts w:ascii="Helvetica LT Std Bold" w:hAnsi="Helvetica LT Std Bold"/>
          <w:color w:val="000000"/>
          <w:sz w:val="24"/>
          <w:szCs w:val="24"/>
          <w:u w:color="000000"/>
          <w:lang w:val="it-IT"/>
        </w:rPr>
        <w:t xml:space="preserve"> visi</w:t>
      </w:r>
      <w:proofErr w:type="spellStart"/>
      <w:r>
        <w:rPr>
          <w:rStyle w:val="None"/>
          <w:rFonts w:ascii="Helvetica LT Std Bold" w:hAnsi="Helvetica LT Std Bold"/>
          <w:color w:val="000000"/>
          <w:sz w:val="24"/>
          <w:szCs w:val="24"/>
          <w:u w:color="000000"/>
        </w:rPr>
        <w:t>ó</w:t>
      </w:r>
      <w:r>
        <w:rPr>
          <w:rFonts w:ascii="Helvetica LT Std Bold" w:hAnsi="Helvetica LT Std Bold"/>
          <w:color w:val="000000"/>
          <w:sz w:val="24"/>
          <w:szCs w:val="24"/>
          <w:u w:color="000000"/>
        </w:rPr>
        <w:t>n</w:t>
      </w:r>
      <w:proofErr w:type="spellEnd"/>
      <w:r>
        <w:rPr>
          <w:rFonts w:ascii="Helvetica LT Std Bold" w:hAnsi="Helvetica LT Std Bold"/>
          <w:color w:val="000000"/>
          <w:sz w:val="24"/>
          <w:szCs w:val="24"/>
          <w:u w:color="000000"/>
        </w:rPr>
        <w:t xml:space="preserve"> sobre la sexualidad que afecte las convicciones religiosas de ciertas comunidades</w:t>
      </w:r>
    </w:p>
    <w:p w14:paraId="338D7296" w14:textId="77777777" w:rsidR="001A105D" w:rsidRPr="002D2C2E" w:rsidRDefault="00000000" w:rsidP="002D2C2E">
      <w:pPr>
        <w:pStyle w:val="Body"/>
        <w:spacing w:before="240" w:after="240" w:line="276" w:lineRule="auto"/>
        <w:rPr>
          <w:rStyle w:val="None"/>
          <w:color w:val="000000"/>
          <w:sz w:val="24"/>
          <w:szCs w:val="24"/>
          <w:u w:color="000000"/>
        </w:rPr>
      </w:pP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Convenci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Americana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sobre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Humanos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consagra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libertad</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sv-SE"/>
        </w:rPr>
        <w:t>religi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su</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art</w:t>
      </w:r>
      <w:r w:rsidRPr="002D2C2E">
        <w:rPr>
          <w:rStyle w:val="None"/>
          <w:rFonts w:ascii="Helvetica LT Std" w:hAnsi="Helvetica LT Std" w:cs="Helvetica LT Std"/>
          <w:color w:val="000000"/>
          <w:sz w:val="24"/>
          <w:szCs w:val="24"/>
          <w:u w:color="000000"/>
        </w:rPr>
        <w:t>í</w:t>
      </w:r>
      <w:r w:rsidRPr="002D2C2E">
        <w:rPr>
          <w:rStyle w:val="None"/>
          <w:rFonts w:eastAsia="Arial Unicode MS" w:cs="Arial Unicode MS"/>
          <w:color w:val="000000"/>
          <w:sz w:val="24"/>
          <w:szCs w:val="24"/>
          <w:u w:color="000000"/>
        </w:rPr>
        <w:t>culo</w:t>
      </w:r>
      <w:r w:rsidRPr="002D2C2E">
        <w:rPr>
          <w:rStyle w:val="None"/>
          <w:color w:val="000000"/>
          <w:sz w:val="24"/>
          <w:szCs w:val="24"/>
          <w:u w:color="000000"/>
        </w:rPr>
        <w:t xml:space="preserve"> 12</w:t>
      </w:r>
      <w:r w:rsidRPr="002D2C2E">
        <w:rPr>
          <w:rStyle w:val="None"/>
          <w:rFonts w:eastAsia="Arial Unicode MS" w:cs="Arial Unicode MS"/>
          <w:color w:val="000000"/>
          <w:sz w:val="24"/>
          <w:szCs w:val="24"/>
          <w:u w:color="000000"/>
        </w:rPr>
        <w:t>.</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libertad</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sv-SE"/>
        </w:rPr>
        <w:t>religi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permite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personas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conserven,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cambien,</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en-US"/>
        </w:rPr>
        <w:t>profesen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y</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pt-PT"/>
        </w:rPr>
        <w:t>divulguen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su</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sv-SE"/>
        </w:rPr>
        <w:t>religi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sus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creencias</w:t>
      </w:r>
      <w:r w:rsidRPr="002D2C2E">
        <w:rPr>
          <w:rStyle w:val="None"/>
          <w:color w:val="000000"/>
          <w:sz w:val="24"/>
          <w:szCs w:val="24"/>
          <w:u w:color="000000"/>
          <w:vertAlign w:val="superscript"/>
        </w:rPr>
        <w:footnoteReference w:id="615"/>
      </w:r>
      <w:r w:rsidRPr="002D2C2E">
        <w:rPr>
          <w:rStyle w:val="None"/>
          <w:rFonts w:eastAsia="Arial Unicode MS" w:cs="Arial Unicode MS"/>
          <w:color w:val="000000"/>
          <w:sz w:val="24"/>
          <w:szCs w:val="24"/>
          <w:u w:color="000000"/>
        </w:rPr>
        <w:t>.</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Este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uno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los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cimientos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sociedad</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pt-PT"/>
        </w:rPr>
        <w:t>democr</w:t>
      </w:r>
      <w:proofErr w:type="spellEnd"/>
      <w:r w:rsidRPr="002D2C2E">
        <w:rPr>
          <w:rStyle w:val="None"/>
          <w:rFonts w:ascii="Helvetica LT Std" w:hAnsi="Helvetica LT Std" w:cs="Helvetica LT Std"/>
          <w:color w:val="000000"/>
          <w:sz w:val="24"/>
          <w:szCs w:val="24"/>
          <w:u w:color="000000"/>
        </w:rPr>
        <w:t>á</w:t>
      </w:r>
      <w:proofErr w:type="spellStart"/>
      <w:r w:rsidRPr="002D2C2E">
        <w:rPr>
          <w:rStyle w:val="None"/>
          <w:rFonts w:eastAsia="Arial Unicode MS" w:cs="Arial Unicode MS"/>
          <w:color w:val="000000"/>
          <w:sz w:val="24"/>
          <w:szCs w:val="24"/>
          <w:u w:color="000000"/>
          <w:lang w:val="it-IT"/>
        </w:rPr>
        <w:t>tica</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y</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constituye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un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elemento</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it-IT"/>
        </w:rPr>
        <w:t>trascendental</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protecci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convicciones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los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creyentes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y</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su</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en-US"/>
        </w:rPr>
        <w:t>forma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vida</w:t>
      </w:r>
      <w:r w:rsidRPr="002D2C2E">
        <w:rPr>
          <w:rStyle w:val="None"/>
          <w:color w:val="000000"/>
          <w:sz w:val="24"/>
          <w:szCs w:val="24"/>
          <w:u w:color="000000"/>
          <w:vertAlign w:val="superscript"/>
        </w:rPr>
        <w:footnoteReference w:id="616"/>
      </w:r>
      <w:r w:rsidRPr="002D2C2E">
        <w:rPr>
          <w:rStyle w:val="None"/>
          <w:rFonts w:eastAsia="Arial Unicode MS" w:cs="Arial Unicode MS"/>
          <w:color w:val="000000"/>
          <w:sz w:val="24"/>
          <w:szCs w:val="24"/>
          <w:u w:color="000000"/>
        </w:rPr>
        <w:t>.</w:t>
      </w:r>
      <w:r w:rsidRPr="002D2C2E">
        <w:rPr>
          <w:rStyle w:val="None"/>
          <w:color w:val="000000"/>
          <w:sz w:val="24"/>
          <w:szCs w:val="24"/>
          <w:u w:color="000000"/>
        </w:rPr>
        <w:t xml:space="preserve"> </w:t>
      </w:r>
    </w:p>
    <w:p w14:paraId="5471C034" w14:textId="77777777" w:rsidR="001A105D" w:rsidRPr="002D2C2E" w:rsidRDefault="00000000" w:rsidP="002D2C2E">
      <w:pPr>
        <w:pStyle w:val="Body"/>
        <w:spacing w:before="240" w:after="240" w:line="276" w:lineRule="auto"/>
        <w:rPr>
          <w:rStyle w:val="None"/>
          <w:color w:val="000000"/>
          <w:sz w:val="24"/>
          <w:szCs w:val="24"/>
          <w:u w:color="000000"/>
        </w:rPr>
      </w:pPr>
      <w:r w:rsidRPr="002D2C2E">
        <w:rPr>
          <w:rStyle w:val="None"/>
          <w:rFonts w:eastAsia="Arial Unicode MS" w:cs="Arial Unicode MS"/>
          <w:color w:val="000000"/>
          <w:sz w:val="24"/>
          <w:szCs w:val="24"/>
          <w:u w:color="000000"/>
        </w:rPr>
        <w:t>Se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desprende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del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enunciado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del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art</w:t>
      </w:r>
      <w:r w:rsidRPr="002D2C2E">
        <w:rPr>
          <w:rStyle w:val="None"/>
          <w:rFonts w:ascii="Helvetica LT Std" w:hAnsi="Helvetica LT Std" w:cs="Helvetica LT Std"/>
          <w:color w:val="000000"/>
          <w:sz w:val="24"/>
          <w:szCs w:val="24"/>
          <w:u w:color="000000"/>
        </w:rPr>
        <w:t>í</w:t>
      </w:r>
      <w:r w:rsidRPr="002D2C2E">
        <w:rPr>
          <w:rStyle w:val="None"/>
          <w:rFonts w:eastAsia="Arial Unicode MS" w:cs="Arial Unicode MS"/>
          <w:color w:val="000000"/>
          <w:sz w:val="24"/>
          <w:szCs w:val="24"/>
          <w:u w:color="000000"/>
        </w:rPr>
        <w:t>culo</w:t>
      </w:r>
      <w:r w:rsidRPr="002D2C2E">
        <w:rPr>
          <w:rStyle w:val="None"/>
          <w:color w:val="000000"/>
          <w:sz w:val="24"/>
          <w:szCs w:val="24"/>
          <w:u w:color="000000"/>
        </w:rPr>
        <w:t xml:space="preserve"> 12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ese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tiene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una</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it-IT"/>
        </w:rPr>
        <w:t>dimensi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proofErr w:type="spellEnd"/>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it-IT"/>
        </w:rPr>
        <w:t>individual</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y</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una</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it-IT"/>
        </w:rPr>
        <w:t>dimensi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colectiva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supone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pt-PT"/>
        </w:rPr>
        <w:t>titularidad</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del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libertad</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religiosa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se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puede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ejercer</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en-US"/>
        </w:rPr>
        <w:lastRenderedPageBreak/>
        <w:t>forma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individual,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pero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tambi</w:t>
      </w:r>
      <w:r w:rsidRPr="002D2C2E">
        <w:rPr>
          <w:rStyle w:val="None"/>
          <w:rFonts w:ascii="Helvetica LT Std" w:hAnsi="Helvetica LT Std" w:cs="Helvetica LT Std"/>
          <w:color w:val="000000"/>
          <w:sz w:val="24"/>
          <w:szCs w:val="24"/>
          <w:u w:color="000000"/>
        </w:rPr>
        <w:t>é</w:t>
      </w:r>
      <w:r w:rsidRPr="002D2C2E">
        <w:rPr>
          <w:rStyle w:val="None"/>
          <w:rFonts w:eastAsia="Arial Unicode MS" w:cs="Arial Unicode MS"/>
          <w:color w:val="000000"/>
          <w:sz w:val="24"/>
          <w:szCs w:val="24"/>
          <w:u w:color="000000"/>
        </w:rPr>
        <w:t>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en-US"/>
        </w:rPr>
        <w:t>forma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colectiva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con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otras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personas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compartan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un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sistema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creencias</w:t>
      </w:r>
      <w:r w:rsidRPr="002D2C2E">
        <w:rPr>
          <w:rStyle w:val="None"/>
          <w:color w:val="000000"/>
          <w:sz w:val="24"/>
          <w:szCs w:val="24"/>
          <w:u w:color="000000"/>
          <w:vertAlign w:val="superscript"/>
        </w:rPr>
        <w:footnoteReference w:id="617"/>
      </w:r>
      <w:r w:rsidRPr="002D2C2E">
        <w:rPr>
          <w:rStyle w:val="None"/>
          <w:rFonts w:eastAsia="Arial Unicode MS" w:cs="Arial Unicode MS"/>
          <w:color w:val="000000"/>
          <w:sz w:val="24"/>
          <w:szCs w:val="24"/>
          <w:u w:color="000000"/>
        </w:rPr>
        <w:t>.</w:t>
      </w:r>
    </w:p>
    <w:p w14:paraId="2AE77152" w14:textId="77777777" w:rsidR="001A105D" w:rsidRPr="002D2C2E" w:rsidRDefault="00000000" w:rsidP="002D2C2E">
      <w:pPr>
        <w:pStyle w:val="Body"/>
        <w:spacing w:line="276" w:lineRule="auto"/>
        <w:rPr>
          <w:rStyle w:val="None"/>
          <w:color w:val="000000"/>
          <w:sz w:val="24"/>
          <w:szCs w:val="24"/>
          <w:u w:color="000000"/>
        </w:rPr>
      </w:pPr>
      <w:r w:rsidRPr="002D2C2E">
        <w:rPr>
          <w:rStyle w:val="None"/>
          <w:rFonts w:eastAsia="Arial Unicode MS" w:cs="Arial Unicode MS"/>
          <w:color w:val="000000"/>
          <w:sz w:val="24"/>
          <w:szCs w:val="24"/>
          <w:u w:color="000000"/>
        </w:rPr>
        <w:t>En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este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marco,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pongo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presente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proofErr w:type="spellStart"/>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lang w:val="pt-PT"/>
        </w:rPr>
        <w:t>rganos</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Naciones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Unidas</w:t>
      </w:r>
      <w:r w:rsidRPr="002D2C2E">
        <w:rPr>
          <w:rStyle w:val="None"/>
          <w:color w:val="000000"/>
          <w:sz w:val="24"/>
          <w:szCs w:val="24"/>
          <w:u w:color="000000"/>
          <w:vertAlign w:val="superscript"/>
        </w:rPr>
        <w:footnoteReference w:id="618"/>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y</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Tribunal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Europeo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Humanos</w:t>
      </w:r>
      <w:r w:rsidRPr="002D2C2E">
        <w:rPr>
          <w:rStyle w:val="None"/>
          <w:color w:val="000000"/>
          <w:sz w:val="24"/>
          <w:szCs w:val="24"/>
          <w:u w:color="000000"/>
          <w:vertAlign w:val="superscript"/>
        </w:rPr>
        <w:footnoteReference w:id="619"/>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han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reconocido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determinadas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facultades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comunidades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religiosas,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en</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it-IT"/>
        </w:rPr>
        <w:t>virtud</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del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libertad</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sv-SE"/>
        </w:rPr>
        <w:t>religi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y</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conciencia.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particular,</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han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reconocido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difusi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una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fe.</w:t>
      </w:r>
    </w:p>
    <w:p w14:paraId="0BF315E2" w14:textId="77777777" w:rsidR="001A105D" w:rsidRDefault="00000000" w:rsidP="002D2C2E">
      <w:pPr>
        <w:pStyle w:val="Body"/>
        <w:spacing w:before="240" w:after="240" w:line="276" w:lineRule="auto"/>
      </w:pPr>
      <w:r w:rsidRPr="002D2C2E">
        <w:rPr>
          <w:rStyle w:val="None"/>
          <w:rFonts w:eastAsia="Arial Unicode MS" w:cs="Arial Unicode MS"/>
          <w:color w:val="000000"/>
          <w:sz w:val="24"/>
          <w:szCs w:val="24"/>
          <w:u w:color="000000"/>
        </w:rPr>
        <w:t>No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obstante,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el</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fr-FR"/>
        </w:rPr>
        <w:t>informe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pasa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por</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alto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it-IT"/>
        </w:rPr>
        <w:t>dimensi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colectiva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este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derecho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en-US"/>
        </w:rPr>
        <w:t>y,</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por</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tanto,</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omite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recomendaci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puede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implicar</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una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imposici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it-IT"/>
        </w:rPr>
        <w:t>una</w:t>
      </w:r>
      <w:r w:rsidRPr="002D2C2E">
        <w:rPr>
          <w:rStyle w:val="None"/>
          <w:color w:val="000000"/>
          <w:sz w:val="24"/>
          <w:szCs w:val="24"/>
          <w:u w:color="000000"/>
        </w:rPr>
        <w:t xml:space="preserve"> </w:t>
      </w:r>
      <w:r w:rsidRPr="002D2C2E">
        <w:rPr>
          <w:rStyle w:val="None"/>
          <w:rFonts w:ascii="Helvetica LT Std" w:hAnsi="Helvetica LT Std" w:cs="Helvetica LT Std"/>
          <w:color w:val="000000"/>
          <w:sz w:val="24"/>
          <w:szCs w:val="24"/>
          <w:u w:color="000000"/>
        </w:rPr>
        <w:t>ú</w:t>
      </w:r>
      <w:r w:rsidRPr="002D2C2E">
        <w:rPr>
          <w:rStyle w:val="None"/>
          <w:rFonts w:eastAsia="Arial Unicode MS" w:cs="Arial Unicode MS"/>
          <w:color w:val="000000"/>
          <w:sz w:val="24"/>
          <w:szCs w:val="24"/>
          <w:u w:color="000000"/>
        </w:rPr>
        <w:t>nica</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visi</w:t>
      </w:r>
      <w:r w:rsidRPr="002D2C2E">
        <w:rPr>
          <w:rStyle w:val="None"/>
          <w:rFonts w:ascii="Helvetica LT Std" w:hAnsi="Helvetica LT Std" w:cs="Helvetica LT Std"/>
          <w:color w:val="000000"/>
          <w:sz w:val="24"/>
          <w:szCs w:val="24"/>
          <w:u w:color="000000"/>
        </w:rPr>
        <w:t>ó</w:t>
      </w:r>
      <w:r w:rsidRPr="002D2C2E">
        <w:rPr>
          <w:rStyle w:val="None"/>
          <w:rFonts w:eastAsia="Arial Unicode MS" w:cs="Arial Unicode MS"/>
          <w:color w:val="000000"/>
          <w:sz w:val="24"/>
          <w:szCs w:val="24"/>
          <w:u w:color="000000"/>
        </w:rPr>
        <w:t>n</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sobre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w:t>
      </w:r>
      <w:r w:rsidRPr="002D2C2E">
        <w:rPr>
          <w:rStyle w:val="None"/>
          <w:color w:val="000000"/>
          <w:sz w:val="24"/>
          <w:szCs w:val="24"/>
          <w:u w:color="000000"/>
        </w:rPr>
        <w:t xml:space="preserve"> </w:t>
      </w:r>
      <w:proofErr w:type="spellStart"/>
      <w:r w:rsidRPr="002D2C2E">
        <w:rPr>
          <w:rStyle w:val="None"/>
          <w:rFonts w:eastAsia="Arial Unicode MS" w:cs="Arial Unicode MS"/>
          <w:color w:val="000000"/>
          <w:sz w:val="24"/>
          <w:szCs w:val="24"/>
          <w:u w:color="000000"/>
          <w:lang w:val="pt-PT"/>
        </w:rPr>
        <w:t>sexualidad</w:t>
      </w:r>
      <w:proofErr w:type="spellEnd"/>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que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afecte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las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convicciones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religiosas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de</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rPr>
        <w:t>ciertas</w:t>
      </w:r>
      <w:r w:rsidRPr="002D2C2E">
        <w:rPr>
          <w:rStyle w:val="None"/>
          <w:color w:val="000000"/>
          <w:sz w:val="24"/>
          <w:szCs w:val="24"/>
          <w:u w:color="000000"/>
        </w:rPr>
        <w:t xml:space="preserve"> </w:t>
      </w:r>
      <w:r w:rsidRPr="002D2C2E">
        <w:rPr>
          <w:rStyle w:val="None"/>
          <w:rFonts w:eastAsia="Arial Unicode MS" w:cs="Arial Unicode MS"/>
          <w:color w:val="000000"/>
          <w:sz w:val="24"/>
          <w:szCs w:val="24"/>
          <w:u w:color="000000"/>
          <w:lang w:val="pt-PT"/>
        </w:rPr>
        <w:t>comunidades.</w:t>
      </w:r>
      <w:r>
        <w:rPr>
          <w:rStyle w:val="None"/>
          <w:color w:val="000000"/>
          <w:sz w:val="24"/>
          <w:szCs w:val="24"/>
          <w:u w:color="000000"/>
        </w:rPr>
        <w:t xml:space="preserve"> </w:t>
      </w:r>
      <w:r>
        <w:rPr>
          <w:rStyle w:val="None"/>
          <w:color w:val="000000"/>
          <w:sz w:val="24"/>
          <w:szCs w:val="24"/>
          <w:u w:color="000000"/>
        </w:rPr>
        <w:br w:type="page"/>
      </w:r>
    </w:p>
    <w:p w14:paraId="079B3055" w14:textId="77777777" w:rsidR="001A105D" w:rsidRDefault="00000000">
      <w:pPr>
        <w:pStyle w:val="Body"/>
        <w:spacing w:before="240" w:after="240" w:line="276" w:lineRule="auto"/>
      </w:pPr>
      <w:r>
        <w:rPr>
          <w:noProof/>
        </w:rPr>
        <w:lastRenderedPageBreak/>
        <mc:AlternateContent>
          <mc:Choice Requires="wps">
            <w:drawing>
              <wp:anchor distT="152400" distB="152400" distL="152400" distR="152400" simplePos="0" relativeHeight="251679744" behindDoc="0" locked="0" layoutInCell="1" allowOverlap="1" wp14:anchorId="111B73FD" wp14:editId="653D5ADE">
                <wp:simplePos x="0" y="0"/>
                <wp:positionH relativeFrom="page">
                  <wp:posOffset>0</wp:posOffset>
                </wp:positionH>
                <wp:positionV relativeFrom="page">
                  <wp:posOffset>0</wp:posOffset>
                </wp:positionV>
                <wp:extent cx="6400800" cy="9144000"/>
                <wp:effectExtent l="0" t="0" r="0" b="0"/>
                <wp:wrapTopAndBottom distT="152400" distB="152400"/>
                <wp:docPr id="1073741841" name="officeArt object" descr="Rectangle"/>
                <wp:cNvGraphicFramePr/>
                <a:graphic xmlns:a="http://schemas.openxmlformats.org/drawingml/2006/main">
                  <a:graphicData uri="http://schemas.microsoft.com/office/word/2010/wordprocessingShape">
                    <wps:wsp>
                      <wps:cNvSpPr/>
                      <wps:spPr>
                        <a:xfrm>
                          <a:off x="0" y="0"/>
                          <a:ext cx="6400800" cy="9144000"/>
                        </a:xfrm>
                        <a:prstGeom prst="rect">
                          <a:avLst/>
                        </a:prstGeom>
                        <a:solidFill>
                          <a:srgbClr val="22527C"/>
                        </a:solidFill>
                        <a:ln w="12700" cap="flat">
                          <a:noFill/>
                          <a:miter lim="400000"/>
                        </a:ln>
                        <a:effectLst/>
                      </wps:spPr>
                      <wps:bodyPr/>
                    </wps:wsp>
                  </a:graphicData>
                </a:graphic>
              </wp:anchor>
            </w:drawing>
          </mc:Choice>
          <mc:Fallback>
            <w:pict>
              <v:rect id="_x0000_s1041" style="visibility:visible;position:absolute;margin-left:0.0pt;margin-top:0.0pt;width:504.0pt;height:720.0pt;z-index:251679744;mso-position-horizontal:absolute;mso-position-horizontal-relative:page;mso-position-vertical:absolute;mso-position-vertical-relative:page;mso-wrap-distance-left:12.0pt;mso-wrap-distance-top:12.0pt;mso-wrap-distance-right:12.0pt;mso-wrap-distance-bottom:12.0pt;">
                <v:fill color="#22527C"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w:drawing>
          <wp:anchor distT="152400" distB="152400" distL="152400" distR="152400" simplePos="0" relativeHeight="251680768" behindDoc="0" locked="0" layoutInCell="1" allowOverlap="1" wp14:anchorId="7DD3EC0F" wp14:editId="4613ED7D">
            <wp:simplePos x="0" y="0"/>
            <wp:positionH relativeFrom="page">
              <wp:posOffset>2771722</wp:posOffset>
            </wp:positionH>
            <wp:positionV relativeFrom="page">
              <wp:posOffset>4223699</wp:posOffset>
            </wp:positionV>
            <wp:extent cx="857355" cy="696601"/>
            <wp:effectExtent l="0" t="0" r="0" b="0"/>
            <wp:wrapThrough wrapText="bothSides" distL="152400" distR="152400">
              <wp:wrapPolygon edited="1">
                <wp:start x="3016" y="571"/>
                <wp:lineTo x="4029" y="675"/>
                <wp:lineTo x="4704" y="1038"/>
                <wp:lineTo x="5231" y="1584"/>
                <wp:lineTo x="5632" y="2362"/>
                <wp:lineTo x="5864" y="3401"/>
                <wp:lineTo x="4472" y="3401"/>
                <wp:lineTo x="4240" y="2726"/>
                <wp:lineTo x="3902" y="2337"/>
                <wp:lineTo x="3438" y="2129"/>
                <wp:lineTo x="2805" y="2181"/>
                <wp:lineTo x="2384" y="2466"/>
                <wp:lineTo x="2109" y="2908"/>
                <wp:lineTo x="1962" y="3946"/>
                <wp:lineTo x="1983" y="6309"/>
                <wp:lineTo x="2173" y="7295"/>
                <wp:lineTo x="2489" y="7737"/>
                <wp:lineTo x="2974" y="7996"/>
                <wp:lineTo x="3586" y="7970"/>
                <wp:lineTo x="4113" y="7633"/>
                <wp:lineTo x="4387" y="7191"/>
                <wp:lineTo x="4493" y="6776"/>
                <wp:lineTo x="5864" y="6776"/>
                <wp:lineTo x="5590" y="7840"/>
                <wp:lineTo x="5126" y="8723"/>
                <wp:lineTo x="4598" y="9242"/>
                <wp:lineTo x="3881" y="9554"/>
                <wp:lineTo x="2721" y="9554"/>
                <wp:lineTo x="1920" y="9242"/>
                <wp:lineTo x="1371" y="8749"/>
                <wp:lineTo x="991" y="8109"/>
                <wp:lineTo x="991" y="11163"/>
                <wp:lineTo x="20630" y="11163"/>
                <wp:lineTo x="20609" y="11319"/>
                <wp:lineTo x="16643" y="11313"/>
                <wp:lineTo x="16643" y="13760"/>
                <wp:lineTo x="17782" y="13781"/>
                <wp:lineTo x="19048" y="15058"/>
                <wp:lineTo x="17782" y="15032"/>
                <wp:lineTo x="17782" y="16927"/>
                <wp:lineTo x="19174" y="16875"/>
                <wp:lineTo x="19533" y="16589"/>
                <wp:lineTo x="19680" y="16200"/>
                <wp:lineTo x="19638" y="15577"/>
                <wp:lineTo x="19343" y="15162"/>
                <wp:lineTo x="19048" y="15058"/>
                <wp:lineTo x="17782" y="13781"/>
                <wp:lineTo x="19406" y="13812"/>
                <wp:lineTo x="20039" y="14123"/>
                <wp:lineTo x="20524" y="14668"/>
                <wp:lineTo x="20777" y="15343"/>
                <wp:lineTo x="20820" y="16096"/>
                <wp:lineTo x="20714" y="16797"/>
                <wp:lineTo x="20377" y="17420"/>
                <wp:lineTo x="19807" y="17862"/>
                <wp:lineTo x="19807" y="18017"/>
                <wp:lineTo x="21073" y="20977"/>
                <wp:lineTo x="19723" y="20951"/>
                <wp:lineTo x="18605" y="18095"/>
                <wp:lineTo x="17782" y="18095"/>
                <wp:lineTo x="17782" y="20977"/>
                <wp:lineTo x="16622" y="20977"/>
                <wp:lineTo x="16643" y="13760"/>
                <wp:lineTo x="16643" y="11313"/>
                <wp:lineTo x="14955" y="11311"/>
                <wp:lineTo x="14955" y="13760"/>
                <wp:lineTo x="16158" y="13760"/>
                <wp:lineTo x="16158" y="21055"/>
                <wp:lineTo x="14955" y="21029"/>
                <wp:lineTo x="14955" y="18407"/>
                <wp:lineTo x="13563" y="18355"/>
                <wp:lineTo x="13437" y="18147"/>
                <wp:lineTo x="13416" y="17212"/>
                <wp:lineTo x="13057" y="17212"/>
                <wp:lineTo x="13057" y="21003"/>
                <wp:lineTo x="11897" y="21003"/>
                <wp:lineTo x="11918" y="13786"/>
                <wp:lineTo x="13057" y="13786"/>
                <wp:lineTo x="13057" y="15992"/>
                <wp:lineTo x="14449" y="16044"/>
                <wp:lineTo x="14597" y="16252"/>
                <wp:lineTo x="14618" y="17212"/>
                <wp:lineTo x="14955" y="17212"/>
                <wp:lineTo x="14955" y="13760"/>
                <wp:lineTo x="14955" y="11311"/>
                <wp:lineTo x="9091" y="11303"/>
                <wp:lineTo x="9091" y="13708"/>
                <wp:lineTo x="9956" y="13760"/>
                <wp:lineTo x="10631" y="14097"/>
                <wp:lineTo x="11201" y="14798"/>
                <wp:lineTo x="11496" y="15629"/>
                <wp:lineTo x="11538" y="15992"/>
                <wp:lineTo x="10378" y="15966"/>
                <wp:lineTo x="10188" y="15421"/>
                <wp:lineTo x="9893" y="15084"/>
                <wp:lineTo x="9302" y="14954"/>
                <wp:lineTo x="8817" y="15162"/>
                <wp:lineTo x="8543" y="15525"/>
                <wp:lineTo x="8416" y="15992"/>
                <wp:lineTo x="8416" y="18718"/>
                <wp:lineTo x="8585" y="19289"/>
                <wp:lineTo x="8902" y="19653"/>
                <wp:lineTo x="9239" y="19783"/>
                <wp:lineTo x="9809" y="19705"/>
                <wp:lineTo x="10188" y="19341"/>
                <wp:lineTo x="10378" y="18770"/>
                <wp:lineTo x="11538" y="18770"/>
                <wp:lineTo x="11370" y="19549"/>
                <wp:lineTo x="11011" y="20224"/>
                <wp:lineTo x="10526" y="20717"/>
                <wp:lineTo x="9872" y="21003"/>
                <wp:lineTo x="8944" y="21003"/>
                <wp:lineTo x="8248" y="20691"/>
                <wp:lineTo x="7720" y="20146"/>
                <wp:lineTo x="7425" y="19601"/>
                <wp:lineTo x="7256" y="18770"/>
                <wp:lineTo x="7277" y="15785"/>
                <wp:lineTo x="7509" y="14954"/>
                <wp:lineTo x="7931" y="14331"/>
                <wp:lineTo x="8564" y="13863"/>
                <wp:lineTo x="9091" y="13708"/>
                <wp:lineTo x="9091" y="11303"/>
                <wp:lineTo x="4155" y="11297"/>
                <wp:lineTo x="4155" y="13760"/>
                <wp:lineTo x="4641" y="13760"/>
                <wp:lineTo x="4641" y="15940"/>
                <wp:lineTo x="3902" y="18511"/>
                <wp:lineTo x="5337" y="18511"/>
                <wp:lineTo x="4641" y="15940"/>
                <wp:lineTo x="4641" y="13760"/>
                <wp:lineTo x="5062" y="13760"/>
                <wp:lineTo x="7193" y="20977"/>
                <wp:lineTo x="5991" y="20977"/>
                <wp:lineTo x="5653" y="19705"/>
                <wp:lineTo x="3544" y="19757"/>
                <wp:lineTo x="3227" y="20977"/>
                <wp:lineTo x="2025" y="20925"/>
                <wp:lineTo x="4155" y="13760"/>
                <wp:lineTo x="4155" y="11297"/>
                <wp:lineTo x="991" y="11293"/>
                <wp:lineTo x="991" y="11163"/>
                <wp:lineTo x="991" y="8109"/>
                <wp:lineTo x="970" y="8074"/>
                <wp:lineTo x="675" y="7062"/>
                <wp:lineTo x="548" y="5919"/>
                <wp:lineTo x="548" y="13760"/>
                <wp:lineTo x="1709" y="13760"/>
                <wp:lineTo x="1709" y="20977"/>
                <wp:lineTo x="548" y="20977"/>
                <wp:lineTo x="548" y="13760"/>
                <wp:lineTo x="548" y="5919"/>
                <wp:lineTo x="612" y="3349"/>
                <wp:lineTo x="865" y="2311"/>
                <wp:lineTo x="1266" y="1558"/>
                <wp:lineTo x="1751" y="1038"/>
                <wp:lineTo x="2447" y="675"/>
                <wp:lineTo x="3016" y="571"/>
                <wp:lineTo x="6560" y="571"/>
                <wp:lineTo x="6560" y="701"/>
                <wp:lineTo x="7995" y="701"/>
                <wp:lineTo x="7995" y="9476"/>
                <wp:lineTo x="6560" y="9476"/>
                <wp:lineTo x="6560" y="701"/>
                <wp:lineTo x="6560" y="571"/>
                <wp:lineTo x="10631" y="571"/>
                <wp:lineTo x="10631" y="649"/>
                <wp:lineTo x="12277" y="727"/>
                <wp:lineTo x="13141" y="1038"/>
                <wp:lineTo x="13669" y="1506"/>
                <wp:lineTo x="14027" y="2129"/>
                <wp:lineTo x="14280" y="3297"/>
                <wp:lineTo x="14365" y="4258"/>
                <wp:lineTo x="14323" y="6516"/>
                <wp:lineTo x="14112" y="7763"/>
                <wp:lineTo x="13774" y="8489"/>
                <wp:lineTo x="13310" y="9009"/>
                <wp:lineTo x="12635" y="9346"/>
                <wp:lineTo x="11791" y="9502"/>
                <wp:lineTo x="9176" y="9476"/>
                <wp:lineTo x="9176" y="701"/>
                <wp:lineTo x="10547" y="652"/>
                <wp:lineTo x="11939" y="2259"/>
                <wp:lineTo x="10547" y="2233"/>
                <wp:lineTo x="10547" y="7970"/>
                <wp:lineTo x="12108" y="7892"/>
                <wp:lineTo x="12530" y="7607"/>
                <wp:lineTo x="12804" y="7139"/>
                <wp:lineTo x="12952" y="6361"/>
                <wp:lineTo x="12930" y="3609"/>
                <wp:lineTo x="12698" y="2804"/>
                <wp:lineTo x="12361" y="2388"/>
                <wp:lineTo x="11939" y="2259"/>
                <wp:lineTo x="10547" y="652"/>
                <wp:lineTo x="10631" y="649"/>
                <wp:lineTo x="10631" y="571"/>
                <wp:lineTo x="15209" y="571"/>
                <wp:lineTo x="15209" y="623"/>
                <wp:lineTo x="16643" y="623"/>
                <wp:lineTo x="16664" y="3323"/>
                <wp:lineTo x="18352" y="3375"/>
                <wp:lineTo x="18478" y="3609"/>
                <wp:lineTo x="18499" y="4751"/>
                <wp:lineTo x="16664" y="4751"/>
                <wp:lineTo x="16643" y="9398"/>
                <wp:lineTo x="15209" y="9398"/>
                <wp:lineTo x="15209" y="623"/>
                <wp:lineTo x="15209" y="571"/>
                <wp:lineTo x="18963" y="571"/>
                <wp:lineTo x="18963" y="623"/>
                <wp:lineTo x="20419" y="623"/>
                <wp:lineTo x="20419" y="9398"/>
                <wp:lineTo x="18963" y="9398"/>
                <wp:lineTo x="18963" y="6205"/>
                <wp:lineTo x="17276" y="6153"/>
                <wp:lineTo x="17128" y="5893"/>
                <wp:lineTo x="17107" y="4777"/>
                <wp:lineTo x="18942" y="4777"/>
                <wp:lineTo x="18963" y="623"/>
                <wp:lineTo x="18963" y="571"/>
                <wp:lineTo x="3016" y="571"/>
              </wp:wrapPolygon>
            </wp:wrapThrough>
            <wp:docPr id="1073741842" name="officeArt object" descr="Logos CIDH_cuadradoESEN-w.png"/>
            <wp:cNvGraphicFramePr/>
            <a:graphic xmlns:a="http://schemas.openxmlformats.org/drawingml/2006/main">
              <a:graphicData uri="http://schemas.openxmlformats.org/drawingml/2006/picture">
                <pic:pic xmlns:pic="http://schemas.openxmlformats.org/drawingml/2006/picture">
                  <pic:nvPicPr>
                    <pic:cNvPr id="1073741842" name="Logos CIDH_cuadradoESEN-w.png" descr="Logos CIDH_cuadradoESEN-w.png"/>
                    <pic:cNvPicPr>
                      <a:picLocks noChangeAspect="1"/>
                    </pic:cNvPicPr>
                  </pic:nvPicPr>
                  <pic:blipFill>
                    <a:blip r:embed="rId9"/>
                    <a:stretch>
                      <a:fillRect/>
                    </a:stretch>
                  </pic:blipFill>
                  <pic:spPr>
                    <a:xfrm>
                      <a:off x="0" y="0"/>
                      <a:ext cx="857355" cy="696601"/>
                    </a:xfrm>
                    <a:prstGeom prst="rect">
                      <a:avLst/>
                    </a:prstGeom>
                    <a:ln w="12700" cap="flat">
                      <a:noFill/>
                      <a:miter lim="400000"/>
                    </a:ln>
                    <a:effectLst/>
                  </pic:spPr>
                </pic:pic>
              </a:graphicData>
            </a:graphic>
          </wp:anchor>
        </w:drawing>
      </w:r>
    </w:p>
    <w:sectPr w:rsidR="001A105D">
      <w:headerReference w:type="default" r:id="rId10"/>
      <w:footerReference w:type="default" r:id="rId11"/>
      <w:headerReference w:type="first" r:id="rId12"/>
      <w:footerReference w:type="first" r:id="rId13"/>
      <w:pgSz w:w="10080" w:h="14400"/>
      <w:pgMar w:top="1987" w:right="1411" w:bottom="1411" w:left="1411" w:header="85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C2F8E" w14:textId="77777777" w:rsidR="00446D8B" w:rsidRDefault="00446D8B">
      <w:r>
        <w:separator/>
      </w:r>
    </w:p>
  </w:endnote>
  <w:endnote w:type="continuationSeparator" w:id="0">
    <w:p w14:paraId="044B6CD3" w14:textId="77777777" w:rsidR="00446D8B" w:rsidRDefault="0044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LT Std Bold">
    <w:panose1 w:val="020B0704020202030204"/>
    <w:charset w:val="00"/>
    <w:family w:val="swiss"/>
    <w:notTrueType/>
    <w:pitch w:val="variable"/>
    <w:sig w:usb0="800002AF" w:usb1="5000204A" w:usb2="00000000" w:usb3="00000000" w:csb0="00000005"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T Std Fractions">
    <w:panose1 w:val="00000500000000000000"/>
    <w:charset w:val="00"/>
    <w:family w:val="auto"/>
    <w:notTrueType/>
    <w:pitch w:val="variable"/>
    <w:sig w:usb0="80000003" w:usb1="10000050" w:usb2="00000000" w:usb3="00000000" w:csb0="00000001" w:csb1="00000000"/>
  </w:font>
  <w:font w:name="Helvetica LT Std Roman">
    <w:panose1 w:val="020B0504020202020204"/>
    <w:charset w:val="00"/>
    <w:family w:val="swiss"/>
    <w:notTrueType/>
    <w:pitch w:val="variable"/>
    <w:sig w:usb0="800002AF" w:usb1="5000204A" w:usb2="00000000" w:usb3="00000000" w:csb0="00000005" w:csb1="00000000"/>
  </w:font>
  <w:font w:name="Helvetica LT Std Oblique">
    <w:panose1 w:val="020B05040202020A0204"/>
    <w:charset w:val="00"/>
    <w:family w:val="swiss"/>
    <w:notTrueType/>
    <w:pitch w:val="variable"/>
    <w:sig w:usb0="800002AF" w:usb1="5000204A" w:usb2="00000000" w:usb3="00000000" w:csb0="00000005" w:csb1="00000000"/>
  </w:font>
  <w:font w:name="Helvetica LT Std">
    <w:panose1 w:val="020B0504020202020204"/>
    <w:charset w:val="00"/>
    <w:family w:val="swiss"/>
    <w:notTrueType/>
    <w:pitch w:val="variable"/>
    <w:sig w:usb0="800002AF" w:usb1="5000204A" w:usb2="00000000" w:usb3="00000000" w:csb0="00000005" w:csb1="00000000"/>
  </w:font>
  <w:font w:name="Arial">
    <w:panose1 w:val="020B0604020202020204"/>
    <w:charset w:val="00"/>
    <w:family w:val="swiss"/>
    <w:pitch w:val="variable"/>
    <w:sig w:usb0="E0002EFF" w:usb1="C000785B" w:usb2="00000009" w:usb3="00000000" w:csb0="000001FF" w:csb1="00000000"/>
  </w:font>
  <w:font w:name="Helvetica LT Std Bold Oblique">
    <w:panose1 w:val="020B0704020202090204"/>
    <w:charset w:val="00"/>
    <w:family w:val="swiss"/>
    <w:notTrueType/>
    <w:pitch w:val="variable"/>
    <w:sig w:usb0="800002AF" w:usb1="50002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9ED6A" w14:textId="77777777" w:rsidR="001A105D" w:rsidRDefault="00000000">
    <w:pPr>
      <w:pStyle w:val="Footer"/>
      <w:tabs>
        <w:tab w:val="clear" w:pos="4680"/>
        <w:tab w:val="clear" w:pos="9360"/>
      </w:tabs>
    </w:pPr>
    <w:proofErr w:type="spellStart"/>
    <w:r>
      <w:rPr>
        <w:rFonts w:ascii="Arial Unicode MS" w:hAnsi="Arial Unicode MS"/>
        <w:color w:val="22527C"/>
        <w:sz w:val="16"/>
        <w:szCs w:val="16"/>
        <w:lang w:val="pt-PT"/>
      </w:rPr>
      <w:t>Comisión</w:t>
    </w:r>
    <w:proofErr w:type="spellEnd"/>
    <w:r>
      <w:rPr>
        <w:color w:val="22527C"/>
        <w:sz w:val="16"/>
        <w:szCs w:val="16"/>
        <w:lang w:val="pt-PT"/>
      </w:rPr>
      <w:t xml:space="preserve"> </w:t>
    </w:r>
    <w:r>
      <w:rPr>
        <w:rFonts w:ascii="Arial Unicode MS" w:hAnsi="Arial Unicode MS"/>
        <w:color w:val="22527C"/>
        <w:sz w:val="16"/>
        <w:szCs w:val="16"/>
        <w:lang w:val="pt-PT"/>
      </w:rPr>
      <w:t>Interamericana</w:t>
    </w:r>
    <w:r>
      <w:rPr>
        <w:color w:val="22527C"/>
        <w:sz w:val="16"/>
        <w:szCs w:val="16"/>
        <w:lang w:val="pt-PT"/>
      </w:rPr>
      <w:t xml:space="preserve"> </w:t>
    </w:r>
    <w:r>
      <w:rPr>
        <w:rFonts w:ascii="Arial Unicode MS" w:hAnsi="Arial Unicode MS"/>
        <w:color w:val="22527C"/>
        <w:sz w:val="16"/>
        <w:szCs w:val="16"/>
        <w:lang w:val="pt-PT"/>
      </w:rPr>
      <w:t>de</w:t>
    </w:r>
    <w:r>
      <w:rPr>
        <w:color w:val="22527C"/>
        <w:sz w:val="16"/>
        <w:szCs w:val="16"/>
        <w:lang w:val="pt-PT"/>
      </w:rPr>
      <w:t xml:space="preserve"> </w:t>
    </w:r>
    <w:proofErr w:type="spellStart"/>
    <w:r>
      <w:rPr>
        <w:rFonts w:ascii="Arial Unicode MS" w:hAnsi="Arial Unicode MS"/>
        <w:color w:val="22527C"/>
        <w:sz w:val="16"/>
        <w:szCs w:val="16"/>
        <w:lang w:val="pt-PT"/>
      </w:rPr>
      <w:t>Derechos</w:t>
    </w:r>
    <w:proofErr w:type="spellEnd"/>
    <w:r>
      <w:rPr>
        <w:color w:val="22527C"/>
        <w:sz w:val="16"/>
        <w:szCs w:val="16"/>
        <w:lang w:val="pt-PT"/>
      </w:rPr>
      <w:t xml:space="preserve"> </w:t>
    </w:r>
    <w:r>
      <w:rPr>
        <w:rFonts w:ascii="Arial Unicode MS" w:hAnsi="Arial Unicode MS"/>
        <w:color w:val="22527C"/>
        <w:sz w:val="16"/>
        <w:szCs w:val="16"/>
        <w:lang w:val="pt-PT"/>
      </w:rPr>
      <w:t>Humanos</w:t>
    </w:r>
    <w:r>
      <w:rPr>
        <w:color w:val="22527C"/>
        <w:sz w:val="16"/>
        <w:szCs w:val="16"/>
        <w:lang w:val="pt-PT"/>
      </w:rPr>
      <w:t xml:space="preserve"> </w:t>
    </w:r>
    <w:r>
      <w:rPr>
        <w:rFonts w:ascii="Arial Unicode MS" w:hAnsi="Arial Unicode MS"/>
        <w:color w:val="22527C"/>
        <w:sz w:val="16"/>
        <w:szCs w:val="16"/>
        <w:lang w:val="pt-PT"/>
      </w:rPr>
      <w:t>|</w:t>
    </w:r>
    <w:r>
      <w:rPr>
        <w:color w:val="22527C"/>
        <w:sz w:val="16"/>
        <w:szCs w:val="16"/>
        <w:lang w:val="pt-PT"/>
      </w:rPr>
      <w:t xml:space="preserve"> </w:t>
    </w:r>
    <w:r>
      <w:rPr>
        <w:rFonts w:ascii="Helvetica LT Std Bold" w:hAnsi="Helvetica LT Std Bold"/>
        <w:color w:val="22527C"/>
        <w:sz w:val="16"/>
        <w:szCs w:val="16"/>
        <w:lang w:val="pt-PT"/>
      </w:rPr>
      <w:t>CID</w:t>
    </w:r>
    <w:r>
      <w:rPr>
        <w:rFonts w:ascii="Helvetica LT Std Bold" w:hAnsi="Helvetica LT Std Bold"/>
        <w:color w:val="22527C"/>
        <w:sz w:val="16"/>
        <w:szCs w:val="16"/>
      </w:rPr>
      <w:t>H</w:t>
    </w:r>
    <w:r>
      <w:rPr>
        <w:color w:val="22527C"/>
        <w:sz w:val="16"/>
        <w:szCs w:val="16"/>
      </w:rPr>
      <w:t xml:space="preserve">    </w:t>
    </w:r>
    <w:r>
      <w:rPr>
        <w:sz w:val="16"/>
        <w:szCs w:val="16"/>
      </w:rPr>
      <w:t xml:space="preserve">                                                     </w:t>
    </w:r>
    <w:r>
      <w:rPr>
        <w:color w:val="22527C"/>
        <w:sz w:val="16"/>
        <w:szCs w:val="16"/>
      </w:rPr>
      <w:t xml:space="preserve">  </w:t>
    </w:r>
    <w:r>
      <w:rPr>
        <w:color w:val="22527C"/>
        <w:sz w:val="16"/>
        <w:szCs w:val="16"/>
      </w:rPr>
      <w:fldChar w:fldCharType="begin"/>
    </w:r>
    <w:r>
      <w:rPr>
        <w:color w:val="22527C"/>
        <w:sz w:val="16"/>
        <w:szCs w:val="16"/>
      </w:rPr>
      <w:instrText xml:space="preserve"> PAGE </w:instrText>
    </w:r>
    <w:r>
      <w:rPr>
        <w:color w:val="22527C"/>
        <w:sz w:val="16"/>
        <w:szCs w:val="16"/>
      </w:rPr>
      <w:fldChar w:fldCharType="separate"/>
    </w:r>
    <w:r w:rsidR="002D2C2E">
      <w:rPr>
        <w:noProof/>
        <w:color w:val="22527C"/>
        <w:sz w:val="16"/>
        <w:szCs w:val="16"/>
      </w:rPr>
      <w:t>2</w:t>
    </w:r>
    <w:r>
      <w:rPr>
        <w:color w:val="22527C"/>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EB817" w14:textId="77777777" w:rsidR="001A105D" w:rsidRDefault="001A105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557D7" w14:textId="77777777" w:rsidR="00446D8B" w:rsidRDefault="00446D8B">
      <w:r>
        <w:separator/>
      </w:r>
    </w:p>
  </w:footnote>
  <w:footnote w:type="continuationSeparator" w:id="0">
    <w:p w14:paraId="020CC14C" w14:textId="77777777" w:rsidR="00446D8B" w:rsidRDefault="00446D8B">
      <w:r>
        <w:continuationSeparator/>
      </w:r>
    </w:p>
  </w:footnote>
  <w:footnote w:type="continuationNotice" w:id="1">
    <w:p w14:paraId="089625E2" w14:textId="77777777" w:rsidR="00446D8B" w:rsidRDefault="00446D8B"/>
  </w:footnote>
  <w:footnote w:id="2">
    <w:p w14:paraId="1EF5818E"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más</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audiencias</w:t>
      </w:r>
      <w:r>
        <w:t xml:space="preserve"> </w:t>
      </w:r>
      <w:r>
        <w:rPr>
          <w:rFonts w:ascii="Arial Unicode MS" w:eastAsia="Arial Unicode MS" w:hAnsi="Arial Unicode MS" w:cs="Arial Unicode MS"/>
        </w:rPr>
        <w:t>públicas,</w:t>
      </w:r>
      <w:r>
        <w:t xml:space="preserve"> </w:t>
      </w:r>
      <w:r>
        <w:rPr>
          <w:rFonts w:ascii="Arial Unicode MS" w:eastAsia="Arial Unicode MS" w:hAnsi="Arial Unicode MS" w:cs="Arial Unicode MS"/>
        </w:rPr>
        <w:t>comunicados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prensa</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trabajo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CIDH</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tema,</w:t>
      </w:r>
      <w:r>
        <w:t xml:space="preserve"> </w:t>
      </w:r>
      <w:r>
        <w:rPr>
          <w:rFonts w:ascii="Arial Unicode MS" w:eastAsia="Arial Unicode MS" w:hAnsi="Arial Unicode MS" w:cs="Arial Unicode MS"/>
        </w:rPr>
        <w:t>ver,</w:t>
      </w:r>
      <w:r>
        <w:t xml:space="preserve"> </w:t>
      </w:r>
      <w:hyperlink r:id="rId1" w:history="1">
        <w:r>
          <w:rPr>
            <w:rStyle w:val="Hyperlink0"/>
            <w:rFonts w:ascii="Arial Unicode MS" w:eastAsia="Arial Unicode MS" w:hAnsi="Arial Unicode MS" w:cs="Arial Unicode MS"/>
          </w:rPr>
          <w:t>Relatoría</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rPr>
        <w:t>.</w:t>
      </w:r>
      <w:r>
        <w:t xml:space="preserve"> </w:t>
      </w:r>
    </w:p>
  </w:footnote>
  <w:footnote w:id="3">
    <w:p w14:paraId="4B77EDF1"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Organización</w:t>
      </w:r>
      <w:r>
        <w:t xml:space="preserve"> </w:t>
      </w:r>
      <w:r>
        <w:rPr>
          <w:rFonts w:ascii="Arial Unicode MS" w:eastAsia="Arial Unicode MS" w:hAnsi="Arial Unicode MS" w:cs="Arial Unicode MS"/>
        </w:rPr>
        <w:t>Mundial</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Salud</w:t>
      </w:r>
      <w:r>
        <w:t xml:space="preserve"> </w:t>
      </w:r>
      <w:r>
        <w:rPr>
          <w:rFonts w:ascii="Arial Unicode MS" w:eastAsia="Arial Unicode MS" w:hAnsi="Arial Unicode MS" w:cs="Arial Unicode MS"/>
        </w:rPr>
        <w:t>(OMS)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Banco</w:t>
      </w:r>
      <w:r>
        <w:t xml:space="preserve"> </w:t>
      </w:r>
      <w:r>
        <w:rPr>
          <w:rFonts w:ascii="Arial Unicode MS" w:eastAsia="Arial Unicode MS" w:hAnsi="Arial Unicode MS" w:cs="Arial Unicode MS"/>
        </w:rPr>
        <w:t>Mundial</w:t>
      </w:r>
      <w:r>
        <w:t xml:space="preserve"> </w:t>
      </w:r>
      <w:r>
        <w:rPr>
          <w:rFonts w:ascii="Arial Unicode MS" w:eastAsia="Arial Unicode MS" w:hAnsi="Arial Unicode MS" w:cs="Arial Unicode MS"/>
        </w:rPr>
        <w:t>(BM),</w:t>
      </w:r>
      <w:r>
        <w:t xml:space="preserve"> </w:t>
      </w:r>
      <w:r>
        <w:rPr>
          <w:rFonts w:ascii="Arial Unicode MS" w:eastAsia="Arial Unicode MS" w:hAnsi="Arial Unicode MS" w:cs="Arial Unicode MS"/>
        </w:rPr>
        <w:t>I</w:t>
      </w:r>
      <w:hyperlink r:id="rId2" w:history="1">
        <w:r>
          <w:rPr>
            <w:rFonts w:ascii="Arial Unicode MS" w:eastAsia="Arial Unicode MS" w:hAnsi="Arial Unicode MS" w:cs="Arial Unicode MS"/>
          </w:rPr>
          <w:t>nforme</w:t>
        </w:r>
        <w:r>
          <w:t xml:space="preserve"> </w:t>
        </w:r>
        <w:r>
          <w:rPr>
            <w:rFonts w:ascii="Arial Unicode MS" w:eastAsia="Arial Unicode MS" w:hAnsi="Arial Unicode MS" w:cs="Arial Unicode MS"/>
          </w:rPr>
          <w:t>mundial</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discapacidad,</w:t>
        </w:r>
      </w:hyperlink>
      <w:r>
        <w:t xml:space="preserve"> 2011</w:t>
      </w:r>
      <w:r>
        <w:rPr>
          <w:rFonts w:ascii="Arial Unicode MS" w:eastAsia="Arial Unicode MS" w:hAnsi="Arial Unicode MS" w:cs="Arial Unicode MS"/>
        </w:rPr>
        <w:t>.</w:t>
      </w:r>
    </w:p>
  </w:footnote>
  <w:footnote w:id="4">
    <w:p w14:paraId="52F009B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Informe</w:t>
      </w:r>
      <w:r>
        <w:rPr>
          <w:color w:val="2B477B"/>
        </w:rPr>
        <w:t xml:space="preserve"> </w:t>
      </w:r>
      <w:hyperlink r:id="rId3" w:history="1">
        <w:r>
          <w:rPr>
            <w:rStyle w:val="Hyperlink0"/>
            <w:rFonts w:ascii="Arial Unicode MS" w:eastAsia="Arial Unicode MS" w:hAnsi="Arial Unicode MS" w:cs="Arial Unicode MS"/>
          </w:rPr>
          <w:t>Pobreza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humanos</w:t>
        </w:r>
      </w:hyperlink>
      <w:r>
        <w:rPr>
          <w:rFonts w:ascii="Arial Unicode MS" w:eastAsia="Arial Unicode MS" w:hAnsi="Arial Unicode MS" w:cs="Arial Unicode MS"/>
          <w:color w:val="2B477B"/>
        </w:rPr>
        <w:t>,</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425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145</w:t>
      </w:r>
      <w:r>
        <w:rPr>
          <w:rFonts w:ascii="Arial Unicode MS" w:eastAsia="Arial Unicode MS" w:hAnsi="Arial Unicode MS" w:cs="Arial Unicode MS"/>
          <w:color w:val="2B477B"/>
        </w:rPr>
        <w:t>-</w:t>
      </w:r>
      <w:r>
        <w:rPr>
          <w:color w:val="2B477B"/>
        </w:rPr>
        <w:t>146</w:t>
      </w:r>
      <w:r>
        <w:rPr>
          <w:rFonts w:ascii="Arial Unicode MS" w:eastAsia="Arial Unicode MS" w:hAnsi="Arial Unicode MS" w:cs="Arial Unicode MS"/>
          <w:color w:val="2B477B"/>
        </w:rPr>
        <w:t>.</w:t>
      </w:r>
    </w:p>
  </w:footnote>
  <w:footnote w:id="5">
    <w:p w14:paraId="5DB1C98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Molina</w:t>
      </w:r>
      <w:r>
        <w:rPr>
          <w:color w:val="2B477B"/>
        </w:rPr>
        <w:t xml:space="preserve"> </w:t>
      </w:r>
      <w:r>
        <w:rPr>
          <w:rFonts w:ascii="Arial Unicode MS" w:eastAsia="Arial Unicode MS" w:hAnsi="Arial Unicode MS" w:cs="Arial Unicode MS"/>
          <w:color w:val="2B477B"/>
        </w:rPr>
        <w:t>Toledo,</w:t>
      </w:r>
      <w:r>
        <w:rPr>
          <w:color w:val="2B477B"/>
        </w:rPr>
        <w:t xml:space="preserve"> </w:t>
      </w:r>
      <w:r>
        <w:rPr>
          <w:rFonts w:ascii="Arial Unicode MS" w:eastAsia="Arial Unicode MS" w:hAnsi="Arial Unicode MS" w:cs="Arial Unicode MS"/>
          <w:color w:val="2B477B"/>
        </w:rPr>
        <w:t>Pamela,</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‘normal’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‘nueva</w:t>
      </w:r>
      <w:r>
        <w:rPr>
          <w:color w:val="2B477B"/>
        </w:rPr>
        <w:t xml:space="preserve"> </w:t>
      </w:r>
      <w:r>
        <w:rPr>
          <w:rFonts w:ascii="Arial Unicode MS" w:eastAsia="Arial Unicode MS" w:hAnsi="Arial Unicode MS" w:cs="Arial Unicode MS"/>
          <w:color w:val="2B477B"/>
        </w:rPr>
        <w:t>normalidad?:</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Helvetica LT Std Oblique" w:hAnsi="Helvetica LT Std Oblique"/>
          <w:color w:val="2B477B"/>
        </w:rPr>
        <w:t>Inclusión v/s Equidad</w:t>
      </w:r>
      <w:r>
        <w:rPr>
          <w:rFonts w:ascii="Arial Unicode MS" w:eastAsia="Arial Unicode MS" w:hAnsi="Arial Unicode MS" w:cs="Arial Unicode MS"/>
          <w:color w:val="2B477B"/>
        </w:rPr>
        <w:t>,</w:t>
      </w:r>
      <w:r>
        <w:rPr>
          <w:color w:val="2B477B"/>
        </w:rPr>
        <w:t xml:space="preserve"> 1</w:t>
      </w:r>
      <w:r>
        <w:rPr>
          <w:rFonts w:ascii="Arial Unicode MS" w:eastAsia="Arial Unicode MS" w:hAnsi="Arial Unicode MS" w:cs="Arial Unicode MS"/>
          <w:color w:val="2B477B"/>
        </w:rPr>
        <w:t>(</w:t>
      </w:r>
      <w:r>
        <w:rPr>
          <w:color w:val="2B477B"/>
        </w:rPr>
        <w:t>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Buenos</w:t>
      </w:r>
      <w:r>
        <w:rPr>
          <w:color w:val="2B477B"/>
        </w:rPr>
        <w:t xml:space="preserve"> </w:t>
      </w:r>
      <w:r>
        <w:rPr>
          <w:rFonts w:ascii="Arial Unicode MS" w:eastAsia="Arial Unicode MS" w:hAnsi="Arial Unicode MS" w:cs="Arial Unicode MS"/>
          <w:color w:val="2B477B"/>
        </w:rPr>
        <w:t>Aires,</w:t>
      </w:r>
      <w:r>
        <w:rPr>
          <w:color w:val="2B477B"/>
        </w:rPr>
        <w:t xml:space="preserve"> </w:t>
      </w:r>
      <w:r>
        <w:rPr>
          <w:rFonts w:ascii="Arial Unicode MS" w:eastAsia="Arial Unicode MS" w:hAnsi="Arial Unicode MS" w:cs="Arial Unicode MS"/>
          <w:color w:val="2B477B"/>
        </w:rPr>
        <w:t>págs.</w:t>
      </w:r>
      <w:r>
        <w:rPr>
          <w:color w:val="2B477B"/>
        </w:rPr>
        <w:t xml:space="preserve"> 11</w:t>
      </w:r>
      <w:r>
        <w:rPr>
          <w:rFonts w:ascii="Arial Unicode MS" w:eastAsia="Arial Unicode MS" w:hAnsi="Arial Unicode MS" w:cs="Arial Unicode MS"/>
          <w:color w:val="2B477B"/>
        </w:rPr>
        <w:t>-</w:t>
      </w:r>
      <w:r>
        <w:rPr>
          <w:color w:val="2B477B"/>
        </w:rPr>
        <w:t>44</w:t>
      </w:r>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Brogna</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Patricia</w:t>
      </w:r>
      <w:r>
        <w:rPr>
          <w:color w:val="2B477B"/>
        </w:rPr>
        <w:t xml:space="preserve"> </w:t>
      </w:r>
      <w:r>
        <w:rPr>
          <w:rFonts w:ascii="Arial Unicode MS" w:eastAsia="Arial Unicode MS" w:hAnsi="Arial Unicode MS" w:cs="Arial Unicode MS"/>
          <w:color w:val="2B477B"/>
        </w:rPr>
        <w:t>(compiladora):</w:t>
      </w:r>
      <w:r>
        <w:rPr>
          <w:color w:val="2B477B"/>
        </w:rPr>
        <w:t xml:space="preserve"> </w:t>
      </w:r>
      <w:hyperlink r:id="rId4" w:history="1">
        <w:r>
          <w:rPr>
            <w:rStyle w:val="Hyperlink1"/>
            <w:rFonts w:ascii="Arial Unicode MS" w:eastAsia="Arial Unicode MS" w:hAnsi="Arial Unicode MS" w:cs="Arial Unicode MS"/>
            <w:u w:val="single"/>
          </w:rPr>
          <w:t>Visiones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Revisiones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Cultura</w:t>
      </w:r>
      <w:r>
        <w:rPr>
          <w:color w:val="2B477B"/>
        </w:rPr>
        <w:t xml:space="preserve"> </w:t>
      </w:r>
      <w:r>
        <w:rPr>
          <w:rFonts w:ascii="Arial Unicode MS" w:eastAsia="Arial Unicode MS" w:hAnsi="Arial Unicode MS" w:cs="Arial Unicode MS"/>
          <w:color w:val="2B477B"/>
        </w:rPr>
        <w:t>Económica,</w:t>
      </w:r>
      <w:r>
        <w:rPr>
          <w:color w:val="2B477B"/>
        </w:rPr>
        <w:t xml:space="preserve"> 2009</w:t>
      </w:r>
      <w:r>
        <w:rPr>
          <w:rFonts w:ascii="Arial Unicode MS" w:eastAsia="Arial Unicode MS" w:hAnsi="Arial Unicode MS" w:cs="Arial Unicode MS"/>
          <w:color w:val="2B477B"/>
        </w:rPr>
        <w:t>.</w:t>
      </w:r>
    </w:p>
  </w:footnote>
  <w:footnote w:id="6">
    <w:p w14:paraId="088C6F2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Molina</w:t>
      </w:r>
      <w:r>
        <w:rPr>
          <w:color w:val="2B477B"/>
        </w:rPr>
        <w:t xml:space="preserve"> </w:t>
      </w:r>
      <w:r>
        <w:rPr>
          <w:rFonts w:ascii="Arial Unicode MS" w:eastAsia="Arial Unicode MS" w:hAnsi="Arial Unicode MS" w:cs="Arial Unicode MS"/>
          <w:color w:val="2B477B"/>
        </w:rPr>
        <w:t>Toledo,</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‘normal’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‘nueva</w:t>
      </w:r>
      <w:r>
        <w:rPr>
          <w:color w:val="2B477B"/>
        </w:rPr>
        <w:t xml:space="preserve"> </w:t>
      </w:r>
      <w:r>
        <w:rPr>
          <w:rFonts w:ascii="Arial Unicode MS" w:eastAsia="Arial Unicode MS" w:hAnsi="Arial Unicode MS" w:cs="Arial Unicode MS"/>
          <w:color w:val="2B477B"/>
        </w:rPr>
        <w:t>normalidad?”,</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págs.</w:t>
      </w:r>
      <w:r>
        <w:rPr>
          <w:color w:val="2B477B"/>
        </w:rPr>
        <w:t xml:space="preserve"> 11</w:t>
      </w:r>
      <w:r>
        <w:rPr>
          <w:rFonts w:ascii="Arial Unicode MS" w:eastAsia="Arial Unicode MS" w:hAnsi="Arial Unicode MS" w:cs="Arial Unicode MS"/>
          <w:color w:val="2B477B"/>
        </w:rPr>
        <w:t>-</w:t>
      </w:r>
      <w:r>
        <w:rPr>
          <w:color w:val="2B477B"/>
        </w:rPr>
        <w:t>44</w:t>
      </w:r>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Brogna</w:t>
      </w:r>
      <w:proofErr w:type="spellEnd"/>
      <w:r>
        <w:rPr>
          <w:rFonts w:ascii="Arial Unicode MS" w:eastAsia="Arial Unicode MS" w:hAnsi="Arial Unicode MS" w:cs="Arial Unicode MS"/>
          <w:color w:val="2B477B"/>
        </w:rPr>
        <w:t>,</w:t>
      </w:r>
      <w:r>
        <w:rPr>
          <w:color w:val="2B477B"/>
        </w:rPr>
        <w:t xml:space="preserve"> </w:t>
      </w:r>
      <w:hyperlink r:id="rId5" w:history="1">
        <w:r>
          <w:rPr>
            <w:rStyle w:val="Hyperlink1"/>
            <w:rFonts w:ascii="Arial Unicode MS" w:eastAsia="Arial Unicode MS" w:hAnsi="Arial Unicode MS" w:cs="Arial Unicode MS"/>
            <w:u w:val="single"/>
          </w:rPr>
          <w:t>Visiones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Revisiones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p>
  </w:footnote>
  <w:footnote w:id="7">
    <w:p w14:paraId="0E8FCB8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Palacios,</w:t>
      </w:r>
      <w:r>
        <w:rPr>
          <w:color w:val="2B477B"/>
        </w:rPr>
        <w:t xml:space="preserve"> </w:t>
      </w:r>
      <w:r>
        <w:rPr>
          <w:rFonts w:ascii="Arial Unicode MS" w:eastAsia="Arial Unicode MS" w:hAnsi="Arial Unicode MS" w:cs="Arial Unicode MS"/>
          <w:color w:val="2B477B"/>
        </w:rPr>
        <w:t>Agustina,</w:t>
      </w:r>
      <w:r>
        <w:rPr>
          <w:color w:val="2B477B"/>
        </w:rPr>
        <w:t xml:space="preserve"> </w:t>
      </w:r>
      <w:hyperlink r:id="rId6" w:history="1">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modelo</w:t>
        </w:r>
        <w:r>
          <w:rPr>
            <w:rStyle w:val="Hyperlink0"/>
          </w:rPr>
          <w:t xml:space="preserve"> </w:t>
        </w:r>
        <w:r>
          <w:rPr>
            <w:rStyle w:val="Hyperlink0"/>
            <w:rFonts w:ascii="Arial Unicode MS" w:eastAsia="Arial Unicode MS" w:hAnsi="Arial Unicode MS" w:cs="Arial Unicode MS"/>
          </w:rPr>
          <w:t>social</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orígenes,</w:t>
        </w:r>
        <w:r>
          <w:rPr>
            <w:rStyle w:val="Hyperlink0"/>
          </w:rPr>
          <w:t xml:space="preserve"> </w:t>
        </w:r>
        <w:r>
          <w:rPr>
            <w:rStyle w:val="Hyperlink0"/>
            <w:rFonts w:ascii="Arial Unicode MS" w:eastAsia="Arial Unicode MS" w:hAnsi="Arial Unicode MS" w:cs="Arial Unicode MS"/>
          </w:rPr>
          <w:t>caracterización</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plasmación</w:t>
        </w:r>
        <w:r>
          <w:rPr>
            <w:rStyle w:val="Hyperlink0"/>
          </w:rPr>
          <w:t xml:space="preserve"> </w:t>
        </w:r>
        <w:r>
          <w:rPr>
            <w:rStyle w:val="Hyperlink0"/>
            <w:rFonts w:ascii="Arial Unicode MS" w:eastAsia="Arial Unicode MS" w:hAnsi="Arial Unicode MS" w:cs="Arial Unicode MS"/>
          </w:rPr>
          <w:t>en</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Convención</w:t>
        </w:r>
        <w:r>
          <w:rPr>
            <w:rStyle w:val="Hyperlink0"/>
          </w:rPr>
          <w:t xml:space="preserve"> </w:t>
        </w:r>
        <w:r>
          <w:rPr>
            <w:rStyle w:val="Hyperlink0"/>
            <w:rFonts w:ascii="Arial Unicode MS" w:eastAsia="Arial Unicode MS" w:hAnsi="Arial Unicode MS" w:cs="Arial Unicode MS"/>
          </w:rPr>
          <w:t>Internacional</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color w:val="2B477B"/>
        </w:rPr>
        <w:t xml:space="preserve"> </w:t>
      </w:r>
      <w:r>
        <w:rPr>
          <w:rFonts w:ascii="Arial Unicode MS" w:eastAsia="Arial Unicode MS" w:hAnsi="Arial Unicode MS" w:cs="Arial Unicode MS"/>
          <w:color w:val="2B477B"/>
        </w:rPr>
        <w:t>Colección</w:t>
      </w:r>
      <w:r>
        <w:rPr>
          <w:color w:val="2B477B"/>
        </w:rPr>
        <w:t xml:space="preserve"> </w:t>
      </w:r>
      <w:r>
        <w:rPr>
          <w:rFonts w:ascii="Arial Unicode MS" w:eastAsia="Arial Unicode MS" w:hAnsi="Arial Unicode MS" w:cs="Arial Unicode MS"/>
          <w:color w:val="2B477B"/>
        </w:rPr>
        <w:t>CERMI,</w:t>
      </w:r>
      <w:r>
        <w:rPr>
          <w:color w:val="2B477B"/>
        </w:rPr>
        <w:t xml:space="preserve"> </w:t>
      </w:r>
      <w:r>
        <w:rPr>
          <w:rFonts w:ascii="Arial Unicode MS" w:eastAsia="Arial Unicode MS" w:hAnsi="Arial Unicode MS" w:cs="Arial Unicode MS"/>
          <w:color w:val="2B477B"/>
        </w:rPr>
        <w:t>Madrid,</w:t>
      </w:r>
      <w:r>
        <w:rPr>
          <w:color w:val="2B477B"/>
        </w:rPr>
        <w:t xml:space="preserve"> 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66</w:t>
      </w:r>
      <w:r>
        <w:rPr>
          <w:rFonts w:ascii="Arial Unicode MS" w:eastAsia="Arial Unicode MS" w:hAnsi="Arial Unicode MS" w:cs="Arial Unicode MS"/>
          <w:color w:val="2B477B"/>
        </w:rPr>
        <w:t>-</w:t>
      </w:r>
      <w:r>
        <w:rPr>
          <w:color w:val="2B477B"/>
        </w:rPr>
        <w:t>79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Barbosa,</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Salazar,</w:t>
      </w:r>
      <w:r>
        <w:rPr>
          <w:color w:val="2B477B"/>
        </w:rPr>
        <w:t xml:space="preserve"> </w:t>
      </w:r>
      <w:r>
        <w:rPr>
          <w:rFonts w:ascii="Arial Unicode MS" w:eastAsia="Arial Unicode MS" w:hAnsi="Arial Unicode MS" w:cs="Arial Unicode MS"/>
          <w:color w:val="2B477B"/>
        </w:rPr>
        <w:t>F.;</w:t>
      </w:r>
      <w:r>
        <w:rPr>
          <w:color w:val="2B477B"/>
        </w:rPr>
        <w:t xml:space="preserve"> </w:t>
      </w:r>
      <w:r>
        <w:rPr>
          <w:rFonts w:ascii="Arial Unicode MS" w:eastAsia="Arial Unicode MS" w:hAnsi="Arial Unicode MS" w:cs="Arial Unicode MS"/>
          <w:color w:val="2B477B"/>
        </w:rPr>
        <w:t>Beltrán,</w:t>
      </w:r>
      <w:r>
        <w:rPr>
          <w:color w:val="2B477B"/>
        </w:rPr>
        <w:t xml:space="preserve"> </w:t>
      </w:r>
      <w:r>
        <w:rPr>
          <w:rFonts w:ascii="Arial Unicode MS" w:eastAsia="Arial Unicode MS" w:hAnsi="Arial Unicode MS" w:cs="Arial Unicode MS"/>
          <w:color w:val="2B477B"/>
        </w:rPr>
        <w:t>J.,</w:t>
      </w:r>
      <w:r>
        <w:rPr>
          <w:color w:val="2B477B"/>
        </w:rPr>
        <w:t xml:space="preserve"> </w:t>
      </w:r>
      <w:r>
        <w:rPr>
          <w:rFonts w:ascii="Arial Unicode MS" w:eastAsia="Arial Unicode MS" w:hAnsi="Arial Unicode MS" w:cs="Arial Unicode MS"/>
          <w:color w:val="2B477B"/>
        </w:rPr>
        <w:t>"</w:t>
      </w:r>
      <w:hyperlink r:id="rId7" w:history="1">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modelo</w:t>
        </w:r>
        <w:r>
          <w:rPr>
            <w:rStyle w:val="Hyperlink0"/>
          </w:rPr>
          <w:t xml:space="preserve"> </w:t>
        </w:r>
        <w:r>
          <w:rPr>
            <w:rStyle w:val="Hyperlink0"/>
            <w:rFonts w:ascii="Arial Unicode MS" w:eastAsia="Arial Unicode MS" w:hAnsi="Arial Unicode MS" w:cs="Arial Unicode MS"/>
          </w:rPr>
          <w:t>médico</w:t>
        </w:r>
        <w:r>
          <w:rPr>
            <w:rStyle w:val="Hyperlink0"/>
          </w:rPr>
          <w:t xml:space="preserve"> </w:t>
        </w:r>
        <w:r>
          <w:rPr>
            <w:rStyle w:val="Hyperlink0"/>
            <w:rFonts w:ascii="Arial Unicode MS" w:eastAsia="Arial Unicode MS" w:hAnsi="Arial Unicode MS" w:cs="Arial Unicode MS"/>
          </w:rPr>
          <w:t>como</w:t>
        </w:r>
        <w:r>
          <w:rPr>
            <w:rStyle w:val="Hyperlink0"/>
          </w:rPr>
          <w:t xml:space="preserve"> </w:t>
        </w:r>
        <w:r>
          <w:rPr>
            <w:rStyle w:val="Hyperlink0"/>
            <w:rFonts w:ascii="Arial Unicode MS" w:eastAsia="Arial Unicode MS" w:hAnsi="Arial Unicode MS" w:cs="Arial Unicode MS"/>
          </w:rPr>
          <w:t>generador</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Revista</w:t>
      </w:r>
      <w:r>
        <w:rPr>
          <w:color w:val="2B477B"/>
        </w:rPr>
        <w:t xml:space="preserve"> </w:t>
      </w:r>
      <w:r>
        <w:rPr>
          <w:rFonts w:ascii="Arial Unicode MS" w:eastAsia="Arial Unicode MS" w:hAnsi="Arial Unicode MS" w:cs="Arial Unicode MS"/>
          <w:color w:val="2B477B"/>
        </w:rPr>
        <w:t>Latinoamericana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Bioética,</w:t>
      </w:r>
      <w:r>
        <w:rPr>
          <w:color w:val="2B477B"/>
        </w:rPr>
        <w:t xml:space="preserve"> 19 </w:t>
      </w:r>
      <w:r>
        <w:rPr>
          <w:rFonts w:ascii="Arial Unicode MS" w:eastAsia="Arial Unicode MS" w:hAnsi="Arial Unicode MS" w:cs="Arial Unicode MS"/>
          <w:color w:val="2B477B"/>
        </w:rPr>
        <w:t>núm.</w:t>
      </w:r>
      <w:r>
        <w:rPr>
          <w:color w:val="2B477B"/>
        </w:rPr>
        <w:t xml:space="preserve"> 2 </w:t>
      </w:r>
      <w:r>
        <w:rPr>
          <w:rFonts w:ascii="Arial Unicode MS" w:eastAsia="Arial Unicode MS" w:hAnsi="Arial Unicode MS" w:cs="Arial Unicode MS"/>
          <w:color w:val="2B477B"/>
        </w:rPr>
        <w:t>(</w:t>
      </w:r>
      <w:r>
        <w:rPr>
          <w:color w:val="2B477B"/>
        </w:rPr>
        <w:t>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Jun-</w:t>
      </w:r>
      <w:proofErr w:type="spellStart"/>
      <w:r>
        <w:rPr>
          <w:rFonts w:ascii="Arial Unicode MS" w:eastAsia="Arial Unicode MS" w:hAnsi="Arial Unicode MS" w:cs="Arial Unicode MS"/>
          <w:color w:val="2B477B"/>
        </w:rPr>
        <w:t>Dec</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ISSN:</w:t>
      </w:r>
      <w:r>
        <w:rPr>
          <w:color w:val="2B477B"/>
        </w:rPr>
        <w:t xml:space="preserve"> 1657</w:t>
      </w:r>
      <w:r>
        <w:rPr>
          <w:rFonts w:ascii="Arial Unicode MS" w:eastAsia="Arial Unicode MS" w:hAnsi="Arial Unicode MS" w:cs="Arial Unicode MS"/>
          <w:color w:val="2B477B"/>
        </w:rPr>
        <w:t>-</w:t>
      </w:r>
      <w:r>
        <w:rPr>
          <w:color w:val="2B477B"/>
        </w:rPr>
        <w:t>4702 / 2462</w:t>
      </w:r>
      <w:r>
        <w:rPr>
          <w:rFonts w:ascii="Arial Unicode MS" w:eastAsia="Arial Unicode MS" w:hAnsi="Arial Unicode MS" w:cs="Arial Unicode MS"/>
          <w:color w:val="2B477B"/>
        </w:rPr>
        <w:t>-</w:t>
      </w:r>
      <w:r>
        <w:rPr>
          <w:color w:val="2B477B"/>
        </w:rPr>
        <w:t>859</w:t>
      </w:r>
      <w:r>
        <w:rPr>
          <w:rFonts w:ascii="Arial Unicode MS" w:eastAsia="Arial Unicode MS" w:hAnsi="Arial Unicode MS" w:cs="Arial Unicode MS"/>
          <w:color w:val="2B477B"/>
        </w:rPr>
        <w:t>X;</w:t>
      </w:r>
      <w:r>
        <w:rPr>
          <w:color w:val="2B477B"/>
        </w:rPr>
        <w:t xml:space="preserve"> </w:t>
      </w:r>
      <w:r>
        <w:rPr>
          <w:rFonts w:ascii="Arial Unicode MS" w:eastAsia="Arial Unicode MS" w:hAnsi="Arial Unicode MS" w:cs="Arial Unicode MS"/>
          <w:color w:val="2B477B"/>
        </w:rPr>
        <w:t>Albrecht,</w:t>
      </w:r>
      <w:r>
        <w:rPr>
          <w:color w:val="2B477B"/>
        </w:rPr>
        <w:t xml:space="preserve"> </w:t>
      </w:r>
      <w:r>
        <w:rPr>
          <w:rFonts w:ascii="Arial Unicode MS" w:eastAsia="Arial Unicode MS" w:hAnsi="Arial Unicode MS" w:cs="Arial Unicode MS"/>
          <w:color w:val="2B477B"/>
        </w:rPr>
        <w:t>Gary</w:t>
      </w:r>
      <w:r>
        <w:rPr>
          <w:color w:val="2B477B"/>
        </w:rPr>
        <w:t xml:space="preserve"> </w:t>
      </w:r>
      <w:r>
        <w:rPr>
          <w:rFonts w:ascii="Arial Unicode MS" w:eastAsia="Arial Unicode MS" w:hAnsi="Arial Unicode MS" w:cs="Arial Unicode MS"/>
          <w:color w:val="2B477B"/>
        </w:rPr>
        <w:t>L.,</w:t>
      </w:r>
      <w:r>
        <w:rPr>
          <w:color w:val="2B477B"/>
        </w:rPr>
        <w:t xml:space="preserve"> </w:t>
      </w:r>
      <w:hyperlink r:id="rId8" w:history="1">
        <w:proofErr w:type="spellStart"/>
        <w:r>
          <w:rPr>
            <w:rStyle w:val="Hyperlink0"/>
            <w:rFonts w:ascii="Arial Unicode MS" w:eastAsia="Arial Unicode MS" w:hAnsi="Arial Unicode MS" w:cs="Arial Unicode MS"/>
          </w:rPr>
          <w:t>The</w:t>
        </w:r>
        <w:proofErr w:type="spellEnd"/>
        <w:r>
          <w:rPr>
            <w:rStyle w:val="Hyperlink0"/>
          </w:rPr>
          <w:t xml:space="preserve"> </w:t>
        </w:r>
        <w:proofErr w:type="spellStart"/>
        <w:r>
          <w:rPr>
            <w:rStyle w:val="Hyperlink0"/>
            <w:rFonts w:ascii="Arial Unicode MS" w:eastAsia="Arial Unicode MS" w:hAnsi="Arial Unicode MS" w:cs="Arial Unicode MS"/>
          </w:rPr>
          <w:t>Disability</w:t>
        </w:r>
        <w:proofErr w:type="spellEnd"/>
        <w:r>
          <w:rPr>
            <w:rStyle w:val="Hyperlink0"/>
          </w:rPr>
          <w:t xml:space="preserve"> </w:t>
        </w:r>
        <w:r>
          <w:rPr>
            <w:rStyle w:val="Hyperlink0"/>
            <w:rFonts w:ascii="Arial Unicode MS" w:eastAsia="Arial Unicode MS" w:hAnsi="Arial Unicode MS" w:cs="Arial Unicode MS"/>
          </w:rPr>
          <w:t>Business:</w:t>
        </w:r>
        <w:r>
          <w:rPr>
            <w:rStyle w:val="Hyperlink0"/>
          </w:rPr>
          <w:t xml:space="preserve"> </w:t>
        </w:r>
        <w:proofErr w:type="spellStart"/>
        <w:r>
          <w:rPr>
            <w:rStyle w:val="Hyperlink0"/>
            <w:rFonts w:ascii="Arial Unicode MS" w:eastAsia="Arial Unicode MS" w:hAnsi="Arial Unicode MS" w:cs="Arial Unicode MS"/>
          </w:rPr>
          <w:t>Rehabilitation</w:t>
        </w:r>
        <w:proofErr w:type="spellEnd"/>
        <w:r>
          <w:rPr>
            <w:rStyle w:val="Hyperlink0"/>
          </w:rPr>
          <w:t xml:space="preserve"> </w:t>
        </w:r>
        <w:r>
          <w:rPr>
            <w:rStyle w:val="Hyperlink0"/>
            <w:rFonts w:ascii="Arial Unicode MS" w:eastAsia="Arial Unicode MS" w:hAnsi="Arial Unicode MS" w:cs="Arial Unicode MS"/>
          </w:rPr>
          <w:t>in</w:t>
        </w:r>
        <w:r>
          <w:rPr>
            <w:rStyle w:val="Hyperlink0"/>
          </w:rPr>
          <w:t xml:space="preserve"> </w:t>
        </w:r>
        <w:proofErr w:type="spellStart"/>
        <w:r>
          <w:rPr>
            <w:rStyle w:val="Hyperlink0"/>
            <w:rFonts w:ascii="Arial Unicode MS" w:eastAsia="Arial Unicode MS" w:hAnsi="Arial Unicode MS" w:cs="Arial Unicode MS"/>
          </w:rPr>
          <w:t>America</w:t>
        </w:r>
        <w:proofErr w:type="spellEnd"/>
      </w:hyperlink>
      <w:r>
        <w:rPr>
          <w:color w:val="2B477B"/>
        </w:rPr>
        <w:t xml:space="preserve"> </w:t>
      </w:r>
      <w:r>
        <w:rPr>
          <w:rFonts w:ascii="Arial Unicode MS" w:eastAsia="Arial Unicode MS" w:hAnsi="Arial Unicode MS" w:cs="Arial Unicode MS"/>
          <w:color w:val="2B477B"/>
        </w:rPr>
        <w:t>SAGE</w:t>
      </w:r>
      <w:r>
        <w:rPr>
          <w:color w:val="2B477B"/>
        </w:rPr>
        <w:t xml:space="preserve"> </w:t>
      </w:r>
      <w:r>
        <w:rPr>
          <w:rFonts w:ascii="Arial Unicode MS" w:eastAsia="Arial Unicode MS" w:hAnsi="Arial Unicode MS" w:cs="Arial Unicode MS"/>
          <w:color w:val="2B477B"/>
        </w:rPr>
        <w:t>Publicaciones,</w:t>
      </w:r>
      <w:r>
        <w:rPr>
          <w:color w:val="2B477B"/>
        </w:rPr>
        <w:t xml:space="preserve"> </w:t>
      </w:r>
      <w:proofErr w:type="spellStart"/>
      <w:r>
        <w:rPr>
          <w:rFonts w:ascii="Arial Unicode MS" w:eastAsia="Arial Unicode MS" w:hAnsi="Arial Unicode MS" w:cs="Arial Unicode MS"/>
          <w:color w:val="2B477B"/>
        </w:rPr>
        <w:t>Inc</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mayo</w:t>
      </w:r>
      <w:r>
        <w:rPr>
          <w:color w:val="2B477B"/>
        </w:rPr>
        <w:t xml:space="preserve"> 30 </w:t>
      </w:r>
      <w:r>
        <w:rPr>
          <w:rFonts w:ascii="Arial Unicode MS" w:eastAsia="Arial Unicode MS" w:hAnsi="Arial Unicode MS" w:cs="Arial Unicode MS"/>
          <w:color w:val="2B477B"/>
        </w:rPr>
        <w:t>de</w:t>
      </w:r>
      <w:r>
        <w:rPr>
          <w:color w:val="2B477B"/>
        </w:rPr>
        <w:t xml:space="preserve"> 1992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Molina</w:t>
      </w:r>
      <w:r>
        <w:rPr>
          <w:color w:val="2B477B"/>
        </w:rPr>
        <w:t xml:space="preserve"> </w:t>
      </w:r>
      <w:r>
        <w:rPr>
          <w:rFonts w:ascii="Arial Unicode MS" w:eastAsia="Arial Unicode MS" w:hAnsi="Arial Unicode MS" w:cs="Arial Unicode MS"/>
          <w:color w:val="2B477B"/>
        </w:rPr>
        <w:t>Toledo,</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‘normal’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‘nueva</w:t>
      </w:r>
      <w:r>
        <w:rPr>
          <w:color w:val="2B477B"/>
        </w:rPr>
        <w:t xml:space="preserve"> </w:t>
      </w:r>
      <w:r>
        <w:rPr>
          <w:rFonts w:ascii="Arial Unicode MS" w:eastAsia="Arial Unicode MS" w:hAnsi="Arial Unicode MS" w:cs="Arial Unicode MS"/>
          <w:color w:val="2B477B"/>
        </w:rPr>
        <w:t>normalidad?”,</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pág.</w:t>
      </w:r>
      <w:r>
        <w:rPr>
          <w:color w:val="2B477B"/>
        </w:rPr>
        <w:t xml:space="preserve"> 24</w:t>
      </w:r>
      <w:r>
        <w:rPr>
          <w:rFonts w:ascii="Arial Unicode MS" w:eastAsia="Arial Unicode MS" w:hAnsi="Arial Unicode MS" w:cs="Arial Unicode MS"/>
          <w:color w:val="2B477B"/>
        </w:rPr>
        <w:t>.</w:t>
      </w:r>
    </w:p>
  </w:footnote>
  <w:footnote w:id="8">
    <w:p w14:paraId="3D7F0C8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Mundial</w:t>
      </w:r>
      <w:r>
        <w:rPr>
          <w:color w:val="2B477B"/>
        </w:rPr>
        <w:t xml:space="preserve"> </w:t>
      </w:r>
      <w:r>
        <w:rPr>
          <w:rFonts w:ascii="Arial Unicode MS" w:eastAsia="Arial Unicode MS" w:hAnsi="Arial Unicode MS" w:cs="Arial Unicode MS"/>
          <w:color w:val="2B477B"/>
        </w:rPr>
        <w:t>(GBM),</w:t>
      </w:r>
      <w:r>
        <w:rPr>
          <w:color w:val="2B477B"/>
        </w:rPr>
        <w:t xml:space="preserve"> </w:t>
      </w:r>
      <w:r>
        <w:rPr>
          <w:rFonts w:ascii="Arial Unicode MS" w:eastAsia="Arial Unicode MS" w:hAnsi="Arial Unicode MS" w:cs="Arial Unicode MS"/>
          <w:color w:val="2B477B"/>
        </w:rPr>
        <w:t>I</w:t>
      </w:r>
      <w:hyperlink r:id="rId9" w:history="1">
        <w:r>
          <w:rPr>
            <w:rStyle w:val="Hyperlink1"/>
            <w:rFonts w:ascii="Arial Unicode MS" w:eastAsia="Arial Unicode MS" w:hAnsi="Arial Unicode MS" w:cs="Arial Unicode MS"/>
            <w:u w:val="single"/>
          </w:rPr>
          <w:t>nclusión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en</w:t>
        </w:r>
        <w:r>
          <w:rPr>
            <w:rStyle w:val="Hyperlink1"/>
            <w:u w:val="single"/>
          </w:rPr>
          <w:t xml:space="preserve"> </w:t>
        </w:r>
        <w:r>
          <w:rPr>
            <w:rStyle w:val="Hyperlink1"/>
            <w:rFonts w:ascii="Arial Unicode MS" w:eastAsia="Arial Unicode MS" w:hAnsi="Arial Unicode MS" w:cs="Arial Unicode MS"/>
            <w:u w:val="single"/>
          </w:rPr>
          <w:t>América</w:t>
        </w:r>
        <w:r>
          <w:rPr>
            <w:rStyle w:val="Hyperlink1"/>
            <w:u w:val="single"/>
          </w:rPr>
          <w:t xml:space="preserve"> </w:t>
        </w:r>
        <w:r>
          <w:rPr>
            <w:rStyle w:val="Hyperlink1"/>
            <w:rFonts w:ascii="Arial Unicode MS" w:eastAsia="Arial Unicode MS" w:hAnsi="Arial Unicode MS" w:cs="Arial Unicode MS"/>
            <w:u w:val="single"/>
          </w:rPr>
          <w:t>Latina</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Caribe:</w:t>
        </w:r>
        <w:r>
          <w:rPr>
            <w:rStyle w:val="Hyperlink1"/>
            <w:u w:val="single"/>
          </w:rPr>
          <w:t xml:space="preserve"> </w:t>
        </w:r>
        <w:r>
          <w:rPr>
            <w:rStyle w:val="Hyperlink1"/>
            <w:rFonts w:ascii="Arial Unicode MS" w:eastAsia="Arial Unicode MS" w:hAnsi="Arial Unicode MS" w:cs="Arial Unicode MS"/>
            <w:u w:val="single"/>
          </w:rPr>
          <w:t>Un</w:t>
        </w:r>
        <w:r>
          <w:rPr>
            <w:rStyle w:val="Hyperlink1"/>
            <w:u w:val="single"/>
          </w:rPr>
          <w:t xml:space="preserve"> </w:t>
        </w:r>
        <w:r>
          <w:rPr>
            <w:rStyle w:val="Hyperlink1"/>
            <w:rFonts w:ascii="Arial Unicode MS" w:eastAsia="Arial Unicode MS" w:hAnsi="Arial Unicode MS" w:cs="Arial Unicode MS"/>
            <w:u w:val="single"/>
          </w:rPr>
          <w:t>camino</w:t>
        </w:r>
        <w:r>
          <w:rPr>
            <w:rStyle w:val="Hyperlink1"/>
            <w:u w:val="single"/>
          </w:rPr>
          <w:t xml:space="preserve"> </w:t>
        </w:r>
        <w:r>
          <w:rPr>
            <w:rStyle w:val="Hyperlink1"/>
            <w:rFonts w:ascii="Arial Unicode MS" w:eastAsia="Arial Unicode MS" w:hAnsi="Arial Unicode MS" w:cs="Arial Unicode MS"/>
            <w:u w:val="single"/>
          </w:rPr>
          <w:t>hacia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desarrollo</w:t>
        </w:r>
        <w:r>
          <w:rPr>
            <w:rStyle w:val="Hyperlink1"/>
            <w:u w:val="single"/>
          </w:rPr>
          <w:t xml:space="preserve"> </w:t>
        </w:r>
        <w:r>
          <w:rPr>
            <w:rStyle w:val="Hyperlink1"/>
            <w:rFonts w:ascii="Arial Unicode MS" w:eastAsia="Arial Unicode MS" w:hAnsi="Arial Unicode MS" w:cs="Arial Unicode MS"/>
            <w:u w:val="single"/>
          </w:rPr>
          <w:t>sostenible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8</w:t>
      </w:r>
      <w:r>
        <w:rPr>
          <w:rFonts w:ascii="Arial Unicode MS" w:eastAsia="Arial Unicode MS" w:hAnsi="Arial Unicode MS" w:cs="Arial Unicode MS"/>
          <w:color w:val="2B477B"/>
        </w:rPr>
        <w:t>.</w:t>
      </w:r>
    </w:p>
  </w:footnote>
  <w:footnote w:id="9">
    <w:p w14:paraId="4E0F4EE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destaca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prevalencia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muy</w:t>
      </w:r>
      <w:r>
        <w:rPr>
          <w:color w:val="2B477B"/>
        </w:rPr>
        <w:t xml:space="preserve"> </w:t>
      </w:r>
      <w:r>
        <w:rPr>
          <w:rFonts w:ascii="Arial Unicode MS" w:eastAsia="Arial Unicode MS" w:hAnsi="Arial Unicode MS" w:cs="Arial Unicode MS"/>
          <w:color w:val="2B477B"/>
        </w:rPr>
        <w:t>pronunciada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afrodescendientes,</w:t>
      </w:r>
      <w:r>
        <w:rPr>
          <w:color w:val="2B477B"/>
        </w:rPr>
        <w:t xml:space="preserve"> </w:t>
      </w:r>
      <w:r>
        <w:rPr>
          <w:rFonts w:ascii="Arial Unicode MS" w:eastAsia="Arial Unicode MS" w:hAnsi="Arial Unicode MS" w:cs="Arial Unicode MS"/>
          <w:color w:val="2B477B"/>
        </w:rPr>
        <w:t>indígenas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pobres,</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ingresos</w:t>
      </w:r>
      <w:r>
        <w:rPr>
          <w:color w:val="2B477B"/>
        </w:rPr>
        <w:t xml:space="preserve"> </w:t>
      </w:r>
      <w:r>
        <w:rPr>
          <w:rFonts w:ascii="Arial Unicode MS" w:eastAsia="Arial Unicode MS" w:hAnsi="Arial Unicode MS" w:cs="Arial Unicode MS"/>
          <w:color w:val="2B477B"/>
        </w:rPr>
        <w:t>bajos,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quintil</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pobre.</w:t>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hay</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riesgos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adquirir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vivir</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situación</w:t>
      </w:r>
      <w:r>
        <w:rPr>
          <w:color w:val="2B477B"/>
        </w:rPr>
        <w:t xml:space="preserve"> </w:t>
      </w:r>
      <w:proofErr w:type="spellStart"/>
      <w:r>
        <w:rPr>
          <w:rFonts w:ascii="Arial Unicode MS" w:eastAsia="Arial Unicode MS" w:hAnsi="Arial Unicode MS" w:cs="Arial Unicode MS"/>
          <w:color w:val="2B477B"/>
        </w:rPr>
        <w:t>discapacitante</w:t>
      </w:r>
      <w:proofErr w:type="spellEnd"/>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zonas</w:t>
      </w:r>
      <w:r>
        <w:rPr>
          <w:color w:val="2B477B"/>
        </w:rPr>
        <w:t xml:space="preserve"> </w:t>
      </w:r>
      <w:r>
        <w:rPr>
          <w:rFonts w:ascii="Arial Unicode MS" w:eastAsia="Arial Unicode MS" w:hAnsi="Arial Unicode MS" w:cs="Arial Unicode MS"/>
          <w:color w:val="2B477B"/>
        </w:rPr>
        <w:t>rurales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urbanas,</w:t>
      </w:r>
      <w:r>
        <w:rPr>
          <w:color w:val="2B477B"/>
        </w:rPr>
        <w:t xml:space="preserve"> </w:t>
      </w:r>
      <w:r>
        <w:rPr>
          <w:rFonts w:ascii="Arial Unicode MS" w:eastAsia="Arial Unicode MS" w:hAnsi="Arial Unicode MS" w:cs="Arial Unicode MS"/>
          <w:color w:val="2B477B"/>
        </w:rPr>
        <w:t>independientemente</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género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diversidad.</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Económica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América</w:t>
      </w:r>
      <w:r>
        <w:rPr>
          <w:color w:val="2B477B"/>
        </w:rPr>
        <w:t xml:space="preserve"> </w:t>
      </w:r>
      <w:r>
        <w:rPr>
          <w:rFonts w:ascii="Arial Unicode MS" w:eastAsia="Arial Unicode MS" w:hAnsi="Arial Unicode MS" w:cs="Arial Unicode MS"/>
          <w:color w:val="2B477B"/>
        </w:rPr>
        <w:t>Latina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Caribe</w:t>
      </w:r>
      <w:r>
        <w:rPr>
          <w:color w:val="2B477B"/>
        </w:rPr>
        <w:t xml:space="preserve"> </w:t>
      </w:r>
      <w:r>
        <w:rPr>
          <w:rFonts w:ascii="Arial Unicode MS" w:eastAsia="Arial Unicode MS" w:hAnsi="Arial Unicode MS" w:cs="Arial Unicode MS"/>
          <w:color w:val="2B477B"/>
        </w:rPr>
        <w:t>(CEPAL),</w:t>
      </w:r>
      <w:r>
        <w:rPr>
          <w:color w:val="2B477B"/>
        </w:rPr>
        <w:t xml:space="preserve"> </w:t>
      </w:r>
      <w:hyperlink r:id="rId10" w:history="1">
        <w:r>
          <w:rPr>
            <w:rStyle w:val="Hyperlink1"/>
            <w:rFonts w:ascii="Arial Unicode MS" w:eastAsia="Arial Unicode MS" w:hAnsi="Arial Unicode MS" w:cs="Arial Unicode MS"/>
            <w:u w:val="single"/>
          </w:rPr>
          <w:t>Panorama</w:t>
        </w:r>
        <w:r>
          <w:rPr>
            <w:rStyle w:val="Hyperlink1"/>
            <w:u w:val="single"/>
          </w:rPr>
          <w:t xml:space="preserve"> </w:t>
        </w:r>
        <w:r>
          <w:rPr>
            <w:rStyle w:val="Hyperlink1"/>
            <w:rFonts w:ascii="Arial Unicode MS" w:eastAsia="Arial Unicode MS" w:hAnsi="Arial Unicode MS" w:cs="Arial Unicode MS"/>
            <w:u w:val="single"/>
          </w:rPr>
          <w:t>Social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América</w:t>
        </w:r>
        <w:r>
          <w:rPr>
            <w:rStyle w:val="Hyperlink1"/>
            <w:u w:val="single"/>
          </w:rPr>
          <w:t xml:space="preserve"> </w:t>
        </w:r>
        <w:r>
          <w:rPr>
            <w:rStyle w:val="Hyperlink1"/>
            <w:rFonts w:ascii="Arial Unicode MS" w:eastAsia="Arial Unicode MS" w:hAnsi="Arial Unicode MS" w:cs="Arial Unicode MS"/>
            <w:u w:val="single"/>
          </w:rPr>
          <w:t>Latina</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Caribe,</w:t>
        </w:r>
        <w:r>
          <w:rPr>
            <w:rStyle w:val="Hyperlink1"/>
            <w:u w:val="single"/>
          </w:rPr>
          <w:t xml:space="preserve"> 2012</w:t>
        </w:r>
        <w:r>
          <w:rPr>
            <w:rStyle w:val="Hyperlink1"/>
            <w:rFonts w:ascii="Arial Unicode MS" w:eastAsia="Arial Unicode MS" w:hAnsi="Arial Unicode MS" w:cs="Arial Unicode MS"/>
            <w:u w:val="single"/>
          </w:rPr>
          <w:t>.</w:t>
        </w:r>
      </w:hyperlink>
    </w:p>
  </w:footnote>
  <w:footnote w:id="10">
    <w:p w14:paraId="3C53144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11" w:history="1">
        <w:r>
          <w:rPr>
            <w:rStyle w:val="Hyperlink0"/>
            <w:rFonts w:ascii="Arial Unicode MS" w:eastAsia="Arial Unicode MS" w:hAnsi="Arial Unicode MS" w:cs="Arial Unicode MS"/>
          </w:rPr>
          <w:t>Observación</w:t>
        </w:r>
        <w:r>
          <w:rPr>
            <w:rStyle w:val="Hyperlink0"/>
          </w:rPr>
          <w:t xml:space="preserve"> </w:t>
        </w:r>
        <w:r>
          <w:rPr>
            <w:rStyle w:val="Hyperlink0"/>
            <w:rFonts w:ascii="Arial Unicode MS" w:eastAsia="Arial Unicode MS" w:hAnsi="Arial Unicode MS" w:cs="Arial Unicode MS"/>
          </w:rPr>
          <w:t>general</w:t>
        </w:r>
        <w:r>
          <w:rPr>
            <w:rStyle w:val="Hyperlink0"/>
          </w:rPr>
          <w:t xml:space="preserve"> </w:t>
        </w:r>
        <w:r>
          <w:rPr>
            <w:rStyle w:val="Hyperlink0"/>
            <w:rFonts w:ascii="Arial Unicode MS" w:eastAsia="Arial Unicode MS" w:hAnsi="Arial Unicode MS" w:cs="Arial Unicode MS"/>
          </w:rPr>
          <w:t>núm.</w:t>
        </w:r>
        <w:r>
          <w:rPr>
            <w:rStyle w:val="Hyperlink0"/>
          </w:rPr>
          <w:t xml:space="preserve"> 6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igualdad</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no</w:t>
        </w:r>
        <w:r>
          <w:rPr>
            <w:rStyle w:val="Hyperlink0"/>
          </w:rPr>
          <w:t xml:space="preserve"> </w:t>
        </w:r>
        <w:r>
          <w:rPr>
            <w:rStyle w:val="Hyperlink0"/>
            <w:rFonts w:ascii="Arial Unicode MS" w:eastAsia="Arial Unicode MS" w:hAnsi="Arial Unicode MS" w:cs="Arial Unicode MS"/>
          </w:rPr>
          <w:t>discriminación</w:t>
        </w:r>
      </w:hyperlink>
      <w:r>
        <w:rPr>
          <w:rFonts w:ascii="Arial Unicode MS" w:eastAsia="Arial Unicode MS" w:hAnsi="Arial Unicode MS" w:cs="Arial Unicode MS"/>
          <w:color w:val="2B477B"/>
        </w:rPr>
        <w:t>,</w:t>
      </w:r>
      <w:r>
        <w:rPr>
          <w:color w:val="2B477B"/>
        </w:rPr>
        <w:t xml:space="preserve"> 2018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9</w:t>
      </w:r>
      <w:r>
        <w:rPr>
          <w:rFonts w:ascii="Arial Unicode MS" w:eastAsia="Arial Unicode MS" w:hAnsi="Arial Unicode MS" w:cs="Arial Unicode MS"/>
          <w:color w:val="2B477B"/>
        </w:rPr>
        <w:t>.</w:t>
      </w:r>
      <w:r>
        <w:rPr>
          <w:color w:val="2B477B"/>
        </w:rPr>
        <w:t xml:space="preserve"> </w:t>
      </w:r>
    </w:p>
  </w:footnote>
  <w:footnote w:id="11">
    <w:p w14:paraId="5A3D437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Americanos</w:t>
      </w:r>
      <w:r>
        <w:rPr>
          <w:color w:val="2B477B"/>
        </w:rPr>
        <w:t xml:space="preserve"> </w:t>
      </w:r>
      <w:r>
        <w:rPr>
          <w:rFonts w:ascii="Arial Unicode MS" w:eastAsia="Arial Unicode MS" w:hAnsi="Arial Unicode MS" w:cs="Arial Unicode MS"/>
          <w:color w:val="2B477B"/>
        </w:rPr>
        <w:t>(OEA),</w:t>
      </w:r>
      <w:r>
        <w:rPr>
          <w:color w:val="2B477B"/>
        </w:rPr>
        <w:t xml:space="preserve"> </w:t>
      </w:r>
      <w:hyperlink r:id="rId12"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65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Guatemala,</w:t>
      </w:r>
      <w:r>
        <w:rPr>
          <w:color w:val="2B477B"/>
        </w:rPr>
        <w:t xml:space="preserve"> 1999</w:t>
      </w:r>
      <w:r>
        <w:rPr>
          <w:rFonts w:ascii="Arial Unicode MS" w:eastAsia="Arial Unicode MS" w:hAnsi="Arial Unicode MS" w:cs="Arial Unicode MS"/>
          <w:color w:val="2B477B"/>
        </w:rPr>
        <w:t>.</w:t>
      </w:r>
      <w:r>
        <w:rPr>
          <w:color w:val="2B477B"/>
        </w:rPr>
        <w:t xml:space="preserve"> </w:t>
      </w:r>
    </w:p>
  </w:footnote>
  <w:footnote w:id="12">
    <w:p w14:paraId="7B518F4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13" w:history="1">
        <w:r>
          <w:rPr>
            <w:rFonts w:ascii="Arial Unicode MS" w:eastAsia="Arial Unicode MS" w:hAnsi="Arial Unicode MS" w:cs="Arial Unicode MS"/>
            <w:color w:val="2B477B"/>
          </w:rPr>
          <w:t>Convenci</w:t>
        </w:r>
      </w:hyperlink>
      <w:hyperlink r:id="rId14" w:history="1">
        <w:r>
          <w:rPr>
            <w:rFonts w:ascii="Arial Unicode MS" w:eastAsia="Arial Unicode MS" w:hAnsi="Arial Unicode MS" w:cs="Arial Unicode MS"/>
            <w:color w:val="2B477B"/>
          </w:rPr>
          <w:t>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Preámbulo,</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define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sino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apuntando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carácter</w:t>
      </w:r>
      <w:r>
        <w:rPr>
          <w:color w:val="2B477B"/>
        </w:rPr>
        <w:t xml:space="preserve"> </w:t>
      </w:r>
      <w:r>
        <w:rPr>
          <w:rFonts w:ascii="Arial Unicode MS" w:eastAsia="Arial Unicode MS" w:hAnsi="Arial Unicode MS" w:cs="Arial Unicode MS"/>
          <w:color w:val="2B477B"/>
        </w:rPr>
        <w:t>evolutivo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fenómeno.</w:t>
      </w:r>
      <w:r>
        <w:rPr>
          <w:color w:val="2B477B"/>
        </w:rPr>
        <w:t xml:space="preserve"> </w:t>
      </w:r>
    </w:p>
  </w:footnote>
  <w:footnote w:id="13">
    <w:p w14:paraId="02F39F32"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Palacios,</w:t>
      </w:r>
      <w:r>
        <w:t xml:space="preserve"> </w:t>
      </w:r>
      <w:r>
        <w:rPr>
          <w:rFonts w:ascii="Arial Unicode MS" w:eastAsia="Arial Unicode MS" w:hAnsi="Arial Unicode MS" w:cs="Arial Unicode MS"/>
        </w:rPr>
        <w:t>Agustina,</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modelo</w:t>
      </w:r>
      <w:r>
        <w:t xml:space="preserve"> </w:t>
      </w:r>
      <w:r>
        <w:rPr>
          <w:rFonts w:ascii="Arial Unicode MS" w:eastAsia="Arial Unicode MS" w:hAnsi="Arial Unicode MS" w:cs="Arial Unicode MS"/>
        </w:rPr>
        <w:t>social</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discapacidad”,</w:t>
      </w:r>
      <w:r>
        <w:t xml:space="preserve"> </w:t>
      </w:r>
      <w:r>
        <w:rPr>
          <w:rFonts w:ascii="Helvetica LT Std Oblique" w:hAnsi="Helvetica LT Std Oblique"/>
        </w:rPr>
        <w:t>Nueve Conceptos Claves para entender la Convención sobre los Derechos de las Personas con Discapacidad</w:t>
      </w:r>
      <w:r>
        <w:rPr>
          <w:rFonts w:ascii="Arial Unicode MS" w:eastAsia="Arial Unicode MS" w:hAnsi="Arial Unicode MS" w:cs="Arial Unicode MS"/>
        </w:rPr>
        <w:t>,</w:t>
      </w:r>
      <w:r>
        <w:t xml:space="preserve"> </w:t>
      </w:r>
      <w:r>
        <w:rPr>
          <w:rFonts w:ascii="Arial Unicode MS" w:eastAsia="Arial Unicode MS" w:hAnsi="Arial Unicode MS" w:cs="Arial Unicode MS"/>
        </w:rPr>
        <w:t>Pontificia</w:t>
      </w:r>
      <w:r>
        <w:t xml:space="preserve"> </w:t>
      </w:r>
      <w:r>
        <w:rPr>
          <w:rFonts w:ascii="Arial Unicode MS" w:eastAsia="Arial Unicode MS" w:hAnsi="Arial Unicode MS" w:cs="Arial Unicode MS"/>
        </w:rPr>
        <w:t>Universidad</w:t>
      </w:r>
      <w:r>
        <w:t xml:space="preserve"> </w:t>
      </w:r>
      <w:r>
        <w:rPr>
          <w:rFonts w:ascii="Arial Unicode MS" w:eastAsia="Arial Unicode MS" w:hAnsi="Arial Unicode MS" w:cs="Arial Unicode MS"/>
        </w:rPr>
        <w:t>Católica</w:t>
      </w:r>
      <w:r>
        <w:t xml:space="preserve"> </w:t>
      </w:r>
      <w:r>
        <w:rPr>
          <w:rFonts w:ascii="Arial Unicode MS" w:eastAsia="Arial Unicode MS" w:hAnsi="Arial Unicode MS" w:cs="Arial Unicode MS"/>
        </w:rPr>
        <w:t>del</w:t>
      </w:r>
      <w:r>
        <w:t xml:space="preserve"> </w:t>
      </w:r>
      <w:r>
        <w:rPr>
          <w:rFonts w:ascii="Arial Unicode MS" w:eastAsia="Arial Unicode MS" w:hAnsi="Arial Unicode MS" w:cs="Arial Unicode MS"/>
        </w:rPr>
        <w:t>Perú,</w:t>
      </w:r>
      <w:r>
        <w:t xml:space="preserve"> </w:t>
      </w:r>
      <w:r>
        <w:rPr>
          <w:rFonts w:ascii="Arial Unicode MS" w:eastAsia="Arial Unicode MS" w:hAnsi="Arial Unicode MS" w:cs="Arial Unicode MS"/>
        </w:rPr>
        <w:t>febrero</w:t>
      </w:r>
      <w:r>
        <w:t xml:space="preserve"> </w:t>
      </w:r>
      <w:r>
        <w:rPr>
          <w:rFonts w:ascii="Arial Unicode MS" w:eastAsia="Arial Unicode MS" w:hAnsi="Arial Unicode MS" w:cs="Arial Unicode MS"/>
        </w:rPr>
        <w:t>de</w:t>
      </w:r>
      <w:r>
        <w:t xml:space="preserve"> 2015</w:t>
      </w:r>
      <w:r>
        <w:rPr>
          <w:rFonts w:ascii="Arial Unicode MS" w:eastAsia="Arial Unicode MS" w:hAnsi="Arial Unicode MS" w:cs="Arial Unicode MS"/>
        </w:rPr>
        <w:t>,</w:t>
      </w:r>
      <w:r>
        <w:t xml:space="preserve"> </w:t>
      </w:r>
      <w:r>
        <w:rPr>
          <w:rFonts w:ascii="Arial Unicode MS" w:eastAsia="Arial Unicode MS" w:hAnsi="Arial Unicode MS" w:cs="Arial Unicode MS"/>
        </w:rPr>
        <w:t>págs.</w:t>
      </w:r>
      <w:r>
        <w:t xml:space="preserve"> 9</w:t>
      </w:r>
      <w:r>
        <w:rPr>
          <w:rFonts w:ascii="Arial Unicode MS" w:eastAsia="Arial Unicode MS" w:hAnsi="Arial Unicode MS" w:cs="Arial Unicode MS"/>
        </w:rPr>
        <w:t>-</w:t>
      </w:r>
      <w:r>
        <w:t>33</w:t>
      </w:r>
      <w:r>
        <w:rPr>
          <w:rFonts w:ascii="Arial Unicode MS" w:eastAsia="Arial Unicode MS" w:hAnsi="Arial Unicode MS" w:cs="Arial Unicode MS"/>
        </w:rPr>
        <w:t>.</w:t>
      </w:r>
      <w:r>
        <w:t xml:space="preserve"> </w:t>
      </w:r>
    </w:p>
  </w:footnote>
  <w:footnote w:id="14">
    <w:p w14:paraId="572EFE6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agradece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valiosa</w:t>
      </w:r>
      <w:r>
        <w:rPr>
          <w:color w:val="2B477B"/>
        </w:rPr>
        <w:t xml:space="preserve"> </w:t>
      </w:r>
      <w:r>
        <w:rPr>
          <w:rFonts w:ascii="Arial Unicode MS" w:eastAsia="Arial Unicode MS" w:hAnsi="Arial Unicode MS" w:cs="Arial Unicode MS"/>
          <w:color w:val="2B477B"/>
        </w:rPr>
        <w:t>contribución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Belice,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Guyana,</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Jamaica,</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envío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insumos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construcción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hasta</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15">
    <w:p w14:paraId="40E1B871" w14:textId="77777777" w:rsidR="001A105D" w:rsidRDefault="00000000">
      <w:pPr>
        <w:pStyle w:val="Body"/>
        <w:jc w:val="left"/>
      </w:pPr>
      <w:r>
        <w:rPr>
          <w:color w:val="2B477B"/>
          <w:u w:color="201F1E"/>
          <w:vertAlign w:val="superscript"/>
        </w:rPr>
        <w:footnoteRef/>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agradece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valiosa</w:t>
      </w:r>
      <w:r>
        <w:rPr>
          <w:color w:val="2B477B"/>
        </w:rPr>
        <w:t xml:space="preserve"> </w:t>
      </w:r>
      <w:r>
        <w:rPr>
          <w:rFonts w:ascii="Arial Unicode MS" w:eastAsia="Arial Unicode MS" w:hAnsi="Arial Unicode MS" w:cs="Arial Unicode MS"/>
          <w:color w:val="2B477B"/>
        </w:rPr>
        <w:t>contribución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diversas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w:t>
      </w:r>
      <w:r>
        <w:rPr>
          <w:rFonts w:ascii="Arial Unicode MS" w:eastAsia="Arial Unicode MS" w:hAnsi="Arial Unicode MS" w:cs="Arial Unicode MS"/>
          <w:color w:val="2B477B"/>
        </w:rPr>
        <w:t>tales</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EDDHIAC</w:t>
      </w:r>
      <w:r>
        <w:rPr>
          <w:color w:val="2B477B"/>
        </w:rPr>
        <w:t xml:space="preserve"> </w:t>
      </w:r>
      <w:r>
        <w:rPr>
          <w:rFonts w:ascii="Arial Unicode MS" w:eastAsia="Arial Unicode MS" w:hAnsi="Arial Unicode MS" w:cs="Arial Unicode MS"/>
          <w:color w:val="2B477B"/>
        </w:rPr>
        <w:t>INTERNATIONAL,</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Tercera</w:t>
      </w:r>
      <w:r>
        <w:rPr>
          <w:color w:val="2B477B"/>
        </w:rPr>
        <w:t xml:space="preserve"> </w:t>
      </w:r>
      <w:r>
        <w:rPr>
          <w:rFonts w:ascii="Arial Unicode MS" w:eastAsia="Arial Unicode MS" w:hAnsi="Arial Unicode MS" w:cs="Arial Unicode MS"/>
          <w:color w:val="2B477B"/>
        </w:rPr>
        <w:t>Edad</w:t>
      </w:r>
      <w:r>
        <w:rPr>
          <w:color w:val="2B477B"/>
        </w:rPr>
        <w:t xml:space="preserve"> </w:t>
      </w:r>
      <w:r>
        <w:rPr>
          <w:rFonts w:ascii="Arial Unicode MS" w:eastAsia="Arial Unicode MS" w:hAnsi="Arial Unicode MS" w:cs="Arial Unicode MS"/>
          <w:color w:val="2B477B"/>
        </w:rPr>
        <w:t>“IZAMBA</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BARRERAS”,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Barreras</w:t>
      </w:r>
      <w:r>
        <w:rPr>
          <w:color w:val="2B477B"/>
        </w:rPr>
        <w:t xml:space="preserve"> </w:t>
      </w:r>
      <w:r>
        <w:rPr>
          <w:rFonts w:ascii="Arial Unicode MS" w:eastAsia="Arial Unicode MS" w:hAnsi="Arial Unicode MS" w:cs="Arial Unicode MS"/>
          <w:color w:val="2B477B"/>
        </w:rPr>
        <w:t>AC</w:t>
      </w:r>
      <w:r>
        <w:rPr>
          <w:color w:val="2B477B"/>
        </w:rPr>
        <w:t xml:space="preserve"> </w:t>
      </w:r>
      <w:r>
        <w:rPr>
          <w:rFonts w:ascii="Arial Unicode MS" w:eastAsia="Arial Unicode MS" w:hAnsi="Arial Unicode MS" w:cs="Arial Unicode MS"/>
          <w:color w:val="2B477B"/>
        </w:rPr>
        <w:t>(UDBAC),</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Hondureña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Lesionados</w:t>
      </w:r>
      <w:r>
        <w:rPr>
          <w:color w:val="2B477B"/>
        </w:rPr>
        <w:t xml:space="preserve"> </w:t>
      </w:r>
      <w:r>
        <w:rPr>
          <w:rFonts w:ascii="Arial Unicode MS" w:eastAsia="Arial Unicode MS" w:hAnsi="Arial Unicode MS" w:cs="Arial Unicode MS"/>
          <w:color w:val="2B477B"/>
        </w:rPr>
        <w:t>Medulares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Similares</w:t>
      </w:r>
      <w:r>
        <w:rPr>
          <w:color w:val="2B477B"/>
        </w:rPr>
        <w:t xml:space="preserve"> </w:t>
      </w:r>
      <w:r>
        <w:rPr>
          <w:rFonts w:ascii="Arial Unicode MS" w:eastAsia="Arial Unicode MS" w:hAnsi="Arial Unicode MS" w:cs="Arial Unicode MS"/>
          <w:color w:val="2B477B"/>
        </w:rPr>
        <w:t>(AHLMYS),</w:t>
      </w:r>
      <w:r>
        <w:rPr>
          <w:color w:val="2B477B"/>
        </w:rPr>
        <w:t xml:space="preserve"> </w:t>
      </w:r>
      <w:r>
        <w:rPr>
          <w:rFonts w:ascii="Arial Unicode MS" w:eastAsia="Arial Unicode MS" w:hAnsi="Arial Unicode MS" w:cs="Arial Unicode MS"/>
          <w:color w:val="2B477B"/>
        </w:rPr>
        <w:t>Expo</w:t>
      </w:r>
      <w:r>
        <w:rPr>
          <w:color w:val="2B477B"/>
        </w:rPr>
        <w:t xml:space="preserve"> 2020 </w:t>
      </w:r>
      <w:proofErr w:type="spellStart"/>
      <w:r>
        <w:rPr>
          <w:rFonts w:ascii="Arial Unicode MS" w:eastAsia="Arial Unicode MS" w:hAnsi="Arial Unicode MS" w:cs="Arial Unicode MS"/>
          <w:color w:val="2B477B"/>
        </w:rPr>
        <w:t>Volunteers</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Investigación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Socioeconómico</w:t>
      </w:r>
      <w:r>
        <w:rPr>
          <w:color w:val="2B477B"/>
        </w:rPr>
        <w:t xml:space="preserve"> </w:t>
      </w:r>
      <w:r>
        <w:rPr>
          <w:rFonts w:ascii="Arial Unicode MS" w:eastAsia="Arial Unicode MS" w:hAnsi="Arial Unicode MS" w:cs="Arial Unicode MS"/>
          <w:color w:val="2B477B"/>
        </w:rPr>
        <w:t>(CEINDES),</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Mexicana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Psicología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Comunitario,</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Género,</w:t>
      </w:r>
      <w:r>
        <w:rPr>
          <w:color w:val="2B477B"/>
        </w:rPr>
        <w:t xml:space="preserve"> </w:t>
      </w:r>
      <w:proofErr w:type="spellStart"/>
      <w:r>
        <w:rPr>
          <w:rFonts w:ascii="Arial Unicode MS" w:eastAsia="Arial Unicode MS" w:hAnsi="Arial Unicode MS" w:cs="Arial Unicode MS"/>
          <w:color w:val="2B477B"/>
        </w:rPr>
        <w:t>Deaf</w:t>
      </w:r>
      <w:proofErr w:type="spellEnd"/>
      <w:r>
        <w:rPr>
          <w:color w:val="2B477B"/>
        </w:rPr>
        <w:t xml:space="preserve"> </w:t>
      </w:r>
      <w:proofErr w:type="spellStart"/>
      <w:r>
        <w:rPr>
          <w:rFonts w:ascii="Arial Unicode MS" w:eastAsia="Arial Unicode MS" w:hAnsi="Arial Unicode MS" w:cs="Arial Unicode MS"/>
          <w:color w:val="2B477B"/>
        </w:rPr>
        <w:t>Association</w:t>
      </w:r>
      <w:proofErr w:type="spellEnd"/>
      <w:r>
        <w:rPr>
          <w:color w:val="2B477B"/>
        </w:rPr>
        <w:t xml:space="preserve"> </w:t>
      </w:r>
      <w:proofErr w:type="spellStart"/>
      <w:r>
        <w:rPr>
          <w:rFonts w:ascii="Arial Unicode MS" w:eastAsia="Arial Unicode MS" w:hAnsi="Arial Unicode MS" w:cs="Arial Unicode MS"/>
          <w:color w:val="2B477B"/>
        </w:rPr>
        <w:t>of</w:t>
      </w:r>
      <w:proofErr w:type="spellEnd"/>
      <w:r>
        <w:rPr>
          <w:color w:val="2B477B"/>
        </w:rPr>
        <w:t xml:space="preserve"> </w:t>
      </w:r>
      <w:r>
        <w:rPr>
          <w:rFonts w:ascii="Arial Unicode MS" w:eastAsia="Arial Unicode MS" w:hAnsi="Arial Unicode MS" w:cs="Arial Unicode MS"/>
          <w:color w:val="2B477B"/>
        </w:rPr>
        <w:t>Guyana</w:t>
      </w:r>
      <w:r>
        <w:rPr>
          <w:color w:val="2B477B"/>
        </w:rPr>
        <w:t xml:space="preserve"> </w:t>
      </w:r>
      <w:proofErr w:type="spellStart"/>
      <w:r>
        <w:rPr>
          <w:rFonts w:ascii="Arial Unicode MS" w:eastAsia="Arial Unicode MS" w:hAnsi="Arial Unicode MS" w:cs="Arial Unicode MS"/>
          <w:color w:val="2B477B"/>
        </w:rPr>
        <w:t>Inc</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Respeto,</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dignidad,</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Educativo</w:t>
      </w:r>
      <w:r>
        <w:rPr>
          <w:color w:val="2B477B"/>
        </w:rPr>
        <w:t xml:space="preserve"> </w:t>
      </w:r>
      <w:r>
        <w:rPr>
          <w:rFonts w:ascii="Arial Unicode MS" w:eastAsia="Arial Unicode MS" w:hAnsi="Arial Unicode MS" w:cs="Arial Unicode MS"/>
          <w:color w:val="2B477B"/>
        </w:rPr>
        <w:t>Interdisciplinario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Sexualidad</w:t>
      </w:r>
      <w:r>
        <w:rPr>
          <w:color w:val="2B477B"/>
        </w:rPr>
        <w:t xml:space="preserve"> </w:t>
      </w:r>
      <w:r>
        <w:rPr>
          <w:rFonts w:ascii="Arial Unicode MS" w:eastAsia="Arial Unicode MS" w:hAnsi="Arial Unicode MS" w:cs="Arial Unicode MS"/>
          <w:color w:val="2B477B"/>
        </w:rPr>
        <w:t>Humana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Angelitos,</w:t>
      </w:r>
      <w:r>
        <w:rPr>
          <w:color w:val="2B477B"/>
        </w:rPr>
        <w:t xml:space="preserve"> </w:t>
      </w:r>
      <w:r>
        <w:rPr>
          <w:rFonts w:ascii="Arial Unicode MS" w:eastAsia="Arial Unicode MS" w:hAnsi="Arial Unicode MS" w:cs="Arial Unicode MS"/>
          <w:color w:val="2B477B"/>
        </w:rPr>
        <w:t>Margaret</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Gill,</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Manos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construyen,</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Madres,</w:t>
      </w:r>
      <w:r>
        <w:rPr>
          <w:color w:val="2B477B"/>
        </w:rPr>
        <w:t xml:space="preserve"> </w:t>
      </w:r>
      <w:r>
        <w:rPr>
          <w:rFonts w:ascii="Arial Unicode MS" w:eastAsia="Arial Unicode MS" w:hAnsi="Arial Unicode MS" w:cs="Arial Unicode MS"/>
          <w:color w:val="2B477B"/>
        </w:rPr>
        <w:t>Padres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FENAPAPEDISH,</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Dime,</w:t>
      </w:r>
      <w:r>
        <w:rPr>
          <w:color w:val="2B477B"/>
        </w:rPr>
        <w:t xml:space="preserve"> </w:t>
      </w:r>
      <w:r>
        <w:rPr>
          <w:rFonts w:ascii="Arial Unicode MS" w:eastAsia="Arial Unicode MS" w:hAnsi="Arial Unicode MS" w:cs="Arial Unicode MS"/>
          <w:color w:val="2B477B"/>
        </w:rPr>
        <w:t>A.C.,</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Ronda,</w:t>
      </w:r>
      <w:r>
        <w:rPr>
          <w:color w:val="2B477B"/>
        </w:rPr>
        <w:t xml:space="preserve"> </w:t>
      </w:r>
      <w:r>
        <w:rPr>
          <w:rFonts w:ascii="Arial Unicode MS" w:eastAsia="Arial Unicode MS" w:hAnsi="Arial Unicode MS" w:cs="Arial Unicode MS"/>
          <w:color w:val="2B477B"/>
        </w:rPr>
        <w:t>Clínica</w:t>
      </w:r>
      <w:r>
        <w:rPr>
          <w:color w:val="2B477B"/>
        </w:rPr>
        <w:t xml:space="preserve"> </w:t>
      </w:r>
      <w:r>
        <w:rPr>
          <w:rFonts w:ascii="Arial Unicode MS" w:eastAsia="Arial Unicode MS" w:hAnsi="Arial Unicode MS" w:cs="Arial Unicode MS"/>
          <w:color w:val="2B477B"/>
        </w:rPr>
        <w:t>Ambiental,</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Mesa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Solidarias,</w:t>
      </w:r>
      <w:r>
        <w:rPr>
          <w:color w:val="2B477B"/>
        </w:rPr>
        <w:t xml:space="preserve"> </w:t>
      </w:r>
      <w:r>
        <w:rPr>
          <w:rFonts w:ascii="Arial Unicode MS" w:eastAsia="Arial Unicode MS" w:hAnsi="Arial Unicode MS" w:cs="Arial Unicode MS"/>
          <w:color w:val="2B477B"/>
        </w:rPr>
        <w:t>Amor</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Fronteras</w:t>
      </w:r>
      <w:r>
        <w:rPr>
          <w:color w:val="2B477B"/>
        </w:rPr>
        <w:t xml:space="preserve"> </w:t>
      </w:r>
      <w:r>
        <w:rPr>
          <w:rFonts w:ascii="Arial Unicode MS" w:eastAsia="Arial Unicode MS" w:hAnsi="Arial Unicode MS" w:cs="Arial Unicode MS"/>
          <w:color w:val="2B477B"/>
        </w:rPr>
        <w:t>AC,</w:t>
      </w:r>
      <w:r>
        <w:rPr>
          <w:color w:val="2B477B"/>
        </w:rPr>
        <w:t xml:space="preserve"> </w:t>
      </w:r>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Estudios</w:t>
      </w:r>
      <w:r>
        <w:rPr>
          <w:color w:val="2B477B"/>
        </w:rPr>
        <w:t xml:space="preserve"> </w:t>
      </w:r>
      <w:r>
        <w:rPr>
          <w:rFonts w:ascii="Arial Unicode MS" w:eastAsia="Arial Unicode MS" w:hAnsi="Arial Unicode MS" w:cs="Arial Unicode MS"/>
          <w:color w:val="2B477B"/>
        </w:rPr>
        <w:t>Legales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Sociales</w:t>
      </w:r>
      <w:r>
        <w:rPr>
          <w:color w:val="2B477B"/>
        </w:rPr>
        <w:t xml:space="preserve"> </w:t>
      </w:r>
      <w:r>
        <w:rPr>
          <w:rFonts w:ascii="Arial Unicode MS" w:eastAsia="Arial Unicode MS" w:hAnsi="Arial Unicode MS" w:cs="Arial Unicode MS"/>
          <w:color w:val="2B477B"/>
        </w:rPr>
        <w:t>(CELS),</w:t>
      </w:r>
      <w:r>
        <w:rPr>
          <w:color w:val="2B477B"/>
        </w:rPr>
        <w:t xml:space="preserve"> </w:t>
      </w:r>
      <w:r>
        <w:rPr>
          <w:rFonts w:ascii="Arial Unicode MS" w:eastAsia="Arial Unicode MS" w:hAnsi="Arial Unicode MS" w:cs="Arial Unicode MS"/>
          <w:color w:val="2B477B"/>
        </w:rPr>
        <w:t>Aula</w:t>
      </w:r>
      <w:r>
        <w:rPr>
          <w:color w:val="2B477B"/>
        </w:rPr>
        <w:t xml:space="preserve"> </w:t>
      </w:r>
      <w:r>
        <w:rPr>
          <w:rFonts w:ascii="Arial Unicode MS" w:eastAsia="Arial Unicode MS" w:hAnsi="Arial Unicode MS" w:cs="Arial Unicode MS"/>
          <w:color w:val="2B477B"/>
        </w:rPr>
        <w:t>Abierta,</w:t>
      </w:r>
      <w:r>
        <w:rPr>
          <w:color w:val="2B477B"/>
        </w:rPr>
        <w:t xml:space="preserve"> </w:t>
      </w:r>
      <w:proofErr w:type="spellStart"/>
      <w:r>
        <w:rPr>
          <w:rFonts w:ascii="Arial Unicode MS" w:eastAsia="Arial Unicode MS" w:hAnsi="Arial Unicode MS" w:cs="Arial Unicode MS"/>
          <w:color w:val="2B477B"/>
        </w:rPr>
        <w:t>Fundacion</w:t>
      </w:r>
      <w:proofErr w:type="spellEnd"/>
      <w:r>
        <w:rPr>
          <w:color w:val="2B477B"/>
        </w:rPr>
        <w:t xml:space="preserve"> </w:t>
      </w:r>
      <w:proofErr w:type="spellStart"/>
      <w:r>
        <w:rPr>
          <w:rFonts w:ascii="Arial Unicode MS" w:eastAsia="Arial Unicode MS" w:hAnsi="Arial Unicode MS" w:cs="Arial Unicode MS"/>
          <w:color w:val="2B477B"/>
        </w:rPr>
        <w:t>Drecca</w:t>
      </w:r>
      <w:proofErr w:type="spellEnd"/>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públicos</w:t>
      </w:r>
      <w:r>
        <w:rPr>
          <w:color w:val="2B477B"/>
        </w:rPr>
        <w:t xml:space="preserve"> </w:t>
      </w:r>
      <w:r>
        <w:rPr>
          <w:rFonts w:ascii="Arial Unicode MS" w:eastAsia="Arial Unicode MS" w:hAnsi="Arial Unicode MS" w:cs="Arial Unicode MS"/>
          <w:color w:val="2B477B"/>
        </w:rPr>
        <w:t>(ISP),</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Usuarios,</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Trastornos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Conducta</w:t>
      </w:r>
      <w:r>
        <w:rPr>
          <w:color w:val="2B477B"/>
        </w:rPr>
        <w:t xml:space="preserve"> </w:t>
      </w:r>
      <w:r>
        <w:rPr>
          <w:rFonts w:ascii="Arial Unicode MS" w:eastAsia="Arial Unicode MS" w:hAnsi="Arial Unicode MS" w:cs="Arial Unicode MS"/>
          <w:color w:val="2B477B"/>
        </w:rPr>
        <w:t>(AUFAPETSAMEC)-Bolivia,</w:t>
      </w:r>
      <w:r>
        <w:rPr>
          <w:color w:val="2B477B"/>
        </w:rPr>
        <w:t xml:space="preserve"> </w:t>
      </w:r>
      <w:r>
        <w:rPr>
          <w:rFonts w:ascii="Arial Unicode MS" w:eastAsia="Arial Unicode MS" w:hAnsi="Arial Unicode MS" w:cs="Arial Unicode MS"/>
          <w:color w:val="2B477B"/>
        </w:rPr>
        <w:t>Colectiva</w:t>
      </w:r>
      <w:r>
        <w:rPr>
          <w:color w:val="2B477B"/>
        </w:rPr>
        <w:t xml:space="preserve"> </w:t>
      </w:r>
      <w:r>
        <w:rPr>
          <w:rFonts w:ascii="Arial Unicode MS" w:eastAsia="Arial Unicode MS" w:hAnsi="Arial Unicode MS" w:cs="Arial Unicode MS"/>
          <w:color w:val="2B477B"/>
        </w:rPr>
        <w:t>Polimorfas,</w:t>
      </w:r>
      <w:r>
        <w:rPr>
          <w:color w:val="2B477B"/>
        </w:rPr>
        <w:t xml:space="preserve"> </w:t>
      </w:r>
      <w:proofErr w:type="spellStart"/>
      <w:r>
        <w:rPr>
          <w:rFonts w:ascii="Arial Unicode MS" w:eastAsia="Arial Unicode MS" w:hAnsi="Arial Unicode MS" w:cs="Arial Unicode MS"/>
          <w:color w:val="2B477B"/>
        </w:rPr>
        <w:t>Asdown</w:t>
      </w:r>
      <w:proofErr w:type="spellEnd"/>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Investigación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AIDAC</w:t>
      </w:r>
      <w:r>
        <w:rPr>
          <w:color w:val="2B477B"/>
        </w:rPr>
        <w:t xml:space="preserve"> </w:t>
      </w:r>
      <w:r>
        <w:rPr>
          <w:rFonts w:ascii="Arial Unicode MS" w:eastAsia="Arial Unicode MS" w:hAnsi="Arial Unicode MS" w:cs="Arial Unicode MS"/>
          <w:color w:val="2B477B"/>
        </w:rPr>
        <w:t>A.C.,</w:t>
      </w:r>
      <w:r>
        <w:rPr>
          <w:color w:val="2B477B"/>
        </w:rPr>
        <w:t xml:space="preserve"> </w:t>
      </w:r>
      <w:proofErr w:type="spellStart"/>
      <w:r>
        <w:rPr>
          <w:rFonts w:ascii="Arial Unicode MS" w:eastAsia="Arial Unicode MS" w:hAnsi="Arial Unicode MS" w:cs="Arial Unicode MS"/>
          <w:color w:val="2B477B"/>
        </w:rPr>
        <w:t>Akila</w:t>
      </w:r>
      <w:proofErr w:type="spellEnd"/>
      <w:r>
        <w:rPr>
          <w:color w:val="2B477B"/>
        </w:rPr>
        <w:t xml:space="preserve"> </w:t>
      </w:r>
      <w:r>
        <w:rPr>
          <w:rFonts w:ascii="Arial Unicode MS" w:eastAsia="Arial Unicode MS" w:hAnsi="Arial Unicode MS" w:cs="Arial Unicode MS"/>
          <w:color w:val="2B477B"/>
        </w:rPr>
        <w:t>Dignidad,</w:t>
      </w:r>
      <w:r>
        <w:rPr>
          <w:color w:val="2B477B"/>
        </w:rPr>
        <w:t xml:space="preserve"> </w:t>
      </w:r>
      <w:r>
        <w:rPr>
          <w:rFonts w:ascii="Arial Unicode MS" w:eastAsia="Arial Unicode MS" w:hAnsi="Arial Unicode MS" w:cs="Arial Unicode MS"/>
          <w:color w:val="2B477B"/>
        </w:rPr>
        <w:t>BEKÄMPA</w:t>
      </w:r>
      <w:r>
        <w:rPr>
          <w:color w:val="2B477B"/>
        </w:rPr>
        <w:t xml:space="preserve"> </w:t>
      </w:r>
      <w:proofErr w:type="spellStart"/>
      <w:r>
        <w:rPr>
          <w:rFonts w:ascii="Arial Unicode MS" w:eastAsia="Arial Unicode MS" w:hAnsi="Arial Unicode MS" w:cs="Arial Unicode MS"/>
          <w:color w:val="2B477B"/>
        </w:rPr>
        <w:t>Foundation</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Límites,</w:t>
      </w:r>
      <w:r>
        <w:rPr>
          <w:color w:val="2B477B"/>
        </w:rPr>
        <w:t xml:space="preserve"> </w:t>
      </w:r>
      <w:r>
        <w:rPr>
          <w:rFonts w:ascii="Arial Unicode MS" w:eastAsia="Arial Unicode MS" w:hAnsi="Arial Unicode MS" w:cs="Arial Unicode MS"/>
          <w:color w:val="2B477B"/>
        </w:rPr>
        <w:t>Observatorio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sexuales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ODISEX</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Andes,</w:t>
      </w:r>
      <w:r>
        <w:rPr>
          <w:color w:val="2B477B"/>
        </w:rPr>
        <w:t xml:space="preserve"> </w:t>
      </w:r>
      <w:r>
        <w:rPr>
          <w:rFonts w:ascii="Arial Unicode MS" w:eastAsia="Arial Unicode MS" w:hAnsi="Arial Unicode MS" w:cs="Arial Unicode MS"/>
          <w:color w:val="2B477B"/>
        </w:rPr>
        <w:t>Fundación</w:t>
      </w:r>
      <w:r>
        <w:rPr>
          <w:color w:val="2B477B"/>
        </w:rPr>
        <w:t xml:space="preserve"> </w:t>
      </w:r>
      <w:proofErr w:type="spellStart"/>
      <w:r>
        <w:rPr>
          <w:rFonts w:ascii="Arial Unicode MS" w:eastAsia="Arial Unicode MS" w:hAnsi="Arial Unicode MS" w:cs="Arial Unicode MS"/>
          <w:color w:val="2B477B"/>
        </w:rPr>
        <w:t>ProBono</w:t>
      </w:r>
      <w:proofErr w:type="spellEnd"/>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Acción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-PAIIS-,</w:t>
      </w:r>
      <w:r>
        <w:rPr>
          <w:color w:val="2B477B"/>
        </w:rPr>
        <w:t xml:space="preserve"> </w:t>
      </w:r>
      <w:r>
        <w:rPr>
          <w:rFonts w:ascii="Arial Unicode MS" w:eastAsia="Arial Unicode MS" w:hAnsi="Arial Unicode MS" w:cs="Arial Unicode MS"/>
          <w:color w:val="2B477B"/>
        </w:rPr>
        <w:t>Juventud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Fortaleza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Superación</w:t>
      </w:r>
      <w:r>
        <w:rPr>
          <w:color w:val="2B477B"/>
        </w:rPr>
        <w:t xml:space="preserve"> </w:t>
      </w:r>
      <w:r>
        <w:rPr>
          <w:rFonts w:ascii="Arial Unicode MS" w:eastAsia="Arial Unicode MS" w:hAnsi="Arial Unicode MS" w:cs="Arial Unicode MS"/>
          <w:color w:val="2B477B"/>
        </w:rPr>
        <w:t>(JFM)</w:t>
      </w:r>
      <w:r>
        <w:rPr>
          <w:color w:val="2B477B"/>
        </w:rPr>
        <w:t xml:space="preserve"> </w:t>
      </w:r>
      <w:r>
        <w:rPr>
          <w:rFonts w:ascii="Arial Unicode MS" w:eastAsia="Arial Unicode MS" w:hAnsi="Arial Unicode MS" w:cs="Arial Unicode MS"/>
          <w:color w:val="2B477B"/>
        </w:rPr>
        <w:t>A.C.,</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Loto</w:t>
      </w:r>
      <w:r>
        <w:rPr>
          <w:color w:val="2B477B"/>
        </w:rPr>
        <w:t xml:space="preserve"> </w:t>
      </w:r>
      <w:r>
        <w:rPr>
          <w:rFonts w:ascii="Arial Unicode MS" w:eastAsia="Arial Unicode MS" w:hAnsi="Arial Unicode MS" w:cs="Arial Unicode MS"/>
          <w:color w:val="2B477B"/>
        </w:rPr>
        <w:t>Azul,</w:t>
      </w:r>
      <w:r>
        <w:rPr>
          <w:color w:val="2B477B"/>
        </w:rPr>
        <w:t xml:space="preserve"> </w:t>
      </w:r>
      <w:r>
        <w:rPr>
          <w:rFonts w:ascii="Arial Unicode MS" w:eastAsia="Arial Unicode MS" w:hAnsi="Arial Unicode MS" w:cs="Arial Unicode MS"/>
          <w:color w:val="2B477B"/>
        </w:rPr>
        <w:t>Seminario</w:t>
      </w:r>
      <w:r>
        <w:rPr>
          <w:color w:val="2B477B"/>
        </w:rPr>
        <w:t xml:space="preserve"> </w:t>
      </w:r>
      <w:r>
        <w:rPr>
          <w:rFonts w:ascii="Arial Unicode MS" w:eastAsia="Arial Unicode MS" w:hAnsi="Arial Unicode MS" w:cs="Arial Unicode MS"/>
          <w:color w:val="2B477B"/>
        </w:rPr>
        <w:t>Permanente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Autónoma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(UNAM),</w:t>
      </w:r>
      <w:r>
        <w:rPr>
          <w:color w:val="2B477B"/>
        </w:rPr>
        <w:t xml:space="preserve"> </w:t>
      </w:r>
      <w:r>
        <w:rPr>
          <w:rFonts w:ascii="Arial Unicode MS" w:eastAsia="Arial Unicode MS" w:hAnsi="Arial Unicode MS" w:cs="Arial Unicode MS"/>
          <w:color w:val="2B477B"/>
        </w:rPr>
        <w:t>Facultad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Estudios</w:t>
      </w:r>
      <w:r>
        <w:rPr>
          <w:color w:val="2B477B"/>
        </w:rPr>
        <w:t xml:space="preserve"> </w:t>
      </w:r>
      <w:r>
        <w:rPr>
          <w:rFonts w:ascii="Arial Unicode MS" w:eastAsia="Arial Unicode MS" w:hAnsi="Arial Unicode MS" w:cs="Arial Unicode MS"/>
          <w:color w:val="2B477B"/>
        </w:rPr>
        <w:t>Superiores</w:t>
      </w:r>
      <w:r>
        <w:rPr>
          <w:color w:val="2B477B"/>
        </w:rPr>
        <w:t xml:space="preserve"> </w:t>
      </w:r>
      <w:r>
        <w:rPr>
          <w:rFonts w:ascii="Arial Unicode MS" w:eastAsia="Arial Unicode MS" w:hAnsi="Arial Unicode MS" w:cs="Arial Unicode MS"/>
          <w:color w:val="2B477B"/>
        </w:rPr>
        <w:t>(FES)</w:t>
      </w:r>
      <w:r>
        <w:rPr>
          <w:color w:val="2B477B"/>
        </w:rPr>
        <w:t xml:space="preserve"> </w:t>
      </w:r>
      <w:r>
        <w:rPr>
          <w:rFonts w:ascii="Arial Unicode MS" w:eastAsia="Arial Unicode MS" w:hAnsi="Arial Unicode MS" w:cs="Arial Unicode MS"/>
          <w:color w:val="2B477B"/>
        </w:rPr>
        <w:t>Acatlán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Autónoma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(UNAM),</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Reproducción</w:t>
      </w:r>
      <w:r>
        <w:rPr>
          <w:color w:val="2B477B"/>
        </w:rPr>
        <w:t xml:space="preserve"> </w:t>
      </w:r>
      <w:r>
        <w:rPr>
          <w:rFonts w:ascii="Arial Unicode MS" w:eastAsia="Arial Unicode MS" w:hAnsi="Arial Unicode MS" w:cs="Arial Unicode MS"/>
          <w:color w:val="2B477B"/>
        </w:rPr>
        <w:t>Elegida</w:t>
      </w:r>
      <w:r>
        <w:rPr>
          <w:color w:val="2B477B"/>
        </w:rPr>
        <w:t xml:space="preserve"> </w:t>
      </w:r>
      <w:r>
        <w:rPr>
          <w:rFonts w:ascii="Arial Unicode MS" w:eastAsia="Arial Unicode MS" w:hAnsi="Arial Unicode MS" w:cs="Arial Unicode MS"/>
          <w:color w:val="2B477B"/>
        </w:rPr>
        <w:t>(GIRE),</w:t>
      </w:r>
      <w:r>
        <w:rPr>
          <w:color w:val="2B477B"/>
        </w:rPr>
        <w:t xml:space="preserve"> </w:t>
      </w:r>
      <w:r>
        <w:rPr>
          <w:rFonts w:ascii="Arial Unicode MS" w:eastAsia="Arial Unicode MS" w:hAnsi="Arial Unicode MS" w:cs="Arial Unicode MS"/>
          <w:color w:val="2B477B"/>
        </w:rPr>
        <w:t>Confederación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Sordos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(CORSOVEN),</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Danés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Refugiados,</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Profamilia,</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Red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Sobrevivientes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Libre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Semillero</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Universitaria,</w:t>
      </w:r>
      <w:r>
        <w:rPr>
          <w:color w:val="2B477B"/>
        </w:rPr>
        <w:t xml:space="preserve"> </w:t>
      </w:r>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Iberoamericano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Formación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A.C.</w:t>
      </w:r>
      <w:r>
        <w:rPr>
          <w:color w:val="2B477B"/>
        </w:rPr>
        <w:t xml:space="preserve"> </w:t>
      </w:r>
      <w:r>
        <w:rPr>
          <w:rFonts w:ascii="Arial Unicode MS" w:eastAsia="Arial Unicode MS" w:hAnsi="Arial Unicode MS" w:cs="Arial Unicode MS"/>
          <w:color w:val="2B477B"/>
        </w:rPr>
        <w:t>(CIFODIDH),</w:t>
      </w:r>
      <w:r>
        <w:rPr>
          <w:color w:val="2B477B"/>
        </w:rPr>
        <w:t xml:space="preserve"> </w:t>
      </w:r>
      <w:r>
        <w:rPr>
          <w:rFonts w:ascii="Arial Unicode MS" w:eastAsia="Arial Unicode MS" w:hAnsi="Arial Unicode MS" w:cs="Arial Unicode MS"/>
          <w:color w:val="2B477B"/>
        </w:rPr>
        <w:t>Colectiva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Integración</w:t>
      </w:r>
      <w:r>
        <w:rPr>
          <w:color w:val="2B477B"/>
        </w:rPr>
        <w:t xml:space="preserve"> </w:t>
      </w:r>
      <w:r>
        <w:rPr>
          <w:rFonts w:ascii="Arial Unicode MS" w:eastAsia="Arial Unicode MS" w:hAnsi="Arial Unicode MS" w:cs="Arial Unicode MS"/>
          <w:color w:val="2B477B"/>
        </w:rPr>
        <w:t>Cultural</w:t>
      </w:r>
      <w:r>
        <w:rPr>
          <w:color w:val="2B477B"/>
        </w:rPr>
        <w:t xml:space="preserve"> </w:t>
      </w:r>
      <w:r>
        <w:rPr>
          <w:rFonts w:ascii="Arial Unicode MS" w:eastAsia="Arial Unicode MS" w:hAnsi="Arial Unicode MS" w:cs="Arial Unicode MS"/>
          <w:color w:val="2B477B"/>
        </w:rPr>
        <w:t>(COMIC),</w:t>
      </w:r>
      <w:r>
        <w:rPr>
          <w:color w:val="2B477B"/>
        </w:rPr>
        <w:t xml:space="preserve"> </w:t>
      </w:r>
      <w:r>
        <w:rPr>
          <w:rFonts w:ascii="Arial Unicode MS" w:eastAsia="Arial Unicode MS" w:hAnsi="Arial Unicode MS" w:cs="Arial Unicode MS"/>
          <w:color w:val="2B477B"/>
        </w:rPr>
        <w:t>Red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Consorcio</w:t>
      </w:r>
      <w:r>
        <w:rPr>
          <w:color w:val="2B477B"/>
        </w:rPr>
        <w:t xml:space="preserve"> </w:t>
      </w:r>
      <w:r>
        <w:rPr>
          <w:rFonts w:ascii="Arial Unicode MS" w:eastAsia="Arial Unicode MS" w:hAnsi="Arial Unicode MS" w:cs="Arial Unicode MS"/>
          <w:color w:val="2B477B"/>
        </w:rPr>
        <w:t>Latinoamericano</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Aborto</w:t>
      </w:r>
      <w:r>
        <w:rPr>
          <w:color w:val="2B477B"/>
        </w:rPr>
        <w:t xml:space="preserve"> </w:t>
      </w:r>
      <w:r>
        <w:rPr>
          <w:rFonts w:ascii="Arial Unicode MS" w:eastAsia="Arial Unicode MS" w:hAnsi="Arial Unicode MS" w:cs="Arial Unicode MS"/>
          <w:color w:val="2B477B"/>
        </w:rPr>
        <w:t>Inseguro</w:t>
      </w:r>
      <w:r>
        <w:rPr>
          <w:color w:val="2B477B"/>
        </w:rPr>
        <w:t xml:space="preserve"> </w:t>
      </w:r>
      <w:r>
        <w:rPr>
          <w:rFonts w:ascii="Arial Unicode MS" w:eastAsia="Arial Unicode MS" w:hAnsi="Arial Unicode MS" w:cs="Arial Unicode MS"/>
          <w:color w:val="2B477B"/>
        </w:rPr>
        <w:t>(CLACAI)</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O´Neill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Global,</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Georgetown.</w:t>
      </w:r>
      <w:r>
        <w:rPr>
          <w:color w:val="2B477B"/>
        </w:rPr>
        <w:t xml:space="preserve"> </w:t>
      </w:r>
      <w:r>
        <w:rPr>
          <w:rFonts w:ascii="Arial Unicode MS" w:eastAsia="Arial Unicode MS" w:hAnsi="Arial Unicode MS" w:cs="Arial Unicode MS"/>
          <w:color w:val="2B477B"/>
        </w:rPr>
        <w:t>Estas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respondieron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encuesta</w:t>
      </w:r>
      <w:r>
        <w:rPr>
          <w:color w:val="2B477B"/>
        </w:rPr>
        <w:t xml:space="preserve"> </w:t>
      </w:r>
      <w:r>
        <w:rPr>
          <w:rFonts w:ascii="Arial Unicode MS" w:eastAsia="Arial Unicode MS" w:hAnsi="Arial Unicode MS" w:cs="Arial Unicode MS"/>
          <w:color w:val="2B477B"/>
        </w:rPr>
        <w:t>hasta</w:t>
      </w:r>
      <w:r>
        <w:rPr>
          <w:color w:val="2B477B"/>
        </w:rPr>
        <w:t xml:space="preserve"> </w:t>
      </w:r>
      <w:r>
        <w:rPr>
          <w:rFonts w:ascii="Arial Unicode MS" w:eastAsia="Arial Unicode MS" w:hAnsi="Arial Unicode MS" w:cs="Arial Unicode MS"/>
          <w:color w:val="2B477B"/>
        </w:rPr>
        <w:t>el</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 </w:t>
      </w:r>
      <w:r>
        <w:rPr>
          <w:rFonts w:ascii="Arial Unicode MS" w:eastAsia="Arial Unicode MS" w:hAnsi="Arial Unicode MS" w:cs="Arial Unicode MS"/>
          <w:color w:val="2B477B"/>
        </w:rPr>
        <w:t>y</w:t>
      </w:r>
      <w:r>
        <w:rPr>
          <w:color w:val="2B477B"/>
        </w:rPr>
        <w:t>/</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enviaron</w:t>
      </w:r>
      <w:r>
        <w:rPr>
          <w:color w:val="2B477B"/>
        </w:rPr>
        <w:t xml:space="preserve"> </w:t>
      </w:r>
      <w:r>
        <w:rPr>
          <w:rFonts w:ascii="Arial Unicode MS" w:eastAsia="Arial Unicode MS" w:hAnsi="Arial Unicode MS" w:cs="Arial Unicode MS"/>
          <w:color w:val="2B477B"/>
        </w:rPr>
        <w:t>insumos</w:t>
      </w:r>
      <w:r>
        <w:rPr>
          <w:color w:val="2B477B"/>
        </w:rPr>
        <w:t xml:space="preserve"> </w:t>
      </w:r>
      <w:r>
        <w:rPr>
          <w:rFonts w:ascii="Arial Unicode MS" w:eastAsia="Arial Unicode MS" w:hAnsi="Arial Unicode MS" w:cs="Arial Unicode MS"/>
          <w:color w:val="2B477B"/>
        </w:rPr>
        <w:t>posteriormente,</w:t>
      </w:r>
      <w:r>
        <w:rPr>
          <w:color w:val="2B477B"/>
        </w:rPr>
        <w:t xml:space="preserve"> </w:t>
      </w:r>
      <w:r>
        <w:rPr>
          <w:rFonts w:ascii="Arial Unicode MS" w:eastAsia="Arial Unicode MS" w:hAnsi="Arial Unicode MS" w:cs="Arial Unicode MS"/>
          <w:color w:val="2B477B"/>
        </w:rPr>
        <w:t>provienen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siguientes</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Cuba,</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Guyana,</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Venezuela.</w:t>
      </w:r>
      <w:r>
        <w:rPr>
          <w:color w:val="2B477B"/>
        </w:rPr>
        <w:t xml:space="preserve"> </w:t>
      </w:r>
    </w:p>
  </w:footnote>
  <w:footnote w:id="16">
    <w:p w14:paraId="2E6D926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Palacios,</w:t>
      </w:r>
      <w:r>
        <w:rPr>
          <w:color w:val="2B477B"/>
        </w:rPr>
        <w:t xml:space="preserve"> </w:t>
      </w:r>
      <w:r>
        <w:rPr>
          <w:rFonts w:ascii="Arial Unicode MS" w:eastAsia="Arial Unicode MS" w:hAnsi="Arial Unicode MS" w:cs="Arial Unicode MS"/>
          <w:color w:val="2B477B"/>
        </w:rPr>
        <w:t>Agustina:</w:t>
      </w:r>
      <w:r>
        <w:rPr>
          <w:color w:val="2B477B"/>
        </w:rPr>
        <w:t xml:space="preserve"> </w:t>
      </w:r>
      <w:hyperlink r:id="rId15" w:history="1">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orígenes,</w:t>
        </w:r>
        <w:r>
          <w:rPr>
            <w:color w:val="2B477B"/>
          </w:rPr>
          <w:t xml:space="preserve"> </w:t>
        </w:r>
        <w:r>
          <w:rPr>
            <w:rFonts w:ascii="Arial Unicode MS" w:eastAsia="Arial Unicode MS" w:hAnsi="Arial Unicode MS" w:cs="Arial Unicode MS"/>
            <w:color w:val="2B477B"/>
          </w:rPr>
          <w:t>caracterización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plasmación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colección</w:t>
      </w:r>
      <w:r>
        <w:rPr>
          <w:color w:val="2B477B"/>
        </w:rPr>
        <w:t xml:space="preserve"> </w:t>
      </w:r>
      <w:r>
        <w:rPr>
          <w:rFonts w:ascii="Arial Unicode MS" w:eastAsia="Arial Unicode MS" w:hAnsi="Arial Unicode MS" w:cs="Arial Unicode MS"/>
          <w:color w:val="2B477B"/>
        </w:rPr>
        <w:t>CERMI,</w:t>
      </w:r>
      <w:r>
        <w:rPr>
          <w:color w:val="2B477B"/>
        </w:rPr>
        <w:t xml:space="preserve"> </w:t>
      </w:r>
      <w:r>
        <w:rPr>
          <w:rFonts w:ascii="Arial Unicode MS" w:eastAsia="Arial Unicode MS" w:hAnsi="Arial Unicode MS" w:cs="Arial Unicode MS"/>
          <w:color w:val="2B477B"/>
        </w:rPr>
        <w:t>Madrid,</w:t>
      </w:r>
      <w:r>
        <w:rPr>
          <w:color w:val="2B477B"/>
        </w:rPr>
        <w:t xml:space="preserve"> 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(IIDH),</w:t>
      </w:r>
      <w:r>
        <w:rPr>
          <w:color w:val="2B477B"/>
        </w:rPr>
        <w:t xml:space="preserve"> </w:t>
      </w:r>
      <w:hyperlink r:id="rId16" w:history="1">
        <w:r>
          <w:rPr>
            <w:rFonts w:ascii="Arial Unicode MS" w:eastAsia="Arial Unicode MS" w:hAnsi="Arial Unicode MS" w:cs="Arial Unicode MS"/>
            <w:color w:val="2B477B"/>
          </w:rPr>
          <w:t>Módulo</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módulos</w:t>
        </w:r>
        <w:r>
          <w:rPr>
            <w:color w:val="2B477B"/>
          </w:rPr>
          <w:t xml:space="preserve"> </w:t>
        </w:r>
        <w:r>
          <w:rPr>
            <w:rFonts w:ascii="Arial Unicode MS" w:eastAsia="Arial Unicode MS" w:hAnsi="Arial Unicode MS" w:cs="Arial Unicode MS"/>
            <w:color w:val="2B477B"/>
          </w:rPr>
          <w:t>educativos,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San</w:t>
      </w:r>
      <w:r>
        <w:rPr>
          <w:color w:val="2B477B"/>
        </w:rPr>
        <w:t xml:space="preserve"> </w:t>
      </w:r>
      <w:r>
        <w:rPr>
          <w:rFonts w:ascii="Arial Unicode MS" w:eastAsia="Arial Unicode MS" w:hAnsi="Arial Unicode MS" w:cs="Arial Unicode MS"/>
          <w:color w:val="2B477B"/>
        </w:rPr>
        <w:t>José,</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2007</w:t>
      </w:r>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Brogna</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Patricia</w:t>
      </w:r>
      <w:r>
        <w:rPr>
          <w:color w:val="2B477B"/>
        </w:rPr>
        <w:t xml:space="preserve"> </w:t>
      </w:r>
      <w:r>
        <w:rPr>
          <w:rFonts w:ascii="Arial Unicode MS" w:eastAsia="Arial Unicode MS" w:hAnsi="Arial Unicode MS" w:cs="Arial Unicode MS"/>
          <w:color w:val="2B477B"/>
        </w:rPr>
        <w:t>(compiladora),</w:t>
      </w:r>
      <w:r>
        <w:rPr>
          <w:color w:val="2B477B"/>
        </w:rPr>
        <w:t xml:space="preserve"> </w:t>
      </w:r>
      <w:hyperlink r:id="rId17" w:history="1">
        <w:r>
          <w:rPr>
            <w:rFonts w:ascii="Arial Unicode MS" w:eastAsia="Arial Unicode MS" w:hAnsi="Arial Unicode MS" w:cs="Arial Unicode MS"/>
            <w:color w:val="2B477B"/>
          </w:rPr>
          <w:t>Visiones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Revisiones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Cultura</w:t>
      </w:r>
      <w:r>
        <w:rPr>
          <w:color w:val="2B477B"/>
        </w:rPr>
        <w:t xml:space="preserve"> </w:t>
      </w:r>
      <w:r>
        <w:rPr>
          <w:rFonts w:ascii="Arial Unicode MS" w:eastAsia="Arial Unicode MS" w:hAnsi="Arial Unicode MS" w:cs="Arial Unicode MS"/>
          <w:color w:val="2B477B"/>
        </w:rPr>
        <w:t>Económica,</w:t>
      </w:r>
      <w:r>
        <w:rPr>
          <w:color w:val="2B477B"/>
        </w:rPr>
        <w:t xml:space="preserve"> 2009</w:t>
      </w:r>
      <w:r>
        <w:rPr>
          <w:rFonts w:ascii="Arial Unicode MS" w:eastAsia="Arial Unicode MS" w:hAnsi="Arial Unicode MS" w:cs="Arial Unicode MS"/>
          <w:color w:val="2B477B"/>
        </w:rPr>
        <w:t>.</w:t>
      </w:r>
    </w:p>
  </w:footnote>
  <w:footnote w:id="17">
    <w:p w14:paraId="3C97557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Palacios,</w:t>
      </w:r>
      <w:r>
        <w:rPr>
          <w:color w:val="2B477B"/>
        </w:rPr>
        <w:t xml:space="preserve"> </w:t>
      </w:r>
      <w:r>
        <w:rPr>
          <w:rFonts w:ascii="Arial Unicode MS" w:eastAsia="Arial Unicode MS" w:hAnsi="Arial Unicode MS" w:cs="Arial Unicode MS"/>
          <w:color w:val="2B477B"/>
        </w:rPr>
        <w:t>Agustina:</w:t>
      </w:r>
      <w:r>
        <w:rPr>
          <w:color w:val="2B477B"/>
        </w:rPr>
        <w:t xml:space="preserve"> </w:t>
      </w:r>
      <w:hyperlink r:id="rId18" w:history="1">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IIDH,</w:t>
        </w:r>
        <w:r>
          <w:rPr>
            <w:color w:val="2B477B"/>
          </w:rPr>
          <w:t xml:space="preserve"> </w:t>
        </w:r>
      </w:hyperlink>
      <w:hyperlink r:id="rId19" w:history="1">
        <w:r>
          <w:rPr>
            <w:rFonts w:ascii="Arial Unicode MS" w:eastAsia="Arial Unicode MS" w:hAnsi="Arial Unicode MS" w:cs="Arial Unicode MS"/>
            <w:color w:val="2B477B"/>
          </w:rPr>
          <w:t>Módulo</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módulos</w:t>
        </w:r>
        <w:r>
          <w:rPr>
            <w:color w:val="2B477B"/>
          </w:rPr>
          <w:t xml:space="preserve"> </w:t>
        </w:r>
        <w:r>
          <w:rPr>
            <w:rFonts w:ascii="Arial Unicode MS" w:eastAsia="Arial Unicode MS" w:hAnsi="Arial Unicode MS" w:cs="Arial Unicode MS"/>
            <w:color w:val="2B477B"/>
          </w:rPr>
          <w:t>educativos,</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proofErr w:type="spellStart"/>
      <w:r>
        <w:rPr>
          <w:rFonts w:ascii="Arial Unicode MS" w:eastAsia="Arial Unicode MS" w:hAnsi="Arial Unicode MS" w:cs="Arial Unicode MS"/>
          <w:color w:val="2B477B"/>
        </w:rPr>
        <w:t>Brogna</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Patricia</w:t>
      </w:r>
      <w:r>
        <w:rPr>
          <w:color w:val="2B477B"/>
        </w:rPr>
        <w:t xml:space="preserve"> </w:t>
      </w:r>
      <w:r>
        <w:rPr>
          <w:rFonts w:ascii="Arial Unicode MS" w:eastAsia="Arial Unicode MS" w:hAnsi="Arial Unicode MS" w:cs="Arial Unicode MS"/>
          <w:color w:val="2B477B"/>
        </w:rPr>
        <w:t>(compiladora),</w:t>
      </w:r>
      <w:r>
        <w:rPr>
          <w:color w:val="2B477B"/>
        </w:rPr>
        <w:t xml:space="preserve"> </w:t>
      </w:r>
      <w:hyperlink r:id="rId20" w:history="1">
        <w:r>
          <w:rPr>
            <w:rFonts w:ascii="Arial Unicode MS" w:eastAsia="Arial Unicode MS" w:hAnsi="Arial Unicode MS" w:cs="Arial Unicode MS"/>
            <w:color w:val="2B477B"/>
          </w:rPr>
          <w:t>Visiones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Revisiones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p>
  </w:footnote>
  <w:footnote w:id="18">
    <w:p w14:paraId="14B65EFF" w14:textId="77777777" w:rsidR="001A105D" w:rsidRDefault="00000000">
      <w:pPr>
        <w:pStyle w:val="Body"/>
        <w:jc w:val="left"/>
      </w:pPr>
      <w:r>
        <w:rPr>
          <w:rFonts w:ascii="Helvetica LT Std Oblique" w:eastAsia="Helvetica LT Std Oblique" w:hAnsi="Helvetica LT Std Oblique" w:cs="Helvetica LT Std Oblique"/>
          <w:color w:val="2B477B"/>
          <w:vertAlign w:val="superscript"/>
        </w:rPr>
        <w:footnoteRef/>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diccionario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Real</w:t>
      </w:r>
      <w:r>
        <w:rPr>
          <w:color w:val="2B477B"/>
        </w:rPr>
        <w:t xml:space="preserve"> </w:t>
      </w:r>
      <w:r>
        <w:rPr>
          <w:rFonts w:ascii="Arial Unicode MS" w:eastAsia="Arial Unicode MS" w:hAnsi="Arial Unicode MS" w:cs="Arial Unicode MS"/>
          <w:color w:val="2B477B"/>
        </w:rPr>
        <w:t>Academia</w:t>
      </w:r>
      <w:r>
        <w:rPr>
          <w:color w:val="2B477B"/>
        </w:rPr>
        <w:t xml:space="preserve"> </w:t>
      </w:r>
      <w:r>
        <w:rPr>
          <w:rFonts w:ascii="Arial Unicode MS" w:eastAsia="Arial Unicode MS" w:hAnsi="Arial Unicode MS" w:cs="Arial Unicode MS"/>
          <w:color w:val="2B477B"/>
        </w:rPr>
        <w:t>Española</w:t>
      </w:r>
      <w:r>
        <w:rPr>
          <w:color w:val="2B477B"/>
        </w:rPr>
        <w:t xml:space="preserve"> </w:t>
      </w:r>
      <w:r>
        <w:rPr>
          <w:rFonts w:ascii="Arial Unicode MS" w:eastAsia="Arial Unicode MS" w:hAnsi="Arial Unicode MS" w:cs="Arial Unicode MS"/>
          <w:color w:val="2B477B"/>
        </w:rPr>
        <w:t>(RAE),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sustantivo</w:t>
      </w:r>
      <w:r>
        <w:rPr>
          <w:color w:val="2B477B"/>
        </w:rPr>
        <w:t xml:space="preserve"> </w:t>
      </w:r>
      <w:r>
        <w:rPr>
          <w:rFonts w:ascii="Arial Unicode MS" w:eastAsia="Arial Unicode MS" w:hAnsi="Arial Unicode MS" w:cs="Arial Unicode MS"/>
          <w:color w:val="2B477B"/>
        </w:rPr>
        <w:t>masculino</w:t>
      </w:r>
      <w:r>
        <w:rPr>
          <w:color w:val="2B477B"/>
        </w:rPr>
        <w:t xml:space="preserve"> </w:t>
      </w:r>
      <w:proofErr w:type="spellStart"/>
      <w:r>
        <w:rPr>
          <w:rFonts w:ascii="Arial Unicode MS" w:eastAsia="Arial Unicode MS" w:hAnsi="Arial Unicode MS" w:cs="Arial Unicode MS"/>
          <w:color w:val="2B477B"/>
        </w:rPr>
        <w:t>triaje</w:t>
      </w:r>
      <w:proofErr w:type="spellEnd"/>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“clasificación</w:t>
      </w:r>
      <w:r>
        <w:rPr>
          <w:color w:val="2B477B"/>
        </w:rPr>
        <w:t> </w:t>
      </w:r>
      <w:r>
        <w:rPr>
          <w:rFonts w:ascii="Arial Unicode MS" w:eastAsia="Arial Unicode MS" w:hAnsi="Arial Unicode MS" w:cs="Arial Unicode MS"/>
          <w:color w:val="2B477B"/>
        </w:rPr>
        <w:t>de</w:t>
      </w:r>
      <w:r>
        <w:rPr>
          <w:color w:val="2B477B"/>
        </w:rPr>
        <w:t> </w:t>
      </w:r>
      <w:r>
        <w:rPr>
          <w:rFonts w:ascii="Arial Unicode MS" w:eastAsia="Arial Unicode MS" w:hAnsi="Arial Unicode MS" w:cs="Arial Unicode MS"/>
          <w:color w:val="2B477B"/>
        </w:rPr>
        <w:t>los</w:t>
      </w:r>
      <w:r>
        <w:rPr>
          <w:color w:val="2B477B"/>
        </w:rPr>
        <w:t> </w:t>
      </w:r>
      <w:r>
        <w:rPr>
          <w:rFonts w:ascii="Arial Unicode MS" w:eastAsia="Arial Unicode MS" w:hAnsi="Arial Unicode MS" w:cs="Arial Unicode MS"/>
          <w:color w:val="2B477B"/>
        </w:rPr>
        <w:t>pacientes</w:t>
      </w:r>
      <w:r>
        <w:rPr>
          <w:color w:val="2B477B"/>
        </w:rPr>
        <w:t> </w:t>
      </w:r>
      <w:r>
        <w:rPr>
          <w:rFonts w:ascii="Arial Unicode MS" w:eastAsia="Arial Unicode MS" w:hAnsi="Arial Unicode MS" w:cs="Arial Unicode MS"/>
          <w:color w:val="2B477B"/>
        </w:rPr>
        <w:t>según</w:t>
      </w:r>
      <w:r>
        <w:rPr>
          <w:color w:val="2B477B"/>
        </w:rPr>
        <w:t> </w:t>
      </w:r>
      <w:r>
        <w:rPr>
          <w:rFonts w:ascii="Arial Unicode MS" w:eastAsia="Arial Unicode MS" w:hAnsi="Arial Unicode MS" w:cs="Arial Unicode MS"/>
          <w:color w:val="2B477B"/>
        </w:rPr>
        <w:t>el</w:t>
      </w:r>
      <w:r>
        <w:rPr>
          <w:color w:val="2B477B"/>
        </w:rPr>
        <w:t> </w:t>
      </w:r>
      <w:r>
        <w:rPr>
          <w:rFonts w:ascii="Arial Unicode MS" w:eastAsia="Arial Unicode MS" w:hAnsi="Arial Unicode MS" w:cs="Arial Unicode MS"/>
          <w:color w:val="2B477B"/>
        </w:rPr>
        <w:t>tipo</w:t>
      </w:r>
      <w:r>
        <w:rPr>
          <w:color w:val="2B477B"/>
        </w:rPr>
        <w:t> </w:t>
      </w:r>
      <w:r>
        <w:rPr>
          <w:rFonts w:ascii="Arial Unicode MS" w:eastAsia="Arial Unicode MS" w:hAnsi="Arial Unicode MS" w:cs="Arial Unicode MS"/>
          <w:color w:val="2B477B"/>
        </w:rPr>
        <w:t>y</w:t>
      </w:r>
      <w:r>
        <w:rPr>
          <w:color w:val="2B477B"/>
        </w:rPr>
        <w:t> </w:t>
      </w:r>
      <w:r>
        <w:rPr>
          <w:rFonts w:ascii="Arial Unicode MS" w:eastAsia="Arial Unicode MS" w:hAnsi="Arial Unicode MS" w:cs="Arial Unicode MS"/>
          <w:color w:val="2B477B"/>
        </w:rPr>
        <w:t>gravedad</w:t>
      </w:r>
      <w:r>
        <w:rPr>
          <w:color w:val="2B477B"/>
        </w:rPr>
        <w:t> </w:t>
      </w:r>
      <w:r>
        <w:rPr>
          <w:rFonts w:ascii="Arial Unicode MS" w:eastAsia="Arial Unicode MS" w:hAnsi="Arial Unicode MS" w:cs="Arial Unicode MS"/>
          <w:color w:val="2B477B"/>
        </w:rPr>
        <w:t>de</w:t>
      </w:r>
      <w:r>
        <w:rPr>
          <w:color w:val="2B477B"/>
        </w:rPr>
        <w:t> </w:t>
      </w:r>
      <w:r>
        <w:rPr>
          <w:rFonts w:ascii="Arial Unicode MS" w:eastAsia="Arial Unicode MS" w:hAnsi="Arial Unicode MS" w:cs="Arial Unicode MS"/>
          <w:color w:val="2B477B"/>
        </w:rPr>
        <w:t>su</w:t>
      </w:r>
      <w:r>
        <w:rPr>
          <w:color w:val="2B477B"/>
        </w:rPr>
        <w:t> </w:t>
      </w:r>
      <w:r>
        <w:rPr>
          <w:rFonts w:ascii="Arial Unicode MS" w:eastAsia="Arial Unicode MS" w:hAnsi="Arial Unicode MS" w:cs="Arial Unicode MS"/>
          <w:color w:val="2B477B"/>
        </w:rPr>
        <w:t>dolencia</w:t>
      </w:r>
      <w:r>
        <w:rPr>
          <w:color w:val="2B477B"/>
        </w:rPr>
        <w:t> </w:t>
      </w:r>
      <w:r>
        <w:rPr>
          <w:rFonts w:ascii="Arial Unicode MS" w:eastAsia="Arial Unicode MS" w:hAnsi="Arial Unicode MS" w:cs="Arial Unicode MS"/>
          <w:color w:val="2B477B"/>
        </w:rPr>
        <w:t>o</w:t>
      </w:r>
      <w:r>
        <w:rPr>
          <w:color w:val="2B477B"/>
        </w:rPr>
        <w:t> </w:t>
      </w:r>
      <w:r>
        <w:rPr>
          <w:rFonts w:ascii="Arial Unicode MS" w:eastAsia="Arial Unicode MS" w:hAnsi="Arial Unicode MS" w:cs="Arial Unicode MS"/>
          <w:color w:val="2B477B"/>
        </w:rPr>
        <w:t>lesión,</w:t>
      </w:r>
      <w:r>
        <w:rPr>
          <w:color w:val="2B477B"/>
        </w:rPr>
        <w:t> </w:t>
      </w:r>
      <w:r>
        <w:rPr>
          <w:rFonts w:ascii="Arial Unicode MS" w:eastAsia="Arial Unicode MS" w:hAnsi="Arial Unicode MS" w:cs="Arial Unicode MS"/>
          <w:color w:val="2B477B"/>
        </w:rPr>
        <w:t>para</w:t>
      </w:r>
      <w:r>
        <w:rPr>
          <w:color w:val="2B477B"/>
        </w:rPr>
        <w:t> </w:t>
      </w:r>
      <w:r>
        <w:rPr>
          <w:rFonts w:ascii="Arial Unicode MS" w:eastAsia="Arial Unicode MS" w:hAnsi="Arial Unicode MS" w:cs="Arial Unicode MS"/>
          <w:color w:val="2B477B"/>
        </w:rPr>
        <w:t>establecer</w:t>
      </w:r>
      <w:r>
        <w:rPr>
          <w:color w:val="2B477B"/>
        </w:rPr>
        <w:t>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orden</w:t>
      </w:r>
      <w:r>
        <w:rPr>
          <w:color w:val="2B477B"/>
        </w:rPr>
        <w:t> </w:t>
      </w:r>
      <w:r>
        <w:rPr>
          <w:rFonts w:ascii="Arial Unicode MS" w:eastAsia="Arial Unicode MS" w:hAnsi="Arial Unicode MS" w:cs="Arial Unicode MS"/>
          <w:color w:val="2B477B"/>
        </w:rPr>
        <w:t>y</w:t>
      </w:r>
      <w:r>
        <w:rPr>
          <w:color w:val="2B477B"/>
        </w:rPr>
        <w:t> </w:t>
      </w:r>
      <w:r>
        <w:rPr>
          <w:rFonts w:ascii="Arial Unicode MS" w:eastAsia="Arial Unicode MS" w:hAnsi="Arial Unicode MS" w:cs="Arial Unicode MS"/>
          <w:color w:val="2B477B"/>
        </w:rPr>
        <w:t>el</w:t>
      </w:r>
      <w:r>
        <w:rPr>
          <w:color w:val="2B477B"/>
        </w:rPr>
        <w:t> </w:t>
      </w:r>
      <w:r>
        <w:rPr>
          <w:rFonts w:ascii="Arial Unicode MS" w:eastAsia="Arial Unicode MS" w:hAnsi="Arial Unicode MS" w:cs="Arial Unicode MS"/>
          <w:color w:val="2B477B"/>
        </w:rPr>
        <w:t>lugar</w:t>
      </w:r>
      <w:r>
        <w:rPr>
          <w:color w:val="2B477B"/>
        </w:rPr>
        <w:t> </w:t>
      </w:r>
      <w:r>
        <w:rPr>
          <w:rFonts w:ascii="Arial Unicode MS" w:eastAsia="Arial Unicode MS" w:hAnsi="Arial Unicode MS" w:cs="Arial Unicode MS"/>
          <w:color w:val="2B477B"/>
        </w:rPr>
        <w:t>en</w:t>
      </w:r>
      <w:r>
        <w:rPr>
          <w:color w:val="2B477B"/>
        </w:rPr>
        <w:t> </w:t>
      </w:r>
      <w:r>
        <w:rPr>
          <w:rFonts w:ascii="Arial Unicode MS" w:eastAsia="Arial Unicode MS" w:hAnsi="Arial Unicode MS" w:cs="Arial Unicode MS"/>
          <w:color w:val="2B477B"/>
        </w:rPr>
        <w:t>que</w:t>
      </w:r>
      <w:r>
        <w:rPr>
          <w:color w:val="2B477B"/>
        </w:rPr>
        <w:t> </w:t>
      </w:r>
      <w:r>
        <w:rPr>
          <w:rFonts w:ascii="Arial Unicode MS" w:eastAsia="Arial Unicode MS" w:hAnsi="Arial Unicode MS" w:cs="Arial Unicode MS"/>
          <w:color w:val="2B477B"/>
        </w:rPr>
        <w:t>deben</w:t>
      </w:r>
      <w:r>
        <w:rPr>
          <w:color w:val="2B477B"/>
        </w:rPr>
        <w:t> </w:t>
      </w:r>
      <w:r>
        <w:rPr>
          <w:rFonts w:ascii="Arial Unicode MS" w:eastAsia="Arial Unicode MS" w:hAnsi="Arial Unicode MS" w:cs="Arial Unicode MS"/>
          <w:color w:val="2B477B"/>
        </w:rPr>
        <w:t>ser</w:t>
      </w:r>
      <w:r>
        <w:rPr>
          <w:color w:val="2B477B"/>
        </w:rPr>
        <w:t> </w:t>
      </w:r>
      <w:r>
        <w:rPr>
          <w:rFonts w:ascii="Arial Unicode MS" w:eastAsia="Arial Unicode MS" w:hAnsi="Arial Unicode MS" w:cs="Arial Unicode MS"/>
          <w:color w:val="2B477B"/>
        </w:rPr>
        <w:t>atendidos”,</w:t>
      </w:r>
      <w:r>
        <w:rPr>
          <w:color w:val="2B477B"/>
        </w:rPr>
        <w:t xml:space="preserve"> </w:t>
      </w:r>
      <w:r>
        <w:rPr>
          <w:rFonts w:ascii="Arial Unicode MS" w:eastAsia="Arial Unicode MS" w:hAnsi="Arial Unicode MS" w:cs="Arial Unicode MS"/>
          <w:color w:val="2B477B"/>
        </w:rPr>
        <w:t>RAE,</w:t>
      </w:r>
      <w:r>
        <w:rPr>
          <w:color w:val="2B477B"/>
        </w:rPr>
        <w:t xml:space="preserve"> </w:t>
      </w:r>
      <w:r>
        <w:rPr>
          <w:rFonts w:ascii="Arial Unicode MS" w:eastAsia="Arial Unicode MS" w:hAnsi="Arial Unicode MS" w:cs="Arial Unicode MS"/>
          <w:color w:val="2B477B"/>
        </w:rPr>
        <w:t>Diccionario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lengua</w:t>
      </w:r>
      <w:r>
        <w:rPr>
          <w:color w:val="2B477B"/>
        </w:rPr>
        <w:t xml:space="preserve"> </w:t>
      </w:r>
      <w:r>
        <w:rPr>
          <w:rFonts w:ascii="Arial Unicode MS" w:eastAsia="Arial Unicode MS" w:hAnsi="Arial Unicode MS" w:cs="Arial Unicode MS"/>
          <w:color w:val="2B477B"/>
        </w:rPr>
        <w:t>española,</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el</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2024</w:t>
      </w:r>
      <w:r>
        <w:rPr>
          <w:rFonts w:ascii="Arial Unicode MS" w:eastAsia="Arial Unicode MS" w:hAnsi="Arial Unicode MS" w:cs="Arial Unicode MS"/>
          <w:color w:val="2B477B"/>
        </w:rPr>
        <w:t>.</w:t>
      </w:r>
    </w:p>
  </w:footnote>
  <w:footnote w:id="19">
    <w:p w14:paraId="336708EC"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señalado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presentan</w:t>
      </w:r>
      <w:r>
        <w:rPr>
          <w:color w:val="2B477B"/>
        </w:rPr>
        <w:t xml:space="preserve"> </w:t>
      </w:r>
      <w:r>
        <w:rPr>
          <w:rFonts w:ascii="Arial Unicode MS" w:eastAsia="Arial Unicode MS" w:hAnsi="Arial Unicode MS" w:cs="Arial Unicode MS"/>
          <w:color w:val="2B477B"/>
        </w:rPr>
        <w:t>tasas</w:t>
      </w:r>
      <w:r>
        <w:rPr>
          <w:color w:val="2B477B"/>
        </w:rPr>
        <w:t xml:space="preserve"> </w:t>
      </w:r>
      <w:r>
        <w:rPr>
          <w:rFonts w:ascii="Arial Unicode MS" w:eastAsia="Arial Unicode MS" w:hAnsi="Arial Unicode MS" w:cs="Arial Unicode MS"/>
          <w:color w:val="2B477B"/>
        </w:rPr>
        <w:t>elevadas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esterilización</w:t>
      </w:r>
      <w:r>
        <w:rPr>
          <w:color w:val="2B477B"/>
        </w:rPr>
        <w:t xml:space="preserve"> </w:t>
      </w:r>
      <w:r>
        <w:rPr>
          <w:rFonts w:ascii="Arial Unicode MS" w:eastAsia="Arial Unicode MS" w:hAnsi="Arial Unicode MS" w:cs="Arial Unicode MS"/>
          <w:color w:val="2B477B"/>
        </w:rPr>
        <w:t>forzada,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frecuencia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ven</w:t>
      </w:r>
      <w:r>
        <w:rPr>
          <w:color w:val="2B477B"/>
        </w:rPr>
        <w:t xml:space="preserve"> </w:t>
      </w:r>
      <w:r>
        <w:rPr>
          <w:rFonts w:ascii="Arial Unicode MS" w:eastAsia="Arial Unicode MS" w:hAnsi="Arial Unicode MS" w:cs="Arial Unicode MS"/>
          <w:color w:val="2B477B"/>
        </w:rPr>
        <w:t>privadas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control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adopción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darse</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sentado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son</w:t>
      </w:r>
      <w:r>
        <w:rPr>
          <w:color w:val="2B477B"/>
        </w:rPr>
        <w:t xml:space="preserve"> </w:t>
      </w:r>
      <w:r>
        <w:rPr>
          <w:rFonts w:ascii="Arial Unicode MS" w:eastAsia="Arial Unicode MS" w:hAnsi="Arial Unicode MS" w:cs="Arial Unicode MS"/>
          <w:color w:val="2B477B"/>
        </w:rPr>
        <w:t>capaces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otorgar</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relaciones</w:t>
      </w:r>
      <w:r>
        <w:rPr>
          <w:color w:val="2B477B"/>
        </w:rPr>
        <w:t xml:space="preserve"> </w:t>
      </w:r>
      <w:r>
        <w:rPr>
          <w:rFonts w:ascii="Arial Unicode MS" w:eastAsia="Arial Unicode MS" w:hAnsi="Arial Unicode MS" w:cs="Arial Unicode MS"/>
          <w:color w:val="2B477B"/>
        </w:rPr>
        <w:t>sexuales”,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1"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adicionalmente,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recibido</w:t>
      </w:r>
      <w:r>
        <w:rPr>
          <w:color w:val="2B477B"/>
        </w:rPr>
        <w:t xml:space="preserve"> </w:t>
      </w:r>
      <w:r>
        <w:rPr>
          <w:rFonts w:ascii="Arial Unicode MS" w:eastAsia="Arial Unicode MS" w:hAnsi="Arial Unicode MS" w:cs="Arial Unicode MS"/>
          <w:color w:val="2B477B"/>
        </w:rPr>
        <w:t>denuncias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No.</w:t>
      </w:r>
      <w:r>
        <w:rPr>
          <w:color w:val="2B477B"/>
        </w:rPr>
        <w:t xml:space="preserve"> 204/21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Caso</w:t>
      </w:r>
      <w:r>
        <w:rPr>
          <w:color w:val="2B477B"/>
        </w:rPr>
        <w:t xml:space="preserve"> 11</w:t>
      </w:r>
      <w:r>
        <w:rPr>
          <w:rFonts w:ascii="Arial Unicode MS" w:eastAsia="Arial Unicode MS" w:hAnsi="Arial Unicode MS" w:cs="Arial Unicode MS"/>
          <w:color w:val="2B477B"/>
        </w:rPr>
        <w:t>.</w:t>
      </w:r>
      <w:r>
        <w:rPr>
          <w:color w:val="2B477B"/>
        </w:rPr>
        <w:t>545</w:t>
      </w:r>
      <w:r>
        <w:rPr>
          <w:rFonts w:ascii="Arial Unicode MS" w:eastAsia="Arial Unicode MS" w:hAnsi="Arial Unicode MS" w:cs="Arial Unicode MS"/>
          <w:color w:val="2B477B"/>
        </w:rPr>
        <w:t>,</w:t>
      </w:r>
      <w:r>
        <w:rPr>
          <w:color w:val="2B477B"/>
        </w:rPr>
        <w:t xml:space="preserve"> </w:t>
      </w:r>
      <w:hyperlink r:id="rId22"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solución</w:t>
        </w:r>
        <w:r>
          <w:rPr>
            <w:color w:val="2B477B"/>
          </w:rPr>
          <w:t xml:space="preserve"> </w:t>
        </w:r>
        <w:r>
          <w:rPr>
            <w:rFonts w:ascii="Arial Unicode MS" w:eastAsia="Arial Unicode MS" w:hAnsi="Arial Unicode MS" w:cs="Arial Unicode MS"/>
            <w:color w:val="2B477B"/>
          </w:rPr>
          <w:t>amistosa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OEA</w:t>
      </w:r>
      <w:r>
        <w:rPr>
          <w:color w:val="2B477B"/>
        </w:rPr>
        <w:t>/</w:t>
      </w:r>
      <w:proofErr w:type="spellStart"/>
      <w:r>
        <w:rPr>
          <w:rFonts w:ascii="Arial Unicode MS" w:eastAsia="Arial Unicode MS" w:hAnsi="Arial Unicode MS" w:cs="Arial Unicode MS"/>
          <w:color w:val="2B477B"/>
        </w:rPr>
        <w:t>Ser.L</w:t>
      </w:r>
      <w:proofErr w:type="spellEnd"/>
      <w:r>
        <w:rPr>
          <w:color w:val="2B477B"/>
        </w:rPr>
        <w:t>/</w:t>
      </w:r>
      <w:r>
        <w:rPr>
          <w:rFonts w:ascii="Arial Unicode MS" w:eastAsia="Arial Unicode MS" w:hAnsi="Arial Unicode MS" w:cs="Arial Unicode MS"/>
          <w:color w:val="2B477B"/>
        </w:rPr>
        <w:t>V</w:t>
      </w:r>
      <w:r>
        <w:rPr>
          <w:color w:val="2B477B"/>
        </w:rPr>
        <w:t>/</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Doc.</w:t>
      </w:r>
      <w:r>
        <w:rPr>
          <w:color w:val="2B477B"/>
        </w:rPr>
        <w:t>212</w:t>
      </w:r>
      <w:r>
        <w:rPr>
          <w:rFonts w:ascii="Arial Unicode MS" w:eastAsia="Arial Unicode MS" w:hAnsi="Arial Unicode MS" w:cs="Arial Unicode MS"/>
          <w:color w:val="2B477B"/>
        </w:rPr>
        <w:t>,</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68</w:t>
      </w:r>
      <w:r>
        <w:rPr>
          <w:rFonts w:ascii="Arial Unicode MS" w:eastAsia="Arial Unicode MS" w:hAnsi="Arial Unicode MS" w:cs="Arial Unicode MS"/>
          <w:color w:val="2B477B"/>
        </w:rPr>
        <w:t>.</w:t>
      </w:r>
      <w:r>
        <w:rPr>
          <w:color w:val="2B477B"/>
        </w:rPr>
        <w:t xml:space="preserve"> </w:t>
      </w:r>
    </w:p>
  </w:footnote>
  <w:footnote w:id="20">
    <w:p w14:paraId="12CE06A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Palacios,</w:t>
      </w:r>
      <w:r>
        <w:rPr>
          <w:color w:val="2B477B"/>
        </w:rPr>
        <w:t xml:space="preserve"> </w:t>
      </w:r>
      <w:r>
        <w:rPr>
          <w:rFonts w:ascii="Arial Unicode MS" w:eastAsia="Arial Unicode MS" w:hAnsi="Arial Unicode MS" w:cs="Arial Unicode MS"/>
          <w:color w:val="2B477B"/>
        </w:rPr>
        <w:t>Agustina,</w:t>
      </w:r>
      <w:r>
        <w:rPr>
          <w:color w:val="2B477B"/>
        </w:rPr>
        <w:t xml:space="preserve"> </w:t>
      </w:r>
      <w:hyperlink r:id="rId23" w:history="1">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modelo</w:t>
        </w:r>
        <w:r>
          <w:rPr>
            <w:rStyle w:val="Hyperlink1"/>
            <w:u w:val="single"/>
          </w:rPr>
          <w:t xml:space="preserve"> </w:t>
        </w:r>
        <w:r>
          <w:rPr>
            <w:rStyle w:val="Hyperlink1"/>
            <w:rFonts w:ascii="Arial Unicode MS" w:eastAsia="Arial Unicode MS" w:hAnsi="Arial Unicode MS" w:cs="Arial Unicode MS"/>
            <w:u w:val="single"/>
          </w:rPr>
          <w:t>social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orígenes,</w:t>
        </w:r>
        <w:r>
          <w:rPr>
            <w:rStyle w:val="Hyperlink1"/>
            <w:u w:val="single"/>
          </w:rPr>
          <w:t xml:space="preserve"> </w:t>
        </w:r>
        <w:r>
          <w:rPr>
            <w:rStyle w:val="Hyperlink1"/>
            <w:rFonts w:ascii="Arial Unicode MS" w:eastAsia="Arial Unicode MS" w:hAnsi="Arial Unicode MS" w:cs="Arial Unicode MS"/>
            <w:u w:val="single"/>
          </w:rPr>
          <w:t>caracterización</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plasmación</w:t>
        </w:r>
        <w:r>
          <w:rPr>
            <w:rStyle w:val="Hyperlink1"/>
            <w:u w:val="single"/>
          </w:rPr>
          <w:t xml:space="preserve"> </w:t>
        </w:r>
        <w:r>
          <w:rPr>
            <w:rStyle w:val="Hyperlink1"/>
            <w:rFonts w:ascii="Arial Unicode MS" w:eastAsia="Arial Unicode MS" w:hAnsi="Arial Unicode MS" w:cs="Arial Unicode MS"/>
            <w:u w:val="single"/>
          </w:rPr>
          <w:t>en</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Internacional</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colección</w:t>
      </w:r>
      <w:r>
        <w:rPr>
          <w:color w:val="2B477B"/>
        </w:rPr>
        <w:t xml:space="preserve"> </w:t>
      </w:r>
      <w:r>
        <w:rPr>
          <w:rFonts w:ascii="Arial Unicode MS" w:eastAsia="Arial Unicode MS" w:hAnsi="Arial Unicode MS" w:cs="Arial Unicode MS"/>
          <w:color w:val="2B477B"/>
        </w:rPr>
        <w:t>CERMI,</w:t>
      </w:r>
      <w:r>
        <w:rPr>
          <w:color w:val="2B477B"/>
        </w:rPr>
        <w:t xml:space="preserve"> </w:t>
      </w:r>
      <w:r>
        <w:rPr>
          <w:rFonts w:ascii="Arial Unicode MS" w:eastAsia="Arial Unicode MS" w:hAnsi="Arial Unicode MS" w:cs="Arial Unicode MS"/>
          <w:color w:val="2B477B"/>
        </w:rPr>
        <w:t>Madrid,</w:t>
      </w:r>
      <w:r>
        <w:rPr>
          <w:color w:val="2B477B"/>
        </w:rPr>
        <w:t xml:space="preserve"> 2008</w:t>
      </w:r>
      <w:r>
        <w:rPr>
          <w:rFonts w:ascii="Arial Unicode MS" w:eastAsia="Arial Unicode MS" w:hAnsi="Arial Unicode MS" w:cs="Arial Unicode MS"/>
          <w:color w:val="2B477B"/>
        </w:rPr>
        <w:t>;</w:t>
      </w:r>
      <w:hyperlink r:id="rId24" w:history="1">
        <w:r>
          <w:rPr>
            <w:rStyle w:val="Hyperlink1"/>
            <w:rFonts w:ascii="Arial Unicode MS" w:eastAsia="Arial Unicode MS" w:hAnsi="Arial Unicode MS" w:cs="Arial Unicode MS"/>
            <w:u w:val="single"/>
          </w:rPr>
          <w:t>Módulo</w:t>
        </w:r>
        <w:r>
          <w:rPr>
            <w:rStyle w:val="Hyperlink1"/>
            <w:u w:val="single"/>
          </w:rPr>
          <w:t xml:space="preserve"> 6</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serie</w:t>
        </w:r>
        <w:r>
          <w:rPr>
            <w:rStyle w:val="Hyperlink1"/>
            <w:u w:val="single"/>
          </w:rPr>
          <w:t xml:space="preserve"> </w:t>
        </w:r>
        <w:r>
          <w:rPr>
            <w:rStyle w:val="Hyperlink1"/>
            <w:rFonts w:ascii="Arial Unicode MS" w:eastAsia="Arial Unicode MS" w:hAnsi="Arial Unicode MS" w:cs="Arial Unicode MS"/>
            <w:u w:val="single"/>
          </w:rPr>
          <w:t>módulos</w:t>
        </w:r>
        <w:r>
          <w:rPr>
            <w:rStyle w:val="Hyperlink1"/>
            <w:u w:val="single"/>
          </w:rPr>
          <w:t xml:space="preserve"> </w:t>
        </w:r>
        <w:r>
          <w:rPr>
            <w:rStyle w:val="Hyperlink1"/>
            <w:rFonts w:ascii="Arial Unicode MS" w:eastAsia="Arial Unicode MS" w:hAnsi="Arial Unicode MS" w:cs="Arial Unicode MS"/>
            <w:u w:val="single"/>
          </w:rPr>
          <w:t>educativos,</w:t>
        </w:r>
      </w:hyperlink>
      <w:r>
        <w:rPr>
          <w:color w:val="2B477B"/>
        </w:rPr>
        <w:t xml:space="preserve"> </w:t>
      </w:r>
      <w:r>
        <w:rPr>
          <w:rFonts w:ascii="Arial Unicode MS" w:eastAsia="Arial Unicode MS" w:hAnsi="Arial Unicode MS" w:cs="Arial Unicode MS"/>
          <w:color w:val="2B477B"/>
        </w:rPr>
        <w:t>IIDH,</w:t>
      </w:r>
      <w:r>
        <w:rPr>
          <w:color w:val="2B477B"/>
        </w:rPr>
        <w:t xml:space="preserve"> </w:t>
      </w:r>
      <w:r>
        <w:rPr>
          <w:rFonts w:ascii="Arial Unicode MS" w:eastAsia="Arial Unicode MS" w:hAnsi="Arial Unicode MS" w:cs="Arial Unicode MS"/>
          <w:color w:val="2B477B"/>
        </w:rPr>
        <w:t>San</w:t>
      </w:r>
      <w:r>
        <w:rPr>
          <w:color w:val="2B477B"/>
        </w:rPr>
        <w:t xml:space="preserve"> </w:t>
      </w:r>
      <w:r>
        <w:rPr>
          <w:rFonts w:ascii="Arial Unicode MS" w:eastAsia="Arial Unicode MS" w:hAnsi="Arial Unicode MS" w:cs="Arial Unicode MS"/>
          <w:color w:val="2B477B"/>
        </w:rPr>
        <w:t>José,</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2007</w:t>
      </w:r>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Brogna</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Patricia</w:t>
      </w:r>
      <w:r>
        <w:rPr>
          <w:color w:val="2B477B"/>
        </w:rPr>
        <w:t xml:space="preserve"> </w:t>
      </w:r>
      <w:r>
        <w:rPr>
          <w:rFonts w:ascii="Arial Unicode MS" w:eastAsia="Arial Unicode MS" w:hAnsi="Arial Unicode MS" w:cs="Arial Unicode MS"/>
          <w:color w:val="2B477B"/>
        </w:rPr>
        <w:t>(compiladora):</w:t>
      </w:r>
      <w:r>
        <w:rPr>
          <w:color w:val="2B477B"/>
        </w:rPr>
        <w:t xml:space="preserve"> </w:t>
      </w:r>
      <w:hyperlink r:id="rId25" w:history="1">
        <w:r>
          <w:rPr>
            <w:rStyle w:val="Hyperlink1"/>
            <w:rFonts w:ascii="Arial Unicode MS" w:eastAsia="Arial Unicode MS" w:hAnsi="Arial Unicode MS" w:cs="Arial Unicode MS"/>
            <w:u w:val="single"/>
          </w:rPr>
          <w:t>Visiones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Revisiones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Cultura</w:t>
      </w:r>
      <w:r>
        <w:rPr>
          <w:color w:val="2B477B"/>
        </w:rPr>
        <w:t xml:space="preserve"> </w:t>
      </w:r>
      <w:r>
        <w:rPr>
          <w:rFonts w:ascii="Arial Unicode MS" w:eastAsia="Arial Unicode MS" w:hAnsi="Arial Unicode MS" w:cs="Arial Unicode MS"/>
          <w:color w:val="2B477B"/>
        </w:rPr>
        <w:t>Económica,</w:t>
      </w:r>
      <w:r>
        <w:rPr>
          <w:color w:val="2B477B"/>
        </w:rPr>
        <w:t xml:space="preserve"> 2009</w:t>
      </w:r>
      <w:r>
        <w:rPr>
          <w:rFonts w:ascii="Arial Unicode MS" w:eastAsia="Arial Unicode MS" w:hAnsi="Arial Unicode MS" w:cs="Arial Unicode MS"/>
          <w:color w:val="2B477B"/>
        </w:rPr>
        <w:t>.</w:t>
      </w:r>
    </w:p>
  </w:footnote>
  <w:footnote w:id="21">
    <w:p w14:paraId="04E0E725"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Barbosa,</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Salazar,</w:t>
      </w:r>
      <w:r>
        <w:rPr>
          <w:color w:val="2B477B"/>
        </w:rPr>
        <w:t xml:space="preserve"> </w:t>
      </w:r>
      <w:r>
        <w:rPr>
          <w:rFonts w:ascii="Arial Unicode MS" w:eastAsia="Arial Unicode MS" w:hAnsi="Arial Unicode MS" w:cs="Arial Unicode MS"/>
          <w:color w:val="2B477B"/>
        </w:rPr>
        <w:t>F.;</w:t>
      </w:r>
      <w:r>
        <w:rPr>
          <w:color w:val="2B477B"/>
        </w:rPr>
        <w:t xml:space="preserve"> </w:t>
      </w:r>
      <w:r>
        <w:rPr>
          <w:rFonts w:ascii="Arial Unicode MS" w:eastAsia="Arial Unicode MS" w:hAnsi="Arial Unicode MS" w:cs="Arial Unicode MS"/>
          <w:color w:val="2B477B"/>
        </w:rPr>
        <w:t>Beltrán,</w:t>
      </w:r>
      <w:r>
        <w:rPr>
          <w:color w:val="2B477B"/>
        </w:rPr>
        <w:t xml:space="preserve"> </w:t>
      </w:r>
      <w:r>
        <w:rPr>
          <w:rFonts w:ascii="Arial Unicode MS" w:eastAsia="Arial Unicode MS" w:hAnsi="Arial Unicode MS" w:cs="Arial Unicode MS"/>
          <w:color w:val="2B477B"/>
        </w:rPr>
        <w:t>J.,</w:t>
      </w:r>
      <w:r>
        <w:rPr>
          <w:color w:val="2B477B"/>
        </w:rPr>
        <w:t xml:space="preserve"> </w:t>
      </w:r>
      <w:r>
        <w:rPr>
          <w:rFonts w:ascii="Arial Unicode MS" w:eastAsia="Arial Unicode MS" w:hAnsi="Arial Unicode MS" w:cs="Arial Unicode MS"/>
          <w:color w:val="2B477B"/>
        </w:rPr>
        <w:t>“</w:t>
      </w:r>
      <w:hyperlink r:id="rId26" w:history="1">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generador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Revista</w:t>
      </w:r>
      <w:r>
        <w:rPr>
          <w:color w:val="2B477B"/>
        </w:rPr>
        <w:t xml:space="preserve"> </w:t>
      </w:r>
      <w:r>
        <w:rPr>
          <w:rFonts w:ascii="Arial Unicode MS" w:eastAsia="Arial Unicode MS" w:hAnsi="Arial Unicode MS" w:cs="Arial Unicode MS"/>
          <w:color w:val="2B477B"/>
        </w:rPr>
        <w:t>Latinoamericana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Bioética,</w:t>
      </w:r>
      <w:r>
        <w:rPr>
          <w:color w:val="2B477B"/>
        </w:rPr>
        <w:t xml:space="preserve"> 2019</w:t>
      </w:r>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núm.</w:t>
      </w:r>
      <w:r>
        <w:rPr>
          <w:color w:val="2B477B"/>
        </w:rPr>
        <w:t xml:space="preserve"> 2 </w:t>
      </w:r>
      <w:r>
        <w:rPr>
          <w:rFonts w:ascii="Arial Unicode MS" w:eastAsia="Arial Unicode MS" w:hAnsi="Arial Unicode MS" w:cs="Arial Unicode MS"/>
          <w:color w:val="2B477B"/>
        </w:rPr>
        <w:t>(</w:t>
      </w:r>
      <w:r>
        <w:rPr>
          <w:color w:val="2B477B"/>
        </w:rPr>
        <w:t>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Jun-</w:t>
      </w:r>
      <w:proofErr w:type="spellStart"/>
      <w:r>
        <w:rPr>
          <w:rFonts w:ascii="Arial Unicode MS" w:eastAsia="Arial Unicode MS" w:hAnsi="Arial Unicode MS" w:cs="Arial Unicode MS"/>
          <w:color w:val="2B477B"/>
        </w:rPr>
        <w:t>Dec</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ISSN:</w:t>
      </w:r>
      <w:r>
        <w:rPr>
          <w:color w:val="2B477B"/>
        </w:rPr>
        <w:t xml:space="preserve"> 1657</w:t>
      </w:r>
      <w:r>
        <w:rPr>
          <w:rFonts w:ascii="Arial Unicode MS" w:eastAsia="Arial Unicode MS" w:hAnsi="Arial Unicode MS" w:cs="Arial Unicode MS"/>
          <w:color w:val="2B477B"/>
        </w:rPr>
        <w:t>-</w:t>
      </w:r>
      <w:r>
        <w:rPr>
          <w:color w:val="2B477B"/>
        </w:rPr>
        <w:t>4702 / 2462</w:t>
      </w:r>
      <w:r>
        <w:rPr>
          <w:rFonts w:ascii="Arial Unicode MS" w:eastAsia="Arial Unicode MS" w:hAnsi="Arial Unicode MS" w:cs="Arial Unicode MS"/>
          <w:color w:val="2B477B"/>
        </w:rPr>
        <w:t>-</w:t>
      </w:r>
      <w:r>
        <w:rPr>
          <w:color w:val="2B477B"/>
        </w:rPr>
        <w:t>859</w:t>
      </w:r>
      <w:r>
        <w:rPr>
          <w:rFonts w:ascii="Arial Unicode MS" w:eastAsia="Arial Unicode MS" w:hAnsi="Arial Unicode MS" w:cs="Arial Unicode MS"/>
          <w:color w:val="2B477B"/>
        </w:rPr>
        <w:t>X;</w:t>
      </w:r>
      <w:r>
        <w:rPr>
          <w:color w:val="2B477B"/>
        </w:rPr>
        <w:t xml:space="preserve"> </w:t>
      </w:r>
      <w:r>
        <w:rPr>
          <w:rFonts w:ascii="Arial Unicode MS" w:eastAsia="Arial Unicode MS" w:hAnsi="Arial Unicode MS" w:cs="Arial Unicode MS"/>
          <w:color w:val="2B477B"/>
        </w:rPr>
        <w:t>Albrecht,</w:t>
      </w:r>
      <w:r>
        <w:rPr>
          <w:color w:val="2B477B"/>
        </w:rPr>
        <w:t xml:space="preserve"> </w:t>
      </w:r>
      <w:r>
        <w:rPr>
          <w:rFonts w:ascii="Arial Unicode MS" w:eastAsia="Arial Unicode MS" w:hAnsi="Arial Unicode MS" w:cs="Arial Unicode MS"/>
          <w:color w:val="2B477B"/>
        </w:rPr>
        <w:t>Gary</w:t>
      </w:r>
      <w:r>
        <w:rPr>
          <w:color w:val="2B477B"/>
        </w:rPr>
        <w:t xml:space="preserve"> </w:t>
      </w:r>
      <w:r>
        <w:rPr>
          <w:rFonts w:ascii="Arial Unicode MS" w:eastAsia="Arial Unicode MS" w:hAnsi="Arial Unicode MS" w:cs="Arial Unicode MS"/>
          <w:color w:val="2B477B"/>
        </w:rPr>
        <w:t>L.:</w:t>
      </w:r>
      <w:r>
        <w:rPr>
          <w:color w:val="2B477B"/>
        </w:rPr>
        <w:t xml:space="preserve"> </w:t>
      </w:r>
      <w:proofErr w:type="spellStart"/>
      <w:r>
        <w:rPr>
          <w:rFonts w:ascii="Arial Unicode MS" w:eastAsia="Arial Unicode MS" w:hAnsi="Arial Unicode MS" w:cs="Arial Unicode MS"/>
          <w:color w:val="2B477B"/>
        </w:rPr>
        <w:t>T</w:t>
      </w:r>
      <w:hyperlink r:id="rId27" w:history="1">
        <w:r>
          <w:rPr>
            <w:rFonts w:ascii="Arial Unicode MS" w:eastAsia="Arial Unicode MS" w:hAnsi="Arial Unicode MS" w:cs="Arial Unicode MS"/>
            <w:color w:val="2B477B"/>
          </w:rPr>
          <w:t>he</w:t>
        </w:r>
        <w:proofErr w:type="spellEnd"/>
        <w:r>
          <w:rPr>
            <w:color w:val="2B477B"/>
          </w:rPr>
          <w:t xml:space="preserve"> </w:t>
        </w:r>
        <w:proofErr w:type="spellStart"/>
        <w:r>
          <w:rPr>
            <w:rFonts w:ascii="Arial Unicode MS" w:eastAsia="Arial Unicode MS" w:hAnsi="Arial Unicode MS" w:cs="Arial Unicode MS"/>
            <w:color w:val="2B477B"/>
          </w:rPr>
          <w:t>Disability</w:t>
        </w:r>
        <w:proofErr w:type="spellEnd"/>
        <w:r>
          <w:rPr>
            <w:color w:val="2B477B"/>
          </w:rPr>
          <w:t xml:space="preserve"> </w:t>
        </w:r>
        <w:r>
          <w:rPr>
            <w:rFonts w:ascii="Arial Unicode MS" w:eastAsia="Arial Unicode MS" w:hAnsi="Arial Unicode MS" w:cs="Arial Unicode MS"/>
            <w:color w:val="2B477B"/>
          </w:rPr>
          <w:t>Business:</w:t>
        </w:r>
        <w:r>
          <w:rPr>
            <w:color w:val="2B477B"/>
          </w:rPr>
          <w:t xml:space="preserve"> </w:t>
        </w:r>
        <w:proofErr w:type="spellStart"/>
        <w:r>
          <w:rPr>
            <w:rFonts w:ascii="Arial Unicode MS" w:eastAsia="Arial Unicode MS" w:hAnsi="Arial Unicode MS" w:cs="Arial Unicode MS"/>
            <w:color w:val="2B477B"/>
          </w:rPr>
          <w:t>Rehabilitation</w:t>
        </w:r>
        <w:proofErr w:type="spellEnd"/>
        <w:r>
          <w:rPr>
            <w:color w:val="2B477B"/>
          </w:rPr>
          <w:t xml:space="preserve"> </w:t>
        </w:r>
        <w:r>
          <w:rPr>
            <w:rFonts w:ascii="Arial Unicode MS" w:eastAsia="Arial Unicode MS" w:hAnsi="Arial Unicode MS" w:cs="Arial Unicode MS"/>
            <w:color w:val="2B477B"/>
          </w:rPr>
          <w:t>in</w:t>
        </w:r>
        <w:r>
          <w:rPr>
            <w:color w:val="2B477B"/>
          </w:rPr>
          <w:t xml:space="preserve"> </w:t>
        </w:r>
        <w:proofErr w:type="spellStart"/>
        <w:r>
          <w:rPr>
            <w:rFonts w:ascii="Arial Unicode MS" w:eastAsia="Arial Unicode MS" w:hAnsi="Arial Unicode MS" w:cs="Arial Unicode MS"/>
            <w:color w:val="2B477B"/>
          </w:rPr>
          <w:t>America</w:t>
        </w:r>
        <w:proofErr w:type="spellEnd"/>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SAGE</w:t>
      </w:r>
      <w:r>
        <w:rPr>
          <w:color w:val="2B477B"/>
        </w:rPr>
        <w:t xml:space="preserve"> </w:t>
      </w:r>
      <w:r>
        <w:rPr>
          <w:rFonts w:ascii="Arial Unicode MS" w:eastAsia="Arial Unicode MS" w:hAnsi="Arial Unicode MS" w:cs="Arial Unicode MS"/>
          <w:color w:val="2B477B"/>
        </w:rPr>
        <w:t>Publicaciones,</w:t>
      </w:r>
      <w:r>
        <w:rPr>
          <w:color w:val="2B477B"/>
        </w:rPr>
        <w:t xml:space="preserve"> </w:t>
      </w:r>
      <w:proofErr w:type="spellStart"/>
      <w:r>
        <w:rPr>
          <w:rFonts w:ascii="Arial Unicode MS" w:eastAsia="Arial Unicode MS" w:hAnsi="Arial Unicode MS" w:cs="Arial Unicode MS"/>
          <w:color w:val="2B477B"/>
        </w:rPr>
        <w:t>Inc</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mayo</w:t>
      </w:r>
      <w:r>
        <w:rPr>
          <w:color w:val="2B477B"/>
        </w:rPr>
        <w:t xml:space="preserve"> 30 </w:t>
      </w:r>
      <w:r>
        <w:rPr>
          <w:rFonts w:ascii="Arial Unicode MS" w:eastAsia="Arial Unicode MS" w:hAnsi="Arial Unicode MS" w:cs="Arial Unicode MS"/>
          <w:color w:val="2B477B"/>
        </w:rPr>
        <w:t>de</w:t>
      </w:r>
      <w:r>
        <w:rPr>
          <w:color w:val="2B477B"/>
        </w:rPr>
        <w:t xml:space="preserve"> 1992</w:t>
      </w:r>
      <w:r>
        <w:rPr>
          <w:rFonts w:ascii="Arial Unicode MS" w:eastAsia="Arial Unicode MS" w:hAnsi="Arial Unicode MS" w:cs="Arial Unicode MS"/>
          <w:color w:val="2B477B"/>
        </w:rPr>
        <w:t>.</w:t>
      </w:r>
    </w:p>
  </w:footnote>
  <w:footnote w:id="22">
    <w:p w14:paraId="431020B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Palacios,</w:t>
      </w:r>
      <w:r>
        <w:rPr>
          <w:color w:val="2B477B"/>
        </w:rPr>
        <w:t xml:space="preserve"> </w:t>
      </w:r>
      <w:r>
        <w:rPr>
          <w:rFonts w:ascii="Arial Unicode MS" w:eastAsia="Arial Unicode MS" w:hAnsi="Arial Unicode MS" w:cs="Arial Unicode MS"/>
          <w:color w:val="2B477B"/>
        </w:rPr>
        <w:t>Agustina:</w:t>
      </w:r>
      <w:r>
        <w:rPr>
          <w:color w:val="2B477B"/>
        </w:rPr>
        <w:t xml:space="preserve"> </w:t>
      </w:r>
      <w:hyperlink r:id="rId28" w:history="1">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orígenes,</w:t>
        </w:r>
        <w:r>
          <w:rPr>
            <w:color w:val="2B477B"/>
          </w:rPr>
          <w:t xml:space="preserve"> </w:t>
        </w:r>
        <w:r>
          <w:rPr>
            <w:rFonts w:ascii="Arial Unicode MS" w:eastAsia="Arial Unicode MS" w:hAnsi="Arial Unicode MS" w:cs="Arial Unicode MS"/>
            <w:color w:val="2B477B"/>
          </w:rPr>
          <w:t>caracterización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plasmación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colección</w:t>
      </w:r>
      <w:r>
        <w:rPr>
          <w:color w:val="2B477B"/>
        </w:rPr>
        <w:t xml:space="preserve"> </w:t>
      </w:r>
      <w:r>
        <w:rPr>
          <w:rFonts w:ascii="Arial Unicode MS" w:eastAsia="Arial Unicode MS" w:hAnsi="Arial Unicode MS" w:cs="Arial Unicode MS"/>
          <w:color w:val="2B477B"/>
        </w:rPr>
        <w:t>CERMI,</w:t>
      </w:r>
      <w:r>
        <w:rPr>
          <w:color w:val="2B477B"/>
        </w:rPr>
        <w:t xml:space="preserve"> </w:t>
      </w:r>
      <w:r>
        <w:rPr>
          <w:rFonts w:ascii="Arial Unicode MS" w:eastAsia="Arial Unicode MS" w:hAnsi="Arial Unicode MS" w:cs="Arial Unicode MS"/>
          <w:color w:val="2B477B"/>
        </w:rPr>
        <w:t>Madrid,</w:t>
      </w:r>
      <w:r>
        <w:rPr>
          <w:color w:val="2B477B"/>
        </w:rPr>
        <w:t xml:space="preserve"> 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66</w:t>
      </w:r>
      <w:r>
        <w:rPr>
          <w:rFonts w:ascii="Arial Unicode MS" w:eastAsia="Arial Unicode MS" w:hAnsi="Arial Unicode MS" w:cs="Arial Unicode MS"/>
          <w:color w:val="2B477B"/>
        </w:rPr>
        <w:t>-</w:t>
      </w:r>
      <w:r>
        <w:rPr>
          <w:color w:val="2B477B"/>
        </w:rPr>
        <w:t>79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Diniz,</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Barbosa,</w:t>
      </w:r>
      <w:r>
        <w:rPr>
          <w:color w:val="2B477B"/>
        </w:rPr>
        <w:t xml:space="preserve"> </w:t>
      </w:r>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Rufino</w:t>
      </w:r>
      <w:r>
        <w:rPr>
          <w:color w:val="2B477B"/>
        </w:rPr>
        <w:t xml:space="preserve"> </w:t>
      </w:r>
      <w:r>
        <w:rPr>
          <w:rFonts w:ascii="Arial Unicode MS" w:eastAsia="Arial Unicode MS" w:hAnsi="Arial Unicode MS" w:cs="Arial Unicode MS"/>
          <w:color w:val="2B477B"/>
        </w:rPr>
        <w:t>dos</w:t>
      </w:r>
      <w:r>
        <w:rPr>
          <w:color w:val="2B477B"/>
        </w:rPr>
        <w:t xml:space="preserve"> </w:t>
      </w:r>
      <w:r>
        <w:rPr>
          <w:rFonts w:ascii="Arial Unicode MS" w:eastAsia="Arial Unicode MS" w:hAnsi="Arial Unicode MS" w:cs="Arial Unicode MS"/>
          <w:color w:val="2B477B"/>
        </w:rPr>
        <w:t>Santos,</w:t>
      </w:r>
      <w:r>
        <w:rPr>
          <w:color w:val="2B477B"/>
        </w:rPr>
        <w:t xml:space="preserve"> </w:t>
      </w:r>
      <w:r>
        <w:rPr>
          <w:rFonts w:ascii="Arial Unicode MS" w:eastAsia="Arial Unicode MS" w:hAnsi="Arial Unicode MS" w:cs="Arial Unicode MS"/>
          <w:color w:val="2B477B"/>
        </w:rPr>
        <w:t>W.,</w:t>
      </w:r>
      <w:r>
        <w:rPr>
          <w:color w:val="2B477B"/>
        </w:rPr>
        <w:t xml:space="preserve"> </w:t>
      </w:r>
      <w:r>
        <w:rPr>
          <w:rFonts w:ascii="Arial Unicode MS" w:eastAsia="Arial Unicode MS" w:hAnsi="Arial Unicode MS" w:cs="Arial Unicode MS"/>
          <w:color w:val="2B477B"/>
        </w:rPr>
        <w:t>“</w:t>
      </w:r>
      <w:hyperlink r:id="rId29" w:history="1">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humanos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justicia</w:t>
        </w:r>
      </w:hyperlink>
      <w:r>
        <w:rPr>
          <w:rStyle w:val="Hyperlink1"/>
          <w:rFonts w:ascii="Arial Unicode MS" w:eastAsia="Arial Unicode MS" w:hAnsi="Arial Unicode MS" w:cs="Arial Unicode MS"/>
          <w:u w:val="single"/>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Sur,</w:t>
      </w:r>
      <w:r>
        <w:rPr>
          <w:color w:val="2B477B"/>
        </w:rPr>
        <w:t xml:space="preserve"> </w:t>
      </w:r>
      <w:r>
        <w:rPr>
          <w:rFonts w:ascii="Arial Unicode MS" w:eastAsia="Arial Unicode MS" w:hAnsi="Arial Unicode MS" w:cs="Arial Unicode MS"/>
          <w:color w:val="2B477B"/>
        </w:rPr>
        <w:t>Revista</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77</w:t>
      </w:r>
      <w:r>
        <w:rPr>
          <w:rFonts w:ascii="Arial Unicode MS" w:eastAsia="Arial Unicode MS" w:hAnsi="Arial Unicode MS" w:cs="Arial Unicode MS"/>
          <w:color w:val="2B477B"/>
        </w:rPr>
        <w:t>.</w:t>
      </w:r>
    </w:p>
  </w:footnote>
  <w:footnote w:id="23">
    <w:p w14:paraId="5CC35DF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Barbosa,</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Salazar,</w:t>
      </w:r>
      <w:r>
        <w:rPr>
          <w:color w:val="2B477B"/>
        </w:rPr>
        <w:t xml:space="preserve"> </w:t>
      </w:r>
      <w:r>
        <w:rPr>
          <w:rFonts w:ascii="Arial Unicode MS" w:eastAsia="Arial Unicode MS" w:hAnsi="Arial Unicode MS" w:cs="Arial Unicode MS"/>
          <w:color w:val="2B477B"/>
        </w:rPr>
        <w:t>F.;</w:t>
      </w:r>
      <w:r>
        <w:rPr>
          <w:color w:val="2B477B"/>
        </w:rPr>
        <w:t xml:space="preserve"> </w:t>
      </w:r>
      <w:r>
        <w:rPr>
          <w:rFonts w:ascii="Arial Unicode MS" w:eastAsia="Arial Unicode MS" w:hAnsi="Arial Unicode MS" w:cs="Arial Unicode MS"/>
          <w:color w:val="2B477B"/>
        </w:rPr>
        <w:t>Beltrán,</w:t>
      </w:r>
      <w:r>
        <w:rPr>
          <w:color w:val="2B477B"/>
        </w:rPr>
        <w:t xml:space="preserve"> </w:t>
      </w:r>
      <w:r>
        <w:rPr>
          <w:rFonts w:ascii="Arial Unicode MS" w:eastAsia="Arial Unicode MS" w:hAnsi="Arial Unicode MS" w:cs="Arial Unicode MS"/>
          <w:color w:val="2B477B"/>
        </w:rPr>
        <w:t>J.,</w:t>
      </w:r>
      <w:r>
        <w:rPr>
          <w:color w:val="2B477B"/>
        </w:rPr>
        <w:t xml:space="preserve"> </w:t>
      </w:r>
      <w:r>
        <w:rPr>
          <w:rFonts w:ascii="Arial Unicode MS" w:eastAsia="Arial Unicode MS" w:hAnsi="Arial Unicode MS" w:cs="Arial Unicode MS"/>
          <w:color w:val="2B477B"/>
        </w:rPr>
        <w:t>“</w:t>
      </w:r>
      <w:hyperlink r:id="rId30" w:history="1">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modelo</w:t>
        </w:r>
        <w:r>
          <w:rPr>
            <w:rStyle w:val="Hyperlink1"/>
            <w:u w:val="single"/>
          </w:rPr>
          <w:t xml:space="preserve"> </w:t>
        </w:r>
        <w:r>
          <w:rPr>
            <w:rStyle w:val="Hyperlink1"/>
            <w:rFonts w:ascii="Arial Unicode MS" w:eastAsia="Arial Unicode MS" w:hAnsi="Arial Unicode MS" w:cs="Arial Unicode MS"/>
            <w:u w:val="single"/>
          </w:rPr>
          <w:t>médico</w:t>
        </w:r>
        <w:r>
          <w:rPr>
            <w:rStyle w:val="Hyperlink1"/>
            <w:u w:val="single"/>
          </w:rPr>
          <w:t xml:space="preserve"> </w:t>
        </w:r>
        <w:r>
          <w:rPr>
            <w:rStyle w:val="Hyperlink1"/>
            <w:rFonts w:ascii="Arial Unicode MS" w:eastAsia="Arial Unicode MS" w:hAnsi="Arial Unicode MS" w:cs="Arial Unicode MS"/>
            <w:u w:val="single"/>
          </w:rPr>
          <w:t>como</w:t>
        </w:r>
        <w:r>
          <w:rPr>
            <w:rStyle w:val="Hyperlink1"/>
            <w:u w:val="single"/>
          </w:rPr>
          <w:t xml:space="preserve"> </w:t>
        </w:r>
        <w:r>
          <w:rPr>
            <w:rStyle w:val="Hyperlink1"/>
            <w:rFonts w:ascii="Arial Unicode MS" w:eastAsia="Arial Unicode MS" w:hAnsi="Arial Unicode MS" w:cs="Arial Unicode MS"/>
            <w:u w:val="single"/>
          </w:rPr>
          <w:t>generador</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proofErr w:type="spellStart"/>
        <w:r>
          <w:rPr>
            <w:rStyle w:val="Hyperlink1"/>
            <w:rFonts w:ascii="Arial Unicode MS" w:eastAsia="Arial Unicode MS" w:hAnsi="Arial Unicode MS" w:cs="Arial Unicode MS"/>
            <w:u w:val="single"/>
          </w:rPr>
          <w:t>discapacidad</w:t>
        </w:r>
      </w:hyperlink>
      <w:proofErr w:type="gramStart"/>
      <w:r>
        <w:rPr>
          <w:rStyle w:val="Hyperlink1"/>
          <w:rFonts w:ascii="Arial Unicode MS" w:eastAsia="Arial Unicode MS" w:hAnsi="Arial Unicode MS" w:cs="Arial Unicode MS"/>
          <w:u w:val="single"/>
        </w:rPr>
        <w:t>“,</w:t>
      </w:r>
      <w:r>
        <w:rPr>
          <w:rFonts w:ascii="Arial Unicode MS" w:eastAsia="Arial Unicode MS" w:hAnsi="Arial Unicode MS" w:cs="Arial Unicode MS"/>
          <w:color w:val="2B477B"/>
        </w:rPr>
        <w:t>Revista</w:t>
      </w:r>
      <w:proofErr w:type="spellEnd"/>
      <w:proofErr w:type="gramEnd"/>
      <w:r>
        <w:rPr>
          <w:color w:val="2B477B"/>
        </w:rPr>
        <w:t xml:space="preserve"> </w:t>
      </w:r>
      <w:r>
        <w:rPr>
          <w:rFonts w:ascii="Arial Unicode MS" w:eastAsia="Arial Unicode MS" w:hAnsi="Arial Unicode MS" w:cs="Arial Unicode MS"/>
          <w:color w:val="2B477B"/>
        </w:rPr>
        <w:t>Latinoamericana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Bioética,</w:t>
      </w:r>
      <w:r>
        <w:rPr>
          <w:color w:val="2B477B"/>
        </w:rPr>
        <w:t xml:space="preserve"> 19 </w:t>
      </w:r>
      <w:r>
        <w:rPr>
          <w:rFonts w:ascii="Arial Unicode MS" w:eastAsia="Arial Unicode MS" w:hAnsi="Arial Unicode MS" w:cs="Arial Unicode MS"/>
          <w:color w:val="2B477B"/>
        </w:rPr>
        <w:t>no.</w:t>
      </w:r>
      <w:r>
        <w:rPr>
          <w:color w:val="2B477B"/>
        </w:rPr>
        <w:t xml:space="preserve"> 2 </w:t>
      </w:r>
      <w:r>
        <w:rPr>
          <w:rFonts w:ascii="Arial Unicode MS" w:eastAsia="Arial Unicode MS" w:hAnsi="Arial Unicode MS" w:cs="Arial Unicode MS"/>
          <w:color w:val="2B477B"/>
        </w:rPr>
        <w:t>(</w:t>
      </w:r>
      <w:r>
        <w:rPr>
          <w:color w:val="2B477B"/>
        </w:rPr>
        <w:t>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Jun-</w:t>
      </w:r>
      <w:proofErr w:type="spellStart"/>
      <w:r>
        <w:rPr>
          <w:rFonts w:ascii="Arial Unicode MS" w:eastAsia="Arial Unicode MS" w:hAnsi="Arial Unicode MS" w:cs="Arial Unicode MS"/>
          <w:color w:val="2B477B"/>
        </w:rPr>
        <w:t>Dec</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ISSN:</w:t>
      </w:r>
      <w:r>
        <w:rPr>
          <w:color w:val="2B477B"/>
        </w:rPr>
        <w:t xml:space="preserve"> 1657</w:t>
      </w:r>
      <w:r>
        <w:rPr>
          <w:rFonts w:ascii="Arial Unicode MS" w:eastAsia="Arial Unicode MS" w:hAnsi="Arial Unicode MS" w:cs="Arial Unicode MS"/>
          <w:color w:val="2B477B"/>
        </w:rPr>
        <w:t>-</w:t>
      </w:r>
      <w:r>
        <w:rPr>
          <w:color w:val="2B477B"/>
        </w:rPr>
        <w:t>4702 / 2462</w:t>
      </w:r>
      <w:r>
        <w:rPr>
          <w:rFonts w:ascii="Arial Unicode MS" w:eastAsia="Arial Unicode MS" w:hAnsi="Arial Unicode MS" w:cs="Arial Unicode MS"/>
          <w:color w:val="2B477B"/>
        </w:rPr>
        <w:t>-</w:t>
      </w:r>
      <w:r>
        <w:rPr>
          <w:color w:val="2B477B"/>
        </w:rPr>
        <w:t>859</w:t>
      </w:r>
      <w:r>
        <w:rPr>
          <w:rFonts w:ascii="Arial Unicode MS" w:eastAsia="Arial Unicode MS" w:hAnsi="Arial Unicode MS" w:cs="Arial Unicode MS"/>
          <w:color w:val="2B477B"/>
        </w:rPr>
        <w:t>X;</w:t>
      </w:r>
      <w:r>
        <w:rPr>
          <w:color w:val="2B477B"/>
        </w:rPr>
        <w:t xml:space="preserve"> </w:t>
      </w:r>
      <w:r>
        <w:rPr>
          <w:rFonts w:ascii="Arial Unicode MS" w:eastAsia="Arial Unicode MS" w:hAnsi="Arial Unicode MS" w:cs="Arial Unicode MS"/>
          <w:color w:val="2B477B"/>
        </w:rPr>
        <w:t>Albrecht,</w:t>
      </w:r>
      <w:r>
        <w:rPr>
          <w:color w:val="2B477B"/>
        </w:rPr>
        <w:t xml:space="preserve"> </w:t>
      </w:r>
      <w:r>
        <w:rPr>
          <w:rFonts w:ascii="Arial Unicode MS" w:eastAsia="Arial Unicode MS" w:hAnsi="Arial Unicode MS" w:cs="Arial Unicode MS"/>
          <w:color w:val="2B477B"/>
        </w:rPr>
        <w:t>Gary</w:t>
      </w:r>
      <w:r>
        <w:rPr>
          <w:color w:val="2B477B"/>
        </w:rPr>
        <w:t xml:space="preserve"> </w:t>
      </w:r>
      <w:r>
        <w:rPr>
          <w:rFonts w:ascii="Arial Unicode MS" w:eastAsia="Arial Unicode MS" w:hAnsi="Arial Unicode MS" w:cs="Arial Unicode MS"/>
          <w:color w:val="2B477B"/>
        </w:rPr>
        <w:t>L.:</w:t>
      </w:r>
      <w:r>
        <w:rPr>
          <w:color w:val="2B477B"/>
        </w:rPr>
        <w:t xml:space="preserve"> </w:t>
      </w:r>
      <w:proofErr w:type="spellStart"/>
      <w:r>
        <w:rPr>
          <w:rFonts w:ascii="Arial Unicode MS" w:eastAsia="Arial Unicode MS" w:hAnsi="Arial Unicode MS" w:cs="Arial Unicode MS"/>
          <w:color w:val="2B477B"/>
        </w:rPr>
        <w:t>T</w:t>
      </w:r>
      <w:hyperlink r:id="rId31" w:history="1">
        <w:r>
          <w:rPr>
            <w:rStyle w:val="Hyperlink1"/>
            <w:rFonts w:ascii="Arial Unicode MS" w:eastAsia="Arial Unicode MS" w:hAnsi="Arial Unicode MS" w:cs="Arial Unicode MS"/>
            <w:u w:val="single"/>
          </w:rPr>
          <w:t>he</w:t>
        </w:r>
        <w:proofErr w:type="spellEnd"/>
        <w:r>
          <w:rPr>
            <w:rStyle w:val="Hyperlink1"/>
            <w:u w:val="single"/>
          </w:rPr>
          <w:t xml:space="preserve"> </w:t>
        </w:r>
        <w:proofErr w:type="spellStart"/>
        <w:r>
          <w:rPr>
            <w:rStyle w:val="Hyperlink1"/>
            <w:rFonts w:ascii="Arial Unicode MS" w:eastAsia="Arial Unicode MS" w:hAnsi="Arial Unicode MS" w:cs="Arial Unicode MS"/>
            <w:u w:val="single"/>
          </w:rPr>
          <w:t>Disability</w:t>
        </w:r>
        <w:proofErr w:type="spellEnd"/>
        <w:r>
          <w:rPr>
            <w:rStyle w:val="Hyperlink1"/>
            <w:u w:val="single"/>
          </w:rPr>
          <w:t xml:space="preserve"> </w:t>
        </w:r>
        <w:r>
          <w:rPr>
            <w:rStyle w:val="Hyperlink1"/>
            <w:rFonts w:ascii="Arial Unicode MS" w:eastAsia="Arial Unicode MS" w:hAnsi="Arial Unicode MS" w:cs="Arial Unicode MS"/>
            <w:u w:val="single"/>
          </w:rPr>
          <w:t>Business:</w:t>
        </w:r>
        <w:r>
          <w:rPr>
            <w:rStyle w:val="Hyperlink1"/>
            <w:u w:val="single"/>
          </w:rPr>
          <w:t xml:space="preserve"> </w:t>
        </w:r>
        <w:proofErr w:type="spellStart"/>
        <w:r>
          <w:rPr>
            <w:rStyle w:val="Hyperlink1"/>
            <w:rFonts w:ascii="Arial Unicode MS" w:eastAsia="Arial Unicode MS" w:hAnsi="Arial Unicode MS" w:cs="Arial Unicode MS"/>
            <w:u w:val="single"/>
          </w:rPr>
          <w:t>Rehabilitation</w:t>
        </w:r>
        <w:proofErr w:type="spellEnd"/>
        <w:r>
          <w:rPr>
            <w:rStyle w:val="Hyperlink1"/>
            <w:u w:val="single"/>
          </w:rPr>
          <w:t xml:space="preserve"> </w:t>
        </w:r>
        <w:r>
          <w:rPr>
            <w:rStyle w:val="Hyperlink1"/>
            <w:rFonts w:ascii="Arial Unicode MS" w:eastAsia="Arial Unicode MS" w:hAnsi="Arial Unicode MS" w:cs="Arial Unicode MS"/>
            <w:u w:val="single"/>
          </w:rPr>
          <w:t>in</w:t>
        </w:r>
        <w:r>
          <w:rPr>
            <w:rStyle w:val="Hyperlink1"/>
            <w:u w:val="single"/>
          </w:rPr>
          <w:t xml:space="preserve"> </w:t>
        </w:r>
        <w:proofErr w:type="spellStart"/>
        <w:r>
          <w:rPr>
            <w:rStyle w:val="Hyperlink1"/>
            <w:rFonts w:ascii="Arial Unicode MS" w:eastAsia="Arial Unicode MS" w:hAnsi="Arial Unicode MS" w:cs="Arial Unicode MS"/>
            <w:u w:val="single"/>
          </w:rPr>
          <w:t>America</w:t>
        </w:r>
        <w:proofErr w:type="spellEnd"/>
      </w:hyperlink>
      <w:r>
        <w:rPr>
          <w:rStyle w:val="Hyperlink1"/>
          <w:rFonts w:ascii="Arial Unicode MS" w:eastAsia="Arial Unicode MS" w:hAnsi="Arial Unicode MS" w:cs="Arial Unicode MS"/>
          <w:u w:val="single"/>
        </w:rPr>
        <w:t>,</w:t>
      </w:r>
      <w:r>
        <w:rPr>
          <w:color w:val="2B477B"/>
        </w:rPr>
        <w:t xml:space="preserve"> </w:t>
      </w:r>
      <w:r>
        <w:rPr>
          <w:rFonts w:ascii="Arial Unicode MS" w:eastAsia="Arial Unicode MS" w:hAnsi="Arial Unicode MS" w:cs="Arial Unicode MS"/>
          <w:color w:val="2B477B"/>
        </w:rPr>
        <w:t>SAGE</w:t>
      </w:r>
      <w:r>
        <w:rPr>
          <w:color w:val="2B477B"/>
        </w:rPr>
        <w:t xml:space="preserve"> </w:t>
      </w:r>
      <w:proofErr w:type="spellStart"/>
      <w:r>
        <w:rPr>
          <w:rFonts w:ascii="Arial Unicode MS" w:eastAsia="Arial Unicode MS" w:hAnsi="Arial Unicode MS" w:cs="Arial Unicode MS"/>
          <w:color w:val="2B477B"/>
        </w:rPr>
        <w:t>Publicacioens</w:t>
      </w:r>
      <w:proofErr w:type="spellEnd"/>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Inc</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mayo</w:t>
      </w:r>
      <w:r>
        <w:rPr>
          <w:color w:val="2B477B"/>
        </w:rPr>
        <w:t xml:space="preserve"> 30 </w:t>
      </w:r>
      <w:r>
        <w:rPr>
          <w:rFonts w:ascii="Arial Unicode MS" w:eastAsia="Arial Unicode MS" w:hAnsi="Arial Unicode MS" w:cs="Arial Unicode MS"/>
          <w:color w:val="2B477B"/>
        </w:rPr>
        <w:t>de</w:t>
      </w:r>
      <w:r>
        <w:rPr>
          <w:color w:val="2B477B"/>
        </w:rPr>
        <w:t xml:space="preserve"> 1992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Diniz,</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Barbosa,</w:t>
      </w:r>
      <w:r>
        <w:rPr>
          <w:color w:val="2B477B"/>
        </w:rPr>
        <w:t xml:space="preserve"> </w:t>
      </w:r>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Rufino</w:t>
      </w:r>
      <w:r>
        <w:rPr>
          <w:color w:val="2B477B"/>
        </w:rPr>
        <w:t xml:space="preserve"> </w:t>
      </w:r>
      <w:r>
        <w:rPr>
          <w:rFonts w:ascii="Arial Unicode MS" w:eastAsia="Arial Unicode MS" w:hAnsi="Arial Unicode MS" w:cs="Arial Unicode MS"/>
          <w:color w:val="2B477B"/>
        </w:rPr>
        <w:t>dos</w:t>
      </w:r>
      <w:r>
        <w:rPr>
          <w:color w:val="2B477B"/>
        </w:rPr>
        <w:t xml:space="preserve"> </w:t>
      </w:r>
      <w:r>
        <w:rPr>
          <w:rFonts w:ascii="Arial Unicode MS" w:eastAsia="Arial Unicode MS" w:hAnsi="Arial Unicode MS" w:cs="Arial Unicode MS"/>
          <w:color w:val="2B477B"/>
        </w:rPr>
        <w:t>Santos,</w:t>
      </w:r>
      <w:r>
        <w:rPr>
          <w:color w:val="2B477B"/>
        </w:rPr>
        <w:t xml:space="preserve"> </w:t>
      </w:r>
      <w:r>
        <w:rPr>
          <w:rFonts w:ascii="Arial Unicode MS" w:eastAsia="Arial Unicode MS" w:hAnsi="Arial Unicode MS" w:cs="Arial Unicode MS"/>
          <w:color w:val="2B477B"/>
        </w:rPr>
        <w:t>W.,</w:t>
      </w:r>
      <w:r>
        <w:rPr>
          <w:color w:val="2B477B"/>
        </w:rPr>
        <w:t xml:space="preserve"> </w:t>
      </w:r>
      <w:r>
        <w:rPr>
          <w:rFonts w:ascii="Arial Unicode MS" w:eastAsia="Arial Unicode MS" w:hAnsi="Arial Unicode MS" w:cs="Arial Unicode MS"/>
          <w:color w:val="2B477B"/>
        </w:rPr>
        <w:t>“</w:t>
      </w:r>
      <w:hyperlink r:id="rId32" w:history="1">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humanos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justicia</w:t>
        </w:r>
      </w:hyperlink>
      <w:r>
        <w:rPr>
          <w:rStyle w:val="Hyperlink1"/>
          <w:rFonts w:ascii="Arial Unicode MS" w:eastAsia="Arial Unicode MS" w:hAnsi="Arial Unicode MS" w:cs="Arial Unicode MS"/>
          <w:u w:val="single"/>
        </w:rPr>
        <w:t>“</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Sur,</w:t>
      </w:r>
      <w:r>
        <w:rPr>
          <w:color w:val="2B477B"/>
        </w:rPr>
        <w:t xml:space="preserve"> </w:t>
      </w:r>
      <w:r>
        <w:rPr>
          <w:rFonts w:ascii="Arial Unicode MS" w:eastAsia="Arial Unicode MS" w:hAnsi="Arial Unicode MS" w:cs="Arial Unicode MS"/>
          <w:color w:val="2B477B"/>
        </w:rPr>
        <w:t>Revista</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77</w:t>
      </w:r>
      <w:r>
        <w:rPr>
          <w:rFonts w:ascii="Arial Unicode MS" w:eastAsia="Arial Unicode MS" w:hAnsi="Arial Unicode MS" w:cs="Arial Unicode MS"/>
          <w:color w:val="2B477B"/>
        </w:rPr>
        <w:t>.</w:t>
      </w:r>
    </w:p>
  </w:footnote>
  <w:footnote w:id="24">
    <w:p w14:paraId="4DF814D5"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Molina</w:t>
      </w:r>
      <w:r>
        <w:rPr>
          <w:color w:val="2B477B"/>
        </w:rPr>
        <w:t xml:space="preserve"> </w:t>
      </w:r>
      <w:r>
        <w:rPr>
          <w:rFonts w:ascii="Arial Unicode MS" w:eastAsia="Arial Unicode MS" w:hAnsi="Arial Unicode MS" w:cs="Arial Unicode MS"/>
          <w:color w:val="2B477B"/>
        </w:rPr>
        <w:t>Toledo,</w:t>
      </w:r>
      <w:r>
        <w:rPr>
          <w:color w:val="2B477B"/>
        </w:rPr>
        <w:t xml:space="preserve"> </w:t>
      </w:r>
      <w:r>
        <w:rPr>
          <w:rFonts w:ascii="Arial Unicode MS" w:eastAsia="Arial Unicode MS" w:hAnsi="Arial Unicode MS" w:cs="Arial Unicode MS"/>
          <w:color w:val="2B477B"/>
        </w:rPr>
        <w:t>Pamela,</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normal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nueva</w:t>
      </w:r>
      <w:r>
        <w:rPr>
          <w:color w:val="2B477B"/>
        </w:rPr>
        <w:t xml:space="preserve"> </w:t>
      </w:r>
      <w:r>
        <w:rPr>
          <w:rFonts w:ascii="Arial Unicode MS" w:eastAsia="Arial Unicode MS" w:hAnsi="Arial Unicode MS" w:cs="Arial Unicode MS"/>
          <w:color w:val="2B477B"/>
        </w:rPr>
        <w:t>normalidad?</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v</w:t>
      </w:r>
      <w:r>
        <w:rPr>
          <w:color w:val="2B477B"/>
        </w:rPr>
        <w:t>/</w:t>
      </w:r>
      <w:r>
        <w:rPr>
          <w:rFonts w:ascii="Arial Unicode MS" w:eastAsia="Arial Unicode MS" w:hAnsi="Arial Unicode MS" w:cs="Arial Unicode MS"/>
          <w:color w:val="2B477B"/>
        </w:rPr>
        <w:t>s</w:t>
      </w:r>
      <w:r>
        <w:rPr>
          <w:color w:val="2B477B"/>
        </w:rPr>
        <w:t xml:space="preserve"> </w:t>
      </w:r>
      <w:r>
        <w:rPr>
          <w:rFonts w:ascii="Arial Unicode MS" w:eastAsia="Arial Unicode MS" w:hAnsi="Arial Unicode MS" w:cs="Arial Unicode MS"/>
          <w:color w:val="2B477B"/>
        </w:rPr>
        <w:t>Equidad</w:t>
      </w:r>
      <w:r>
        <w:rPr>
          <w:color w:val="2B477B"/>
        </w:rPr>
        <w:t xml:space="preserve"> 1 </w:t>
      </w:r>
      <w:r>
        <w:rPr>
          <w:rFonts w:ascii="Arial Unicode MS" w:eastAsia="Arial Unicode MS" w:hAnsi="Arial Unicode MS" w:cs="Arial Unicode MS"/>
          <w:color w:val="2B477B"/>
        </w:rPr>
        <w:t>(</w:t>
      </w:r>
      <w:r>
        <w:rPr>
          <w:color w:val="2B477B"/>
        </w:rPr>
        <w:t>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Buenos</w:t>
      </w:r>
      <w:r>
        <w:rPr>
          <w:color w:val="2B477B"/>
        </w:rPr>
        <w:t xml:space="preserve"> </w:t>
      </w:r>
      <w:r>
        <w:rPr>
          <w:rFonts w:ascii="Arial Unicode MS" w:eastAsia="Arial Unicode MS" w:hAnsi="Arial Unicode MS" w:cs="Arial Unicode MS"/>
          <w:color w:val="2B477B"/>
        </w:rPr>
        <w:t>Aires,</w:t>
      </w:r>
      <w:r>
        <w:rPr>
          <w:color w:val="2B477B"/>
        </w:rPr>
        <w:t xml:space="preserve"> </w:t>
      </w:r>
      <w:r>
        <w:rPr>
          <w:rFonts w:ascii="Arial Unicode MS" w:eastAsia="Arial Unicode MS" w:hAnsi="Arial Unicode MS" w:cs="Arial Unicode MS"/>
          <w:color w:val="2B477B"/>
        </w:rPr>
        <w:t>Serial</w:t>
      </w:r>
      <w:r>
        <w:rPr>
          <w:color w:val="2B477B"/>
        </w:rPr>
        <w:t xml:space="preserve"> </w:t>
      </w:r>
      <w:r>
        <w:rPr>
          <w:rFonts w:ascii="Arial Unicode MS" w:eastAsia="Arial Unicode MS" w:hAnsi="Arial Unicode MS" w:cs="Arial Unicode MS"/>
          <w:color w:val="2B477B"/>
        </w:rPr>
        <w:t>Editorial,</w:t>
      </w:r>
      <w:r>
        <w:rPr>
          <w:color w:val="2B477B"/>
        </w:rPr>
        <w:t xml:space="preserve"> </w:t>
      </w:r>
      <w:r>
        <w:rPr>
          <w:rFonts w:ascii="Arial Unicode MS" w:eastAsia="Arial Unicode MS" w:hAnsi="Arial Unicode MS" w:cs="Arial Unicode MS"/>
          <w:color w:val="2B477B"/>
        </w:rPr>
        <w:t>pág.</w:t>
      </w:r>
      <w:r>
        <w:rPr>
          <w:color w:val="2B477B"/>
        </w:rPr>
        <w:t xml:space="preserve"> 24</w:t>
      </w:r>
      <w:r>
        <w:rPr>
          <w:rFonts w:ascii="Arial Unicode MS" w:eastAsia="Arial Unicode MS" w:hAnsi="Arial Unicode MS" w:cs="Arial Unicode MS"/>
          <w:color w:val="2B477B"/>
        </w:rPr>
        <w:t>.</w:t>
      </w:r>
      <w:r>
        <w:rPr>
          <w:color w:val="2B477B"/>
        </w:rPr>
        <w:t xml:space="preserve"> </w:t>
      </w:r>
    </w:p>
  </w:footnote>
  <w:footnote w:id="25">
    <w:p w14:paraId="41441C40"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Molina</w:t>
      </w:r>
      <w:r>
        <w:rPr>
          <w:color w:val="2B477B"/>
        </w:rPr>
        <w:t xml:space="preserve"> </w:t>
      </w:r>
      <w:r>
        <w:rPr>
          <w:rFonts w:ascii="Arial Unicode MS" w:eastAsia="Arial Unicode MS" w:hAnsi="Arial Unicode MS" w:cs="Arial Unicode MS"/>
          <w:color w:val="2B477B"/>
        </w:rPr>
        <w:t>Toledo,</w:t>
      </w:r>
      <w:r>
        <w:rPr>
          <w:color w:val="2B477B"/>
        </w:rPr>
        <w:t xml:space="preserve"> </w:t>
      </w:r>
      <w:r>
        <w:rPr>
          <w:rFonts w:ascii="Arial Unicode MS" w:eastAsia="Arial Unicode MS" w:hAnsi="Arial Unicode MS" w:cs="Arial Unicode MS"/>
          <w:color w:val="2B477B"/>
        </w:rPr>
        <w:t>Pamela,</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normal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nueva</w:t>
      </w:r>
      <w:r>
        <w:rPr>
          <w:color w:val="2B477B"/>
        </w:rPr>
        <w:t xml:space="preserve"> </w:t>
      </w:r>
      <w:r>
        <w:rPr>
          <w:rFonts w:ascii="Arial Unicode MS" w:eastAsia="Arial Unicode MS" w:hAnsi="Arial Unicode MS" w:cs="Arial Unicode MS"/>
          <w:color w:val="2B477B"/>
        </w:rPr>
        <w:t>normalidad?”,</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págs.</w:t>
      </w:r>
      <w:r>
        <w:rPr>
          <w:color w:val="2B477B"/>
        </w:rPr>
        <w:t xml:space="preserve"> 27 </w:t>
      </w:r>
      <w:r>
        <w:rPr>
          <w:rFonts w:ascii="Arial Unicode MS" w:eastAsia="Arial Unicode MS" w:hAnsi="Arial Unicode MS" w:cs="Arial Unicode MS"/>
          <w:color w:val="2B477B"/>
        </w:rPr>
        <w:t>y</w:t>
      </w:r>
      <w:r>
        <w:rPr>
          <w:color w:val="2B477B"/>
        </w:rPr>
        <w:t xml:space="preserve"> 28</w:t>
      </w:r>
      <w:r>
        <w:rPr>
          <w:rFonts w:ascii="Arial Unicode MS" w:eastAsia="Arial Unicode MS" w:hAnsi="Arial Unicode MS" w:cs="Arial Unicode MS"/>
          <w:color w:val="2B477B"/>
        </w:rPr>
        <w:t>.</w:t>
      </w:r>
      <w:r>
        <w:rPr>
          <w:color w:val="2B477B"/>
        </w:rPr>
        <w:t xml:space="preserve"> </w:t>
      </w:r>
    </w:p>
  </w:footnote>
  <w:footnote w:id="26">
    <w:p w14:paraId="6CFC9A2A"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Palacios,</w:t>
      </w:r>
      <w:r>
        <w:rPr>
          <w:color w:val="2B477B"/>
        </w:rPr>
        <w:t xml:space="preserve"> </w:t>
      </w:r>
      <w:r>
        <w:rPr>
          <w:rFonts w:ascii="Arial Unicode MS" w:eastAsia="Arial Unicode MS" w:hAnsi="Arial Unicode MS" w:cs="Arial Unicode MS"/>
          <w:color w:val="2B477B"/>
        </w:rPr>
        <w:t>Agustina,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Salmón,</w:t>
      </w:r>
      <w:r>
        <w:rPr>
          <w:color w:val="2B477B"/>
        </w:rPr>
        <w:t xml:space="preserve"> </w:t>
      </w:r>
      <w:r>
        <w:rPr>
          <w:rFonts w:ascii="Arial Unicode MS" w:eastAsia="Arial Unicode MS" w:hAnsi="Arial Unicode MS" w:cs="Arial Unicode MS"/>
          <w:color w:val="2B477B"/>
        </w:rPr>
        <w:t>E.;</w:t>
      </w:r>
      <w:r>
        <w:rPr>
          <w:color w:val="2B477B"/>
        </w:rPr>
        <w:t xml:space="preserve"> </w:t>
      </w:r>
      <w:proofErr w:type="spellStart"/>
      <w:r>
        <w:rPr>
          <w:rFonts w:ascii="Arial Unicode MS" w:eastAsia="Arial Unicode MS" w:hAnsi="Arial Unicode MS" w:cs="Arial Unicode MS"/>
          <w:color w:val="2B477B"/>
        </w:rPr>
        <w:t>Bregaglio</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w:t>
      </w:r>
      <w:r>
        <w:rPr>
          <w:color w:val="2B477B"/>
        </w:rPr>
        <w:t xml:space="preserve"> </w:t>
      </w:r>
      <w:hyperlink r:id="rId33" w:history="1">
        <w:r>
          <w:rPr>
            <w:rFonts w:ascii="Arial Unicode MS" w:eastAsia="Arial Unicode MS" w:hAnsi="Arial Unicode MS" w:cs="Arial Unicode MS"/>
            <w:color w:val="2B477B"/>
          </w:rPr>
          <w:t>Nueve</w:t>
        </w:r>
        <w:r>
          <w:rPr>
            <w:color w:val="2B477B"/>
          </w:rPr>
          <w:t xml:space="preserve"> </w:t>
        </w:r>
        <w:r>
          <w:rPr>
            <w:rFonts w:ascii="Arial Unicode MS" w:eastAsia="Arial Unicode MS" w:hAnsi="Arial Unicode MS" w:cs="Arial Unicode MS"/>
            <w:color w:val="2B477B"/>
          </w:rPr>
          <w:t>conceptos</w:t>
        </w:r>
        <w:r>
          <w:rPr>
            <w:color w:val="2B477B"/>
          </w:rPr>
          <w:t xml:space="preserve"> </w:t>
        </w:r>
        <w:r>
          <w:rPr>
            <w:rFonts w:ascii="Arial Unicode MS" w:eastAsia="Arial Unicode MS" w:hAnsi="Arial Unicode MS" w:cs="Arial Unicode MS"/>
            <w:color w:val="2B477B"/>
          </w:rPr>
          <w:t>claves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entender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Pontificia</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Católica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(PUCP),</w:t>
      </w:r>
      <w:r>
        <w:rPr>
          <w:color w:val="2B477B"/>
        </w:rPr>
        <w:t xml:space="preserve"> </w:t>
      </w:r>
      <w:r>
        <w:rPr>
          <w:rFonts w:ascii="Arial Unicode MS" w:eastAsia="Arial Unicode MS" w:hAnsi="Arial Unicode MS" w:cs="Arial Unicode MS"/>
          <w:color w:val="2B477B"/>
        </w:rPr>
        <w:t>Perú,</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w:t>
      </w:r>
      <w:r>
        <w:rPr>
          <w:rFonts w:ascii="Arial Unicode MS" w:eastAsia="Arial Unicode MS" w:hAnsi="Arial Unicode MS" w:cs="Arial Unicode MS"/>
          <w:color w:val="2B477B"/>
        </w:rPr>
        <w:t>-</w:t>
      </w:r>
      <w:r>
        <w:rPr>
          <w:color w:val="2B477B"/>
        </w:rPr>
        <w:t>24</w:t>
      </w:r>
      <w:r>
        <w:rPr>
          <w:rFonts w:ascii="Arial Unicode MS" w:eastAsia="Arial Unicode MS" w:hAnsi="Arial Unicode MS" w:cs="Arial Unicode MS"/>
          <w:color w:val="2B477B"/>
        </w:rPr>
        <w:t>.</w:t>
      </w:r>
    </w:p>
  </w:footnote>
  <w:footnote w:id="27">
    <w:p w14:paraId="31B3321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Molina</w:t>
      </w:r>
      <w:r>
        <w:rPr>
          <w:color w:val="2B477B"/>
        </w:rPr>
        <w:t xml:space="preserve"> </w:t>
      </w:r>
      <w:r>
        <w:rPr>
          <w:rFonts w:ascii="Arial Unicode MS" w:eastAsia="Arial Unicode MS" w:hAnsi="Arial Unicode MS" w:cs="Arial Unicode MS"/>
          <w:color w:val="2B477B"/>
        </w:rPr>
        <w:t>Toledo,</w:t>
      </w:r>
      <w:r>
        <w:rPr>
          <w:color w:val="2B477B"/>
        </w:rPr>
        <w:t xml:space="preserve"> </w:t>
      </w:r>
      <w:r>
        <w:rPr>
          <w:rFonts w:ascii="Arial Unicode MS" w:eastAsia="Arial Unicode MS" w:hAnsi="Arial Unicode MS" w:cs="Arial Unicode MS"/>
          <w:color w:val="2B477B"/>
        </w:rPr>
        <w:t>Pamela,</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normal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nueva</w:t>
      </w:r>
      <w:r>
        <w:rPr>
          <w:color w:val="2B477B"/>
        </w:rPr>
        <w:t xml:space="preserve"> </w:t>
      </w:r>
      <w:r>
        <w:rPr>
          <w:rFonts w:ascii="Arial Unicode MS" w:eastAsia="Arial Unicode MS" w:hAnsi="Arial Unicode MS" w:cs="Arial Unicode MS"/>
          <w:color w:val="2B477B"/>
        </w:rPr>
        <w:t>normalidad?</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v</w:t>
      </w:r>
      <w:r>
        <w:rPr>
          <w:color w:val="2B477B"/>
        </w:rPr>
        <w:t>/</w:t>
      </w:r>
      <w:r>
        <w:rPr>
          <w:rFonts w:ascii="Arial Unicode MS" w:eastAsia="Arial Unicode MS" w:hAnsi="Arial Unicode MS" w:cs="Arial Unicode MS"/>
          <w:color w:val="2B477B"/>
        </w:rPr>
        <w:t>s</w:t>
      </w:r>
      <w:r>
        <w:rPr>
          <w:color w:val="2B477B"/>
        </w:rPr>
        <w:t xml:space="preserve"> </w:t>
      </w:r>
      <w:r>
        <w:rPr>
          <w:rFonts w:ascii="Arial Unicode MS" w:eastAsia="Arial Unicode MS" w:hAnsi="Arial Unicode MS" w:cs="Arial Unicode MS"/>
          <w:color w:val="2B477B"/>
        </w:rPr>
        <w:t>Equidad,</w:t>
      </w:r>
      <w:r>
        <w:rPr>
          <w:color w:val="2B477B"/>
        </w:rPr>
        <w:t xml:space="preserve"> 1</w:t>
      </w:r>
      <w:r>
        <w:rPr>
          <w:rFonts w:ascii="Arial Unicode MS" w:eastAsia="Arial Unicode MS" w:hAnsi="Arial Unicode MS" w:cs="Arial Unicode MS"/>
          <w:color w:val="2B477B"/>
        </w:rPr>
        <w:t>(</w:t>
      </w:r>
      <w:r>
        <w:rPr>
          <w:color w:val="2B477B"/>
        </w:rPr>
        <w:t>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Buenos</w:t>
      </w:r>
      <w:r>
        <w:rPr>
          <w:color w:val="2B477B"/>
        </w:rPr>
        <w:t xml:space="preserve"> </w:t>
      </w:r>
      <w:r>
        <w:rPr>
          <w:rFonts w:ascii="Arial Unicode MS" w:eastAsia="Arial Unicode MS" w:hAnsi="Arial Unicode MS" w:cs="Arial Unicode MS"/>
          <w:color w:val="2B477B"/>
        </w:rPr>
        <w:t>Aires,</w:t>
      </w:r>
      <w:r>
        <w:rPr>
          <w:color w:val="2B477B"/>
        </w:rPr>
        <w:t xml:space="preserve"> </w:t>
      </w:r>
      <w:r>
        <w:rPr>
          <w:rFonts w:ascii="Arial Unicode MS" w:eastAsia="Arial Unicode MS" w:hAnsi="Arial Unicode MS" w:cs="Arial Unicode MS"/>
          <w:color w:val="2B477B"/>
        </w:rPr>
        <w:t>Serial</w:t>
      </w:r>
      <w:r>
        <w:rPr>
          <w:color w:val="2B477B"/>
        </w:rPr>
        <w:t xml:space="preserve"> </w:t>
      </w:r>
      <w:r>
        <w:rPr>
          <w:rFonts w:ascii="Arial Unicode MS" w:eastAsia="Arial Unicode MS" w:hAnsi="Arial Unicode MS" w:cs="Arial Unicode MS"/>
          <w:color w:val="2B477B"/>
        </w:rPr>
        <w:t>Editorial,</w:t>
      </w:r>
      <w:r>
        <w:rPr>
          <w:color w:val="2B477B"/>
        </w:rPr>
        <w:t xml:space="preserve"> </w:t>
      </w:r>
      <w:r>
        <w:rPr>
          <w:rFonts w:ascii="Arial Unicode MS" w:eastAsia="Arial Unicode MS" w:hAnsi="Arial Unicode MS" w:cs="Arial Unicode MS"/>
          <w:color w:val="2B477B"/>
        </w:rPr>
        <w:t>pág.</w:t>
      </w:r>
      <w:r>
        <w:rPr>
          <w:color w:val="2B477B"/>
        </w:rPr>
        <w:t xml:space="preserve"> 13</w:t>
      </w:r>
      <w:r>
        <w:rPr>
          <w:rFonts w:ascii="Arial Unicode MS" w:eastAsia="Arial Unicode MS" w:hAnsi="Arial Unicode MS" w:cs="Arial Unicode MS"/>
          <w:color w:val="2B477B"/>
        </w:rPr>
        <w:t>.</w:t>
      </w:r>
      <w:r>
        <w:rPr>
          <w:color w:val="2B477B"/>
        </w:rPr>
        <w:t xml:space="preserve"> </w:t>
      </w:r>
    </w:p>
  </w:footnote>
  <w:footnote w:id="28">
    <w:p w14:paraId="4294BD46"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aclara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está</w:t>
      </w:r>
      <w:r>
        <w:rPr>
          <w:color w:val="2B477B"/>
        </w:rPr>
        <w:t xml:space="preserve"> </w:t>
      </w:r>
      <w:r>
        <w:rPr>
          <w:rFonts w:ascii="Arial Unicode MS" w:eastAsia="Arial Unicode MS" w:hAnsi="Arial Unicode MS" w:cs="Arial Unicode MS"/>
          <w:color w:val="2B477B"/>
        </w:rPr>
        <w:t>equiparando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causal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incompatibilidad</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extrauterina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inviabilidad</w:t>
      </w:r>
      <w:r>
        <w:rPr>
          <w:color w:val="2B477B"/>
        </w:rPr>
        <w:t xml:space="preserve"> </w:t>
      </w:r>
      <w:r>
        <w:rPr>
          <w:rFonts w:ascii="Arial Unicode MS" w:eastAsia="Arial Unicode MS" w:hAnsi="Arial Unicode MS" w:cs="Arial Unicode MS"/>
          <w:color w:val="2B477B"/>
        </w:rPr>
        <w:t>fetal</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donde</w:t>
      </w:r>
      <w:r>
        <w:rPr>
          <w:color w:val="2B477B"/>
        </w:rPr>
        <w:t xml:space="preserve"> </w:t>
      </w:r>
      <w:r>
        <w:rPr>
          <w:rFonts w:ascii="Arial Unicode MS" w:eastAsia="Arial Unicode MS" w:hAnsi="Arial Unicode MS" w:cs="Arial Unicode MS"/>
          <w:color w:val="2B477B"/>
        </w:rPr>
        <w:t>hay</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corta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nula</w:t>
      </w:r>
      <w:r>
        <w:rPr>
          <w:color w:val="2B477B"/>
        </w:rPr>
        <w:t xml:space="preserve"> </w:t>
      </w:r>
      <w:r>
        <w:rPr>
          <w:rFonts w:ascii="Arial Unicode MS" w:eastAsia="Arial Unicode MS" w:hAnsi="Arial Unicode MS" w:cs="Arial Unicode MS"/>
          <w:color w:val="2B477B"/>
        </w:rPr>
        <w:t>expectativa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feto</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causales</w:t>
      </w:r>
      <w:r>
        <w:rPr>
          <w:color w:val="2B477B"/>
        </w:rPr>
        <w:t xml:space="preserve"> </w:t>
      </w:r>
      <w:r>
        <w:rPr>
          <w:rFonts w:ascii="Arial Unicode MS" w:eastAsia="Arial Unicode MS" w:hAnsi="Arial Unicode MS" w:cs="Arial Unicode MS"/>
          <w:color w:val="2B477B"/>
        </w:rPr>
        <w:t>relacionadas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problemas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interactuar</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entorno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largo</w:t>
      </w:r>
      <w:r>
        <w:rPr>
          <w:color w:val="2B477B"/>
        </w:rPr>
        <w:t xml:space="preserve"> </w:t>
      </w:r>
      <w:r>
        <w:rPr>
          <w:rFonts w:ascii="Arial Unicode MS" w:eastAsia="Arial Unicode MS" w:hAnsi="Arial Unicode MS" w:cs="Arial Unicode MS"/>
          <w:color w:val="2B477B"/>
        </w:rPr>
        <w:t>plazo,</w:t>
      </w:r>
      <w:r>
        <w:rPr>
          <w:color w:val="2B477B"/>
        </w:rPr>
        <w:t xml:space="preserve"> </w:t>
      </w:r>
      <w:r>
        <w:rPr>
          <w:rFonts w:ascii="Arial Unicode MS" w:eastAsia="Arial Unicode MS" w:hAnsi="Arial Unicode MS" w:cs="Arial Unicode MS"/>
          <w:color w:val="2B477B"/>
        </w:rPr>
        <w:t>podrían</w:t>
      </w:r>
      <w:r>
        <w:rPr>
          <w:color w:val="2B477B"/>
        </w:rPr>
        <w:t xml:space="preserve"> </w:t>
      </w:r>
      <w:r>
        <w:rPr>
          <w:rFonts w:ascii="Arial Unicode MS" w:eastAsia="Arial Unicode MS" w:hAnsi="Arial Unicode MS" w:cs="Arial Unicode MS"/>
          <w:color w:val="2B477B"/>
        </w:rPr>
        <w:t>resultar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feto.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cuanto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incompatibilidad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feto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extrauterina,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señalado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prohibición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aborto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estos</w:t>
      </w:r>
      <w:r>
        <w:rPr>
          <w:color w:val="2B477B"/>
        </w:rPr>
        <w:t xml:space="preserve"> </w:t>
      </w:r>
      <w:r>
        <w:rPr>
          <w:rFonts w:ascii="Arial Unicode MS" w:eastAsia="Arial Unicode MS" w:hAnsi="Arial Unicode MS" w:cs="Arial Unicode MS"/>
          <w:color w:val="2B477B"/>
        </w:rPr>
        <w:t>casos</w:t>
      </w:r>
      <w:r>
        <w:rPr>
          <w:color w:val="2B477B"/>
        </w:rPr>
        <w:t xml:space="preserve"> </w:t>
      </w:r>
      <w:r>
        <w:rPr>
          <w:rFonts w:ascii="Arial Unicode MS" w:eastAsia="Arial Unicode MS" w:hAnsi="Arial Unicode MS" w:cs="Arial Unicode MS"/>
          <w:color w:val="2B477B"/>
        </w:rPr>
        <w:t>resulta</w:t>
      </w:r>
      <w:r>
        <w:rPr>
          <w:color w:val="2B477B"/>
        </w:rPr>
        <w:t xml:space="preserve"> </w:t>
      </w:r>
      <w:proofErr w:type="spellStart"/>
      <w:r>
        <w:rPr>
          <w:rFonts w:ascii="Arial Unicode MS" w:eastAsia="Arial Unicode MS" w:hAnsi="Arial Unicode MS" w:cs="Arial Unicode MS"/>
          <w:color w:val="2B477B"/>
        </w:rPr>
        <w:t>inconvencional</w:t>
      </w:r>
      <w:proofErr w:type="spellEnd"/>
      <w:r>
        <w:rPr>
          <w:rFonts w:ascii="Arial Unicode MS" w:eastAsia="Arial Unicode MS" w:hAnsi="Arial Unicode MS" w:cs="Arial Unicode MS"/>
          <w:color w:val="2B477B"/>
        </w:rPr>
        <w:t>.</w:t>
      </w:r>
      <w:r>
        <w:rPr>
          <w:color w:val="2B477B"/>
        </w:rPr>
        <w:t>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N.º</w:t>
      </w:r>
      <w:r>
        <w:rPr>
          <w:color w:val="2B477B"/>
        </w:rPr>
        <w:t xml:space="preserve"> 9/20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Caso</w:t>
      </w:r>
      <w:r>
        <w:rPr>
          <w:color w:val="2B477B"/>
        </w:rPr>
        <w:t xml:space="preserve"> 13</w:t>
      </w:r>
      <w:r>
        <w:rPr>
          <w:rFonts w:ascii="Arial Unicode MS" w:eastAsia="Arial Unicode MS" w:hAnsi="Arial Unicode MS" w:cs="Arial Unicode MS"/>
          <w:color w:val="2B477B"/>
        </w:rPr>
        <w:t>.</w:t>
      </w:r>
      <w:r>
        <w:rPr>
          <w:color w:val="2B477B"/>
        </w:rPr>
        <w:t>378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Beatriz</w:t>
      </w:r>
      <w:r>
        <w:rPr>
          <w:color w:val="2B477B"/>
        </w:rPr>
        <w:t xml:space="preserve"> </w:t>
      </w:r>
      <w:r>
        <w:rPr>
          <w:rFonts w:ascii="Arial Unicode MS" w:eastAsia="Arial Unicode MS" w:hAnsi="Arial Unicode MS" w:cs="Arial Unicode MS"/>
          <w:color w:val="2B477B"/>
        </w:rPr>
        <w:t>v.</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OEA</w:t>
      </w:r>
      <w:r>
        <w:rPr>
          <w:color w:val="2B477B"/>
        </w:rPr>
        <w:t>/</w:t>
      </w:r>
      <w:proofErr w:type="spellStart"/>
      <w:r>
        <w:rPr>
          <w:rFonts w:ascii="Arial Unicode MS" w:eastAsia="Arial Unicode MS" w:hAnsi="Arial Unicode MS" w:cs="Arial Unicode MS"/>
          <w:color w:val="2B477B"/>
        </w:rPr>
        <w:t>Ser.L</w:t>
      </w:r>
      <w:proofErr w:type="spellEnd"/>
      <w:r>
        <w:rPr>
          <w:color w:val="2B477B"/>
        </w:rPr>
        <w:t>/</w:t>
      </w:r>
      <w:r>
        <w:rPr>
          <w:rFonts w:ascii="Arial Unicode MS" w:eastAsia="Arial Unicode MS" w:hAnsi="Arial Unicode MS" w:cs="Arial Unicode MS"/>
          <w:color w:val="2B477B"/>
        </w:rPr>
        <w:t>V</w:t>
      </w:r>
      <w:r>
        <w:rPr>
          <w:color w:val="2B477B"/>
        </w:rPr>
        <w:t>/</w:t>
      </w:r>
      <w:r>
        <w:rPr>
          <w:rFonts w:ascii="Arial Unicode MS" w:eastAsia="Arial Unicode MS" w:hAnsi="Arial Unicode MS" w:cs="Arial Unicode MS"/>
          <w:color w:val="2B477B"/>
        </w:rPr>
        <w:t>II.</w:t>
      </w:r>
      <w:r>
        <w:rPr>
          <w:color w:val="2B477B"/>
        </w:rPr>
        <w:t>175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15</w:t>
      </w:r>
      <w:r>
        <w:rPr>
          <w:rFonts w:ascii="Arial Unicode MS" w:eastAsia="Arial Unicode MS" w:hAnsi="Arial Unicode MS" w:cs="Arial Unicode MS"/>
          <w:color w:val="2B477B"/>
        </w:rPr>
        <w:t>,</w:t>
      </w:r>
      <w:r>
        <w:rPr>
          <w:color w:val="2B477B"/>
        </w:rPr>
        <w:t xml:space="preserve"> 3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147 </w:t>
      </w:r>
      <w:r>
        <w:rPr>
          <w:rFonts w:ascii="Arial Unicode MS" w:eastAsia="Arial Unicode MS" w:hAnsi="Arial Unicode MS" w:cs="Arial Unicode MS"/>
          <w:color w:val="2B477B"/>
        </w:rPr>
        <w:t>y</w:t>
      </w:r>
      <w:r>
        <w:rPr>
          <w:color w:val="2B477B"/>
        </w:rPr>
        <w:t xml:space="preserve"> 148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distinción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causales,</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Constitucional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w:t>
      </w:r>
      <w:hyperlink r:id="rId34" w:history="1">
        <w:r>
          <w:rPr>
            <w:rStyle w:val="Hyperlink0"/>
            <w:rFonts w:ascii="Arial Unicode MS" w:eastAsia="Arial Unicode MS" w:hAnsi="Arial Unicode MS" w:cs="Arial Unicode MS"/>
          </w:rPr>
          <w:t>Sentencia</w:t>
        </w:r>
        <w:r>
          <w:rPr>
            <w:rStyle w:val="Hyperlink0"/>
          </w:rPr>
          <w:t xml:space="preserve"> </w:t>
        </w:r>
        <w:r>
          <w:rPr>
            <w:rStyle w:val="Hyperlink0"/>
            <w:rFonts w:ascii="Arial Unicode MS" w:eastAsia="Arial Unicode MS" w:hAnsi="Arial Unicode MS" w:cs="Arial Unicode MS"/>
          </w:rPr>
          <w:t>SU-</w:t>
        </w:r>
        <w:r>
          <w:rPr>
            <w:rStyle w:val="Hyperlink0"/>
          </w:rPr>
          <w:t xml:space="preserve">096 </w:t>
        </w:r>
        <w:r>
          <w:rPr>
            <w:rStyle w:val="Hyperlink0"/>
            <w:rFonts w:ascii="Arial Unicode MS" w:eastAsia="Arial Unicode MS" w:hAnsi="Arial Unicode MS" w:cs="Arial Unicode MS"/>
          </w:rPr>
          <w:t>de</w:t>
        </w:r>
        <w:r>
          <w:rPr>
            <w:rStyle w:val="Hyperlink0"/>
          </w:rPr>
          <w:t xml:space="preserve"> 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M.P.</w:t>
      </w:r>
      <w:r>
        <w:rPr>
          <w:color w:val="2B477B"/>
        </w:rPr>
        <w:t xml:space="preserve"> </w:t>
      </w:r>
      <w:r>
        <w:rPr>
          <w:rFonts w:ascii="Arial Unicode MS" w:eastAsia="Arial Unicode MS" w:hAnsi="Arial Unicode MS" w:cs="Arial Unicode MS"/>
          <w:color w:val="2B477B"/>
        </w:rPr>
        <w:t>José</w:t>
      </w:r>
      <w:r>
        <w:rPr>
          <w:color w:val="2B477B"/>
        </w:rPr>
        <w:t xml:space="preserve"> </w:t>
      </w:r>
      <w:r>
        <w:rPr>
          <w:rFonts w:ascii="Arial Unicode MS" w:eastAsia="Arial Unicode MS" w:hAnsi="Arial Unicode MS" w:cs="Arial Unicode MS"/>
          <w:color w:val="2B477B"/>
        </w:rPr>
        <w:t>Fernando</w:t>
      </w:r>
      <w:r>
        <w:rPr>
          <w:color w:val="2B477B"/>
        </w:rPr>
        <w:t xml:space="preserve"> </w:t>
      </w:r>
      <w:r>
        <w:rPr>
          <w:rFonts w:ascii="Arial Unicode MS" w:eastAsia="Arial Unicode MS" w:hAnsi="Arial Unicode MS" w:cs="Arial Unicode MS"/>
          <w:color w:val="2B477B"/>
        </w:rPr>
        <w:t>Reyes</w:t>
      </w:r>
      <w:r>
        <w:rPr>
          <w:color w:val="2B477B"/>
        </w:rPr>
        <w:t xml:space="preserve"> </w:t>
      </w:r>
      <w:r>
        <w:rPr>
          <w:rFonts w:ascii="Arial Unicode MS" w:eastAsia="Arial Unicode MS" w:hAnsi="Arial Unicode MS" w:cs="Arial Unicode MS"/>
          <w:color w:val="2B477B"/>
        </w:rPr>
        <w:t>Cuartas,</w:t>
      </w:r>
      <w:r>
        <w:rPr>
          <w:color w:val="2B477B"/>
        </w:rPr>
        <w:t xml:space="preserve"> </w:t>
      </w:r>
      <w:r>
        <w:rPr>
          <w:rFonts w:ascii="Arial Unicode MS" w:eastAsia="Arial Unicode MS" w:hAnsi="Arial Unicode MS" w:cs="Arial Unicode MS"/>
          <w:color w:val="2B477B"/>
        </w:rPr>
        <w:t>párr.</w:t>
      </w:r>
      <w:r>
        <w:rPr>
          <w:color w:val="2B477B"/>
        </w:rPr>
        <w:t xml:space="preserve"> 58</w:t>
      </w:r>
      <w:r>
        <w:rPr>
          <w:rFonts w:ascii="Arial Unicode MS" w:eastAsia="Arial Unicode MS" w:hAnsi="Arial Unicode MS" w:cs="Arial Unicode MS"/>
          <w:color w:val="2B477B"/>
        </w:rPr>
        <w:t>.</w:t>
      </w:r>
    </w:p>
  </w:footnote>
  <w:footnote w:id="29">
    <w:p w14:paraId="5F2DED03" w14:textId="77777777" w:rsidR="001A105D" w:rsidRDefault="00000000">
      <w:pPr>
        <w:pStyle w:val="Body"/>
        <w:spacing w:line="276" w:lineRule="auto"/>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hyperlink r:id="rId35" w:history="1">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Relatora</w:t>
        </w:r>
        <w:r>
          <w:rPr>
            <w:rStyle w:val="Hyperlink0"/>
          </w:rPr>
          <w:t xml:space="preserve"> </w:t>
        </w:r>
        <w:r>
          <w:rPr>
            <w:rStyle w:val="Hyperlink0"/>
            <w:rFonts w:ascii="Arial Unicode MS" w:eastAsia="Arial Unicode MS" w:hAnsi="Arial Unicode MS" w:cs="Arial Unicode MS"/>
          </w:rPr>
          <w:t>Especial</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A</w:t>
        </w:r>
        <w:r>
          <w:rPr>
            <w:rStyle w:val="Hyperlink0"/>
          </w:rPr>
          <w:t>/</w:t>
        </w:r>
        <w:r>
          <w:rPr>
            <w:rStyle w:val="Hyperlink0"/>
            <w:rFonts w:ascii="Arial Unicode MS" w:eastAsia="Arial Unicode MS" w:hAnsi="Arial Unicode MS" w:cs="Arial Unicode MS"/>
          </w:rPr>
          <w:t>HRC</w:t>
        </w:r>
        <w:r>
          <w:rPr>
            <w:rStyle w:val="Hyperlink0"/>
          </w:rPr>
          <w:t>/43/41</w:t>
        </w:r>
      </w:hyperlink>
      <w:r>
        <w:rPr>
          <w:rFonts w:ascii="Arial Unicode MS" w:eastAsia="Arial Unicode MS" w:hAnsi="Arial Unicode MS" w:cs="Arial Unicode MS"/>
          <w:color w:val="2B477B"/>
        </w:rPr>
        <w:t>,</w:t>
      </w:r>
      <w:r>
        <w:rPr>
          <w:color w:val="2B477B"/>
        </w:rPr>
        <w:t xml:space="preserve"> 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32 </w:t>
      </w:r>
      <w:r>
        <w:rPr>
          <w:rFonts w:ascii="Arial Unicode MS" w:eastAsia="Arial Unicode MS" w:hAnsi="Arial Unicode MS" w:cs="Arial Unicode MS"/>
          <w:color w:val="2B477B"/>
        </w:rPr>
        <w:t>y</w:t>
      </w:r>
      <w:r>
        <w:rPr>
          <w:color w:val="2B477B"/>
        </w:rPr>
        <w:t xml:space="preserve"> 64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Mujer,</w:t>
      </w:r>
      <w:r>
        <w:rPr>
          <w:color w:val="2B477B"/>
        </w:rPr>
        <w:t xml:space="preserve"> </w:t>
      </w:r>
      <w:hyperlink r:id="rId36" w:history="1">
        <w:r>
          <w:rPr>
            <w:rStyle w:val="Hyperlink0"/>
            <w:rFonts w:ascii="Arial Unicode MS" w:eastAsia="Arial Unicode MS" w:hAnsi="Arial Unicode MS" w:cs="Arial Unicode MS"/>
          </w:rPr>
          <w:t>Declaración</w:t>
        </w:r>
        <w:r>
          <w:rPr>
            <w:rStyle w:val="Hyperlink0"/>
          </w:rPr>
          <w:t xml:space="preserve"> </w:t>
        </w:r>
        <w:r>
          <w:rPr>
            <w:rStyle w:val="Hyperlink0"/>
            <w:rFonts w:ascii="Arial Unicode MS" w:eastAsia="Arial Unicode MS" w:hAnsi="Arial Unicode MS" w:cs="Arial Unicode MS"/>
          </w:rPr>
          <w:t>conjunta</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garantía</w:t>
        </w:r>
        <w:r>
          <w:rPr>
            <w:rStyle w:val="Hyperlink0"/>
          </w:rPr>
          <w:t xml:space="preserve"> </w:t>
        </w:r>
        <w:r>
          <w:rPr>
            <w:rStyle w:val="Hyperlink0"/>
            <w:rFonts w:ascii="Arial Unicode MS" w:eastAsia="Arial Unicode MS" w:hAnsi="Arial Unicode MS" w:cs="Arial Unicode MS"/>
          </w:rPr>
          <w:t>del</w:t>
        </w:r>
        <w:r>
          <w:rPr>
            <w:rStyle w:val="Hyperlink0"/>
          </w:rPr>
          <w:t xml:space="preserve"> </w:t>
        </w:r>
        <w:r>
          <w:rPr>
            <w:rStyle w:val="Hyperlink0"/>
            <w:rFonts w:ascii="Arial Unicode MS" w:eastAsia="Arial Unicode MS" w:hAnsi="Arial Unicode MS" w:cs="Arial Unicode MS"/>
          </w:rPr>
          <w:t>derecho</w:t>
        </w:r>
        <w:r>
          <w:rPr>
            <w:rStyle w:val="Hyperlink0"/>
          </w:rPr>
          <w:t xml:space="preserve"> </w:t>
        </w:r>
        <w:r>
          <w:rPr>
            <w:rStyle w:val="Hyperlink0"/>
            <w:rFonts w:ascii="Arial Unicode MS" w:eastAsia="Arial Unicode MS" w:hAnsi="Arial Unicode MS" w:cs="Arial Unicode MS"/>
          </w:rPr>
          <w:t>a</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salud</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sexuales</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reproductivos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todas</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mujeres,</w:t>
        </w:r>
        <w:r>
          <w:rPr>
            <w:rStyle w:val="Hyperlink0"/>
          </w:rPr>
          <w:t xml:space="preserve"> </w:t>
        </w:r>
        <w:r>
          <w:rPr>
            <w:rStyle w:val="Hyperlink0"/>
            <w:rFonts w:ascii="Arial Unicode MS" w:eastAsia="Arial Unicode MS" w:hAnsi="Arial Unicode MS" w:cs="Arial Unicode MS"/>
          </w:rPr>
          <w:t>en</w:t>
        </w:r>
        <w:r>
          <w:rPr>
            <w:rStyle w:val="Hyperlink0"/>
          </w:rPr>
          <w:t xml:space="preserve"> </w:t>
        </w:r>
        <w:r>
          <w:rPr>
            <w:rStyle w:val="Hyperlink0"/>
            <w:rFonts w:ascii="Arial Unicode MS" w:eastAsia="Arial Unicode MS" w:hAnsi="Arial Unicode MS" w:cs="Arial Unicode MS"/>
          </w:rPr>
          <w:t>particular</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mujeres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color w:val="2B477B"/>
        </w:rPr>
        <w:t>,</w:t>
      </w:r>
      <w:r>
        <w:rPr>
          <w:color w:val="2B477B"/>
        </w:rPr>
        <w:t xml:space="preserve"> 29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2018 </w:t>
      </w:r>
      <w:r>
        <w:rPr>
          <w:rFonts w:ascii="Arial Unicode MS" w:eastAsia="Arial Unicode MS" w:hAnsi="Arial Unicode MS" w:cs="Arial Unicode MS"/>
          <w:color w:val="2B477B"/>
        </w:rPr>
        <w:t>(sólo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inglés);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37" w:history="1">
        <w:r>
          <w:rPr>
            <w:rStyle w:val="Hyperlink0"/>
            <w:rFonts w:ascii="Arial Unicode MS" w:eastAsia="Arial Unicode MS" w:hAnsi="Arial Unicode MS" w:cs="Arial Unicode MS"/>
          </w:rPr>
          <w:t>Observaciones</w:t>
        </w:r>
        <w:r>
          <w:rPr>
            <w:rStyle w:val="Hyperlink0"/>
          </w:rPr>
          <w:t xml:space="preserve"> </w:t>
        </w:r>
        <w:r>
          <w:rPr>
            <w:rStyle w:val="Hyperlink0"/>
            <w:rFonts w:ascii="Arial Unicode MS" w:eastAsia="Arial Unicode MS" w:hAnsi="Arial Unicode MS" w:cs="Arial Unicode MS"/>
          </w:rPr>
          <w:t>finales</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inicial</w:t>
        </w:r>
        <w:r>
          <w:rPr>
            <w:rStyle w:val="Hyperlink0"/>
          </w:rPr>
          <w:t xml:space="preserve"> </w:t>
        </w:r>
        <w:r>
          <w:rPr>
            <w:rStyle w:val="Hyperlink0"/>
            <w:rFonts w:ascii="Arial Unicode MS" w:eastAsia="Arial Unicode MS" w:hAnsi="Arial Unicode MS" w:cs="Arial Unicode MS"/>
          </w:rPr>
          <w:t>del</w:t>
        </w:r>
        <w:r>
          <w:rPr>
            <w:rStyle w:val="Hyperlink0"/>
          </w:rPr>
          <w:t xml:space="preserve"> </w:t>
        </w:r>
        <w:r>
          <w:rPr>
            <w:rStyle w:val="Hyperlink0"/>
            <w:rFonts w:ascii="Arial Unicode MS" w:eastAsia="Arial Unicode MS" w:hAnsi="Arial Unicode MS" w:cs="Arial Unicode MS"/>
          </w:rPr>
          <w:t>Reino</w:t>
        </w:r>
        <w:r>
          <w:rPr>
            <w:rStyle w:val="Hyperlink0"/>
          </w:rPr>
          <w:t xml:space="preserve"> </w:t>
        </w:r>
        <w:r>
          <w:rPr>
            <w:rStyle w:val="Hyperlink0"/>
            <w:rFonts w:ascii="Arial Unicode MS" w:eastAsia="Arial Unicode MS" w:hAnsi="Arial Unicode MS" w:cs="Arial Unicode MS"/>
          </w:rPr>
          <w:t>Unido</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Gran</w:t>
        </w:r>
        <w:r>
          <w:rPr>
            <w:rStyle w:val="Hyperlink0"/>
          </w:rPr>
          <w:t xml:space="preserve"> </w:t>
        </w:r>
        <w:r>
          <w:rPr>
            <w:rStyle w:val="Hyperlink0"/>
            <w:rFonts w:ascii="Arial Unicode MS" w:eastAsia="Arial Unicode MS" w:hAnsi="Arial Unicode MS" w:cs="Arial Unicode MS"/>
          </w:rPr>
          <w:t>Bretaña</w:t>
        </w:r>
        <w:r>
          <w:rPr>
            <w:rStyle w:val="Hyperlink0"/>
          </w:rPr>
          <w:t xml:space="preserve"> </w:t>
        </w:r>
        <w:r>
          <w:rPr>
            <w:rStyle w:val="Hyperlink0"/>
            <w:rFonts w:ascii="Arial Unicode MS" w:eastAsia="Arial Unicode MS" w:hAnsi="Arial Unicode MS" w:cs="Arial Unicode MS"/>
          </w:rPr>
          <w:t>e</w:t>
        </w:r>
        <w:r>
          <w:rPr>
            <w:rStyle w:val="Hyperlink0"/>
          </w:rPr>
          <w:t xml:space="preserve"> </w:t>
        </w:r>
        <w:r>
          <w:rPr>
            <w:rStyle w:val="Hyperlink0"/>
            <w:rFonts w:ascii="Arial Unicode MS" w:eastAsia="Arial Unicode MS" w:hAnsi="Arial Unicode MS" w:cs="Arial Unicode MS"/>
          </w:rPr>
          <w:t>Irlanda</w:t>
        </w:r>
        <w:r>
          <w:rPr>
            <w:rStyle w:val="Hyperlink0"/>
          </w:rPr>
          <w:t xml:space="preserve"> </w:t>
        </w:r>
        <w:r>
          <w:rPr>
            <w:rStyle w:val="Hyperlink0"/>
            <w:rFonts w:ascii="Arial Unicode MS" w:eastAsia="Arial Unicode MS" w:hAnsi="Arial Unicode MS" w:cs="Arial Unicode MS"/>
          </w:rPr>
          <w:t>del</w:t>
        </w:r>
        <w:r>
          <w:rPr>
            <w:rStyle w:val="Hyperlink0"/>
          </w:rPr>
          <w:t xml:space="preserve"> </w:t>
        </w:r>
        <w:r>
          <w:rPr>
            <w:rStyle w:val="Hyperlink0"/>
            <w:rFonts w:ascii="Arial Unicode MS" w:eastAsia="Arial Unicode MS" w:hAnsi="Arial Unicode MS" w:cs="Arial Unicode MS"/>
          </w:rPr>
          <w:t>Norte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GBR</w:t>
      </w:r>
      <w:r>
        <w:rPr>
          <w:color w:val="2B477B"/>
        </w:rPr>
        <w:t>/</w:t>
      </w:r>
      <w:r>
        <w:rPr>
          <w:rFonts w:ascii="Arial Unicode MS" w:eastAsia="Arial Unicode MS" w:hAnsi="Arial Unicode MS" w:cs="Arial Unicode MS"/>
          <w:color w:val="2B477B"/>
        </w:rPr>
        <w:t>CO</w:t>
      </w:r>
      <w:r>
        <w:rPr>
          <w:color w:val="2B477B"/>
        </w:rPr>
        <w:t>/</w:t>
      </w:r>
      <w:r>
        <w:rPr>
          <w:rFonts w:ascii="Arial Unicode MS" w:eastAsia="Arial Unicode MS" w:hAnsi="Arial Unicode MS" w:cs="Arial Unicode MS"/>
          <w:color w:val="2B477B"/>
        </w:rPr>
        <w:t>,</w:t>
      </w:r>
      <w:r>
        <w:rPr>
          <w:color w:val="2B477B"/>
        </w:rPr>
        <w:t xml:space="preserve"> 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13 </w:t>
      </w:r>
      <w:r>
        <w:rPr>
          <w:rFonts w:ascii="Arial Unicode MS" w:eastAsia="Arial Unicode MS" w:hAnsi="Arial Unicode MS" w:cs="Arial Unicode MS"/>
          <w:color w:val="2B477B"/>
        </w:rPr>
        <w:t>(Solo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inglés).</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también:</w:t>
      </w:r>
      <w:r>
        <w:rPr>
          <w:color w:val="2B477B"/>
        </w:rPr>
        <w:t xml:space="preserve"> </w:t>
      </w:r>
      <w:proofErr w:type="spellStart"/>
      <w:r>
        <w:rPr>
          <w:rFonts w:ascii="Arial Unicode MS" w:eastAsia="Arial Unicode MS" w:hAnsi="Arial Unicode MS" w:cs="Arial Unicode MS"/>
          <w:color w:val="2B477B"/>
        </w:rPr>
        <w:t>World</w:t>
      </w:r>
      <w:proofErr w:type="spellEnd"/>
      <w:r>
        <w:rPr>
          <w:color w:val="2B477B"/>
        </w:rPr>
        <w:t xml:space="preserve"> </w:t>
      </w:r>
      <w:proofErr w:type="spellStart"/>
      <w:r>
        <w:rPr>
          <w:rFonts w:ascii="Arial Unicode MS" w:eastAsia="Arial Unicode MS" w:hAnsi="Arial Unicode MS" w:cs="Arial Unicode MS"/>
          <w:color w:val="2B477B"/>
        </w:rPr>
        <w:t>Health</w:t>
      </w:r>
      <w:proofErr w:type="spellEnd"/>
      <w:r>
        <w:rPr>
          <w:color w:val="2B477B"/>
        </w:rPr>
        <w:t xml:space="preserve"> </w:t>
      </w:r>
      <w:proofErr w:type="spellStart"/>
      <w:r>
        <w:rPr>
          <w:rFonts w:ascii="Arial Unicode MS" w:eastAsia="Arial Unicode MS" w:hAnsi="Arial Unicode MS" w:cs="Arial Unicode MS"/>
          <w:color w:val="2B477B"/>
        </w:rPr>
        <w:t>Organization</w:t>
      </w:r>
      <w:proofErr w:type="spellEnd"/>
      <w:r>
        <w:rPr>
          <w:rFonts w:ascii="Arial Unicode MS" w:eastAsia="Arial Unicode MS" w:hAnsi="Arial Unicode MS" w:cs="Arial Unicode MS"/>
          <w:color w:val="2B477B"/>
        </w:rPr>
        <w:t>,</w:t>
      </w:r>
      <w:r>
        <w:rPr>
          <w:color w:val="2B477B"/>
        </w:rPr>
        <w:t xml:space="preserve"> </w:t>
      </w:r>
      <w:hyperlink r:id="rId38" w:history="1">
        <w:proofErr w:type="spellStart"/>
        <w:r>
          <w:rPr>
            <w:rStyle w:val="Hyperlink0"/>
            <w:rFonts w:ascii="Arial Unicode MS" w:eastAsia="Arial Unicode MS" w:hAnsi="Arial Unicode MS" w:cs="Arial Unicode MS"/>
          </w:rPr>
          <w:t>Abortion</w:t>
        </w:r>
        <w:proofErr w:type="spellEnd"/>
        <w:r>
          <w:rPr>
            <w:rStyle w:val="Hyperlink0"/>
          </w:rPr>
          <w:t xml:space="preserve"> </w:t>
        </w:r>
        <w:r>
          <w:rPr>
            <w:rStyle w:val="Hyperlink0"/>
            <w:rFonts w:ascii="Arial Unicode MS" w:eastAsia="Arial Unicode MS" w:hAnsi="Arial Unicode MS" w:cs="Arial Unicode MS"/>
          </w:rPr>
          <w:t>Care</w:t>
        </w:r>
        <w:r>
          <w:rPr>
            <w:rStyle w:val="Hyperlink0"/>
          </w:rPr>
          <w:t xml:space="preserve"> </w:t>
        </w:r>
        <w:proofErr w:type="spellStart"/>
        <w:r>
          <w:rPr>
            <w:rStyle w:val="Hyperlink0"/>
            <w:rFonts w:ascii="Arial Unicode MS" w:eastAsia="Arial Unicode MS" w:hAnsi="Arial Unicode MS" w:cs="Arial Unicode MS"/>
          </w:rPr>
          <w:t>Guideline</w:t>
        </w:r>
        <w:proofErr w:type="spellEnd"/>
      </w:hyperlink>
      <w:r>
        <w:rPr>
          <w:rFonts w:ascii="Arial Unicode MS" w:eastAsia="Arial Unicode MS" w:hAnsi="Arial Unicode MS" w:cs="Arial Unicode MS"/>
          <w:color w:val="2B477B"/>
        </w:rPr>
        <w:t>,</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26</w:t>
      </w:r>
      <w:r>
        <w:rPr>
          <w:rFonts w:ascii="Arial Unicode MS" w:eastAsia="Arial Unicode MS" w:hAnsi="Arial Unicode MS" w:cs="Arial Unicode MS"/>
          <w:color w:val="2B477B"/>
        </w:rPr>
        <w:t>-</w:t>
      </w:r>
      <w:r>
        <w:rPr>
          <w:color w:val="2B477B"/>
        </w:rPr>
        <w:t>29</w:t>
      </w:r>
      <w:r>
        <w:rPr>
          <w:rFonts w:ascii="Arial Unicode MS" w:eastAsia="Arial Unicode MS" w:hAnsi="Arial Unicode MS" w:cs="Arial Unicode MS"/>
          <w:color w:val="2B477B"/>
        </w:rPr>
        <w:t>.</w:t>
      </w:r>
    </w:p>
  </w:footnote>
  <w:footnote w:id="30">
    <w:p w14:paraId="7FEA69F9" w14:textId="77777777" w:rsidR="001A105D" w:rsidRDefault="00000000">
      <w:pPr>
        <w:pStyle w:val="Body"/>
        <w:spacing w:line="276" w:lineRule="auto"/>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39" w:history="1">
        <w:r>
          <w:rPr>
            <w:rStyle w:val="Hyperlink0"/>
            <w:rFonts w:ascii="Arial Unicode MS" w:eastAsia="Arial Unicode MS" w:hAnsi="Arial Unicode MS" w:cs="Arial Unicode MS"/>
          </w:rPr>
          <w:t>Observaciones</w:t>
        </w:r>
        <w:r>
          <w:rPr>
            <w:rStyle w:val="Hyperlink0"/>
          </w:rPr>
          <w:t xml:space="preserve"> </w:t>
        </w:r>
        <w:r>
          <w:rPr>
            <w:rStyle w:val="Hyperlink0"/>
            <w:rFonts w:ascii="Arial Unicode MS" w:eastAsia="Arial Unicode MS" w:hAnsi="Arial Unicode MS" w:cs="Arial Unicode MS"/>
          </w:rPr>
          <w:t>finales</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informes</w:t>
        </w:r>
        <w:r>
          <w:rPr>
            <w:rStyle w:val="Hyperlink0"/>
          </w:rPr>
          <w:t xml:space="preserve"> </w:t>
        </w:r>
        <w:r>
          <w:rPr>
            <w:rStyle w:val="Hyperlink0"/>
            <w:rFonts w:ascii="Arial Unicode MS" w:eastAsia="Arial Unicode MS" w:hAnsi="Arial Unicode MS" w:cs="Arial Unicode MS"/>
          </w:rPr>
          <w:t>periódicos</w:t>
        </w:r>
        <w:r>
          <w:rPr>
            <w:rStyle w:val="Hyperlink0"/>
          </w:rPr>
          <w:t xml:space="preserve"> </w:t>
        </w:r>
        <w:r>
          <w:rPr>
            <w:rStyle w:val="Hyperlink0"/>
            <w:rFonts w:ascii="Arial Unicode MS" w:eastAsia="Arial Unicode MS" w:hAnsi="Arial Unicode MS" w:cs="Arial Unicode MS"/>
          </w:rPr>
          <w:t>segundo</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tercero</w:t>
        </w:r>
        <w:r>
          <w:rPr>
            <w:rStyle w:val="Hyperlink0"/>
          </w:rPr>
          <w:t xml:space="preserve"> </w:t>
        </w:r>
        <w:r>
          <w:rPr>
            <w:rStyle w:val="Hyperlink0"/>
            <w:rFonts w:ascii="Arial Unicode MS" w:eastAsia="Arial Unicode MS" w:hAnsi="Arial Unicode MS" w:cs="Arial Unicode MS"/>
          </w:rPr>
          <w:t>combinados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Bélgica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BEL</w:t>
      </w:r>
      <w:r>
        <w:rPr>
          <w:color w:val="2B477B"/>
        </w:rPr>
        <w:t>/</w:t>
      </w:r>
      <w:r>
        <w:rPr>
          <w:rFonts w:ascii="Arial Unicode MS" w:eastAsia="Arial Unicode MS" w:hAnsi="Arial Unicode MS" w:cs="Arial Unicode MS"/>
          <w:color w:val="2B477B"/>
        </w:rPr>
        <w:t>CO</w:t>
      </w:r>
      <w:r>
        <w:rPr>
          <w:color w:val="2B477B"/>
        </w:rPr>
        <w:t>/2</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r>
        <w:rPr>
          <w:color w:val="2B477B"/>
        </w:rPr>
        <w:t xml:space="preserve"> 30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17 </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hyperlink r:id="rId40" w:history="1">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Relatora</w:t>
        </w:r>
        <w:r>
          <w:rPr>
            <w:rStyle w:val="Hyperlink0"/>
          </w:rPr>
          <w:t xml:space="preserve"> </w:t>
        </w:r>
        <w:r>
          <w:rPr>
            <w:rStyle w:val="Hyperlink0"/>
            <w:rFonts w:ascii="Arial Unicode MS" w:eastAsia="Arial Unicode MS" w:hAnsi="Arial Unicode MS" w:cs="Arial Unicode MS"/>
          </w:rPr>
          <w:t>Especial</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hyperlink>
      <w:r>
        <w:rPr>
          <w:color w:val="2B477B"/>
        </w:rPr>
        <w:t xml:space="preserve"> </w:t>
      </w:r>
      <w:hyperlink r:id="rId41" w:history="1">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A</w:t>
        </w:r>
        <w:r>
          <w:rPr>
            <w:rStyle w:val="Hyperlink0"/>
          </w:rPr>
          <w:t>/</w:t>
        </w:r>
        <w:r>
          <w:rPr>
            <w:rStyle w:val="Hyperlink0"/>
            <w:rFonts w:ascii="Arial Unicode MS" w:eastAsia="Arial Unicode MS" w:hAnsi="Arial Unicode MS" w:cs="Arial Unicode MS"/>
          </w:rPr>
          <w:t>HRC</w:t>
        </w:r>
        <w:r>
          <w:rPr>
            <w:rStyle w:val="Hyperlink0"/>
          </w:rPr>
          <w:t>/43/41</w:t>
        </w:r>
      </w:hyperlink>
      <w:r>
        <w:rPr>
          <w:rFonts w:ascii="Arial Unicode MS" w:eastAsia="Arial Unicode MS" w:hAnsi="Arial Unicode MS" w:cs="Arial Unicode MS"/>
          <w:color w:val="2B477B"/>
        </w:rPr>
        <w:t>,</w:t>
      </w:r>
      <w:r>
        <w:rPr>
          <w:color w:val="2B477B"/>
        </w:rPr>
        <w:t xml:space="preserve"> 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64</w:t>
      </w:r>
      <w:r>
        <w:rPr>
          <w:rFonts w:ascii="Arial Unicode MS" w:eastAsia="Arial Unicode MS" w:hAnsi="Arial Unicode MS" w:cs="Arial Unicode MS"/>
          <w:color w:val="2B477B"/>
        </w:rPr>
        <w:t>.</w:t>
      </w:r>
    </w:p>
  </w:footnote>
  <w:footnote w:id="31">
    <w:p w14:paraId="5EF0662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ahí</w:t>
      </w:r>
      <w:r>
        <w:rPr>
          <w:color w:val="2B477B"/>
        </w:rPr>
        <w:t xml:space="preserve"> </w:t>
      </w:r>
      <w:r>
        <w:rPr>
          <w:rFonts w:ascii="Arial Unicode MS" w:eastAsia="Arial Unicode MS" w:hAnsi="Arial Unicode MS" w:cs="Arial Unicode MS"/>
          <w:color w:val="2B477B"/>
        </w:rPr>
        <w:t>surge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definición</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aguas”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movimiento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civiles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años</w:t>
      </w:r>
      <w:r>
        <w:rPr>
          <w:color w:val="2B477B"/>
        </w:rPr>
        <w:t xml:space="preserve"> 70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desventaja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restricción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actividad</w:t>
      </w:r>
      <w:r>
        <w:rPr>
          <w:color w:val="2B477B"/>
        </w:rPr>
        <w:t xml:space="preserve"> </w:t>
      </w:r>
      <w:r>
        <w:rPr>
          <w:rFonts w:ascii="Arial Unicode MS" w:eastAsia="Arial Unicode MS" w:hAnsi="Arial Unicode MS" w:cs="Arial Unicode MS"/>
          <w:color w:val="2B477B"/>
        </w:rPr>
        <w:t>causada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contemporánea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tiene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cuenta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tiene</w:t>
      </w:r>
      <w:r>
        <w:rPr>
          <w:color w:val="2B477B"/>
        </w:rPr>
        <w:t xml:space="preserve"> </w:t>
      </w:r>
      <w:r>
        <w:rPr>
          <w:rFonts w:ascii="Arial Unicode MS" w:eastAsia="Arial Unicode MS" w:hAnsi="Arial Unicode MS" w:cs="Arial Unicode MS"/>
          <w:color w:val="2B477B"/>
        </w:rPr>
        <w:t>poco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cuenta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tienen</w:t>
      </w:r>
      <w:r>
        <w:rPr>
          <w:color w:val="2B477B"/>
        </w:rPr>
        <w:t xml:space="preserve"> </w:t>
      </w:r>
      <w:r>
        <w:rPr>
          <w:rFonts w:ascii="Arial Unicode MS" w:eastAsia="Arial Unicode MS" w:hAnsi="Arial Unicode MS" w:cs="Arial Unicode MS"/>
          <w:color w:val="2B477B"/>
        </w:rPr>
        <w:t>deficiencias</w:t>
      </w:r>
      <w:r>
        <w:rPr>
          <w:color w:val="2B477B"/>
        </w:rPr>
        <w:t xml:space="preserve"> </w:t>
      </w:r>
      <w:r>
        <w:rPr>
          <w:rFonts w:ascii="Arial Unicode MS" w:eastAsia="Arial Unicode MS" w:hAnsi="Arial Unicode MS" w:cs="Arial Unicode MS"/>
          <w:color w:val="2B477B"/>
        </w:rPr>
        <w:t>físicas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tanto,</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excluye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corriente</w:t>
      </w:r>
      <w:r>
        <w:rPr>
          <w:color w:val="2B477B"/>
        </w:rPr>
        <w:t xml:space="preserve"> </w:t>
      </w:r>
      <w:r>
        <w:rPr>
          <w:rFonts w:ascii="Arial Unicode MS" w:eastAsia="Arial Unicode MS" w:hAnsi="Arial Unicode MS" w:cs="Arial Unicode MS"/>
          <w:color w:val="2B477B"/>
        </w:rPr>
        <w:t>principal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actividades</w:t>
      </w:r>
      <w:r>
        <w:rPr>
          <w:color w:val="2B477B"/>
        </w:rPr>
        <w:t xml:space="preserve"> </w:t>
      </w:r>
      <w:r>
        <w:rPr>
          <w:rFonts w:ascii="Arial Unicode MS" w:eastAsia="Arial Unicode MS" w:hAnsi="Arial Unicode MS" w:cs="Arial Unicode MS"/>
          <w:color w:val="2B477B"/>
        </w:rPr>
        <w:t>sociales”.</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definición</w:t>
      </w:r>
      <w:r>
        <w:rPr>
          <w:color w:val="2B477B"/>
        </w:rPr>
        <w:t xml:space="preserve"> </w:t>
      </w:r>
      <w:r>
        <w:rPr>
          <w:rFonts w:ascii="Arial Unicode MS" w:eastAsia="Arial Unicode MS" w:hAnsi="Arial Unicode MS" w:cs="Arial Unicode MS"/>
          <w:color w:val="2B477B"/>
        </w:rPr>
        <w:t>fue</w:t>
      </w:r>
      <w:r>
        <w:rPr>
          <w:color w:val="2B477B"/>
        </w:rPr>
        <w:t xml:space="preserve"> </w:t>
      </w:r>
      <w:r>
        <w:rPr>
          <w:rFonts w:ascii="Arial Unicode MS" w:eastAsia="Arial Unicode MS" w:hAnsi="Arial Unicode MS" w:cs="Arial Unicode MS"/>
          <w:color w:val="2B477B"/>
        </w:rPr>
        <w:t>planteada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UPIAS,</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primeras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surgieron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luchar</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Reino</w:t>
      </w:r>
      <w:r>
        <w:rPr>
          <w:color w:val="2B477B"/>
        </w:rPr>
        <w:t xml:space="preserve"> </w:t>
      </w:r>
      <w:r>
        <w:rPr>
          <w:rFonts w:ascii="Arial Unicode MS" w:eastAsia="Arial Unicode MS" w:hAnsi="Arial Unicode MS" w:cs="Arial Unicode MS"/>
          <w:color w:val="2B477B"/>
        </w:rPr>
        <w:t>Unido,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considera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definición</w:t>
      </w:r>
      <w:r>
        <w:rPr>
          <w:color w:val="2B477B"/>
        </w:rPr>
        <w:t xml:space="preserve"> </w:t>
      </w:r>
      <w:r>
        <w:rPr>
          <w:rFonts w:ascii="Arial Unicode MS" w:eastAsia="Arial Unicode MS" w:hAnsi="Arial Unicode MS" w:cs="Arial Unicode MS"/>
          <w:color w:val="2B477B"/>
        </w:rPr>
        <w:t>sentó</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bases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ahora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conoce</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movimiento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independiente.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historia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UPIAS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definición</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pueden</w:t>
      </w:r>
      <w:r>
        <w:rPr>
          <w:color w:val="2B477B"/>
        </w:rPr>
        <w:t xml:space="preserve"> </w:t>
      </w:r>
      <w:r>
        <w:rPr>
          <w:rFonts w:ascii="Arial Unicode MS" w:eastAsia="Arial Unicode MS" w:hAnsi="Arial Unicode MS" w:cs="Arial Unicode MS"/>
          <w:color w:val="2B477B"/>
        </w:rPr>
        <w:t>encontrarse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Leeds</w:t>
      </w:r>
      <w:r>
        <w:rPr>
          <w:color w:val="2B477B"/>
        </w:rPr>
        <w:t xml:space="preserve"> </w:t>
      </w:r>
      <w:proofErr w:type="spellStart"/>
      <w:r>
        <w:rPr>
          <w:rFonts w:ascii="Arial Unicode MS" w:eastAsia="Arial Unicode MS" w:hAnsi="Arial Unicode MS" w:cs="Arial Unicode MS"/>
          <w:color w:val="2B477B"/>
        </w:rPr>
        <w:t>University</w:t>
      </w:r>
      <w:proofErr w:type="spellEnd"/>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Disability</w:t>
      </w:r>
      <w:proofErr w:type="spellEnd"/>
      <w:r>
        <w:rPr>
          <w:color w:val="2B477B"/>
        </w:rPr>
        <w:t xml:space="preserve"> </w:t>
      </w:r>
      <w:proofErr w:type="spellStart"/>
      <w:r>
        <w:rPr>
          <w:rFonts w:ascii="Arial Unicode MS" w:eastAsia="Arial Unicode MS" w:hAnsi="Arial Unicode MS" w:cs="Arial Unicode MS"/>
          <w:color w:val="2B477B"/>
        </w:rPr>
        <w:t>Studies</w:t>
      </w:r>
      <w:proofErr w:type="spellEnd"/>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Union</w:t>
      </w:r>
      <w:proofErr w:type="spellEnd"/>
      <w:r>
        <w:rPr>
          <w:color w:val="2B477B"/>
        </w:rPr>
        <w:t xml:space="preserve"> </w:t>
      </w:r>
      <w:proofErr w:type="spellStart"/>
      <w:r>
        <w:rPr>
          <w:rFonts w:ascii="Arial Unicode MS" w:eastAsia="Arial Unicode MS" w:hAnsi="Arial Unicode MS" w:cs="Arial Unicode MS"/>
          <w:color w:val="2B477B"/>
        </w:rPr>
        <w:t>of</w:t>
      </w:r>
      <w:proofErr w:type="spellEnd"/>
      <w:r>
        <w:rPr>
          <w:color w:val="2B477B"/>
        </w:rPr>
        <w:t xml:space="preserve"> </w:t>
      </w:r>
      <w:proofErr w:type="spellStart"/>
      <w:r>
        <w:rPr>
          <w:rFonts w:ascii="Arial Unicode MS" w:eastAsia="Arial Unicode MS" w:hAnsi="Arial Unicode MS" w:cs="Arial Unicode MS"/>
          <w:color w:val="2B477B"/>
        </w:rPr>
        <w:t>the</w:t>
      </w:r>
      <w:proofErr w:type="spellEnd"/>
      <w:r>
        <w:rPr>
          <w:color w:val="2B477B"/>
        </w:rPr>
        <w:t xml:space="preserve"> </w:t>
      </w:r>
      <w:proofErr w:type="spellStart"/>
      <w:r>
        <w:rPr>
          <w:rFonts w:ascii="Arial Unicode MS" w:eastAsia="Arial Unicode MS" w:hAnsi="Arial Unicode MS" w:cs="Arial Unicode MS"/>
          <w:color w:val="2B477B"/>
        </w:rPr>
        <w:t>physically</w:t>
      </w:r>
      <w:proofErr w:type="spellEnd"/>
      <w:r>
        <w:rPr>
          <w:color w:val="2B477B"/>
        </w:rPr>
        <w:t xml:space="preserve"> </w:t>
      </w:r>
      <w:proofErr w:type="spellStart"/>
      <w:r>
        <w:rPr>
          <w:rFonts w:ascii="Arial Unicode MS" w:eastAsia="Arial Unicode MS" w:hAnsi="Arial Unicode MS" w:cs="Arial Unicode MS"/>
          <w:color w:val="2B477B"/>
        </w:rPr>
        <w:t>impaired</w:t>
      </w:r>
      <w:proofErr w:type="spellEnd"/>
      <w:r>
        <w:rPr>
          <w:color w:val="2B477B"/>
        </w:rPr>
        <w:t xml:space="preserve"> </w:t>
      </w:r>
      <w:proofErr w:type="spellStart"/>
      <w:r>
        <w:rPr>
          <w:rFonts w:ascii="Arial Unicode MS" w:eastAsia="Arial Unicode MS" w:hAnsi="Arial Unicode MS" w:cs="Arial Unicode MS"/>
          <w:color w:val="2B477B"/>
        </w:rPr>
        <w:t>against</w:t>
      </w:r>
      <w:proofErr w:type="spellEnd"/>
      <w:r>
        <w:rPr>
          <w:color w:val="2B477B"/>
        </w:rPr>
        <w:t xml:space="preserve"> </w:t>
      </w:r>
      <w:proofErr w:type="spellStart"/>
      <w:r>
        <w:rPr>
          <w:rFonts w:ascii="Arial Unicode MS" w:eastAsia="Arial Unicode MS" w:hAnsi="Arial Unicode MS" w:cs="Arial Unicode MS"/>
          <w:color w:val="2B477B"/>
        </w:rPr>
        <w:t>segregation</w:t>
      </w:r>
      <w:proofErr w:type="spellEnd"/>
      <w:r>
        <w:rPr>
          <w:rFonts w:ascii="Arial Unicode MS" w:eastAsia="Arial Unicode MS" w:hAnsi="Arial Unicode MS" w:cs="Arial Unicode MS"/>
          <w:color w:val="2B477B"/>
        </w:rPr>
        <w:t>,</w:t>
      </w:r>
      <w:r>
        <w:rPr>
          <w:color w:val="2B477B"/>
        </w:rPr>
        <w:t xml:space="preserve"> </w:t>
      </w:r>
      <w:hyperlink r:id="rId42" w:history="1">
        <w:r>
          <w:rPr>
            <w:rStyle w:val="Hyperlink1"/>
            <w:rFonts w:ascii="Arial Unicode MS" w:eastAsia="Arial Unicode MS" w:hAnsi="Arial Unicode MS" w:cs="Arial Unicode MS"/>
            <w:u w:val="single"/>
          </w:rPr>
          <w:t>Fundamental</w:t>
        </w:r>
        <w:r>
          <w:rPr>
            <w:rStyle w:val="Hyperlink1"/>
            <w:u w:val="single"/>
          </w:rPr>
          <w:t xml:space="preserve"> </w:t>
        </w:r>
        <w:proofErr w:type="spellStart"/>
        <w:r>
          <w:rPr>
            <w:rStyle w:val="Hyperlink1"/>
            <w:rFonts w:ascii="Arial Unicode MS" w:eastAsia="Arial Unicode MS" w:hAnsi="Arial Unicode MS" w:cs="Arial Unicode MS"/>
            <w:u w:val="single"/>
          </w:rPr>
          <w:t>Principles</w:t>
        </w:r>
        <w:proofErr w:type="spellEnd"/>
        <w:r>
          <w:rPr>
            <w:rStyle w:val="Hyperlink1"/>
            <w:u w:val="single"/>
          </w:rPr>
          <w:t xml:space="preserve"> </w:t>
        </w:r>
        <w:proofErr w:type="spellStart"/>
        <w:r>
          <w:rPr>
            <w:rStyle w:val="Hyperlink1"/>
            <w:rFonts w:ascii="Arial Unicode MS" w:eastAsia="Arial Unicode MS" w:hAnsi="Arial Unicode MS" w:cs="Arial Unicode MS"/>
            <w:u w:val="single"/>
          </w:rPr>
          <w:t>of</w:t>
        </w:r>
        <w:proofErr w:type="spellEnd"/>
        <w:r>
          <w:rPr>
            <w:rStyle w:val="Hyperlink1"/>
            <w:u w:val="single"/>
          </w:rPr>
          <w:t xml:space="preserve"> </w:t>
        </w:r>
        <w:proofErr w:type="spellStart"/>
        <w:r>
          <w:rPr>
            <w:rStyle w:val="Hyperlink1"/>
            <w:rFonts w:ascii="Arial Unicode MS" w:eastAsia="Arial Unicode MS" w:hAnsi="Arial Unicode MS" w:cs="Arial Unicode MS"/>
            <w:u w:val="single"/>
          </w:rPr>
          <w:t>Disability</w:t>
        </w:r>
        <w:proofErr w:type="spellEnd"/>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20</w:t>
      </w:r>
      <w:r>
        <w:rPr>
          <w:rFonts w:ascii="Arial Unicode MS" w:eastAsia="Arial Unicode MS" w:hAnsi="Arial Unicode MS" w:cs="Arial Unicode MS"/>
          <w:color w:val="2B477B"/>
        </w:rPr>
        <w:t>-</w:t>
      </w:r>
      <w:r>
        <w:rPr>
          <w:color w:val="2B477B"/>
        </w:rPr>
        <w:t xml:space="preserve">21 </w:t>
      </w:r>
      <w:r>
        <w:rPr>
          <w:rFonts w:ascii="Arial Unicode MS" w:eastAsia="Arial Unicode MS" w:hAnsi="Arial Unicode MS" w:cs="Arial Unicode MS"/>
          <w:color w:val="2B477B"/>
        </w:rPr>
        <w:t>(</w:t>
      </w:r>
      <w:r>
        <w:rPr>
          <w:color w:val="2B477B"/>
        </w:rPr>
        <w:t>14</w:t>
      </w:r>
      <w:r>
        <w:rPr>
          <w:rFonts w:ascii="Arial Unicode MS" w:eastAsia="Arial Unicode MS" w:hAnsi="Arial Unicode MS" w:cs="Arial Unicode MS"/>
          <w:color w:val="2B477B"/>
        </w:rPr>
        <w:t>-</w:t>
      </w:r>
      <w:r>
        <w:rPr>
          <w:color w:val="2B477B"/>
        </w:rPr>
        <w:t xml:space="preserve">15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manifiesto</w:t>
      </w:r>
      <w:r>
        <w:rPr>
          <w:color w:val="2B477B"/>
        </w:rPr>
        <w:t xml:space="preserve"> </w:t>
      </w:r>
      <w:r>
        <w:rPr>
          <w:rFonts w:ascii="Arial Unicode MS" w:eastAsia="Arial Unicode MS" w:hAnsi="Arial Unicode MS" w:cs="Arial Unicode MS"/>
          <w:color w:val="2B477B"/>
        </w:rPr>
        <w:t>original).</w:t>
      </w:r>
      <w:r>
        <w:rPr>
          <w:color w:val="2B477B"/>
        </w:rPr>
        <w:t xml:space="preserve"> </w:t>
      </w:r>
    </w:p>
  </w:footnote>
  <w:footnote w:id="32">
    <w:p w14:paraId="478BA0D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43" w:history="1">
        <w:r>
          <w:rPr>
            <w:rFonts w:ascii="Arial Unicode MS" w:eastAsia="Arial Unicode MS" w:hAnsi="Arial Unicode MS" w:cs="Arial Unicode MS"/>
            <w:color w:val="2B477B"/>
          </w:rPr>
          <w:t>Convenci</w:t>
        </w:r>
      </w:hyperlink>
      <w:hyperlink r:id="rId44" w:history="1">
        <w:r>
          <w:rPr>
            <w:rFonts w:ascii="Arial Unicode MS" w:eastAsia="Arial Unicode MS" w:hAnsi="Arial Unicode MS" w:cs="Arial Unicode MS"/>
            <w:color w:val="2B477B"/>
          </w:rPr>
          <w:t>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Preámbulo,</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carácter</w:t>
      </w:r>
      <w:r>
        <w:rPr>
          <w:color w:val="2B477B"/>
        </w:rPr>
        <w:t xml:space="preserve"> </w:t>
      </w:r>
      <w:r>
        <w:rPr>
          <w:rFonts w:ascii="Arial Unicode MS" w:eastAsia="Arial Unicode MS" w:hAnsi="Arial Unicode MS" w:cs="Arial Unicode MS"/>
          <w:color w:val="2B477B"/>
        </w:rPr>
        <w:t>evolutivo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concepto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barreras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entorno,</w:t>
      </w:r>
      <w:r>
        <w:rPr>
          <w:color w:val="2B477B"/>
        </w:rPr>
        <w:t xml:space="preserve"> </w:t>
      </w:r>
      <w:r>
        <w:rPr>
          <w:rFonts w:ascii="Arial Unicode MS" w:eastAsia="Arial Unicode MS" w:hAnsi="Arial Unicode MS" w:cs="Arial Unicode MS"/>
          <w:color w:val="2B477B"/>
        </w:rPr>
        <w:t>menciona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barreras</w:t>
      </w:r>
      <w:r>
        <w:rPr>
          <w:color w:val="2B477B"/>
        </w:rPr>
        <w:t xml:space="preserve"> </w:t>
      </w:r>
      <w:r>
        <w:rPr>
          <w:rFonts w:ascii="Arial Unicode MS" w:eastAsia="Arial Unicode MS" w:hAnsi="Arial Unicode MS" w:cs="Arial Unicode MS"/>
          <w:color w:val="2B477B"/>
        </w:rPr>
        <w:t>actitudinales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inciden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 </w:t>
      </w:r>
      <w:r>
        <w:rPr>
          <w:rFonts w:ascii="Arial Unicode MS" w:eastAsia="Arial Unicode MS" w:hAnsi="Arial Unicode MS" w:cs="Arial Unicode MS"/>
          <w:color w:val="2B477B"/>
        </w:rPr>
        <w:t>define</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sino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p>
  </w:footnote>
  <w:footnote w:id="33">
    <w:p w14:paraId="52A6143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Molina</w:t>
      </w:r>
      <w:r>
        <w:rPr>
          <w:color w:val="2B477B"/>
        </w:rPr>
        <w:t xml:space="preserve"> </w:t>
      </w:r>
      <w:r>
        <w:rPr>
          <w:rFonts w:ascii="Arial Unicode MS" w:eastAsia="Arial Unicode MS" w:hAnsi="Arial Unicode MS" w:cs="Arial Unicode MS"/>
          <w:color w:val="2B477B"/>
        </w:rPr>
        <w:t>Toledo,</w:t>
      </w:r>
      <w:r>
        <w:rPr>
          <w:color w:val="2B477B"/>
        </w:rPr>
        <w:t xml:space="preserve"> </w:t>
      </w:r>
      <w:r>
        <w:rPr>
          <w:rFonts w:ascii="Arial Unicode MS" w:eastAsia="Arial Unicode MS" w:hAnsi="Arial Unicode MS" w:cs="Arial Unicode MS"/>
          <w:color w:val="2B477B"/>
        </w:rPr>
        <w:t>Pamela,</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normal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nueva</w:t>
      </w:r>
      <w:r>
        <w:rPr>
          <w:color w:val="2B477B"/>
        </w:rPr>
        <w:t xml:space="preserve"> </w:t>
      </w:r>
      <w:r>
        <w:rPr>
          <w:rFonts w:ascii="Arial Unicode MS" w:eastAsia="Arial Unicode MS" w:hAnsi="Arial Unicode MS" w:cs="Arial Unicode MS"/>
          <w:color w:val="2B477B"/>
        </w:rPr>
        <w:t>normalidad?</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v</w:t>
      </w:r>
      <w:r>
        <w:rPr>
          <w:color w:val="2B477B"/>
        </w:rPr>
        <w:t>/</w:t>
      </w:r>
      <w:r>
        <w:rPr>
          <w:rFonts w:ascii="Arial Unicode MS" w:eastAsia="Arial Unicode MS" w:hAnsi="Arial Unicode MS" w:cs="Arial Unicode MS"/>
          <w:color w:val="2B477B"/>
        </w:rPr>
        <w:t>s</w:t>
      </w:r>
      <w:r>
        <w:rPr>
          <w:color w:val="2B477B"/>
        </w:rPr>
        <w:t xml:space="preserve"> </w:t>
      </w:r>
      <w:r>
        <w:rPr>
          <w:rFonts w:ascii="Arial Unicode MS" w:eastAsia="Arial Unicode MS" w:hAnsi="Arial Unicode MS" w:cs="Arial Unicode MS"/>
          <w:color w:val="2B477B"/>
        </w:rPr>
        <w:t>Equidad,</w:t>
      </w:r>
      <w:r>
        <w:rPr>
          <w:color w:val="2B477B"/>
        </w:rPr>
        <w:t xml:space="preserve"> 1</w:t>
      </w:r>
      <w:r>
        <w:rPr>
          <w:rFonts w:ascii="Arial Unicode MS" w:eastAsia="Arial Unicode MS" w:hAnsi="Arial Unicode MS" w:cs="Arial Unicode MS"/>
          <w:color w:val="2B477B"/>
        </w:rPr>
        <w:t>(</w:t>
      </w:r>
      <w:r>
        <w:rPr>
          <w:color w:val="2B477B"/>
        </w:rPr>
        <w:t>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Buenos</w:t>
      </w:r>
      <w:r>
        <w:rPr>
          <w:color w:val="2B477B"/>
        </w:rPr>
        <w:t xml:space="preserve"> </w:t>
      </w:r>
      <w:r>
        <w:rPr>
          <w:rFonts w:ascii="Arial Unicode MS" w:eastAsia="Arial Unicode MS" w:hAnsi="Arial Unicode MS" w:cs="Arial Unicode MS"/>
          <w:color w:val="2B477B"/>
        </w:rPr>
        <w:t>Aires,</w:t>
      </w:r>
      <w:r>
        <w:rPr>
          <w:color w:val="2B477B"/>
        </w:rPr>
        <w:t xml:space="preserve"> </w:t>
      </w:r>
      <w:r>
        <w:rPr>
          <w:rFonts w:ascii="Arial Unicode MS" w:eastAsia="Arial Unicode MS" w:hAnsi="Arial Unicode MS" w:cs="Arial Unicode MS"/>
          <w:color w:val="2B477B"/>
        </w:rPr>
        <w:t>Serial</w:t>
      </w:r>
      <w:r>
        <w:rPr>
          <w:color w:val="2B477B"/>
        </w:rPr>
        <w:t xml:space="preserve"> </w:t>
      </w:r>
      <w:r>
        <w:rPr>
          <w:rFonts w:ascii="Arial Unicode MS" w:eastAsia="Arial Unicode MS" w:hAnsi="Arial Unicode MS" w:cs="Arial Unicode MS"/>
          <w:color w:val="2B477B"/>
        </w:rPr>
        <w:t>Editorial,</w:t>
      </w:r>
      <w:r>
        <w:rPr>
          <w:color w:val="2B477B"/>
        </w:rPr>
        <w:t xml:space="preserve"> </w:t>
      </w:r>
      <w:r>
        <w:rPr>
          <w:rFonts w:ascii="Arial Unicode MS" w:eastAsia="Arial Unicode MS" w:hAnsi="Arial Unicode MS" w:cs="Arial Unicode MS"/>
          <w:color w:val="2B477B"/>
        </w:rPr>
        <w:t>págs.</w:t>
      </w:r>
      <w:r>
        <w:rPr>
          <w:color w:val="2B477B"/>
        </w:rPr>
        <w:t xml:space="preserve"> 26</w:t>
      </w:r>
      <w:r>
        <w:rPr>
          <w:rFonts w:ascii="Arial Unicode MS" w:eastAsia="Arial Unicode MS" w:hAnsi="Arial Unicode MS" w:cs="Arial Unicode MS"/>
          <w:color w:val="2B477B"/>
        </w:rPr>
        <w:t>-</w:t>
      </w:r>
      <w:r>
        <w:rPr>
          <w:color w:val="2B477B"/>
        </w:rPr>
        <w:t>27</w:t>
      </w:r>
      <w:r>
        <w:rPr>
          <w:rFonts w:ascii="Arial Unicode MS" w:eastAsia="Arial Unicode MS" w:hAnsi="Arial Unicode MS" w:cs="Arial Unicode MS"/>
          <w:color w:val="2B477B"/>
        </w:rPr>
        <w:t>.</w:t>
      </w:r>
      <w:r>
        <w:rPr>
          <w:color w:val="2B477B"/>
        </w:rPr>
        <w:t xml:space="preserve"> </w:t>
      </w:r>
    </w:p>
  </w:footnote>
  <w:footnote w:id="34">
    <w:p w14:paraId="4861B5E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Victoria</w:t>
      </w:r>
      <w:r>
        <w:rPr>
          <w:color w:val="2B477B"/>
        </w:rPr>
        <w:t xml:space="preserve"> </w:t>
      </w:r>
      <w:r>
        <w:rPr>
          <w:rFonts w:ascii="Arial Unicode MS" w:eastAsia="Arial Unicode MS" w:hAnsi="Arial Unicode MS" w:cs="Arial Unicode MS"/>
          <w:color w:val="2B477B"/>
        </w:rPr>
        <w:t>Maldonado,</w:t>
      </w:r>
      <w:r>
        <w:rPr>
          <w:color w:val="2B477B"/>
        </w:rPr>
        <w:t xml:space="preserve"> </w:t>
      </w:r>
      <w:r>
        <w:rPr>
          <w:rFonts w:ascii="Arial Unicode MS" w:eastAsia="Arial Unicode MS" w:hAnsi="Arial Unicode MS" w:cs="Arial Unicode MS"/>
          <w:color w:val="2B477B"/>
        </w:rPr>
        <w:t>Jorge</w:t>
      </w:r>
      <w:r>
        <w:rPr>
          <w:color w:val="2B477B"/>
        </w:rPr>
        <w:t xml:space="preserve"> </w:t>
      </w:r>
      <w:r>
        <w:rPr>
          <w:rFonts w:ascii="Arial Unicode MS" w:eastAsia="Arial Unicode MS" w:hAnsi="Arial Unicode MS" w:cs="Arial Unicode MS"/>
          <w:color w:val="2B477B"/>
        </w:rPr>
        <w:t>A.,</w:t>
      </w:r>
      <w:r>
        <w:rPr>
          <w:color w:val="2B477B"/>
        </w:rPr>
        <w:t xml:space="preserve"> </w:t>
      </w:r>
      <w:hyperlink r:id="rId45" w:history="1">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cuestión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hyperlink>
      <w:r>
        <w:rPr>
          <w:rFonts w:ascii="Arial Unicode MS" w:eastAsia="Arial Unicode MS" w:hAnsi="Arial Unicode MS" w:cs="Arial Unicode MS"/>
          <w:color w:val="2B477B"/>
        </w:rPr>
        <w:t>,</w:t>
      </w:r>
      <w:hyperlink r:id="rId46" w:history="1">
        <w:r>
          <w:rPr>
            <w:color w:val="2B477B"/>
          </w:rPr>
          <w:t> </w:t>
        </w:r>
      </w:hyperlink>
      <w:r>
        <w:rPr>
          <w:rFonts w:ascii="Arial Unicode MS" w:eastAsia="Arial Unicode MS" w:hAnsi="Arial Unicode MS" w:cs="Arial Unicode MS"/>
          <w:color w:val="2B477B"/>
        </w:rPr>
        <w:t>Bol.</w:t>
      </w:r>
      <w:r>
        <w:rPr>
          <w:color w:val="2B477B"/>
        </w:rPr>
        <w:t xml:space="preserve"> </w:t>
      </w:r>
      <w:r>
        <w:rPr>
          <w:rFonts w:ascii="Arial Unicode MS" w:eastAsia="Arial Unicode MS" w:hAnsi="Arial Unicode MS" w:cs="Arial Unicode MS"/>
          <w:color w:val="2B477B"/>
        </w:rPr>
        <w:t>Mex.</w:t>
      </w:r>
      <w:r>
        <w:rPr>
          <w:color w:val="2B477B"/>
        </w:rPr>
        <w:t xml:space="preserve"> </w:t>
      </w:r>
      <w:r>
        <w:rPr>
          <w:rFonts w:ascii="Arial Unicode MS" w:eastAsia="Arial Unicode MS" w:hAnsi="Arial Unicode MS" w:cs="Arial Unicode MS"/>
          <w:color w:val="2B477B"/>
        </w:rPr>
        <w:t>Der.</w:t>
      </w:r>
      <w:r>
        <w:rPr>
          <w:color w:val="2B477B"/>
        </w:rPr>
        <w:t xml:space="preserve"> </w:t>
      </w:r>
      <w:r>
        <w:rPr>
          <w:rFonts w:ascii="Arial Unicode MS" w:eastAsia="Arial Unicode MS" w:hAnsi="Arial Unicode MS" w:cs="Arial Unicode MS"/>
          <w:color w:val="2B477B"/>
        </w:rPr>
        <w:t>Comp.,</w:t>
      </w:r>
      <w:r>
        <w:rPr>
          <w:color w:val="2B477B"/>
        </w:rPr>
        <w:t xml:space="preserve"> </w:t>
      </w:r>
      <w:r>
        <w:rPr>
          <w:rFonts w:ascii="Arial Unicode MS" w:eastAsia="Arial Unicode MS" w:hAnsi="Arial Unicode MS" w:cs="Arial Unicode MS"/>
          <w:color w:val="2B477B"/>
        </w:rPr>
        <w:t>Ciudad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46</w:t>
      </w:r>
      <w:r>
        <w:rPr>
          <w:rFonts w:ascii="Arial Unicode MS" w:eastAsia="Arial Unicode MS" w:hAnsi="Arial Unicode MS" w:cs="Arial Unicode MS"/>
          <w:color w:val="2B477B"/>
        </w:rPr>
        <w:t>,</w:t>
      </w:r>
      <w:r>
        <w:rPr>
          <w:color w:val="2B477B"/>
        </w:rPr>
        <w:t> </w:t>
      </w:r>
      <w:r>
        <w:rPr>
          <w:rFonts w:ascii="Arial Unicode MS" w:eastAsia="Arial Unicode MS" w:hAnsi="Arial Unicode MS" w:cs="Arial Unicode MS"/>
          <w:color w:val="2B477B"/>
        </w:rPr>
        <w:t>núm.</w:t>
      </w:r>
      <w:r>
        <w:rPr>
          <w:color w:val="2B477B"/>
        </w:rPr>
        <w:t xml:space="preserve"> 138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2013</w:t>
      </w:r>
      <w:r>
        <w:rPr>
          <w:rFonts w:ascii="Arial Unicode MS" w:eastAsia="Arial Unicode MS" w:hAnsi="Arial Unicode MS" w:cs="Arial Unicode MS"/>
          <w:color w:val="2B477B"/>
        </w:rPr>
        <w:t>,</w:t>
      </w:r>
      <w:r>
        <w:rPr>
          <w:color w:val="2B477B"/>
        </w:rPr>
        <w:t> </w:t>
      </w:r>
      <w:r>
        <w:rPr>
          <w:rFonts w:ascii="Arial Unicode MS" w:eastAsia="Arial Unicode MS" w:hAnsi="Arial Unicode MS" w:cs="Arial Unicode MS"/>
          <w:color w:val="2B477B"/>
        </w:rPr>
        <w:t>págs.</w:t>
      </w:r>
      <w:r>
        <w:rPr>
          <w:color w:val="2B477B"/>
        </w:rPr>
        <w:t xml:space="preserve"> 1093</w:t>
      </w:r>
      <w:r>
        <w:rPr>
          <w:rFonts w:ascii="Arial Unicode MS" w:eastAsia="Arial Unicode MS" w:hAnsi="Arial Unicode MS" w:cs="Arial Unicode MS"/>
          <w:color w:val="2B477B"/>
        </w:rPr>
        <w:t>-</w:t>
      </w:r>
      <w:r>
        <w:rPr>
          <w:color w:val="2B477B"/>
        </w:rPr>
        <w:t>1109</w:t>
      </w:r>
      <w:r>
        <w:rPr>
          <w:rFonts w:ascii="Arial Unicode MS" w:eastAsia="Arial Unicode MS" w:hAnsi="Arial Unicode MS" w:cs="Arial Unicode MS"/>
          <w:color w:val="2B477B"/>
        </w:rPr>
        <w:t>.</w:t>
      </w:r>
    </w:p>
  </w:footnote>
  <w:footnote w:id="35">
    <w:p w14:paraId="678D374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razón,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pasa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llamarse</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47" w:history="1">
        <w:r>
          <w:rPr>
            <w:rStyle w:val="Hyperlink1"/>
            <w:u w:val="single"/>
          </w:rPr>
          <w:t xml:space="preserve">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Style w:val="Hyperlink1"/>
          <w:u w:val="single"/>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partir</w:t>
      </w:r>
      <w:r>
        <w:rPr>
          <w:color w:val="2B477B"/>
        </w:rPr>
        <w:t xml:space="preserve"> </w:t>
      </w:r>
      <w:r>
        <w:rPr>
          <w:rFonts w:ascii="Arial Unicode MS" w:eastAsia="Arial Unicode MS" w:hAnsi="Arial Unicode MS" w:cs="Arial Unicode MS"/>
          <w:color w:val="2B477B"/>
        </w:rPr>
        <w:t>del</w:t>
      </w:r>
      <w:r>
        <w:rPr>
          <w:color w:val="2B477B"/>
        </w:rPr>
        <w:t xml:space="preserve"> 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2008</w:t>
      </w:r>
      <w:r>
        <w:rPr>
          <w:rFonts w:ascii="Arial Unicode MS" w:eastAsia="Arial Unicode MS" w:hAnsi="Arial Unicode MS" w:cs="Arial Unicode MS"/>
          <w:color w:val="2B477B"/>
        </w:rPr>
        <w:t>.</w:t>
      </w:r>
    </w:p>
  </w:footnote>
  <w:footnote w:id="36">
    <w:p w14:paraId="2F8EE4D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Económica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Social(MIES),</w:t>
      </w:r>
      <w:r>
        <w:rPr>
          <w:color w:val="2B477B"/>
        </w:rPr>
        <w:t xml:space="preserve"> </w:t>
      </w:r>
      <w:r>
        <w:rPr>
          <w:rFonts w:ascii="Arial Unicode MS" w:eastAsia="Arial Unicode MS" w:hAnsi="Arial Unicode MS" w:cs="Arial Unicode MS"/>
          <w:color w:val="2B477B"/>
        </w:rPr>
        <w:t>Subsecretaría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w:t>
      </w:r>
      <w:r>
        <w:rPr>
          <w:color w:val="2B477B"/>
        </w:rPr>
        <w:t xml:space="preserve"> </w:t>
      </w:r>
      <w:r>
        <w:rPr>
          <w:rFonts w:ascii="Arial Unicode MS" w:eastAsia="Arial Unicode MS" w:hAnsi="Arial Unicode MS" w:cs="Arial Unicode MS"/>
          <w:color w:val="2B477B"/>
        </w:rPr>
        <w:t>Dirección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Prestación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Servicios,</w:t>
      </w:r>
      <w:r>
        <w:rPr>
          <w:color w:val="2B477B"/>
        </w:rPr>
        <w:t xml:space="preserve"> </w:t>
      </w:r>
      <w:hyperlink r:id="rId48" w:history="1">
        <w:r>
          <w:rPr>
            <w:rFonts w:ascii="Arial Unicode MS" w:eastAsia="Arial Unicode MS" w:hAnsi="Arial Unicode MS" w:cs="Arial Unicode MS"/>
            <w:color w:val="2B477B"/>
          </w:rPr>
          <w:t>Propuesta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Integral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Ecuador,</w:t>
      </w:r>
      <w:r>
        <w:rPr>
          <w:color w:val="2B477B"/>
        </w:rPr>
        <w:t xml:space="preserve"> 2013</w:t>
      </w:r>
      <w:r>
        <w:rPr>
          <w:rFonts w:ascii="Arial Unicode MS" w:eastAsia="Arial Unicode MS" w:hAnsi="Arial Unicode MS" w:cs="Arial Unicode MS"/>
          <w:color w:val="2B477B"/>
        </w:rPr>
        <w:t>.</w:t>
      </w:r>
      <w:r>
        <w:rPr>
          <w:color w:val="2B477B"/>
        </w:rPr>
        <w:t> </w:t>
      </w:r>
    </w:p>
  </w:footnote>
  <w:footnote w:id="37">
    <w:p w14:paraId="17ED75C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mirada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nos</w:t>
      </w:r>
      <w:r>
        <w:rPr>
          <w:color w:val="2B477B"/>
        </w:rPr>
        <w:t xml:space="preserve"> </w:t>
      </w:r>
      <w:r>
        <w:rPr>
          <w:rFonts w:ascii="Arial Unicode MS" w:eastAsia="Arial Unicode MS" w:hAnsi="Arial Unicode MS" w:cs="Arial Unicode MS"/>
          <w:color w:val="2B477B"/>
        </w:rPr>
        <w:t>entrega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permite</w:t>
      </w:r>
      <w:r>
        <w:rPr>
          <w:color w:val="2B477B"/>
        </w:rPr>
        <w:t xml:space="preserve"> </w:t>
      </w:r>
      <w:r>
        <w:rPr>
          <w:rFonts w:ascii="Arial Unicode MS" w:eastAsia="Arial Unicode MS" w:hAnsi="Arial Unicode MS" w:cs="Arial Unicode MS"/>
          <w:color w:val="2B477B"/>
        </w:rPr>
        <w:t>entrar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problema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exclusión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cuales</w:t>
      </w:r>
      <w:r>
        <w:rPr>
          <w:color w:val="2B477B"/>
        </w:rPr>
        <w:t xml:space="preserve"> </w:t>
      </w:r>
      <w:r>
        <w:rPr>
          <w:rFonts w:ascii="Arial Unicode MS" w:eastAsia="Arial Unicode MS" w:hAnsi="Arial Unicode MS" w:cs="Arial Unicode MS"/>
          <w:color w:val="2B477B"/>
        </w:rPr>
        <w:t>son</w:t>
      </w:r>
      <w:r>
        <w:rPr>
          <w:color w:val="2B477B"/>
        </w:rPr>
        <w:t xml:space="preserve"> </w:t>
      </w:r>
      <w:r>
        <w:rPr>
          <w:rFonts w:ascii="Arial Unicode MS" w:eastAsia="Arial Unicode MS" w:hAnsi="Arial Unicode MS" w:cs="Arial Unicode MS"/>
          <w:color w:val="2B477B"/>
        </w:rPr>
        <w:t>etiquetadas,</w:t>
      </w:r>
      <w:r>
        <w:rPr>
          <w:color w:val="2B477B"/>
        </w:rPr>
        <w:t xml:space="preserve"> </w:t>
      </w:r>
      <w:r>
        <w:rPr>
          <w:rFonts w:ascii="Arial Unicode MS" w:eastAsia="Arial Unicode MS" w:hAnsi="Arial Unicode MS" w:cs="Arial Unicode MS"/>
          <w:color w:val="2B477B"/>
        </w:rPr>
        <w:t>estigmatizadas,</w:t>
      </w:r>
      <w:r>
        <w:rPr>
          <w:color w:val="2B477B"/>
        </w:rPr>
        <w:t xml:space="preserve"> </w:t>
      </w:r>
      <w:r>
        <w:rPr>
          <w:rFonts w:ascii="Arial Unicode MS" w:eastAsia="Arial Unicode MS" w:hAnsi="Arial Unicode MS" w:cs="Arial Unicode MS"/>
          <w:color w:val="2B477B"/>
        </w:rPr>
        <w:t>marcadas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solo</w:t>
      </w:r>
      <w:r>
        <w:rPr>
          <w:color w:val="2B477B"/>
        </w:rPr>
        <w:t xml:space="preserve"> </w:t>
      </w:r>
      <w:r>
        <w:rPr>
          <w:rFonts w:ascii="Arial Unicode MS" w:eastAsia="Arial Unicode MS" w:hAnsi="Arial Unicode MS" w:cs="Arial Unicode MS"/>
          <w:color w:val="2B477B"/>
        </w:rPr>
        <w:t>hecho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diferentes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colocadas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posición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inferioridad”.</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Paul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Córdoba</w:t>
      </w:r>
      <w:r>
        <w:rPr>
          <w:color w:val="2B477B"/>
        </w:rPr>
        <w:t xml:space="preserve"> </w:t>
      </w:r>
      <w:r>
        <w:rPr>
          <w:rFonts w:ascii="Arial Unicode MS" w:eastAsia="Arial Unicode MS" w:hAnsi="Arial Unicode MS" w:cs="Arial Unicode MS"/>
          <w:color w:val="2B477B"/>
        </w:rPr>
        <w:t>M.</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exclusión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Tareas,</w:t>
      </w:r>
      <w:r>
        <w:rPr>
          <w:color w:val="2B477B"/>
        </w:rPr>
        <w:t xml:space="preserve"> 129 </w:t>
      </w:r>
      <w:r>
        <w:rPr>
          <w:rFonts w:ascii="Arial Unicode MS" w:eastAsia="Arial Unicode MS" w:hAnsi="Arial Unicode MS" w:cs="Arial Unicode MS"/>
          <w:color w:val="2B477B"/>
        </w:rPr>
        <w:t>(</w:t>
      </w:r>
      <w:r>
        <w:rPr>
          <w:color w:val="2B477B"/>
        </w:rPr>
        <w:t>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Estudios</w:t>
      </w:r>
      <w:r>
        <w:rPr>
          <w:color w:val="2B477B"/>
        </w:rPr>
        <w:t xml:space="preserve"> </w:t>
      </w:r>
      <w:r>
        <w:rPr>
          <w:rFonts w:ascii="Arial Unicode MS" w:eastAsia="Arial Unicode MS" w:hAnsi="Arial Unicode MS" w:cs="Arial Unicode MS"/>
          <w:color w:val="2B477B"/>
        </w:rPr>
        <w:t>Latinoamericanos</w:t>
      </w:r>
      <w:r>
        <w:rPr>
          <w:color w:val="2B477B"/>
        </w:rPr>
        <w:t xml:space="preserve"> </w:t>
      </w:r>
      <w:r>
        <w:rPr>
          <w:rFonts w:ascii="Arial Unicode MS" w:eastAsia="Arial Unicode MS" w:hAnsi="Arial Unicode MS" w:cs="Arial Unicode MS"/>
          <w:color w:val="2B477B"/>
        </w:rPr>
        <w:t>“Justo</w:t>
      </w:r>
      <w:r>
        <w:rPr>
          <w:color w:val="2B477B"/>
        </w:rPr>
        <w:t xml:space="preserve"> </w:t>
      </w:r>
      <w:r>
        <w:rPr>
          <w:rFonts w:ascii="Arial Unicode MS" w:eastAsia="Arial Unicode MS" w:hAnsi="Arial Unicode MS" w:cs="Arial Unicode MS"/>
          <w:color w:val="2B477B"/>
        </w:rPr>
        <w:t>Arosemena”,</w:t>
      </w:r>
      <w:r>
        <w:rPr>
          <w:color w:val="2B477B"/>
        </w:rPr>
        <w:t xml:space="preserve"> </w:t>
      </w:r>
      <w:r>
        <w:rPr>
          <w:rFonts w:ascii="Arial Unicode MS" w:eastAsia="Arial Unicode MS" w:hAnsi="Arial Unicode MS" w:cs="Arial Unicode MS"/>
          <w:color w:val="2B477B"/>
        </w:rPr>
        <w:t>mayo-agosto,</w:t>
      </w:r>
      <w:r>
        <w:rPr>
          <w:color w:val="2B477B"/>
        </w:rPr>
        <w:t xml:space="preserve"> 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81</w:t>
      </w:r>
      <w:r>
        <w:rPr>
          <w:rFonts w:ascii="Arial Unicode MS" w:eastAsia="Arial Unicode MS" w:hAnsi="Arial Unicode MS" w:cs="Arial Unicode MS"/>
          <w:color w:val="2B477B"/>
        </w:rPr>
        <w:t>-</w:t>
      </w:r>
      <w:r>
        <w:rPr>
          <w:color w:val="2B477B"/>
        </w:rPr>
        <w:t>104</w:t>
      </w:r>
      <w:r>
        <w:rPr>
          <w:rFonts w:ascii="Arial Unicode MS" w:eastAsia="Arial Unicode MS" w:hAnsi="Arial Unicode MS" w:cs="Arial Unicode MS"/>
          <w:color w:val="2B477B"/>
        </w:rPr>
        <w:t>.</w:t>
      </w:r>
    </w:p>
  </w:footnote>
  <w:footnote w:id="38">
    <w:p w14:paraId="0BCC283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partir</w:t>
      </w:r>
      <w:r>
        <w:rPr>
          <w:color w:val="2B477B"/>
        </w:rPr>
        <w:t xml:space="preserve"> </w:t>
      </w:r>
      <w:r>
        <w:rPr>
          <w:rFonts w:ascii="Arial Unicode MS" w:eastAsia="Arial Unicode MS" w:hAnsi="Arial Unicode MS" w:cs="Arial Unicode MS"/>
          <w:color w:val="2B477B"/>
        </w:rPr>
        <w:t>del</w:t>
      </w:r>
      <w:r>
        <w:rPr>
          <w:color w:val="2B477B"/>
        </w:rPr>
        <w:t xml:space="preserve"> 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2008</w:t>
      </w:r>
      <w:r>
        <w:rPr>
          <w:rFonts w:ascii="Arial Unicode MS" w:eastAsia="Arial Unicode MS" w:hAnsi="Arial Unicode MS" w:cs="Arial Unicode MS"/>
          <w:color w:val="2B477B"/>
        </w:rPr>
        <w:t>.</w:t>
      </w:r>
    </w:p>
  </w:footnote>
  <w:footnote w:id="39">
    <w:p w14:paraId="322E8B8F"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define</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prestar</w:t>
      </w:r>
      <w:r>
        <w:rPr>
          <w:color w:val="2B477B"/>
        </w:rPr>
        <w:t xml:space="preserve"> </w:t>
      </w:r>
      <w:r>
        <w:rPr>
          <w:rFonts w:ascii="Arial Unicode MS" w:eastAsia="Arial Unicode MS" w:hAnsi="Arial Unicode MS" w:cs="Arial Unicode MS"/>
          <w:color w:val="2B477B"/>
        </w:rPr>
        <w:t>ayuda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asistencia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requiera,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forma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requiera,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realizar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actividades</w:t>
      </w:r>
      <w:r>
        <w:rPr>
          <w:color w:val="2B477B"/>
        </w:rPr>
        <w:t xml:space="preserve"> </w:t>
      </w:r>
      <w:r>
        <w:rPr>
          <w:rFonts w:ascii="Arial Unicode MS" w:eastAsia="Arial Unicode MS" w:hAnsi="Arial Unicode MS" w:cs="Arial Unicode MS"/>
          <w:color w:val="2B477B"/>
        </w:rPr>
        <w:t>cotidianas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participar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procesos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hyperlink r:id="rId49"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/34/58</w:t>
      </w:r>
      <w:r>
        <w:rPr>
          <w:rFonts w:ascii="Arial Unicode MS" w:eastAsia="Arial Unicode MS" w:hAnsi="Arial Unicode MS" w:cs="Arial Unicode MS"/>
          <w:color w:val="2B477B"/>
        </w:rPr>
        <w:t>,</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proofErr w:type="spellStart"/>
      <w:r>
        <w:rPr>
          <w:rFonts w:ascii="Arial Unicode MS" w:eastAsia="Arial Unicode MS" w:hAnsi="Arial Unicode MS" w:cs="Arial Unicode MS"/>
          <w:color w:val="2B477B"/>
        </w:rPr>
        <w:t>párrs</w:t>
      </w:r>
      <w:proofErr w:type="spellEnd"/>
      <w:r>
        <w:rPr>
          <w:rFonts w:ascii="Arial Unicode MS" w:eastAsia="Arial Unicode MS" w:hAnsi="Arial Unicode MS" w:cs="Arial Unicode MS"/>
          <w:color w:val="2B477B"/>
        </w:rPr>
        <w:t>.</w:t>
      </w:r>
      <w:r>
        <w:rPr>
          <w:color w:val="2B477B"/>
        </w:rPr>
        <w:t xml:space="preserve"> 13</w:t>
      </w:r>
      <w:r>
        <w:rPr>
          <w:rFonts w:ascii="Arial Unicode MS" w:eastAsia="Arial Unicode MS" w:hAnsi="Arial Unicode MS" w:cs="Arial Unicode MS"/>
          <w:color w:val="2B477B"/>
        </w:rPr>
        <w:t>-</w:t>
      </w:r>
      <w:r>
        <w:rPr>
          <w:color w:val="2B477B"/>
        </w:rPr>
        <w:t>15</w:t>
      </w:r>
      <w:r>
        <w:rPr>
          <w:rFonts w:ascii="Arial Unicode MS" w:eastAsia="Arial Unicode MS" w:hAnsi="Arial Unicode MS" w:cs="Arial Unicode MS"/>
          <w:color w:val="2B477B"/>
        </w:rPr>
        <w:t>.</w:t>
      </w:r>
    </w:p>
  </w:footnote>
  <w:footnote w:id="40">
    <w:p w14:paraId="3EACC9C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hyperlink r:id="rId50"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proofErr w:type="spellStart"/>
      <w:r>
        <w:rPr>
          <w:rFonts w:ascii="Arial Unicode MS" w:eastAsia="Arial Unicode MS" w:hAnsi="Arial Unicode MS" w:cs="Arial Unicode MS"/>
          <w:color w:val="2B477B"/>
        </w:rPr>
        <w:t>párrs</w:t>
      </w:r>
      <w:proofErr w:type="spellEnd"/>
      <w:r>
        <w:rPr>
          <w:rFonts w:ascii="Arial Unicode MS" w:eastAsia="Arial Unicode MS" w:hAnsi="Arial Unicode MS" w:cs="Arial Unicode MS"/>
          <w:color w:val="2B477B"/>
        </w:rPr>
        <w:t>.</w:t>
      </w:r>
      <w:r>
        <w:rPr>
          <w:color w:val="2B477B"/>
        </w:rPr>
        <w:t xml:space="preserve"> 13</w:t>
      </w:r>
      <w:r>
        <w:rPr>
          <w:rFonts w:ascii="Arial Unicode MS" w:eastAsia="Arial Unicode MS" w:hAnsi="Arial Unicode MS" w:cs="Arial Unicode MS"/>
          <w:color w:val="2B477B"/>
        </w:rPr>
        <w:t>-</w:t>
      </w:r>
      <w:r>
        <w:rPr>
          <w:color w:val="2B477B"/>
        </w:rPr>
        <w:t>15</w:t>
      </w:r>
      <w:r>
        <w:rPr>
          <w:rFonts w:ascii="Arial Unicode MS" w:eastAsia="Arial Unicode MS" w:hAnsi="Arial Unicode MS" w:cs="Arial Unicode MS"/>
          <w:color w:val="2B477B"/>
        </w:rPr>
        <w:t>.</w:t>
      </w:r>
      <w:r>
        <w:rPr>
          <w:color w:val="2B477B"/>
        </w:rPr>
        <w:t xml:space="preserve"> </w:t>
      </w:r>
    </w:p>
  </w:footnote>
  <w:footnote w:id="41">
    <w:p w14:paraId="05C5FFE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hyperlink r:id="rId51" w:history="1">
        <w:r>
          <w:rPr>
            <w:rFonts w:ascii="Arial Unicode MS" w:eastAsia="Arial Unicode MS" w:hAnsi="Arial Unicode MS" w:cs="Arial Unicode MS"/>
            <w:color w:val="2B477B"/>
          </w:rPr>
          <w:t>Convenci</w:t>
        </w:r>
      </w:hyperlink>
      <w:hyperlink r:id="rId52" w:history="1">
        <w:r>
          <w:rPr>
            <w:rFonts w:ascii="Arial Unicode MS" w:eastAsia="Arial Unicode MS" w:hAnsi="Arial Unicode MS" w:cs="Arial Unicode MS"/>
            <w:color w:val="2B477B"/>
          </w:rPr>
          <w:t>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Discapacidad(CI</w:t>
        </w:r>
      </w:hyperlink>
      <w:hyperlink r:id="rId53" w:history="1">
        <w:r>
          <w:rPr>
            <w:rFonts w:ascii="Arial Unicode MS" w:eastAsia="Arial Unicode MS" w:hAnsi="Arial Unicode MS" w:cs="Arial Unicode MS"/>
            <w:color w:val="2B477B"/>
          </w:rPr>
          <w:t>ADDIS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el</w:t>
      </w:r>
      <w:r>
        <w:rPr>
          <w:color w:val="2B477B"/>
        </w:rPr>
        <w:t xml:space="preserve"> 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partir</w:t>
      </w:r>
      <w:r>
        <w:rPr>
          <w:color w:val="2B477B"/>
        </w:rPr>
        <w:t xml:space="preserve"> </w:t>
      </w:r>
      <w:r>
        <w:rPr>
          <w:rFonts w:ascii="Arial Unicode MS" w:eastAsia="Arial Unicode MS" w:hAnsi="Arial Unicode MS" w:cs="Arial Unicode MS"/>
          <w:color w:val="2B477B"/>
        </w:rPr>
        <w:t>del</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2001</w:t>
      </w:r>
      <w:r>
        <w:rPr>
          <w:rFonts w:ascii="Arial Unicode MS" w:eastAsia="Arial Unicode MS" w:hAnsi="Arial Unicode MS" w:cs="Arial Unicode MS"/>
          <w:color w:val="2B477B"/>
        </w:rPr>
        <w:t>.</w:t>
      </w:r>
      <w:r>
        <w:rPr>
          <w:color w:val="2B477B"/>
        </w:rPr>
        <w:t xml:space="preserve"> </w:t>
      </w:r>
    </w:p>
  </w:footnote>
  <w:footnote w:id="42">
    <w:p w14:paraId="17F64F1B"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VII</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interpretará</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disposición</w:t>
      </w:r>
      <w:r>
        <w:rPr>
          <w:color w:val="2B477B"/>
        </w:rPr>
        <w:t xml:space="preserve"> </w:t>
      </w:r>
      <w:r>
        <w:rPr>
          <w:rFonts w:ascii="Arial Unicode MS" w:eastAsia="Arial Unicode MS" w:hAnsi="Arial Unicode MS" w:cs="Arial Unicode MS"/>
          <w:color w:val="2B477B"/>
        </w:rPr>
        <w:t>alguna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presente</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restrinja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permita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limiten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disfrute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reconocidos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consuetudinario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instrumentos</w:t>
      </w:r>
      <w:r>
        <w:rPr>
          <w:color w:val="2B477B"/>
        </w:rPr>
        <w:t xml:space="preserve"> </w:t>
      </w:r>
      <w:r>
        <w:rPr>
          <w:rFonts w:ascii="Arial Unicode MS" w:eastAsia="Arial Unicode MS" w:hAnsi="Arial Unicode MS" w:cs="Arial Unicode MS"/>
          <w:color w:val="2B477B"/>
        </w:rPr>
        <w:t>internacionales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cuales</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está</w:t>
      </w:r>
      <w:r>
        <w:rPr>
          <w:color w:val="2B477B"/>
        </w:rPr>
        <w:t xml:space="preserve"> </w:t>
      </w:r>
      <w:r>
        <w:rPr>
          <w:rFonts w:ascii="Arial Unicode MS" w:eastAsia="Arial Unicode MS" w:hAnsi="Arial Unicode MS" w:cs="Arial Unicode MS"/>
          <w:color w:val="2B477B"/>
        </w:rPr>
        <w:t>obligado”.</w:t>
      </w:r>
      <w:r>
        <w:rPr>
          <w:color w:val="2B477B"/>
        </w:rPr>
        <w:t xml:space="preserve"> </w:t>
      </w:r>
    </w:p>
  </w:footnote>
  <w:footnote w:id="43">
    <w:p w14:paraId="5F4575A8" w14:textId="77777777" w:rsidR="001A105D" w:rsidRDefault="00000000">
      <w:pPr>
        <w:pStyle w:val="Body"/>
        <w:jc w:val="left"/>
      </w:pPr>
      <w:r>
        <w:rPr>
          <w:rFonts w:ascii="Helvetica LT Std Oblique" w:eastAsia="Helvetica LT Std Oblique" w:hAnsi="Helvetica LT Std Oblique" w:cs="Helvetica LT Std Oblique"/>
          <w:color w:val="2B477B"/>
          <w:vertAlign w:val="superscript"/>
        </w:rPr>
        <w:footnoteRef/>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reiterado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diversas</w:t>
      </w:r>
      <w:r>
        <w:rPr>
          <w:color w:val="2B477B"/>
        </w:rPr>
        <w:t xml:space="preserve"> </w:t>
      </w:r>
      <w:r>
        <w:rPr>
          <w:rFonts w:ascii="Arial Unicode MS" w:eastAsia="Arial Unicode MS" w:hAnsi="Arial Unicode MS" w:cs="Arial Unicode MS"/>
          <w:color w:val="2B477B"/>
        </w:rPr>
        <w:t>ocasiones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tratados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son</w:t>
      </w:r>
      <w:r>
        <w:rPr>
          <w:color w:val="2B477B"/>
        </w:rPr>
        <w:t xml:space="preserve"> </w:t>
      </w:r>
      <w:r>
        <w:rPr>
          <w:rFonts w:ascii="Arial Unicode MS" w:eastAsia="Arial Unicode MS" w:hAnsi="Arial Unicode MS" w:cs="Arial Unicode MS"/>
          <w:color w:val="2B477B"/>
        </w:rPr>
        <w:t>instrumentos</w:t>
      </w:r>
      <w:r>
        <w:rPr>
          <w:color w:val="2B477B"/>
        </w:rPr>
        <w:t xml:space="preserve"> </w:t>
      </w:r>
      <w:r>
        <w:rPr>
          <w:rFonts w:ascii="Arial Unicode MS" w:eastAsia="Arial Unicode MS" w:hAnsi="Arial Unicode MS" w:cs="Arial Unicode MS"/>
          <w:color w:val="2B477B"/>
        </w:rPr>
        <w:t>vivos,</w:t>
      </w:r>
      <w:r>
        <w:rPr>
          <w:color w:val="2B477B"/>
        </w:rPr>
        <w:t xml:space="preserve"> </w:t>
      </w:r>
      <w:r>
        <w:rPr>
          <w:rFonts w:ascii="Arial Unicode MS" w:eastAsia="Arial Unicode MS" w:hAnsi="Arial Unicode MS" w:cs="Arial Unicode MS"/>
          <w:color w:val="2B477B"/>
        </w:rPr>
        <w:t>cuya</w:t>
      </w:r>
      <w:r>
        <w:rPr>
          <w:color w:val="2B477B"/>
        </w:rPr>
        <w:t xml:space="preserve"> </w:t>
      </w:r>
      <w:r>
        <w:rPr>
          <w:rFonts w:ascii="Arial Unicode MS" w:eastAsia="Arial Unicode MS" w:hAnsi="Arial Unicode MS" w:cs="Arial Unicode MS"/>
          <w:color w:val="2B477B"/>
        </w:rPr>
        <w:t>interpretación</w:t>
      </w:r>
      <w:r>
        <w:rPr>
          <w:color w:val="2B477B"/>
        </w:rPr>
        <w:t xml:space="preserve"> </w:t>
      </w:r>
      <w:r>
        <w:rPr>
          <w:rFonts w:ascii="Arial Unicode MS" w:eastAsia="Arial Unicode MS" w:hAnsi="Arial Unicode MS" w:cs="Arial Unicode MS"/>
          <w:color w:val="2B477B"/>
        </w:rPr>
        <w:t>tiene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acompañar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evolución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tiempos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actuales,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tal</w:t>
      </w:r>
      <w:r>
        <w:rPr>
          <w:color w:val="2B477B"/>
        </w:rPr>
        <w:t xml:space="preserve"> </w:t>
      </w:r>
      <w:r>
        <w:rPr>
          <w:rFonts w:ascii="Arial Unicode MS" w:eastAsia="Arial Unicode MS" w:hAnsi="Arial Unicode MS" w:cs="Arial Unicode MS"/>
          <w:color w:val="2B477B"/>
        </w:rPr>
        <w:t>manera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pueden</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interpretados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sentido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restrinja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limite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consagrados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leyes</w:t>
      </w:r>
      <w:r>
        <w:rPr>
          <w:color w:val="2B477B"/>
        </w:rPr>
        <w:t xml:space="preserve"> </w:t>
      </w:r>
      <w:r>
        <w:rPr>
          <w:rFonts w:ascii="Arial Unicode MS" w:eastAsia="Arial Unicode MS" w:hAnsi="Arial Unicode MS" w:cs="Arial Unicode MS"/>
          <w:color w:val="2B477B"/>
        </w:rPr>
        <w:t>nacionales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tratados</w:t>
      </w:r>
      <w:r>
        <w:rPr>
          <w:color w:val="2B477B"/>
        </w:rPr>
        <w:t xml:space="preserve"> </w:t>
      </w:r>
      <w:r>
        <w:rPr>
          <w:rFonts w:ascii="Arial Unicode MS" w:eastAsia="Arial Unicode MS" w:hAnsi="Arial Unicode MS" w:cs="Arial Unicode MS"/>
          <w:color w:val="2B477B"/>
        </w:rPr>
        <w:t>regionales</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internacionales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cuales</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sea</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sentido</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proofErr w:type="spellStart"/>
      <w:r>
        <w:rPr>
          <w:rFonts w:ascii="Arial Unicode MS" w:eastAsia="Arial Unicode MS" w:hAnsi="Arial Unicode MS" w:cs="Arial Unicode MS"/>
          <w:color w:val="2B477B"/>
        </w:rPr>
        <w:t>Ximenes</w:t>
      </w:r>
      <w:proofErr w:type="spellEnd"/>
      <w:r>
        <w:rPr>
          <w:color w:val="2B477B"/>
        </w:rPr>
        <w:t xml:space="preserve"> </w:t>
      </w:r>
      <w:proofErr w:type="spellStart"/>
      <w:r>
        <w:rPr>
          <w:rFonts w:ascii="Arial Unicode MS" w:eastAsia="Arial Unicode MS" w:hAnsi="Arial Unicode MS" w:cs="Arial Unicode MS"/>
          <w:color w:val="2B477B"/>
        </w:rPr>
        <w:t>Lopes</w:t>
      </w:r>
      <w:proofErr w:type="spellEnd"/>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desarrolló</w:t>
      </w:r>
      <w:r>
        <w:rPr>
          <w:color w:val="2B477B"/>
        </w:rPr>
        <w:t xml:space="preserve"> </w:t>
      </w:r>
      <w:r>
        <w:rPr>
          <w:rFonts w:ascii="Arial Unicode MS" w:eastAsia="Arial Unicode MS" w:hAnsi="Arial Unicode MS" w:cs="Arial Unicode MS"/>
          <w:color w:val="2B477B"/>
        </w:rPr>
        <w:t>estándares</w:t>
      </w:r>
      <w:r>
        <w:rPr>
          <w:color w:val="2B477B"/>
        </w:rPr>
        <w:t xml:space="preserve"> </w:t>
      </w:r>
      <w:r>
        <w:rPr>
          <w:rFonts w:ascii="Arial Unicode MS" w:eastAsia="Arial Unicode MS" w:hAnsi="Arial Unicode MS" w:cs="Arial Unicode MS"/>
          <w:color w:val="2B477B"/>
        </w:rPr>
        <w:t>interamericanos</w:t>
      </w:r>
      <w:r>
        <w:rPr>
          <w:color w:val="2B477B"/>
        </w:rPr>
        <w:t xml:space="preserve"> </w:t>
      </w:r>
      <w:r>
        <w:rPr>
          <w:rFonts w:ascii="Arial Unicode MS" w:eastAsia="Arial Unicode MS" w:hAnsi="Arial Unicode MS" w:cs="Arial Unicode MS"/>
          <w:color w:val="2B477B"/>
        </w:rPr>
        <w:t>cercanos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anteriores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enfatizar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deber</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garantizar</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dignos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colectivo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vulneración.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señaló</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uno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principios</w:t>
      </w:r>
      <w:r>
        <w:rPr>
          <w:color w:val="2B477B"/>
        </w:rPr>
        <w:t xml:space="preserve"> </w:t>
      </w:r>
      <w:r>
        <w:rPr>
          <w:rFonts w:ascii="Arial Unicode MS" w:eastAsia="Arial Unicode MS" w:hAnsi="Arial Unicode MS" w:cs="Arial Unicode MS"/>
          <w:color w:val="2B477B"/>
        </w:rPr>
        <w:t>orientadores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psiquiátrico</w:t>
      </w:r>
      <w:r>
        <w:rPr>
          <w:color w:val="2B477B"/>
        </w:rPr>
        <w:t xml:space="preserve"> </w:t>
      </w:r>
      <w:r>
        <w:rPr>
          <w:rFonts w:ascii="Arial Unicode MS" w:eastAsia="Arial Unicode MS" w:hAnsi="Arial Unicode MS" w:cs="Arial Unicode MS"/>
          <w:color w:val="2B477B"/>
        </w:rPr>
        <w:t>garante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dignidad</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precisamente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respeto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intimidad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autonomía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Caso</w:t>
      </w:r>
      <w:r>
        <w:rPr>
          <w:color w:val="2B477B"/>
        </w:rPr>
        <w:t xml:space="preserve"> </w:t>
      </w:r>
      <w:hyperlink r:id="rId54" w:history="1">
        <w:proofErr w:type="spellStart"/>
        <w:r>
          <w:rPr>
            <w:rStyle w:val="Hyperlink1"/>
            <w:rFonts w:ascii="Arial Unicode MS" w:eastAsia="Arial Unicode MS" w:hAnsi="Arial Unicode MS" w:cs="Arial Unicode MS"/>
            <w:u w:val="single"/>
          </w:rPr>
          <w:t>Ximenes</w:t>
        </w:r>
        <w:proofErr w:type="spellEnd"/>
        <w:r>
          <w:rPr>
            <w:rStyle w:val="Hyperlink1"/>
            <w:u w:val="single"/>
          </w:rPr>
          <w:t xml:space="preserve"> </w:t>
        </w:r>
        <w:proofErr w:type="spellStart"/>
        <w:r>
          <w:rPr>
            <w:rStyle w:val="Hyperlink1"/>
            <w:rFonts w:ascii="Arial Unicode MS" w:eastAsia="Arial Unicode MS" w:hAnsi="Arial Unicode MS" w:cs="Arial Unicode MS"/>
            <w:u w:val="single"/>
          </w:rPr>
          <w:t>Lopes</w:t>
        </w:r>
        <w:proofErr w:type="spellEnd"/>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Brasil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149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Furlán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toca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tangencialmente,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aproximación</w:t>
      </w:r>
      <w:r>
        <w:rPr>
          <w:color w:val="2B477B"/>
        </w:rPr>
        <w:t xml:space="preserve"> </w:t>
      </w:r>
      <w:r>
        <w:rPr>
          <w:rFonts w:ascii="Arial Unicode MS" w:eastAsia="Arial Unicode MS" w:hAnsi="Arial Unicode MS" w:cs="Arial Unicode MS"/>
          <w:color w:val="2B477B"/>
        </w:rPr>
        <w:t>interseccional.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fallo</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necesidad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interpretar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manera</w:t>
      </w:r>
      <w:r>
        <w:rPr>
          <w:color w:val="2B477B"/>
        </w:rPr>
        <w:t xml:space="preserve"> </w:t>
      </w:r>
      <w:r>
        <w:rPr>
          <w:rFonts w:ascii="Arial Unicode MS" w:eastAsia="Arial Unicode MS" w:hAnsi="Arial Unicode MS" w:cs="Arial Unicode MS"/>
          <w:color w:val="2B477B"/>
        </w:rPr>
        <w:t>conjunta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luz</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configurando</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importante</w:t>
      </w:r>
      <w:r>
        <w:rPr>
          <w:color w:val="2B477B"/>
        </w:rPr>
        <w:t xml:space="preserve"> </w:t>
      </w:r>
      <w:r>
        <w:rPr>
          <w:rFonts w:ascii="Arial Unicode MS" w:eastAsia="Arial Unicode MS" w:hAnsi="Arial Unicode MS" w:cs="Arial Unicode MS"/>
          <w:color w:val="2B477B"/>
        </w:rPr>
        <w:t>precedente.</w:t>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consideró</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violaciones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debían</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analizadas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función:</w:t>
      </w:r>
      <w:r>
        <w:rPr>
          <w:color w:val="2B477B"/>
        </w:rPr>
        <w:t xml:space="preserve"> </w:t>
      </w:r>
      <w:r>
        <w:rPr>
          <w:rFonts w:ascii="Arial Unicode MS" w:eastAsia="Arial Unicode MS" w:hAnsi="Arial Unicode MS" w:cs="Arial Unicode MS"/>
          <w:color w:val="2B477B"/>
        </w:rPr>
        <w:t>i)</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corpus</w:t>
      </w:r>
      <w:r>
        <w:rPr>
          <w:color w:val="2B477B"/>
        </w:rPr>
        <w:t xml:space="preserve"> </w:t>
      </w:r>
      <w:proofErr w:type="spellStart"/>
      <w:r>
        <w:rPr>
          <w:rFonts w:ascii="Arial Unicode MS" w:eastAsia="Arial Unicode MS" w:hAnsi="Arial Unicode MS" w:cs="Arial Unicode MS"/>
          <w:color w:val="2B477B"/>
        </w:rPr>
        <w:t>juris</w:t>
      </w:r>
      <w:proofErr w:type="spellEnd"/>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protección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infancia;</w:t>
      </w:r>
      <w:r>
        <w:rPr>
          <w:color w:val="2B477B"/>
        </w:rPr>
        <w:t xml:space="preserve"> </w:t>
      </w:r>
      <w:r>
        <w:rPr>
          <w:rFonts w:ascii="Arial Unicode MS" w:eastAsia="Arial Unicode MS" w:hAnsi="Arial Unicode MS" w:cs="Arial Unicode MS"/>
          <w:color w:val="2B477B"/>
        </w:rPr>
        <w:t>y</w:t>
      </w:r>
      <w:r>
        <w:rPr>
          <w:color w:val="2B477B"/>
        </w:rPr>
        <w:t xml:space="preserve"> </w:t>
      </w:r>
      <w:proofErr w:type="spellStart"/>
      <w:r>
        <w:rPr>
          <w:rFonts w:ascii="Arial Unicode MS" w:eastAsia="Arial Unicode MS" w:hAnsi="Arial Unicode MS" w:cs="Arial Unicode MS"/>
          <w:color w:val="2B477B"/>
        </w:rPr>
        <w:t>ii</w:t>
      </w:r>
      <w:proofErr w:type="spellEnd"/>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estándares</w:t>
      </w:r>
      <w:r>
        <w:rPr>
          <w:color w:val="2B477B"/>
        </w:rPr>
        <w:t xml:space="preserve"> </w:t>
      </w:r>
      <w:r>
        <w:rPr>
          <w:rFonts w:ascii="Arial Unicode MS" w:eastAsia="Arial Unicode MS" w:hAnsi="Arial Unicode MS" w:cs="Arial Unicode MS"/>
          <w:color w:val="2B477B"/>
        </w:rPr>
        <w:t>internacionales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protección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garantía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Puntualizó</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contiene</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importancia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demás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incluso,</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ajustes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procedimiento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adecuados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edad.</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5"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Furlán</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Familiares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31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246</w:t>
      </w:r>
      <w:r>
        <w:rPr>
          <w:rFonts w:ascii="Arial Unicode MS" w:eastAsia="Arial Unicode MS" w:hAnsi="Arial Unicode MS" w:cs="Arial Unicode MS"/>
          <w:color w:val="2B477B"/>
        </w:rPr>
        <w:t>.</w:t>
      </w:r>
    </w:p>
  </w:footnote>
  <w:footnote w:id="44">
    <w:p w14:paraId="06BF866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Declaración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Retrasado</w:t>
      </w:r>
      <w:r>
        <w:rPr>
          <w:color w:val="2B477B"/>
        </w:rPr>
        <w:t xml:space="preserve"> </w:t>
      </w:r>
      <w:r>
        <w:rPr>
          <w:rFonts w:ascii="Arial Unicode MS" w:eastAsia="Arial Unicode MS" w:hAnsi="Arial Unicode MS" w:cs="Arial Unicode MS"/>
          <w:color w:val="2B477B"/>
        </w:rPr>
        <w:t>Mental,</w:t>
      </w:r>
      <w:r>
        <w:rPr>
          <w:color w:val="2B477B"/>
        </w:rPr>
        <w:t xml:space="preserve"> </w:t>
      </w:r>
      <w:hyperlink r:id="rId56" w:history="1">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2856 </w:t>
        </w:r>
        <w:r>
          <w:rPr>
            <w:rFonts w:ascii="Arial Unicode MS" w:eastAsia="Arial Unicode MS" w:hAnsi="Arial Unicode MS" w:cs="Arial Unicode MS"/>
            <w:color w:val="2B477B"/>
          </w:rPr>
          <w:t>(XXVI),</w:t>
        </w:r>
      </w:hyperlink>
      <w:r>
        <w:rPr>
          <w:color w:val="2B477B"/>
        </w:rPr>
        <w:t xml:space="preserve"> </w:t>
      </w:r>
      <w:r>
        <w:rPr>
          <w:rFonts w:ascii="Arial Unicode MS" w:eastAsia="Arial Unicode MS" w:hAnsi="Arial Unicode MS" w:cs="Arial Unicode MS"/>
          <w:color w:val="2B477B"/>
        </w:rPr>
        <w:t>de</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1971</w:t>
      </w:r>
      <w:r>
        <w:rPr>
          <w:rFonts w:ascii="Arial Unicode MS" w:eastAsia="Arial Unicode MS" w:hAnsi="Arial Unicode MS" w:cs="Arial Unicode MS"/>
          <w:color w:val="2B477B"/>
        </w:rPr>
        <w:t>.</w:t>
      </w:r>
    </w:p>
  </w:footnote>
  <w:footnote w:id="45">
    <w:p w14:paraId="7C92CA4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Declaración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Impedidos,</w:t>
      </w:r>
      <w:r>
        <w:rPr>
          <w:color w:val="2B477B"/>
        </w:rPr>
        <w:t xml:space="preserve"> </w:t>
      </w:r>
      <w:hyperlink r:id="rId57" w:history="1">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3447 </w:t>
        </w:r>
        <w:r>
          <w:rPr>
            <w:rFonts w:ascii="Arial Unicode MS" w:eastAsia="Arial Unicode MS" w:hAnsi="Arial Unicode MS" w:cs="Arial Unicode MS"/>
            <w:color w:val="2B477B"/>
          </w:rPr>
          <w:t>(XXX)</w:t>
        </w:r>
      </w:hyperlink>
      <w:r>
        <w:rPr>
          <w:color w:val="2B477B"/>
        </w:rPr>
        <w:t xml:space="preserve"> </w:t>
      </w:r>
      <w:r>
        <w:rPr>
          <w:rFonts w:ascii="Arial Unicode MS" w:eastAsia="Arial Unicode MS" w:hAnsi="Arial Unicode MS" w:cs="Arial Unicode MS"/>
          <w:color w:val="2B477B"/>
        </w:rPr>
        <w:t>de</w:t>
      </w:r>
      <w:r>
        <w:rPr>
          <w:color w:val="2B477B"/>
        </w:rPr>
        <w:t xml:space="preserve"> 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1975</w:t>
      </w:r>
      <w:r>
        <w:rPr>
          <w:rFonts w:ascii="Arial Unicode MS" w:eastAsia="Arial Unicode MS" w:hAnsi="Arial Unicode MS" w:cs="Arial Unicode MS"/>
          <w:color w:val="2B477B"/>
        </w:rPr>
        <w:t>.</w:t>
      </w:r>
    </w:p>
  </w:footnote>
  <w:footnote w:id="46">
    <w:p w14:paraId="2666982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58" w:history="1">
        <w:r>
          <w:rPr>
            <w:rFonts w:ascii="Arial Unicode MS" w:eastAsia="Arial Unicode MS" w:hAnsi="Arial Unicode MS" w:cs="Arial Unicode MS"/>
            <w:color w:val="2B477B"/>
          </w:rPr>
          <w:t>Declaración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Impedidos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1</w:t>
      </w:r>
      <w:r>
        <w:rPr>
          <w:rFonts w:ascii="Arial Unicode MS" w:eastAsia="Arial Unicode MS" w:hAnsi="Arial Unicode MS" w:cs="Arial Unicode MS"/>
          <w:color w:val="2B477B"/>
        </w:rPr>
        <w:t>.</w:t>
      </w:r>
    </w:p>
  </w:footnote>
  <w:footnote w:id="47">
    <w:p w14:paraId="48E7D6FA"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59" w:history="1">
        <w:r>
          <w:rPr>
            <w:rFonts w:ascii="Arial Unicode MS" w:eastAsia="Arial Unicode MS" w:hAnsi="Arial Unicode MS" w:cs="Arial Unicode MS"/>
            <w:color w:val="2B477B"/>
          </w:rPr>
          <w:t>Declaración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Retrasado</w:t>
        </w:r>
        <w:r>
          <w:rPr>
            <w:color w:val="2B477B"/>
          </w:rPr>
          <w:t xml:space="preserve"> </w:t>
        </w:r>
        <w:r>
          <w:rPr>
            <w:rFonts w:ascii="Arial Unicode MS" w:eastAsia="Arial Unicode MS" w:hAnsi="Arial Unicode MS" w:cs="Arial Unicode MS"/>
            <w:color w:val="2B477B"/>
          </w:rPr>
          <w:t>Mental</w:t>
        </w:r>
      </w:hyperlink>
      <w:r>
        <w:rPr>
          <w:rFonts w:ascii="Arial Unicode MS" w:eastAsia="Arial Unicode MS" w:hAnsi="Arial Unicode MS" w:cs="Arial Unicode MS"/>
          <w:color w:val="2B477B"/>
        </w:rPr>
        <w:t>,</w:t>
      </w:r>
      <w:r>
        <w:rPr>
          <w:color w:val="2B477B"/>
        </w:rPr>
        <w:t xml:space="preserve"> </w:t>
      </w:r>
      <w:hyperlink r:id="rId60" w:history="1">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2856 </w:t>
        </w:r>
        <w:r>
          <w:rPr>
            <w:rFonts w:ascii="Arial Unicode MS" w:eastAsia="Arial Unicode MS" w:hAnsi="Arial Unicode MS" w:cs="Arial Unicode MS"/>
            <w:color w:val="2B477B"/>
          </w:rPr>
          <w:t>(XXVI),</w:t>
        </w:r>
      </w:hyperlink>
      <w:r>
        <w:rPr>
          <w:color w:val="2B477B"/>
        </w:rPr>
        <w:t xml:space="preserve"> </w:t>
      </w:r>
      <w:r>
        <w:rPr>
          <w:rFonts w:ascii="Arial Unicode MS" w:eastAsia="Arial Unicode MS" w:hAnsi="Arial Unicode MS" w:cs="Arial Unicode MS"/>
          <w:color w:val="2B477B"/>
        </w:rPr>
        <w:t>de</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1971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w:t>
      </w:r>
      <w:r>
        <w:rPr>
          <w:rFonts w:ascii="Arial Unicode MS" w:eastAsia="Arial Unicode MS" w:hAnsi="Arial Unicode MS" w:cs="Arial Unicode MS"/>
          <w:color w:val="2B477B"/>
        </w:rPr>
        <w:t>.</w:t>
      </w:r>
    </w:p>
  </w:footnote>
  <w:footnote w:id="48">
    <w:p w14:paraId="012F014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w:t>
      </w:r>
      <w:r>
        <w:rPr>
          <w:color w:val="2B477B"/>
        </w:rPr>
        <w:t xml:space="preserve"> </w:t>
      </w:r>
      <w:r>
        <w:rPr>
          <w:rFonts w:ascii="Arial Unicode MS" w:eastAsia="Arial Unicode MS" w:hAnsi="Arial Unicode MS" w:cs="Arial Unicode MS"/>
          <w:color w:val="2B477B"/>
        </w:rPr>
        <w:t>la</w:t>
      </w:r>
      <w:r>
        <w:rPr>
          <w:color w:val="2B477B"/>
        </w:rPr>
        <w:t xml:space="preserve"> </w:t>
      </w:r>
      <w:hyperlink r:id="rId61" w:history="1">
        <w:r>
          <w:rPr>
            <w:rFonts w:ascii="Arial Unicode MS" w:eastAsia="Arial Unicode MS" w:hAnsi="Arial Unicode MS" w:cs="Arial Unicode MS"/>
            <w:color w:val="2B477B"/>
          </w:rPr>
          <w:t>Declaración</w:t>
        </w:r>
        <w:r>
          <w:rPr>
            <w:color w:val="2B477B"/>
          </w:rPr>
          <w:t xml:space="preserve"> </w:t>
        </w:r>
        <w:r>
          <w:rPr>
            <w:rFonts w:ascii="Arial Unicode MS" w:eastAsia="Arial Unicode MS" w:hAnsi="Arial Unicode MS" w:cs="Arial Unicode MS"/>
            <w:color w:val="2B477B"/>
          </w:rPr>
          <w:t>Universal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el</w:t>
      </w:r>
      <w:r>
        <w:rPr>
          <w:color w:val="2B477B"/>
        </w:rPr>
        <w:t xml:space="preserve"> 10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1948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62" w:history="1">
        <w:r>
          <w:rPr>
            <w:rFonts w:ascii="Arial Unicode MS" w:eastAsia="Arial Unicode MS" w:hAnsi="Arial Unicode MS" w:cs="Arial Unicode MS"/>
            <w:color w:val="2B477B"/>
          </w:rPr>
          <w:t>Pacto</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Civiles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Políticos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63" w:history="1">
        <w:r>
          <w:rPr>
            <w:rFonts w:ascii="Arial Unicode MS" w:eastAsia="Arial Unicode MS" w:hAnsi="Arial Unicode MS" w:cs="Arial Unicode MS"/>
            <w:color w:val="2B477B"/>
          </w:rPr>
          <w:t>Pacto</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Económicos,</w:t>
        </w:r>
        <w:r>
          <w:rPr>
            <w:color w:val="2B477B"/>
          </w:rPr>
          <w:t xml:space="preserve"> </w:t>
        </w:r>
        <w:r>
          <w:rPr>
            <w:rFonts w:ascii="Arial Unicode MS" w:eastAsia="Arial Unicode MS" w:hAnsi="Arial Unicode MS" w:cs="Arial Unicode MS"/>
            <w:color w:val="2B477B"/>
          </w:rPr>
          <w:t>Sociales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Culturales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adoptados</w:t>
      </w:r>
      <w:r>
        <w:rPr>
          <w:color w:val="2B477B"/>
        </w:rPr>
        <w:t xml:space="preserve"> </w:t>
      </w:r>
      <w:r>
        <w:rPr>
          <w:rFonts w:ascii="Arial Unicode MS" w:eastAsia="Arial Unicode MS" w:hAnsi="Arial Unicode MS" w:cs="Arial Unicode MS"/>
          <w:color w:val="2B477B"/>
        </w:rPr>
        <w:t>conjuntamente</w:t>
      </w:r>
      <w:r>
        <w:rPr>
          <w:color w:val="2B477B"/>
        </w:rPr>
        <w:t xml:space="preserve"> </w:t>
      </w:r>
      <w:r>
        <w:rPr>
          <w:rFonts w:ascii="Arial Unicode MS" w:eastAsia="Arial Unicode MS" w:hAnsi="Arial Unicode MS" w:cs="Arial Unicode MS"/>
          <w:color w:val="2B477B"/>
        </w:rPr>
        <w:t>el</w:t>
      </w:r>
      <w:r>
        <w:rPr>
          <w:color w:val="2B477B"/>
        </w:rPr>
        <w:t xml:space="preserve"> 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1966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desde</w:t>
      </w:r>
      <w:r>
        <w:rPr>
          <w:color w:val="2B477B"/>
        </w:rPr>
        <w:t xml:space="preserve"> </w:t>
      </w:r>
      <w:r>
        <w:rPr>
          <w:rFonts w:ascii="Arial Unicode MS" w:eastAsia="Arial Unicode MS" w:hAnsi="Arial Unicode MS" w:cs="Arial Unicode MS"/>
          <w:color w:val="2B477B"/>
        </w:rPr>
        <w:t>el</w:t>
      </w:r>
      <w:r>
        <w:rPr>
          <w:color w:val="2B477B"/>
        </w:rPr>
        <w:t xml:space="preserve"> 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enero</w:t>
      </w:r>
      <w:r>
        <w:rPr>
          <w:color w:val="2B477B"/>
        </w:rPr>
        <w:t xml:space="preserve"> </w:t>
      </w:r>
      <w:r>
        <w:rPr>
          <w:rFonts w:ascii="Arial Unicode MS" w:eastAsia="Arial Unicode MS" w:hAnsi="Arial Unicode MS" w:cs="Arial Unicode MS"/>
          <w:color w:val="2B477B"/>
        </w:rPr>
        <w:t>de</w:t>
      </w:r>
      <w:r>
        <w:rPr>
          <w:color w:val="2B477B"/>
        </w:rPr>
        <w:t xml:space="preserve"> 1976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23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1976 </w:t>
      </w:r>
      <w:r>
        <w:rPr>
          <w:rFonts w:ascii="Arial Unicode MS" w:eastAsia="Arial Unicode MS" w:hAnsi="Arial Unicode MS" w:cs="Arial Unicode MS"/>
          <w:color w:val="2B477B"/>
        </w:rPr>
        <w:t>respectivamente;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4" w:history="1">
        <w:r>
          <w:rPr>
            <w:rFonts w:ascii="Arial Unicode MS" w:eastAsia="Arial Unicode MS" w:hAnsi="Arial Unicode MS" w:cs="Arial Unicode MS"/>
            <w:color w:val="2B477B"/>
          </w:rPr>
          <w:t>CADH</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el</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1969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el</w:t>
      </w:r>
      <w:r>
        <w:rPr>
          <w:color w:val="2B477B"/>
        </w:rPr>
        <w:t xml:space="preserve"> 18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1978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65" w:history="1">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Adicional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Americana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Económicos,</w:t>
        </w:r>
        <w:r>
          <w:rPr>
            <w:color w:val="2B477B"/>
          </w:rPr>
          <w:t xml:space="preserve"> </w:t>
        </w:r>
        <w:r>
          <w:rPr>
            <w:rFonts w:ascii="Arial Unicode MS" w:eastAsia="Arial Unicode MS" w:hAnsi="Arial Unicode MS" w:cs="Arial Unicode MS"/>
            <w:color w:val="2B477B"/>
          </w:rPr>
          <w:t>Sociales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Culturales</w:t>
        </w:r>
        <w:r>
          <w:rPr>
            <w:color w:val="2B477B"/>
          </w:rPr>
          <w:t xml:space="preserve"> </w:t>
        </w:r>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San</w:t>
        </w:r>
        <w:r>
          <w:rPr>
            <w:color w:val="2B477B"/>
          </w:rPr>
          <w:t xml:space="preserve"> </w:t>
        </w:r>
        <w:r>
          <w:rPr>
            <w:rFonts w:ascii="Arial Unicode MS" w:eastAsia="Arial Unicode MS" w:hAnsi="Arial Unicode MS" w:cs="Arial Unicode MS"/>
            <w:color w:val="2B477B"/>
          </w:rPr>
          <w:t>Salvador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adoptado</w:t>
      </w:r>
      <w:r>
        <w:rPr>
          <w:color w:val="2B477B"/>
        </w:rPr>
        <w:t xml:space="preserve"> </w:t>
      </w:r>
      <w:r>
        <w:rPr>
          <w:rFonts w:ascii="Arial Unicode MS" w:eastAsia="Arial Unicode MS" w:hAnsi="Arial Unicode MS" w:cs="Arial Unicode MS"/>
          <w:color w:val="2B477B"/>
        </w:rPr>
        <w:t>el</w:t>
      </w:r>
      <w:r>
        <w:rPr>
          <w:color w:val="2B477B"/>
        </w:rPr>
        <w:t xml:space="preserve"> 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1988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el</w:t>
      </w:r>
      <w:r>
        <w:rPr>
          <w:color w:val="2B477B"/>
        </w:rPr>
        <w:t xml:space="preserve"> 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hyperlink r:id="rId66" w:history="1">
        <w:r>
          <w:rPr>
            <w:rFonts w:ascii="Arial Unicode MS" w:eastAsia="Arial Unicode MS" w:hAnsi="Arial Unicode MS" w:cs="Arial Unicode MS"/>
            <w:color w:val="2B477B"/>
          </w:rPr>
          <w:t>Convención</w:t>
        </w:r>
      </w:hyperlink>
      <w:hyperlink r:id="rId67" w:history="1">
        <w:r>
          <w:rPr>
            <w:color w:val="2B477B"/>
          </w:rPr>
          <w:t> </w:t>
        </w:r>
        <w:r>
          <w:rPr>
            <w:rFonts w:ascii="Arial Unicode MS" w:eastAsia="Arial Unicode MS" w:hAnsi="Arial Unicode MS" w:cs="Arial Unicode MS"/>
            <w:color w:val="2B477B"/>
          </w:rPr>
          <w:t>Interamericana</w:t>
        </w:r>
        <w:r>
          <w:rPr>
            <w:color w:val="2B477B"/>
          </w:rPr>
          <w:t> </w:t>
        </w:r>
      </w:hyperlink>
      <w:hyperlink r:id="rId68" w:history="1">
        <w:r>
          <w:rPr>
            <w:rFonts w:ascii="Arial Unicode MS" w:eastAsia="Arial Unicode MS" w:hAnsi="Arial Unicode MS" w:cs="Arial Unicode MS"/>
            <w:color w:val="2B477B"/>
          </w:rPr>
          <w:t>para</w:t>
        </w:r>
      </w:hyperlink>
      <w:hyperlink r:id="rId69" w:history="1">
        <w:r>
          <w:rPr>
            <w:color w:val="2B477B"/>
          </w:rPr>
          <w:t> </w:t>
        </w:r>
        <w:r>
          <w:rPr>
            <w:rFonts w:ascii="Arial Unicode MS" w:eastAsia="Arial Unicode MS" w:hAnsi="Arial Unicode MS" w:cs="Arial Unicode MS"/>
            <w:color w:val="2B477B"/>
          </w:rPr>
          <w:t>Prevenir,</w:t>
        </w:r>
        <w:r>
          <w:rPr>
            <w:color w:val="2B477B"/>
          </w:rPr>
          <w:t xml:space="preserve"> </w:t>
        </w:r>
        <w:r>
          <w:rPr>
            <w:rFonts w:ascii="Arial Unicode MS" w:eastAsia="Arial Unicode MS" w:hAnsi="Arial Unicode MS" w:cs="Arial Unicode MS"/>
            <w:color w:val="2B477B"/>
          </w:rPr>
          <w:t>Sancionar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Erradicar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Violencia</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Mujer,</w:t>
        </w:r>
        <w:r>
          <w:rPr>
            <w:color w:val="2B477B"/>
          </w:rPr>
          <w:t xml:space="preserve"> </w:t>
        </w:r>
        <w:r>
          <w:rPr>
            <w:rFonts w:ascii="Arial Unicode MS" w:eastAsia="Arial Unicode MS" w:hAnsi="Arial Unicode MS" w:cs="Arial Unicode MS"/>
            <w:color w:val="2B477B"/>
          </w:rPr>
          <w:t>conocida</w:t>
        </w:r>
        <w:r>
          <w:rPr>
            <w:color w:val="2B477B"/>
          </w:rPr>
          <w:t xml:space="preserve"> </w:t>
        </w:r>
        <w:r>
          <w:rPr>
            <w:rFonts w:ascii="Arial Unicode MS" w:eastAsia="Arial Unicode MS" w:hAnsi="Arial Unicode MS" w:cs="Arial Unicode MS"/>
            <w:color w:val="2B477B"/>
          </w:rPr>
          <w:t>como</w:t>
        </w:r>
        <w:r>
          <w:rPr>
            <w:color w:val="2B477B"/>
          </w:rPr>
          <w:t> </w:t>
        </w:r>
      </w:hyperlink>
      <w:hyperlink r:id="rId70"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Belém</w:t>
        </w:r>
        <w:r>
          <w:rPr>
            <w:color w:val="2B477B"/>
          </w:rPr>
          <w:t xml:space="preserve"> </w:t>
        </w:r>
        <w:r>
          <w:rPr>
            <w:rFonts w:ascii="Arial Unicode MS" w:eastAsia="Arial Unicode MS" w:hAnsi="Arial Unicode MS" w:cs="Arial Unicode MS"/>
            <w:color w:val="2B477B"/>
          </w:rPr>
          <w:t>do</w:t>
        </w:r>
        <w:r>
          <w:rPr>
            <w:color w:val="2B477B"/>
          </w:rPr>
          <w:t xml:space="preserve"> </w:t>
        </w:r>
        <w:r>
          <w:rPr>
            <w:rFonts w:ascii="Arial Unicode MS" w:eastAsia="Arial Unicode MS" w:hAnsi="Arial Unicode MS" w:cs="Arial Unicode MS"/>
            <w:color w:val="2B477B"/>
          </w:rPr>
          <w:t>Pará</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1994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1995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artículo</w:t>
      </w:r>
      <w:r>
        <w:rPr>
          <w:color w:val="2B477B"/>
        </w:rPr>
        <w:t xml:space="preserve"> 9 </w:t>
      </w:r>
      <w:r>
        <w:rPr>
          <w:rFonts w:ascii="Arial Unicode MS" w:eastAsia="Arial Unicode MS" w:hAnsi="Arial Unicode MS" w:cs="Arial Unicode MS"/>
          <w:color w:val="2B477B"/>
        </w:rPr>
        <w:t>menciona</w:t>
      </w:r>
      <w:r>
        <w:rPr>
          <w:color w:val="2B477B"/>
        </w:rPr>
        <w:t xml:space="preserve"> </w:t>
      </w:r>
      <w:r>
        <w:rPr>
          <w:rFonts w:ascii="Arial Unicode MS" w:eastAsia="Arial Unicode MS" w:hAnsi="Arial Unicode MS" w:cs="Arial Unicode MS"/>
          <w:color w:val="2B477B"/>
        </w:rPr>
        <w:t>específicamente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hyperlink r:id="rId71"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Interamericana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Eliminación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todas</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Formas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contra</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Style w:val="Hyperlink1"/>
          <w:u w:val="single"/>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1999</w:t>
      </w:r>
      <w:r>
        <w:rPr>
          <w:rFonts w:ascii="Arial Unicode MS" w:eastAsia="Arial Unicode MS" w:hAnsi="Arial Unicode MS" w:cs="Arial Unicode MS"/>
          <w:color w:val="2B477B"/>
        </w:rPr>
        <w:t>.</w:t>
      </w:r>
      <w:r>
        <w:rPr>
          <w:color w:val="2B477B"/>
        </w:rPr>
        <w:t xml:space="preserve"> </w:t>
      </w:r>
    </w:p>
  </w:footnote>
  <w:footnote w:id="49">
    <w:p w14:paraId="034FB23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72" w:history="1">
        <w:r>
          <w:rPr>
            <w:rFonts w:ascii="Arial Unicode MS" w:eastAsia="Arial Unicode MS" w:hAnsi="Arial Unicode MS" w:cs="Arial Unicode MS"/>
            <w:color w:val="2B477B"/>
          </w:rPr>
          <w:t>C</w:t>
        </w:r>
      </w:hyperlink>
      <w:hyperlink r:id="rId73" w:history="1">
        <w:r>
          <w:rPr>
            <w:rFonts w:ascii="Arial Unicode MS" w:eastAsia="Arial Unicode MS" w:hAnsi="Arial Unicode MS" w:cs="Arial Unicode MS"/>
            <w:color w:val="2B477B"/>
          </w:rPr>
          <w:t>onvención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w:t>
        </w:r>
      </w:hyperlink>
      <w:hyperlink r:id="rId74" w:history="1">
        <w:r>
          <w:rPr>
            <w:rFonts w:ascii="Arial Unicode MS" w:eastAsia="Arial Unicode MS" w:hAnsi="Arial Unicode MS" w:cs="Arial Unicode MS"/>
            <w:color w:val="2B477B"/>
          </w:rPr>
          <w:t>DPD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partir</w:t>
      </w:r>
      <w:r>
        <w:rPr>
          <w:color w:val="2B477B"/>
        </w:rPr>
        <w:t xml:space="preserve"> </w:t>
      </w:r>
      <w:r>
        <w:rPr>
          <w:rFonts w:ascii="Arial Unicode MS" w:eastAsia="Arial Unicode MS" w:hAnsi="Arial Unicode MS" w:cs="Arial Unicode MS"/>
          <w:color w:val="2B477B"/>
        </w:rPr>
        <w:t>del</w:t>
      </w:r>
      <w:r>
        <w:rPr>
          <w:color w:val="2B477B"/>
        </w:rPr>
        <w:t xml:space="preserve"> 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w:t>
      </w:r>
    </w:p>
  </w:footnote>
  <w:footnote w:id="50">
    <w:p w14:paraId="2374CA2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p>
  </w:footnote>
  <w:footnote w:id="51">
    <w:p w14:paraId="527B841B" w14:textId="77777777" w:rsidR="001A105D" w:rsidRDefault="00000000">
      <w:pPr>
        <w:pStyle w:val="Body"/>
        <w:jc w:val="left"/>
      </w:pPr>
      <w:r>
        <w:rPr>
          <w:color w:val="2B477B"/>
          <w:vertAlign w:val="superscript"/>
        </w:rPr>
        <w:footnoteRef/>
      </w:r>
      <w:r>
        <w:rPr>
          <w:color w:val="2B477B"/>
        </w:rPr>
        <w:t xml:space="preserve"> </w:t>
      </w:r>
      <w:hyperlink r:id="rId75" w:history="1">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Fonts w:ascii="Arial Unicode MS" w:eastAsia="Arial Unicode MS" w:hAnsi="Arial Unicode MS" w:cs="Arial Unicode MS"/>
            <w:color w:val="2B477B"/>
          </w:rPr>
          <w:t>CDPD</w:t>
        </w:r>
        <w:r>
          <w:rPr>
            <w:rStyle w:val="Hyperlink1"/>
            <w:rFonts w:ascii="Arial Unicode MS" w:eastAsia="Arial Unicode MS" w:hAnsi="Arial Unicode MS" w:cs="Arial Unicode MS"/>
            <w:u w:val="single"/>
          </w:rPr>
          <w:t>,</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párrafo</w:t>
      </w:r>
      <w:r>
        <w:rPr>
          <w:color w:val="2B477B"/>
        </w:rPr>
        <w:t xml:space="preserve"> </w:t>
      </w:r>
      <w:r>
        <w:rPr>
          <w:rFonts w:ascii="Arial Unicode MS" w:eastAsia="Arial Unicode MS" w:hAnsi="Arial Unicode MS" w:cs="Arial Unicode MS"/>
          <w:color w:val="2B477B"/>
        </w:rPr>
        <w:t>tercero,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w:t>
      </w:r>
      <w:r>
        <w:rPr>
          <w:color w:val="2B477B"/>
        </w:rPr>
        <w:t xml:space="preserve"> 33</w:t>
      </w:r>
      <w:r>
        <w:rPr>
          <w:rFonts w:ascii="Arial Unicode MS" w:eastAsia="Arial Unicode MS" w:hAnsi="Arial Unicode MS" w:cs="Arial Unicode MS"/>
          <w:color w:val="2B477B"/>
        </w:rPr>
        <w:t>.</w:t>
      </w:r>
    </w:p>
  </w:footnote>
  <w:footnote w:id="52">
    <w:p w14:paraId="6787D3C3" w14:textId="77777777" w:rsidR="001A105D" w:rsidRDefault="00000000">
      <w:pPr>
        <w:pStyle w:val="Body"/>
        <w:jc w:val="left"/>
      </w:pPr>
      <w:r>
        <w:rPr>
          <w:color w:val="2B477B"/>
          <w:vertAlign w:val="superscript"/>
        </w:rPr>
        <w:footnoteRef/>
      </w:r>
      <w:r>
        <w:rPr>
          <w:color w:val="2B477B"/>
        </w:rPr>
        <w:t xml:space="preserve"> </w:t>
      </w:r>
      <w:hyperlink r:id="rId76" w:history="1">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Fonts w:ascii="Arial Unicode MS" w:eastAsia="Arial Unicode MS" w:hAnsi="Arial Unicode MS" w:cs="Arial Unicode MS"/>
            <w:color w:val="2B477B"/>
          </w:rPr>
          <w:t>CDPD</w:t>
        </w:r>
        <w:r>
          <w:rPr>
            <w:rStyle w:val="Hyperlink1"/>
            <w:rFonts w:ascii="Arial Unicode MS" w:eastAsia="Arial Unicode MS" w:hAnsi="Arial Unicode MS" w:cs="Arial Unicode MS"/>
            <w:u w:val="single"/>
          </w:rPr>
          <w:t>,</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34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Oficina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Alto</w:t>
      </w:r>
      <w:r>
        <w:rPr>
          <w:color w:val="2B477B"/>
        </w:rPr>
        <w:t xml:space="preserve"> </w:t>
      </w:r>
      <w:r>
        <w:rPr>
          <w:rFonts w:ascii="Arial Unicode MS" w:eastAsia="Arial Unicode MS" w:hAnsi="Arial Unicode MS" w:cs="Arial Unicode MS"/>
          <w:color w:val="2B477B"/>
        </w:rPr>
        <w:t>Comisionado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Órganos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Tratados,</w:t>
      </w:r>
      <w:r>
        <w:rPr>
          <w:color w:val="2B477B"/>
        </w:rPr>
        <w:t xml:space="preserve"> </w:t>
      </w:r>
      <w:hyperlink r:id="rId77" w:history="1">
        <w:r>
          <w:rPr>
            <w:rStyle w:val="Hyperlink1"/>
            <w:rFonts w:ascii="Arial Unicode MS" w:eastAsia="Arial Unicode MS" w:hAnsi="Arial Unicode MS" w:cs="Arial Unicode MS"/>
            <w:u w:val="single"/>
          </w:rPr>
          <w:t>Comité</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p>
  </w:footnote>
  <w:footnote w:id="53">
    <w:p w14:paraId="60D3E12A" w14:textId="77777777" w:rsidR="001A105D" w:rsidRDefault="00000000">
      <w:pPr>
        <w:pStyle w:val="Body"/>
        <w:jc w:val="left"/>
      </w:pPr>
      <w:r>
        <w:rPr>
          <w:color w:val="2B477B"/>
          <w:vertAlign w:val="superscript"/>
        </w:rPr>
        <w:footnoteRef/>
      </w:r>
      <w:r>
        <w:rPr>
          <w:color w:val="2B477B"/>
        </w:rPr>
        <w:t xml:space="preserve"> </w:t>
      </w:r>
      <w:hyperlink r:id="rId78" w:history="1">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CDPD,</w:t>
        </w:r>
        <w:r>
          <w:rPr>
            <w:rStyle w:val="Hyperlink1"/>
            <w:u w:val="single"/>
          </w:rPr>
          <w:t xml:space="preserve"> </w:t>
        </w:r>
        <w:r>
          <w:rPr>
            <w:rStyle w:val="Hyperlink1"/>
            <w:rFonts w:ascii="Arial Unicode MS" w:eastAsia="Arial Unicode MS" w:hAnsi="Arial Unicode MS" w:cs="Arial Unicode MS"/>
            <w:u w:val="single"/>
          </w:rPr>
          <w:t>ya</w:t>
        </w:r>
        <w:r>
          <w:rPr>
            <w:rStyle w:val="Hyperlink1"/>
            <w:u w:val="single"/>
          </w:rPr>
          <w:t xml:space="preserve"> </w:t>
        </w:r>
        <w:r>
          <w:rPr>
            <w:rStyle w:val="Hyperlink1"/>
            <w:rFonts w:ascii="Arial Unicode MS" w:eastAsia="Arial Unicode MS" w:hAnsi="Arial Unicode MS" w:cs="Arial Unicode MS"/>
            <w:u w:val="single"/>
          </w:rPr>
          <w:t>citada,</w:t>
        </w:r>
      </w:hyperlink>
      <w:r>
        <w:rPr>
          <w:color w:val="2B477B"/>
        </w:rPr>
        <w:t xml:space="preserve"> </w:t>
      </w:r>
      <w:r>
        <w:rPr>
          <w:rFonts w:ascii="Arial Unicode MS" w:eastAsia="Arial Unicode MS" w:hAnsi="Arial Unicode MS" w:cs="Arial Unicode MS"/>
          <w:color w:val="2B477B"/>
        </w:rPr>
        <w:t>art.</w:t>
      </w:r>
      <w:r>
        <w:rPr>
          <w:color w:val="2B477B"/>
        </w:rPr>
        <w:t xml:space="preserve"> 35</w:t>
      </w:r>
      <w:r>
        <w:rPr>
          <w:rFonts w:ascii="Arial Unicode MS" w:eastAsia="Arial Unicode MS" w:hAnsi="Arial Unicode MS" w:cs="Arial Unicode MS"/>
          <w:color w:val="2B477B"/>
        </w:rPr>
        <w:t>.</w:t>
      </w:r>
      <w:r>
        <w:rPr>
          <w:color w:val="2B477B"/>
        </w:rPr>
        <w:t xml:space="preserve"> </w:t>
      </w:r>
    </w:p>
  </w:footnote>
  <w:footnote w:id="54">
    <w:p w14:paraId="3B71F5BB" w14:textId="77777777" w:rsidR="001A105D" w:rsidRDefault="00000000">
      <w:pPr>
        <w:pStyle w:val="Body"/>
        <w:jc w:val="left"/>
      </w:pPr>
      <w:r>
        <w:rPr>
          <w:color w:val="2B477B"/>
          <w:vertAlign w:val="superscript"/>
        </w:rPr>
        <w:footnoteRef/>
      </w:r>
      <w:r>
        <w:rPr>
          <w:color w:val="2B477B"/>
          <w:vertAlign w:val="superscript"/>
        </w:rPr>
        <w:t xml:space="preserve"> </w:t>
      </w:r>
      <w:hyperlink r:id="rId79" w:history="1">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CDPD,</w:t>
        </w:r>
        <w:r>
          <w:rPr>
            <w:rStyle w:val="Hyperlink1"/>
            <w:u w:val="single"/>
          </w:rPr>
          <w:t xml:space="preserve"> </w:t>
        </w:r>
        <w:r>
          <w:rPr>
            <w:rStyle w:val="Hyperlink1"/>
            <w:rFonts w:ascii="Arial Unicode MS" w:eastAsia="Arial Unicode MS" w:hAnsi="Arial Unicode MS" w:cs="Arial Unicode MS"/>
            <w:u w:val="single"/>
          </w:rPr>
          <w:t>ya</w:t>
        </w:r>
        <w:r>
          <w:rPr>
            <w:rStyle w:val="Hyperlink1"/>
            <w:u w:val="single"/>
          </w:rPr>
          <w:t xml:space="preserve"> </w:t>
        </w:r>
        <w:r>
          <w:rPr>
            <w:rStyle w:val="Hyperlink1"/>
            <w:rFonts w:ascii="Arial Unicode MS" w:eastAsia="Arial Unicode MS" w:hAnsi="Arial Unicode MS" w:cs="Arial Unicode MS"/>
            <w:u w:val="single"/>
          </w:rPr>
          <w:t>citada,</w:t>
        </w:r>
      </w:hyperlink>
      <w:r>
        <w:rPr>
          <w:color w:val="2B477B"/>
        </w:rPr>
        <w:t xml:space="preserve"> </w:t>
      </w:r>
      <w:r>
        <w:rPr>
          <w:rFonts w:ascii="Arial Unicode MS" w:eastAsia="Arial Unicode MS" w:hAnsi="Arial Unicode MS" w:cs="Arial Unicode MS"/>
          <w:color w:val="2B477B"/>
        </w:rPr>
        <w:t>arts.</w:t>
      </w:r>
      <w:r>
        <w:rPr>
          <w:color w:val="2B477B"/>
        </w:rPr>
        <w:t xml:space="preserve"> 36</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Oficina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Alto</w:t>
      </w:r>
      <w:r>
        <w:rPr>
          <w:color w:val="2B477B"/>
        </w:rPr>
        <w:t xml:space="preserve"> </w:t>
      </w:r>
      <w:r>
        <w:rPr>
          <w:rFonts w:ascii="Arial Unicode MS" w:eastAsia="Arial Unicode MS" w:hAnsi="Arial Unicode MS" w:cs="Arial Unicode MS"/>
          <w:color w:val="2B477B"/>
        </w:rPr>
        <w:t>Comisionado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Órganos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Tratados,</w:t>
      </w:r>
      <w:r>
        <w:rPr>
          <w:color w:val="2B477B"/>
        </w:rPr>
        <w:t xml:space="preserve"> </w:t>
      </w:r>
      <w:hyperlink r:id="rId80" w:history="1">
        <w:r>
          <w:rPr>
            <w:rStyle w:val="Hyperlink1"/>
            <w:rFonts w:ascii="Arial Unicode MS" w:eastAsia="Arial Unicode MS" w:hAnsi="Arial Unicode MS" w:cs="Arial Unicode MS"/>
            <w:u w:val="single"/>
          </w:rPr>
          <w:t>Comité</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p>
  </w:footnote>
  <w:footnote w:id="55">
    <w:p w14:paraId="1DECC8D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Comentarios</w:t>
      </w:r>
      <w:r>
        <w:rPr>
          <w:color w:val="2B477B"/>
        </w:rPr>
        <w:t xml:space="preserve"> </w:t>
      </w:r>
      <w:r>
        <w:rPr>
          <w:rFonts w:ascii="Arial Unicode MS" w:eastAsia="Arial Unicode MS" w:hAnsi="Arial Unicode MS" w:cs="Arial Unicode MS"/>
          <w:color w:val="2B477B"/>
        </w:rPr>
        <w:t>Generales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publicados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fecha</w:t>
      </w:r>
      <w:r>
        <w:rPr>
          <w:color w:val="2B477B"/>
        </w:rPr>
        <w:t xml:space="preserve"> </w:t>
      </w:r>
      <w:r>
        <w:rPr>
          <w:rFonts w:ascii="Arial Unicode MS" w:eastAsia="Arial Unicode MS" w:hAnsi="Arial Unicode MS" w:cs="Arial Unicode MS"/>
          <w:color w:val="2B477B"/>
        </w:rPr>
        <w:t>pueden</w:t>
      </w:r>
      <w:r>
        <w:rPr>
          <w:color w:val="2B477B"/>
        </w:rPr>
        <w:t xml:space="preserve"> </w:t>
      </w:r>
      <w:r>
        <w:rPr>
          <w:rFonts w:ascii="Arial Unicode MS" w:eastAsia="Arial Unicode MS" w:hAnsi="Arial Unicode MS" w:cs="Arial Unicode MS"/>
          <w:color w:val="2B477B"/>
        </w:rPr>
        <w:t>encontrarse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Oficina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Alto</w:t>
      </w:r>
      <w:r>
        <w:rPr>
          <w:color w:val="2B477B"/>
        </w:rPr>
        <w:t xml:space="preserve"> </w:t>
      </w:r>
      <w:r>
        <w:rPr>
          <w:rFonts w:ascii="Arial Unicode MS" w:eastAsia="Arial Unicode MS" w:hAnsi="Arial Unicode MS" w:cs="Arial Unicode MS"/>
          <w:color w:val="2B477B"/>
        </w:rPr>
        <w:t>Comisionado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Órganos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Tratados,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81" w:history="1">
        <w:r>
          <w:rPr>
            <w:rStyle w:val="Hyperlink1"/>
            <w:rFonts w:ascii="Arial Unicode MS" w:eastAsia="Arial Unicode MS" w:hAnsi="Arial Unicode MS" w:cs="Arial Unicode MS"/>
            <w:u w:val="single"/>
          </w:rPr>
          <w:t>Comentarios</w:t>
        </w:r>
        <w:r>
          <w:rPr>
            <w:rStyle w:val="Hyperlink1"/>
            <w:u w:val="single"/>
          </w:rPr>
          <w:t xml:space="preserve"> </w:t>
        </w:r>
        <w:r>
          <w:rPr>
            <w:rStyle w:val="Hyperlink1"/>
            <w:rFonts w:ascii="Arial Unicode MS" w:eastAsia="Arial Unicode MS" w:hAnsi="Arial Unicode MS" w:cs="Arial Unicode MS"/>
            <w:u w:val="single"/>
          </w:rPr>
          <w:t>Generales</w:t>
        </w:r>
      </w:hyperlink>
      <w:r>
        <w:rPr>
          <w:rFonts w:ascii="Arial Unicode MS" w:eastAsia="Arial Unicode MS" w:hAnsi="Arial Unicode MS" w:cs="Arial Unicode MS"/>
          <w:color w:val="2B477B"/>
        </w:rPr>
        <w:t>.</w:t>
      </w:r>
      <w:r>
        <w:rPr>
          <w:color w:val="2B477B"/>
        </w:rPr>
        <w:t xml:space="preserve"> </w:t>
      </w:r>
    </w:p>
  </w:footnote>
  <w:footnote w:id="56">
    <w:p w14:paraId="1FE2E6DC"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Facultativo</w:t>
      </w:r>
      <w:r>
        <w:rPr>
          <w:color w:val="2B477B"/>
        </w:rPr>
        <w:t xml:space="preserve"> </w:t>
      </w:r>
      <w:r>
        <w:rPr>
          <w:rFonts w:ascii="Arial Unicode MS" w:eastAsia="Arial Unicode MS" w:hAnsi="Arial Unicode MS" w:cs="Arial Unicode MS"/>
          <w:color w:val="2B477B"/>
        </w:rPr>
        <w:t>Opcional</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RES</w:t>
      </w:r>
      <w:r>
        <w:rPr>
          <w:color w:val="2B477B"/>
        </w:rPr>
        <w:t>/61/106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encontrarse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inglés)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Departamento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Asuntos</w:t>
      </w:r>
      <w:r>
        <w:rPr>
          <w:color w:val="2B477B"/>
        </w:rPr>
        <w:t xml:space="preserve"> </w:t>
      </w:r>
      <w:r>
        <w:rPr>
          <w:rFonts w:ascii="Arial Unicode MS" w:eastAsia="Arial Unicode MS" w:hAnsi="Arial Unicode MS" w:cs="Arial Unicode MS"/>
          <w:color w:val="2B477B"/>
        </w:rPr>
        <w:t>Económicos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Sociales,</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Anexo</w:t>
      </w:r>
      <w:r>
        <w:rPr>
          <w:color w:val="2B477B"/>
        </w:rPr>
        <w:t xml:space="preserve"> </w:t>
      </w:r>
      <w:r>
        <w:rPr>
          <w:rFonts w:ascii="Arial Unicode MS" w:eastAsia="Arial Unicode MS" w:hAnsi="Arial Unicode MS" w:cs="Arial Unicode MS"/>
          <w:color w:val="2B477B"/>
        </w:rPr>
        <w:t>II,</w:t>
      </w:r>
      <w:r>
        <w:rPr>
          <w:color w:val="2B477B"/>
        </w:rPr>
        <w:t xml:space="preserve"> </w:t>
      </w:r>
      <w:hyperlink r:id="rId82" w:history="1">
        <w:r>
          <w:rPr>
            <w:rStyle w:val="Hyperlink1"/>
            <w:rFonts w:ascii="Arial Unicode MS" w:eastAsia="Arial Unicode MS" w:hAnsi="Arial Unicode MS" w:cs="Arial Unicode MS"/>
            <w:u w:val="single"/>
          </w:rPr>
          <w:t>Protocolo</w:t>
        </w:r>
        <w:r>
          <w:rPr>
            <w:rStyle w:val="Hyperlink1"/>
            <w:u w:val="single"/>
          </w:rPr>
          <w:t xml:space="preserve"> </w:t>
        </w:r>
        <w:r>
          <w:rPr>
            <w:rStyle w:val="Hyperlink1"/>
            <w:rFonts w:ascii="Arial Unicode MS" w:eastAsia="Arial Unicode MS" w:hAnsi="Arial Unicode MS" w:cs="Arial Unicode MS"/>
            <w:u w:val="single"/>
          </w:rPr>
          <w:t>Opcional</w:t>
        </w:r>
        <w:r>
          <w:rPr>
            <w:rStyle w:val="Hyperlink1"/>
            <w:u w:val="single"/>
          </w:rPr>
          <w:t xml:space="preserve"> </w:t>
        </w:r>
        <w:r>
          <w:rPr>
            <w:rStyle w:val="Hyperlink1"/>
            <w:rFonts w:ascii="Arial Unicode MS" w:eastAsia="Arial Unicode MS" w:hAnsi="Arial Unicode MS" w:cs="Arial Unicode MS"/>
            <w:u w:val="single"/>
          </w:rPr>
          <w:t>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24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enero</w:t>
      </w:r>
      <w:r>
        <w:rPr>
          <w:color w:val="2B477B"/>
        </w:rPr>
        <w:t xml:space="preserve"> </w:t>
      </w:r>
      <w:r>
        <w:rPr>
          <w:rFonts w:ascii="Arial Unicode MS" w:eastAsia="Arial Unicode MS" w:hAnsi="Arial Unicode MS" w:cs="Arial Unicode MS"/>
          <w:color w:val="2B477B"/>
        </w:rPr>
        <w:t>de</w:t>
      </w:r>
      <w:r>
        <w:rPr>
          <w:color w:val="2B477B"/>
        </w:rPr>
        <w:t xml:space="preserve"> 2007</w:t>
      </w:r>
      <w:r>
        <w:rPr>
          <w:rFonts w:ascii="Arial Unicode MS" w:eastAsia="Arial Unicode MS" w:hAnsi="Arial Unicode MS" w:cs="Arial Unicode MS"/>
          <w:color w:val="2B477B"/>
        </w:rPr>
        <w:t>.</w:t>
      </w:r>
    </w:p>
  </w:footnote>
  <w:footnote w:id="57">
    <w:p w14:paraId="5EBF433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Oficina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Alto</w:t>
      </w:r>
      <w:r>
        <w:rPr>
          <w:color w:val="2B477B"/>
        </w:rPr>
        <w:t xml:space="preserve"> </w:t>
      </w:r>
      <w:r>
        <w:rPr>
          <w:rFonts w:ascii="Arial Unicode MS" w:eastAsia="Arial Unicode MS" w:hAnsi="Arial Unicode MS" w:cs="Arial Unicode MS"/>
          <w:color w:val="2B477B"/>
        </w:rPr>
        <w:t>Comisionado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hyperlink r:id="rId83" w:history="1">
        <w:r>
          <w:rPr>
            <w:rStyle w:val="Hyperlink1"/>
            <w:rFonts w:ascii="Arial Unicode MS" w:eastAsia="Arial Unicode MS" w:hAnsi="Arial Unicode MS" w:cs="Arial Unicode MS"/>
            <w:u w:val="single"/>
          </w:rPr>
          <w:t>Relator</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p>
  </w:footnote>
  <w:footnote w:id="58">
    <w:p w14:paraId="6A825EC8" w14:textId="77777777" w:rsidR="001A105D" w:rsidRDefault="00000000">
      <w:pPr>
        <w:pStyle w:val="Body"/>
        <w:jc w:val="left"/>
      </w:pPr>
      <w:r>
        <w:rPr>
          <w:color w:val="2B477B"/>
          <w:vertAlign w:val="superscript"/>
        </w:rPr>
        <w:footnoteRef/>
      </w:r>
      <w:r>
        <w:rPr>
          <w:rFonts w:ascii="Arial Unicode MS" w:eastAsia="Arial Unicode MS" w:hAnsi="Arial Unicode MS" w:cs="Arial Unicode MS"/>
          <w:color w:val="2B477B"/>
          <w:vertAlign w:val="superscript"/>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84" w:history="1">
        <w:r>
          <w:rPr>
            <w:rStyle w:val="Hyperlink1"/>
            <w:rFonts w:ascii="Arial Unicode MS" w:eastAsia="Arial Unicode MS" w:hAnsi="Arial Unicode MS" w:cs="Arial Unicode MS"/>
            <w:u w:val="single"/>
          </w:rPr>
          <w:t>Mandato</w:t>
        </w:r>
      </w:hyperlink>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Relator</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p>
  </w:footnote>
  <w:footnote w:id="59">
    <w:p w14:paraId="267B1BA3"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85" w:history="1">
        <w:r>
          <w:rPr>
            <w:rStyle w:val="Hyperlink1"/>
            <w:rFonts w:ascii="Arial Unicode MS" w:eastAsia="Arial Unicode MS" w:hAnsi="Arial Unicode MS" w:cs="Arial Unicode MS"/>
            <w:u w:val="single"/>
          </w:rPr>
          <w:t>Informes</w:t>
        </w:r>
        <w:r>
          <w:rPr>
            <w:rStyle w:val="Hyperlink1"/>
            <w:u w:val="single"/>
          </w:rPr>
          <w:t xml:space="preserve"> </w:t>
        </w:r>
        <w:r>
          <w:rPr>
            <w:rStyle w:val="Hyperlink1"/>
            <w:rFonts w:ascii="Arial Unicode MS" w:eastAsia="Arial Unicode MS" w:hAnsi="Arial Unicode MS" w:cs="Arial Unicode MS"/>
            <w:u w:val="single"/>
          </w:rPr>
          <w:t>temáticos</w:t>
        </w:r>
        <w:r>
          <w:rPr>
            <w:rStyle w:val="Hyperlink1"/>
            <w:u w:val="single"/>
          </w:rPr>
          <w:t xml:space="preserve"> </w:t>
        </w:r>
        <w:r>
          <w:rPr>
            <w:rStyle w:val="Hyperlink1"/>
            <w:rFonts w:ascii="Arial Unicode MS" w:eastAsia="Arial Unicode MS" w:hAnsi="Arial Unicode MS" w:cs="Arial Unicode MS"/>
            <w:u w:val="single"/>
          </w:rPr>
          <w:t>anuales</w:t>
        </w:r>
      </w:hyperlink>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Relator</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p>
  </w:footnote>
  <w:footnote w:id="60">
    <w:p w14:paraId="5BE01527"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Ratificaron</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Convención:</w:t>
      </w:r>
      <w:r>
        <w:t xml:space="preserve"> </w:t>
      </w:r>
      <w:r>
        <w:rPr>
          <w:rFonts w:ascii="Arial Unicode MS" w:eastAsia="Arial Unicode MS" w:hAnsi="Arial Unicode MS" w:cs="Arial Unicode MS"/>
        </w:rPr>
        <w:t>Argentina;</w:t>
      </w:r>
      <w:r>
        <w:t xml:space="preserve"> </w:t>
      </w:r>
      <w:r>
        <w:rPr>
          <w:rFonts w:ascii="Arial Unicode MS" w:eastAsia="Arial Unicode MS" w:hAnsi="Arial Unicode MS" w:cs="Arial Unicode MS"/>
        </w:rPr>
        <w:t>Bolivia;</w:t>
      </w:r>
      <w:r>
        <w:t xml:space="preserve"> </w:t>
      </w:r>
      <w:r>
        <w:rPr>
          <w:rFonts w:ascii="Arial Unicode MS" w:eastAsia="Arial Unicode MS" w:hAnsi="Arial Unicode MS" w:cs="Arial Unicode MS"/>
        </w:rPr>
        <w:t>Brasil;</w:t>
      </w:r>
      <w:r>
        <w:t xml:space="preserve"> </w:t>
      </w:r>
      <w:r>
        <w:rPr>
          <w:rFonts w:ascii="Arial Unicode MS" w:eastAsia="Arial Unicode MS" w:hAnsi="Arial Unicode MS" w:cs="Arial Unicode MS"/>
        </w:rPr>
        <w:t>Chile;</w:t>
      </w:r>
      <w:r>
        <w:t xml:space="preserve"> </w:t>
      </w:r>
      <w:r>
        <w:rPr>
          <w:rFonts w:ascii="Arial Unicode MS" w:eastAsia="Arial Unicode MS" w:hAnsi="Arial Unicode MS" w:cs="Arial Unicode MS"/>
        </w:rPr>
        <w:t>Colombia;</w:t>
      </w:r>
      <w:r>
        <w:t xml:space="preserve"> </w:t>
      </w:r>
      <w:r>
        <w:rPr>
          <w:rFonts w:ascii="Arial Unicode MS" w:eastAsia="Arial Unicode MS" w:hAnsi="Arial Unicode MS" w:cs="Arial Unicode MS"/>
        </w:rPr>
        <w:t>Costa</w:t>
      </w:r>
      <w:r>
        <w:t xml:space="preserve"> </w:t>
      </w:r>
      <w:r>
        <w:rPr>
          <w:rFonts w:ascii="Arial Unicode MS" w:eastAsia="Arial Unicode MS" w:hAnsi="Arial Unicode MS" w:cs="Arial Unicode MS"/>
        </w:rPr>
        <w:t>Rica;</w:t>
      </w:r>
      <w:r>
        <w:t xml:space="preserve"> </w:t>
      </w:r>
      <w:r>
        <w:rPr>
          <w:rFonts w:ascii="Arial Unicode MS" w:eastAsia="Arial Unicode MS" w:hAnsi="Arial Unicode MS" w:cs="Arial Unicode MS"/>
        </w:rPr>
        <w:t>Ecuador;</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Salvador;</w:t>
      </w:r>
      <w:r>
        <w:t xml:space="preserve"> </w:t>
      </w:r>
      <w:r>
        <w:rPr>
          <w:rFonts w:ascii="Arial Unicode MS" w:eastAsia="Arial Unicode MS" w:hAnsi="Arial Unicode MS" w:cs="Arial Unicode MS"/>
        </w:rPr>
        <w:t>Guatemala;</w:t>
      </w:r>
      <w:r>
        <w:t xml:space="preserve"> </w:t>
      </w:r>
      <w:r>
        <w:rPr>
          <w:rFonts w:ascii="Arial Unicode MS" w:eastAsia="Arial Unicode MS" w:hAnsi="Arial Unicode MS" w:cs="Arial Unicode MS"/>
        </w:rPr>
        <w:t>Haití;</w:t>
      </w:r>
      <w:r>
        <w:t xml:space="preserve"> </w:t>
      </w:r>
      <w:r>
        <w:rPr>
          <w:rFonts w:ascii="Arial Unicode MS" w:eastAsia="Arial Unicode MS" w:hAnsi="Arial Unicode MS" w:cs="Arial Unicode MS"/>
        </w:rPr>
        <w:t>México;</w:t>
      </w:r>
      <w:r>
        <w:t xml:space="preserve"> </w:t>
      </w:r>
      <w:r>
        <w:rPr>
          <w:rFonts w:ascii="Arial Unicode MS" w:eastAsia="Arial Unicode MS" w:hAnsi="Arial Unicode MS" w:cs="Arial Unicode MS"/>
        </w:rPr>
        <w:t>Nicaragua;</w:t>
      </w:r>
      <w:r>
        <w:t xml:space="preserve"> </w:t>
      </w:r>
      <w:r>
        <w:rPr>
          <w:rFonts w:ascii="Arial Unicode MS" w:eastAsia="Arial Unicode MS" w:hAnsi="Arial Unicode MS" w:cs="Arial Unicode MS"/>
        </w:rPr>
        <w:t>Panamá;</w:t>
      </w:r>
      <w:r>
        <w:t xml:space="preserve"> </w:t>
      </w:r>
      <w:r>
        <w:rPr>
          <w:rFonts w:ascii="Arial Unicode MS" w:eastAsia="Arial Unicode MS" w:hAnsi="Arial Unicode MS" w:cs="Arial Unicode MS"/>
        </w:rPr>
        <w:t>Paraguay;</w:t>
      </w:r>
      <w:r>
        <w:t xml:space="preserve"> </w:t>
      </w:r>
      <w:r>
        <w:rPr>
          <w:rFonts w:ascii="Arial Unicode MS" w:eastAsia="Arial Unicode MS" w:hAnsi="Arial Unicode MS" w:cs="Arial Unicode MS"/>
        </w:rPr>
        <w:t>Perú;</w:t>
      </w:r>
      <w:r>
        <w:t xml:space="preserve"> </w:t>
      </w:r>
      <w:r>
        <w:rPr>
          <w:rFonts w:ascii="Arial Unicode MS" w:eastAsia="Arial Unicode MS" w:hAnsi="Arial Unicode MS" w:cs="Arial Unicode MS"/>
        </w:rPr>
        <w:t>República</w:t>
      </w:r>
      <w:r>
        <w:t xml:space="preserve"> </w:t>
      </w:r>
      <w:r>
        <w:rPr>
          <w:rFonts w:ascii="Arial Unicode MS" w:eastAsia="Arial Unicode MS" w:hAnsi="Arial Unicode MS" w:cs="Arial Unicode MS"/>
        </w:rPr>
        <w:t>Dominicana;</w:t>
      </w:r>
      <w:r>
        <w:t xml:space="preserve"> </w:t>
      </w:r>
      <w:r>
        <w:rPr>
          <w:rFonts w:ascii="Arial Unicode MS" w:eastAsia="Arial Unicode MS" w:hAnsi="Arial Unicode MS" w:cs="Arial Unicode MS"/>
        </w:rPr>
        <w:t>Uruguay</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Venezuela.</w:t>
      </w:r>
      <w:r>
        <w:t xml:space="preserve"> </w:t>
      </w:r>
      <w:r>
        <w:rPr>
          <w:rFonts w:ascii="Arial Unicode MS" w:eastAsia="Arial Unicode MS" w:hAnsi="Arial Unicode MS" w:cs="Arial Unicode MS"/>
        </w:rPr>
        <w:t>Honduras</w:t>
      </w:r>
      <w:r>
        <w:t xml:space="preserve"> </w:t>
      </w:r>
      <w:r>
        <w:rPr>
          <w:rFonts w:ascii="Arial Unicode MS" w:eastAsia="Arial Unicode MS" w:hAnsi="Arial Unicode MS" w:cs="Arial Unicode MS"/>
        </w:rPr>
        <w:t>adhirió,</w:t>
      </w:r>
      <w:r>
        <w:t xml:space="preserve"> </w:t>
      </w:r>
      <w:r>
        <w:rPr>
          <w:rFonts w:ascii="Arial Unicode MS" w:eastAsia="Arial Unicode MS" w:hAnsi="Arial Unicode MS" w:cs="Arial Unicode MS"/>
        </w:rPr>
        <w:t>pero</w:t>
      </w:r>
      <w:r>
        <w:t xml:space="preserve"> </w:t>
      </w:r>
      <w:r>
        <w:rPr>
          <w:rFonts w:ascii="Arial Unicode MS" w:eastAsia="Arial Unicode MS" w:hAnsi="Arial Unicode MS" w:cs="Arial Unicode MS"/>
        </w:rPr>
        <w:t>no</w:t>
      </w:r>
      <w:r>
        <w:t xml:space="preserve"> </w:t>
      </w:r>
      <w:r>
        <w:rPr>
          <w:rFonts w:ascii="Arial Unicode MS" w:eastAsia="Arial Unicode MS" w:hAnsi="Arial Unicode MS" w:cs="Arial Unicode MS"/>
        </w:rPr>
        <w:t>lo</w:t>
      </w:r>
      <w:r>
        <w:t xml:space="preserve"> </w:t>
      </w:r>
      <w:r>
        <w:rPr>
          <w:rFonts w:ascii="Arial Unicode MS" w:eastAsia="Arial Unicode MS" w:hAnsi="Arial Unicode MS" w:cs="Arial Unicode MS"/>
        </w:rPr>
        <w:t>ha</w:t>
      </w:r>
      <w:r>
        <w:t xml:space="preserve"> </w:t>
      </w:r>
      <w:r>
        <w:rPr>
          <w:rFonts w:ascii="Arial Unicode MS" w:eastAsia="Arial Unicode MS" w:hAnsi="Arial Unicode MS" w:cs="Arial Unicode MS"/>
        </w:rPr>
        <w:t>ratificado</w:t>
      </w:r>
      <w:r>
        <w:t xml:space="preserve"> </w:t>
      </w:r>
      <w:r>
        <w:rPr>
          <w:rFonts w:ascii="Arial Unicode MS" w:eastAsia="Arial Unicode MS" w:hAnsi="Arial Unicode MS" w:cs="Arial Unicode MS"/>
        </w:rPr>
        <w:t>aún.</w:t>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Departamento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Derecho</w:t>
      </w:r>
      <w:r>
        <w:t xml:space="preserve"> </w:t>
      </w:r>
      <w:r>
        <w:rPr>
          <w:rFonts w:ascii="Arial Unicode MS" w:eastAsia="Arial Unicode MS" w:hAnsi="Arial Unicode MS" w:cs="Arial Unicode MS"/>
        </w:rPr>
        <w:t>Internacional</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OEA,</w:t>
      </w:r>
      <w:r>
        <w:t xml:space="preserve"> </w:t>
      </w:r>
      <w:r>
        <w:rPr>
          <w:rFonts w:ascii="Arial Unicode MS" w:eastAsia="Arial Unicode MS" w:hAnsi="Arial Unicode MS" w:cs="Arial Unicode MS"/>
        </w:rPr>
        <w:t>Tratados</w:t>
      </w:r>
      <w:r>
        <w:t xml:space="preserve"> </w:t>
      </w:r>
      <w:r>
        <w:rPr>
          <w:rFonts w:ascii="Arial Unicode MS" w:eastAsia="Arial Unicode MS" w:hAnsi="Arial Unicode MS" w:cs="Arial Unicode MS"/>
        </w:rPr>
        <w:t>Multilaterales,</w:t>
      </w:r>
      <w:r>
        <w:t xml:space="preserve"> </w:t>
      </w:r>
      <w:r>
        <w:rPr>
          <w:rFonts w:ascii="Arial Unicode MS" w:eastAsia="Arial Unicode MS" w:hAnsi="Arial Unicode MS" w:cs="Arial Unicode MS"/>
        </w:rPr>
        <w:t>A-</w:t>
      </w:r>
      <w:r>
        <w:t>65</w:t>
      </w:r>
      <w:r>
        <w:rPr>
          <w:rFonts w:ascii="Arial Unicode MS" w:eastAsia="Arial Unicode MS" w:hAnsi="Arial Unicode MS" w:cs="Arial Unicode MS"/>
        </w:rPr>
        <w:t>,</w:t>
      </w:r>
      <w:r>
        <w:t xml:space="preserve"> </w:t>
      </w:r>
      <w:hyperlink r:id="rId86" w:history="1">
        <w:r>
          <w:rPr>
            <w:rStyle w:val="Hyperlink1"/>
            <w:rFonts w:ascii="Arial Unicode MS" w:eastAsia="Arial Unicode MS" w:hAnsi="Arial Unicode MS" w:cs="Arial Unicode MS"/>
          </w:rPr>
          <w:t>Convención</w:t>
        </w:r>
        <w:r>
          <w:rPr>
            <w:rStyle w:val="Hyperlink1"/>
          </w:rPr>
          <w:t xml:space="preserve"> </w:t>
        </w:r>
        <w:r>
          <w:rPr>
            <w:rStyle w:val="Hyperlink1"/>
            <w:rFonts w:ascii="Arial Unicode MS" w:eastAsia="Arial Unicode MS" w:hAnsi="Arial Unicode MS" w:cs="Arial Unicode MS"/>
          </w:rPr>
          <w:t>Interamericana</w:t>
        </w:r>
        <w:r>
          <w:rPr>
            <w:rStyle w:val="Hyperlink1"/>
          </w:rPr>
          <w:t xml:space="preserve"> </w:t>
        </w:r>
        <w:r>
          <w:rPr>
            <w:rStyle w:val="Hyperlink1"/>
            <w:rFonts w:ascii="Arial Unicode MS" w:eastAsia="Arial Unicode MS" w:hAnsi="Arial Unicode MS" w:cs="Arial Unicode MS"/>
          </w:rPr>
          <w:t>Para</w:t>
        </w:r>
        <w:r>
          <w:rPr>
            <w:rStyle w:val="Hyperlink1"/>
          </w:rPr>
          <w:t xml:space="preserve"> </w:t>
        </w:r>
        <w:r>
          <w:rPr>
            <w:rStyle w:val="Hyperlink1"/>
            <w:rFonts w:ascii="Arial Unicode MS" w:eastAsia="Arial Unicode MS" w:hAnsi="Arial Unicode MS" w:cs="Arial Unicode MS"/>
          </w:rPr>
          <w:t>la</w:t>
        </w:r>
        <w:r>
          <w:rPr>
            <w:rStyle w:val="Hyperlink1"/>
          </w:rPr>
          <w:t xml:space="preserve"> </w:t>
        </w:r>
        <w:r>
          <w:rPr>
            <w:rStyle w:val="Hyperlink1"/>
            <w:rFonts w:ascii="Arial Unicode MS" w:eastAsia="Arial Unicode MS" w:hAnsi="Arial Unicode MS" w:cs="Arial Unicode MS"/>
          </w:rPr>
          <w:t>Eliminación</w:t>
        </w:r>
        <w:r>
          <w:rPr>
            <w:rStyle w:val="Hyperlink1"/>
          </w:rPr>
          <w:t xml:space="preserve"> </w:t>
        </w:r>
        <w:r>
          <w:rPr>
            <w:rStyle w:val="Hyperlink1"/>
            <w:rFonts w:ascii="Arial Unicode MS" w:eastAsia="Arial Unicode MS" w:hAnsi="Arial Unicode MS" w:cs="Arial Unicode MS"/>
          </w:rPr>
          <w:t>de</w:t>
        </w:r>
        <w:r>
          <w:rPr>
            <w:rStyle w:val="Hyperlink1"/>
          </w:rPr>
          <w:t xml:space="preserve"> </w:t>
        </w:r>
        <w:r>
          <w:rPr>
            <w:rStyle w:val="Hyperlink1"/>
            <w:rFonts w:ascii="Arial Unicode MS" w:eastAsia="Arial Unicode MS" w:hAnsi="Arial Unicode MS" w:cs="Arial Unicode MS"/>
          </w:rPr>
          <w:t>todas</w:t>
        </w:r>
        <w:r>
          <w:rPr>
            <w:rStyle w:val="Hyperlink1"/>
          </w:rPr>
          <w:t xml:space="preserve"> </w:t>
        </w:r>
        <w:r>
          <w:rPr>
            <w:rStyle w:val="Hyperlink1"/>
            <w:rFonts w:ascii="Arial Unicode MS" w:eastAsia="Arial Unicode MS" w:hAnsi="Arial Unicode MS" w:cs="Arial Unicode MS"/>
          </w:rPr>
          <w:t>las</w:t>
        </w:r>
        <w:r>
          <w:rPr>
            <w:rStyle w:val="Hyperlink1"/>
          </w:rPr>
          <w:t xml:space="preserve"> </w:t>
        </w:r>
        <w:r>
          <w:rPr>
            <w:rStyle w:val="Hyperlink1"/>
            <w:rFonts w:ascii="Arial Unicode MS" w:eastAsia="Arial Unicode MS" w:hAnsi="Arial Unicode MS" w:cs="Arial Unicode MS"/>
          </w:rPr>
          <w:t>Formas</w:t>
        </w:r>
        <w:r>
          <w:rPr>
            <w:rStyle w:val="Hyperlink1"/>
          </w:rPr>
          <w:t xml:space="preserve"> </w:t>
        </w:r>
        <w:r>
          <w:rPr>
            <w:rStyle w:val="Hyperlink1"/>
            <w:rFonts w:ascii="Arial Unicode MS" w:eastAsia="Arial Unicode MS" w:hAnsi="Arial Unicode MS" w:cs="Arial Unicode MS"/>
          </w:rPr>
          <w:t>de</w:t>
        </w:r>
        <w:r>
          <w:rPr>
            <w:rStyle w:val="Hyperlink1"/>
          </w:rPr>
          <w:t xml:space="preserve"> </w:t>
        </w:r>
        <w:r>
          <w:rPr>
            <w:rStyle w:val="Hyperlink1"/>
            <w:rFonts w:ascii="Arial Unicode MS" w:eastAsia="Arial Unicode MS" w:hAnsi="Arial Unicode MS" w:cs="Arial Unicode MS"/>
          </w:rPr>
          <w:t>Discriminación</w:t>
        </w:r>
        <w:r>
          <w:rPr>
            <w:rStyle w:val="Hyperlink1"/>
          </w:rPr>
          <w:t xml:space="preserve"> </w:t>
        </w:r>
        <w:r>
          <w:rPr>
            <w:rStyle w:val="Hyperlink1"/>
            <w:rFonts w:ascii="Arial Unicode MS" w:eastAsia="Arial Unicode MS" w:hAnsi="Arial Unicode MS" w:cs="Arial Unicode MS"/>
          </w:rPr>
          <w:t>contra</w:t>
        </w:r>
        <w:r>
          <w:rPr>
            <w:rStyle w:val="Hyperlink1"/>
          </w:rPr>
          <w:t xml:space="preserve"> </w:t>
        </w:r>
        <w:r>
          <w:rPr>
            <w:rStyle w:val="Hyperlink1"/>
            <w:rFonts w:ascii="Arial Unicode MS" w:eastAsia="Arial Unicode MS" w:hAnsi="Arial Unicode MS" w:cs="Arial Unicode MS"/>
          </w:rPr>
          <w:t>las</w:t>
        </w:r>
        <w:r>
          <w:rPr>
            <w:rStyle w:val="Hyperlink1"/>
          </w:rPr>
          <w:t xml:space="preserve"> </w:t>
        </w:r>
        <w:r>
          <w:rPr>
            <w:rStyle w:val="Hyperlink1"/>
            <w:rFonts w:ascii="Arial Unicode MS" w:eastAsia="Arial Unicode MS" w:hAnsi="Arial Unicode MS" w:cs="Arial Unicode MS"/>
          </w:rPr>
          <w:t>Personas</w:t>
        </w:r>
        <w:r>
          <w:rPr>
            <w:rStyle w:val="Hyperlink1"/>
          </w:rPr>
          <w:t xml:space="preserve"> </w:t>
        </w:r>
        <w:r>
          <w:rPr>
            <w:rStyle w:val="Hyperlink1"/>
            <w:rFonts w:ascii="Arial Unicode MS" w:eastAsia="Arial Unicode MS" w:hAnsi="Arial Unicode MS" w:cs="Arial Unicode MS"/>
          </w:rPr>
          <w:t>con</w:t>
        </w:r>
        <w:r>
          <w:rPr>
            <w:rStyle w:val="Hyperlink1"/>
          </w:rPr>
          <w:t xml:space="preserve"> </w:t>
        </w:r>
        <w:r>
          <w:rPr>
            <w:rStyle w:val="Hyperlink1"/>
            <w:rFonts w:ascii="Arial Unicode MS" w:eastAsia="Arial Unicode MS" w:hAnsi="Arial Unicode MS" w:cs="Arial Unicode MS"/>
          </w:rPr>
          <w:t>Discapacidad</w:t>
        </w:r>
      </w:hyperlink>
      <w:r>
        <w:rPr>
          <w:rStyle w:val="Hyperlink1"/>
          <w:rFonts w:ascii="Arial Unicode MS" w:eastAsia="Arial Unicode MS" w:hAnsi="Arial Unicode MS" w:cs="Arial Unicode MS"/>
        </w:rPr>
        <w:t>,</w:t>
      </w:r>
      <w:r>
        <w:rPr>
          <w:rFonts w:ascii="Arial Unicode MS" w:eastAsia="Arial Unicode MS" w:hAnsi="Arial Unicode MS" w:cs="Arial Unicode MS"/>
        </w:rPr>
        <w:t>.</w:t>
      </w:r>
      <w:r>
        <w:t xml:space="preserve"> </w:t>
      </w:r>
      <w:r>
        <w:rPr>
          <w:rFonts w:ascii="Arial Unicode MS" w:eastAsia="Arial Unicode MS" w:hAnsi="Arial Unicode MS" w:cs="Arial Unicode MS"/>
        </w:rPr>
        <w:t>acceso</w:t>
      </w:r>
      <w:r>
        <w:t xml:space="preserve"> </w:t>
      </w:r>
      <w:r>
        <w:rPr>
          <w:rFonts w:ascii="Arial Unicode MS" w:eastAsia="Arial Unicode MS" w:hAnsi="Arial Unicode MS" w:cs="Arial Unicode MS"/>
        </w:rPr>
        <w:t>el</w:t>
      </w:r>
      <w:r>
        <w:t xml:space="preserve"> 12 </w:t>
      </w:r>
      <w:r>
        <w:rPr>
          <w:rFonts w:ascii="Arial Unicode MS" w:eastAsia="Arial Unicode MS" w:hAnsi="Arial Unicode MS" w:cs="Arial Unicode MS"/>
        </w:rPr>
        <w:t>de</w:t>
      </w:r>
      <w:r>
        <w:t xml:space="preserve"> </w:t>
      </w:r>
      <w:r>
        <w:rPr>
          <w:rFonts w:ascii="Arial Unicode MS" w:eastAsia="Arial Unicode MS" w:hAnsi="Arial Unicode MS" w:cs="Arial Unicode MS"/>
        </w:rPr>
        <w:t>junio</w:t>
      </w:r>
      <w:r>
        <w:t xml:space="preserve"> </w:t>
      </w:r>
      <w:r>
        <w:rPr>
          <w:rFonts w:ascii="Arial Unicode MS" w:eastAsia="Arial Unicode MS" w:hAnsi="Arial Unicode MS" w:cs="Arial Unicode MS"/>
        </w:rPr>
        <w:t>de</w:t>
      </w:r>
      <w:r>
        <w:t xml:space="preserve"> 2024</w:t>
      </w:r>
      <w:r>
        <w:rPr>
          <w:rFonts w:ascii="Arial Unicode MS" w:eastAsia="Arial Unicode MS" w:hAnsi="Arial Unicode MS" w:cs="Arial Unicode MS"/>
        </w:rPr>
        <w:t>.</w:t>
      </w:r>
    </w:p>
  </w:footnote>
  <w:footnote w:id="61">
    <w:p w14:paraId="3E986A4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hyperlink r:id="rId87" w:history="1">
        <w:r>
          <w:rPr>
            <w:rFonts w:ascii="Arial Unicode MS" w:eastAsia="Arial Unicode MS" w:hAnsi="Arial Unicode MS" w:cs="Arial Unicode MS"/>
            <w:color w:val="2B477B"/>
          </w:rPr>
          <w:t>Convenci</w:t>
        </w:r>
      </w:hyperlink>
      <w:hyperlink r:id="rId88" w:history="1">
        <w:r>
          <w:rPr>
            <w:rFonts w:ascii="Arial Unicode MS" w:eastAsia="Arial Unicode MS" w:hAnsi="Arial Unicode MS" w:cs="Arial Unicode MS"/>
            <w:color w:val="2B477B"/>
          </w:rPr>
          <w:t>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(CI</w:t>
        </w:r>
      </w:hyperlink>
      <w:hyperlink r:id="rId89" w:history="1">
        <w:r>
          <w:rPr>
            <w:rFonts w:ascii="Arial Unicode MS" w:eastAsia="Arial Unicode MS" w:hAnsi="Arial Unicode MS" w:cs="Arial Unicode MS"/>
            <w:color w:val="2B477B"/>
          </w:rPr>
          <w:t>ADDIS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I,</w:t>
      </w:r>
      <w:r>
        <w:rPr>
          <w:color w:val="2B477B"/>
        </w:rPr>
        <w:t xml:space="preserve"> </w:t>
      </w:r>
      <w:r>
        <w:rPr>
          <w:rFonts w:ascii="Arial Unicode MS" w:eastAsia="Arial Unicode MS" w:hAnsi="Arial Unicode MS" w:cs="Arial Unicode MS"/>
          <w:color w:val="2B477B"/>
        </w:rPr>
        <w:t>inciso</w:t>
      </w:r>
      <w:r>
        <w:rPr>
          <w:color w:val="2B477B"/>
        </w:rPr>
        <w:t xml:space="preserve"> 2</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inciso</w:t>
      </w:r>
      <w:r>
        <w:rPr>
          <w:color w:val="2B477B"/>
        </w:rPr>
        <w:t xml:space="preserve"> 2</w:t>
      </w:r>
      <w:r>
        <w:rPr>
          <w:rFonts w:ascii="Arial Unicode MS" w:eastAsia="Arial Unicode MS" w:hAnsi="Arial Unicode MS" w:cs="Arial Unicode MS"/>
          <w:color w:val="2B477B"/>
        </w:rPr>
        <w:t>.b.</w:t>
      </w:r>
      <w:r>
        <w:rPr>
          <w:color w:val="2B477B"/>
        </w:rPr>
        <w:t xml:space="preserve"> </w:t>
      </w:r>
    </w:p>
  </w:footnote>
  <w:footnote w:id="62">
    <w:p w14:paraId="78333D2D" w14:textId="77777777" w:rsidR="001A105D" w:rsidRDefault="00000000">
      <w:pPr>
        <w:pStyle w:val="Body"/>
        <w:jc w:val="left"/>
      </w:pPr>
      <w:r>
        <w:rPr>
          <w:color w:val="2B477B"/>
          <w:vertAlign w:val="superscript"/>
        </w:rPr>
        <w:footnoteRef/>
      </w:r>
      <w:r>
        <w:rPr>
          <w:color w:val="2B477B"/>
          <w:vertAlign w:val="superscript"/>
        </w:rPr>
        <w:t xml:space="preserve"> </w:t>
      </w:r>
      <w:hyperlink r:id="rId90" w:history="1">
        <w:r>
          <w:rPr>
            <w:rStyle w:val="Hyperlink1"/>
            <w:rFonts w:ascii="Arial Unicode MS" w:eastAsia="Arial Unicode MS" w:hAnsi="Arial Unicode MS" w:cs="Arial Unicode MS"/>
            <w:u w:val="single"/>
          </w:rPr>
          <w:t>Declaración</w:t>
        </w:r>
        <w:r>
          <w:rPr>
            <w:rStyle w:val="Hyperlink1"/>
            <w:u w:val="single"/>
          </w:rPr>
          <w:t xml:space="preserve"> </w:t>
        </w:r>
        <w:r>
          <w:rPr>
            <w:rStyle w:val="Hyperlink1"/>
            <w:rFonts w:ascii="Arial Unicode MS" w:eastAsia="Arial Unicode MS" w:hAnsi="Arial Unicode MS" w:cs="Arial Unicode MS"/>
            <w:u w:val="single"/>
          </w:rPr>
          <w:t>Americana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Deberes</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w:t>
        </w:r>
        <w:r>
          <w:rPr>
            <w:rStyle w:val="Hyperlink1"/>
            <w:rFonts w:ascii="Arial Unicode MS" w:eastAsia="Arial Unicode MS" w:hAnsi="Arial Unicode MS" w:cs="Arial Unicode MS"/>
            <w:u w:val="single"/>
          </w:rPr>
          <w:t>Hombre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aprobada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Novena</w:t>
      </w:r>
      <w:r>
        <w:rPr>
          <w:color w:val="2B477B"/>
        </w:rPr>
        <w:t xml:space="preserve"> </w:t>
      </w:r>
      <w:r>
        <w:rPr>
          <w:rFonts w:ascii="Arial Unicode MS" w:eastAsia="Arial Unicode MS" w:hAnsi="Arial Unicode MS" w:cs="Arial Unicode MS"/>
          <w:color w:val="2B477B"/>
        </w:rPr>
        <w:t>Conferencia</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Americana,</w:t>
      </w:r>
      <w:r>
        <w:rPr>
          <w:color w:val="2B477B"/>
        </w:rPr>
        <w:t xml:space="preserve"> </w:t>
      </w:r>
      <w:r>
        <w:rPr>
          <w:rFonts w:ascii="Arial Unicode MS" w:eastAsia="Arial Unicode MS" w:hAnsi="Arial Unicode MS" w:cs="Arial Unicode MS"/>
          <w:color w:val="2B477B"/>
        </w:rPr>
        <w:t>Bogotá,</w:t>
      </w:r>
      <w:r>
        <w:rPr>
          <w:color w:val="2B477B"/>
        </w:rPr>
        <w:t xml:space="preserve"> </w:t>
      </w:r>
      <w:r>
        <w:rPr>
          <w:rFonts w:ascii="Arial Unicode MS" w:eastAsia="Arial Unicode MS" w:hAnsi="Arial Unicode MS" w:cs="Arial Unicode MS"/>
          <w:color w:val="2B477B"/>
        </w:rPr>
        <w:t>Colombia,</w:t>
      </w:r>
      <w:r>
        <w:rPr>
          <w:color w:val="2B477B"/>
        </w:rPr>
        <w:t xml:space="preserve"> 1948</w:t>
      </w:r>
      <w:r>
        <w:rPr>
          <w:rFonts w:ascii="Arial Unicode MS" w:eastAsia="Arial Unicode MS" w:hAnsi="Arial Unicode MS" w:cs="Arial Unicode MS"/>
          <w:color w:val="2B477B"/>
        </w:rPr>
        <w:t>.</w:t>
      </w:r>
    </w:p>
  </w:footnote>
  <w:footnote w:id="63">
    <w:p w14:paraId="60BED770"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incisos</w:t>
      </w:r>
      <w:r>
        <w:rPr>
          <w:color w:val="2B477B"/>
        </w:rPr>
        <w:t xml:space="preserve"> 1</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y</w:t>
      </w:r>
      <w:r>
        <w:rPr>
          <w:color w:val="2B477B"/>
        </w:rPr>
        <w:t xml:space="preserve"> 1</w:t>
      </w:r>
      <w:r>
        <w:rPr>
          <w:rFonts w:ascii="Arial Unicode MS" w:eastAsia="Arial Unicode MS" w:hAnsi="Arial Unicode MS" w:cs="Arial Unicode MS"/>
          <w:color w:val="2B477B"/>
        </w:rPr>
        <w:t>.c.</w:t>
      </w:r>
      <w:r>
        <w:rPr>
          <w:color w:val="2B477B"/>
        </w:rPr>
        <w:t xml:space="preserve"> </w:t>
      </w:r>
    </w:p>
  </w:footnote>
  <w:footnote w:id="64">
    <w:p w14:paraId="145BD9B4" w14:textId="77777777" w:rsidR="001A105D" w:rsidRDefault="00000000">
      <w:pPr>
        <w:pStyle w:val="Body"/>
        <w:tabs>
          <w:tab w:val="left" w:pos="720"/>
        </w:tabs>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1</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a.</w:t>
      </w:r>
    </w:p>
  </w:footnote>
  <w:footnote w:id="65">
    <w:p w14:paraId="22BB851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V.</w:t>
      </w:r>
      <w:r>
        <w:rPr>
          <w:color w:val="2B477B"/>
        </w:rPr>
        <w:t xml:space="preserve"> </w:t>
      </w:r>
    </w:p>
  </w:footnote>
  <w:footnote w:id="66">
    <w:p w14:paraId="0EED8DC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VI.</w:t>
      </w:r>
      <w:r>
        <w:rPr>
          <w:color w:val="2B477B"/>
        </w:rPr>
        <w:t xml:space="preserve"> </w:t>
      </w:r>
    </w:p>
  </w:footnote>
  <w:footnote w:id="67">
    <w:p w14:paraId="4A64337A"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OEA,</w:t>
      </w:r>
      <w:r>
        <w:rPr>
          <w:color w:val="2B477B"/>
        </w:rPr>
        <w:t xml:space="preserve"> </w:t>
      </w:r>
      <w:hyperlink r:id="rId91" w:history="1">
        <w:r>
          <w:rPr>
            <w:rStyle w:val="Hyperlink1"/>
            <w:rFonts w:ascii="Arial Unicode MS" w:eastAsia="Arial Unicode MS" w:hAnsi="Arial Unicode MS" w:cs="Arial Unicode MS"/>
            <w:u w:val="single"/>
          </w:rPr>
          <w:t>Programa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Acción</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Decenio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Américas</w:t>
        </w:r>
        <w:r>
          <w:rPr>
            <w:rStyle w:val="Hyperlink1"/>
            <w:u w:val="single"/>
          </w:rPr>
          <w:t xml:space="preserve"> </w:t>
        </w:r>
        <w:r>
          <w:rPr>
            <w:rStyle w:val="Hyperlink1"/>
            <w:rFonts w:ascii="Arial Unicode MS" w:eastAsia="Arial Unicode MS" w:hAnsi="Arial Unicode MS" w:cs="Arial Unicode MS"/>
            <w:u w:val="single"/>
          </w:rPr>
          <w:t>por</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Dignidad</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2016</w:t>
        </w:r>
        <w:r>
          <w:rPr>
            <w:rStyle w:val="Hyperlink1"/>
            <w:rFonts w:ascii="Arial Unicode MS" w:eastAsia="Arial Unicode MS" w:hAnsi="Arial Unicode MS" w:cs="Arial Unicode MS"/>
            <w:u w:val="single"/>
          </w:rPr>
          <w:t>-</w:t>
        </w:r>
        <w:r>
          <w:rPr>
            <w:rStyle w:val="Hyperlink1"/>
            <w:u w:val="single"/>
          </w:rPr>
          <w:t>2026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AG</w:t>
      </w:r>
      <w:r>
        <w:rPr>
          <w:color w:val="2B477B"/>
        </w:rPr>
        <w:t>/</w:t>
      </w:r>
      <w:r>
        <w:rPr>
          <w:rFonts w:ascii="Arial Unicode MS" w:eastAsia="Arial Unicode MS" w:hAnsi="Arial Unicode MS" w:cs="Arial Unicode MS"/>
          <w:color w:val="2B477B"/>
        </w:rPr>
        <w:t>DEC.</w:t>
      </w:r>
      <w:r>
        <w:rPr>
          <w:color w:val="2B477B"/>
        </w:rPr>
        <w:t xml:space="preserve"> 89 </w:t>
      </w:r>
      <w:r>
        <w:rPr>
          <w:rFonts w:ascii="Arial Unicode MS" w:eastAsia="Arial Unicode MS" w:hAnsi="Arial Unicode MS" w:cs="Arial Unicode MS"/>
          <w:color w:val="2B477B"/>
        </w:rPr>
        <w:t>(XLVI-O</w:t>
      </w:r>
      <w:r>
        <w:rPr>
          <w:color w:val="2B477B"/>
        </w:rPr>
        <w:t>/16</w:t>
      </w:r>
      <w:r>
        <w:rPr>
          <w:rFonts w:ascii="Arial Unicode MS" w:eastAsia="Arial Unicode MS" w:hAnsi="Arial Unicode MS" w:cs="Arial Unicode MS"/>
          <w:color w:val="2B477B"/>
        </w:rPr>
        <w:t>).</w:t>
      </w:r>
    </w:p>
  </w:footnote>
  <w:footnote w:id="68">
    <w:p w14:paraId="0117ADA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Caso</w:t>
      </w:r>
      <w:r>
        <w:rPr>
          <w:color w:val="2B477B"/>
        </w:rPr>
        <w:t xml:space="preserve"> </w:t>
      </w:r>
      <w:hyperlink r:id="rId92" w:history="1">
        <w:proofErr w:type="spellStart"/>
        <w:r>
          <w:rPr>
            <w:rFonts w:ascii="Arial Unicode MS" w:eastAsia="Arial Unicode MS" w:hAnsi="Arial Unicode MS" w:cs="Arial Unicode MS"/>
            <w:color w:val="2B477B"/>
          </w:rPr>
          <w:t>Ximenes</w:t>
        </w:r>
        <w:proofErr w:type="spellEnd"/>
        <w:r>
          <w:rPr>
            <w:color w:val="2B477B"/>
          </w:rPr>
          <w:t xml:space="preserve"> </w:t>
        </w:r>
        <w:proofErr w:type="spellStart"/>
        <w:r>
          <w:rPr>
            <w:rFonts w:ascii="Arial Unicode MS" w:eastAsia="Arial Unicode MS" w:hAnsi="Arial Unicode MS" w:cs="Arial Unicode MS"/>
            <w:color w:val="2B477B"/>
          </w:rPr>
          <w:t>Lopes</w:t>
        </w:r>
        <w:proofErr w:type="spellEnd"/>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Brasil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149</w:t>
      </w:r>
      <w:r>
        <w:rPr>
          <w:rFonts w:ascii="Arial Unicode MS" w:eastAsia="Arial Unicode MS" w:hAnsi="Arial Unicode MS" w:cs="Arial Unicode MS"/>
          <w:color w:val="2B477B"/>
        </w:rPr>
        <w:t>.</w:t>
      </w:r>
    </w:p>
  </w:footnote>
  <w:footnote w:id="69">
    <w:p w14:paraId="046DD3D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93"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Furlán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31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246</w:t>
      </w:r>
      <w:r>
        <w:rPr>
          <w:rFonts w:ascii="Arial Unicode MS" w:eastAsia="Arial Unicode MS" w:hAnsi="Arial Unicode MS" w:cs="Arial Unicode MS"/>
          <w:color w:val="2B477B"/>
        </w:rPr>
        <w:t>.</w:t>
      </w:r>
    </w:p>
  </w:footnote>
  <w:footnote w:id="70">
    <w:p w14:paraId="0463748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94"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Mendoza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2013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260</w:t>
      </w:r>
      <w:r>
        <w:rPr>
          <w:rFonts w:ascii="Arial Unicode MS" w:eastAsia="Arial Unicode MS" w:hAnsi="Arial Unicode MS" w:cs="Arial Unicode MS"/>
          <w:color w:val="2B477B"/>
        </w:rPr>
        <w:t>.</w:t>
      </w:r>
    </w:p>
  </w:footnote>
  <w:footnote w:id="71">
    <w:p w14:paraId="7679691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95"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Chinchilla</w:t>
        </w:r>
        <w:r>
          <w:rPr>
            <w:color w:val="2B477B"/>
          </w:rPr>
          <w:t xml:space="preserve"> </w:t>
        </w:r>
        <w:r>
          <w:rPr>
            <w:rFonts w:ascii="Arial Unicode MS" w:eastAsia="Arial Unicode MS" w:hAnsi="Arial Unicode MS" w:cs="Arial Unicode MS"/>
            <w:color w:val="2B477B"/>
          </w:rPr>
          <w:t>Sandoval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Guatemala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Excepción</w:t>
      </w:r>
      <w:r>
        <w:rPr>
          <w:color w:val="2B477B"/>
        </w:rPr>
        <w:t xml:space="preserve"> </w:t>
      </w:r>
      <w:r>
        <w:rPr>
          <w:rFonts w:ascii="Arial Unicode MS" w:eastAsia="Arial Unicode MS" w:hAnsi="Arial Unicode MS" w:cs="Arial Unicode MS"/>
          <w:color w:val="2B477B"/>
        </w:rPr>
        <w:t>Preliminar,</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29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del</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312</w:t>
      </w:r>
      <w:r>
        <w:rPr>
          <w:rFonts w:ascii="Arial Unicode MS" w:eastAsia="Arial Unicode MS" w:hAnsi="Arial Unicode MS" w:cs="Arial Unicode MS"/>
          <w:color w:val="2B477B"/>
        </w:rPr>
        <w:t>.</w:t>
      </w:r>
      <w:r>
        <w:rPr>
          <w:color w:val="2B477B"/>
        </w:rPr>
        <w:t xml:space="preserve"> </w:t>
      </w:r>
    </w:p>
  </w:footnote>
  <w:footnote w:id="72">
    <w:p w14:paraId="2AC0707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96"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Muelle</w:t>
        </w:r>
        <w:r>
          <w:rPr>
            <w:color w:val="2B477B"/>
          </w:rPr>
          <w:t xml:space="preserve"> </w:t>
        </w:r>
        <w:r>
          <w:rPr>
            <w:rFonts w:ascii="Arial Unicode MS" w:eastAsia="Arial Unicode MS" w:hAnsi="Arial Unicode MS" w:cs="Arial Unicode MS"/>
            <w:color w:val="2B477B"/>
          </w:rPr>
          <w:t>Flores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Perú</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375</w:t>
      </w:r>
      <w:r>
        <w:rPr>
          <w:rFonts w:ascii="Arial Unicode MS" w:eastAsia="Arial Unicode MS" w:hAnsi="Arial Unicode MS" w:cs="Arial Unicode MS"/>
          <w:color w:val="2B477B"/>
        </w:rPr>
        <w:t>.</w:t>
      </w:r>
    </w:p>
  </w:footnote>
  <w:footnote w:id="73">
    <w:p w14:paraId="33A771F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97" w:history="1">
        <w:r>
          <w:rPr>
            <w:rFonts w:ascii="Arial Unicode MS" w:eastAsia="Arial Unicode MS" w:hAnsi="Arial Unicode MS" w:cs="Arial Unicode MS"/>
            <w:color w:val="2B477B"/>
          </w:rPr>
          <w:t>Caso</w:t>
        </w:r>
        <w:r>
          <w:rPr>
            <w:color w:val="2B477B"/>
          </w:rPr>
          <w:t xml:space="preserve"> </w:t>
        </w:r>
        <w:proofErr w:type="spellStart"/>
        <w:r>
          <w:rPr>
            <w:rFonts w:ascii="Arial Unicode MS" w:eastAsia="Arial Unicode MS" w:hAnsi="Arial Unicode MS" w:cs="Arial Unicode MS"/>
            <w:color w:val="2B477B"/>
          </w:rPr>
          <w:t>Guachalá</w:t>
        </w:r>
        <w:proofErr w:type="spellEnd"/>
        <w:r>
          <w:rPr>
            <w:color w:val="2B477B"/>
          </w:rPr>
          <w:t xml:space="preserve"> </w:t>
        </w:r>
        <w:r>
          <w:rPr>
            <w:rFonts w:ascii="Arial Unicode MS" w:eastAsia="Arial Unicode MS" w:hAnsi="Arial Unicode MS" w:cs="Arial Unicode MS"/>
            <w:color w:val="2B477B"/>
          </w:rPr>
          <w:t>Chimbo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423</w:t>
      </w:r>
      <w:r>
        <w:rPr>
          <w:rFonts w:ascii="Arial Unicode MS" w:eastAsia="Arial Unicode MS" w:hAnsi="Arial Unicode MS" w:cs="Arial Unicode MS"/>
          <w:color w:val="2B477B"/>
        </w:rPr>
        <w:t>.</w:t>
      </w:r>
    </w:p>
  </w:footnote>
  <w:footnote w:id="74">
    <w:p w14:paraId="39CB669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98"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Vera</w:t>
        </w:r>
        <w:r>
          <w:rPr>
            <w:color w:val="2B477B"/>
          </w:rPr>
          <w:t xml:space="preserve"> </w:t>
        </w:r>
        <w:r>
          <w:rPr>
            <w:rFonts w:ascii="Arial Unicode MS" w:eastAsia="Arial Unicode MS" w:hAnsi="Arial Unicode MS" w:cs="Arial Unicode MS"/>
            <w:color w:val="2B477B"/>
          </w:rPr>
          <w:t>Rojas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Chile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439</w:t>
      </w:r>
      <w:r>
        <w:rPr>
          <w:rFonts w:ascii="Arial Unicode MS" w:eastAsia="Arial Unicode MS" w:hAnsi="Arial Unicode MS" w:cs="Arial Unicode MS"/>
          <w:color w:val="2B477B"/>
        </w:rPr>
        <w:t>.</w:t>
      </w:r>
    </w:p>
  </w:footnote>
  <w:footnote w:id="75">
    <w:p w14:paraId="4B2CB87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99"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Guevara</w:t>
        </w:r>
        <w:r>
          <w:rPr>
            <w:color w:val="2B477B"/>
          </w:rPr>
          <w:t xml:space="preserve"> </w:t>
        </w:r>
        <w:r>
          <w:rPr>
            <w:rFonts w:ascii="Arial Unicode MS" w:eastAsia="Arial Unicode MS" w:hAnsi="Arial Unicode MS" w:cs="Arial Unicode MS"/>
            <w:color w:val="2B477B"/>
          </w:rPr>
          <w:t>Díaz</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453</w:t>
      </w:r>
      <w:r>
        <w:rPr>
          <w:rFonts w:ascii="Arial Unicode MS" w:eastAsia="Arial Unicode MS" w:hAnsi="Arial Unicode MS" w:cs="Arial Unicode MS"/>
          <w:color w:val="2B477B"/>
        </w:rPr>
        <w:t>.</w:t>
      </w:r>
      <w:r>
        <w:rPr>
          <w:color w:val="2B477B"/>
        </w:rPr>
        <w:t xml:space="preserve"> </w:t>
      </w:r>
    </w:p>
  </w:footnote>
  <w:footnote w:id="76">
    <w:p w14:paraId="0DAD1A0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fue</w:t>
      </w:r>
      <w:r>
        <w:rPr>
          <w:color w:val="2B477B"/>
        </w:rPr>
        <w:t xml:space="preserve"> </w:t>
      </w:r>
      <w:r>
        <w:rPr>
          <w:rFonts w:ascii="Arial Unicode MS" w:eastAsia="Arial Unicode MS" w:hAnsi="Arial Unicode MS" w:cs="Arial Unicode MS"/>
          <w:color w:val="2B477B"/>
        </w:rPr>
        <w:t>abordado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fallado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antes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aprobara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desarrolló</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estándar</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cercano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cuando</w:t>
      </w:r>
      <w:r>
        <w:rPr>
          <w:color w:val="2B477B"/>
        </w:rPr>
        <w:t xml:space="preserve"> </w:t>
      </w:r>
      <w:r>
        <w:rPr>
          <w:rFonts w:ascii="Arial Unicode MS" w:eastAsia="Arial Unicode MS" w:hAnsi="Arial Unicode MS" w:cs="Arial Unicode MS"/>
          <w:color w:val="2B477B"/>
        </w:rPr>
        <w:t>aún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entraba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volverá</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profundizar</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fallo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capítulos</w:t>
      </w:r>
      <w:r>
        <w:rPr>
          <w:color w:val="2B477B"/>
        </w:rPr>
        <w:t xml:space="preserve"> 3 </w:t>
      </w:r>
      <w:r>
        <w:rPr>
          <w:rFonts w:ascii="Arial Unicode MS" w:eastAsia="Arial Unicode MS" w:hAnsi="Arial Unicode MS" w:cs="Arial Unicode MS"/>
          <w:color w:val="2B477B"/>
        </w:rPr>
        <w:t>y</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informe.</w:t>
      </w:r>
      <w:r>
        <w:rPr>
          <w:color w:val="2B477B"/>
        </w:rPr>
        <w:t xml:space="preserve"> </w:t>
      </w:r>
    </w:p>
  </w:footnote>
  <w:footnote w:id="77">
    <w:p w14:paraId="44CD2B6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100"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Furlán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31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246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124</w:t>
      </w:r>
      <w:r>
        <w:rPr>
          <w:rFonts w:ascii="Arial Unicode MS" w:eastAsia="Arial Unicode MS" w:hAnsi="Arial Unicode MS" w:cs="Arial Unicode MS"/>
          <w:color w:val="2B477B"/>
        </w:rPr>
        <w:t>.</w:t>
      </w:r>
    </w:p>
  </w:footnote>
  <w:footnote w:id="78">
    <w:p w14:paraId="0E060D1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101"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Furlán</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Familiares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196</w:t>
      </w:r>
      <w:r>
        <w:rPr>
          <w:rFonts w:ascii="Arial Unicode MS" w:eastAsia="Arial Unicode MS" w:hAnsi="Arial Unicode MS" w:cs="Arial Unicode MS"/>
          <w:color w:val="2B477B"/>
        </w:rPr>
        <w:t>.</w:t>
      </w:r>
    </w:p>
  </w:footnote>
  <w:footnote w:id="79">
    <w:p w14:paraId="193117E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Furlán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152</w:t>
      </w:r>
      <w:r>
        <w:rPr>
          <w:rFonts w:ascii="Arial Unicode MS" w:eastAsia="Arial Unicode MS" w:hAnsi="Arial Unicode MS" w:cs="Arial Unicode MS"/>
          <w:color w:val="2B477B"/>
        </w:rPr>
        <w:t>.</w:t>
      </w:r>
    </w:p>
  </w:footnote>
  <w:footnote w:id="80">
    <w:p w14:paraId="0B6FC08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102"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Furlán</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Familiares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201</w:t>
      </w:r>
      <w:r>
        <w:rPr>
          <w:rFonts w:ascii="Arial Unicode MS" w:eastAsia="Arial Unicode MS" w:hAnsi="Arial Unicode MS" w:cs="Arial Unicode MS"/>
          <w:color w:val="2B477B"/>
        </w:rPr>
        <w:t>.</w:t>
      </w:r>
    </w:p>
  </w:footnote>
  <w:footnote w:id="81">
    <w:p w14:paraId="5938F3CC"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103" w:history="1">
        <w:r>
          <w:rPr>
            <w:rFonts w:ascii="Arial Unicode MS" w:eastAsia="Arial Unicode MS" w:hAnsi="Arial Unicode MS" w:cs="Arial Unicode MS"/>
            <w:color w:val="2B477B"/>
          </w:rPr>
          <w:t>Caso</w:t>
        </w:r>
        <w:r>
          <w:rPr>
            <w:color w:val="2B477B"/>
          </w:rPr>
          <w:t xml:space="preserve"> </w:t>
        </w:r>
        <w:proofErr w:type="spellStart"/>
        <w:r>
          <w:rPr>
            <w:rFonts w:ascii="Arial Unicode MS" w:eastAsia="Arial Unicode MS" w:hAnsi="Arial Unicode MS" w:cs="Arial Unicode MS"/>
            <w:color w:val="2B477B"/>
          </w:rPr>
          <w:t>Guachalá</w:t>
        </w:r>
        <w:proofErr w:type="spellEnd"/>
        <w:r>
          <w:rPr>
            <w:color w:val="2B477B"/>
          </w:rPr>
          <w:t xml:space="preserve"> </w:t>
        </w:r>
        <w:r>
          <w:rPr>
            <w:rFonts w:ascii="Arial Unicode MS" w:eastAsia="Arial Unicode MS" w:hAnsi="Arial Unicode MS" w:cs="Arial Unicode MS"/>
            <w:color w:val="2B477B"/>
          </w:rPr>
          <w:t>Chimbo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80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p>
  </w:footnote>
  <w:footnote w:id="82">
    <w:p w14:paraId="78EDB84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Caso</w:t>
      </w:r>
      <w:r>
        <w:rPr>
          <w:color w:val="2B477B"/>
        </w:rPr>
        <w:t xml:space="preserve"> </w:t>
      </w:r>
      <w:hyperlink r:id="rId104" w:history="1">
        <w:r>
          <w:rPr>
            <w:rFonts w:ascii="Arial Unicode MS" w:eastAsia="Arial Unicode MS" w:hAnsi="Arial Unicode MS" w:cs="Arial Unicode MS"/>
            <w:color w:val="2B477B"/>
          </w:rPr>
          <w:t>Guachalá</w:t>
        </w:r>
        <w:r>
          <w:rPr>
            <w:color w:val="2B477B"/>
          </w:rPr>
          <w:t xml:space="preserve"> </w:t>
        </w:r>
        <w:r>
          <w:rPr>
            <w:rFonts w:ascii="Arial Unicode MS" w:eastAsia="Arial Unicode MS" w:hAnsi="Arial Unicode MS" w:cs="Arial Unicode MS"/>
            <w:color w:val="2B477B"/>
          </w:rPr>
          <w:t>Chimbo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párrs.</w:t>
      </w:r>
      <w:r>
        <w:rPr>
          <w:color w:val="2B477B"/>
        </w:rPr>
        <w:t xml:space="preserve"> 114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p>
  </w:footnote>
  <w:footnote w:id="83">
    <w:p w14:paraId="52C2FCC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Observaciones</w:t>
      </w:r>
      <w:r>
        <w:rPr>
          <w:color w:val="2B477B"/>
        </w:rPr>
        <w:t xml:space="preserve"> </w:t>
      </w:r>
      <w:r>
        <w:rPr>
          <w:rFonts w:ascii="Arial Unicode MS" w:eastAsia="Arial Unicode MS" w:hAnsi="Arial Unicode MS" w:cs="Arial Unicode MS"/>
          <w:color w:val="2B477B"/>
        </w:rPr>
        <w:t>Finales,</w:t>
      </w:r>
      <w:r>
        <w:rPr>
          <w:color w:val="2B477B"/>
        </w:rPr>
        <w:t xml:space="preserve"> </w:t>
      </w:r>
      <w:hyperlink r:id="rId105"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Guachalá</w:t>
        </w:r>
        <w:r>
          <w:rPr>
            <w:color w:val="2B477B"/>
          </w:rPr>
          <w:t xml:space="preserve"> </w:t>
        </w:r>
        <w:r>
          <w:rPr>
            <w:rFonts w:ascii="Arial Unicode MS" w:eastAsia="Arial Unicode MS" w:hAnsi="Arial Unicode MS" w:cs="Arial Unicode MS"/>
            <w:color w:val="2B477B"/>
          </w:rPr>
          <w:t>Chimbo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enero</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5</w:t>
        </w:r>
      </w:hyperlink>
      <w:r>
        <w:rPr>
          <w:rFonts w:ascii="Arial Unicode MS" w:eastAsia="Arial Unicode MS" w:hAnsi="Arial Unicode MS" w:cs="Arial Unicode MS"/>
          <w:color w:val="2B477B"/>
        </w:rPr>
        <w:t>.</w:t>
      </w:r>
      <w:r>
        <w:rPr>
          <w:color w:val="2B477B"/>
        </w:rPr>
        <w:t xml:space="preserve"> </w:t>
      </w:r>
    </w:p>
  </w:footnote>
  <w:footnote w:id="84">
    <w:p w14:paraId="1D67D2FB"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Mundial,</w:t>
      </w:r>
      <w:r>
        <w:rPr>
          <w:color w:val="2B477B"/>
        </w:rPr>
        <w:t xml:space="preserve"> </w:t>
      </w:r>
      <w:hyperlink r:id="rId106"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Mundial</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Desarrollo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Washington,</w:t>
      </w:r>
      <w:r>
        <w:rPr>
          <w:color w:val="2B477B"/>
        </w:rPr>
        <w:t xml:space="preserve"> </w:t>
      </w:r>
      <w:r>
        <w:rPr>
          <w:rFonts w:ascii="Arial Unicode MS" w:eastAsia="Arial Unicode MS" w:hAnsi="Arial Unicode MS" w:cs="Arial Unicode MS"/>
          <w:color w:val="2B477B"/>
        </w:rPr>
        <w:t>D.C,</w:t>
      </w:r>
      <w:r>
        <w:rPr>
          <w:color w:val="2B477B"/>
        </w:rPr>
        <w:t xml:space="preserve"> 2005</w:t>
      </w:r>
      <w:r>
        <w:rPr>
          <w:rFonts w:ascii="Arial Unicode MS" w:eastAsia="Arial Unicode MS" w:hAnsi="Arial Unicode MS" w:cs="Arial Unicode MS"/>
          <w:color w:val="2B477B"/>
        </w:rPr>
        <w:t>.</w:t>
      </w:r>
      <w:r>
        <w:rPr>
          <w:color w:val="2B477B"/>
        </w:rPr>
        <w:t xml:space="preserve"> </w:t>
      </w:r>
    </w:p>
  </w:footnote>
  <w:footnote w:id="85">
    <w:p w14:paraId="3315B09D" w14:textId="77777777" w:rsidR="001A105D" w:rsidRDefault="00000000">
      <w:pPr>
        <w:pStyle w:val="FootnoteText"/>
        <w:jc w:val="left"/>
      </w:pPr>
      <w:r>
        <w:rPr>
          <w:vertAlign w:val="superscript"/>
        </w:rPr>
        <w:footnoteRef/>
      </w:r>
      <w:r>
        <w:rPr>
          <w:vertAlign w:val="superscript"/>
        </w:rPr>
        <w:t xml:space="preserve"> </w:t>
      </w:r>
      <w:r>
        <w:rPr>
          <w:rFonts w:ascii="Arial Unicode MS" w:eastAsia="Arial Unicode MS" w:hAnsi="Arial Unicode MS" w:cs="Arial Unicode MS"/>
        </w:rPr>
        <w:t>Naciones</w:t>
      </w:r>
      <w:r>
        <w:t xml:space="preserve"> </w:t>
      </w:r>
      <w:r>
        <w:rPr>
          <w:rFonts w:ascii="Arial Unicode MS" w:eastAsia="Arial Unicode MS" w:hAnsi="Arial Unicode MS" w:cs="Arial Unicode MS"/>
        </w:rPr>
        <w:t>Unidas,</w:t>
      </w:r>
      <w:r>
        <w:t xml:space="preserve"> </w:t>
      </w:r>
      <w:r>
        <w:rPr>
          <w:rFonts w:ascii="Arial Unicode MS" w:eastAsia="Arial Unicode MS" w:hAnsi="Arial Unicode MS" w:cs="Arial Unicode MS"/>
        </w:rPr>
        <w:t>Comité</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hyperlink r:id="rId107" w:history="1">
        <w:r>
          <w:rPr>
            <w:rFonts w:ascii="Arial Unicode MS" w:eastAsia="Arial Unicode MS" w:hAnsi="Arial Unicode MS" w:cs="Arial Unicode MS"/>
          </w:rPr>
          <w:t>Observación</w:t>
        </w:r>
        <w:r>
          <w:t xml:space="preserve"> </w:t>
        </w:r>
        <w:r>
          <w:rPr>
            <w:rFonts w:ascii="Arial Unicode MS" w:eastAsia="Arial Unicode MS" w:hAnsi="Arial Unicode MS" w:cs="Arial Unicode MS"/>
          </w:rPr>
          <w:t>General</w:t>
        </w:r>
        <w:r>
          <w:t xml:space="preserve"> </w:t>
        </w:r>
        <w:r>
          <w:rPr>
            <w:rFonts w:ascii="Arial Unicode MS" w:eastAsia="Arial Unicode MS" w:hAnsi="Arial Unicode MS" w:cs="Arial Unicode MS"/>
          </w:rPr>
          <w:t>núm.</w:t>
        </w:r>
        <w:r>
          <w:t xml:space="preserve"> 3</w:t>
        </w:r>
        <w:r>
          <w:rPr>
            <w:rFonts w:ascii="Arial Unicode MS" w:eastAsia="Arial Unicode MS" w:hAnsi="Arial Unicode MS" w:cs="Arial Unicode MS"/>
          </w:rPr>
          <w:t>,</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mujeres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niñas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hyperlink>
      <w:r>
        <w:rPr>
          <w:rFonts w:ascii="Arial Unicode MS" w:eastAsia="Arial Unicode MS" w:hAnsi="Arial Unicode MS" w:cs="Arial Unicode MS"/>
        </w:rPr>
        <w:t>,</w:t>
      </w:r>
      <w:r>
        <w:t xml:space="preserve"> 25 </w:t>
      </w:r>
      <w:r>
        <w:rPr>
          <w:rFonts w:ascii="Arial Unicode MS" w:eastAsia="Arial Unicode MS" w:hAnsi="Arial Unicode MS" w:cs="Arial Unicode MS"/>
        </w:rPr>
        <w:t>de</w:t>
      </w:r>
      <w:r>
        <w:t xml:space="preserve"> </w:t>
      </w:r>
      <w:r>
        <w:rPr>
          <w:rFonts w:ascii="Arial Unicode MS" w:eastAsia="Arial Unicode MS" w:hAnsi="Arial Unicode MS" w:cs="Arial Unicode MS"/>
        </w:rPr>
        <w:t>noviembre</w:t>
      </w:r>
      <w:r>
        <w:t xml:space="preserve"> </w:t>
      </w:r>
      <w:r>
        <w:rPr>
          <w:rFonts w:ascii="Arial Unicode MS" w:eastAsia="Arial Unicode MS" w:hAnsi="Arial Unicode MS" w:cs="Arial Unicode MS"/>
        </w:rPr>
        <w:t>de</w:t>
      </w:r>
      <w:r>
        <w:t xml:space="preserve"> 2016</w:t>
      </w:r>
      <w:r>
        <w:rPr>
          <w:rFonts w:ascii="Arial Unicode MS" w:eastAsia="Arial Unicode MS" w:hAnsi="Arial Unicode MS" w:cs="Arial Unicode MS"/>
        </w:rPr>
        <w:t>.</w:t>
      </w:r>
    </w:p>
  </w:footnote>
  <w:footnote w:id="86">
    <w:p w14:paraId="6225512C"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interseccionalidad</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método</w:t>
      </w:r>
      <w:r>
        <w:rPr>
          <w:color w:val="2B477B"/>
        </w:rPr>
        <w:t xml:space="preserve"> </w:t>
      </w:r>
      <w:r>
        <w:rPr>
          <w:rFonts w:ascii="Arial Unicode MS" w:eastAsia="Arial Unicode MS" w:hAnsi="Arial Unicode MS" w:cs="Arial Unicode MS"/>
          <w:color w:val="2B477B"/>
        </w:rPr>
        <w:t>u</w:t>
      </w:r>
      <w:r>
        <w:rPr>
          <w:color w:val="2B477B"/>
        </w:rPr>
        <w:t xml:space="preserve"> </w:t>
      </w:r>
      <w:r>
        <w:rPr>
          <w:rFonts w:ascii="Arial Unicode MS" w:eastAsia="Arial Unicode MS" w:hAnsi="Arial Unicode MS" w:cs="Arial Unicode MS"/>
          <w:color w:val="2B477B"/>
        </w:rPr>
        <w:t>enfoque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entiende</w:t>
      </w:r>
      <w:r>
        <w:rPr>
          <w:color w:val="2B477B"/>
        </w:rPr>
        <w:t xml:space="preserve"> </w:t>
      </w:r>
      <w:r>
        <w:rPr>
          <w:rFonts w:ascii="Arial Unicode MS" w:eastAsia="Arial Unicode MS" w:hAnsi="Arial Unicode MS" w:cs="Arial Unicode MS"/>
          <w:color w:val="2B477B"/>
        </w:rPr>
        <w:t>aquí</w:t>
      </w:r>
      <w:r>
        <w:rPr>
          <w:color w:val="2B477B"/>
        </w:rPr>
        <w:t xml:space="preserve"> </w:t>
      </w:r>
      <w:r>
        <w:rPr>
          <w:rFonts w:ascii="Arial Unicode MS" w:eastAsia="Arial Unicode MS" w:hAnsi="Arial Unicode MS" w:cs="Arial Unicode MS"/>
          <w:color w:val="2B477B"/>
        </w:rPr>
        <w:t>abordar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respuestas</w:t>
      </w:r>
      <w:r>
        <w:rPr>
          <w:color w:val="2B477B"/>
        </w:rPr>
        <w:t xml:space="preserve"> </w:t>
      </w:r>
      <w:r>
        <w:rPr>
          <w:rFonts w:ascii="Arial Unicode MS" w:eastAsia="Arial Unicode MS" w:hAnsi="Arial Unicode MS" w:cs="Arial Unicode MS"/>
          <w:color w:val="2B477B"/>
        </w:rPr>
        <w:t>políticas,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manera</w:t>
      </w:r>
      <w:r>
        <w:rPr>
          <w:color w:val="2B477B"/>
        </w:rPr>
        <w:t xml:space="preserve"> </w:t>
      </w:r>
      <w:r>
        <w:rPr>
          <w:rFonts w:ascii="Arial Unicode MS" w:eastAsia="Arial Unicode MS" w:hAnsi="Arial Unicode MS" w:cs="Arial Unicode MS"/>
          <w:color w:val="2B477B"/>
        </w:rPr>
        <w:t>simultánea</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integral,</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efectos</w:t>
      </w:r>
      <w:r>
        <w:rPr>
          <w:color w:val="2B477B"/>
        </w:rPr>
        <w:t xml:space="preserve"> </w:t>
      </w:r>
      <w:r>
        <w:rPr>
          <w:rFonts w:ascii="Arial Unicode MS" w:eastAsia="Arial Unicode MS" w:hAnsi="Arial Unicode MS" w:cs="Arial Unicode MS"/>
          <w:color w:val="2B477B"/>
        </w:rPr>
        <w:t>complejos,</w:t>
      </w:r>
      <w:r>
        <w:rPr>
          <w:color w:val="2B477B"/>
        </w:rPr>
        <w:t xml:space="preserve"> </w:t>
      </w:r>
      <w:r>
        <w:rPr>
          <w:rFonts w:ascii="Arial Unicode MS" w:eastAsia="Arial Unicode MS" w:hAnsi="Arial Unicode MS" w:cs="Arial Unicode MS"/>
          <w:color w:val="2B477B"/>
        </w:rPr>
        <w:t>irreductibles,</w:t>
      </w:r>
      <w:r>
        <w:rPr>
          <w:color w:val="2B477B"/>
        </w:rPr>
        <w:t xml:space="preserve"> </w:t>
      </w:r>
      <w:r>
        <w:rPr>
          <w:rFonts w:ascii="Arial Unicode MS" w:eastAsia="Arial Unicode MS" w:hAnsi="Arial Unicode MS" w:cs="Arial Unicode MS"/>
          <w:color w:val="2B477B"/>
        </w:rPr>
        <w:t>variados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variables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resultan</w:t>
      </w:r>
      <w:r>
        <w:rPr>
          <w:color w:val="2B477B"/>
        </w:rPr>
        <w:t xml:space="preserve"> </w:t>
      </w:r>
      <w:r>
        <w:rPr>
          <w:rFonts w:ascii="Arial Unicode MS" w:eastAsia="Arial Unicode MS" w:hAnsi="Arial Unicode MS" w:cs="Arial Unicode MS"/>
          <w:color w:val="2B477B"/>
        </w:rPr>
        <w:t>cuando</w:t>
      </w:r>
      <w:r>
        <w:rPr>
          <w:color w:val="2B477B"/>
        </w:rPr>
        <w:t xml:space="preserve"> </w:t>
      </w:r>
      <w:r>
        <w:rPr>
          <w:rFonts w:ascii="Arial Unicode MS" w:eastAsia="Arial Unicode MS" w:hAnsi="Arial Unicode MS" w:cs="Arial Unicode MS"/>
          <w:color w:val="2B477B"/>
        </w:rPr>
        <w:t>múltiples</w:t>
      </w:r>
      <w:r>
        <w:rPr>
          <w:color w:val="2B477B"/>
        </w:rPr>
        <w:t xml:space="preserve"> </w:t>
      </w:r>
      <w:r>
        <w:rPr>
          <w:rFonts w:ascii="Arial Unicode MS" w:eastAsia="Arial Unicode MS" w:hAnsi="Arial Unicode MS" w:cs="Arial Unicode MS"/>
          <w:color w:val="2B477B"/>
        </w:rPr>
        <w:t>ejes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desigualdad</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intersectan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contextos</w:t>
      </w:r>
      <w:r>
        <w:rPr>
          <w:color w:val="2B477B"/>
        </w:rPr>
        <w:t xml:space="preserve"> </w:t>
      </w:r>
      <w:r>
        <w:rPr>
          <w:rFonts w:ascii="Arial Unicode MS" w:eastAsia="Arial Unicode MS" w:hAnsi="Arial Unicode MS" w:cs="Arial Unicode MS"/>
          <w:color w:val="2B477B"/>
        </w:rPr>
        <w:t>históricos</w:t>
      </w:r>
      <w:r>
        <w:rPr>
          <w:color w:val="2B477B"/>
        </w:rPr>
        <w:t xml:space="preserve"> </w:t>
      </w:r>
      <w:r>
        <w:rPr>
          <w:rFonts w:ascii="Arial Unicode MS" w:eastAsia="Arial Unicode MS" w:hAnsi="Arial Unicode MS" w:cs="Arial Unicode MS"/>
          <w:color w:val="2B477B"/>
        </w:rPr>
        <w:t>específicos,</w:t>
      </w:r>
      <w:r>
        <w:rPr>
          <w:color w:val="2B477B"/>
        </w:rPr>
        <w:t xml:space="preserve"> </w:t>
      </w:r>
      <w:r>
        <w:rPr>
          <w:rFonts w:ascii="Arial Unicode MS" w:eastAsia="Arial Unicode MS" w:hAnsi="Arial Unicode MS" w:cs="Arial Unicode MS"/>
          <w:color w:val="2B477B"/>
        </w:rPr>
        <w:t>produciendo</w:t>
      </w:r>
      <w:r>
        <w:rPr>
          <w:color w:val="2B477B"/>
        </w:rPr>
        <w:t xml:space="preserve"> </w:t>
      </w:r>
      <w:r>
        <w:rPr>
          <w:rFonts w:ascii="Arial Unicode MS" w:eastAsia="Arial Unicode MS" w:hAnsi="Arial Unicode MS" w:cs="Arial Unicode MS"/>
          <w:color w:val="2B477B"/>
        </w:rPr>
        <w:t>afectaciones</w:t>
      </w:r>
      <w:r>
        <w:rPr>
          <w:color w:val="2B477B"/>
        </w:rPr>
        <w:t xml:space="preserve"> </w:t>
      </w:r>
      <w:r>
        <w:rPr>
          <w:rFonts w:ascii="Arial Unicode MS" w:eastAsia="Arial Unicode MS" w:hAnsi="Arial Unicode MS" w:cs="Arial Unicode MS"/>
          <w:color w:val="2B477B"/>
        </w:rPr>
        <w:t>únicas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indivisibles.</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enfoque</w:t>
      </w:r>
      <w:r>
        <w:rPr>
          <w:color w:val="2B477B"/>
        </w:rPr>
        <w:t xml:space="preserve"> </w:t>
      </w:r>
      <w:r>
        <w:rPr>
          <w:rFonts w:ascii="Arial Unicode MS" w:eastAsia="Arial Unicode MS" w:hAnsi="Arial Unicode MS" w:cs="Arial Unicode MS"/>
          <w:color w:val="2B477B"/>
        </w:rPr>
        <w:t>interseccional</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fundamental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hora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crear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evaluar</w:t>
      </w:r>
      <w:r>
        <w:rPr>
          <w:color w:val="2B477B"/>
        </w:rPr>
        <w:t xml:space="preserve"> </w:t>
      </w:r>
      <w:r>
        <w:rPr>
          <w:rFonts w:ascii="Arial Unicode MS" w:eastAsia="Arial Unicode MS" w:hAnsi="Arial Unicode MS" w:cs="Arial Unicode MS"/>
          <w:color w:val="2B477B"/>
        </w:rPr>
        <w:t>políticas,</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ponderar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impactos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fin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evitar</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centrado</w:t>
      </w:r>
      <w:r>
        <w:rPr>
          <w:color w:val="2B477B"/>
        </w:rPr>
        <w:t xml:space="preserve"> </w:t>
      </w:r>
      <w:r>
        <w:rPr>
          <w:rFonts w:ascii="Arial Unicode MS" w:eastAsia="Arial Unicode MS" w:hAnsi="Arial Unicode MS" w:cs="Arial Unicode MS"/>
          <w:color w:val="2B477B"/>
        </w:rPr>
        <w:t>únicamente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aceptación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factor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predominante,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invisibiliza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intersección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factores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Crenshaw,</w:t>
      </w:r>
      <w:r>
        <w:rPr>
          <w:color w:val="2B477B"/>
        </w:rPr>
        <w:t xml:space="preserve"> </w:t>
      </w:r>
      <w:r>
        <w:rPr>
          <w:rFonts w:ascii="Arial Unicode MS" w:eastAsia="Arial Unicode MS" w:hAnsi="Arial Unicode MS" w:cs="Arial Unicode MS"/>
          <w:color w:val="2B477B"/>
        </w:rPr>
        <w:t>Kimberle,</w:t>
      </w:r>
      <w:r>
        <w:rPr>
          <w:color w:val="2B477B"/>
        </w:rPr>
        <w:t xml:space="preserve"> </w:t>
      </w:r>
      <w:r>
        <w:rPr>
          <w:rFonts w:ascii="Arial Unicode MS" w:eastAsia="Arial Unicode MS" w:hAnsi="Arial Unicode MS" w:cs="Arial Unicode MS"/>
          <w:color w:val="2B477B"/>
        </w:rPr>
        <w:t>“</w:t>
      </w:r>
      <w:hyperlink r:id="rId108" w:history="1">
        <w:r>
          <w:rPr>
            <w:rFonts w:ascii="Arial Unicode MS" w:eastAsia="Arial Unicode MS" w:hAnsi="Arial Unicode MS" w:cs="Arial Unicode MS"/>
            <w:color w:val="2B477B"/>
          </w:rPr>
          <w:t>Demarginalizing</w:t>
        </w:r>
        <w:r>
          <w:rPr>
            <w:color w:val="2B477B"/>
          </w:rPr>
          <w:t xml:space="preserve"> </w:t>
        </w:r>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Intersection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Race</w:t>
        </w:r>
        <w:r>
          <w:rPr>
            <w:color w:val="2B477B"/>
          </w:rPr>
          <w:t xml:space="preserve"> </w:t>
        </w:r>
        <w:r>
          <w:rPr>
            <w:rFonts w:ascii="Arial Unicode MS" w:eastAsia="Arial Unicode MS" w:hAnsi="Arial Unicode MS" w:cs="Arial Unicode MS"/>
            <w:color w:val="2B477B"/>
          </w:rPr>
          <w:t>and</w:t>
        </w:r>
        <w:r>
          <w:rPr>
            <w:color w:val="2B477B"/>
          </w:rPr>
          <w:t xml:space="preserve"> </w:t>
        </w:r>
        <w:r>
          <w:rPr>
            <w:rFonts w:ascii="Arial Unicode MS" w:eastAsia="Arial Unicode MS" w:hAnsi="Arial Unicode MS" w:cs="Arial Unicode MS"/>
            <w:color w:val="2B477B"/>
          </w:rPr>
          <w:t>Sex:</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Black</w:t>
        </w:r>
        <w:r>
          <w:rPr>
            <w:color w:val="2B477B"/>
          </w:rPr>
          <w:t xml:space="preserve"> </w:t>
        </w:r>
        <w:r>
          <w:rPr>
            <w:rFonts w:ascii="Arial Unicode MS" w:eastAsia="Arial Unicode MS" w:hAnsi="Arial Unicode MS" w:cs="Arial Unicode MS"/>
            <w:color w:val="2B477B"/>
          </w:rPr>
          <w:t>Feminist</w:t>
        </w:r>
        <w:r>
          <w:rPr>
            <w:color w:val="2B477B"/>
          </w:rPr>
          <w:t xml:space="preserve"> </w:t>
        </w:r>
        <w:r>
          <w:rPr>
            <w:rFonts w:ascii="Arial Unicode MS" w:eastAsia="Arial Unicode MS" w:hAnsi="Arial Unicode MS" w:cs="Arial Unicode MS"/>
            <w:color w:val="2B477B"/>
          </w:rPr>
          <w:t>Critique</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Antidiscrimination</w:t>
        </w:r>
        <w:r>
          <w:rPr>
            <w:color w:val="2B477B"/>
          </w:rPr>
          <w:t xml:space="preserve"> </w:t>
        </w:r>
        <w:r>
          <w:rPr>
            <w:rFonts w:ascii="Arial Unicode MS" w:eastAsia="Arial Unicode MS" w:hAnsi="Arial Unicode MS" w:cs="Arial Unicode MS"/>
            <w:color w:val="2B477B"/>
          </w:rPr>
          <w:t>Doctrine,</w:t>
        </w:r>
        <w:r>
          <w:rPr>
            <w:color w:val="2B477B"/>
          </w:rPr>
          <w:t xml:space="preserve"> </w:t>
        </w:r>
        <w:r>
          <w:rPr>
            <w:rFonts w:ascii="Arial Unicode MS" w:eastAsia="Arial Unicode MS" w:hAnsi="Arial Unicode MS" w:cs="Arial Unicode MS"/>
            <w:color w:val="2B477B"/>
          </w:rPr>
          <w:t>Feminist</w:t>
        </w:r>
        <w:r>
          <w:rPr>
            <w:color w:val="2B477B"/>
          </w:rPr>
          <w:t xml:space="preserve"> </w:t>
        </w:r>
        <w:r>
          <w:rPr>
            <w:rFonts w:ascii="Arial Unicode MS" w:eastAsia="Arial Unicode MS" w:hAnsi="Arial Unicode MS" w:cs="Arial Unicode MS"/>
            <w:color w:val="2B477B"/>
          </w:rPr>
          <w:t>Theory</w:t>
        </w:r>
        <w:r>
          <w:rPr>
            <w:color w:val="2B477B"/>
          </w:rPr>
          <w:t xml:space="preserve"> </w:t>
        </w:r>
        <w:r>
          <w:rPr>
            <w:rFonts w:ascii="Arial Unicode MS" w:eastAsia="Arial Unicode MS" w:hAnsi="Arial Unicode MS" w:cs="Arial Unicode MS"/>
            <w:color w:val="2B477B"/>
          </w:rPr>
          <w:t>and</w:t>
        </w:r>
        <w:r>
          <w:rPr>
            <w:color w:val="2B477B"/>
          </w:rPr>
          <w:t xml:space="preserve"> </w:t>
        </w:r>
        <w:r>
          <w:rPr>
            <w:rFonts w:ascii="Arial Unicode MS" w:eastAsia="Arial Unicode MS" w:hAnsi="Arial Unicode MS" w:cs="Arial Unicode MS"/>
            <w:color w:val="2B477B"/>
          </w:rPr>
          <w:t>Antiracist</w:t>
        </w:r>
        <w:r>
          <w:rPr>
            <w:color w:val="2B477B"/>
          </w:rPr>
          <w:t xml:space="preserve"> </w:t>
        </w:r>
        <w:r>
          <w:rPr>
            <w:rFonts w:ascii="Arial Unicode MS" w:eastAsia="Arial Unicode MS" w:hAnsi="Arial Unicode MS" w:cs="Arial Unicode MS"/>
            <w:color w:val="2B477B"/>
          </w:rPr>
          <w:t>Politics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University</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Chicago</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Forum</w:t>
      </w:r>
      <w:r>
        <w:rPr>
          <w:color w:val="2B477B"/>
        </w:rPr>
        <w:t xml:space="preserve"> 1 </w:t>
      </w:r>
      <w:r>
        <w:rPr>
          <w:rFonts w:ascii="Arial Unicode MS" w:eastAsia="Arial Unicode MS" w:hAnsi="Arial Unicode MS" w:cs="Arial Unicode MS"/>
          <w:color w:val="2B477B"/>
        </w:rPr>
        <w:t>n.</w:t>
      </w:r>
      <w:r>
        <w:rPr>
          <w:rFonts w:ascii="Arial Unicode MS" w:eastAsia="Arial Unicode MS" w:hAnsi="Arial Unicode MS" w:cs="Arial Unicode MS"/>
          <w:color w:val="2B477B"/>
          <w:vertAlign w:val="superscript"/>
        </w:rPr>
        <w:t>o</w:t>
      </w:r>
      <w:r>
        <w:rPr>
          <w:color w:val="2B477B"/>
        </w:rPr>
        <w:t xml:space="preserve"> 8 </w:t>
      </w:r>
      <w:r>
        <w:rPr>
          <w:rFonts w:ascii="Arial Unicode MS" w:eastAsia="Arial Unicode MS" w:hAnsi="Arial Unicode MS" w:cs="Arial Unicode MS"/>
          <w:color w:val="2B477B"/>
        </w:rPr>
        <w:t>(</w:t>
      </w:r>
      <w:r>
        <w:rPr>
          <w:color w:val="2B477B"/>
        </w:rPr>
        <w:t>1989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149 </w:t>
      </w:r>
      <w:r>
        <w:rPr>
          <w:rFonts w:ascii="Arial Unicode MS" w:eastAsia="Arial Unicode MS" w:hAnsi="Arial Unicode MS" w:cs="Arial Unicode MS"/>
          <w:color w:val="2B477B"/>
        </w:rPr>
        <w:t>y</w:t>
      </w:r>
      <w:r>
        <w:rPr>
          <w:color w:val="2B477B"/>
        </w:rPr>
        <w:t xml:space="preserve"> 152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Brah,</w:t>
      </w:r>
      <w:r>
        <w:rPr>
          <w:color w:val="2B477B"/>
        </w:rPr>
        <w:t xml:space="preserve"> </w:t>
      </w:r>
      <w:r>
        <w:rPr>
          <w:rFonts w:ascii="Arial Unicode MS" w:eastAsia="Arial Unicode MS" w:hAnsi="Arial Unicode MS" w:cs="Arial Unicode MS"/>
          <w:color w:val="2B477B"/>
        </w:rPr>
        <w:t>Avtar,</w:t>
      </w:r>
      <w:r>
        <w:rPr>
          <w:color w:val="2B477B"/>
        </w:rPr>
        <w:t xml:space="preserve"> </w:t>
      </w:r>
      <w:r>
        <w:rPr>
          <w:rFonts w:ascii="Arial Unicode MS" w:eastAsia="Arial Unicode MS" w:hAnsi="Arial Unicode MS" w:cs="Arial Unicode MS"/>
          <w:color w:val="2B477B"/>
        </w:rPr>
        <w:t>“</w:t>
      </w:r>
      <w:hyperlink r:id="rId109" w:history="1">
        <w:r>
          <w:rPr>
            <w:rFonts w:ascii="Arial Unicode MS" w:eastAsia="Arial Unicode MS" w:hAnsi="Arial Unicode MS" w:cs="Arial Unicode MS"/>
            <w:color w:val="2B477B"/>
          </w:rPr>
          <w:t>Ain’t</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Woman?</w:t>
        </w:r>
        <w:r>
          <w:rPr>
            <w:color w:val="2B477B"/>
          </w:rPr>
          <w:t xml:space="preserve"> </w:t>
        </w:r>
        <w:r>
          <w:rPr>
            <w:rFonts w:ascii="Arial Unicode MS" w:eastAsia="Arial Unicode MS" w:hAnsi="Arial Unicode MS" w:cs="Arial Unicode MS"/>
            <w:color w:val="2B477B"/>
          </w:rPr>
          <w:t>Revisiting</w:t>
        </w:r>
        <w:r>
          <w:rPr>
            <w:color w:val="2B477B"/>
          </w:rPr>
          <w:t xml:space="preserve"> </w:t>
        </w:r>
        <w:r>
          <w:rPr>
            <w:rFonts w:ascii="Arial Unicode MS" w:eastAsia="Arial Unicode MS" w:hAnsi="Arial Unicode MS" w:cs="Arial Unicode MS"/>
            <w:color w:val="2B477B"/>
          </w:rPr>
          <w:t>Intersectionality</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Journal</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International</w:t>
      </w:r>
      <w:r>
        <w:rPr>
          <w:color w:val="2B477B"/>
        </w:rPr>
        <w:t xml:space="preserve"> </w:t>
      </w:r>
      <w:r>
        <w:rPr>
          <w:rFonts w:ascii="Arial Unicode MS" w:eastAsia="Arial Unicode MS" w:hAnsi="Arial Unicode MS" w:cs="Arial Unicode MS"/>
          <w:color w:val="2B477B"/>
        </w:rPr>
        <w:t>Women's</w:t>
      </w:r>
      <w:r>
        <w:rPr>
          <w:color w:val="2B477B"/>
        </w:rPr>
        <w:t xml:space="preserve"> </w:t>
      </w:r>
      <w:r>
        <w:rPr>
          <w:rFonts w:ascii="Arial Unicode MS" w:eastAsia="Arial Unicode MS" w:hAnsi="Arial Unicode MS" w:cs="Arial Unicode MS"/>
          <w:color w:val="2B477B"/>
        </w:rPr>
        <w:t>Studies,</w:t>
      </w:r>
      <w:r>
        <w:rPr>
          <w:color w:val="2B477B"/>
        </w:rPr>
        <w:t xml:space="preserve"> 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Iss.</w:t>
      </w:r>
      <w:r>
        <w:rPr>
          <w:color w:val="2B477B"/>
        </w:rPr>
        <w:t xml:space="preserve"> 3</w:t>
      </w:r>
      <w:r>
        <w:rPr>
          <w:rFonts w:ascii="Arial Unicode MS" w:eastAsia="Arial Unicode MS" w:hAnsi="Arial Unicode MS" w:cs="Arial Unicode MS"/>
          <w:color w:val="2B477B"/>
        </w:rPr>
        <w:t>(</w:t>
      </w:r>
      <w:r>
        <w:rPr>
          <w:color w:val="2B477B"/>
        </w:rPr>
        <w:t>2004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article</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utilizó</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vez</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concepto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“interseccionalidad”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sufrida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niña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González</w:t>
      </w:r>
      <w:r>
        <w:rPr>
          <w:color w:val="2B477B"/>
        </w:rPr>
        <w:t xml:space="preserve"> </w:t>
      </w:r>
      <w:r>
        <w:rPr>
          <w:rFonts w:ascii="Arial Unicode MS" w:eastAsia="Arial Unicode MS" w:hAnsi="Arial Unicode MS" w:cs="Arial Unicode MS"/>
          <w:color w:val="2B477B"/>
        </w:rPr>
        <w:t>Lluy</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afirma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“confluyeron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forma</w:t>
      </w:r>
      <w:r>
        <w:rPr>
          <w:color w:val="2B477B"/>
        </w:rPr>
        <w:t xml:space="preserve"> </w:t>
      </w:r>
      <w:r>
        <w:rPr>
          <w:rFonts w:ascii="Arial Unicode MS" w:eastAsia="Arial Unicode MS" w:hAnsi="Arial Unicode MS" w:cs="Arial Unicode MS"/>
          <w:color w:val="2B477B"/>
        </w:rPr>
        <w:t>interseccional</w:t>
      </w:r>
      <w:r>
        <w:rPr>
          <w:color w:val="2B477B"/>
        </w:rPr>
        <w:t xml:space="preserve"> </w:t>
      </w:r>
      <w:r>
        <w:rPr>
          <w:rFonts w:ascii="Arial Unicode MS" w:eastAsia="Arial Unicode MS" w:hAnsi="Arial Unicode MS" w:cs="Arial Unicode MS"/>
          <w:color w:val="2B477B"/>
        </w:rPr>
        <w:t>múltiples</w:t>
      </w:r>
      <w:r>
        <w:rPr>
          <w:color w:val="2B477B"/>
        </w:rPr>
        <w:t xml:space="preserve"> </w:t>
      </w:r>
      <w:r>
        <w:rPr>
          <w:rFonts w:ascii="Arial Unicode MS" w:eastAsia="Arial Unicode MS" w:hAnsi="Arial Unicode MS" w:cs="Arial Unicode MS"/>
          <w:color w:val="2B477B"/>
        </w:rPr>
        <w:t>factores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vulnerabilidad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riesgo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asociados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condición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niña,</w:t>
      </w:r>
      <w:r>
        <w:rPr>
          <w:color w:val="2B477B"/>
        </w:rPr>
        <w:t xml:space="preserve"> </w:t>
      </w:r>
      <w:r>
        <w:rPr>
          <w:rFonts w:ascii="Arial Unicode MS" w:eastAsia="Arial Unicode MS" w:hAnsi="Arial Unicode MS" w:cs="Arial Unicode MS"/>
          <w:color w:val="2B477B"/>
        </w:rPr>
        <w:t>mujer,</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pobreza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VIH.</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vivió</w:t>
      </w:r>
      <w:r>
        <w:rPr>
          <w:color w:val="2B477B"/>
        </w:rPr>
        <w:t xml:space="preserve"> </w:t>
      </w:r>
      <w:r>
        <w:rPr>
          <w:rFonts w:ascii="Arial Unicode MS" w:eastAsia="Arial Unicode MS" w:hAnsi="Arial Unicode MS" w:cs="Arial Unicode MS"/>
          <w:color w:val="2B477B"/>
        </w:rPr>
        <w:t>Talía</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sólo</w:t>
      </w:r>
      <w:r>
        <w:rPr>
          <w:color w:val="2B477B"/>
        </w:rPr>
        <w:t xml:space="preserve"> </w:t>
      </w:r>
      <w:r>
        <w:rPr>
          <w:rFonts w:ascii="Arial Unicode MS" w:eastAsia="Arial Unicode MS" w:hAnsi="Arial Unicode MS" w:cs="Arial Unicode MS"/>
          <w:color w:val="2B477B"/>
        </w:rPr>
        <w:t>fue</w:t>
      </w:r>
      <w:r>
        <w:rPr>
          <w:color w:val="2B477B"/>
        </w:rPr>
        <w:t xml:space="preserve"> </w:t>
      </w:r>
      <w:r>
        <w:rPr>
          <w:rFonts w:ascii="Arial Unicode MS" w:eastAsia="Arial Unicode MS" w:hAnsi="Arial Unicode MS" w:cs="Arial Unicode MS"/>
          <w:color w:val="2B477B"/>
        </w:rPr>
        <w:t>ocasionada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múltiples</w:t>
      </w:r>
      <w:r>
        <w:rPr>
          <w:color w:val="2B477B"/>
        </w:rPr>
        <w:t xml:space="preserve"> </w:t>
      </w:r>
      <w:r>
        <w:rPr>
          <w:rFonts w:ascii="Arial Unicode MS" w:eastAsia="Arial Unicode MS" w:hAnsi="Arial Unicode MS" w:cs="Arial Unicode MS"/>
          <w:color w:val="2B477B"/>
        </w:rPr>
        <w:t>factores,</w:t>
      </w:r>
      <w:r>
        <w:rPr>
          <w:color w:val="2B477B"/>
        </w:rPr>
        <w:t xml:space="preserve"> </w:t>
      </w:r>
      <w:r>
        <w:rPr>
          <w:rFonts w:ascii="Arial Unicode MS" w:eastAsia="Arial Unicode MS" w:hAnsi="Arial Unicode MS" w:cs="Arial Unicode MS"/>
          <w:color w:val="2B477B"/>
        </w:rPr>
        <w:t>sino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derivó</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forma</w:t>
      </w:r>
      <w:r>
        <w:rPr>
          <w:color w:val="2B477B"/>
        </w:rPr>
        <w:t xml:space="preserve"> </w:t>
      </w:r>
      <w:r>
        <w:rPr>
          <w:rFonts w:ascii="Arial Unicode MS" w:eastAsia="Arial Unicode MS" w:hAnsi="Arial Unicode MS" w:cs="Arial Unicode MS"/>
          <w:color w:val="2B477B"/>
        </w:rPr>
        <w:t>específica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resultó</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intersección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dichos</w:t>
      </w:r>
      <w:r>
        <w:rPr>
          <w:color w:val="2B477B"/>
        </w:rPr>
        <w:t xml:space="preserve"> </w:t>
      </w:r>
      <w:r>
        <w:rPr>
          <w:rFonts w:ascii="Arial Unicode MS" w:eastAsia="Arial Unicode MS" w:hAnsi="Arial Unicode MS" w:cs="Arial Unicode MS"/>
          <w:color w:val="2B477B"/>
        </w:rPr>
        <w:t>factores,</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decir,</w:t>
      </w:r>
      <w:r>
        <w:rPr>
          <w:color w:val="2B477B"/>
        </w:rPr>
        <w:t xml:space="preserve"> </w:t>
      </w:r>
      <w:r>
        <w:rPr>
          <w:rFonts w:ascii="Arial Unicode MS" w:eastAsia="Arial Unicode MS" w:hAnsi="Arial Unicode MS" w:cs="Arial Unicode MS"/>
          <w:color w:val="2B477B"/>
        </w:rPr>
        <w:t>si</w:t>
      </w:r>
      <w:r>
        <w:rPr>
          <w:color w:val="2B477B"/>
        </w:rPr>
        <w:t xml:space="preserve"> </w:t>
      </w:r>
      <w:r>
        <w:rPr>
          <w:rFonts w:ascii="Arial Unicode MS" w:eastAsia="Arial Unicode MS" w:hAnsi="Arial Unicode MS" w:cs="Arial Unicode MS"/>
          <w:color w:val="2B477B"/>
        </w:rPr>
        <w:t>alguno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dichos</w:t>
      </w:r>
      <w:r>
        <w:rPr>
          <w:color w:val="2B477B"/>
        </w:rPr>
        <w:t xml:space="preserve"> </w:t>
      </w:r>
      <w:r>
        <w:rPr>
          <w:rFonts w:ascii="Arial Unicode MS" w:eastAsia="Arial Unicode MS" w:hAnsi="Arial Unicode MS" w:cs="Arial Unicode MS"/>
          <w:color w:val="2B477B"/>
        </w:rPr>
        <w:t>factores</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hubiese</w:t>
      </w:r>
      <w:r>
        <w:rPr>
          <w:color w:val="2B477B"/>
        </w:rPr>
        <w:t xml:space="preserve"> </w:t>
      </w:r>
      <w:r>
        <w:rPr>
          <w:rFonts w:ascii="Arial Unicode MS" w:eastAsia="Arial Unicode MS" w:hAnsi="Arial Unicode MS" w:cs="Arial Unicode MS"/>
          <w:color w:val="2B477B"/>
        </w:rPr>
        <w:t>existido,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habría</w:t>
      </w:r>
      <w:r>
        <w:rPr>
          <w:color w:val="2B477B"/>
        </w:rPr>
        <w:t xml:space="preserve"> </w:t>
      </w:r>
      <w:r>
        <w:rPr>
          <w:rFonts w:ascii="Arial Unicode MS" w:eastAsia="Arial Unicode MS" w:hAnsi="Arial Unicode MS" w:cs="Arial Unicode MS"/>
          <w:color w:val="2B477B"/>
        </w:rPr>
        <w:t>tenido</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naturaleza</w:t>
      </w:r>
      <w:r>
        <w:rPr>
          <w:color w:val="2B477B"/>
        </w:rPr>
        <w:t xml:space="preserve"> </w:t>
      </w:r>
      <w:r>
        <w:rPr>
          <w:rFonts w:ascii="Arial Unicode MS" w:eastAsia="Arial Unicode MS" w:hAnsi="Arial Unicode MS" w:cs="Arial Unicode MS"/>
          <w:color w:val="2B477B"/>
        </w:rPr>
        <w:t>diferente”,</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110"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Gonzales</w:t>
        </w:r>
        <w:r>
          <w:rPr>
            <w:color w:val="2B477B"/>
          </w:rPr>
          <w:t xml:space="preserve"> </w:t>
        </w:r>
        <w:r>
          <w:rPr>
            <w:rFonts w:ascii="Arial Unicode MS" w:eastAsia="Arial Unicode MS" w:hAnsi="Arial Unicode MS" w:cs="Arial Unicode MS"/>
            <w:color w:val="2B477B"/>
          </w:rPr>
          <w:t>Lluy</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setiembre</w:t>
      </w:r>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párrs.</w:t>
      </w:r>
      <w:r>
        <w:rPr>
          <w:color w:val="2B477B"/>
        </w:rPr>
        <w:t xml:space="preserve"> 290</w:t>
      </w:r>
      <w:r>
        <w:rPr>
          <w:rFonts w:ascii="Arial Unicode MS" w:eastAsia="Arial Unicode MS" w:hAnsi="Arial Unicode MS" w:cs="Arial Unicode MS"/>
          <w:color w:val="2B477B"/>
        </w:rPr>
        <w:t>-</w:t>
      </w:r>
      <w:r>
        <w:rPr>
          <w:color w:val="2B477B"/>
        </w:rPr>
        <w:t>298</w:t>
      </w:r>
      <w:r>
        <w:rPr>
          <w:rFonts w:ascii="Arial Unicode MS" w:eastAsia="Arial Unicode MS" w:hAnsi="Arial Unicode MS" w:cs="Arial Unicode MS"/>
          <w:color w:val="2B477B"/>
        </w:rPr>
        <w:t>.</w:t>
      </w:r>
    </w:p>
  </w:footnote>
  <w:footnote w:id="87">
    <w:p w14:paraId="4CA7F287"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artículo</w:t>
      </w:r>
      <w:r>
        <w:t xml:space="preserve"> 31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Convención</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menciona</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su</w:t>
      </w:r>
      <w:r>
        <w:t xml:space="preserve"> </w:t>
      </w:r>
      <w:r>
        <w:rPr>
          <w:rFonts w:ascii="Arial Unicode MS" w:eastAsia="Arial Unicode MS" w:hAnsi="Arial Unicode MS" w:cs="Arial Unicode MS"/>
        </w:rPr>
        <w:t>inciso</w:t>
      </w:r>
      <w:r>
        <w:t xml:space="preserve"> 2 </w:t>
      </w:r>
      <w:r>
        <w:rPr>
          <w:rFonts w:ascii="Arial Unicode MS" w:eastAsia="Arial Unicode MS" w:hAnsi="Arial Unicode MS" w:cs="Arial Unicode MS"/>
        </w:rPr>
        <w:t>que: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recopilada</w:t>
      </w:r>
      <w:r>
        <w:t xml:space="preserve"> </w:t>
      </w:r>
      <w:r>
        <w:rPr>
          <w:rFonts w:ascii="Arial Unicode MS" w:eastAsia="Arial Unicode MS" w:hAnsi="Arial Unicode MS" w:cs="Arial Unicode MS"/>
        </w:rPr>
        <w:t>(…)</w:t>
      </w:r>
      <w:r>
        <w:t xml:space="preserve"> </w:t>
      </w:r>
      <w:r>
        <w:rPr>
          <w:rFonts w:ascii="Arial Unicode MS" w:eastAsia="Arial Unicode MS" w:hAnsi="Arial Unicode MS" w:cs="Arial Unicode MS"/>
        </w:rPr>
        <w:t>se</w:t>
      </w:r>
      <w:r>
        <w:t> </w:t>
      </w:r>
      <w:r>
        <w:rPr>
          <w:rFonts w:ascii="Arial Unicode MS" w:eastAsia="Arial Unicode MS" w:hAnsi="Arial Unicode MS" w:cs="Arial Unicode MS"/>
        </w:rPr>
        <w:t>desglosará,</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su</w:t>
      </w:r>
      <w:r>
        <w:t xml:space="preserve"> </w:t>
      </w:r>
      <w:r>
        <w:rPr>
          <w:rFonts w:ascii="Arial Unicode MS" w:eastAsia="Arial Unicode MS" w:hAnsi="Arial Unicode MS" w:cs="Arial Unicode MS"/>
        </w:rPr>
        <w:t>caso,</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utilizará</w:t>
      </w:r>
      <w:r>
        <w:t xml:space="preserve"> </w:t>
      </w:r>
      <w:r>
        <w:rPr>
          <w:rFonts w:ascii="Arial Unicode MS" w:eastAsia="Arial Unicode MS" w:hAnsi="Arial Unicode MS" w:cs="Arial Unicode MS"/>
        </w:rPr>
        <w:t>como</w:t>
      </w:r>
      <w:r>
        <w:t xml:space="preserve"> </w:t>
      </w:r>
      <w:r>
        <w:rPr>
          <w:rFonts w:ascii="Arial Unicode MS" w:eastAsia="Arial Unicode MS" w:hAnsi="Arial Unicode MS" w:cs="Arial Unicode MS"/>
        </w:rPr>
        <w:t>ayuda</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evaluar</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cumplimiento</w:t>
      </w:r>
      <w:r>
        <w:t> </w:t>
      </w:r>
      <w:r>
        <w:rPr>
          <w:rFonts w:ascii="Arial Unicode MS" w:eastAsia="Arial Unicode MS" w:hAnsi="Arial Unicode MS" w:cs="Arial Unicode MS"/>
        </w:rPr>
        <w:t>por</w:t>
      </w:r>
      <w:r>
        <w:t xml:space="preserve"> </w:t>
      </w:r>
      <w:r>
        <w:rPr>
          <w:rFonts w:ascii="Arial Unicode MS" w:eastAsia="Arial Unicode MS" w:hAnsi="Arial Unicode MS" w:cs="Arial Unicode MS"/>
        </w:rPr>
        <w:t>los</w:t>
      </w:r>
      <w:r>
        <w:t xml:space="preserve"> </w:t>
      </w:r>
      <w:proofErr w:type="gramStart"/>
      <w:r>
        <w:rPr>
          <w:rFonts w:ascii="Arial Unicode MS" w:eastAsia="Arial Unicode MS" w:hAnsi="Arial Unicode MS" w:cs="Arial Unicode MS"/>
        </w:rPr>
        <w:t>Estados</w:t>
      </w:r>
      <w:r>
        <w:t xml:space="preserve"> </w:t>
      </w:r>
      <w:r>
        <w:rPr>
          <w:rFonts w:ascii="Arial Unicode MS" w:eastAsia="Arial Unicode MS" w:hAnsi="Arial Unicode MS" w:cs="Arial Unicode MS"/>
        </w:rPr>
        <w:t>Partes</w:t>
      </w:r>
      <w:proofErr w:type="gramEnd"/>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sus</w:t>
      </w:r>
      <w:r>
        <w:t xml:space="preserve"> </w:t>
      </w:r>
      <w:r>
        <w:rPr>
          <w:rFonts w:ascii="Arial Unicode MS" w:eastAsia="Arial Unicode MS" w:hAnsi="Arial Unicode MS" w:cs="Arial Unicode MS"/>
        </w:rPr>
        <w:t>obligaciones</w:t>
      </w:r>
      <w:r>
        <w:t xml:space="preserve"> </w:t>
      </w:r>
      <w:r>
        <w:rPr>
          <w:rFonts w:ascii="Arial Unicode MS" w:eastAsia="Arial Unicode MS" w:hAnsi="Arial Unicode MS" w:cs="Arial Unicode MS"/>
        </w:rPr>
        <w:t>(…),</w:t>
      </w:r>
      <w:r>
        <w:t> </w:t>
      </w:r>
      <w:r>
        <w:rPr>
          <w:rFonts w:ascii="Arial Unicode MS" w:eastAsia="Arial Unicode MS" w:hAnsi="Arial Unicode MS" w:cs="Arial Unicode MS"/>
        </w:rPr>
        <w:t>así</w:t>
      </w:r>
      <w:r>
        <w:t xml:space="preserve"> </w:t>
      </w:r>
      <w:r>
        <w:rPr>
          <w:rFonts w:ascii="Arial Unicode MS" w:eastAsia="Arial Unicode MS" w:hAnsi="Arial Unicode MS" w:cs="Arial Unicode MS"/>
        </w:rPr>
        <w:t>como</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identificar</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eliminar</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barreras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enfrentan</w:t>
      </w:r>
      <w:r>
        <w:t xml:space="preserve"> </w:t>
      </w:r>
      <w:r>
        <w:rPr>
          <w:rFonts w:ascii="Arial Unicode MS" w:eastAsia="Arial Unicode MS" w:hAnsi="Arial Unicode MS" w:cs="Arial Unicode MS"/>
        </w:rPr>
        <w:t>las</w:t>
      </w:r>
      <w:r>
        <w:t>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ejercicio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sus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Comité</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Expertos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CDPD,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sus</w:t>
      </w:r>
      <w:r>
        <w:t xml:space="preserve"> </w:t>
      </w:r>
      <w:hyperlink r:id="rId111" w:history="1">
        <w:r>
          <w:rPr>
            <w:rStyle w:val="Hyperlink0"/>
            <w:rFonts w:ascii="Arial Unicode MS" w:eastAsia="Arial Unicode MS" w:hAnsi="Arial Unicode MS" w:cs="Arial Unicode MS"/>
          </w:rPr>
          <w:t>Observaciones</w:t>
        </w:r>
        <w:r>
          <w:rPr>
            <w:rStyle w:val="Hyperlink0"/>
          </w:rPr>
          <w:t xml:space="preserve"> </w:t>
        </w:r>
        <w:r>
          <w:rPr>
            <w:rStyle w:val="Hyperlink0"/>
            <w:rFonts w:ascii="Arial Unicode MS" w:eastAsia="Arial Unicode MS" w:hAnsi="Arial Unicode MS" w:cs="Arial Unicode MS"/>
          </w:rPr>
          <w:t>Finales</w:t>
        </w:r>
        <w:r>
          <w:rPr>
            <w:rStyle w:val="Hyperlink0"/>
          </w:rPr>
          <w:t xml:space="preserve"> </w:t>
        </w:r>
        <w:r>
          <w:rPr>
            <w:rStyle w:val="Hyperlink0"/>
            <w:rFonts w:ascii="Arial Unicode MS" w:eastAsia="Arial Unicode MS" w:hAnsi="Arial Unicode MS" w:cs="Arial Unicode MS"/>
          </w:rPr>
          <w:t>al</w:t>
        </w:r>
        <w:r>
          <w:rPr>
            <w:rStyle w:val="Hyperlink0"/>
          </w:rP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Inicial</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Colombia</w:t>
        </w:r>
      </w:hyperlink>
      <w:r>
        <w:rPr>
          <w:rFonts w:ascii="Arial Unicode MS" w:eastAsia="Arial Unicode MS" w:hAnsi="Arial Unicode MS" w:cs="Arial Unicode MS"/>
        </w:rPr>
        <w:t>,</w:t>
      </w:r>
      <w:r>
        <w:t xml:space="preserve"> </w:t>
      </w:r>
      <w:r>
        <w:rPr>
          <w:rFonts w:ascii="Arial Unicode MS" w:eastAsia="Arial Unicode MS" w:hAnsi="Arial Unicode MS" w:cs="Arial Unicode MS"/>
        </w:rPr>
        <w:t>menciona</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artículo</w:t>
      </w:r>
      <w:r>
        <w:t xml:space="preserve"> 31 </w:t>
      </w:r>
      <w:r>
        <w:rPr>
          <w:rFonts w:ascii="Arial Unicode MS" w:eastAsia="Arial Unicode MS" w:hAnsi="Arial Unicode MS" w:cs="Arial Unicode MS"/>
        </w:rPr>
        <w:t>que:</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Comité</w:t>
      </w:r>
      <w:r>
        <w:t xml:space="preserve"> </w:t>
      </w:r>
      <w:r>
        <w:rPr>
          <w:rFonts w:ascii="Arial Unicode MS" w:eastAsia="Arial Unicode MS" w:hAnsi="Arial Unicode MS" w:cs="Arial Unicode MS"/>
        </w:rPr>
        <w:t>recomienda</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Estado</w:t>
      </w:r>
      <w:r>
        <w:t xml:space="preserve"> </w:t>
      </w:r>
      <w:r>
        <w:rPr>
          <w:rFonts w:ascii="Arial Unicode MS" w:eastAsia="Arial Unicode MS" w:hAnsi="Arial Unicode MS" w:cs="Arial Unicode MS"/>
        </w:rPr>
        <w:t>parte</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recopile</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actualice</w:t>
      </w:r>
      <w:r>
        <w:t xml:space="preserve"> </w:t>
      </w:r>
      <w:r>
        <w:rPr>
          <w:rFonts w:ascii="Arial Unicode MS" w:eastAsia="Arial Unicode MS" w:hAnsi="Arial Unicode MS" w:cs="Arial Unicode MS"/>
        </w:rPr>
        <w:t>datos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estadísticas</w:t>
      </w:r>
      <w:r>
        <w:t xml:space="preserve"> </w:t>
      </w:r>
      <w:r>
        <w:rPr>
          <w:rFonts w:ascii="Arial Unicode MS" w:eastAsia="Arial Unicode MS" w:hAnsi="Arial Unicode MS" w:cs="Arial Unicode MS"/>
        </w:rPr>
        <w:t>acerca</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base</w:t>
      </w:r>
      <w:r>
        <w:t xml:space="preserve"> </w:t>
      </w:r>
      <w:r>
        <w:rPr>
          <w:rFonts w:ascii="Arial Unicode MS" w:eastAsia="Arial Unicode MS" w:hAnsi="Arial Unicode MS" w:cs="Arial Unicode MS"/>
        </w:rPr>
        <w:t>del</w:t>
      </w:r>
      <w:r>
        <w:t xml:space="preserve"> </w:t>
      </w:r>
      <w:r>
        <w:rPr>
          <w:rFonts w:ascii="Arial Unicode MS" w:eastAsia="Arial Unicode MS" w:hAnsi="Arial Unicode MS" w:cs="Arial Unicode MS"/>
        </w:rPr>
        <w:t>modelo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desglosados</w:t>
      </w:r>
      <w:r>
        <w:t xml:space="preserve"> </w:t>
      </w:r>
      <w:r>
        <w:rPr>
          <w:rFonts w:ascii="Arial Unicode MS" w:eastAsia="Arial Unicode MS" w:hAnsi="Arial Unicode MS" w:cs="Arial Unicode MS"/>
        </w:rPr>
        <w:t>por</w:t>
      </w:r>
      <w:r>
        <w:t xml:space="preserve"> </w:t>
      </w:r>
      <w:r>
        <w:rPr>
          <w:rFonts w:ascii="Arial Unicode MS" w:eastAsia="Arial Unicode MS" w:hAnsi="Arial Unicode MS" w:cs="Arial Unicode MS"/>
        </w:rPr>
        <w:t>edad,</w:t>
      </w:r>
      <w:r>
        <w:t xml:space="preserve"> </w:t>
      </w:r>
      <w:r>
        <w:rPr>
          <w:rFonts w:ascii="Arial Unicode MS" w:eastAsia="Arial Unicode MS" w:hAnsi="Arial Unicode MS" w:cs="Arial Unicode MS"/>
        </w:rPr>
        <w:t>sexo,</w:t>
      </w:r>
      <w:r>
        <w:t xml:space="preserve"> </w:t>
      </w:r>
      <w:r>
        <w:rPr>
          <w:rFonts w:ascii="Arial Unicode MS" w:eastAsia="Arial Unicode MS" w:hAnsi="Arial Unicode MS" w:cs="Arial Unicode MS"/>
        </w:rPr>
        <w:t>tipo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barreras</w:t>
      </w:r>
      <w:r>
        <w:t xml:space="preserve"> </w:t>
      </w:r>
      <w:r>
        <w:rPr>
          <w:rFonts w:ascii="Arial Unicode MS" w:eastAsia="Arial Unicode MS" w:hAnsi="Arial Unicode MS" w:cs="Arial Unicode MS"/>
        </w:rPr>
        <w:t>existentes,</w:t>
      </w:r>
      <w:r>
        <w:t xml:space="preserve"> </w:t>
      </w:r>
      <w:r>
        <w:rPr>
          <w:rFonts w:ascii="Arial Unicode MS" w:eastAsia="Arial Unicode MS" w:hAnsi="Arial Unicode MS" w:cs="Arial Unicode MS"/>
        </w:rPr>
        <w:t>pertenencia</w:t>
      </w:r>
      <w:r>
        <w:t xml:space="preserve"> </w:t>
      </w:r>
      <w:r>
        <w:rPr>
          <w:rFonts w:ascii="Arial Unicode MS" w:eastAsia="Arial Unicode MS" w:hAnsi="Arial Unicode MS" w:cs="Arial Unicode MS"/>
        </w:rPr>
        <w:t>étnica</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localización</w:t>
      </w:r>
      <w:r>
        <w:t xml:space="preserve"> </w:t>
      </w:r>
      <w:r>
        <w:rPr>
          <w:rFonts w:ascii="Arial Unicode MS" w:eastAsia="Arial Unicode MS" w:hAnsi="Arial Unicode MS" w:cs="Arial Unicode MS"/>
        </w:rPr>
        <w:t>geográfica,</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incluyan</w:t>
      </w:r>
      <w:r>
        <w:t xml:space="preserve"> </w:t>
      </w:r>
      <w:r>
        <w:rPr>
          <w:rFonts w:ascii="Arial Unicode MS" w:eastAsia="Arial Unicode MS" w:hAnsi="Arial Unicode MS" w:cs="Arial Unicode MS"/>
        </w:rPr>
        <w:t>datos</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tipo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residencia</w:t>
      </w:r>
      <w:r>
        <w:t xml:space="preserve"> </w:t>
      </w:r>
      <w:r>
        <w:rPr>
          <w:rFonts w:ascii="Arial Unicode MS" w:eastAsia="Arial Unicode MS" w:hAnsi="Arial Unicode MS" w:cs="Arial Unicode MS"/>
        </w:rPr>
        <w:t>o</w:t>
      </w:r>
      <w:r>
        <w:t xml:space="preserve"> </w:t>
      </w:r>
      <w:r>
        <w:rPr>
          <w:rFonts w:ascii="Arial Unicode MS" w:eastAsia="Arial Unicode MS" w:hAnsi="Arial Unicode MS" w:cs="Arial Unicode MS"/>
        </w:rPr>
        <w:t>institucionalización,</w:t>
      </w:r>
      <w:r>
        <w:t xml:space="preserve"> </w:t>
      </w:r>
      <w:r>
        <w:rPr>
          <w:rFonts w:ascii="Arial Unicode MS" w:eastAsia="Arial Unicode MS" w:hAnsi="Arial Unicode MS" w:cs="Arial Unicode MS"/>
        </w:rPr>
        <w:t>casos</w:t>
      </w:r>
      <w:r>
        <w:t xml:space="preserve"> </w:t>
      </w:r>
      <w:r>
        <w:rPr>
          <w:rFonts w:ascii="Arial Unicode MS" w:eastAsia="Arial Unicode MS" w:hAnsi="Arial Unicode MS" w:cs="Arial Unicode MS"/>
        </w:rPr>
        <w:t>por</w:t>
      </w:r>
      <w:r>
        <w:t xml:space="preserve"> </w:t>
      </w:r>
      <w:r>
        <w:rPr>
          <w:rFonts w:ascii="Arial Unicode MS" w:eastAsia="Arial Unicode MS" w:hAnsi="Arial Unicode MS" w:cs="Arial Unicode MS"/>
        </w:rPr>
        <w:t>discriminación</w:t>
      </w:r>
      <w:r>
        <w:t xml:space="preserve"> </w:t>
      </w:r>
      <w:r>
        <w:rPr>
          <w:rFonts w:ascii="Arial Unicode MS" w:eastAsia="Arial Unicode MS" w:hAnsi="Arial Unicode MS" w:cs="Arial Unicode MS"/>
        </w:rPr>
        <w:t>o</w:t>
      </w:r>
      <w:r>
        <w:t xml:space="preserve"> </w:t>
      </w:r>
      <w:r>
        <w:rPr>
          <w:rFonts w:ascii="Arial Unicode MS" w:eastAsia="Arial Unicode MS" w:hAnsi="Arial Unicode MS" w:cs="Arial Unicode MS"/>
        </w:rPr>
        <w:t>por</w:t>
      </w:r>
      <w:r>
        <w:t xml:space="preserve"> </w:t>
      </w:r>
      <w:r>
        <w:rPr>
          <w:rFonts w:ascii="Arial Unicode MS" w:eastAsia="Arial Unicode MS" w:hAnsi="Arial Unicode MS" w:cs="Arial Unicode MS"/>
        </w:rPr>
        <w:t>violencia</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contra</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estas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desarrollo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estos</w:t>
      </w:r>
      <w:r>
        <w:t xml:space="preserve"> </w:t>
      </w:r>
      <w:r>
        <w:rPr>
          <w:rFonts w:ascii="Arial Unicode MS" w:eastAsia="Arial Unicode MS" w:hAnsi="Arial Unicode MS" w:cs="Arial Unicode MS"/>
        </w:rPr>
        <w:t>procesos</w:t>
      </w:r>
      <w:r>
        <w:t xml:space="preserve"> </w:t>
      </w:r>
      <w:r>
        <w:rPr>
          <w:rFonts w:ascii="Arial Unicode MS" w:eastAsia="Arial Unicode MS" w:hAnsi="Arial Unicode MS" w:cs="Arial Unicode MS"/>
        </w:rPr>
        <w:t>recomienda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consulta</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organizaciones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respecto,</w:t>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Naciones</w:t>
      </w:r>
      <w:r>
        <w:t xml:space="preserve"> </w:t>
      </w:r>
      <w:r>
        <w:rPr>
          <w:rFonts w:ascii="Arial Unicode MS" w:eastAsia="Arial Unicode MS" w:hAnsi="Arial Unicode MS" w:cs="Arial Unicode MS"/>
        </w:rPr>
        <w:t>Unidas,</w:t>
      </w:r>
      <w:r>
        <w:t xml:space="preserve"> </w:t>
      </w:r>
      <w:hyperlink r:id="rId112" w:history="1">
        <w:r>
          <w:rPr>
            <w:rStyle w:val="Hyperlink0"/>
            <w:rFonts w:ascii="Arial Unicode MS" w:eastAsia="Arial Unicode MS" w:hAnsi="Arial Unicode MS" w:cs="Arial Unicode MS"/>
          </w:rPr>
          <w:t>Convención</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rPr>
        <w:t>,</w:t>
      </w:r>
      <w:r>
        <w:t xml:space="preserve"> </w:t>
      </w:r>
      <w:r>
        <w:rPr>
          <w:rFonts w:ascii="Arial Unicode MS" w:eastAsia="Arial Unicode MS" w:hAnsi="Arial Unicode MS" w:cs="Arial Unicode MS"/>
        </w:rPr>
        <w:t>art.</w:t>
      </w:r>
      <w:r>
        <w:t xml:space="preserve"> 31</w:t>
      </w:r>
      <w:r>
        <w:rPr>
          <w:rFonts w:ascii="Arial Unicode MS" w:eastAsia="Arial Unicode MS" w:hAnsi="Arial Unicode MS" w:cs="Arial Unicode MS"/>
        </w:rPr>
        <w:t>;</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Comité</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hyperlink r:id="rId113" w:history="1">
        <w:r>
          <w:rPr>
            <w:rStyle w:val="Hyperlink0"/>
            <w:rFonts w:ascii="Arial Unicode MS" w:eastAsia="Arial Unicode MS" w:hAnsi="Arial Unicode MS" w:cs="Arial Unicode MS"/>
          </w:rPr>
          <w:t>Observaciones</w:t>
        </w:r>
        <w:r>
          <w:rPr>
            <w:rStyle w:val="Hyperlink0"/>
          </w:rPr>
          <w:t xml:space="preserve"> </w:t>
        </w:r>
        <w:r>
          <w:rPr>
            <w:rStyle w:val="Hyperlink0"/>
            <w:rFonts w:ascii="Arial Unicode MS" w:eastAsia="Arial Unicode MS" w:hAnsi="Arial Unicode MS" w:cs="Arial Unicode MS"/>
          </w:rPr>
          <w:t>Finales</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Final</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Colombia</w:t>
        </w:r>
      </w:hyperlink>
      <w:r>
        <w:rPr>
          <w:rFonts w:ascii="Arial Unicode MS" w:eastAsia="Arial Unicode MS" w:hAnsi="Arial Unicode MS" w:cs="Arial Unicode MS"/>
        </w:rPr>
        <w:t>,</w:t>
      </w:r>
      <w:r>
        <w:t xml:space="preserve"> 31 </w:t>
      </w:r>
      <w:r>
        <w:rPr>
          <w:rFonts w:ascii="Arial Unicode MS" w:eastAsia="Arial Unicode MS" w:hAnsi="Arial Unicode MS" w:cs="Arial Unicode MS"/>
        </w:rPr>
        <w:t>de</w:t>
      </w:r>
      <w:r>
        <w:t xml:space="preserve"> </w:t>
      </w:r>
      <w:r>
        <w:rPr>
          <w:rFonts w:ascii="Arial Unicode MS" w:eastAsia="Arial Unicode MS" w:hAnsi="Arial Unicode MS" w:cs="Arial Unicode MS"/>
        </w:rPr>
        <w:t>agosto</w:t>
      </w:r>
      <w:r>
        <w:t xml:space="preserve"> </w:t>
      </w:r>
      <w:r>
        <w:rPr>
          <w:rFonts w:ascii="Arial Unicode MS" w:eastAsia="Arial Unicode MS" w:hAnsi="Arial Unicode MS" w:cs="Arial Unicode MS"/>
        </w:rPr>
        <w:t>de</w:t>
      </w:r>
      <w:r>
        <w:t xml:space="preserve"> 2016</w:t>
      </w:r>
      <w:r>
        <w:rPr>
          <w:rFonts w:ascii="Arial Unicode MS" w:eastAsia="Arial Unicode MS" w:hAnsi="Arial Unicode MS" w:cs="Arial Unicode MS"/>
        </w:rPr>
        <w:t>.</w:t>
      </w:r>
      <w:r>
        <w:t xml:space="preserve"> </w:t>
      </w:r>
    </w:p>
  </w:footnote>
  <w:footnote w:id="88">
    <w:p w14:paraId="6210144F"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Comisión</w:t>
      </w:r>
      <w:r>
        <w:t xml:space="preserve"> </w:t>
      </w:r>
      <w:r>
        <w:rPr>
          <w:rFonts w:ascii="Arial Unicode MS" w:eastAsia="Arial Unicode MS" w:hAnsi="Arial Unicode MS" w:cs="Arial Unicode MS"/>
        </w:rPr>
        <w:t>Económica</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América</w:t>
      </w:r>
      <w:r>
        <w:t xml:space="preserve"> </w:t>
      </w:r>
      <w:r>
        <w:rPr>
          <w:rFonts w:ascii="Arial Unicode MS" w:eastAsia="Arial Unicode MS" w:hAnsi="Arial Unicode MS" w:cs="Arial Unicode MS"/>
        </w:rPr>
        <w:t>Latina</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Caribe</w:t>
      </w:r>
      <w:r>
        <w:t xml:space="preserve"> </w:t>
      </w:r>
      <w:r>
        <w:rPr>
          <w:rFonts w:ascii="Arial Unicode MS" w:eastAsia="Arial Unicode MS" w:hAnsi="Arial Unicode MS" w:cs="Arial Unicode MS"/>
        </w:rPr>
        <w:t>(CEPAL),</w:t>
      </w:r>
      <w:r>
        <w:t xml:space="preserve"> </w:t>
      </w:r>
      <w:hyperlink r:id="rId114" w:history="1">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Medición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en</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Censos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Población:</w:t>
        </w:r>
        <w:r>
          <w:rPr>
            <w:rStyle w:val="Hyperlink0"/>
          </w:rPr>
          <w:t xml:space="preserve"> </w:t>
        </w:r>
        <w:r>
          <w:rPr>
            <w:rStyle w:val="Hyperlink0"/>
            <w:rFonts w:ascii="Arial Unicode MS" w:eastAsia="Arial Unicode MS" w:hAnsi="Arial Unicode MS" w:cs="Arial Unicode MS"/>
          </w:rPr>
          <w:t>una</w:t>
        </w:r>
        <w:r>
          <w:rPr>
            <w:rStyle w:val="Hyperlink0"/>
          </w:rPr>
          <w:t xml:space="preserve"> </w:t>
        </w:r>
        <w:r>
          <w:rPr>
            <w:rStyle w:val="Hyperlink0"/>
            <w:rFonts w:ascii="Arial Unicode MS" w:eastAsia="Arial Unicode MS" w:hAnsi="Arial Unicode MS" w:cs="Arial Unicode MS"/>
          </w:rPr>
          <w:t>cuestión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humanos</w:t>
        </w:r>
      </w:hyperlink>
      <w:r>
        <w:rPr>
          <w:rStyle w:val="Hyperlink0"/>
          <w:rFonts w:ascii="Arial Unicode MS" w:eastAsia="Arial Unicode MS" w:hAnsi="Arial Unicode MS" w:cs="Arial Unicode MS"/>
        </w:rPr>
        <w:t>,</w:t>
      </w:r>
      <w:r>
        <w:rPr>
          <w:rFonts w:ascii="Arial Unicode MS" w:eastAsia="Arial Unicode MS" w:hAnsi="Arial Unicode MS" w:cs="Arial Unicode MS"/>
        </w:rPr>
        <w:t>,</w:t>
      </w:r>
      <w:r>
        <w:t xml:space="preserve"> </w:t>
      </w:r>
      <w:r>
        <w:rPr>
          <w:rFonts w:ascii="Arial Unicode MS" w:eastAsia="Arial Unicode MS" w:hAnsi="Arial Unicode MS" w:cs="Arial Unicode MS"/>
        </w:rPr>
        <w:t>Santiago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Chile,</w:t>
      </w:r>
      <w:r>
        <w:t xml:space="preserve"> 6</w:t>
      </w:r>
      <w:r>
        <w:rPr>
          <w:rFonts w:ascii="Arial Unicode MS" w:eastAsia="Arial Unicode MS" w:hAnsi="Arial Unicode MS" w:cs="Arial Unicode MS"/>
        </w:rPr>
        <w:t>-</w:t>
      </w:r>
      <w:r>
        <w:t xml:space="preserve">8 </w:t>
      </w:r>
      <w:r>
        <w:rPr>
          <w:rFonts w:ascii="Arial Unicode MS" w:eastAsia="Arial Unicode MS" w:hAnsi="Arial Unicode MS" w:cs="Arial Unicode MS"/>
        </w:rPr>
        <w:t>noviembre</w:t>
      </w:r>
      <w:r>
        <w:t xml:space="preserve"> </w:t>
      </w:r>
      <w:r>
        <w:rPr>
          <w:rFonts w:ascii="Arial Unicode MS" w:eastAsia="Arial Unicode MS" w:hAnsi="Arial Unicode MS" w:cs="Arial Unicode MS"/>
        </w:rPr>
        <w:t>de</w:t>
      </w:r>
      <w:r>
        <w:t xml:space="preserve"> 2018</w:t>
      </w:r>
      <w:r>
        <w:rPr>
          <w:rFonts w:ascii="Arial Unicode MS" w:eastAsia="Arial Unicode MS" w:hAnsi="Arial Unicode MS" w:cs="Arial Unicode MS"/>
        </w:rPr>
        <w:t>.</w:t>
      </w:r>
      <w:r>
        <w:t xml:space="preserve"> </w:t>
      </w:r>
    </w:p>
  </w:footnote>
  <w:footnote w:id="89">
    <w:p w14:paraId="1DE810CA"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Banco</w:t>
      </w:r>
      <w:r>
        <w:t xml:space="preserve"> </w:t>
      </w:r>
      <w:r>
        <w:rPr>
          <w:rFonts w:ascii="Arial Unicode MS" w:eastAsia="Arial Unicode MS" w:hAnsi="Arial Unicode MS" w:cs="Arial Unicode MS"/>
        </w:rPr>
        <w:t>Mundial</w:t>
      </w:r>
      <w:r>
        <w:t xml:space="preserve"> </w:t>
      </w:r>
      <w:r>
        <w:rPr>
          <w:rFonts w:ascii="Arial Unicode MS" w:eastAsia="Arial Unicode MS" w:hAnsi="Arial Unicode MS" w:cs="Arial Unicode MS"/>
        </w:rPr>
        <w:t>(BM),</w:t>
      </w:r>
      <w:r>
        <w:t xml:space="preserve"> </w:t>
      </w:r>
      <w:hyperlink r:id="rId115" w:history="1">
        <w:r>
          <w:rPr>
            <w:rStyle w:val="Hyperlink0"/>
            <w:rFonts w:ascii="Arial Unicode MS" w:eastAsia="Arial Unicode MS" w:hAnsi="Arial Unicode MS" w:cs="Arial Unicode MS"/>
          </w:rPr>
          <w:t>Inclusión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en</w:t>
        </w:r>
        <w:r>
          <w:rPr>
            <w:rStyle w:val="Hyperlink0"/>
          </w:rPr>
          <w:t xml:space="preserve"> </w:t>
        </w:r>
        <w:r>
          <w:rPr>
            <w:rStyle w:val="Hyperlink0"/>
            <w:rFonts w:ascii="Arial Unicode MS" w:eastAsia="Arial Unicode MS" w:hAnsi="Arial Unicode MS" w:cs="Arial Unicode MS"/>
          </w:rPr>
          <w:t>América</w:t>
        </w:r>
        <w:r>
          <w:rPr>
            <w:rStyle w:val="Hyperlink0"/>
          </w:rPr>
          <w:t xml:space="preserve"> </w:t>
        </w:r>
        <w:r>
          <w:rPr>
            <w:rStyle w:val="Hyperlink0"/>
            <w:rFonts w:ascii="Arial Unicode MS" w:eastAsia="Arial Unicode MS" w:hAnsi="Arial Unicode MS" w:cs="Arial Unicode MS"/>
          </w:rPr>
          <w:t>Latina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Caribe:</w:t>
        </w:r>
        <w:r>
          <w:rPr>
            <w:rStyle w:val="Hyperlink0"/>
          </w:rPr>
          <w:t xml:space="preserve"> </w:t>
        </w:r>
        <w:r>
          <w:rPr>
            <w:rStyle w:val="Hyperlink0"/>
            <w:rFonts w:ascii="Arial Unicode MS" w:eastAsia="Arial Unicode MS" w:hAnsi="Arial Unicode MS" w:cs="Arial Unicode MS"/>
          </w:rPr>
          <w:t>un</w:t>
        </w:r>
        <w:r>
          <w:rPr>
            <w:rStyle w:val="Hyperlink0"/>
          </w:rPr>
          <w:t xml:space="preserve"> </w:t>
        </w:r>
        <w:r>
          <w:rPr>
            <w:rStyle w:val="Hyperlink0"/>
            <w:rFonts w:ascii="Arial Unicode MS" w:eastAsia="Arial Unicode MS" w:hAnsi="Arial Unicode MS" w:cs="Arial Unicode MS"/>
          </w:rPr>
          <w:t>camino</w:t>
        </w:r>
        <w:r>
          <w:rPr>
            <w:rStyle w:val="Hyperlink0"/>
          </w:rPr>
          <w:t xml:space="preserve"> </w:t>
        </w:r>
        <w:r>
          <w:rPr>
            <w:rStyle w:val="Hyperlink0"/>
            <w:rFonts w:ascii="Arial Unicode MS" w:eastAsia="Arial Unicode MS" w:hAnsi="Arial Unicode MS" w:cs="Arial Unicode MS"/>
          </w:rPr>
          <w:t>hacia</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desarrollo</w:t>
        </w:r>
        <w:r>
          <w:rPr>
            <w:rStyle w:val="Hyperlink0"/>
          </w:rPr>
          <w:t xml:space="preserve"> </w:t>
        </w:r>
        <w:r>
          <w:rPr>
            <w:rStyle w:val="Hyperlink0"/>
            <w:rFonts w:ascii="Arial Unicode MS" w:eastAsia="Arial Unicode MS" w:hAnsi="Arial Unicode MS" w:cs="Arial Unicode MS"/>
          </w:rPr>
          <w:t>sostenible</w:t>
        </w:r>
      </w:hyperlink>
      <w:r>
        <w:rPr>
          <w:rStyle w:val="Hyperlink0"/>
          <w:rFonts w:ascii="Arial Unicode MS" w:eastAsia="Arial Unicode MS" w:hAnsi="Arial Unicode MS" w:cs="Arial Unicode MS"/>
        </w:rPr>
        <w:t>,</w:t>
      </w:r>
      <w:r>
        <w:t xml:space="preserve"> </w:t>
      </w:r>
      <w:r>
        <w:rPr>
          <w:rFonts w:ascii="Arial Unicode MS" w:eastAsia="Arial Unicode MS" w:hAnsi="Arial Unicode MS" w:cs="Arial Unicode MS"/>
        </w:rPr>
        <w:t>Washington,</w:t>
      </w:r>
      <w:r>
        <w:t xml:space="preserve"> </w:t>
      </w:r>
      <w:r>
        <w:rPr>
          <w:rFonts w:ascii="Arial Unicode MS" w:eastAsia="Arial Unicode MS" w:hAnsi="Arial Unicode MS" w:cs="Arial Unicode MS"/>
        </w:rPr>
        <w:t>D.C.,</w:t>
      </w:r>
      <w:r>
        <w:t xml:space="preserve"> 2021</w:t>
      </w:r>
      <w:r>
        <w:rPr>
          <w:rFonts w:ascii="Arial Unicode MS" w:eastAsia="Arial Unicode MS" w:hAnsi="Arial Unicode MS" w:cs="Arial Unicode MS"/>
        </w:rPr>
        <w:t>,</w:t>
      </w:r>
      <w:r>
        <w:t xml:space="preserve"> </w:t>
      </w:r>
      <w:r>
        <w:rPr>
          <w:rFonts w:ascii="Arial Unicode MS" w:eastAsia="Arial Unicode MS" w:hAnsi="Arial Unicode MS" w:cs="Arial Unicode MS"/>
        </w:rPr>
        <w:t>págs.</w:t>
      </w:r>
      <w:r>
        <w:t xml:space="preserve"> 54 </w:t>
      </w:r>
      <w:r>
        <w:rPr>
          <w:rFonts w:ascii="Arial Unicode MS" w:eastAsia="Arial Unicode MS" w:hAnsi="Arial Unicode MS" w:cs="Arial Unicode MS"/>
        </w:rPr>
        <w:t>y</w:t>
      </w:r>
      <w:r>
        <w:t xml:space="preserve"> </w:t>
      </w:r>
      <w:r>
        <w:rPr>
          <w:rFonts w:ascii="Arial Unicode MS" w:eastAsia="Arial Unicode MS" w:hAnsi="Arial Unicode MS" w:cs="Arial Unicode MS"/>
        </w:rPr>
        <w:t>ss.</w:t>
      </w:r>
      <w:r>
        <w:t xml:space="preserve"> </w:t>
      </w:r>
    </w:p>
  </w:footnote>
  <w:footnote w:id="90">
    <w:p w14:paraId="6AD8D30C"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Mundial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(OMS)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Panamericana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(OPS),</w:t>
      </w:r>
      <w:hyperlink r:id="rId116" w:history="1">
        <w:r>
          <w:rPr>
            <w:color w:val="2B477B"/>
          </w:rPr>
          <w:t xml:space="preserve"> </w:t>
        </w:r>
        <w:r>
          <w:rPr>
            <w:rFonts w:ascii="Arial Unicode MS" w:eastAsia="Arial Unicode MS" w:hAnsi="Arial Unicode MS" w:cs="Arial Unicode MS"/>
            <w:color w:val="2B477B"/>
          </w:rPr>
          <w:t>Clasificación</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Funcionamiento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hyperlink>
      <w:r>
        <w:rPr>
          <w:color w:val="2B477B"/>
        </w:rPr>
        <w:t xml:space="preserve"> 2001</w:t>
      </w:r>
      <w:r>
        <w:rPr>
          <w:rFonts w:ascii="Arial Unicode MS" w:eastAsia="Arial Unicode MS" w:hAnsi="Arial Unicode MS" w:cs="Arial Unicode MS"/>
          <w:color w:val="2B477B"/>
        </w:rPr>
        <w:t>.</w:t>
      </w:r>
    </w:p>
  </w:footnote>
  <w:footnote w:id="91">
    <w:p w14:paraId="1B256002"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Washington</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originó</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raíz</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conferencia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centrada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medición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Conformado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expertos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diversos</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agencias</w:t>
      </w:r>
      <w:r>
        <w:rPr>
          <w:color w:val="2B477B"/>
        </w:rPr>
        <w:t xml:space="preserve"> </w:t>
      </w:r>
      <w:r>
        <w:rPr>
          <w:rFonts w:ascii="Arial Unicode MS" w:eastAsia="Arial Unicode MS" w:hAnsi="Arial Unicode MS" w:cs="Arial Unicode MS"/>
          <w:color w:val="2B477B"/>
        </w:rPr>
        <w:t>internacionales,</w:t>
      </w:r>
      <w:r>
        <w:rPr>
          <w:color w:val="2B477B"/>
        </w:rPr>
        <w:t xml:space="preserve"> </w:t>
      </w:r>
      <w:r>
        <w:rPr>
          <w:rFonts w:ascii="Arial Unicode MS" w:eastAsia="Arial Unicode MS" w:hAnsi="Arial Unicode MS" w:cs="Arial Unicode MS"/>
          <w:color w:val="2B477B"/>
        </w:rPr>
        <w:t>cooperación</w:t>
      </w:r>
      <w:r>
        <w:rPr>
          <w:color w:val="2B477B"/>
        </w:rPr>
        <w:t xml:space="preserve"> </w:t>
      </w:r>
      <w:r>
        <w:rPr>
          <w:rFonts w:ascii="Arial Unicode MS" w:eastAsia="Arial Unicode MS" w:hAnsi="Arial Unicode MS" w:cs="Arial Unicode MS"/>
          <w:color w:val="2B477B"/>
        </w:rPr>
        <w:t>bilateral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multilateral,</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investigadores,</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objetivo</w:t>
      </w:r>
      <w:r>
        <w:rPr>
          <w:color w:val="2B477B"/>
        </w:rPr>
        <w:t xml:space="preserve"> </w:t>
      </w:r>
      <w:r>
        <w:rPr>
          <w:rFonts w:ascii="Arial Unicode MS" w:eastAsia="Arial Unicode MS" w:hAnsi="Arial Unicode MS" w:cs="Arial Unicode MS"/>
          <w:color w:val="2B477B"/>
        </w:rPr>
        <w:t>principal</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proporcionar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básica</w:t>
      </w:r>
      <w:r>
        <w:rPr>
          <w:color w:val="2B477B"/>
        </w:rPr>
        <w:t xml:space="preserve"> </w:t>
      </w:r>
      <w:r>
        <w:rPr>
          <w:rFonts w:ascii="Arial Unicode MS" w:eastAsia="Arial Unicode MS" w:hAnsi="Arial Unicode MS" w:cs="Arial Unicode MS"/>
          <w:color w:val="2B477B"/>
        </w:rPr>
        <w:t>comparable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nivel</w:t>
      </w:r>
      <w:r>
        <w:rPr>
          <w:color w:val="2B477B"/>
        </w:rPr>
        <w:t xml:space="preserve"> </w:t>
      </w:r>
      <w:r>
        <w:rPr>
          <w:rFonts w:ascii="Arial Unicode MS" w:eastAsia="Arial Unicode MS" w:hAnsi="Arial Unicode MS" w:cs="Arial Unicode MS"/>
          <w:color w:val="2B477B"/>
        </w:rPr>
        <w:t>global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lograr</w:t>
      </w:r>
      <w:r>
        <w:rPr>
          <w:color w:val="2B477B"/>
        </w:rPr>
        <w:t xml:space="preserve"> </w:t>
      </w:r>
      <w:r>
        <w:rPr>
          <w:rFonts w:ascii="Arial Unicode MS" w:eastAsia="Arial Unicode MS" w:hAnsi="Arial Unicode MS" w:cs="Arial Unicode MS"/>
          <w:color w:val="2B477B"/>
        </w:rPr>
        <w:t>esto,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desarrollado</w:t>
      </w:r>
      <w:r>
        <w:rPr>
          <w:color w:val="2B477B"/>
        </w:rPr>
        <w:t xml:space="preserve"> </w:t>
      </w:r>
      <w:r>
        <w:rPr>
          <w:rFonts w:ascii="Arial Unicode MS" w:eastAsia="Arial Unicode MS" w:hAnsi="Arial Unicode MS" w:cs="Arial Unicode MS"/>
          <w:color w:val="2B477B"/>
        </w:rPr>
        <w:t>seis</w:t>
      </w:r>
      <w:r>
        <w:rPr>
          <w:color w:val="2B477B"/>
        </w:rPr>
        <w:t xml:space="preserve"> </w:t>
      </w:r>
      <w:r>
        <w:rPr>
          <w:rFonts w:ascii="Arial Unicode MS" w:eastAsia="Arial Unicode MS" w:hAnsi="Arial Unicode MS" w:cs="Arial Unicode MS"/>
          <w:color w:val="2B477B"/>
        </w:rPr>
        <w:t>preguntas</w:t>
      </w:r>
      <w:r>
        <w:rPr>
          <w:color w:val="2B477B"/>
        </w:rPr>
        <w:t xml:space="preserve"> </w:t>
      </w:r>
      <w:r>
        <w:rPr>
          <w:rFonts w:ascii="Arial Unicode MS" w:eastAsia="Arial Unicode MS" w:hAnsi="Arial Unicode MS" w:cs="Arial Unicode MS"/>
          <w:color w:val="2B477B"/>
        </w:rPr>
        <w:t>fundamentales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exploran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interacción</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características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entorno.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Washington</w:t>
      </w:r>
      <w:r>
        <w:rPr>
          <w:color w:val="2B477B"/>
        </w:rPr>
        <w:t xml:space="preserve"> </w:t>
      </w:r>
      <w:r>
        <w:rPr>
          <w:rFonts w:ascii="Arial Unicode MS" w:eastAsia="Arial Unicode MS" w:hAnsi="Arial Unicode MS" w:cs="Arial Unicode MS"/>
          <w:color w:val="2B477B"/>
        </w:rPr>
        <w:t>Group</w:t>
      </w:r>
      <w:r>
        <w:rPr>
          <w:color w:val="2B477B"/>
        </w:rPr>
        <w:t xml:space="preserve"> </w:t>
      </w:r>
      <w:r>
        <w:rPr>
          <w:rFonts w:ascii="Arial Unicode MS" w:eastAsia="Arial Unicode MS" w:hAnsi="Arial Unicode MS" w:cs="Arial Unicode MS"/>
          <w:color w:val="2B477B"/>
        </w:rPr>
        <w:t>on</w:t>
      </w:r>
      <w:r>
        <w:rPr>
          <w:color w:val="2B477B"/>
        </w:rPr>
        <w:t xml:space="preserve"> </w:t>
      </w:r>
      <w:r>
        <w:rPr>
          <w:rFonts w:ascii="Arial Unicode MS" w:eastAsia="Arial Unicode MS" w:hAnsi="Arial Unicode MS" w:cs="Arial Unicode MS"/>
          <w:color w:val="2B477B"/>
        </w:rPr>
        <w:t>Disability</w:t>
      </w:r>
      <w:r>
        <w:rPr>
          <w:color w:val="2B477B"/>
        </w:rPr>
        <w:t xml:space="preserve"> </w:t>
      </w:r>
      <w:r>
        <w:rPr>
          <w:rFonts w:ascii="Arial Unicode MS" w:eastAsia="Arial Unicode MS" w:hAnsi="Arial Unicode MS" w:cs="Arial Unicode MS"/>
          <w:color w:val="2B477B"/>
        </w:rPr>
        <w:t>Statistics,</w:t>
      </w:r>
      <w:r>
        <w:rPr>
          <w:color w:val="2B477B"/>
        </w:rPr>
        <w:t xml:space="preserve"> </w:t>
      </w:r>
      <w:r>
        <w:rPr>
          <w:rFonts w:ascii="Arial Unicode MS" w:eastAsia="Arial Unicode MS" w:hAnsi="Arial Unicode MS" w:cs="Arial Unicode MS"/>
          <w:color w:val="2B477B"/>
        </w:rPr>
        <w:t>I</w:t>
      </w:r>
      <w:hyperlink r:id="rId117" w:history="1">
        <w:r>
          <w:rPr>
            <w:rFonts w:ascii="Arial Unicode MS" w:eastAsia="Arial Unicode MS" w:hAnsi="Arial Unicode MS" w:cs="Arial Unicode MS"/>
            <w:color w:val="2B477B"/>
          </w:rPr>
          <w:t>ntroducción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listas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preguntas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Washington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Estadísticas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92">
    <w:p w14:paraId="03E0EEE4" w14:textId="77777777" w:rsidR="001A105D" w:rsidRDefault="00000000">
      <w:pPr>
        <w:pStyle w:val="FootnoteText"/>
        <w:tabs>
          <w:tab w:val="left" w:pos="720"/>
        </w:tabs>
        <w:jc w:val="left"/>
      </w:pPr>
      <w:r>
        <w:rPr>
          <w:vertAlign w:val="superscript"/>
        </w:rPr>
        <w:footnoteRef/>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iniciativa</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trabajo</w:t>
      </w:r>
      <w:r>
        <w:t xml:space="preserve"> </w:t>
      </w:r>
      <w:r>
        <w:rPr>
          <w:rFonts w:ascii="Arial Unicode MS" w:eastAsia="Arial Unicode MS" w:hAnsi="Arial Unicode MS" w:cs="Arial Unicode MS"/>
        </w:rPr>
        <w:t>intersectorial</w:t>
      </w:r>
      <w:r>
        <w:t xml:space="preserve"> </w:t>
      </w:r>
      <w:r>
        <w:rPr>
          <w:rFonts w:ascii="Arial Unicode MS" w:eastAsia="Arial Unicode MS" w:hAnsi="Arial Unicode MS" w:cs="Arial Unicode MS"/>
        </w:rPr>
        <w:t>apunta</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colaboración</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Naciones</w:t>
      </w:r>
      <w:r>
        <w:t xml:space="preserve"> </w:t>
      </w:r>
      <w:r>
        <w:rPr>
          <w:rFonts w:ascii="Arial Unicode MS" w:eastAsia="Arial Unicode MS" w:hAnsi="Arial Unicode MS" w:cs="Arial Unicode MS"/>
        </w:rPr>
        <w:t>Unidas</w:t>
      </w:r>
      <w:r>
        <w:t xml:space="preserve"> </w:t>
      </w:r>
      <w:r>
        <w:rPr>
          <w:rFonts w:ascii="Arial Unicode MS" w:eastAsia="Arial Unicode MS" w:hAnsi="Arial Unicode MS" w:cs="Arial Unicode MS"/>
        </w:rPr>
        <w:t>(ONU),</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Banco</w:t>
      </w:r>
      <w:r>
        <w:t xml:space="preserve"> </w:t>
      </w:r>
      <w:r>
        <w:rPr>
          <w:rFonts w:ascii="Arial Unicode MS" w:eastAsia="Arial Unicode MS" w:hAnsi="Arial Unicode MS" w:cs="Arial Unicode MS"/>
        </w:rPr>
        <w:t>Interamericano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Desarrollo</w:t>
      </w:r>
      <w:r>
        <w:t xml:space="preserve"> </w:t>
      </w:r>
      <w:r>
        <w:rPr>
          <w:rFonts w:ascii="Arial Unicode MS" w:eastAsia="Arial Unicode MS" w:hAnsi="Arial Unicode MS" w:cs="Arial Unicode MS"/>
        </w:rPr>
        <w:t>(BID),</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Banco</w:t>
      </w:r>
      <w:r>
        <w:t xml:space="preserve"> </w:t>
      </w:r>
      <w:r>
        <w:rPr>
          <w:rFonts w:ascii="Arial Unicode MS" w:eastAsia="Arial Unicode MS" w:hAnsi="Arial Unicode MS" w:cs="Arial Unicode MS"/>
        </w:rPr>
        <w:t>Mundial</w:t>
      </w:r>
      <w:r>
        <w:t xml:space="preserve"> </w:t>
      </w:r>
      <w:r>
        <w:rPr>
          <w:rFonts w:ascii="Arial Unicode MS" w:eastAsia="Arial Unicode MS" w:hAnsi="Arial Unicode MS" w:cs="Arial Unicode MS"/>
        </w:rPr>
        <w:t>(BM),</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Organización</w:t>
      </w:r>
      <w:r>
        <w:t xml:space="preserve"> </w:t>
      </w:r>
      <w:r>
        <w:rPr>
          <w:rFonts w:ascii="Arial Unicode MS" w:eastAsia="Arial Unicode MS" w:hAnsi="Arial Unicode MS" w:cs="Arial Unicode MS"/>
        </w:rPr>
        <w:t>Panamericana</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Salud</w:t>
      </w:r>
      <w:r>
        <w:t xml:space="preserve"> </w:t>
      </w:r>
      <w:r>
        <w:rPr>
          <w:rFonts w:ascii="Arial Unicode MS" w:eastAsia="Arial Unicode MS" w:hAnsi="Arial Unicode MS" w:cs="Arial Unicode MS"/>
        </w:rPr>
        <w:t>(OPS),</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Comisión</w:t>
      </w:r>
      <w:r>
        <w:t xml:space="preserve"> </w:t>
      </w:r>
      <w:r>
        <w:rPr>
          <w:rFonts w:ascii="Arial Unicode MS" w:eastAsia="Arial Unicode MS" w:hAnsi="Arial Unicode MS" w:cs="Arial Unicode MS"/>
        </w:rPr>
        <w:t>Económica</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América</w:t>
      </w:r>
      <w:r>
        <w:t xml:space="preserve"> </w:t>
      </w:r>
      <w:r>
        <w:rPr>
          <w:rFonts w:ascii="Arial Unicode MS" w:eastAsia="Arial Unicode MS" w:hAnsi="Arial Unicode MS" w:cs="Arial Unicode MS"/>
        </w:rPr>
        <w:t>Latina</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Caribe</w:t>
      </w:r>
      <w:r>
        <w:t xml:space="preserve"> </w:t>
      </w:r>
      <w:r>
        <w:rPr>
          <w:rFonts w:ascii="Arial Unicode MS" w:eastAsia="Arial Unicode MS" w:hAnsi="Arial Unicode MS" w:cs="Arial Unicode MS"/>
        </w:rPr>
        <w:t>(CEPAL),</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Oficina</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Naciones</w:t>
      </w:r>
      <w:r>
        <w:t xml:space="preserve"> </w:t>
      </w:r>
      <w:r>
        <w:rPr>
          <w:rFonts w:ascii="Arial Unicode MS" w:eastAsia="Arial Unicode MS" w:hAnsi="Arial Unicode MS" w:cs="Arial Unicode MS"/>
        </w:rPr>
        <w:t>Unidas</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Educación</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Cultura</w:t>
      </w:r>
      <w:r>
        <w:t xml:space="preserve"> </w:t>
      </w:r>
      <w:r>
        <w:rPr>
          <w:rFonts w:ascii="Arial Unicode MS" w:eastAsia="Arial Unicode MS" w:hAnsi="Arial Unicode MS" w:cs="Arial Unicode MS"/>
        </w:rPr>
        <w:t>(UNESCO).</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respecto,</w:t>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OEA,</w:t>
      </w:r>
      <w:r>
        <w:t xml:space="preserve"> </w:t>
      </w:r>
      <w:r>
        <w:rPr>
          <w:rFonts w:ascii="Arial Unicode MS" w:eastAsia="Arial Unicode MS" w:hAnsi="Arial Unicode MS" w:cs="Arial Unicode MS"/>
        </w:rPr>
        <w:t>Secretaría</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Acceso</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Equidad,</w:t>
      </w:r>
      <w:r>
        <w:t xml:space="preserve"> </w:t>
      </w:r>
      <w:r>
        <w:rPr>
          <w:rFonts w:ascii="Arial Unicode MS" w:eastAsia="Arial Unicode MS" w:hAnsi="Arial Unicode MS" w:cs="Arial Unicode MS"/>
        </w:rPr>
        <w:t>Departamento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Inclusión</w:t>
      </w:r>
      <w:r>
        <w:t xml:space="preserve"> </w:t>
      </w:r>
      <w:r>
        <w:rPr>
          <w:rFonts w:ascii="Arial Unicode MS" w:eastAsia="Arial Unicode MS" w:hAnsi="Arial Unicode MS" w:cs="Arial Unicode MS"/>
        </w:rPr>
        <w:t>Social,</w:t>
      </w:r>
      <w:r>
        <w:t xml:space="preserve"> </w:t>
      </w:r>
      <w:hyperlink r:id="rId118" w:history="1">
        <w:r>
          <w:rPr>
            <w:rStyle w:val="Hyperlink1"/>
            <w:rFonts w:ascii="Arial Unicode MS" w:eastAsia="Arial Unicode MS" w:hAnsi="Arial Unicode MS" w:cs="Arial Unicode MS"/>
          </w:rPr>
          <w:t>Parámetros</w:t>
        </w:r>
        <w:r>
          <w:rPr>
            <w:rStyle w:val="Hyperlink1"/>
          </w:rPr>
          <w:t xml:space="preserve"> </w:t>
        </w:r>
        <w:r>
          <w:rPr>
            <w:rStyle w:val="Hyperlink1"/>
            <w:rFonts w:ascii="Arial Unicode MS" w:eastAsia="Arial Unicode MS" w:hAnsi="Arial Unicode MS" w:cs="Arial Unicode MS"/>
          </w:rPr>
          <w:t>de</w:t>
        </w:r>
        <w:r>
          <w:rPr>
            <w:rStyle w:val="Hyperlink1"/>
          </w:rPr>
          <w:t xml:space="preserve"> </w:t>
        </w:r>
        <w:r>
          <w:rPr>
            <w:rStyle w:val="Hyperlink1"/>
            <w:rFonts w:ascii="Arial Unicode MS" w:eastAsia="Arial Unicode MS" w:hAnsi="Arial Unicode MS" w:cs="Arial Unicode MS"/>
          </w:rPr>
          <w:t>Medición</w:t>
        </w:r>
        <w:r>
          <w:rPr>
            <w:rStyle w:val="Hyperlink1"/>
          </w:rPr>
          <w:t xml:space="preserve"> </w:t>
        </w:r>
        <w:r>
          <w:rPr>
            <w:rStyle w:val="Hyperlink1"/>
            <w:rFonts w:ascii="Arial Unicode MS" w:eastAsia="Arial Unicode MS" w:hAnsi="Arial Unicode MS" w:cs="Arial Unicode MS"/>
          </w:rPr>
          <w:t>de</w:t>
        </w:r>
        <w:r>
          <w:rPr>
            <w:rStyle w:val="Hyperlink1"/>
          </w:rPr>
          <w:t xml:space="preserve"> </w:t>
        </w:r>
        <w:r>
          <w:rPr>
            <w:rStyle w:val="Hyperlink1"/>
            <w:rFonts w:ascii="Arial Unicode MS" w:eastAsia="Arial Unicode MS" w:hAnsi="Arial Unicode MS" w:cs="Arial Unicode MS"/>
          </w:rPr>
          <w:t>Avances</w:t>
        </w:r>
        <w:r>
          <w:rPr>
            <w:rStyle w:val="Hyperlink1"/>
          </w:rPr>
          <w:t xml:space="preserve"> </w:t>
        </w:r>
        <w:r>
          <w:rPr>
            <w:rStyle w:val="Hyperlink1"/>
            <w:rFonts w:ascii="Arial Unicode MS" w:eastAsia="Arial Unicode MS" w:hAnsi="Arial Unicode MS" w:cs="Arial Unicode MS"/>
          </w:rPr>
          <w:t>de</w:t>
        </w:r>
        <w:r>
          <w:rPr>
            <w:rStyle w:val="Hyperlink1"/>
          </w:rPr>
          <w:t xml:space="preserve"> </w:t>
        </w:r>
        <w:r>
          <w:rPr>
            <w:rStyle w:val="Hyperlink1"/>
            <w:rFonts w:ascii="Arial Unicode MS" w:eastAsia="Arial Unicode MS" w:hAnsi="Arial Unicode MS" w:cs="Arial Unicode MS"/>
          </w:rPr>
          <w:t>la</w:t>
        </w:r>
        <w:r>
          <w:rPr>
            <w:rStyle w:val="Hyperlink1"/>
          </w:rPr>
          <w:t xml:space="preserve"> </w:t>
        </w:r>
        <w:r>
          <w:rPr>
            <w:rStyle w:val="Hyperlink1"/>
            <w:rFonts w:ascii="Arial Unicode MS" w:eastAsia="Arial Unicode MS" w:hAnsi="Arial Unicode MS" w:cs="Arial Unicode MS"/>
          </w:rPr>
          <w:t>Convención</w:t>
        </w:r>
      </w:hyperlink>
      <w:r>
        <w:rPr>
          <w:rStyle w:val="Hyperlink1"/>
          <w:rFonts w:ascii="Arial Unicode MS" w:eastAsia="Arial Unicode MS" w:hAnsi="Arial Unicode MS" w:cs="Arial Unicode MS"/>
        </w:rPr>
        <w:t>;</w:t>
      </w:r>
      <w:r>
        <w:rPr>
          <w:rStyle w:val="Hyperlink1"/>
        </w:rPr>
        <w:t xml:space="preserve"> </w:t>
      </w:r>
      <w:r>
        <w:rPr>
          <w:rFonts w:ascii="Arial Unicode MS" w:eastAsia="Arial Unicode MS" w:hAnsi="Arial Unicode MS" w:cs="Arial Unicode MS"/>
        </w:rPr>
        <w:t>OEA,</w:t>
      </w:r>
      <w:r>
        <w:t xml:space="preserve"> </w:t>
      </w:r>
      <w:hyperlink r:id="rId119" w:history="1">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autoridades</w:t>
        </w:r>
        <w:r>
          <w:rPr>
            <w:rStyle w:val="Hyperlink0"/>
          </w:rPr>
          <w:t xml:space="preserve"> </w:t>
        </w:r>
        <w:r>
          <w:rPr>
            <w:rStyle w:val="Hyperlink0"/>
            <w:rFonts w:ascii="Arial Unicode MS" w:eastAsia="Arial Unicode MS" w:hAnsi="Arial Unicode MS" w:cs="Arial Unicode MS"/>
          </w:rPr>
          <w:t>del</w:t>
        </w:r>
        <w:r>
          <w:rPr>
            <w:rStyle w:val="Hyperlink0"/>
          </w:rPr>
          <w:t xml:space="preserve"> </w:t>
        </w:r>
        <w:r>
          <w:rPr>
            <w:rStyle w:val="Hyperlink0"/>
            <w:rFonts w:ascii="Arial Unicode MS" w:eastAsia="Arial Unicode MS" w:hAnsi="Arial Unicode MS" w:cs="Arial Unicode MS"/>
          </w:rPr>
          <w:t>Comité</w:t>
        </w:r>
        <w:r>
          <w:rPr>
            <w:rStyle w:val="Hyperlink0"/>
          </w:rPr>
          <w:t xml:space="preserve"> </w:t>
        </w:r>
        <w:r>
          <w:rPr>
            <w:rStyle w:val="Hyperlink0"/>
            <w:rFonts w:ascii="Arial Unicode MS" w:eastAsia="Arial Unicode MS" w:hAnsi="Arial Unicode MS" w:cs="Arial Unicode MS"/>
          </w:rPr>
          <w:t>Interamericano</w:t>
        </w:r>
        <w:r>
          <w:rPr>
            <w:rStyle w:val="Hyperlink0"/>
          </w:rPr>
          <w:t xml:space="preserve"> </w:t>
        </w:r>
        <w:r>
          <w:rPr>
            <w:rStyle w:val="Hyperlink0"/>
            <w:rFonts w:ascii="Arial Unicode MS" w:eastAsia="Arial Unicode MS" w:hAnsi="Arial Unicode MS" w:cs="Arial Unicode MS"/>
          </w:rPr>
          <w:t>para</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Eliminación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Todas</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Formas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Discriminación</w:t>
        </w:r>
        <w:r>
          <w:rPr>
            <w:rStyle w:val="Hyperlink0"/>
          </w:rPr>
          <w:t xml:space="preserve"> </w:t>
        </w:r>
        <w:r>
          <w:rPr>
            <w:rStyle w:val="Hyperlink0"/>
            <w:rFonts w:ascii="Arial Unicode MS" w:eastAsia="Arial Unicode MS" w:hAnsi="Arial Unicode MS" w:cs="Arial Unicode MS"/>
          </w:rPr>
          <w:t>contra</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(CEDDIS)</w:t>
        </w:r>
        <w:r>
          <w:rPr>
            <w:rStyle w:val="Hyperlink0"/>
          </w:rPr>
          <w:t xml:space="preserve"> </w:t>
        </w:r>
        <w:r>
          <w:rPr>
            <w:rStyle w:val="Hyperlink0"/>
            <w:rFonts w:ascii="Arial Unicode MS" w:eastAsia="Arial Unicode MS" w:hAnsi="Arial Unicode MS" w:cs="Arial Unicode MS"/>
          </w:rPr>
          <w:t>se</w:t>
        </w:r>
        <w:r>
          <w:rPr>
            <w:rStyle w:val="Hyperlink0"/>
          </w:rPr>
          <w:t xml:space="preserve"> </w:t>
        </w:r>
        <w:r>
          <w:rPr>
            <w:rStyle w:val="Hyperlink0"/>
            <w:rFonts w:ascii="Arial Unicode MS" w:eastAsia="Arial Unicode MS" w:hAnsi="Arial Unicode MS" w:cs="Arial Unicode MS"/>
          </w:rPr>
          <w:t>reúnen</w:t>
        </w:r>
        <w:r>
          <w:rPr>
            <w:rStyle w:val="Hyperlink0"/>
          </w:rPr>
          <w:t xml:space="preserve"> </w:t>
        </w:r>
        <w:r>
          <w:rPr>
            <w:rStyle w:val="Hyperlink0"/>
            <w:rFonts w:ascii="Arial Unicode MS" w:eastAsia="Arial Unicode MS" w:hAnsi="Arial Unicode MS" w:cs="Arial Unicode MS"/>
          </w:rPr>
          <w:t>por</w:t>
        </w:r>
        <w:r>
          <w:rPr>
            <w:rStyle w:val="Hyperlink0"/>
          </w:rPr>
          <w:t xml:space="preserve"> </w:t>
        </w:r>
        <w:r>
          <w:rPr>
            <w:rStyle w:val="Hyperlink0"/>
            <w:rFonts w:ascii="Arial Unicode MS" w:eastAsia="Arial Unicode MS" w:hAnsi="Arial Unicode MS" w:cs="Arial Unicode MS"/>
          </w:rPr>
          <w:t>primera</w:t>
        </w:r>
        <w:r>
          <w:rPr>
            <w:rStyle w:val="Hyperlink0"/>
          </w:rPr>
          <w:t xml:space="preserve"> </w:t>
        </w:r>
        <w:r>
          <w:rPr>
            <w:rStyle w:val="Hyperlink0"/>
            <w:rFonts w:ascii="Arial Unicode MS" w:eastAsia="Arial Unicode MS" w:hAnsi="Arial Unicode MS" w:cs="Arial Unicode MS"/>
          </w:rPr>
          <w:t>vez</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autoridades</w:t>
        </w:r>
        <w:r>
          <w:rPr>
            <w:rStyle w:val="Hyperlink0"/>
          </w:rPr>
          <w:t xml:space="preserve"> </w:t>
        </w:r>
        <w:r>
          <w:rPr>
            <w:rStyle w:val="Hyperlink0"/>
            <w:rFonts w:ascii="Arial Unicode MS" w:eastAsia="Arial Unicode MS" w:hAnsi="Arial Unicode MS" w:cs="Arial Unicode MS"/>
          </w:rPr>
          <w:t>del</w:t>
        </w:r>
        <w:r>
          <w:rPr>
            <w:rStyle w:val="Hyperlink0"/>
          </w:rPr>
          <w:t xml:space="preserve"> </w:t>
        </w:r>
        <w:r>
          <w:rPr>
            <w:rStyle w:val="Hyperlink0"/>
            <w:rFonts w:ascii="Arial Unicode MS" w:eastAsia="Arial Unicode MS" w:hAnsi="Arial Unicode MS" w:cs="Arial Unicode MS"/>
          </w:rPr>
          <w:t>Comité</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Naciones</w:t>
        </w:r>
        <w:r>
          <w:rPr>
            <w:rStyle w:val="Hyperlink0"/>
          </w:rPr>
          <w:t xml:space="preserve"> </w:t>
        </w:r>
        <w:r>
          <w:rPr>
            <w:rStyle w:val="Hyperlink0"/>
            <w:rFonts w:ascii="Arial Unicode MS" w:eastAsia="Arial Unicode MS" w:hAnsi="Arial Unicode MS" w:cs="Arial Unicode MS"/>
          </w:rPr>
          <w:t>Unidas</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en</w:t>
        </w:r>
        <w:r>
          <w:rPr>
            <w:rStyle w:val="Hyperlink0"/>
          </w:rPr>
          <w:t xml:space="preserve"> </w:t>
        </w:r>
        <w:r>
          <w:rPr>
            <w:rStyle w:val="Hyperlink0"/>
            <w:rFonts w:ascii="Arial Unicode MS" w:eastAsia="Arial Unicode MS" w:hAnsi="Arial Unicode MS" w:cs="Arial Unicode MS"/>
          </w:rPr>
          <w:t>Nueva</w:t>
        </w:r>
        <w:r>
          <w:rPr>
            <w:rStyle w:val="Hyperlink0"/>
          </w:rPr>
          <w:t xml:space="preserve"> </w:t>
        </w:r>
        <w:r>
          <w:rPr>
            <w:rStyle w:val="Hyperlink0"/>
            <w:rFonts w:ascii="Arial Unicode MS" w:eastAsia="Arial Unicode MS" w:hAnsi="Arial Unicode MS" w:cs="Arial Unicode MS"/>
          </w:rPr>
          <w:t>York</w:t>
        </w:r>
      </w:hyperlink>
      <w:r>
        <w:rPr>
          <w:rFonts w:ascii="Arial Unicode MS" w:eastAsia="Arial Unicode MS" w:hAnsi="Arial Unicode MS" w:cs="Arial Unicode MS"/>
        </w:rPr>
        <w:t>,</w:t>
      </w:r>
      <w:r>
        <w:t xml:space="preserve"> 7 </w:t>
      </w:r>
      <w:r>
        <w:rPr>
          <w:rFonts w:ascii="Arial Unicode MS" w:eastAsia="Arial Unicode MS" w:hAnsi="Arial Unicode MS" w:cs="Arial Unicode MS"/>
        </w:rPr>
        <w:t>al</w:t>
      </w:r>
      <w:r>
        <w:t xml:space="preserve"> 9 </w:t>
      </w:r>
      <w:r>
        <w:rPr>
          <w:rFonts w:ascii="Arial Unicode MS" w:eastAsia="Arial Unicode MS" w:hAnsi="Arial Unicode MS" w:cs="Arial Unicode MS"/>
        </w:rPr>
        <w:t>de</w:t>
      </w:r>
      <w:r>
        <w:t xml:space="preserve"> </w:t>
      </w:r>
      <w:r>
        <w:rPr>
          <w:rFonts w:ascii="Arial Unicode MS" w:eastAsia="Arial Unicode MS" w:hAnsi="Arial Unicode MS" w:cs="Arial Unicode MS"/>
        </w:rPr>
        <w:t>septiembre</w:t>
      </w:r>
      <w:r>
        <w:t xml:space="preserve"> </w:t>
      </w:r>
      <w:r>
        <w:rPr>
          <w:rFonts w:ascii="Arial Unicode MS" w:eastAsia="Arial Unicode MS" w:hAnsi="Arial Unicode MS" w:cs="Arial Unicode MS"/>
        </w:rPr>
        <w:t>de</w:t>
      </w:r>
      <w:r>
        <w:t xml:space="preserve"> 2011</w:t>
      </w:r>
      <w:r>
        <w:rPr>
          <w:rFonts w:ascii="Arial Unicode MS" w:eastAsia="Arial Unicode MS" w:hAnsi="Arial Unicode MS" w:cs="Arial Unicode MS"/>
        </w:rPr>
        <w:t>.</w:t>
      </w:r>
      <w:r>
        <w:t xml:space="preserve"> </w:t>
      </w:r>
    </w:p>
  </w:footnote>
  <w:footnote w:id="93">
    <w:p w14:paraId="6739633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120" w:history="1">
        <w:r>
          <w:rPr>
            <w:rFonts w:ascii="Arial Unicode MS" w:eastAsia="Arial Unicode MS" w:hAnsi="Arial Unicode MS" w:cs="Arial Unicode MS"/>
            <w:color w:val="2B477B"/>
          </w:rPr>
          <w:t>Censo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Población,</w:t>
        </w:r>
        <w:r>
          <w:rPr>
            <w:color w:val="2B477B"/>
          </w:rPr>
          <w:t xml:space="preserve"> </w:t>
        </w:r>
        <w:r>
          <w:rPr>
            <w:rFonts w:ascii="Arial Unicode MS" w:eastAsia="Arial Unicode MS" w:hAnsi="Arial Unicode MS" w:cs="Arial Unicode MS"/>
            <w:color w:val="2B477B"/>
          </w:rPr>
          <w:t>Hogares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Viviendas</w:t>
        </w:r>
      </w:hyperlink>
      <w:r>
        <w:rPr>
          <w:rFonts w:ascii="Arial Unicode MS" w:eastAsia="Arial Unicode MS" w:hAnsi="Arial Unicode MS" w:cs="Arial Unicode MS"/>
          <w:color w:val="2B477B"/>
        </w:rPr>
        <w:t>,</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94">
    <w:p w14:paraId="1FA00C4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121" w:history="1">
        <w:r>
          <w:rPr>
            <w:rFonts w:ascii="Arial Unicode MS" w:eastAsia="Arial Unicode MS" w:hAnsi="Arial Unicode MS" w:cs="Arial Unicode MS"/>
            <w:color w:val="2B477B"/>
          </w:rPr>
          <w:t>Censo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Población</w:t>
        </w:r>
        <w:r>
          <w:rPr>
            <w:color w:val="2B477B"/>
          </w:rPr>
          <w:t xml:space="preserve"> 2012</w:t>
        </w:r>
      </w:hyperlink>
      <w:r>
        <w:rPr>
          <w:rFonts w:ascii="Arial Unicode MS" w:eastAsia="Arial Unicode MS" w:hAnsi="Arial Unicode MS" w:cs="Arial Unicode MS"/>
          <w:color w:val="2B477B"/>
        </w:rPr>
        <w:t>.</w:t>
      </w:r>
    </w:p>
  </w:footnote>
  <w:footnote w:id="95">
    <w:p w14:paraId="5A03A45B"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Estadísticas:</w:t>
      </w:r>
      <w:r>
        <w:rPr>
          <w:color w:val="2B477B"/>
        </w:rPr>
        <w:t xml:space="preserve"> </w:t>
      </w:r>
      <w:hyperlink r:id="rId122" w:history="1">
        <w:r>
          <w:rPr>
            <w:rFonts w:ascii="Arial Unicode MS" w:eastAsia="Arial Unicode MS" w:hAnsi="Arial Unicode MS" w:cs="Arial Unicode MS"/>
            <w:color w:val="2B477B"/>
          </w:rPr>
          <w:t>Censo</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Censo</w:t>
        </w:r>
        <w:r>
          <w:rPr>
            <w:color w:val="2B477B"/>
          </w:rPr>
          <w:t xml:space="preserve"> 2017</w:t>
        </w:r>
        <w:r>
          <w:rPr>
            <w:rFonts w:ascii="Arial Unicode MS" w:eastAsia="Arial Unicode MS" w:hAnsi="Arial Unicode MS" w:cs="Arial Unicode MS"/>
            <w:color w:val="2B477B"/>
          </w:rPr>
          <w:t>.</w:t>
        </w:r>
        <w:r>
          <w:rPr>
            <w:color w:val="2B477B"/>
          </w:rPr>
          <w:t xml:space="preserve"> </w:t>
        </w:r>
      </w:hyperlink>
    </w:p>
  </w:footnote>
  <w:footnote w:id="96">
    <w:p w14:paraId="58C5297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5</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hyperlink r:id="rId123" w:history="1">
        <w:r>
          <w:rPr>
            <w:color w:val="2B477B"/>
          </w:rPr>
          <w:t xml:space="preserve"> </w:t>
        </w:r>
        <w:r>
          <w:rPr>
            <w:rFonts w:ascii="Arial Unicode MS" w:eastAsia="Arial Unicode MS" w:hAnsi="Arial Unicode MS" w:cs="Arial Unicode MS"/>
            <w:color w:val="2B477B"/>
          </w:rPr>
          <w:t>República</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Estadísticas:</w:t>
      </w:r>
      <w:r>
        <w:rPr>
          <w:color w:val="2B477B"/>
        </w:rPr>
        <w:t xml:space="preserve"> </w:t>
      </w:r>
      <w:hyperlink r:id="rId124" w:history="1">
        <w:r>
          <w:rPr>
            <w:rFonts w:ascii="Arial Unicode MS" w:eastAsia="Arial Unicode MS" w:hAnsi="Arial Unicode MS" w:cs="Arial Unicode MS"/>
            <w:color w:val="2B477B"/>
          </w:rPr>
          <w:t>Encuesta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Dependencia,</w:t>
        </w:r>
        <w:r>
          <w:rPr>
            <w:color w:val="2B477B"/>
          </w:rPr>
          <w:t xml:space="preserve"> 2022</w:t>
        </w:r>
      </w:hyperlink>
      <w:r>
        <w:rPr>
          <w:rFonts w:ascii="Arial Unicode MS" w:eastAsia="Arial Unicode MS" w:hAnsi="Arial Unicode MS" w:cs="Arial Unicode MS"/>
          <w:color w:val="2B477B"/>
        </w:rPr>
        <w:t>.</w:t>
      </w:r>
      <w:r>
        <w:rPr>
          <w:color w:val="2B477B"/>
        </w:rPr>
        <w:t xml:space="preserve"> </w:t>
      </w:r>
    </w:p>
  </w:footnote>
  <w:footnote w:id="97">
    <w:p w14:paraId="1ED4EECF" w14:textId="77777777" w:rsidR="001A105D" w:rsidRDefault="00000000">
      <w:pPr>
        <w:pStyle w:val="Body"/>
        <w:jc w:val="left"/>
      </w:pPr>
      <w:r>
        <w:rPr>
          <w:color w:val="2B477B"/>
          <w:vertAlign w:val="superscript"/>
        </w:rPr>
        <w:footnoteRef/>
      </w:r>
      <w:r>
        <w:rPr>
          <w:color w:val="2B477B"/>
        </w:rPr>
        <w:t xml:space="preserve"> </w:t>
      </w:r>
      <w:hyperlink r:id="rId125" w:history="1">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Estadísticas:</w:t>
        </w:r>
        <w:r>
          <w:rPr>
            <w:color w:val="2B477B"/>
          </w:rPr>
          <w:t xml:space="preserve"> </w:t>
        </w:r>
      </w:hyperlink>
      <w:hyperlink r:id="rId126" w:history="1">
        <w:r>
          <w:rPr>
            <w:rFonts w:ascii="Arial Unicode MS" w:eastAsia="Arial Unicode MS" w:hAnsi="Arial Unicode MS" w:cs="Arial Unicode MS"/>
            <w:color w:val="2B477B"/>
          </w:rPr>
          <w:t>Encuesta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Dependencia,</w:t>
        </w:r>
        <w:r>
          <w:rPr>
            <w:color w:val="2B477B"/>
          </w:rPr>
          <w:t xml:space="preserve"> 2022</w:t>
        </w:r>
      </w:hyperlink>
      <w:r>
        <w:rPr>
          <w:rFonts w:ascii="Arial Unicode MS" w:eastAsia="Arial Unicode MS" w:hAnsi="Arial Unicode MS" w:cs="Arial Unicode MS"/>
          <w:color w:val="2B477B"/>
        </w:rPr>
        <w:t>.</w:t>
      </w:r>
    </w:p>
  </w:footnote>
  <w:footnote w:id="98">
    <w:p w14:paraId="69DA4B9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partir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resultados</w:t>
      </w:r>
      <w:r>
        <w:rPr>
          <w:color w:val="2B477B"/>
        </w:rPr>
        <w:t xml:space="preserve"> </w:t>
      </w:r>
      <w:r>
        <w:rPr>
          <w:rFonts w:ascii="Arial Unicode MS" w:eastAsia="Arial Unicode MS" w:hAnsi="Arial Unicode MS" w:cs="Arial Unicode MS"/>
          <w:color w:val="2B477B"/>
        </w:rPr>
        <w:t>recogidos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censo</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reciente,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han</w:t>
      </w:r>
      <w:r>
        <w:rPr>
          <w:color w:val="2B477B"/>
        </w:rPr>
        <w:t xml:space="preserve"> </w:t>
      </w:r>
      <w:r>
        <w:rPr>
          <w:rFonts w:ascii="Arial Unicode MS" w:eastAsia="Arial Unicode MS" w:hAnsi="Arial Unicode MS" w:cs="Arial Unicode MS"/>
          <w:color w:val="2B477B"/>
        </w:rPr>
        <w:t>elaborado,</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siguientes</w:t>
      </w:r>
      <w:r>
        <w:rPr>
          <w:color w:val="2B477B"/>
        </w:rPr>
        <w:t xml:space="preserve"> </w:t>
      </w:r>
      <w:r>
        <w:rPr>
          <w:rFonts w:ascii="Arial Unicode MS" w:eastAsia="Arial Unicode MS" w:hAnsi="Arial Unicode MS" w:cs="Arial Unicode MS"/>
          <w:color w:val="2B477B"/>
        </w:rPr>
        <w:t>productos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127" w:history="1">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vulnerabilidad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hyperlink r:id="rId128" w:history="1">
        <w:r>
          <w:rPr>
            <w:rFonts w:ascii="Arial Unicode MS" w:eastAsia="Arial Unicode MS" w:hAnsi="Arial Unicode MS" w:cs="Arial Unicode MS"/>
            <w:color w:val="2B477B"/>
          </w:rPr>
          <w:t>Panorama</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Colombia</w:t>
        </w:r>
      </w:hyperlink>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incluye</w:t>
      </w:r>
      <w:r>
        <w:rPr>
          <w:color w:val="2B477B"/>
        </w:rPr>
        <w:t xml:space="preserve"> </w:t>
      </w:r>
      <w:r>
        <w:rPr>
          <w:rFonts w:ascii="Arial Unicode MS" w:eastAsia="Arial Unicode MS" w:hAnsi="Arial Unicode MS" w:cs="Arial Unicode MS"/>
          <w:color w:val="2B477B"/>
        </w:rPr>
        <w:t>consideraciones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índice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pobreza</w:t>
      </w:r>
      <w:r>
        <w:rPr>
          <w:color w:val="2B477B"/>
        </w:rPr>
        <w:t xml:space="preserve"> </w:t>
      </w:r>
      <w:r>
        <w:rPr>
          <w:rFonts w:ascii="Arial Unicode MS" w:eastAsia="Arial Unicode MS" w:hAnsi="Arial Unicode MS" w:cs="Arial Unicode MS"/>
          <w:color w:val="2B477B"/>
        </w:rPr>
        <w:t>multidimensional</w:t>
      </w:r>
      <w:r>
        <w:rPr>
          <w:color w:val="2B477B"/>
        </w:rPr>
        <w:t xml:space="preserve"> </w:t>
      </w:r>
      <w:r>
        <w:rPr>
          <w:rFonts w:ascii="Arial Unicode MS" w:eastAsia="Arial Unicode MS" w:hAnsi="Arial Unicode MS" w:cs="Arial Unicode MS"/>
          <w:color w:val="2B477B"/>
        </w:rPr>
        <w:t>comparado</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hogares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hogares</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ellas,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fin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identificar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brechas</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ambos</w:t>
      </w:r>
      <w:r>
        <w:rPr>
          <w:color w:val="2B477B"/>
        </w:rPr>
        <w:t xml:space="preserve"> </w:t>
      </w:r>
      <w:r>
        <w:rPr>
          <w:rFonts w:ascii="Arial Unicode MS" w:eastAsia="Arial Unicode MS" w:hAnsi="Arial Unicode MS" w:cs="Arial Unicode MS"/>
          <w:color w:val="2B477B"/>
        </w:rPr>
        <w:t>grupos</w:t>
      </w:r>
      <w:r>
        <w:rPr>
          <w:color w:val="2B477B"/>
        </w:rPr>
        <w:t xml:space="preserve"> </w:t>
      </w:r>
      <w:r>
        <w:rPr>
          <w:rFonts w:ascii="Arial Unicode MS" w:eastAsia="Arial Unicode MS" w:hAnsi="Arial Unicode MS" w:cs="Arial Unicode MS"/>
          <w:color w:val="2B477B"/>
        </w:rPr>
        <w:t>poblacionales,</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contribuye</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carácter</w:t>
      </w:r>
      <w:r>
        <w:rPr>
          <w:color w:val="2B477B"/>
        </w:rPr>
        <w:t xml:space="preserve"> </w:t>
      </w:r>
      <w:r>
        <w:rPr>
          <w:rFonts w:ascii="Arial Unicode MS" w:eastAsia="Arial Unicode MS" w:hAnsi="Arial Unicode MS" w:cs="Arial Unicode MS"/>
          <w:color w:val="2B477B"/>
        </w:rPr>
        <w:t>mutuamente</w:t>
      </w:r>
      <w:r>
        <w:rPr>
          <w:color w:val="2B477B"/>
        </w:rPr>
        <w:t xml:space="preserve"> </w:t>
      </w:r>
      <w:r>
        <w:rPr>
          <w:rFonts w:ascii="Arial Unicode MS" w:eastAsia="Arial Unicode MS" w:hAnsi="Arial Unicode MS" w:cs="Arial Unicode MS"/>
          <w:color w:val="2B477B"/>
        </w:rPr>
        <w:t>influenciador</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pobreza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dimensión</w:t>
      </w:r>
      <w:r>
        <w:rPr>
          <w:color w:val="2B477B"/>
        </w:rPr>
        <w:t xml:space="preserve"> </w:t>
      </w:r>
      <w:r>
        <w:rPr>
          <w:rFonts w:ascii="Arial Unicode MS" w:eastAsia="Arial Unicode MS" w:hAnsi="Arial Unicode MS" w:cs="Arial Unicode MS"/>
          <w:color w:val="2B477B"/>
        </w:rPr>
        <w:t>estructural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desigualdad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dicha</w:t>
      </w:r>
      <w:r>
        <w:rPr>
          <w:color w:val="2B477B"/>
        </w:rPr>
        <w:t xml:space="preserve"> </w:t>
      </w:r>
      <w:r>
        <w:rPr>
          <w:rFonts w:ascii="Arial Unicode MS" w:eastAsia="Arial Unicode MS" w:hAnsi="Arial Unicode MS" w:cs="Arial Unicode MS"/>
          <w:color w:val="2B477B"/>
        </w:rPr>
        <w:t>intersección.</w:t>
      </w:r>
    </w:p>
  </w:footnote>
  <w:footnote w:id="99">
    <w:p w14:paraId="7693029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Departamento</w:t>
      </w:r>
      <w:r>
        <w:rPr>
          <w:color w:val="2B477B"/>
        </w:rPr>
        <w:t xml:space="preserve"> </w:t>
      </w:r>
      <w:r>
        <w:rPr>
          <w:rFonts w:ascii="Arial Unicode MS" w:eastAsia="Arial Unicode MS" w:hAnsi="Arial Unicode MS" w:cs="Arial Unicode MS"/>
          <w:color w:val="2B477B"/>
        </w:rPr>
        <w:t>Administrativo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Estadísticas</w:t>
      </w:r>
      <w:r>
        <w:rPr>
          <w:color w:val="2B477B"/>
        </w:rPr>
        <w:t xml:space="preserve"> </w:t>
      </w:r>
      <w:r>
        <w:rPr>
          <w:rFonts w:ascii="Arial Unicode MS" w:eastAsia="Arial Unicode MS" w:hAnsi="Arial Unicode MS" w:cs="Arial Unicode MS"/>
          <w:color w:val="2B477B"/>
        </w:rPr>
        <w:t>(DANE),</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Nota</w:t>
      </w:r>
      <w:r>
        <w:rPr>
          <w:color w:val="2B477B"/>
        </w:rPr>
        <w:t xml:space="preserve"> </w:t>
      </w:r>
      <w:r>
        <w:rPr>
          <w:rFonts w:ascii="Arial Unicode MS" w:eastAsia="Arial Unicode MS" w:hAnsi="Arial Unicode MS" w:cs="Arial Unicode MS"/>
          <w:color w:val="2B477B"/>
        </w:rPr>
        <w:t>Estadística</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Actual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Medición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Colombia,</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100">
    <w:p w14:paraId="00D7958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DANE,</w:t>
      </w:r>
      <w:r>
        <w:rPr>
          <w:color w:val="2B477B"/>
        </w:rPr>
        <w:t xml:space="preserve"> </w:t>
      </w:r>
      <w:r>
        <w:rPr>
          <w:rFonts w:ascii="Arial Unicode MS" w:eastAsia="Arial Unicode MS" w:hAnsi="Arial Unicode MS" w:cs="Arial Unicode MS"/>
          <w:color w:val="2B477B"/>
        </w:rPr>
        <w:t>existe</w:t>
      </w:r>
      <w:r>
        <w:rPr>
          <w:color w:val="2B477B"/>
        </w:rPr>
        <w:t xml:space="preserve"> </w:t>
      </w:r>
      <w:r>
        <w:rPr>
          <w:rFonts w:ascii="Arial Unicode MS" w:eastAsia="Arial Unicode MS" w:hAnsi="Arial Unicode MS" w:cs="Arial Unicode MS"/>
          <w:color w:val="2B477B"/>
        </w:rPr>
        <w:t>otro</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específico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recolección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datos</w:t>
      </w:r>
      <w:r>
        <w:rPr>
          <w:color w:val="2B477B"/>
        </w:rPr>
        <w:t xml:space="preserve"> </w:t>
      </w:r>
      <w:r>
        <w:rPr>
          <w:rFonts w:ascii="Arial Unicode MS" w:eastAsia="Arial Unicode MS" w:hAnsi="Arial Unicode MS" w:cs="Arial Unicode MS"/>
          <w:color w:val="2B477B"/>
        </w:rPr>
        <w:t>denominado</w:t>
      </w:r>
      <w:r>
        <w:rPr>
          <w:color w:val="2B477B"/>
        </w:rPr>
        <w:t xml:space="preserve"> </w:t>
      </w:r>
      <w:r>
        <w:rPr>
          <w:rFonts w:ascii="Arial Unicode MS" w:eastAsia="Arial Unicode MS" w:hAnsi="Arial Unicode MS" w:cs="Arial Unicode MS"/>
          <w:color w:val="2B477B"/>
        </w:rPr>
        <w:t>Registro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Localización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Caracterización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(RLCPD),</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tiene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enfoque</w:t>
      </w:r>
      <w:r>
        <w:rPr>
          <w:color w:val="2B477B"/>
        </w:rPr>
        <w:t xml:space="preserve"> </w:t>
      </w:r>
      <w:r>
        <w:rPr>
          <w:rFonts w:ascii="Arial Unicode MS" w:eastAsia="Arial Unicode MS" w:hAnsi="Arial Unicode MS" w:cs="Arial Unicode MS"/>
          <w:color w:val="2B477B"/>
        </w:rPr>
        <w:t>conectado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aspectos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carácter</w:t>
      </w:r>
      <w:r>
        <w:rPr>
          <w:color w:val="2B477B"/>
        </w:rPr>
        <w:t xml:space="preserve"> </w:t>
      </w:r>
      <w:r>
        <w:rPr>
          <w:rFonts w:ascii="Arial Unicode MS" w:eastAsia="Arial Unicode MS" w:hAnsi="Arial Unicode MS" w:cs="Arial Unicode MS"/>
          <w:color w:val="2B477B"/>
        </w:rPr>
        <w:t>voluntario.</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metodologías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criterios</w:t>
      </w:r>
      <w:r>
        <w:rPr>
          <w:color w:val="2B477B"/>
        </w:rPr>
        <w:t xml:space="preserve"> </w:t>
      </w:r>
      <w:r>
        <w:rPr>
          <w:rFonts w:ascii="Arial Unicode MS" w:eastAsia="Arial Unicode MS" w:hAnsi="Arial Unicode MS" w:cs="Arial Unicode MS"/>
          <w:color w:val="2B477B"/>
        </w:rPr>
        <w:t>distintos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ambos</w:t>
      </w:r>
      <w:r>
        <w:rPr>
          <w:color w:val="2B477B"/>
        </w:rPr>
        <w:t xml:space="preserve"> </w:t>
      </w:r>
      <w:r>
        <w:rPr>
          <w:rFonts w:ascii="Arial Unicode MS" w:eastAsia="Arial Unicode MS" w:hAnsi="Arial Unicode MS" w:cs="Arial Unicode MS"/>
          <w:color w:val="2B477B"/>
        </w:rPr>
        <w:t>sistemas</w:t>
      </w:r>
      <w:r>
        <w:rPr>
          <w:color w:val="2B477B"/>
        </w:rPr>
        <w:t xml:space="preserve"> </w:t>
      </w:r>
      <w:r>
        <w:rPr>
          <w:rFonts w:ascii="Arial Unicode MS" w:eastAsia="Arial Unicode MS" w:hAnsi="Arial Unicode MS" w:cs="Arial Unicode MS"/>
          <w:color w:val="2B477B"/>
        </w:rPr>
        <w:t>llevan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exista</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profunda</w:t>
      </w:r>
      <w:r>
        <w:rPr>
          <w:color w:val="2B477B"/>
        </w:rPr>
        <w:t xml:space="preserve"> </w:t>
      </w:r>
      <w:r>
        <w:rPr>
          <w:rFonts w:ascii="Arial Unicode MS" w:eastAsia="Arial Unicode MS" w:hAnsi="Arial Unicode MS" w:cs="Arial Unicode MS"/>
          <w:color w:val="2B477B"/>
        </w:rPr>
        <w:t>diferencia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datos</w:t>
      </w:r>
      <w:r>
        <w:rPr>
          <w:color w:val="2B477B"/>
        </w:rPr>
        <w:t xml:space="preserve"> </w:t>
      </w:r>
      <w:r>
        <w:rPr>
          <w:rFonts w:ascii="Arial Unicode MS" w:eastAsia="Arial Unicode MS" w:hAnsi="Arial Unicode MS" w:cs="Arial Unicode MS"/>
          <w:color w:val="2B477B"/>
        </w:rPr>
        <w:t>colombianos.</w:t>
      </w:r>
      <w:r>
        <w:rPr>
          <w:color w:val="2B477B"/>
        </w:rPr>
        <w:t xml:space="preserve">  </w:t>
      </w:r>
      <w:r>
        <w:rPr>
          <w:rFonts w:ascii="Arial Unicode MS" w:eastAsia="Arial Unicode MS" w:hAnsi="Arial Unicode MS" w:cs="Arial Unicode MS"/>
          <w:color w:val="2B477B"/>
        </w:rPr>
        <w:t>Mientras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registro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refiere</w:t>
      </w:r>
      <w:r>
        <w:rPr>
          <w:color w:val="2B477B"/>
        </w:rPr>
        <w:t xml:space="preserve"> </w:t>
      </w:r>
      <w:r>
        <w:rPr>
          <w:rFonts w:ascii="Arial Unicode MS" w:eastAsia="Arial Unicode MS" w:hAnsi="Arial Unicode MS" w:cs="Arial Unicode MS"/>
          <w:color w:val="2B477B"/>
        </w:rPr>
        <w:t>a</w:t>
      </w:r>
      <w:r>
        <w:rPr>
          <w:color w:val="2B477B"/>
        </w:rPr>
        <w:t xml:space="preserve"> 1</w:t>
      </w:r>
      <w:r>
        <w:rPr>
          <w:rFonts w:ascii="Arial Unicode MS" w:eastAsia="Arial Unicode MS" w:hAnsi="Arial Unicode MS" w:cs="Arial Unicode MS"/>
          <w:color w:val="2B477B"/>
        </w:rPr>
        <w:t>.</w:t>
      </w:r>
      <w:r>
        <w:rPr>
          <w:color w:val="2B477B"/>
        </w:rPr>
        <w:t xml:space="preserve">5 </w:t>
      </w:r>
      <w:r>
        <w:rPr>
          <w:rFonts w:ascii="Arial Unicode MS" w:eastAsia="Arial Unicode MS" w:hAnsi="Arial Unicode MS" w:cs="Arial Unicode MS"/>
          <w:color w:val="2B477B"/>
        </w:rPr>
        <w:t>millones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presentaban</w:t>
      </w:r>
      <w:r>
        <w:rPr>
          <w:color w:val="2B477B"/>
        </w:rPr>
        <w:t xml:space="preserve"> </w:t>
      </w:r>
      <w:r>
        <w:rPr>
          <w:rFonts w:ascii="Arial Unicode MS" w:eastAsia="Arial Unicode MS" w:hAnsi="Arial Unicode MS" w:cs="Arial Unicode MS"/>
          <w:color w:val="2B477B"/>
        </w:rPr>
        <w:t>alguna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(diciembre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DANE</w:t>
      </w:r>
      <w:r>
        <w:rPr>
          <w:color w:val="2B477B"/>
        </w:rPr>
        <w:t xml:space="preserve"> </w:t>
      </w:r>
      <w:r>
        <w:rPr>
          <w:rFonts w:ascii="Arial Unicode MS" w:eastAsia="Arial Unicode MS" w:hAnsi="Arial Unicode MS" w:cs="Arial Unicode MS"/>
          <w:color w:val="2B477B"/>
        </w:rPr>
        <w:t>recoge</w:t>
      </w:r>
      <w:r>
        <w:rPr>
          <w:color w:val="2B477B"/>
        </w:rPr>
        <w:t xml:space="preserve"> </w:t>
      </w:r>
      <w:r>
        <w:rPr>
          <w:rFonts w:ascii="Arial Unicode MS" w:eastAsia="Arial Unicode MS" w:hAnsi="Arial Unicode MS" w:cs="Arial Unicode MS"/>
          <w:color w:val="2B477B"/>
        </w:rPr>
        <w:t>cifras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oscilan</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los</w:t>
      </w:r>
      <w:r>
        <w:rPr>
          <w:color w:val="2B477B"/>
        </w:rPr>
        <w:t xml:space="preserve"> 2</w:t>
      </w:r>
      <w:r>
        <w:rPr>
          <w:rFonts w:ascii="Arial Unicode MS" w:eastAsia="Arial Unicode MS" w:hAnsi="Arial Unicode MS" w:cs="Arial Unicode MS"/>
          <w:color w:val="2B477B"/>
        </w:rPr>
        <w:t>.</w:t>
      </w:r>
      <w:r>
        <w:rPr>
          <w:color w:val="2B477B"/>
        </w:rPr>
        <w:t xml:space="preserve">5 </w:t>
      </w:r>
      <w:r>
        <w:rPr>
          <w:rFonts w:ascii="Arial Unicode MS" w:eastAsia="Arial Unicode MS" w:hAnsi="Arial Unicode MS" w:cs="Arial Unicode MS"/>
          <w:color w:val="2B477B"/>
        </w:rPr>
        <w:t>a</w:t>
      </w:r>
      <w:r>
        <w:rPr>
          <w:color w:val="2B477B"/>
        </w:rPr>
        <w:t xml:space="preserve"> 3 </w:t>
      </w:r>
      <w:r>
        <w:rPr>
          <w:rFonts w:ascii="Arial Unicode MS" w:eastAsia="Arial Unicode MS" w:hAnsi="Arial Unicode MS" w:cs="Arial Unicode MS"/>
          <w:color w:val="2B477B"/>
        </w:rPr>
        <w:t>millones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aproximadamente.</w:t>
      </w:r>
      <w:r>
        <w:rPr>
          <w:color w:val="2B477B"/>
        </w:rPr>
        <w:t xml:space="preserve"> </w:t>
      </w:r>
      <w:r>
        <w:rPr>
          <w:rFonts w:ascii="Arial Unicode MS" w:eastAsia="Arial Unicode MS" w:hAnsi="Arial Unicode MS" w:cs="Arial Unicode MS"/>
          <w:color w:val="2B477B"/>
        </w:rPr>
        <w:t>Otro</w:t>
      </w:r>
      <w:r>
        <w:rPr>
          <w:color w:val="2B477B"/>
        </w:rPr>
        <w:t xml:space="preserve"> </w:t>
      </w:r>
      <w:r>
        <w:rPr>
          <w:rFonts w:ascii="Arial Unicode MS" w:eastAsia="Arial Unicode MS" w:hAnsi="Arial Unicode MS" w:cs="Arial Unicode MS"/>
          <w:color w:val="2B477B"/>
        </w:rPr>
        <w:t>aspecto</w:t>
      </w:r>
      <w:r>
        <w:rPr>
          <w:color w:val="2B477B"/>
        </w:rPr>
        <w:t xml:space="preserve"> </w:t>
      </w:r>
      <w:r>
        <w:rPr>
          <w:rFonts w:ascii="Arial Unicode MS" w:eastAsia="Arial Unicode MS" w:hAnsi="Arial Unicode MS" w:cs="Arial Unicode MS"/>
          <w:color w:val="2B477B"/>
        </w:rPr>
        <w:t>señalado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impacta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datos</w:t>
      </w:r>
      <w:r>
        <w:rPr>
          <w:color w:val="2B477B"/>
        </w:rPr>
        <w:t xml:space="preserve"> </w:t>
      </w:r>
      <w:r>
        <w:rPr>
          <w:rFonts w:ascii="Arial Unicode MS" w:eastAsia="Arial Unicode MS" w:hAnsi="Arial Unicode MS" w:cs="Arial Unicode MS"/>
          <w:color w:val="2B477B"/>
        </w:rPr>
        <w:t>estadísticos,</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proceso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Certificación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proceso,</w:t>
      </w:r>
      <w:r>
        <w:rPr>
          <w:color w:val="2B477B"/>
        </w:rPr>
        <w:t xml:space="preserve"> </w:t>
      </w:r>
      <w:r>
        <w:rPr>
          <w:rFonts w:ascii="Arial Unicode MS" w:eastAsia="Arial Unicode MS" w:hAnsi="Arial Unicode MS" w:cs="Arial Unicode MS"/>
          <w:color w:val="2B477B"/>
        </w:rPr>
        <w:t>regulado</w:t>
      </w:r>
      <w:r>
        <w:rPr>
          <w:color w:val="2B477B"/>
        </w:rPr>
        <w:t xml:space="preserve"> </w:t>
      </w:r>
      <w:r>
        <w:rPr>
          <w:rFonts w:ascii="Arial Unicode MS" w:eastAsia="Arial Unicode MS" w:hAnsi="Arial Unicode MS" w:cs="Arial Unicode MS"/>
          <w:color w:val="2B477B"/>
        </w:rPr>
        <w:t>actualmente</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Resolución</w:t>
      </w:r>
      <w:r>
        <w:rPr>
          <w:color w:val="2B477B"/>
        </w:rPr>
        <w:t xml:space="preserve"> 1239 </w:t>
      </w:r>
      <w:r>
        <w:rPr>
          <w:rFonts w:ascii="Arial Unicode MS" w:eastAsia="Arial Unicode MS" w:hAnsi="Arial Unicode MS" w:cs="Arial Unicode MS"/>
          <w:color w:val="2B477B"/>
        </w:rPr>
        <w:t>de</w:t>
      </w:r>
      <w:r>
        <w:rPr>
          <w:color w:val="2B477B"/>
        </w:rPr>
        <w:t xml:space="preserve"> 2022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apunta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fortalecer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registro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localización.</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dicha</w:t>
      </w:r>
      <w:r>
        <w:rPr>
          <w:color w:val="2B477B"/>
        </w:rPr>
        <w:t xml:space="preserve"> </w:t>
      </w:r>
      <w:r>
        <w:rPr>
          <w:rFonts w:ascii="Arial Unicode MS" w:eastAsia="Arial Unicode MS" w:hAnsi="Arial Unicode MS" w:cs="Arial Unicode MS"/>
          <w:color w:val="2B477B"/>
        </w:rPr>
        <w:t>certificación</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venido</w:t>
      </w:r>
      <w:r>
        <w:rPr>
          <w:color w:val="2B477B"/>
        </w:rPr>
        <w:t xml:space="preserve"> </w:t>
      </w:r>
      <w:r>
        <w:rPr>
          <w:rFonts w:ascii="Arial Unicode MS" w:eastAsia="Arial Unicode MS" w:hAnsi="Arial Unicode MS" w:cs="Arial Unicode MS"/>
          <w:color w:val="2B477B"/>
        </w:rPr>
        <w:t>convirtiendo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barrera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falta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divulgación,</w:t>
      </w:r>
      <w:r>
        <w:rPr>
          <w:color w:val="2B477B"/>
        </w:rPr>
        <w:t xml:space="preserve"> </w:t>
      </w:r>
      <w:r>
        <w:rPr>
          <w:rFonts w:ascii="Arial Unicode MS" w:eastAsia="Arial Unicode MS" w:hAnsi="Arial Unicode MS" w:cs="Arial Unicode MS"/>
          <w:color w:val="2B477B"/>
        </w:rPr>
        <w:t>conocimiento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aplicación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propósito,</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limitada</w:t>
      </w:r>
      <w:r>
        <w:rPr>
          <w:color w:val="2B477B"/>
        </w:rPr>
        <w:t xml:space="preserve"> </w:t>
      </w:r>
      <w:r>
        <w:rPr>
          <w:rFonts w:ascii="Arial Unicode MS" w:eastAsia="Arial Unicode MS" w:hAnsi="Arial Unicode MS" w:cs="Arial Unicode MS"/>
          <w:color w:val="2B477B"/>
        </w:rPr>
        <w:t>asignación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recursos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financiación.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hyperlink r:id="rId129" w:history="1">
        <w:r>
          <w:rPr>
            <w:rFonts w:ascii="Arial Unicode MS" w:eastAsia="Arial Unicode MS" w:hAnsi="Arial Unicode MS" w:cs="Arial Unicode MS"/>
            <w:color w:val="2B477B"/>
          </w:rPr>
          <w:t>Registro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Localización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Caracterización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(RLCPD);</w:t>
        </w:r>
      </w:hyperlink>
      <w:r>
        <w:rPr>
          <w:color w:val="2B477B"/>
        </w:rPr>
        <w:t xml:space="preserve"> </w:t>
      </w:r>
      <w:r>
        <w:rPr>
          <w:rFonts w:ascii="Arial Unicode MS" w:eastAsia="Arial Unicode MS" w:hAnsi="Arial Unicode MS" w:cs="Arial Unicode MS"/>
          <w:color w:val="2B477B"/>
        </w:rPr>
        <w:t>Registro</w:t>
      </w:r>
      <w:r>
        <w:rPr>
          <w:color w:val="2B477B"/>
        </w:rPr>
        <w:t xml:space="preserve"> </w:t>
      </w:r>
      <w:hyperlink r:id="rId130" w:history="1">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Productiva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hyperlink r:id="rId131" w:history="1">
        <w:r>
          <w:rPr>
            <w:rFonts w:ascii="Arial Unicode MS" w:eastAsia="Arial Unicode MS" w:hAnsi="Arial Unicode MS" w:cs="Arial Unicode MS"/>
            <w:color w:val="2B477B"/>
          </w:rPr>
          <w:t>Resolución</w:t>
        </w:r>
        <w:r>
          <w:rPr>
            <w:color w:val="2B477B"/>
          </w:rPr>
          <w:t xml:space="preserve"> 1239 </w:t>
        </w:r>
        <w:r>
          <w:rPr>
            <w:rFonts w:ascii="Arial Unicode MS" w:eastAsia="Arial Unicode MS" w:hAnsi="Arial Unicode MS" w:cs="Arial Unicode MS"/>
            <w:color w:val="2B477B"/>
          </w:rPr>
          <w:t>del</w:t>
        </w:r>
        <w:r>
          <w:rPr>
            <w:color w:val="2B477B"/>
          </w:rPr>
          <w:t xml:space="preserve"> 2022</w:t>
        </w:r>
      </w:hyperlink>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Certificación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RLCPCD;</w:t>
      </w:r>
      <w:r>
        <w:rPr>
          <w:color w:val="2B477B"/>
        </w:rPr>
        <w:t xml:space="preserve"> </w:t>
      </w:r>
      <w:r>
        <w:rPr>
          <w:rFonts w:ascii="Arial Unicode MS" w:eastAsia="Arial Unicode MS" w:hAnsi="Arial Unicode MS" w:cs="Arial Unicode MS"/>
          <w:color w:val="2B477B"/>
        </w:rPr>
        <w:t>Observatorio</w:t>
      </w:r>
      <w:r>
        <w:rPr>
          <w:color w:val="2B477B"/>
        </w:rPr>
        <w:t xml:space="preserve"> </w:t>
      </w:r>
      <w:hyperlink r:id="rId132" w:history="1">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Productiva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202</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p>
  </w:footnote>
  <w:footnote w:id="101">
    <w:p w14:paraId="698F3B5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detalles</w:t>
      </w:r>
      <w:r>
        <w:rPr>
          <w:color w:val="2B477B"/>
        </w:rPr>
        <w:t xml:space="preserve"> </w:t>
      </w:r>
      <w:r>
        <w:rPr>
          <w:rFonts w:ascii="Arial Unicode MS" w:eastAsia="Arial Unicode MS" w:hAnsi="Arial Unicode MS" w:cs="Arial Unicode MS"/>
          <w:color w:val="2B477B"/>
        </w:rPr>
        <w:t>ver,</w:t>
      </w:r>
      <w:r>
        <w:rPr>
          <w:color w:val="2B477B"/>
        </w:rPr>
        <w:t xml:space="preserve"> </w:t>
      </w:r>
      <w:hyperlink r:id="rId133" w:history="1">
        <w:r>
          <w:rPr>
            <w:rFonts w:ascii="Arial Unicode MS" w:eastAsia="Arial Unicode MS" w:hAnsi="Arial Unicode MS" w:cs="Arial Unicode MS"/>
            <w:color w:val="2B477B"/>
          </w:rPr>
          <w:t>Censo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Población</w:t>
        </w:r>
        <w:r>
          <w:rPr>
            <w:color w:val="2B477B"/>
          </w:rPr>
          <w:t xml:space="preserve"> 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sistematización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consultar</w:t>
      </w:r>
      <w:r>
        <w:rPr>
          <w:color w:val="2B477B"/>
        </w:rPr>
        <w:t xml:space="preserve"> </w:t>
      </w:r>
      <w:r>
        <w:rPr>
          <w:rFonts w:ascii="Arial Unicode MS" w:eastAsia="Arial Unicode MS" w:hAnsi="Arial Unicode MS" w:cs="Arial Unicode MS"/>
          <w:color w:val="2B477B"/>
        </w:rPr>
        <w:t>en,</w:t>
      </w:r>
      <w:r>
        <w:rPr>
          <w:color w:val="2B477B"/>
        </w:rPr>
        <w:t xml:space="preserve"> </w:t>
      </w:r>
      <w:hyperlink r:id="rId134" w:history="1">
        <w:r>
          <w:rPr>
            <w:rFonts w:ascii="Arial Unicode MS" w:eastAsia="Arial Unicode MS" w:hAnsi="Arial Unicode MS" w:cs="Arial Unicode MS"/>
            <w:color w:val="2B477B"/>
          </w:rPr>
          <w:t>D</w:t>
        </w:r>
      </w:hyperlink>
      <w:hyperlink r:id="rId135" w:history="1">
        <w:r>
          <w:rPr>
            <w:rFonts w:ascii="Arial Unicode MS" w:eastAsia="Arial Unicode MS" w:hAnsi="Arial Unicode MS" w:cs="Arial Unicode MS"/>
            <w:color w:val="2B477B"/>
          </w:rPr>
          <w:t>atos</w:t>
        </w:r>
        <w:r>
          <w:rPr>
            <w:color w:val="2B477B"/>
          </w:rPr>
          <w:t xml:space="preserve"> </w:t>
        </w:r>
        <w:r>
          <w:rPr>
            <w:rFonts w:ascii="Arial Unicode MS" w:eastAsia="Arial Unicode MS" w:hAnsi="Arial Unicode MS" w:cs="Arial Unicode MS"/>
            <w:color w:val="2B477B"/>
          </w:rPr>
          <w:t>Estadísticos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Guatemala</w:t>
        </w:r>
      </w:hyperlink>
      <w:r>
        <w:rPr>
          <w:rFonts w:ascii="Arial Unicode MS" w:eastAsia="Arial Unicode MS" w:hAnsi="Arial Unicode MS" w:cs="Arial Unicode MS"/>
          <w:color w:val="2B477B"/>
        </w:rPr>
        <w:t>,</w:t>
      </w:r>
      <w:r>
        <w:rPr>
          <w:color w:val="2B477B"/>
        </w:rPr>
        <w:t xml:space="preserve"> 2021</w:t>
      </w:r>
      <w:r>
        <w:rPr>
          <w:rFonts w:ascii="Arial Unicode MS" w:eastAsia="Arial Unicode MS" w:hAnsi="Arial Unicode MS" w:cs="Arial Unicode MS"/>
          <w:color w:val="2B477B"/>
        </w:rPr>
        <w:t>.</w:t>
      </w:r>
      <w:r>
        <w:rPr>
          <w:color w:val="2B477B"/>
        </w:rPr>
        <w:t xml:space="preserve"> </w:t>
      </w:r>
    </w:p>
  </w:footnote>
  <w:footnote w:id="102">
    <w:p w14:paraId="36E3A13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consultar,</w:t>
      </w:r>
      <w:r>
        <w:rPr>
          <w:color w:val="2B477B"/>
        </w:rPr>
        <w:t xml:space="preserve"> </w:t>
      </w:r>
      <w:hyperlink r:id="rId136" w:history="1">
        <w:r>
          <w:rPr>
            <w:rFonts w:ascii="Arial Unicode MS" w:eastAsia="Arial Unicode MS" w:hAnsi="Arial Unicode MS" w:cs="Arial Unicode MS"/>
            <w:color w:val="2B477B"/>
          </w:rPr>
          <w:t>Nota</w:t>
        </w:r>
        <w:r>
          <w:rPr>
            <w:color w:val="2B477B"/>
          </w:rPr>
          <w:t xml:space="preserve"> </w:t>
        </w:r>
        <w:r>
          <w:rPr>
            <w:rFonts w:ascii="Arial Unicode MS" w:eastAsia="Arial Unicode MS" w:hAnsi="Arial Unicode MS" w:cs="Arial Unicode MS"/>
            <w:color w:val="2B477B"/>
          </w:rPr>
          <w:t>técnica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identificación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Estadística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Geografía</w:t>
      </w:r>
      <w:r>
        <w:rPr>
          <w:color w:val="2B477B"/>
        </w:rPr>
        <w:t xml:space="preserve"> </w:t>
      </w:r>
      <w:r>
        <w:rPr>
          <w:rFonts w:ascii="Arial Unicode MS" w:eastAsia="Arial Unicode MS" w:hAnsi="Arial Unicode MS" w:cs="Arial Unicode MS"/>
          <w:color w:val="2B477B"/>
        </w:rPr>
        <w:t>(I</w:t>
      </w:r>
      <w:hyperlink r:id="rId137" w:history="1">
        <w:r>
          <w:rPr>
            <w:rStyle w:val="Hyperlink1"/>
            <w:rFonts w:ascii="Arial Unicode MS" w:eastAsia="Arial Unicode MS" w:hAnsi="Arial Unicode MS" w:cs="Arial Unicode MS"/>
            <w:u w:val="single"/>
          </w:rPr>
          <w:t>NEGI),</w:t>
        </w:r>
        <w:r>
          <w:rPr>
            <w:rStyle w:val="Hyperlink1"/>
            <w:u w:val="single"/>
          </w:rPr>
          <w:t xml:space="preserve"> </w:t>
        </w:r>
        <w:r>
          <w:rPr>
            <w:rStyle w:val="Hyperlink1"/>
            <w:rFonts w:ascii="Arial Unicode MS" w:eastAsia="Arial Unicode MS" w:hAnsi="Arial Unicode MS" w:cs="Arial Unicode MS"/>
            <w:u w:val="single"/>
          </w:rPr>
          <w:t>Censo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Población</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Vivienda,</w:t>
        </w:r>
        <w:r>
          <w:rPr>
            <w:rStyle w:val="Hyperlink1"/>
            <w:u w:val="single"/>
          </w:rPr>
          <w:t xml:space="preserve"> 2020</w:t>
        </w:r>
      </w:hyperlink>
      <w:r>
        <w:rPr>
          <w:rFonts w:ascii="Arial Unicode MS" w:eastAsia="Arial Unicode MS" w:hAnsi="Arial Unicode MS" w:cs="Arial Unicode MS"/>
          <w:color w:val="2B477B"/>
        </w:rPr>
        <w:t>.</w:t>
      </w:r>
      <w:r>
        <w:rPr>
          <w:color w:val="2B477B"/>
        </w:rPr>
        <w:t xml:space="preserve"> </w:t>
      </w:r>
    </w:p>
  </w:footnote>
  <w:footnote w:id="103">
    <w:p w14:paraId="55AD8E6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logró</w:t>
      </w:r>
      <w:r>
        <w:rPr>
          <w:color w:val="2B477B"/>
        </w:rPr>
        <w:t xml:space="preserve"> </w:t>
      </w:r>
      <w:r>
        <w:rPr>
          <w:rFonts w:ascii="Arial Unicode MS" w:eastAsia="Arial Unicode MS" w:hAnsi="Arial Unicode MS" w:cs="Arial Unicode MS"/>
          <w:color w:val="2B477B"/>
        </w:rPr>
        <w:t>hacer</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cruce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datos</w:t>
      </w:r>
      <w:r>
        <w:rPr>
          <w:color w:val="2B477B"/>
        </w:rPr>
        <w:t xml:space="preserve"> </w:t>
      </w:r>
      <w:r>
        <w:rPr>
          <w:rFonts w:ascii="Arial Unicode MS" w:eastAsia="Arial Unicode MS" w:hAnsi="Arial Unicode MS" w:cs="Arial Unicode MS"/>
          <w:color w:val="2B477B"/>
        </w:rPr>
        <w:t>tales</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sexo;</w:t>
      </w:r>
      <w:r>
        <w:rPr>
          <w:color w:val="2B477B"/>
        </w:rPr>
        <w:t xml:space="preserve"> </w:t>
      </w:r>
      <w:r>
        <w:rPr>
          <w:rFonts w:ascii="Arial Unicode MS" w:eastAsia="Arial Unicode MS" w:hAnsi="Arial Unicode MS" w:cs="Arial Unicode MS"/>
          <w:color w:val="2B477B"/>
        </w:rPr>
        <w:t>edad;</w:t>
      </w:r>
      <w:r>
        <w:rPr>
          <w:color w:val="2B477B"/>
        </w:rPr>
        <w:t xml:space="preserve"> </w:t>
      </w:r>
      <w:r>
        <w:rPr>
          <w:rFonts w:ascii="Arial Unicode MS" w:eastAsia="Arial Unicode MS" w:hAnsi="Arial Unicode MS" w:cs="Arial Unicode MS"/>
          <w:color w:val="2B477B"/>
        </w:rPr>
        <w:t>lugar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nacimiento;</w:t>
      </w:r>
      <w:r>
        <w:rPr>
          <w:color w:val="2B477B"/>
        </w:rPr>
        <w:t xml:space="preserve"> </w:t>
      </w:r>
      <w:r>
        <w:rPr>
          <w:rFonts w:ascii="Arial Unicode MS" w:eastAsia="Arial Unicode MS" w:hAnsi="Arial Unicode MS" w:cs="Arial Unicode MS"/>
          <w:color w:val="2B477B"/>
        </w:rPr>
        <w:t>entidad</w:t>
      </w:r>
      <w:r>
        <w:rPr>
          <w:color w:val="2B477B"/>
        </w:rPr>
        <w:t xml:space="preserve"> </w:t>
      </w:r>
      <w:r>
        <w:rPr>
          <w:rFonts w:ascii="Arial Unicode MS" w:eastAsia="Arial Unicode MS" w:hAnsi="Arial Unicode MS" w:cs="Arial Unicode MS"/>
          <w:color w:val="2B477B"/>
        </w:rPr>
        <w:t>federativa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municipio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residencia;</w:t>
      </w:r>
      <w:r>
        <w:rPr>
          <w:color w:val="2B477B"/>
        </w:rPr>
        <w:t xml:space="preserve"> </w:t>
      </w:r>
      <w:r>
        <w:rPr>
          <w:rFonts w:ascii="Arial Unicode MS" w:eastAsia="Arial Unicode MS" w:hAnsi="Arial Unicode MS" w:cs="Arial Unicode MS"/>
          <w:color w:val="2B477B"/>
        </w:rPr>
        <w:t>afiliación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condición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alfabetismo;</w:t>
      </w:r>
      <w:r>
        <w:rPr>
          <w:color w:val="2B477B"/>
        </w:rPr>
        <w:t xml:space="preserve"> </w:t>
      </w:r>
      <w:r>
        <w:rPr>
          <w:rFonts w:ascii="Arial Unicode MS" w:eastAsia="Arial Unicode MS" w:hAnsi="Arial Unicode MS" w:cs="Arial Unicode MS"/>
          <w:color w:val="2B477B"/>
        </w:rPr>
        <w:t>asistencia</w:t>
      </w:r>
      <w:r>
        <w:rPr>
          <w:color w:val="2B477B"/>
        </w:rPr>
        <w:t xml:space="preserve"> </w:t>
      </w:r>
      <w:r>
        <w:rPr>
          <w:rFonts w:ascii="Arial Unicode MS" w:eastAsia="Arial Unicode MS" w:hAnsi="Arial Unicode MS" w:cs="Arial Unicode MS"/>
          <w:color w:val="2B477B"/>
        </w:rPr>
        <w:t>escolar;</w:t>
      </w:r>
      <w:r>
        <w:rPr>
          <w:color w:val="2B477B"/>
        </w:rPr>
        <w:t xml:space="preserve"> </w:t>
      </w:r>
      <w:r>
        <w:rPr>
          <w:rFonts w:ascii="Arial Unicode MS" w:eastAsia="Arial Unicode MS" w:hAnsi="Arial Unicode MS" w:cs="Arial Unicode MS"/>
          <w:color w:val="2B477B"/>
        </w:rPr>
        <w:t>nivel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escolaridad;</w:t>
      </w:r>
      <w:r>
        <w:rPr>
          <w:color w:val="2B477B"/>
        </w:rPr>
        <w:t xml:space="preserve"> </w:t>
      </w:r>
      <w:r>
        <w:rPr>
          <w:rFonts w:ascii="Arial Unicode MS" w:eastAsia="Arial Unicode MS" w:hAnsi="Arial Unicode MS" w:cs="Arial Unicode MS"/>
          <w:color w:val="2B477B"/>
        </w:rPr>
        <w:t>pertenencia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alguna</w:t>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indígena;</w:t>
      </w:r>
      <w:r>
        <w:rPr>
          <w:color w:val="2B477B"/>
        </w:rPr>
        <w:t xml:space="preserve"> </w:t>
      </w:r>
      <w:r>
        <w:rPr>
          <w:rFonts w:ascii="Arial Unicode MS" w:eastAsia="Arial Unicode MS" w:hAnsi="Arial Unicode MS" w:cs="Arial Unicode MS"/>
          <w:color w:val="2B477B"/>
        </w:rPr>
        <w:t>autodescripción</w:t>
      </w:r>
      <w:r>
        <w:rPr>
          <w:color w:val="2B477B"/>
        </w:rPr>
        <w:t xml:space="preserve"> </w:t>
      </w:r>
      <w:r>
        <w:rPr>
          <w:rFonts w:ascii="Arial Unicode MS" w:eastAsia="Arial Unicode MS" w:hAnsi="Arial Unicode MS" w:cs="Arial Unicode MS"/>
          <w:color w:val="2B477B"/>
        </w:rPr>
        <w:t>afromexicana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afrodescendiente;</w:t>
      </w:r>
      <w:r>
        <w:rPr>
          <w:color w:val="2B477B"/>
        </w:rPr>
        <w:t xml:space="preserve"> </w:t>
      </w:r>
      <w:r>
        <w:rPr>
          <w:rFonts w:ascii="Arial Unicode MS" w:eastAsia="Arial Unicode MS" w:hAnsi="Arial Unicode MS" w:cs="Arial Unicode MS"/>
          <w:color w:val="2B477B"/>
        </w:rPr>
        <w:t>actividad</w:t>
      </w:r>
      <w:r>
        <w:rPr>
          <w:color w:val="2B477B"/>
        </w:rPr>
        <w:t xml:space="preserve"> </w:t>
      </w:r>
      <w:r>
        <w:rPr>
          <w:rFonts w:ascii="Arial Unicode MS" w:eastAsia="Arial Unicode MS" w:hAnsi="Arial Unicode MS" w:cs="Arial Unicode MS"/>
          <w:color w:val="2B477B"/>
        </w:rPr>
        <w:t>económica;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conyugal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fecundidad.</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proporcionada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mexicana,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INEGI</w:t>
      </w:r>
      <w:r>
        <w:rPr>
          <w:color w:val="2B477B"/>
        </w:rPr>
        <w:t xml:space="preserve"> </w:t>
      </w:r>
      <w:r>
        <w:rPr>
          <w:rFonts w:ascii="Arial Unicode MS" w:eastAsia="Arial Unicode MS" w:hAnsi="Arial Unicode MS" w:cs="Arial Unicode MS"/>
          <w:color w:val="2B477B"/>
        </w:rPr>
        <w:t>incorporó</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en</w:t>
      </w:r>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dentro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Encuesta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Ingresos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Gastos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Hogares</w:t>
      </w:r>
      <w:r>
        <w:rPr>
          <w:color w:val="2B477B"/>
        </w:rPr>
        <w:t xml:space="preserve"> </w:t>
      </w:r>
      <w:r>
        <w:rPr>
          <w:rFonts w:ascii="Arial Unicode MS" w:eastAsia="Arial Unicode MS" w:hAnsi="Arial Unicode MS" w:cs="Arial Unicode MS"/>
          <w:color w:val="2B477B"/>
        </w:rPr>
        <w:t>(ENIGH),</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conjunto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preguntas</w:t>
      </w:r>
      <w:r>
        <w:rPr>
          <w:color w:val="2B477B"/>
        </w:rPr>
        <w:t xml:space="preserve"> </w:t>
      </w:r>
      <w:r>
        <w:rPr>
          <w:rFonts w:ascii="Arial Unicode MS" w:eastAsia="Arial Unicode MS" w:hAnsi="Arial Unicode MS" w:cs="Arial Unicode MS"/>
          <w:color w:val="2B477B"/>
        </w:rPr>
        <w:t>sugerido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Washington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recolección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datos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dando</w:t>
      </w:r>
      <w:r>
        <w:rPr>
          <w:color w:val="2B477B"/>
        </w:rPr>
        <w:t xml:space="preserve"> </w:t>
      </w:r>
      <w:r>
        <w:rPr>
          <w:rFonts w:ascii="Arial Unicode MS" w:eastAsia="Arial Unicode MS" w:hAnsi="Arial Unicode MS" w:cs="Arial Unicode MS"/>
          <w:color w:val="2B477B"/>
        </w:rPr>
        <w:t>cuenta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pobreza,</w:t>
      </w:r>
      <w:r>
        <w:rPr>
          <w:color w:val="2B477B"/>
        </w:rPr>
        <w:t xml:space="preserve"> </w:t>
      </w:r>
      <w:r>
        <w:rPr>
          <w:rFonts w:ascii="Arial Unicode MS" w:eastAsia="Arial Unicode MS" w:hAnsi="Arial Unicode MS" w:cs="Arial Unicode MS"/>
          <w:color w:val="2B477B"/>
        </w:rPr>
        <w:t>carencias</w:t>
      </w:r>
      <w:r>
        <w:rPr>
          <w:color w:val="2B477B"/>
        </w:rPr>
        <w:t xml:space="preserve"> </w:t>
      </w:r>
      <w:r>
        <w:rPr>
          <w:rFonts w:ascii="Arial Unicode MS" w:eastAsia="Arial Unicode MS" w:hAnsi="Arial Unicode MS" w:cs="Arial Unicode MS"/>
          <w:color w:val="2B477B"/>
        </w:rPr>
        <w:t>sociales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indicadores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bienestar</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poblacional.</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17</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consultar,</w:t>
      </w:r>
      <w:r>
        <w:rPr>
          <w:color w:val="2B477B"/>
        </w:rPr>
        <w:t xml:space="preserve"> </w:t>
      </w:r>
      <w:hyperlink r:id="rId138" w:history="1">
        <w:r>
          <w:rPr>
            <w:rFonts w:ascii="Arial Unicode MS" w:eastAsia="Arial Unicode MS" w:hAnsi="Arial Unicode MS" w:cs="Arial Unicode MS"/>
            <w:color w:val="2B477B"/>
          </w:rPr>
          <w:t>Nota</w:t>
        </w:r>
        <w:r>
          <w:rPr>
            <w:color w:val="2B477B"/>
          </w:rPr>
          <w:t xml:space="preserve"> </w:t>
        </w:r>
        <w:r>
          <w:rPr>
            <w:rFonts w:ascii="Arial Unicode MS" w:eastAsia="Arial Unicode MS" w:hAnsi="Arial Unicode MS" w:cs="Arial Unicode MS"/>
            <w:color w:val="2B477B"/>
          </w:rPr>
          <w:t>técnica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identificación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p>
  </w:footnote>
  <w:footnote w:id="104">
    <w:p w14:paraId="7E3CFF2C"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w:t>
      </w:r>
      <w:r>
        <w:rPr>
          <w:rFonts w:ascii="Arial Unicode MS" w:eastAsia="Arial Unicode MS" w:hAnsi="Arial Unicode MS" w:cs="Arial Unicode MS"/>
          <w:color w:val="2B477B"/>
        </w:rPr>
        <w:t>-</w:t>
      </w:r>
      <w:r>
        <w:rPr>
          <w:color w:val="2B477B"/>
        </w:rPr>
        <w:t>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detalles,</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INEGI,</w:t>
      </w:r>
      <w:r>
        <w:rPr>
          <w:color w:val="2B477B"/>
        </w:rPr>
        <w:t xml:space="preserve"> </w:t>
      </w:r>
      <w:hyperlink r:id="rId139" w:history="1">
        <w:r>
          <w:rPr>
            <w:rFonts w:ascii="Arial Unicode MS" w:eastAsia="Arial Unicode MS" w:hAnsi="Arial Unicode MS" w:cs="Arial Unicode MS"/>
            <w:color w:val="2B477B"/>
          </w:rPr>
          <w:t>Censo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Población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Vivienda,</w:t>
        </w:r>
        <w:r>
          <w:rPr>
            <w:color w:val="2B477B"/>
          </w:rPr>
          <w:t xml:space="preserve"> 2020</w:t>
        </w:r>
      </w:hyperlink>
      <w:r>
        <w:rPr>
          <w:rFonts w:ascii="Arial Unicode MS" w:eastAsia="Arial Unicode MS" w:hAnsi="Arial Unicode MS" w:cs="Arial Unicode MS"/>
          <w:color w:val="2B477B"/>
        </w:rPr>
        <w:t>.</w:t>
      </w:r>
    </w:p>
  </w:footnote>
  <w:footnote w:id="105">
    <w:p w14:paraId="0516418F" w14:textId="77777777" w:rsidR="00000000" w:rsidRDefault="00000000"/>
  </w:footnote>
  <w:footnote w:id="106">
    <w:p w14:paraId="41DDC71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Estadísticas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Informática:</w:t>
      </w:r>
      <w:r>
        <w:rPr>
          <w:color w:val="2B477B"/>
        </w:rPr>
        <w:t xml:space="preserve"> </w:t>
      </w:r>
      <w:hyperlink r:id="rId140" w:history="1">
        <w:r>
          <w:rPr>
            <w:rFonts w:ascii="Arial Unicode MS" w:eastAsia="Arial Unicode MS" w:hAnsi="Arial Unicode MS" w:cs="Arial Unicode MS"/>
            <w:color w:val="2B477B"/>
          </w:rPr>
          <w:t>Perfil</w:t>
        </w:r>
        <w:r>
          <w:rPr>
            <w:color w:val="2B477B"/>
          </w:rPr>
          <w:t xml:space="preserve"> </w:t>
        </w:r>
        <w:r>
          <w:rPr>
            <w:rFonts w:ascii="Arial Unicode MS" w:eastAsia="Arial Unicode MS" w:hAnsi="Arial Unicode MS" w:cs="Arial Unicode MS"/>
            <w:color w:val="2B477B"/>
          </w:rPr>
          <w:t>sociodemográfico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población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2017</w:t>
      </w:r>
      <w:r>
        <w:rPr>
          <w:rFonts w:ascii="Arial Unicode MS" w:eastAsia="Arial Unicode MS" w:hAnsi="Arial Unicode MS" w:cs="Arial Unicode MS"/>
          <w:color w:val="2B477B"/>
        </w:rPr>
        <w:t>.</w:t>
      </w:r>
    </w:p>
  </w:footnote>
  <w:footnote w:id="107">
    <w:p w14:paraId="742C9E44"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Análisis</w:t>
      </w:r>
      <w:r>
        <w:t xml:space="preserve"> </w:t>
      </w:r>
      <w:r>
        <w:rPr>
          <w:rFonts w:ascii="Arial Unicode MS" w:eastAsia="Arial Unicode MS" w:hAnsi="Arial Unicode MS" w:cs="Arial Unicode MS"/>
        </w:rPr>
        <w:t>basado</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enviada</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CIDH</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respuesta</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cuestionario</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situación</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Américas”,</w:t>
      </w:r>
      <w:r>
        <w:t xml:space="preserve"> 15 </w:t>
      </w:r>
      <w:r>
        <w:rPr>
          <w:rFonts w:ascii="Arial Unicode MS" w:eastAsia="Arial Unicode MS" w:hAnsi="Arial Unicode MS" w:cs="Arial Unicode MS"/>
        </w:rPr>
        <w:t>de</w:t>
      </w:r>
      <w:r>
        <w:t xml:space="preserve"> </w:t>
      </w:r>
      <w:r>
        <w:rPr>
          <w:rFonts w:ascii="Arial Unicode MS" w:eastAsia="Arial Unicode MS" w:hAnsi="Arial Unicode MS" w:cs="Arial Unicode MS"/>
        </w:rPr>
        <w:t>septiembre</w:t>
      </w:r>
      <w:r>
        <w:t xml:space="preserve"> </w:t>
      </w:r>
      <w:r>
        <w:rPr>
          <w:rFonts w:ascii="Arial Unicode MS" w:eastAsia="Arial Unicode MS" w:hAnsi="Arial Unicode MS" w:cs="Arial Unicode MS"/>
        </w:rPr>
        <w:t>de</w:t>
      </w:r>
      <w:r>
        <w:t xml:space="preserve"> 2022</w:t>
      </w:r>
      <w:r>
        <w:rPr>
          <w:rFonts w:ascii="Arial Unicode MS" w:eastAsia="Arial Unicode MS" w:hAnsi="Arial Unicode MS" w:cs="Arial Unicode MS"/>
        </w:rPr>
        <w:t>.</w:t>
      </w:r>
    </w:p>
  </w:footnote>
  <w:footnote w:id="108">
    <w:p w14:paraId="6EC084C5"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mayoría</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estadísticas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estudios</w:t>
      </w:r>
      <w:r>
        <w:t xml:space="preserve"> </w:t>
      </w:r>
      <w:r>
        <w:rPr>
          <w:rFonts w:ascii="Arial Unicode MS" w:eastAsia="Arial Unicode MS" w:hAnsi="Arial Unicode MS" w:cs="Arial Unicode MS"/>
        </w:rPr>
        <w:t>muestrales</w:t>
      </w:r>
      <w:r>
        <w:t xml:space="preserve"> </w:t>
      </w:r>
      <w:r>
        <w:rPr>
          <w:rFonts w:ascii="Arial Unicode MS" w:eastAsia="Arial Unicode MS" w:hAnsi="Arial Unicode MS" w:cs="Arial Unicode MS"/>
        </w:rPr>
        <w:t>están</w:t>
      </w:r>
      <w:r>
        <w:t xml:space="preserve"> </w:t>
      </w:r>
      <w:r>
        <w:rPr>
          <w:rFonts w:ascii="Arial Unicode MS" w:eastAsia="Arial Unicode MS" w:hAnsi="Arial Unicode MS" w:cs="Arial Unicode MS"/>
        </w:rPr>
        <w:t>basados</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paradigma</w:t>
      </w:r>
      <w:r>
        <w:t xml:space="preserve"> </w:t>
      </w:r>
      <w:r>
        <w:rPr>
          <w:rFonts w:ascii="Arial Unicode MS" w:eastAsia="Arial Unicode MS" w:hAnsi="Arial Unicode MS" w:cs="Arial Unicode MS"/>
        </w:rPr>
        <w:t>médico</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definir</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preguntas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metodología</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mide</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cuantifica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población</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Dependiendo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esa</w:t>
      </w:r>
      <w:r>
        <w:t xml:space="preserve"> </w:t>
      </w:r>
      <w:r>
        <w:rPr>
          <w:rFonts w:ascii="Arial Unicode MS" w:eastAsia="Arial Unicode MS" w:hAnsi="Arial Unicode MS" w:cs="Arial Unicode MS"/>
        </w:rPr>
        <w:t>valoración</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persona</w:t>
      </w:r>
      <w:r>
        <w:t xml:space="preserve"> </w:t>
      </w:r>
      <w:r>
        <w:rPr>
          <w:rFonts w:ascii="Arial Unicode MS" w:eastAsia="Arial Unicode MS" w:hAnsi="Arial Unicode MS" w:cs="Arial Unicode MS"/>
        </w:rPr>
        <w:t>es</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obtiene</w:t>
      </w:r>
      <w:r>
        <w:t xml:space="preserve"> </w:t>
      </w:r>
      <w:r>
        <w:rPr>
          <w:rFonts w:ascii="Arial Unicode MS" w:eastAsia="Arial Unicode MS" w:hAnsi="Arial Unicode MS" w:cs="Arial Unicode MS"/>
        </w:rPr>
        <w:t>un</w:t>
      </w:r>
      <w:r>
        <w:t xml:space="preserve"> </w:t>
      </w:r>
      <w:r>
        <w:rPr>
          <w:rFonts w:ascii="Arial Unicode MS" w:eastAsia="Arial Unicode MS" w:hAnsi="Arial Unicode MS" w:cs="Arial Unicode MS"/>
        </w:rPr>
        <w:t>mayor</w:t>
      </w:r>
      <w:r>
        <w:t xml:space="preserve"> </w:t>
      </w:r>
      <w:r>
        <w:rPr>
          <w:rFonts w:ascii="Arial Unicode MS" w:eastAsia="Arial Unicode MS" w:hAnsi="Arial Unicode MS" w:cs="Arial Unicode MS"/>
        </w:rPr>
        <w:t>o</w:t>
      </w:r>
      <w:r>
        <w:t xml:space="preserve"> </w:t>
      </w:r>
      <w:r>
        <w:rPr>
          <w:rFonts w:ascii="Arial Unicode MS" w:eastAsia="Arial Unicode MS" w:hAnsi="Arial Unicode MS" w:cs="Arial Unicode MS"/>
        </w:rPr>
        <w:t>menor</w:t>
      </w:r>
      <w:r>
        <w:t xml:space="preserve"> </w:t>
      </w:r>
      <w:r>
        <w:rPr>
          <w:rFonts w:ascii="Arial Unicode MS" w:eastAsia="Arial Unicode MS" w:hAnsi="Arial Unicode MS" w:cs="Arial Unicode MS"/>
        </w:rPr>
        <w:t>porcentaje</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población</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encuestas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censos.</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respecto,</w:t>
      </w:r>
      <w:r>
        <w:t xml:space="preserve"> </w:t>
      </w:r>
      <w:r>
        <w:rPr>
          <w:rFonts w:ascii="Arial Unicode MS" w:eastAsia="Arial Unicode MS" w:hAnsi="Arial Unicode MS" w:cs="Arial Unicode MS"/>
        </w:rPr>
        <w:t>Michael</w:t>
      </w:r>
      <w:r>
        <w:t xml:space="preserve"> </w:t>
      </w:r>
      <w:r>
        <w:rPr>
          <w:rFonts w:ascii="Arial Unicode MS" w:eastAsia="Arial Unicode MS" w:hAnsi="Arial Unicode MS" w:cs="Arial Unicode MS"/>
        </w:rPr>
        <w:t>Oliver</w:t>
      </w:r>
      <w:r>
        <w:t xml:space="preserve"> </w:t>
      </w:r>
      <w:r>
        <w:rPr>
          <w:rFonts w:ascii="Arial Unicode MS" w:eastAsia="Arial Unicode MS" w:hAnsi="Arial Unicode MS" w:cs="Arial Unicode MS"/>
        </w:rPr>
        <w:t>(</w:t>
      </w:r>
      <w:r>
        <w:t>1990</w:t>
      </w:r>
      <w:r>
        <w:rPr>
          <w:rFonts w:ascii="Arial Unicode MS" w:eastAsia="Arial Unicode MS" w:hAnsi="Arial Unicode MS" w:cs="Arial Unicode MS"/>
        </w:rPr>
        <w:t>)</w:t>
      </w:r>
      <w:r>
        <w:t xml:space="preserve"> </w:t>
      </w:r>
      <w:r>
        <w:rPr>
          <w:rFonts w:ascii="Arial Unicode MS" w:eastAsia="Arial Unicode MS" w:hAnsi="Arial Unicode MS" w:cs="Arial Unicode MS"/>
        </w:rPr>
        <w:t>dio</w:t>
      </w:r>
      <w:r>
        <w:t xml:space="preserve"> </w:t>
      </w:r>
      <w:r>
        <w:rPr>
          <w:rFonts w:ascii="Arial Unicode MS" w:eastAsia="Arial Unicode MS" w:hAnsi="Arial Unicode MS" w:cs="Arial Unicode MS"/>
        </w:rPr>
        <w:t>ejemplos</w:t>
      </w:r>
      <w:r>
        <w:t xml:space="preserve"> </w:t>
      </w:r>
      <w:r>
        <w:rPr>
          <w:rFonts w:ascii="Arial Unicode MS" w:eastAsia="Arial Unicode MS" w:hAnsi="Arial Unicode MS" w:cs="Arial Unicode MS"/>
        </w:rPr>
        <w:t>claros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diferencia</w:t>
      </w:r>
      <w:r>
        <w:t xml:space="preserve"> </w:t>
      </w:r>
      <w:r>
        <w:rPr>
          <w:rFonts w:ascii="Arial Unicode MS" w:eastAsia="Arial Unicode MS" w:hAnsi="Arial Unicode MS" w:cs="Arial Unicode MS"/>
        </w:rPr>
        <w:t>entre</w:t>
      </w:r>
      <w:r>
        <w:t xml:space="preserve"> </w:t>
      </w:r>
      <w:r>
        <w:rPr>
          <w:rFonts w:ascii="Arial Unicode MS" w:eastAsia="Arial Unicode MS" w:hAnsi="Arial Unicode MS" w:cs="Arial Unicode MS"/>
        </w:rPr>
        <w:t>preguntas</w:t>
      </w:r>
      <w:r>
        <w:t xml:space="preserve"> </w:t>
      </w:r>
      <w:r>
        <w:rPr>
          <w:rFonts w:ascii="Arial Unicode MS" w:eastAsia="Arial Unicode MS" w:hAnsi="Arial Unicode MS" w:cs="Arial Unicode MS"/>
        </w:rPr>
        <w:t>censales</w:t>
      </w:r>
      <w:r>
        <w:t xml:space="preserve"> </w:t>
      </w:r>
      <w:r>
        <w:rPr>
          <w:rFonts w:ascii="Arial Unicode MS" w:eastAsia="Arial Unicode MS" w:hAnsi="Arial Unicode MS" w:cs="Arial Unicode MS"/>
        </w:rPr>
        <w:t>basadas</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un</w:t>
      </w:r>
      <w:r>
        <w:t xml:space="preserve"> </w:t>
      </w:r>
      <w:r>
        <w:rPr>
          <w:rFonts w:ascii="Arial Unicode MS" w:eastAsia="Arial Unicode MS" w:hAnsi="Arial Unicode MS" w:cs="Arial Unicode MS"/>
        </w:rPr>
        <w:t>modelo</w:t>
      </w:r>
      <w:r>
        <w:t xml:space="preserve"> </w:t>
      </w:r>
      <w:r>
        <w:rPr>
          <w:rFonts w:ascii="Arial Unicode MS" w:eastAsia="Arial Unicode MS" w:hAnsi="Arial Unicode MS" w:cs="Arial Unicode MS"/>
        </w:rPr>
        <w:t>médico</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preguntas</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basan</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un</w:t>
      </w:r>
      <w:r>
        <w:t xml:space="preserve"> </w:t>
      </w:r>
      <w:r>
        <w:rPr>
          <w:rFonts w:ascii="Arial Unicode MS" w:eastAsia="Arial Unicode MS" w:hAnsi="Arial Unicode MS" w:cs="Arial Unicode MS"/>
        </w:rPr>
        <w:t>paradigma</w:t>
      </w:r>
      <w:r>
        <w:t xml:space="preserve"> </w:t>
      </w:r>
      <w:r>
        <w:rPr>
          <w:rFonts w:ascii="Arial Unicode MS" w:eastAsia="Arial Unicode MS" w:hAnsi="Arial Unicode MS" w:cs="Arial Unicode MS"/>
        </w:rPr>
        <w:t>social</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Por</w:t>
      </w:r>
      <w:r>
        <w:t xml:space="preserve"> </w:t>
      </w:r>
      <w:r>
        <w:rPr>
          <w:rFonts w:ascii="Arial Unicode MS" w:eastAsia="Arial Unicode MS" w:hAnsi="Arial Unicode MS" w:cs="Arial Unicode MS"/>
        </w:rPr>
        <w:t>ejemplo,</w:t>
      </w:r>
      <w:r>
        <w:t xml:space="preserve"> </w:t>
      </w:r>
      <w:r>
        <w:rPr>
          <w:rFonts w:ascii="Arial Unicode MS" w:eastAsia="Arial Unicode MS" w:hAnsi="Arial Unicode MS" w:cs="Arial Unicode MS"/>
        </w:rPr>
        <w:t>si</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parte</w:t>
      </w:r>
      <w:r>
        <w:t xml:space="preserve"> </w:t>
      </w:r>
      <w:r>
        <w:rPr>
          <w:rFonts w:ascii="Arial Unicode MS" w:eastAsia="Arial Unicode MS" w:hAnsi="Arial Unicode MS" w:cs="Arial Unicode MS"/>
        </w:rPr>
        <w:t>desde</w:t>
      </w:r>
      <w:r>
        <w:t xml:space="preserve"> </w:t>
      </w:r>
      <w:r>
        <w:rPr>
          <w:rFonts w:ascii="Arial Unicode MS" w:eastAsia="Arial Unicode MS" w:hAnsi="Arial Unicode MS" w:cs="Arial Unicode MS"/>
        </w:rPr>
        <w:t>una</w:t>
      </w:r>
      <w:r>
        <w:t xml:space="preserve"> </w:t>
      </w:r>
      <w:r>
        <w:rPr>
          <w:rFonts w:ascii="Arial Unicode MS" w:eastAsia="Arial Unicode MS" w:hAnsi="Arial Unicode MS" w:cs="Arial Unicode MS"/>
        </w:rPr>
        <w:t>mirada</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asimila</w:t>
      </w:r>
      <w:r>
        <w:t xml:space="preserve"> </w:t>
      </w:r>
      <w:r>
        <w:rPr>
          <w:rFonts w:ascii="Arial Unicode MS" w:eastAsia="Arial Unicode MS" w:hAnsi="Arial Unicode MS" w:cs="Arial Unicode MS"/>
        </w:rPr>
        <w:t>persona</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“deficiencia”</w:t>
      </w:r>
      <w:r>
        <w:t xml:space="preserve"> </w:t>
      </w:r>
      <w:r>
        <w:rPr>
          <w:rFonts w:ascii="Arial Unicode MS" w:eastAsia="Arial Unicode MS" w:hAnsi="Arial Unicode MS" w:cs="Arial Unicode MS"/>
        </w:rPr>
        <w:t>o</w:t>
      </w:r>
      <w:r>
        <w:t xml:space="preserve"> </w:t>
      </w:r>
      <w:r>
        <w:rPr>
          <w:rFonts w:ascii="Arial Unicode MS" w:eastAsia="Arial Unicode MS" w:hAnsi="Arial Unicode MS" w:cs="Arial Unicode MS"/>
        </w:rPr>
        <w:t>diagnóstico,</w:t>
      </w:r>
      <w:r>
        <w:t xml:space="preserve"> </w:t>
      </w:r>
      <w:r>
        <w:rPr>
          <w:rFonts w:ascii="Arial Unicode MS" w:eastAsia="Arial Unicode MS" w:hAnsi="Arial Unicode MS" w:cs="Arial Unicode MS"/>
        </w:rPr>
        <w:t>una</w:t>
      </w:r>
      <w:r>
        <w:t xml:space="preserve"> </w:t>
      </w:r>
      <w:r>
        <w:rPr>
          <w:rFonts w:ascii="Arial Unicode MS" w:eastAsia="Arial Unicode MS" w:hAnsi="Arial Unicode MS" w:cs="Arial Unicode MS"/>
        </w:rPr>
        <w:t>pregunta</w:t>
      </w:r>
      <w:r>
        <w:t xml:space="preserve"> </w:t>
      </w:r>
      <w:r>
        <w:rPr>
          <w:rFonts w:ascii="Arial Unicode MS" w:eastAsia="Arial Unicode MS" w:hAnsi="Arial Unicode MS" w:cs="Arial Unicode MS"/>
        </w:rPr>
        <w:t>censal</w:t>
      </w:r>
      <w:r>
        <w:t xml:space="preserve"> </w:t>
      </w:r>
      <w:r>
        <w:rPr>
          <w:rFonts w:ascii="Arial Unicode MS" w:eastAsia="Arial Unicode MS" w:hAnsi="Arial Unicode MS" w:cs="Arial Unicode MS"/>
        </w:rPr>
        <w:t>es</w:t>
      </w:r>
      <w:r>
        <w:t xml:space="preserve"> </w:t>
      </w:r>
      <w:r>
        <w:rPr>
          <w:rFonts w:ascii="Arial Unicode MS" w:eastAsia="Arial Unicode MS" w:hAnsi="Arial Unicode MS" w:cs="Arial Unicode MS"/>
        </w:rPr>
        <w:t>“¿Tiene</w:t>
      </w:r>
      <w:r>
        <w:t xml:space="preserve"> </w:t>
      </w:r>
      <w:r>
        <w:rPr>
          <w:rFonts w:ascii="Arial Unicode MS" w:eastAsia="Arial Unicode MS" w:hAnsi="Arial Unicode MS" w:cs="Arial Unicode MS"/>
        </w:rPr>
        <w:t>Ud.</w:t>
      </w:r>
      <w:r>
        <w:t xml:space="preserve"> </w:t>
      </w:r>
      <w:r>
        <w:rPr>
          <w:rFonts w:ascii="Arial Unicode MS" w:eastAsia="Arial Unicode MS" w:hAnsi="Arial Unicode MS" w:cs="Arial Unicode MS"/>
        </w:rPr>
        <w:t>una</w:t>
      </w:r>
      <w:r>
        <w:t xml:space="preserve"> </w:t>
      </w:r>
      <w:r>
        <w:rPr>
          <w:rFonts w:ascii="Arial Unicode MS" w:eastAsia="Arial Unicode MS" w:hAnsi="Arial Unicode MS" w:cs="Arial Unicode MS"/>
        </w:rPr>
        <w:t>deficiencia</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limite</w:t>
      </w:r>
      <w:r>
        <w:t xml:space="preserve"> </w:t>
      </w:r>
      <w:r>
        <w:rPr>
          <w:rFonts w:ascii="Arial Unicode MS" w:eastAsia="Arial Unicode MS" w:hAnsi="Arial Unicode MS" w:cs="Arial Unicode MS"/>
        </w:rPr>
        <w:t>sus</w:t>
      </w:r>
      <w:r>
        <w:t xml:space="preserve"> </w:t>
      </w:r>
      <w:r>
        <w:rPr>
          <w:rFonts w:ascii="Arial Unicode MS" w:eastAsia="Arial Unicode MS" w:hAnsi="Arial Unicode MS" w:cs="Arial Unicode MS"/>
        </w:rPr>
        <w:t>actividades</w:t>
      </w:r>
      <w:r>
        <w:t xml:space="preserve"> </w:t>
      </w:r>
      <w:r>
        <w:rPr>
          <w:rFonts w:ascii="Arial Unicode MS" w:eastAsia="Arial Unicode MS" w:hAnsi="Arial Unicode MS" w:cs="Arial Unicode MS"/>
        </w:rPr>
        <w:t>diarias?”.</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misma</w:t>
      </w:r>
      <w:r>
        <w:t xml:space="preserve"> </w:t>
      </w:r>
      <w:r>
        <w:rPr>
          <w:rFonts w:ascii="Arial Unicode MS" w:eastAsia="Arial Unicode MS" w:hAnsi="Arial Unicode MS" w:cs="Arial Unicode MS"/>
        </w:rPr>
        <w:t>pregunta,</w:t>
      </w:r>
      <w:r>
        <w:t xml:space="preserve"> </w:t>
      </w:r>
      <w:r>
        <w:rPr>
          <w:rFonts w:ascii="Arial Unicode MS" w:eastAsia="Arial Unicode MS" w:hAnsi="Arial Unicode MS" w:cs="Arial Unicode MS"/>
        </w:rPr>
        <w:t>desde</w:t>
      </w:r>
      <w:r>
        <w:t xml:space="preserve"> </w:t>
      </w:r>
      <w:r>
        <w:rPr>
          <w:rFonts w:ascii="Arial Unicode MS" w:eastAsia="Arial Unicode MS" w:hAnsi="Arial Unicode MS" w:cs="Arial Unicode MS"/>
        </w:rPr>
        <w:t>un</w:t>
      </w:r>
      <w:r>
        <w:t xml:space="preserve"> </w:t>
      </w:r>
      <w:r>
        <w:rPr>
          <w:rFonts w:ascii="Arial Unicode MS" w:eastAsia="Arial Unicode MS" w:hAnsi="Arial Unicode MS" w:cs="Arial Unicode MS"/>
        </w:rPr>
        <w:t>modelo</w:t>
      </w:r>
      <w:r>
        <w:t xml:space="preserve"> </w:t>
      </w:r>
      <w:r>
        <w:rPr>
          <w:rFonts w:ascii="Arial Unicode MS" w:eastAsia="Arial Unicode MS" w:hAnsi="Arial Unicode MS" w:cs="Arial Unicode MS"/>
        </w:rPr>
        <w:t>social</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es</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reacciones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demás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una</w:t>
      </w:r>
      <w:r>
        <w:t xml:space="preserve"> </w:t>
      </w:r>
      <w:r>
        <w:rPr>
          <w:rFonts w:ascii="Arial Unicode MS" w:eastAsia="Arial Unicode MS" w:hAnsi="Arial Unicode MS" w:cs="Arial Unicode MS"/>
        </w:rPr>
        <w:t>real</w:t>
      </w:r>
      <w:r>
        <w:t xml:space="preserve"> </w:t>
      </w:r>
      <w:r>
        <w:rPr>
          <w:rFonts w:ascii="Arial Unicode MS" w:eastAsia="Arial Unicode MS" w:hAnsi="Arial Unicode MS" w:cs="Arial Unicode MS"/>
        </w:rPr>
        <w:t>o</w:t>
      </w:r>
      <w:r>
        <w:t xml:space="preserve"> </w:t>
      </w:r>
      <w:r>
        <w:rPr>
          <w:rFonts w:ascii="Arial Unicode MS" w:eastAsia="Arial Unicode MS" w:hAnsi="Arial Unicode MS" w:cs="Arial Unicode MS"/>
        </w:rPr>
        <w:t>percibida</w:t>
      </w:r>
      <w:r>
        <w:t xml:space="preserve"> </w:t>
      </w:r>
      <w:r>
        <w:rPr>
          <w:rFonts w:ascii="Arial Unicode MS" w:eastAsia="Arial Unicode MS" w:hAnsi="Arial Unicode MS" w:cs="Arial Unicode MS"/>
        </w:rPr>
        <w:t>deficiencia</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usted</w:t>
      </w:r>
      <w:r>
        <w:t xml:space="preserve"> </w:t>
      </w:r>
      <w:r>
        <w:rPr>
          <w:rFonts w:ascii="Arial Unicode MS" w:eastAsia="Arial Unicode MS" w:hAnsi="Arial Unicode MS" w:cs="Arial Unicode MS"/>
        </w:rPr>
        <w:t>pudiera</w:t>
      </w:r>
      <w:r>
        <w:t xml:space="preserve"> </w:t>
      </w:r>
      <w:r>
        <w:rPr>
          <w:rFonts w:ascii="Arial Unicode MS" w:eastAsia="Arial Unicode MS" w:hAnsi="Arial Unicode MS" w:cs="Arial Unicode MS"/>
        </w:rPr>
        <w:t>tener,</w:t>
      </w:r>
      <w:r>
        <w:t xml:space="preserve"> </w:t>
      </w:r>
      <w:r>
        <w:rPr>
          <w:rFonts w:ascii="Arial Unicode MS" w:eastAsia="Arial Unicode MS" w:hAnsi="Arial Unicode MS" w:cs="Arial Unicode MS"/>
        </w:rPr>
        <w:t>¿lo</w:t>
      </w:r>
      <w:r>
        <w:t xml:space="preserve"> </w:t>
      </w:r>
      <w:r>
        <w:rPr>
          <w:rFonts w:ascii="Arial Unicode MS" w:eastAsia="Arial Unicode MS" w:hAnsi="Arial Unicode MS" w:cs="Arial Unicode MS"/>
        </w:rPr>
        <w:t>limita</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Ud.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sus</w:t>
      </w:r>
      <w:r>
        <w:t xml:space="preserve"> </w:t>
      </w:r>
      <w:r>
        <w:rPr>
          <w:rFonts w:ascii="Arial Unicode MS" w:eastAsia="Arial Unicode MS" w:hAnsi="Arial Unicode MS" w:cs="Arial Unicode MS"/>
        </w:rPr>
        <w:t>actividades</w:t>
      </w:r>
      <w:r>
        <w:t xml:space="preserve"> </w:t>
      </w:r>
      <w:r>
        <w:rPr>
          <w:rFonts w:ascii="Arial Unicode MS" w:eastAsia="Arial Unicode MS" w:hAnsi="Arial Unicode MS" w:cs="Arial Unicode MS"/>
        </w:rPr>
        <w:t>diarias?”.</w:t>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Oliver,</w:t>
      </w:r>
      <w:r>
        <w:t xml:space="preserve"> </w:t>
      </w:r>
      <w:r>
        <w:rPr>
          <w:rFonts w:ascii="Arial Unicode MS" w:eastAsia="Arial Unicode MS" w:hAnsi="Arial Unicode MS" w:cs="Arial Unicode MS"/>
        </w:rPr>
        <w:t>Michael,</w:t>
      </w:r>
      <w:r>
        <w:t> </w:t>
      </w:r>
      <w:r>
        <w:rPr>
          <w:rFonts w:ascii="Arial Unicode MS" w:eastAsia="Arial Unicode MS" w:hAnsi="Arial Unicode MS" w:cs="Arial Unicode MS"/>
        </w:rPr>
        <w:t>“The</w:t>
      </w:r>
      <w:r>
        <w:t xml:space="preserve"> </w:t>
      </w:r>
      <w:r>
        <w:rPr>
          <w:rFonts w:ascii="Arial Unicode MS" w:eastAsia="Arial Unicode MS" w:hAnsi="Arial Unicode MS" w:cs="Arial Unicode MS"/>
        </w:rPr>
        <w:t>Politics</w:t>
      </w:r>
      <w:r>
        <w:t xml:space="preserve"> </w:t>
      </w:r>
      <w:r>
        <w:rPr>
          <w:rFonts w:ascii="Arial Unicode MS" w:eastAsia="Arial Unicode MS" w:hAnsi="Arial Unicode MS" w:cs="Arial Unicode MS"/>
        </w:rPr>
        <w:t>of</w:t>
      </w:r>
      <w:r>
        <w:t xml:space="preserve"> </w:t>
      </w:r>
      <w:r>
        <w:rPr>
          <w:rFonts w:ascii="Arial Unicode MS" w:eastAsia="Arial Unicode MS" w:hAnsi="Arial Unicode MS" w:cs="Arial Unicode MS"/>
        </w:rPr>
        <w:t>Disablement”,</w:t>
      </w:r>
      <w:r>
        <w:t xml:space="preserve"> </w:t>
      </w:r>
      <w:r>
        <w:rPr>
          <w:rFonts w:ascii="Arial Unicode MS" w:eastAsia="Arial Unicode MS" w:hAnsi="Arial Unicode MS" w:cs="Arial Unicode MS"/>
        </w:rPr>
        <w:t>The</w:t>
      </w:r>
      <w:r>
        <w:t xml:space="preserve"> </w:t>
      </w:r>
      <w:r>
        <w:rPr>
          <w:rFonts w:ascii="Arial Unicode MS" w:eastAsia="Arial Unicode MS" w:hAnsi="Arial Unicode MS" w:cs="Arial Unicode MS"/>
        </w:rPr>
        <w:t>Macmillan</w:t>
      </w:r>
      <w:r>
        <w:t xml:space="preserve"> </w:t>
      </w:r>
      <w:r>
        <w:rPr>
          <w:rFonts w:ascii="Arial Unicode MS" w:eastAsia="Arial Unicode MS" w:hAnsi="Arial Unicode MS" w:cs="Arial Unicode MS"/>
        </w:rPr>
        <w:t>Press,</w:t>
      </w:r>
      <w:r>
        <w:t xml:space="preserve"> </w:t>
      </w:r>
      <w:r>
        <w:rPr>
          <w:rFonts w:ascii="Arial Unicode MS" w:eastAsia="Arial Unicode MS" w:hAnsi="Arial Unicode MS" w:cs="Arial Unicode MS"/>
        </w:rPr>
        <w:t>Londres,</w:t>
      </w:r>
      <w:r>
        <w:t xml:space="preserve"> 1990</w:t>
      </w:r>
      <w:r>
        <w:rPr>
          <w:rFonts w:ascii="Arial Unicode MS" w:eastAsia="Arial Unicode MS" w:hAnsi="Arial Unicode MS" w:cs="Arial Unicode MS"/>
        </w:rPr>
        <w:t>,</w:t>
      </w:r>
      <w:r>
        <w:t xml:space="preserve"> </w:t>
      </w:r>
      <w:r>
        <w:rPr>
          <w:rFonts w:ascii="Arial Unicode MS" w:eastAsia="Arial Unicode MS" w:hAnsi="Arial Unicode MS" w:cs="Arial Unicode MS"/>
        </w:rPr>
        <w:t>págs.</w:t>
      </w:r>
      <w:r>
        <w:t xml:space="preserve"> 7</w:t>
      </w:r>
      <w:r>
        <w:rPr>
          <w:rFonts w:ascii="Arial Unicode MS" w:eastAsia="Arial Unicode MS" w:hAnsi="Arial Unicode MS" w:cs="Arial Unicode MS"/>
        </w:rPr>
        <w:t>-</w:t>
      </w:r>
      <w:r>
        <w:t>8</w:t>
      </w:r>
      <w:r>
        <w:rPr>
          <w:rFonts w:ascii="Arial Unicode MS" w:eastAsia="Arial Unicode MS" w:hAnsi="Arial Unicode MS" w:cs="Arial Unicode MS"/>
        </w:rPr>
        <w:t>.</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Comité</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manifestó,</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su</w:t>
      </w:r>
      <w:r>
        <w:t xml:space="preserve"> </w:t>
      </w:r>
      <w:r>
        <w:rPr>
          <w:rFonts w:ascii="Arial Unicode MS" w:eastAsia="Arial Unicode MS" w:hAnsi="Arial Unicode MS" w:cs="Arial Unicode MS"/>
        </w:rPr>
        <w:t>Comentario</w:t>
      </w:r>
      <w:r>
        <w:t xml:space="preserve"> </w:t>
      </w:r>
      <w:r>
        <w:rPr>
          <w:rFonts w:ascii="Arial Unicode MS" w:eastAsia="Arial Unicode MS" w:hAnsi="Arial Unicode MS" w:cs="Arial Unicode MS"/>
        </w:rPr>
        <w:t>General</w:t>
      </w:r>
      <w:r>
        <w:t xml:space="preserve"> </w:t>
      </w:r>
      <w:r>
        <w:rPr>
          <w:rFonts w:ascii="Arial Unicode MS" w:eastAsia="Arial Unicode MS" w:hAnsi="Arial Unicode MS" w:cs="Arial Unicode MS"/>
        </w:rPr>
        <w:t>Número</w:t>
      </w:r>
      <w:r>
        <w:t xml:space="preserve"> 6 </w:t>
      </w:r>
      <w:r>
        <w:rPr>
          <w:rFonts w:ascii="Arial Unicode MS" w:eastAsia="Arial Unicode MS" w:hAnsi="Arial Unicode MS" w:cs="Arial Unicode MS"/>
        </w:rPr>
        <w:t>sobre</w:t>
      </w:r>
      <w:r>
        <w:t xml:space="preserve"> </w:t>
      </w:r>
      <w:r>
        <w:rPr>
          <w:rFonts w:ascii="Arial Unicode MS" w:eastAsia="Arial Unicode MS" w:hAnsi="Arial Unicode MS" w:cs="Arial Unicode MS"/>
        </w:rPr>
        <w:t>Igualdad</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No</w:t>
      </w:r>
      <w:r>
        <w:t xml:space="preserve"> </w:t>
      </w:r>
      <w:r>
        <w:rPr>
          <w:rFonts w:ascii="Arial Unicode MS" w:eastAsia="Arial Unicode MS" w:hAnsi="Arial Unicode MS" w:cs="Arial Unicode MS"/>
        </w:rPr>
        <w:t>Discriminación,</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modelo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basado</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reconoce</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es</w:t>
      </w:r>
      <w:r>
        <w:t xml:space="preserve"> </w:t>
      </w:r>
      <w:r>
        <w:rPr>
          <w:rFonts w:ascii="Arial Unicode MS" w:eastAsia="Arial Unicode MS" w:hAnsi="Arial Unicode MS" w:cs="Arial Unicode MS"/>
        </w:rPr>
        <w:t>una</w:t>
      </w:r>
      <w:r>
        <w:t xml:space="preserve"> </w:t>
      </w:r>
      <w:r>
        <w:rPr>
          <w:rFonts w:ascii="Arial Unicode MS" w:eastAsia="Arial Unicode MS" w:hAnsi="Arial Unicode MS" w:cs="Arial Unicode MS"/>
        </w:rPr>
        <w:t>construcción</w:t>
      </w:r>
      <w:r>
        <w:t xml:space="preserve"> </w:t>
      </w:r>
      <w:r>
        <w:rPr>
          <w:rFonts w:ascii="Arial Unicode MS" w:eastAsia="Arial Unicode MS" w:hAnsi="Arial Unicode MS" w:cs="Arial Unicode MS"/>
        </w:rPr>
        <w:t>social</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deficiencias</w:t>
      </w:r>
      <w:r>
        <w:t xml:space="preserve"> </w:t>
      </w:r>
      <w:r>
        <w:rPr>
          <w:rFonts w:ascii="Arial Unicode MS" w:eastAsia="Arial Unicode MS" w:hAnsi="Arial Unicode MS" w:cs="Arial Unicode MS"/>
        </w:rPr>
        <w:t>no</w:t>
      </w:r>
      <w:r>
        <w:t xml:space="preserve"> </w:t>
      </w:r>
      <w:r>
        <w:rPr>
          <w:rFonts w:ascii="Arial Unicode MS" w:eastAsia="Arial Unicode MS" w:hAnsi="Arial Unicode MS" w:cs="Arial Unicode MS"/>
        </w:rPr>
        <w:t>deben</w:t>
      </w:r>
      <w:r>
        <w:t xml:space="preserve"> </w:t>
      </w:r>
      <w:r>
        <w:rPr>
          <w:rFonts w:ascii="Arial Unicode MS" w:eastAsia="Arial Unicode MS" w:hAnsi="Arial Unicode MS" w:cs="Arial Unicode MS"/>
        </w:rPr>
        <w:t>considerarse</w:t>
      </w:r>
      <w:r>
        <w:t xml:space="preserve"> </w:t>
      </w:r>
      <w:r>
        <w:rPr>
          <w:rFonts w:ascii="Arial Unicode MS" w:eastAsia="Arial Unicode MS" w:hAnsi="Arial Unicode MS" w:cs="Arial Unicode MS"/>
        </w:rPr>
        <w:t>un</w:t>
      </w:r>
      <w:r>
        <w:t xml:space="preserve"> </w:t>
      </w:r>
      <w:r>
        <w:rPr>
          <w:rFonts w:ascii="Arial Unicode MS" w:eastAsia="Arial Unicode MS" w:hAnsi="Arial Unicode MS" w:cs="Arial Unicode MS"/>
        </w:rPr>
        <w:t>motivo</w:t>
      </w:r>
      <w:r>
        <w:t xml:space="preserve"> </w:t>
      </w:r>
      <w:r>
        <w:rPr>
          <w:rFonts w:ascii="Arial Unicode MS" w:eastAsia="Arial Unicode MS" w:hAnsi="Arial Unicode MS" w:cs="Arial Unicode MS"/>
        </w:rPr>
        <w:t>legítimo</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denegar</w:t>
      </w:r>
      <w:r>
        <w:t xml:space="preserve"> </w:t>
      </w:r>
      <w:r>
        <w:rPr>
          <w:rFonts w:ascii="Arial Unicode MS" w:eastAsia="Arial Unicode MS" w:hAnsi="Arial Unicode MS" w:cs="Arial Unicode MS"/>
        </w:rPr>
        <w:t>o</w:t>
      </w:r>
      <w:r>
        <w:t xml:space="preserve"> </w:t>
      </w:r>
      <w:r>
        <w:rPr>
          <w:rFonts w:ascii="Arial Unicode MS" w:eastAsia="Arial Unicode MS" w:hAnsi="Arial Unicode MS" w:cs="Arial Unicode MS"/>
        </w:rPr>
        <w:t>restringir</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Según</w:t>
      </w:r>
      <w:r>
        <w:t xml:space="preserve"> </w:t>
      </w:r>
      <w:r>
        <w:rPr>
          <w:rFonts w:ascii="Arial Unicode MS" w:eastAsia="Arial Unicode MS" w:hAnsi="Arial Unicode MS" w:cs="Arial Unicode MS"/>
        </w:rPr>
        <w:t>ese</w:t>
      </w:r>
      <w:r>
        <w:t xml:space="preserve"> </w:t>
      </w:r>
      <w:r>
        <w:rPr>
          <w:rFonts w:ascii="Arial Unicode MS" w:eastAsia="Arial Unicode MS" w:hAnsi="Arial Unicode MS" w:cs="Arial Unicode MS"/>
        </w:rPr>
        <w:t>modelo,</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es</w:t>
      </w:r>
      <w:r>
        <w:t xml:space="preserve"> </w:t>
      </w:r>
      <w:r>
        <w:rPr>
          <w:rFonts w:ascii="Arial Unicode MS" w:eastAsia="Arial Unicode MS" w:hAnsi="Arial Unicode MS" w:cs="Arial Unicode MS"/>
        </w:rPr>
        <w:t>uno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diversos</w:t>
      </w:r>
      <w:r>
        <w:t xml:space="preserve"> </w:t>
      </w:r>
      <w:r>
        <w:rPr>
          <w:rFonts w:ascii="Arial Unicode MS" w:eastAsia="Arial Unicode MS" w:hAnsi="Arial Unicode MS" w:cs="Arial Unicode MS"/>
        </w:rPr>
        <w:t>estratos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identidad”.</w:t>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Naciones</w:t>
      </w:r>
      <w:r>
        <w:t xml:space="preserve"> </w:t>
      </w:r>
      <w:r>
        <w:rPr>
          <w:rFonts w:ascii="Arial Unicode MS" w:eastAsia="Arial Unicode MS" w:hAnsi="Arial Unicode MS" w:cs="Arial Unicode MS"/>
        </w:rPr>
        <w:t>Unidas,</w:t>
      </w:r>
      <w:r>
        <w:t xml:space="preserve"> </w:t>
      </w:r>
      <w:r>
        <w:rPr>
          <w:rFonts w:ascii="Arial Unicode MS" w:eastAsia="Arial Unicode MS" w:hAnsi="Arial Unicode MS" w:cs="Arial Unicode MS"/>
        </w:rPr>
        <w:t>Comité</w:t>
      </w:r>
      <w:r>
        <w:t xml:space="preserve"> </w:t>
      </w:r>
      <w:r>
        <w:rPr>
          <w:rFonts w:ascii="Arial Unicode MS" w:eastAsia="Arial Unicode MS" w:hAnsi="Arial Unicode MS" w:cs="Arial Unicode MS"/>
        </w:rPr>
        <w:t>CDPD,</w:t>
      </w:r>
      <w:r>
        <w:t xml:space="preserve"> </w:t>
      </w:r>
      <w:r>
        <w:rPr>
          <w:rFonts w:ascii="Arial Unicode MS" w:eastAsia="Arial Unicode MS" w:hAnsi="Arial Unicode MS" w:cs="Arial Unicode MS"/>
          <w:u w:val="single"/>
        </w:rPr>
        <w:t>Observación</w:t>
      </w:r>
      <w:r>
        <w:rPr>
          <w:u w:val="single"/>
        </w:rPr>
        <w:t xml:space="preserve"> </w:t>
      </w:r>
      <w:r>
        <w:rPr>
          <w:rFonts w:ascii="Arial Unicode MS" w:eastAsia="Arial Unicode MS" w:hAnsi="Arial Unicode MS" w:cs="Arial Unicode MS"/>
          <w:u w:val="single"/>
        </w:rPr>
        <w:t>general</w:t>
      </w:r>
      <w:r>
        <w:rPr>
          <w:u w:val="single"/>
        </w:rPr>
        <w:t xml:space="preserve"> </w:t>
      </w:r>
      <w:r>
        <w:rPr>
          <w:rFonts w:ascii="Arial Unicode MS" w:eastAsia="Arial Unicode MS" w:hAnsi="Arial Unicode MS" w:cs="Arial Unicode MS"/>
          <w:u w:val="single"/>
        </w:rPr>
        <w:t>núm.</w:t>
      </w:r>
      <w:r>
        <w:rPr>
          <w:u w:val="single"/>
        </w:rPr>
        <w:t xml:space="preserve"> 6 </w:t>
      </w:r>
      <w:r>
        <w:rPr>
          <w:rFonts w:ascii="Arial Unicode MS" w:eastAsia="Arial Unicode MS" w:hAnsi="Arial Unicode MS" w:cs="Arial Unicode MS"/>
          <w:u w:val="single"/>
        </w:rPr>
        <w:t>sobre</w:t>
      </w:r>
      <w:r>
        <w:rPr>
          <w:u w:val="single"/>
        </w:rPr>
        <w:t xml:space="preserve"> </w:t>
      </w:r>
      <w:r>
        <w:rPr>
          <w:rFonts w:ascii="Arial Unicode MS" w:eastAsia="Arial Unicode MS" w:hAnsi="Arial Unicode MS" w:cs="Arial Unicode MS"/>
          <w:u w:val="single"/>
        </w:rPr>
        <w:t>la</w:t>
      </w:r>
      <w:r>
        <w:rPr>
          <w:u w:val="single"/>
        </w:rPr>
        <w:t xml:space="preserve"> </w:t>
      </w:r>
      <w:r>
        <w:rPr>
          <w:rFonts w:ascii="Arial Unicode MS" w:eastAsia="Arial Unicode MS" w:hAnsi="Arial Unicode MS" w:cs="Arial Unicode MS"/>
          <w:u w:val="single"/>
        </w:rPr>
        <w:t>igualdad</w:t>
      </w:r>
      <w:r>
        <w:rPr>
          <w:u w:val="single"/>
        </w:rPr>
        <w:t xml:space="preserve"> </w:t>
      </w:r>
      <w:r>
        <w:rPr>
          <w:rFonts w:ascii="Arial Unicode MS" w:eastAsia="Arial Unicode MS" w:hAnsi="Arial Unicode MS" w:cs="Arial Unicode MS"/>
          <w:u w:val="single"/>
        </w:rPr>
        <w:t>y</w:t>
      </w:r>
      <w:r>
        <w:rPr>
          <w:u w:val="single"/>
        </w:rPr>
        <w:t xml:space="preserve"> </w:t>
      </w:r>
      <w:r>
        <w:rPr>
          <w:rFonts w:ascii="Arial Unicode MS" w:eastAsia="Arial Unicode MS" w:hAnsi="Arial Unicode MS" w:cs="Arial Unicode MS"/>
          <w:u w:val="single"/>
        </w:rPr>
        <w:t>la</w:t>
      </w:r>
      <w:r>
        <w:rPr>
          <w:u w:val="single"/>
        </w:rPr>
        <w:t xml:space="preserve"> </w:t>
      </w:r>
      <w:r>
        <w:rPr>
          <w:rFonts w:ascii="Arial Unicode MS" w:eastAsia="Arial Unicode MS" w:hAnsi="Arial Unicode MS" w:cs="Arial Unicode MS"/>
          <w:u w:val="single"/>
        </w:rPr>
        <w:t>no</w:t>
      </w:r>
      <w:r>
        <w:rPr>
          <w:u w:val="single"/>
        </w:rPr>
        <w:t xml:space="preserve"> </w:t>
      </w:r>
      <w:r>
        <w:rPr>
          <w:rFonts w:ascii="Arial Unicode MS" w:eastAsia="Arial Unicode MS" w:hAnsi="Arial Unicode MS" w:cs="Arial Unicode MS"/>
          <w:u w:val="single"/>
        </w:rPr>
        <w:t>discriminación</w:t>
      </w:r>
      <w:r>
        <w:rPr>
          <w:rFonts w:ascii="Arial Unicode MS" w:eastAsia="Arial Unicode MS" w:hAnsi="Arial Unicode MS" w:cs="Arial Unicode MS"/>
        </w:rPr>
        <w:t>,</w:t>
      </w:r>
      <w:r>
        <w:t xml:space="preserve"> 26 </w:t>
      </w:r>
      <w:r>
        <w:rPr>
          <w:rFonts w:ascii="Arial Unicode MS" w:eastAsia="Arial Unicode MS" w:hAnsi="Arial Unicode MS" w:cs="Arial Unicode MS"/>
        </w:rPr>
        <w:t>de</w:t>
      </w:r>
      <w:r>
        <w:t xml:space="preserve"> </w:t>
      </w:r>
      <w:r>
        <w:rPr>
          <w:rFonts w:ascii="Arial Unicode MS" w:eastAsia="Arial Unicode MS" w:hAnsi="Arial Unicode MS" w:cs="Arial Unicode MS"/>
        </w:rPr>
        <w:t>abril</w:t>
      </w:r>
      <w:r>
        <w:t xml:space="preserve"> </w:t>
      </w:r>
      <w:r>
        <w:rPr>
          <w:rFonts w:ascii="Arial Unicode MS" w:eastAsia="Arial Unicode MS" w:hAnsi="Arial Unicode MS" w:cs="Arial Unicode MS"/>
        </w:rPr>
        <w:t>de</w:t>
      </w:r>
      <w:r>
        <w:t xml:space="preserve"> 2018</w:t>
      </w:r>
      <w:r>
        <w:rPr>
          <w:rFonts w:ascii="Arial Unicode MS" w:eastAsia="Arial Unicode MS" w:hAnsi="Arial Unicode MS" w:cs="Arial Unicode MS"/>
        </w:rPr>
        <w:t>.</w:t>
      </w:r>
      <w:r>
        <w:t xml:space="preserve"> </w:t>
      </w:r>
    </w:p>
  </w:footnote>
  <w:footnote w:id="109">
    <w:p w14:paraId="6AB2735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hyperlink r:id="rId141" w:history="1">
        <w:r>
          <w:rPr>
            <w:rFonts w:ascii="Arial Unicode MS" w:eastAsia="Arial Unicode MS" w:hAnsi="Arial Unicode MS" w:cs="Arial Unicode MS"/>
            <w:color w:val="2B477B"/>
          </w:rPr>
          <w:t>C</w:t>
        </w:r>
      </w:hyperlink>
      <w:hyperlink r:id="rId142" w:history="1">
        <w:r>
          <w:rPr>
            <w:rFonts w:ascii="Arial Unicode MS" w:eastAsia="Arial Unicode MS" w:hAnsi="Arial Unicode MS" w:cs="Arial Unicode MS"/>
            <w:color w:val="2B477B"/>
          </w:rPr>
          <w:t>onvención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hyperlink>
      <w:hyperlink r:id="rId143" w:history="1">
        <w:r>
          <w:rPr>
            <w:rFonts w:ascii="Arial Unicode MS" w:eastAsia="Arial Unicode MS" w:hAnsi="Arial Unicode MS" w:cs="Arial Unicode MS"/>
            <w:color w:val="2B477B"/>
          </w:rPr>
          <w:t>Discriminación</w:t>
        </w:r>
      </w:hyperlink>
      <w:hyperlink r:id="rId144" w:history="1">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1999</w:t>
      </w:r>
      <w:r>
        <w:rPr>
          <w:rFonts w:ascii="Arial Unicode MS" w:eastAsia="Arial Unicode MS" w:hAnsi="Arial Unicode MS" w:cs="Arial Unicode MS"/>
          <w:color w:val="2B477B"/>
        </w:rPr>
        <w:t>.</w:t>
      </w:r>
      <w:r>
        <w:rPr>
          <w:color w:val="2B477B"/>
        </w:rPr>
        <w:t xml:space="preserve"> </w:t>
      </w:r>
    </w:p>
  </w:footnote>
  <w:footnote w:id="110">
    <w:p w14:paraId="5AFF176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145"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8</w:t>
      </w:r>
      <w:r>
        <w:rPr>
          <w:rFonts w:ascii="Arial Unicode MS" w:eastAsia="Arial Unicode MS" w:hAnsi="Arial Unicode MS" w:cs="Arial Unicode MS"/>
          <w:color w:val="2B477B"/>
        </w:rPr>
        <w:t>.</w:t>
      </w:r>
      <w:r>
        <w:rPr>
          <w:color w:val="2B477B"/>
        </w:rPr>
        <w:t xml:space="preserve"> </w:t>
      </w:r>
    </w:p>
  </w:footnote>
  <w:footnote w:id="111">
    <w:p w14:paraId="0732E6D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realizado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base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respuestas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w:t>
      </w:r>
      <w:r>
        <w:rPr>
          <w:rFonts w:ascii="Arial Unicode MS" w:eastAsia="Arial Unicode MS" w:hAnsi="Arial Unicode MS" w:cs="Arial Unicode MS"/>
          <w:color w:val="2B477B"/>
        </w:rPr>
        <w:t>.</w:t>
      </w:r>
    </w:p>
  </w:footnote>
  <w:footnote w:id="112">
    <w:p w14:paraId="46CDFCE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derivada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respuestas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importante</w:t>
      </w:r>
      <w:r>
        <w:rPr>
          <w:color w:val="2B477B"/>
        </w:rPr>
        <w:t xml:space="preserve"> </w:t>
      </w:r>
      <w:r>
        <w:rPr>
          <w:rFonts w:ascii="Arial Unicode MS" w:eastAsia="Arial Unicode MS" w:hAnsi="Arial Unicode MS" w:cs="Arial Unicode MS"/>
          <w:color w:val="2B477B"/>
        </w:rPr>
        <w:t>mencionar</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totalidad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América</w:t>
      </w:r>
      <w:r>
        <w:rPr>
          <w:color w:val="2B477B"/>
        </w:rPr>
        <w:t xml:space="preserve"> </w:t>
      </w:r>
      <w:r>
        <w:rPr>
          <w:rFonts w:ascii="Arial Unicode MS" w:eastAsia="Arial Unicode MS" w:hAnsi="Arial Unicode MS" w:cs="Arial Unicode MS"/>
          <w:color w:val="2B477B"/>
        </w:rPr>
        <w:t>Latina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Caribe</w:t>
      </w:r>
      <w:r>
        <w:rPr>
          <w:color w:val="2B477B"/>
        </w:rPr>
        <w:t xml:space="preserve"> </w:t>
      </w:r>
      <w:r>
        <w:rPr>
          <w:rFonts w:ascii="Arial Unicode MS" w:eastAsia="Arial Unicode MS" w:hAnsi="Arial Unicode MS" w:cs="Arial Unicode MS"/>
          <w:color w:val="2B477B"/>
        </w:rPr>
        <w:t>son</w:t>
      </w:r>
      <w:r>
        <w:rPr>
          <w:color w:val="2B477B"/>
        </w:rPr>
        <w:t xml:space="preserve"> </w:t>
      </w:r>
      <w:proofErr w:type="gramStart"/>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Partes</w:t>
      </w:r>
      <w:proofErr w:type="gramEnd"/>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CIADDIS,</w:t>
      </w:r>
      <w:r>
        <w:rPr>
          <w:color w:val="2B477B"/>
        </w:rPr>
        <w:t xml:space="preserve"> 18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han</w:t>
      </w:r>
      <w:r>
        <w:rPr>
          <w:color w:val="2B477B"/>
        </w:rPr>
        <w:t xml:space="preserve"> </w:t>
      </w:r>
      <w:r>
        <w:rPr>
          <w:rFonts w:ascii="Arial Unicode MS" w:eastAsia="Arial Unicode MS" w:hAnsi="Arial Unicode MS" w:cs="Arial Unicode MS"/>
          <w:color w:val="2B477B"/>
        </w:rPr>
        <w:t>ratificado,</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adhirió</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han</w:t>
      </w:r>
      <w:r>
        <w:rPr>
          <w:color w:val="2B477B"/>
        </w:rPr>
        <w:t xml:space="preserve"> </w:t>
      </w:r>
      <w:r>
        <w:rPr>
          <w:rFonts w:ascii="Arial Unicode MS" w:eastAsia="Arial Unicode MS" w:hAnsi="Arial Unicode MS" w:cs="Arial Unicode MS"/>
          <w:color w:val="2B477B"/>
        </w:rPr>
        <w:t>firmado</w:t>
      </w:r>
      <w:r>
        <w:rPr>
          <w:color w:val="2B477B"/>
        </w:rPr>
        <w:t xml:space="preserve"> </w:t>
      </w:r>
      <w:r>
        <w:rPr>
          <w:rFonts w:ascii="Arial Unicode MS" w:eastAsia="Arial Unicode MS" w:hAnsi="Arial Unicode MS" w:cs="Arial Unicode MS"/>
          <w:color w:val="2B477B"/>
        </w:rPr>
        <w:t>aún.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Oficina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Alto</w:t>
      </w:r>
      <w:r>
        <w:rPr>
          <w:color w:val="2B477B"/>
        </w:rPr>
        <w:t xml:space="preserve"> </w:t>
      </w:r>
      <w:r>
        <w:rPr>
          <w:rFonts w:ascii="Arial Unicode MS" w:eastAsia="Arial Unicode MS" w:hAnsi="Arial Unicode MS" w:cs="Arial Unicode MS"/>
          <w:color w:val="2B477B"/>
        </w:rPr>
        <w:t>Comisionado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hyperlink r:id="rId146" w:history="1">
        <w:proofErr w:type="gramStart"/>
        <w:r>
          <w:rPr>
            <w:rStyle w:val="Hyperlink0"/>
            <w:rFonts w:ascii="Arial Unicode MS" w:eastAsia="Arial Unicode MS" w:hAnsi="Arial Unicode MS" w:cs="Arial Unicode MS"/>
          </w:rPr>
          <w:t>Status</w:t>
        </w:r>
        <w:proofErr w:type="gramEnd"/>
        <w:r>
          <w:rPr>
            <w:rStyle w:val="Hyperlink0"/>
          </w:rPr>
          <w:t xml:space="preserve"> </w:t>
        </w:r>
        <w:r>
          <w:rPr>
            <w:rStyle w:val="Hyperlink0"/>
            <w:rFonts w:ascii="Arial Unicode MS" w:eastAsia="Arial Unicode MS" w:hAnsi="Arial Unicode MS" w:cs="Arial Unicode MS"/>
          </w:rPr>
          <w:t>of</w:t>
        </w:r>
        <w:r>
          <w:rPr>
            <w:rStyle w:val="Hyperlink0"/>
          </w:rPr>
          <w:t xml:space="preserve"> </w:t>
        </w:r>
        <w:r>
          <w:rPr>
            <w:rStyle w:val="Hyperlink0"/>
            <w:rFonts w:ascii="Arial Unicode MS" w:eastAsia="Arial Unicode MS" w:hAnsi="Arial Unicode MS" w:cs="Arial Unicode MS"/>
          </w:rPr>
          <w:t>Ratification</w:t>
        </w:r>
        <w:r>
          <w:rPr>
            <w:rStyle w:val="Hyperlink0"/>
          </w:rPr>
          <w:t xml:space="preserve"> </w:t>
        </w:r>
        <w:r>
          <w:rPr>
            <w:rStyle w:val="Hyperlink0"/>
            <w:rFonts w:ascii="Arial Unicode MS" w:eastAsia="Arial Unicode MS" w:hAnsi="Arial Unicode MS" w:cs="Arial Unicode MS"/>
          </w:rPr>
          <w:t>Interactive</w:t>
        </w:r>
        <w:r>
          <w:rPr>
            <w:rStyle w:val="Hyperlink0"/>
          </w:rPr>
          <w:t xml:space="preserve"> </w:t>
        </w:r>
        <w:r>
          <w:rPr>
            <w:rStyle w:val="Hyperlink0"/>
            <w:rFonts w:ascii="Arial Unicode MS" w:eastAsia="Arial Unicode MS" w:hAnsi="Arial Unicode MS" w:cs="Arial Unicode MS"/>
          </w:rPr>
          <w:t>Dashboard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actualizado</w:t>
      </w:r>
      <w:r>
        <w:rPr>
          <w:color w:val="2B477B"/>
        </w:rPr>
        <w:t xml:space="preserve"> </w:t>
      </w:r>
      <w:r>
        <w:rPr>
          <w:rFonts w:ascii="Arial Unicode MS" w:eastAsia="Arial Unicode MS" w:hAnsi="Arial Unicode MS" w:cs="Arial Unicode MS"/>
          <w:color w:val="2B477B"/>
        </w:rPr>
        <w:t>al</w:t>
      </w:r>
      <w:r>
        <w:rPr>
          <w:color w:val="2B477B"/>
        </w:rPr>
        <w:t xml:space="preserve"> 21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del</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OEA,</w:t>
      </w:r>
      <w:r>
        <w:rPr>
          <w:color w:val="2B477B"/>
        </w:rPr>
        <w:t xml:space="preserve"> </w:t>
      </w:r>
      <w:hyperlink r:id="rId147" w:history="1">
        <w:r>
          <w:rPr>
            <w:rStyle w:val="Hyperlink1"/>
            <w:rFonts w:ascii="Arial Unicode MS" w:eastAsia="Arial Unicode MS" w:hAnsi="Arial Unicode MS" w:cs="Arial Unicode MS"/>
            <w:u w:val="single"/>
          </w:rPr>
          <w:t>A-</w:t>
        </w:r>
        <w:r>
          <w:rPr>
            <w:rStyle w:val="Hyperlink1"/>
            <w:u w:val="single"/>
          </w:rPr>
          <w:t xml:space="preserve">65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Interamericana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Eliminación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todas</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formas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contra</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estado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ratificaciones.</w:t>
        </w:r>
      </w:hyperlink>
    </w:p>
  </w:footnote>
  <w:footnote w:id="113">
    <w:p w14:paraId="676BF1F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148" w:history="1">
        <w:r>
          <w:rPr>
            <w:rStyle w:val="Hyperlink0"/>
            <w:rFonts w:ascii="Arial Unicode MS" w:eastAsia="Arial Unicode MS" w:hAnsi="Arial Unicode MS" w:cs="Arial Unicode MS"/>
          </w:rPr>
          <w:t>Persons</w:t>
        </w:r>
        <w:r>
          <w:rPr>
            <w:rStyle w:val="Hyperlink0"/>
          </w:rPr>
          <w:t xml:space="preserve"> </w:t>
        </w:r>
        <w:r>
          <w:rPr>
            <w:rStyle w:val="Hyperlink0"/>
            <w:rFonts w:ascii="Arial Unicode MS" w:eastAsia="Arial Unicode MS" w:hAnsi="Arial Unicode MS" w:cs="Arial Unicode MS"/>
          </w:rPr>
          <w:t>with</w:t>
        </w:r>
        <w:r>
          <w:rPr>
            <w:rStyle w:val="Hyperlink0"/>
          </w:rPr>
          <w:t xml:space="preserve"> </w:t>
        </w:r>
        <w:r>
          <w:rPr>
            <w:rStyle w:val="Hyperlink0"/>
            <w:rFonts w:ascii="Arial Unicode MS" w:eastAsia="Arial Unicode MS" w:hAnsi="Arial Unicode MS" w:cs="Arial Unicode MS"/>
          </w:rPr>
          <w:t>Disabilities</w:t>
        </w:r>
        <w:r>
          <w:rPr>
            <w:rStyle w:val="Hyperlink0"/>
          </w:rPr>
          <w:t xml:space="preserve"> </w:t>
        </w:r>
        <w:r>
          <w:rPr>
            <w:rStyle w:val="Hyperlink0"/>
            <w:rFonts w:ascii="Arial Unicode MS" w:eastAsia="Arial Unicode MS" w:hAnsi="Arial Unicode MS" w:cs="Arial Unicode MS"/>
          </w:rPr>
          <w:t>(Equal</w:t>
        </w:r>
        <w:r>
          <w:rPr>
            <w:rStyle w:val="Hyperlink0"/>
          </w:rPr>
          <w:t xml:space="preserve"> </w:t>
        </w:r>
        <w:r>
          <w:rPr>
            <w:rStyle w:val="Hyperlink0"/>
            <w:rFonts w:ascii="Arial Unicode MS" w:eastAsia="Arial Unicode MS" w:hAnsi="Arial Unicode MS" w:cs="Arial Unicode MS"/>
          </w:rPr>
          <w:t>Opportunities)</w:t>
        </w:r>
      </w:hyperlink>
      <w:hyperlink r:id="rId149" w:history="1">
        <w:r>
          <w:rPr>
            <w:color w:val="2B477B"/>
          </w:rPr>
          <w:t xml:space="preserve"> </w:t>
        </w:r>
        <w:r>
          <w:rPr>
            <w:rFonts w:ascii="Arial Unicode MS" w:eastAsia="Arial Unicode MS" w:hAnsi="Arial Unicode MS" w:cs="Arial Unicode MS"/>
            <w:color w:val="2B477B"/>
          </w:rPr>
          <w:t>Act</w:t>
        </w:r>
        <w:r>
          <w:rPr>
            <w:color w:val="2B477B"/>
          </w:rPr>
          <w:t xml:space="preserve"> </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hyperlink r:id="rId150" w:history="1">
        <w:r>
          <w:rPr>
            <w:rFonts w:ascii="Arial Unicode MS" w:eastAsia="Arial Unicode MS" w:hAnsi="Arial Unicode MS" w:cs="Arial Unicode MS"/>
            <w:color w:val="2B477B"/>
          </w:rPr>
          <w:t>Ley</w:t>
        </w:r>
        <w:r>
          <w:rPr>
            <w:color w:val="2B477B"/>
          </w:rPr>
          <w:t xml:space="preserve"> 223/2012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art.</w:t>
      </w:r>
      <w:r>
        <w:rPr>
          <w:color w:val="2B477B"/>
        </w:rPr>
        <w:t xml:space="preserve"> 5</w:t>
      </w:r>
      <w:r>
        <w:rPr>
          <w:rFonts w:ascii="Arial Unicode MS" w:eastAsia="Arial Unicode MS" w:hAnsi="Arial Unicode MS" w:cs="Arial Unicode MS"/>
          <w:color w:val="2B477B"/>
        </w:rPr>
        <w:t>;</w:t>
      </w:r>
      <w:r>
        <w:rPr>
          <w:color w:val="2B477B"/>
        </w:rPr>
        <w:t xml:space="preserve"> </w:t>
      </w:r>
      <w:hyperlink r:id="rId151" w:history="1">
        <w:r>
          <w:rPr>
            <w:rFonts w:ascii="Arial Unicode MS" w:eastAsia="Arial Unicode MS" w:hAnsi="Arial Unicode MS" w:cs="Arial Unicode MS"/>
            <w:color w:val="2B477B"/>
          </w:rPr>
          <w:t>Ley</w:t>
        </w:r>
        <w:r>
          <w:rPr>
            <w:color w:val="2B477B"/>
          </w:rPr>
          <w:t xml:space="preserve"> 13</w:t>
        </w:r>
        <w:r>
          <w:rPr>
            <w:rFonts w:ascii="Arial Unicode MS" w:eastAsia="Arial Unicode MS" w:hAnsi="Arial Unicode MS" w:cs="Arial Unicode MS"/>
            <w:color w:val="2B477B"/>
          </w:rPr>
          <w:t>.</w:t>
        </w:r>
        <w:r>
          <w:rPr>
            <w:color w:val="2B477B"/>
          </w:rPr>
          <w:t>146</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hyperlink r:id="rId152"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422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art.</w:t>
      </w:r>
      <w:r>
        <w:rPr>
          <w:color w:val="2B477B"/>
        </w:rPr>
        <w:t xml:space="preserve"> 5</w:t>
      </w:r>
      <w:r>
        <w:rPr>
          <w:rFonts w:ascii="Arial Unicode MS" w:eastAsia="Arial Unicode MS" w:hAnsi="Arial Unicode MS" w:cs="Arial Unicode MS"/>
          <w:color w:val="2B477B"/>
        </w:rPr>
        <w:t>;</w:t>
      </w:r>
      <w:r>
        <w:rPr>
          <w:color w:val="2B477B"/>
        </w:rPr>
        <w:t xml:space="preserve"> </w:t>
      </w:r>
      <w:hyperlink r:id="rId153" w:history="1">
        <w:r>
          <w:rPr>
            <w:rFonts w:ascii="Arial Unicode MS" w:eastAsia="Arial Unicode MS" w:hAnsi="Arial Unicode MS" w:cs="Arial Unicode MS"/>
            <w:color w:val="2B477B"/>
          </w:rPr>
          <w:t>Ley</w:t>
        </w:r>
        <w:r>
          <w:rPr>
            <w:color w:val="2B477B"/>
          </w:rPr>
          <w:t xml:space="preserve"> 1618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art.</w:t>
      </w:r>
      <w:r>
        <w:rPr>
          <w:color w:val="2B477B"/>
        </w:rPr>
        <w:t xml:space="preserve"> 1</w:t>
      </w:r>
      <w:r>
        <w:rPr>
          <w:rFonts w:ascii="Arial Unicode MS" w:eastAsia="Arial Unicode MS" w:hAnsi="Arial Unicode MS" w:cs="Arial Unicode MS"/>
          <w:color w:val="2B477B"/>
        </w:rPr>
        <w:t>;</w:t>
      </w:r>
      <w:r>
        <w:rPr>
          <w:color w:val="2B477B"/>
        </w:rPr>
        <w:t xml:space="preserve"> </w:t>
      </w:r>
      <w:hyperlink r:id="rId154" w:history="1">
        <w:r>
          <w:rPr>
            <w:rFonts w:ascii="Arial Unicode MS" w:eastAsia="Arial Unicode MS" w:hAnsi="Arial Unicode MS" w:cs="Arial Unicode MS"/>
            <w:color w:val="2B477B"/>
          </w:rPr>
          <w:t>Ley</w:t>
        </w:r>
        <w:r>
          <w:rPr>
            <w:color w:val="2B477B"/>
          </w:rPr>
          <w:t xml:space="preserve"> 7600</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hyperlink r:id="rId155" w:history="1">
        <w:r>
          <w:rPr>
            <w:rFonts w:ascii="Arial Unicode MS" w:eastAsia="Arial Unicode MS" w:hAnsi="Arial Unicode MS" w:cs="Arial Unicode MS"/>
            <w:color w:val="2B477B"/>
          </w:rPr>
          <w:t>Decreto</w:t>
        </w:r>
        <w:r>
          <w:rPr>
            <w:color w:val="2B477B"/>
          </w:rPr>
          <w:t xml:space="preserve"> 672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c);</w:t>
      </w:r>
      <w:r>
        <w:rPr>
          <w:color w:val="2B477B"/>
        </w:rPr>
        <w:t xml:space="preserve"> </w:t>
      </w:r>
      <w:hyperlink r:id="rId156" w:history="1">
        <w:r>
          <w:rPr>
            <w:rFonts w:ascii="Arial Unicode MS" w:eastAsia="Arial Unicode MS" w:hAnsi="Arial Unicode MS" w:cs="Arial Unicode MS"/>
            <w:color w:val="2B477B"/>
          </w:rPr>
          <w:t>Decreto</w:t>
        </w:r>
        <w:r>
          <w:rPr>
            <w:color w:val="2B477B"/>
          </w:rPr>
          <w:t xml:space="preserve"> 160</w:t>
        </w:r>
        <w:r>
          <w:rPr>
            <w:rFonts w:ascii="Arial Unicode MS" w:eastAsia="Arial Unicode MS" w:hAnsi="Arial Unicode MS" w:cs="Arial Unicode MS"/>
            <w:color w:val="2B477B"/>
          </w:rPr>
          <w:t>-</w:t>
        </w:r>
        <w:r>
          <w:rPr>
            <w:color w:val="2B477B"/>
          </w:rPr>
          <w:t>2005</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arts.</w:t>
      </w:r>
      <w:r>
        <w:rPr>
          <w:color w:val="2B477B"/>
        </w:rPr>
        <w:t xml:space="preserve"> 5 </w:t>
      </w:r>
      <w:r>
        <w:rPr>
          <w:rFonts w:ascii="Arial Unicode MS" w:eastAsia="Arial Unicode MS" w:hAnsi="Arial Unicode MS" w:cs="Arial Unicode MS"/>
          <w:color w:val="2B477B"/>
        </w:rPr>
        <w:t>y</w:t>
      </w:r>
      <w:r>
        <w:rPr>
          <w:color w:val="2B477B"/>
        </w:rPr>
        <w:t xml:space="preserve"> 7</w:t>
      </w:r>
      <w:r>
        <w:rPr>
          <w:rFonts w:ascii="Arial Unicode MS" w:eastAsia="Arial Unicode MS" w:hAnsi="Arial Unicode MS" w:cs="Arial Unicode MS"/>
          <w:color w:val="2B477B"/>
        </w:rPr>
        <w:t>;</w:t>
      </w:r>
      <w:r>
        <w:rPr>
          <w:color w:val="2B477B"/>
        </w:rPr>
        <w:t xml:space="preserve"> </w:t>
      </w:r>
      <w:hyperlink r:id="rId15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IX;</w:t>
      </w:r>
      <w:r>
        <w:rPr>
          <w:color w:val="2B477B"/>
        </w:rPr>
        <w:t xml:space="preserve"> </w:t>
      </w:r>
      <w:hyperlink r:id="rId158" w:history="1">
        <w:r>
          <w:rPr>
            <w:rFonts w:ascii="Arial Unicode MS" w:eastAsia="Arial Unicode MS" w:hAnsi="Arial Unicode MS" w:cs="Arial Unicode MS"/>
            <w:color w:val="2B477B"/>
          </w:rPr>
          <w:t>Ley</w:t>
        </w:r>
        <w:r>
          <w:rPr>
            <w:color w:val="2B477B"/>
          </w:rPr>
          <w:t xml:space="preserve"> 763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Nicaragua,</w:t>
      </w:r>
      <w:r>
        <w:rPr>
          <w:color w:val="2B477B"/>
        </w:rPr>
        <w:t xml:space="preserve"> </w:t>
      </w:r>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w:t>
      </w:r>
      <w:r>
        <w:rPr>
          <w:color w:val="2B477B"/>
        </w:rPr>
        <w:t xml:space="preserve"> </w:t>
      </w:r>
      <w:hyperlink r:id="rId159" w:history="1">
        <w:r>
          <w:rPr>
            <w:rFonts w:ascii="Arial Unicode MS" w:eastAsia="Arial Unicode MS" w:hAnsi="Arial Unicode MS" w:cs="Arial Unicode MS"/>
            <w:color w:val="2B477B"/>
          </w:rPr>
          <w:t>Ley</w:t>
        </w:r>
        <w:r>
          <w:rPr>
            <w:color w:val="2B477B"/>
          </w:rPr>
          <w:t xml:space="preserve"> 29973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160" w:history="1">
        <w:r>
          <w:rPr>
            <w:rFonts w:ascii="Arial Unicode MS" w:eastAsia="Arial Unicode MS" w:hAnsi="Arial Unicode MS" w:cs="Arial Unicode MS"/>
            <w:color w:val="2B477B"/>
          </w:rPr>
          <w:t>Ley</w:t>
        </w:r>
        <w:r>
          <w:rPr>
            <w:color w:val="2B477B"/>
          </w:rPr>
          <w:t xml:space="preserve"> 18</w:t>
        </w:r>
        <w:r>
          <w:rPr>
            <w:rFonts w:ascii="Arial Unicode MS" w:eastAsia="Arial Unicode MS" w:hAnsi="Arial Unicode MS" w:cs="Arial Unicode MS"/>
            <w:color w:val="2B477B"/>
          </w:rPr>
          <w:t>.</w:t>
        </w:r>
        <w:r>
          <w:rPr>
            <w:color w:val="2B477B"/>
          </w:rPr>
          <w:t>651</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p>
  </w:footnote>
  <w:footnote w:id="114">
    <w:p w14:paraId="332FB9C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161" w:history="1">
        <w:r>
          <w:rPr>
            <w:rFonts w:ascii="Arial Unicode MS" w:eastAsia="Arial Unicode MS" w:hAnsi="Arial Unicode MS" w:cs="Arial Unicode MS"/>
            <w:color w:val="2B477B"/>
          </w:rPr>
          <w:t>Ley</w:t>
        </w:r>
        <w:r>
          <w:rPr>
            <w:color w:val="2B477B"/>
          </w:rPr>
          <w:t xml:space="preserve"> 22</w:t>
        </w:r>
        <w:r>
          <w:rPr>
            <w:rFonts w:ascii="Arial Unicode MS" w:eastAsia="Arial Unicode MS" w:hAnsi="Arial Unicode MS" w:cs="Arial Unicode MS"/>
            <w:color w:val="2B477B"/>
          </w:rPr>
          <w:t>.</w:t>
        </w:r>
        <w:r>
          <w:rPr>
            <w:color w:val="2B477B"/>
          </w:rPr>
          <w:t>431</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arts.</w:t>
      </w:r>
      <w:r>
        <w:rPr>
          <w:color w:val="2B477B"/>
        </w:rPr>
        <w:t xml:space="preserve"> 1 </w:t>
      </w:r>
      <w:r>
        <w:rPr>
          <w:rFonts w:ascii="Arial Unicode MS" w:eastAsia="Arial Unicode MS" w:hAnsi="Arial Unicode MS" w:cs="Arial Unicode MS"/>
          <w:color w:val="2B477B"/>
        </w:rPr>
        <w:t>y</w:t>
      </w:r>
      <w:r>
        <w:rPr>
          <w:color w:val="2B477B"/>
        </w:rPr>
        <w:t xml:space="preserve"> 2</w:t>
      </w:r>
      <w:r>
        <w:rPr>
          <w:rFonts w:ascii="Arial Unicode MS" w:eastAsia="Arial Unicode MS" w:hAnsi="Arial Unicode MS" w:cs="Arial Unicode MS"/>
          <w:color w:val="2B477B"/>
        </w:rPr>
        <w:t>;</w:t>
      </w:r>
      <w:r>
        <w:rPr>
          <w:color w:val="2B477B"/>
        </w:rPr>
        <w:t xml:space="preserve"> </w:t>
      </w:r>
      <w:hyperlink r:id="rId16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art.</w:t>
      </w:r>
      <w:r>
        <w:rPr>
          <w:color w:val="2B477B"/>
        </w:rPr>
        <w:t xml:space="preserve"> 45 </w:t>
      </w:r>
      <w:r>
        <w:rPr>
          <w:rFonts w:ascii="Arial Unicode MS" w:eastAsia="Arial Unicode MS" w:hAnsi="Arial Unicode MS" w:cs="Arial Unicode MS"/>
          <w:color w:val="2B477B"/>
        </w:rPr>
        <w:t>y</w:t>
      </w:r>
      <w:r>
        <w:rPr>
          <w:color w:val="2B477B"/>
        </w:rPr>
        <w:t xml:space="preserve"> </w:t>
      </w:r>
      <w:hyperlink r:id="rId163" w:history="1">
        <w:r>
          <w:rPr>
            <w:rFonts w:ascii="Arial Unicode MS" w:eastAsia="Arial Unicode MS" w:hAnsi="Arial Unicode MS" w:cs="Arial Unicode MS"/>
            <w:color w:val="2B477B"/>
          </w:rPr>
          <w:t>Constitución</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13</w:t>
      </w:r>
      <w:r>
        <w:rPr>
          <w:rFonts w:ascii="Arial Unicode MS" w:eastAsia="Arial Unicode MS" w:hAnsi="Arial Unicode MS" w:cs="Arial Unicode MS"/>
          <w:color w:val="2B477B"/>
        </w:rPr>
        <w:t>;</w:t>
      </w:r>
      <w:r>
        <w:rPr>
          <w:color w:val="2B477B"/>
        </w:rPr>
        <w:t xml:space="preserve"> </w:t>
      </w:r>
      <w:hyperlink r:id="rId164"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w:t>
      </w:r>
      <w:r>
        <w:rPr>
          <w:color w:val="2B477B"/>
        </w:rPr>
        <w:t xml:space="preserve"> </w:t>
      </w:r>
      <w:hyperlink r:id="rId165" w:history="1">
        <w:r>
          <w:rPr>
            <w:rFonts w:ascii="Arial Unicode MS" w:eastAsia="Arial Unicode MS" w:hAnsi="Arial Unicode MS" w:cs="Arial Unicode MS"/>
            <w:color w:val="2B477B"/>
          </w:rPr>
          <w:t>C</w:t>
        </w:r>
      </w:hyperlink>
      <w:hyperlink r:id="rId166" w:history="1">
        <w:r>
          <w:rPr>
            <w:rFonts w:ascii="Arial Unicode MS" w:eastAsia="Arial Unicode MS" w:hAnsi="Arial Unicode MS" w:cs="Arial Unicode MS"/>
            <w:color w:val="2B477B"/>
          </w:rPr>
          <w:t>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Belice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16 </w:t>
      </w:r>
      <w:r>
        <w:rPr>
          <w:rFonts w:ascii="Arial Unicode MS" w:eastAsia="Arial Unicode MS" w:hAnsi="Arial Unicode MS" w:cs="Arial Unicode MS"/>
          <w:color w:val="2B477B"/>
        </w:rPr>
        <w:t>y</w:t>
      </w:r>
      <w:r>
        <w:rPr>
          <w:color w:val="2B477B"/>
        </w:rPr>
        <w:t xml:space="preserve"> 17</w:t>
      </w:r>
      <w:r>
        <w:rPr>
          <w:rFonts w:ascii="Arial Unicode MS" w:eastAsia="Arial Unicode MS" w:hAnsi="Arial Unicode MS" w:cs="Arial Unicode MS"/>
          <w:color w:val="2B477B"/>
        </w:rPr>
        <w:t>;</w:t>
      </w:r>
      <w:r>
        <w:rPr>
          <w:color w:val="2B477B"/>
        </w:rPr>
        <w:t xml:space="preserve"> </w:t>
      </w:r>
      <w:hyperlink r:id="rId16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Ecuador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6 </w:t>
      </w:r>
      <w:r>
        <w:rPr>
          <w:rFonts w:ascii="Arial Unicode MS" w:eastAsia="Arial Unicode MS" w:hAnsi="Arial Unicode MS" w:cs="Arial Unicode MS"/>
          <w:color w:val="2B477B"/>
        </w:rPr>
        <w:t>y</w:t>
      </w:r>
      <w:r>
        <w:rPr>
          <w:color w:val="2B477B"/>
        </w:rPr>
        <w:t xml:space="preserve"> 7</w:t>
      </w:r>
      <w:r>
        <w:rPr>
          <w:rFonts w:ascii="Arial Unicode MS" w:eastAsia="Arial Unicode MS" w:hAnsi="Arial Unicode MS" w:cs="Arial Unicode MS"/>
          <w:color w:val="2B477B"/>
        </w:rPr>
        <w:t>;</w:t>
      </w:r>
      <w:r>
        <w:rPr>
          <w:color w:val="2B477B"/>
        </w:rPr>
        <w:t xml:space="preserve"> </w:t>
      </w:r>
      <w:hyperlink r:id="rId168" w:history="1">
        <w:r>
          <w:rPr>
            <w:rFonts w:ascii="Arial Unicode MS" w:eastAsia="Arial Unicode MS" w:hAnsi="Arial Unicode MS" w:cs="Arial Unicode MS"/>
            <w:color w:val="2B477B"/>
          </w:rPr>
          <w:t>Decreto</w:t>
        </w:r>
        <w:r>
          <w:rPr>
            <w:color w:val="2B477B"/>
          </w:rPr>
          <w:t xml:space="preserve"> 135</w:t>
        </w:r>
        <w:r>
          <w:rPr>
            <w:rFonts w:ascii="Arial Unicode MS" w:eastAsia="Arial Unicode MS" w:hAnsi="Arial Unicode MS" w:cs="Arial Unicode MS"/>
            <w:color w:val="2B477B"/>
          </w:rPr>
          <w:t>-</w:t>
        </w:r>
        <w:r>
          <w:rPr>
            <w:color w:val="2B477B"/>
          </w:rPr>
          <w:t>96</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w:t>
      </w:r>
      <w:r>
        <w:rPr>
          <w:color w:val="2B477B"/>
        </w:rPr>
        <w:t xml:space="preserve"> </w:t>
      </w:r>
      <w:hyperlink r:id="rId169"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r>
          <w:rPr>
            <w:color w:val="2B477B"/>
          </w:rPr>
          <w:t xml:space="preserve"> </w:t>
        </w:r>
        <w:r>
          <w:rPr>
            <w:rFonts w:ascii="Arial Unicode MS" w:eastAsia="Arial Unicode MS" w:hAnsi="Arial Unicode MS" w:cs="Arial Unicode MS"/>
            <w:color w:val="2B477B"/>
          </w:rPr>
          <w:t>art.</w:t>
        </w:r>
        <w:r>
          <w:rPr>
            <w:color w:val="2B477B"/>
          </w:rPr>
          <w:t xml:space="preserve"> 139</w:t>
        </w:r>
        <w:r>
          <w:rPr>
            <w:rFonts w:ascii="Arial Unicode MS" w:eastAsia="Arial Unicode MS" w:hAnsi="Arial Unicode MS" w:cs="Arial Unicode MS"/>
            <w:color w:val="2B477B"/>
          </w:rPr>
          <w:t>;</w:t>
        </w:r>
      </w:hyperlink>
      <w:r>
        <w:rPr>
          <w:color w:val="2B477B"/>
        </w:rPr>
        <w:t xml:space="preserve"> </w:t>
      </w:r>
      <w:hyperlink r:id="rId170" w:history="1">
        <w:r>
          <w:rPr>
            <w:rFonts w:ascii="Arial Unicode MS" w:eastAsia="Arial Unicode MS" w:hAnsi="Arial Unicode MS" w:cs="Arial Unicode MS"/>
            <w:color w:val="2B477B"/>
          </w:rPr>
          <w:t>Loi</w:t>
        </w:r>
        <w:r>
          <w:rPr>
            <w:color w:val="2B477B"/>
          </w:rPr>
          <w:t xml:space="preserve"> </w:t>
        </w:r>
        <w:r>
          <w:rPr>
            <w:rFonts w:ascii="Arial Unicode MS" w:eastAsia="Arial Unicode MS" w:hAnsi="Arial Unicode MS" w:cs="Arial Unicode MS"/>
            <w:color w:val="2B477B"/>
          </w:rPr>
          <w:t>portant</w:t>
        </w:r>
        <w:r>
          <w:rPr>
            <w:color w:val="2B477B"/>
          </w:rPr>
          <w:t xml:space="preserve"> </w:t>
        </w:r>
        <w:r>
          <w:rPr>
            <w:rFonts w:ascii="Arial Unicode MS" w:eastAsia="Arial Unicode MS" w:hAnsi="Arial Unicode MS" w:cs="Arial Unicode MS"/>
            <w:color w:val="2B477B"/>
          </w:rPr>
          <w:t>sur</w:t>
        </w:r>
        <w:r>
          <w:rPr>
            <w:color w:val="2B477B"/>
          </w:rPr>
          <w:t xml:space="preserve"> </w:t>
        </w:r>
        <w:r>
          <w:rPr>
            <w:rFonts w:ascii="Arial Unicode MS" w:eastAsia="Arial Unicode MS" w:hAnsi="Arial Unicode MS" w:cs="Arial Unicode MS"/>
            <w:color w:val="2B477B"/>
          </w:rPr>
          <w:t>l’integration</w:t>
        </w:r>
        <w:r>
          <w:rPr>
            <w:color w:val="2B477B"/>
          </w:rPr>
          <w:t xml:space="preserve"> </w:t>
        </w:r>
        <w:r>
          <w:rPr>
            <w:rFonts w:ascii="Arial Unicode MS" w:eastAsia="Arial Unicode MS" w:hAnsi="Arial Unicode MS" w:cs="Arial Unicode MS"/>
            <w:color w:val="2B477B"/>
          </w:rPr>
          <w:t>des</w:t>
        </w:r>
        <w:r>
          <w:rPr>
            <w:color w:val="2B477B"/>
          </w:rPr>
          <w:t xml:space="preserve"> </w:t>
        </w:r>
        <w:r>
          <w:rPr>
            <w:rFonts w:ascii="Arial Unicode MS" w:eastAsia="Arial Unicode MS" w:hAnsi="Arial Unicode MS" w:cs="Arial Unicode MS"/>
            <w:color w:val="2B477B"/>
          </w:rPr>
          <w:t>personnes</w:t>
        </w:r>
        <w:r>
          <w:rPr>
            <w:color w:val="2B477B"/>
          </w:rPr>
          <w:t xml:space="preserve"> </w:t>
        </w:r>
        <w:r>
          <w:rPr>
            <w:rFonts w:ascii="Arial Unicode MS" w:eastAsia="Arial Unicode MS" w:hAnsi="Arial Unicode MS" w:cs="Arial Unicode MS"/>
            <w:color w:val="2B477B"/>
          </w:rPr>
          <w:t>handicapees</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hyperlink r:id="rId171" w:history="1">
        <w:r>
          <w:rPr>
            <w:rFonts w:ascii="Arial Unicode MS" w:eastAsia="Arial Unicode MS" w:hAnsi="Arial Unicode MS" w:cs="Arial Unicode MS"/>
            <w:color w:val="2B477B"/>
          </w:rPr>
          <w:t>Act</w:t>
        </w:r>
        <w:r>
          <w:rPr>
            <w:color w:val="2B477B"/>
          </w:rPr>
          <w:t xml:space="preserve"> 13</w:t>
        </w:r>
      </w:hyperlink>
      <w:hyperlink r:id="rId172" w:history="1">
        <w:r>
          <w:rPr>
            <w:color w:val="2B477B"/>
          </w:rPr>
          <w:t xml:space="preserve"> </w:t>
        </w:r>
      </w:hyperlink>
      <w:r>
        <w:rPr>
          <w:rFonts w:ascii="Arial Unicode MS" w:eastAsia="Arial Unicode MS" w:hAnsi="Arial Unicode MS" w:cs="Arial Unicode MS"/>
          <w:color w:val="2B477B"/>
        </w:rPr>
        <w:t>de</w:t>
      </w:r>
      <w:r>
        <w:rPr>
          <w:color w:val="2B477B"/>
        </w:rPr>
        <w:t xml:space="preserve"> 2014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Jamaica,</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hyperlink r:id="rId173" w:history="1">
        <w:r>
          <w:rPr>
            <w:rFonts w:ascii="Arial Unicode MS" w:eastAsia="Arial Unicode MS" w:hAnsi="Arial Unicode MS" w:cs="Arial Unicode MS"/>
            <w:color w:val="2B477B"/>
          </w:rPr>
          <w:t>Ley</w:t>
        </w:r>
        <w:r>
          <w:rPr>
            <w:color w:val="2B477B"/>
          </w:rPr>
          <w:t xml:space="preserve"> 15/2016</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w:t>
      </w:r>
      <w:r>
        <w:rPr>
          <w:color w:val="2B477B"/>
        </w:rPr>
        <w:t xml:space="preserve"> </w:t>
      </w:r>
      <w:hyperlink r:id="rId174" w:history="1">
        <w:r>
          <w:rPr>
            <w:rFonts w:ascii="Arial Unicode MS" w:eastAsia="Arial Unicode MS" w:hAnsi="Arial Unicode MS" w:cs="Arial Unicode MS"/>
            <w:color w:val="2B477B"/>
          </w:rPr>
          <w:t>Ley</w:t>
        </w:r>
        <w:r>
          <w:rPr>
            <w:color w:val="2B477B"/>
          </w:rPr>
          <w:t xml:space="preserve"> 5</w:t>
        </w:r>
        <w:r>
          <w:rPr>
            <w:rFonts w:ascii="Arial Unicode MS" w:eastAsia="Arial Unicode MS" w:hAnsi="Arial Unicode MS" w:cs="Arial Unicode MS"/>
            <w:color w:val="2B477B"/>
          </w:rPr>
          <w:t>-</w:t>
        </w:r>
        <w:r>
          <w:rPr>
            <w:color w:val="2B477B"/>
          </w:rPr>
          <w:t>13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6</w:t>
      </w:r>
      <w:r>
        <w:rPr>
          <w:rFonts w:ascii="Arial Unicode MS" w:eastAsia="Arial Unicode MS" w:hAnsi="Arial Unicode MS" w:cs="Arial Unicode MS"/>
          <w:color w:val="2B477B"/>
        </w:rPr>
        <w:t>;</w:t>
      </w:r>
      <w:r>
        <w:rPr>
          <w:color w:val="2B477B"/>
        </w:rPr>
        <w:t xml:space="preserve"> </w:t>
      </w:r>
      <w:hyperlink r:id="rId175"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art.</w:t>
      </w:r>
      <w:r>
        <w:rPr>
          <w:color w:val="2B477B"/>
        </w:rPr>
        <w:t xml:space="preserve"> 5 </w:t>
      </w:r>
      <w:r>
        <w:rPr>
          <w:rFonts w:ascii="Arial Unicode MS" w:eastAsia="Arial Unicode MS" w:hAnsi="Arial Unicode MS" w:cs="Arial Unicode MS"/>
          <w:color w:val="2B477B"/>
        </w:rPr>
        <w:t>y</w:t>
      </w:r>
      <w:r>
        <w:rPr>
          <w:color w:val="2B477B"/>
        </w:rPr>
        <w:t xml:space="preserve"> 6</w:t>
      </w:r>
      <w:r>
        <w:rPr>
          <w:rFonts w:ascii="Arial Unicode MS" w:eastAsia="Arial Unicode MS" w:hAnsi="Arial Unicode MS" w:cs="Arial Unicode MS"/>
          <w:color w:val="2B477B"/>
        </w:rPr>
        <w:t>.</w:t>
      </w:r>
    </w:p>
  </w:footnote>
  <w:footnote w:id="115">
    <w:p w14:paraId="48F7B21B" w14:textId="77777777" w:rsidR="001A105D" w:rsidRDefault="00000000">
      <w:pPr>
        <w:pStyle w:val="Body"/>
        <w:jc w:val="left"/>
      </w:pPr>
      <w:r>
        <w:rPr>
          <w:color w:val="2B477B"/>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176"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19 </w:t>
      </w:r>
      <w:r>
        <w:rPr>
          <w:rFonts w:ascii="Arial Unicode MS" w:eastAsia="Arial Unicode MS" w:hAnsi="Arial Unicode MS" w:cs="Arial Unicode MS"/>
          <w:color w:val="2B477B"/>
        </w:rPr>
        <w:t>y</w:t>
      </w:r>
      <w:r>
        <w:rPr>
          <w:color w:val="2B477B"/>
        </w:rPr>
        <w:t xml:space="preserve"> 27</w:t>
      </w:r>
      <w:r>
        <w:rPr>
          <w:rFonts w:ascii="Arial Unicode MS" w:eastAsia="Arial Unicode MS" w:hAnsi="Arial Unicode MS" w:cs="Arial Unicode MS"/>
          <w:color w:val="2B477B"/>
        </w:rPr>
        <w:t>;</w:t>
      </w:r>
      <w:r>
        <w:rPr>
          <w:color w:val="2B477B"/>
        </w:rPr>
        <w:t xml:space="preserve"> </w:t>
      </w:r>
      <w:hyperlink r:id="rId177" w:history="1">
        <w:r>
          <w:rPr>
            <w:rFonts w:ascii="Arial Unicode MS" w:eastAsia="Arial Unicode MS" w:hAnsi="Arial Unicode MS" w:cs="Arial Unicode MS"/>
            <w:color w:val="2B477B"/>
          </w:rPr>
          <w:t>Constitución</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art.</w:t>
      </w:r>
      <w:r>
        <w:rPr>
          <w:color w:val="2B477B"/>
        </w:rPr>
        <w:t xml:space="preserve"> 13</w:t>
      </w:r>
      <w:r>
        <w:rPr>
          <w:rFonts w:ascii="Arial Unicode MS" w:eastAsia="Arial Unicode MS" w:hAnsi="Arial Unicode MS" w:cs="Arial Unicode MS"/>
          <w:color w:val="2B477B"/>
        </w:rPr>
        <w:t>;</w:t>
      </w:r>
      <w:r>
        <w:rPr>
          <w:color w:val="2B477B"/>
        </w:rPr>
        <w:t xml:space="preserve"> </w:t>
      </w:r>
      <w:hyperlink r:id="rId178"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139 </w:t>
      </w:r>
      <w:r>
        <w:rPr>
          <w:rFonts w:ascii="Arial Unicode MS" w:eastAsia="Arial Unicode MS" w:hAnsi="Arial Unicode MS" w:cs="Arial Unicode MS"/>
          <w:color w:val="2B477B"/>
        </w:rPr>
        <w:t>y</w:t>
      </w:r>
      <w:r>
        <w:rPr>
          <w:color w:val="2B477B"/>
        </w:rPr>
        <w:t xml:space="preserve"> 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179"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Belice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180"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hyperlink>
      <w:r>
        <w:rPr>
          <w:color w:val="2B477B"/>
        </w:rPr>
        <w:t xml:space="preserve"> </w:t>
      </w:r>
      <w:r>
        <w:rPr>
          <w:rFonts w:ascii="Arial Unicode MS" w:eastAsia="Arial Unicode MS" w:hAnsi="Arial Unicode MS" w:cs="Arial Unicode MS"/>
          <w:color w:val="2B477B"/>
        </w:rPr>
        <w:t>señala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incapacidad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absoluta</w:t>
      </w:r>
      <w:r>
        <w:rPr>
          <w:color w:val="2B477B"/>
        </w:rPr>
        <w:t xml:space="preserve"> </w:t>
      </w:r>
      <w:r>
        <w:rPr>
          <w:rFonts w:ascii="Arial Unicode MS" w:eastAsia="Arial Unicode MS" w:hAnsi="Arial Unicode MS" w:cs="Arial Unicode MS"/>
          <w:color w:val="2B477B"/>
        </w:rPr>
        <w:t>genera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pérdida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supresión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políticos,</w:t>
      </w:r>
      <w:r>
        <w:rPr>
          <w:color w:val="2B477B"/>
        </w:rPr>
        <w:t xml:space="preserve"> </w:t>
      </w:r>
      <w:r>
        <w:rPr>
          <w:rFonts w:ascii="Arial Unicode MS" w:eastAsia="Arial Unicode MS" w:hAnsi="Arial Unicode MS" w:cs="Arial Unicode MS"/>
          <w:color w:val="2B477B"/>
        </w:rPr>
        <w:t>mientras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16</w:t>
      </w:r>
      <w:r>
        <w:rPr>
          <w:rFonts w:ascii="Arial Unicode MS" w:eastAsia="Arial Unicode MS" w:hAnsi="Arial Unicode MS" w:cs="Arial Unicode MS"/>
          <w:color w:val="2B477B"/>
        </w:rPr>
        <w:t>.</w:t>
      </w:r>
      <w:r>
        <w:rPr>
          <w:color w:val="2B477B"/>
        </w:rPr>
        <w:t xml:space="preserve">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181"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hyperlink>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sufragio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suspende</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“interdicción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demencia”.</w:t>
      </w:r>
      <w:r>
        <w:rPr>
          <w:color w:val="2B477B"/>
        </w:rPr>
        <w:t xml:space="preserve"> </w:t>
      </w:r>
    </w:p>
  </w:footnote>
  <w:footnote w:id="116">
    <w:p w14:paraId="61789E55"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182" w:history="1">
        <w:r>
          <w:rPr>
            <w:rFonts w:ascii="Arial Unicode MS" w:eastAsia="Arial Unicode MS" w:hAnsi="Arial Unicode MS" w:cs="Arial Unicode MS"/>
            <w:color w:val="2B477B"/>
          </w:rPr>
          <w:t>Persons</w:t>
        </w:r>
        <w:r>
          <w:rPr>
            <w:color w:val="2B477B"/>
          </w:rPr>
          <w:t xml:space="preserve"> </w:t>
        </w:r>
        <w:r>
          <w:rPr>
            <w:rFonts w:ascii="Arial Unicode MS" w:eastAsia="Arial Unicode MS" w:hAnsi="Arial Unicode MS" w:cs="Arial Unicode MS"/>
            <w:color w:val="2B477B"/>
          </w:rPr>
          <w:t>with</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(Equal</w:t>
        </w:r>
        <w:r>
          <w:rPr>
            <w:color w:val="2B477B"/>
          </w:rPr>
          <w:t xml:space="preserve"> </w:t>
        </w:r>
        <w:r>
          <w:rPr>
            <w:rFonts w:ascii="Arial Unicode MS" w:eastAsia="Arial Unicode MS" w:hAnsi="Arial Unicode MS" w:cs="Arial Unicode MS"/>
            <w:color w:val="2B477B"/>
          </w:rPr>
          <w:t>Opportunities)</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hyperlink r:id="rId183" w:history="1">
        <w:r>
          <w:rPr>
            <w:rFonts w:ascii="Arial Unicode MS" w:eastAsia="Arial Unicode MS" w:hAnsi="Arial Unicode MS" w:cs="Arial Unicode MS"/>
            <w:color w:val="2B477B"/>
          </w:rPr>
          <w:t>Ley</w:t>
        </w:r>
        <w:r>
          <w:rPr>
            <w:color w:val="2B477B"/>
          </w:rPr>
          <w:t xml:space="preserve"> 13</w:t>
        </w:r>
        <w:r>
          <w:rPr>
            <w:rFonts w:ascii="Arial Unicode MS" w:eastAsia="Arial Unicode MS" w:hAnsi="Arial Unicode MS" w:cs="Arial Unicode MS"/>
            <w:color w:val="2B477B"/>
          </w:rPr>
          <w:t>.</w:t>
        </w:r>
        <w:r>
          <w:rPr>
            <w:color w:val="2B477B"/>
          </w:rPr>
          <w:t>146</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párrafo</w:t>
      </w:r>
      <w:r>
        <w:rPr>
          <w:color w:val="2B477B"/>
        </w:rPr>
        <w:t xml:space="preserve"> 1</w:t>
      </w:r>
      <w:r>
        <w:rPr>
          <w:rFonts w:ascii="Arial Unicode MS" w:eastAsia="Arial Unicode MS" w:hAnsi="Arial Unicode MS" w:cs="Arial Unicode MS"/>
          <w:color w:val="2B477B"/>
        </w:rPr>
        <w:t>;</w:t>
      </w:r>
      <w:r>
        <w:rPr>
          <w:color w:val="2B477B"/>
        </w:rPr>
        <w:t xml:space="preserve"> </w:t>
      </w:r>
      <w:hyperlink r:id="rId184" w:history="1">
        <w:r>
          <w:rPr>
            <w:rFonts w:ascii="Arial Unicode MS" w:eastAsia="Arial Unicode MS" w:hAnsi="Arial Unicode MS" w:cs="Arial Unicode MS"/>
            <w:color w:val="2B477B"/>
          </w:rPr>
          <w:t>Ley</w:t>
        </w:r>
        <w:r>
          <w:rPr>
            <w:color w:val="2B477B"/>
          </w:rPr>
          <w:t xml:space="preserve"> 1618</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parágrafo;</w:t>
      </w:r>
      <w:r>
        <w:rPr>
          <w:color w:val="2B477B"/>
        </w:rPr>
        <w:t xml:space="preserve"> </w:t>
      </w:r>
      <w:hyperlink r:id="rId185" w:history="1">
        <w:r>
          <w:rPr>
            <w:rFonts w:ascii="Arial Unicode MS" w:eastAsia="Arial Unicode MS" w:hAnsi="Arial Unicode MS" w:cs="Arial Unicode MS"/>
            <w:color w:val="2B477B"/>
          </w:rPr>
          <w:t>Decreto</w:t>
        </w:r>
        <w:r>
          <w:rPr>
            <w:color w:val="2B477B"/>
          </w:rPr>
          <w:t xml:space="preserve"> 672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art.</w:t>
      </w:r>
      <w:r>
        <w:rPr>
          <w:color w:val="2B477B"/>
        </w:rPr>
        <w:t xml:space="preserve"> 4 </w:t>
      </w:r>
      <w:r>
        <w:rPr>
          <w:rFonts w:ascii="Arial Unicode MS" w:eastAsia="Arial Unicode MS" w:hAnsi="Arial Unicode MS" w:cs="Arial Unicode MS"/>
          <w:color w:val="2B477B"/>
        </w:rPr>
        <w:t>incisos</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w:t>
      </w:r>
      <w:r>
        <w:rPr>
          <w:color w:val="2B477B"/>
        </w:rPr>
        <w:t xml:space="preserve"> </w:t>
      </w:r>
      <w:hyperlink r:id="rId186" w:history="1">
        <w:r>
          <w:rPr>
            <w:rFonts w:ascii="Arial Unicode MS" w:eastAsia="Arial Unicode MS" w:hAnsi="Arial Unicode MS" w:cs="Arial Unicode MS"/>
            <w:color w:val="2B477B"/>
          </w:rPr>
          <w:t>Act</w:t>
        </w:r>
        <w:r>
          <w:rPr>
            <w:color w:val="2B477B"/>
          </w:rPr>
          <w:t xml:space="preserve"> 13</w:t>
        </w:r>
      </w:hyperlink>
      <w:r>
        <w:rPr>
          <w:color w:val="2B477B"/>
        </w:rPr>
        <w:t xml:space="preserve"> </w:t>
      </w:r>
      <w:r>
        <w:rPr>
          <w:rFonts w:ascii="Arial Unicode MS" w:eastAsia="Arial Unicode MS" w:hAnsi="Arial Unicode MS" w:cs="Arial Unicode MS"/>
          <w:color w:val="2B477B"/>
        </w:rPr>
        <w:t>de</w:t>
      </w:r>
      <w:r>
        <w:rPr>
          <w:color w:val="2B477B"/>
        </w:rPr>
        <w:t xml:space="preserve"> 2014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Jamaica,</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hyperlink r:id="rId18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XIV;</w:t>
      </w:r>
      <w:r>
        <w:rPr>
          <w:color w:val="2B477B"/>
        </w:rPr>
        <w:t xml:space="preserve"> </w:t>
      </w:r>
      <w:hyperlink r:id="rId188" w:history="1">
        <w:r>
          <w:rPr>
            <w:rFonts w:ascii="Arial Unicode MS" w:eastAsia="Arial Unicode MS" w:hAnsi="Arial Unicode MS" w:cs="Arial Unicode MS"/>
            <w:color w:val="2B477B"/>
          </w:rPr>
          <w:t>Ley</w:t>
        </w:r>
        <w:r>
          <w:rPr>
            <w:color w:val="2B477B"/>
          </w:rPr>
          <w:t xml:space="preserve"> 15/2016</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w:t>
      </w:r>
      <w:r>
        <w:rPr>
          <w:color w:val="2B477B"/>
        </w:rPr>
        <w:t xml:space="preserve"> </w:t>
      </w:r>
      <w:hyperlink r:id="rId189" w:history="1">
        <w:r>
          <w:rPr>
            <w:rFonts w:ascii="Arial Unicode MS" w:eastAsia="Arial Unicode MS" w:hAnsi="Arial Unicode MS" w:cs="Arial Unicode MS"/>
            <w:color w:val="2B477B"/>
          </w:rPr>
          <w:t>Ley</w:t>
        </w:r>
        <w:r>
          <w:rPr>
            <w:color w:val="2B477B"/>
          </w:rPr>
          <w:t xml:space="preserve"> 29973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art.</w:t>
      </w:r>
      <w:r>
        <w:rPr>
          <w:color w:val="2B477B"/>
        </w:rPr>
        <w:t xml:space="preserve"> 8</w:t>
      </w:r>
      <w:r>
        <w:rPr>
          <w:rFonts w:ascii="Arial Unicode MS" w:eastAsia="Arial Unicode MS" w:hAnsi="Arial Unicode MS" w:cs="Arial Unicode MS"/>
          <w:color w:val="2B477B"/>
        </w:rPr>
        <w:t>.</w:t>
      </w:r>
    </w:p>
  </w:footnote>
  <w:footnote w:id="117">
    <w:p w14:paraId="6B5F0BA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190"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422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art.</w:t>
      </w:r>
      <w:r>
        <w:rPr>
          <w:color w:val="2B477B"/>
        </w:rPr>
        <w:t xml:space="preserve"> 6</w:t>
      </w:r>
      <w:r>
        <w:rPr>
          <w:rFonts w:ascii="Arial Unicode MS" w:eastAsia="Arial Unicode MS" w:hAnsi="Arial Unicode MS" w:cs="Arial Unicode MS"/>
          <w:color w:val="2B477B"/>
        </w:rPr>
        <w:t>;</w:t>
      </w:r>
      <w:r>
        <w:rPr>
          <w:color w:val="2B477B"/>
        </w:rPr>
        <w:t xml:space="preserve"> </w:t>
      </w:r>
      <w:hyperlink r:id="rId191" w:history="1">
        <w:r>
          <w:rPr>
            <w:rFonts w:ascii="Arial Unicode MS" w:eastAsia="Arial Unicode MS" w:hAnsi="Arial Unicode MS" w:cs="Arial Unicode MS"/>
            <w:color w:val="2B477B"/>
          </w:rPr>
          <w:t>Loi</w:t>
        </w:r>
        <w:r>
          <w:rPr>
            <w:color w:val="2B477B"/>
          </w:rPr>
          <w:t xml:space="preserve"> </w:t>
        </w:r>
        <w:r>
          <w:rPr>
            <w:rFonts w:ascii="Arial Unicode MS" w:eastAsia="Arial Unicode MS" w:hAnsi="Arial Unicode MS" w:cs="Arial Unicode MS"/>
            <w:color w:val="2B477B"/>
          </w:rPr>
          <w:t>portant</w:t>
        </w:r>
        <w:r>
          <w:rPr>
            <w:color w:val="2B477B"/>
          </w:rPr>
          <w:t xml:space="preserve"> </w:t>
        </w:r>
        <w:r>
          <w:rPr>
            <w:rFonts w:ascii="Arial Unicode MS" w:eastAsia="Arial Unicode MS" w:hAnsi="Arial Unicode MS" w:cs="Arial Unicode MS"/>
            <w:color w:val="2B477B"/>
          </w:rPr>
          <w:t>sur</w:t>
        </w:r>
        <w:r>
          <w:rPr>
            <w:color w:val="2B477B"/>
          </w:rPr>
          <w:t xml:space="preserve"> </w:t>
        </w:r>
        <w:r>
          <w:rPr>
            <w:rFonts w:ascii="Arial Unicode MS" w:eastAsia="Arial Unicode MS" w:hAnsi="Arial Unicode MS" w:cs="Arial Unicode MS"/>
            <w:color w:val="2B477B"/>
          </w:rPr>
          <w:t>l’integration</w:t>
        </w:r>
        <w:r>
          <w:rPr>
            <w:color w:val="2B477B"/>
          </w:rPr>
          <w:t xml:space="preserve"> </w:t>
        </w:r>
        <w:r>
          <w:rPr>
            <w:rFonts w:ascii="Arial Unicode MS" w:eastAsia="Arial Unicode MS" w:hAnsi="Arial Unicode MS" w:cs="Arial Unicode MS"/>
            <w:color w:val="2B477B"/>
          </w:rPr>
          <w:t>des</w:t>
        </w:r>
        <w:r>
          <w:rPr>
            <w:color w:val="2B477B"/>
          </w:rPr>
          <w:t xml:space="preserve"> </w:t>
        </w:r>
        <w:r>
          <w:rPr>
            <w:rFonts w:ascii="Arial Unicode MS" w:eastAsia="Arial Unicode MS" w:hAnsi="Arial Unicode MS" w:cs="Arial Unicode MS"/>
            <w:color w:val="2B477B"/>
          </w:rPr>
          <w:t>personnes</w:t>
        </w:r>
        <w:r>
          <w:rPr>
            <w:color w:val="2B477B"/>
          </w:rPr>
          <w:t xml:space="preserve"> </w:t>
        </w:r>
        <w:r>
          <w:rPr>
            <w:rFonts w:ascii="Arial Unicode MS" w:eastAsia="Arial Unicode MS" w:hAnsi="Arial Unicode MS" w:cs="Arial Unicode MS"/>
            <w:color w:val="2B477B"/>
          </w:rPr>
          <w:t>handicapees</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arts.</w:t>
      </w:r>
      <w:r>
        <w:rPr>
          <w:color w:val="2B477B"/>
        </w:rPr>
        <w:t xml:space="preserve"> 3</w:t>
      </w:r>
      <w:r>
        <w:rPr>
          <w:rFonts w:ascii="Arial Unicode MS" w:eastAsia="Arial Unicode MS" w:hAnsi="Arial Unicode MS" w:cs="Arial Unicode MS"/>
          <w:color w:val="2B477B"/>
        </w:rPr>
        <w:t>-</w:t>
      </w:r>
      <w:r>
        <w:rPr>
          <w:color w:val="2B477B"/>
        </w:rPr>
        <w:t>6</w:t>
      </w:r>
      <w:r>
        <w:rPr>
          <w:rFonts w:ascii="Arial Unicode MS" w:eastAsia="Arial Unicode MS" w:hAnsi="Arial Unicode MS" w:cs="Arial Unicode MS"/>
          <w:color w:val="2B477B"/>
        </w:rPr>
        <w:t>;</w:t>
      </w:r>
      <w:r>
        <w:rPr>
          <w:color w:val="2B477B"/>
        </w:rPr>
        <w:t xml:space="preserve"> </w:t>
      </w:r>
      <w:hyperlink r:id="rId192" w:history="1">
        <w:r>
          <w:rPr>
            <w:rFonts w:ascii="Arial Unicode MS" w:eastAsia="Arial Unicode MS" w:hAnsi="Arial Unicode MS" w:cs="Arial Unicode MS"/>
            <w:color w:val="2B477B"/>
          </w:rPr>
          <w:t>Decreto</w:t>
        </w:r>
        <w:r>
          <w:rPr>
            <w:color w:val="2B477B"/>
          </w:rPr>
          <w:t xml:space="preserve"> 160</w:t>
        </w:r>
        <w:r>
          <w:rPr>
            <w:rFonts w:ascii="Arial Unicode MS" w:eastAsia="Arial Unicode MS" w:hAnsi="Arial Unicode MS" w:cs="Arial Unicode MS"/>
            <w:color w:val="2B477B"/>
          </w:rPr>
          <w:t>-</w:t>
        </w:r>
        <w:r>
          <w:rPr>
            <w:color w:val="2B477B"/>
          </w:rPr>
          <w:t>2005</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art.</w:t>
      </w:r>
      <w:r>
        <w:rPr>
          <w:color w:val="2B477B"/>
        </w:rPr>
        <w:t xml:space="preserve"> 7</w:t>
      </w:r>
      <w:r>
        <w:rPr>
          <w:rFonts w:ascii="Arial Unicode MS" w:eastAsia="Arial Unicode MS" w:hAnsi="Arial Unicode MS" w:cs="Arial Unicode MS"/>
          <w:color w:val="2B477B"/>
        </w:rPr>
        <w:t>;</w:t>
      </w:r>
      <w:r>
        <w:rPr>
          <w:color w:val="2B477B"/>
        </w:rPr>
        <w:t xml:space="preserve"> </w:t>
      </w:r>
      <w:hyperlink r:id="rId193" w:history="1">
        <w:r>
          <w:rPr>
            <w:rFonts w:ascii="Arial Unicode MS" w:eastAsia="Arial Unicode MS" w:hAnsi="Arial Unicode MS" w:cs="Arial Unicode MS"/>
            <w:color w:val="2B477B"/>
          </w:rPr>
          <w:t>Ley</w:t>
        </w:r>
        <w:r>
          <w:rPr>
            <w:color w:val="2B477B"/>
          </w:rPr>
          <w:t xml:space="preserve"> 5</w:t>
        </w:r>
        <w:r>
          <w:rPr>
            <w:rFonts w:ascii="Arial Unicode MS" w:eastAsia="Arial Unicode MS" w:hAnsi="Arial Unicode MS" w:cs="Arial Unicode MS"/>
            <w:color w:val="2B477B"/>
          </w:rPr>
          <w:t>-</w:t>
        </w:r>
        <w:r>
          <w:rPr>
            <w:color w:val="2B477B"/>
          </w:rPr>
          <w:t>13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194" w:history="1">
        <w:r>
          <w:rPr>
            <w:rFonts w:ascii="Arial Unicode MS" w:eastAsia="Arial Unicode MS" w:hAnsi="Arial Unicode MS" w:cs="Arial Unicode MS"/>
            <w:color w:val="2B477B"/>
          </w:rPr>
          <w:t>Ley</w:t>
        </w:r>
        <w:r>
          <w:rPr>
            <w:color w:val="2B477B"/>
          </w:rPr>
          <w:t xml:space="preserve"> 18</w:t>
        </w:r>
        <w:r>
          <w:rPr>
            <w:rFonts w:ascii="Arial Unicode MS" w:eastAsia="Arial Unicode MS" w:hAnsi="Arial Unicode MS" w:cs="Arial Unicode MS"/>
            <w:color w:val="2B477B"/>
          </w:rPr>
          <w:t>.</w:t>
        </w:r>
        <w:r>
          <w:rPr>
            <w:color w:val="2B477B"/>
          </w:rPr>
          <w:t>651</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art.</w:t>
      </w:r>
      <w:r>
        <w:rPr>
          <w:color w:val="2B477B"/>
        </w:rPr>
        <w:t xml:space="preserve"> 5</w:t>
      </w:r>
      <w:r>
        <w:rPr>
          <w:rFonts w:ascii="Arial Unicode MS" w:eastAsia="Arial Unicode MS" w:hAnsi="Arial Unicode MS" w:cs="Arial Unicode MS"/>
          <w:color w:val="2B477B"/>
        </w:rPr>
        <w:t>.</w:t>
      </w:r>
    </w:p>
  </w:footnote>
  <w:footnote w:id="118">
    <w:p w14:paraId="384DF6C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derivada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respuestas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195" w:history="1">
        <w:r>
          <w:rPr>
            <w:rFonts w:ascii="Arial Unicode MS" w:eastAsia="Arial Unicode MS" w:hAnsi="Arial Unicode MS" w:cs="Arial Unicode MS"/>
            <w:color w:val="2B477B"/>
          </w:rPr>
          <w:t>Ley</w:t>
        </w:r>
        <w:r>
          <w:rPr>
            <w:color w:val="2B477B"/>
          </w:rPr>
          <w:t xml:space="preserve"> 223/2012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art.</w:t>
      </w:r>
      <w:r>
        <w:rPr>
          <w:color w:val="2B477B"/>
        </w:rPr>
        <w:t xml:space="preserve"> 39</w:t>
      </w:r>
      <w:r>
        <w:rPr>
          <w:rFonts w:ascii="Arial Unicode MS" w:eastAsia="Arial Unicode MS" w:hAnsi="Arial Unicode MS" w:cs="Arial Unicode MS"/>
          <w:color w:val="2B477B"/>
        </w:rPr>
        <w:t>;</w:t>
      </w:r>
      <w:r>
        <w:rPr>
          <w:color w:val="2B477B"/>
        </w:rPr>
        <w:t xml:space="preserve"> </w:t>
      </w:r>
      <w:hyperlink r:id="rId196"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422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hyperlink r:id="rId197" w:history="1">
        <w:r>
          <w:rPr>
            <w:rFonts w:ascii="Arial Unicode MS" w:eastAsia="Arial Unicode MS" w:hAnsi="Arial Unicode MS" w:cs="Arial Unicode MS"/>
            <w:color w:val="2B477B"/>
          </w:rPr>
          <w:t>Ley</w:t>
        </w:r>
        <w:r>
          <w:rPr>
            <w:color w:val="2B477B"/>
          </w:rPr>
          <w:t xml:space="preserve"> 1618</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arts.</w:t>
      </w:r>
      <w:r>
        <w:rPr>
          <w:color w:val="2B477B"/>
        </w:rPr>
        <w:t xml:space="preserve"> 6</w:t>
      </w:r>
      <w:r>
        <w:rPr>
          <w:rFonts w:ascii="Arial Unicode MS" w:eastAsia="Arial Unicode MS" w:hAnsi="Arial Unicode MS" w:cs="Arial Unicode MS"/>
          <w:color w:val="2B477B"/>
        </w:rPr>
        <w:t>,</w:t>
      </w:r>
      <w:r>
        <w:rPr>
          <w:color w:val="2B477B"/>
        </w:rPr>
        <w:t xml:space="preserve"> 15</w:t>
      </w:r>
      <w:r>
        <w:rPr>
          <w:rFonts w:ascii="Arial Unicode MS" w:eastAsia="Arial Unicode MS" w:hAnsi="Arial Unicode MS" w:cs="Arial Unicode MS"/>
          <w:color w:val="2B477B"/>
        </w:rPr>
        <w:t>,</w:t>
      </w:r>
      <w:r>
        <w:rPr>
          <w:color w:val="2B477B"/>
        </w:rPr>
        <w:t xml:space="preserve"> 17 </w:t>
      </w:r>
      <w:r>
        <w:rPr>
          <w:rFonts w:ascii="Arial Unicode MS" w:eastAsia="Arial Unicode MS" w:hAnsi="Arial Unicode MS" w:cs="Arial Unicode MS"/>
          <w:color w:val="2B477B"/>
        </w:rPr>
        <w:t>y</w:t>
      </w:r>
      <w:r>
        <w:rPr>
          <w:color w:val="2B477B"/>
        </w:rPr>
        <w:t xml:space="preserve"> 21</w:t>
      </w:r>
      <w:r>
        <w:rPr>
          <w:rFonts w:ascii="Arial Unicode MS" w:eastAsia="Arial Unicode MS" w:hAnsi="Arial Unicode MS" w:cs="Arial Unicode MS"/>
          <w:color w:val="2B477B"/>
        </w:rPr>
        <w:t>;</w:t>
      </w:r>
      <w:r>
        <w:rPr>
          <w:color w:val="2B477B"/>
        </w:rPr>
        <w:t xml:space="preserve"> </w:t>
      </w:r>
      <w:hyperlink r:id="rId198" w:history="1">
        <w:r>
          <w:rPr>
            <w:rFonts w:ascii="Arial Unicode MS" w:eastAsia="Arial Unicode MS" w:hAnsi="Arial Unicode MS" w:cs="Arial Unicode MS"/>
            <w:color w:val="2B477B"/>
          </w:rPr>
          <w:t>Ley</w:t>
        </w:r>
        <w:r>
          <w:rPr>
            <w:color w:val="2B477B"/>
          </w:rPr>
          <w:t xml:space="preserve"> 7600</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art.</w:t>
      </w:r>
      <w:r>
        <w:rPr>
          <w:color w:val="2B477B"/>
        </w:rPr>
        <w:t xml:space="preserve"> 6</w:t>
      </w:r>
      <w:r>
        <w:rPr>
          <w:rFonts w:ascii="Arial Unicode MS" w:eastAsia="Arial Unicode MS" w:hAnsi="Arial Unicode MS" w:cs="Arial Unicode MS"/>
          <w:color w:val="2B477B"/>
        </w:rPr>
        <w:t>;</w:t>
      </w:r>
      <w:r>
        <w:rPr>
          <w:color w:val="2B477B"/>
        </w:rPr>
        <w:t xml:space="preserve"> </w:t>
      </w:r>
      <w:hyperlink r:id="rId199" w:history="1">
        <w:r>
          <w:rPr>
            <w:rFonts w:ascii="Arial Unicode MS" w:eastAsia="Arial Unicode MS" w:hAnsi="Arial Unicode MS" w:cs="Arial Unicode MS"/>
            <w:color w:val="2B477B"/>
          </w:rPr>
          <w:t>Decreto</w:t>
        </w:r>
        <w:r>
          <w:rPr>
            <w:color w:val="2B477B"/>
          </w:rPr>
          <w:t xml:space="preserve"> 672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art.</w:t>
      </w:r>
      <w:r>
        <w:rPr>
          <w:color w:val="2B477B"/>
        </w:rPr>
        <w:t xml:space="preserve"> 8</w:t>
      </w:r>
      <w:r>
        <w:rPr>
          <w:rFonts w:ascii="Arial Unicode MS" w:eastAsia="Arial Unicode MS" w:hAnsi="Arial Unicode MS" w:cs="Arial Unicode MS"/>
          <w:color w:val="2B477B"/>
        </w:rPr>
        <w:t>;</w:t>
      </w:r>
      <w:r>
        <w:rPr>
          <w:color w:val="2B477B"/>
        </w:rPr>
        <w:t xml:space="preserve"> </w:t>
      </w:r>
      <w:hyperlink r:id="rId200" w:history="1">
        <w:r>
          <w:rPr>
            <w:rFonts w:ascii="Arial Unicode MS" w:eastAsia="Arial Unicode MS" w:hAnsi="Arial Unicode MS" w:cs="Arial Unicode MS"/>
            <w:color w:val="2B477B"/>
          </w:rPr>
          <w:t>Decreto</w:t>
        </w:r>
        <w:r>
          <w:rPr>
            <w:color w:val="2B477B"/>
          </w:rPr>
          <w:t xml:space="preserve"> 160</w:t>
        </w:r>
        <w:r>
          <w:rPr>
            <w:rFonts w:ascii="Arial Unicode MS" w:eastAsia="Arial Unicode MS" w:hAnsi="Arial Unicode MS" w:cs="Arial Unicode MS"/>
            <w:color w:val="2B477B"/>
          </w:rPr>
          <w:t>-</w:t>
        </w:r>
        <w:r>
          <w:rPr>
            <w:color w:val="2B477B"/>
          </w:rPr>
          <w:t>2005</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art.</w:t>
      </w:r>
      <w:r>
        <w:rPr>
          <w:color w:val="2B477B"/>
        </w:rPr>
        <w:t xml:space="preserve"> 60</w:t>
      </w:r>
      <w:r>
        <w:rPr>
          <w:rFonts w:ascii="Arial Unicode MS" w:eastAsia="Arial Unicode MS" w:hAnsi="Arial Unicode MS" w:cs="Arial Unicode MS"/>
          <w:color w:val="2B477B"/>
        </w:rPr>
        <w:t>;</w:t>
      </w:r>
      <w:r>
        <w:rPr>
          <w:color w:val="2B477B"/>
        </w:rPr>
        <w:t xml:space="preserve"> </w:t>
      </w:r>
      <w:hyperlink r:id="rId20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art.</w:t>
      </w:r>
      <w:r>
        <w:rPr>
          <w:color w:val="2B477B"/>
        </w:rPr>
        <w:t xml:space="preserve"> 42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VI;</w:t>
      </w:r>
      <w:r>
        <w:rPr>
          <w:color w:val="2B477B"/>
        </w:rPr>
        <w:t xml:space="preserve"> </w:t>
      </w:r>
      <w:hyperlink r:id="rId202" w:history="1">
        <w:r>
          <w:rPr>
            <w:rFonts w:ascii="Arial Unicode MS" w:eastAsia="Arial Unicode MS" w:hAnsi="Arial Unicode MS" w:cs="Arial Unicode MS"/>
            <w:color w:val="2B477B"/>
          </w:rPr>
          <w:t>Ley</w:t>
        </w:r>
        <w:r>
          <w:rPr>
            <w:color w:val="2B477B"/>
          </w:rPr>
          <w:t xml:space="preserve"> 763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Nicaragua,</w:t>
      </w:r>
      <w:r>
        <w:rPr>
          <w:color w:val="2B477B"/>
        </w:rPr>
        <w:t xml:space="preserve"> </w:t>
      </w:r>
      <w:r>
        <w:rPr>
          <w:rFonts w:ascii="Arial Unicode MS" w:eastAsia="Arial Unicode MS" w:hAnsi="Arial Unicode MS" w:cs="Arial Unicode MS"/>
          <w:color w:val="2B477B"/>
        </w:rPr>
        <w:t>art.</w:t>
      </w:r>
      <w:r>
        <w:rPr>
          <w:color w:val="2B477B"/>
        </w:rPr>
        <w:t xml:space="preserve"> 70</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hyperlink r:id="rId203" w:history="1">
        <w:r>
          <w:rPr>
            <w:color w:val="2B477B"/>
          </w:rPr>
          <w:t xml:space="preserve">6667/2020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204" w:history="1">
        <w:r>
          <w:rPr>
            <w:rFonts w:ascii="Arial Unicode MS" w:eastAsia="Arial Unicode MS" w:hAnsi="Arial Unicode MS" w:cs="Arial Unicode MS"/>
            <w:color w:val="2B477B"/>
          </w:rPr>
          <w:t>Ley</w:t>
        </w:r>
        <w:r>
          <w:rPr>
            <w:color w:val="2B477B"/>
          </w:rPr>
          <w:t xml:space="preserve"> 29973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artículo</w:t>
      </w:r>
      <w:r>
        <w:rPr>
          <w:color w:val="2B477B"/>
        </w:rPr>
        <w:t xml:space="preserve"> 64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g).</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Conciencia”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205" w:history="1">
        <w:r>
          <w:rPr>
            <w:rStyle w:val="Hyperlink0"/>
            <w:rFonts w:ascii="Arial Unicode MS" w:eastAsia="Arial Unicode MS" w:hAnsi="Arial Unicode MS" w:cs="Arial Unicode MS"/>
          </w:rPr>
          <w:t>Convención</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plantea</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obligación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eliminar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estereotipos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mantienen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invisibilizadas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excluidas.</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plantea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deben</w:t>
      </w:r>
      <w:r>
        <w:rPr>
          <w:color w:val="2B477B"/>
        </w:rPr>
        <w:t xml:space="preserve"> </w:t>
      </w:r>
      <w:r>
        <w:rPr>
          <w:rFonts w:ascii="Arial Unicode MS" w:eastAsia="Arial Unicode MS" w:hAnsi="Arial Unicode MS" w:cs="Arial Unicode MS"/>
          <w:color w:val="2B477B"/>
        </w:rPr>
        <w:t>comprometerse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adoptar</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inmediatas,</w:t>
      </w:r>
      <w:r>
        <w:rPr>
          <w:color w:val="2B477B"/>
        </w:rPr>
        <w:t xml:space="preserve"> </w:t>
      </w:r>
      <w:r>
        <w:rPr>
          <w:rFonts w:ascii="Arial Unicode MS" w:eastAsia="Arial Unicode MS" w:hAnsi="Arial Unicode MS" w:cs="Arial Unicode MS"/>
          <w:color w:val="2B477B"/>
        </w:rPr>
        <w:t>efectivas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pertinentes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Sensibilizar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incluso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nivel</w:t>
      </w:r>
      <w:r>
        <w:rPr>
          <w:color w:val="2B477B"/>
        </w:rPr>
        <w:t xml:space="preserve"> </w:t>
      </w:r>
      <w:r>
        <w:rPr>
          <w:rFonts w:ascii="Arial Unicode MS" w:eastAsia="Arial Unicode MS" w:hAnsi="Arial Unicode MS" w:cs="Arial Unicode MS"/>
          <w:color w:val="2B477B"/>
        </w:rPr>
        <w:t>familiar,</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tome</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conciencia</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fomentar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respeto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dignidad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Luchar</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estereotipos,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prejuicios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prácticas</w:t>
      </w:r>
      <w:r>
        <w:rPr>
          <w:color w:val="2B477B"/>
        </w:rPr>
        <w:t xml:space="preserve"> </w:t>
      </w:r>
      <w:r>
        <w:rPr>
          <w:rFonts w:ascii="Arial Unicode MS" w:eastAsia="Arial Unicode MS" w:hAnsi="Arial Unicode MS" w:cs="Arial Unicode MS"/>
          <w:color w:val="2B477B"/>
        </w:rPr>
        <w:t>nocivas</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incluidos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basan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género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todos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ámbitos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Promover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conciencia</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capacidades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aportaciones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fin</w:t>
      </w:r>
      <w:r>
        <w:rPr>
          <w:color w:val="2B477B"/>
        </w:rPr>
        <w:t xml:space="preserve"> </w:t>
      </w:r>
      <w:r>
        <w:rPr>
          <w:rFonts w:ascii="Arial Unicode MS" w:eastAsia="Arial Unicode MS" w:hAnsi="Arial Unicode MS" w:cs="Arial Unicode MS"/>
          <w:color w:val="2B477B"/>
        </w:rPr>
        <w:t>incluyen: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Poner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marcha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mantener</w:t>
      </w:r>
      <w:r>
        <w:rPr>
          <w:color w:val="2B477B"/>
        </w:rPr>
        <w:t xml:space="preserve"> </w:t>
      </w:r>
      <w:r>
        <w:rPr>
          <w:rFonts w:ascii="Arial Unicode MS" w:eastAsia="Arial Unicode MS" w:hAnsi="Arial Unicode MS" w:cs="Arial Unicode MS"/>
          <w:color w:val="2B477B"/>
        </w:rPr>
        <w:t>campañas</w:t>
      </w:r>
      <w:r>
        <w:rPr>
          <w:color w:val="2B477B"/>
        </w:rPr>
        <w:t xml:space="preserve"> </w:t>
      </w:r>
      <w:r>
        <w:rPr>
          <w:rFonts w:ascii="Arial Unicode MS" w:eastAsia="Arial Unicode MS" w:hAnsi="Arial Unicode MS" w:cs="Arial Unicode MS"/>
          <w:color w:val="2B477B"/>
        </w:rPr>
        <w:t>efectivas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sensibilización</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destinadas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i)</w:t>
      </w:r>
      <w:r>
        <w:rPr>
          <w:color w:val="2B477B"/>
        </w:rPr>
        <w:t xml:space="preserve"> </w:t>
      </w:r>
      <w:r>
        <w:rPr>
          <w:rFonts w:ascii="Arial Unicode MS" w:eastAsia="Arial Unicode MS" w:hAnsi="Arial Unicode MS" w:cs="Arial Unicode MS"/>
          <w:color w:val="2B477B"/>
        </w:rPr>
        <w:t>Fomentar</w:t>
      </w:r>
      <w:r>
        <w:rPr>
          <w:color w:val="2B477B"/>
        </w:rPr>
        <w:t xml:space="preserve"> </w:t>
      </w:r>
      <w:r>
        <w:rPr>
          <w:rFonts w:ascii="Arial Unicode MS" w:eastAsia="Arial Unicode MS" w:hAnsi="Arial Unicode MS" w:cs="Arial Unicode MS"/>
          <w:color w:val="2B477B"/>
        </w:rPr>
        <w:t>actitudes</w:t>
      </w:r>
      <w:r>
        <w:rPr>
          <w:color w:val="2B477B"/>
        </w:rPr>
        <w:t xml:space="preserve"> </w:t>
      </w:r>
      <w:r>
        <w:rPr>
          <w:rFonts w:ascii="Arial Unicode MS" w:eastAsia="Arial Unicode MS" w:hAnsi="Arial Unicode MS" w:cs="Arial Unicode MS"/>
          <w:color w:val="2B477B"/>
        </w:rPr>
        <w:t>receptivas</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Promover</w:t>
      </w:r>
      <w:r>
        <w:rPr>
          <w:color w:val="2B477B"/>
        </w:rPr>
        <w:t xml:space="preserve"> </w:t>
      </w:r>
      <w:r>
        <w:rPr>
          <w:rFonts w:ascii="Arial Unicode MS" w:eastAsia="Arial Unicode MS" w:hAnsi="Arial Unicode MS" w:cs="Arial Unicode MS"/>
          <w:color w:val="2B477B"/>
        </w:rPr>
        <w:t>percepciones</w:t>
      </w:r>
      <w:r>
        <w:rPr>
          <w:color w:val="2B477B"/>
        </w:rPr>
        <w:t xml:space="preserve"> </w:t>
      </w:r>
      <w:r>
        <w:rPr>
          <w:rFonts w:ascii="Arial Unicode MS" w:eastAsia="Arial Unicode MS" w:hAnsi="Arial Unicode MS" w:cs="Arial Unicode MS"/>
          <w:color w:val="2B477B"/>
        </w:rPr>
        <w:t>positivas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conciencia</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Promover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capacidades,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méritos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habilidades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aportaciones</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Alentar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todos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órganos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medios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comunicación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difundan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imagen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sea</w:t>
      </w:r>
      <w:r>
        <w:rPr>
          <w:color w:val="2B477B"/>
        </w:rPr>
        <w:t xml:space="preserve"> </w:t>
      </w:r>
      <w:r>
        <w:rPr>
          <w:rFonts w:ascii="Arial Unicode MS" w:eastAsia="Arial Unicode MS" w:hAnsi="Arial Unicode MS" w:cs="Arial Unicode MS"/>
          <w:color w:val="2B477B"/>
        </w:rPr>
        <w:t>compatible</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propósito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presente</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Promover</w:t>
      </w:r>
      <w:r>
        <w:rPr>
          <w:color w:val="2B477B"/>
        </w:rPr>
        <w:t xml:space="preserve"> </w:t>
      </w:r>
      <w:r>
        <w:rPr>
          <w:rFonts w:ascii="Arial Unicode MS" w:eastAsia="Arial Unicode MS" w:hAnsi="Arial Unicode MS" w:cs="Arial Unicode MS"/>
          <w:color w:val="2B477B"/>
        </w:rPr>
        <w:t>programas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sensibilización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tengan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cuenta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estas</w:t>
      </w:r>
      <w:r>
        <w:rPr>
          <w:color w:val="2B477B"/>
        </w:rPr>
        <w:t xml:space="preserve"> </w:t>
      </w:r>
      <w:r>
        <w:rPr>
          <w:rFonts w:ascii="Arial Unicode MS" w:eastAsia="Arial Unicode MS" w:hAnsi="Arial Unicode MS" w:cs="Arial Unicode MS"/>
          <w:color w:val="2B477B"/>
        </w:rPr>
        <w:t>personas”.</w:t>
      </w:r>
    </w:p>
  </w:footnote>
  <w:footnote w:id="119">
    <w:p w14:paraId="220121A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realizado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base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respuestas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Tal</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otros.</w:t>
      </w:r>
      <w:r>
        <w:rPr>
          <w:color w:val="2B477B"/>
        </w:rPr>
        <w:t xml:space="preserve"> </w:t>
      </w:r>
    </w:p>
  </w:footnote>
  <w:footnote w:id="120">
    <w:p w14:paraId="2075236B"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 </w:t>
      </w:r>
      <w:r>
        <w:rPr>
          <w:rFonts w:ascii="Arial Unicode MS" w:eastAsia="Arial Unicode MS" w:hAnsi="Arial Unicode MS" w:cs="Arial Unicode MS"/>
          <w:color w:val="2B477B"/>
        </w:rPr>
        <w:t>(Bloque</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y</w:t>
      </w:r>
      <w:r>
        <w:rPr>
          <w:color w:val="2B477B"/>
        </w:rPr>
        <w:t xml:space="preserve"> 5</w:t>
      </w:r>
      <w:r>
        <w:rPr>
          <w:rFonts w:ascii="Arial Unicode MS" w:eastAsia="Arial Unicode MS" w:hAnsi="Arial Unicode MS" w:cs="Arial Unicode MS"/>
          <w:color w:val="2B477B"/>
        </w:rPr>
        <w:t>-</w:t>
      </w:r>
      <w:r>
        <w:rPr>
          <w:color w:val="2B477B"/>
        </w:rPr>
        <w:t xml:space="preserve">6 </w:t>
      </w:r>
      <w:r>
        <w:rPr>
          <w:rFonts w:ascii="Arial Unicode MS" w:eastAsia="Arial Unicode MS" w:hAnsi="Arial Unicode MS" w:cs="Arial Unicode MS"/>
          <w:color w:val="2B477B"/>
        </w:rPr>
        <w:t>(Bloque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06" w:history="1">
        <w:r>
          <w:rPr>
            <w:rFonts w:ascii="Arial Unicode MS" w:eastAsia="Arial Unicode MS" w:hAnsi="Arial Unicode MS" w:cs="Arial Unicode MS"/>
            <w:color w:val="2B477B"/>
          </w:rPr>
          <w:t>Resolución</w:t>
        </w:r>
        <w:r>
          <w:rPr>
            <w:color w:val="2B477B"/>
          </w:rPr>
          <w:t xml:space="preserve"> 1200/2021</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Decreto</w:t>
      </w:r>
      <w:r>
        <w:rPr>
          <w:color w:val="2B477B"/>
        </w:rPr>
        <w:t xml:space="preserve"> </w:t>
      </w:r>
      <w:hyperlink r:id="rId207" w:history="1">
        <w:r>
          <w:rPr>
            <w:rFonts w:ascii="Arial Unicode MS" w:eastAsia="Arial Unicode MS" w:hAnsi="Arial Unicode MS" w:cs="Arial Unicode MS"/>
            <w:color w:val="2B477B"/>
          </w:rPr>
          <w:t>Presidencial</w:t>
        </w:r>
        <w:r>
          <w:rPr>
            <w:color w:val="2B477B"/>
          </w:rPr>
          <w:t xml:space="preserve"> 746/2021</w:t>
        </w:r>
      </w:hyperlink>
      <w:r>
        <w:rPr>
          <w:rFonts w:ascii="Arial Unicode MS" w:eastAsia="Arial Unicode MS" w:hAnsi="Arial Unicode MS" w:cs="Arial Unicode MS"/>
          <w:color w:val="2B477B"/>
        </w:rPr>
        <w:t>.</w:t>
      </w:r>
      <w:r>
        <w:rPr>
          <w:color w:val="2B477B"/>
        </w:rPr>
        <w:t xml:space="preserve"> </w:t>
      </w:r>
    </w:p>
  </w:footnote>
  <w:footnote w:id="121">
    <w:p w14:paraId="48DC7D3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2 </w:t>
      </w:r>
      <w:r>
        <w:rPr>
          <w:rFonts w:ascii="Arial Unicode MS" w:eastAsia="Arial Unicode MS" w:hAnsi="Arial Unicode MS" w:cs="Arial Unicode MS"/>
          <w:color w:val="2B477B"/>
        </w:rPr>
        <w:t>(Bloque</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y</w:t>
      </w:r>
      <w:r>
        <w:rPr>
          <w:color w:val="2B477B"/>
        </w:rPr>
        <w:t xml:space="preserve"> 5</w:t>
      </w:r>
      <w:r>
        <w:rPr>
          <w:rFonts w:ascii="Arial Unicode MS" w:eastAsia="Arial Unicode MS" w:hAnsi="Arial Unicode MS" w:cs="Arial Unicode MS"/>
          <w:color w:val="2B477B"/>
        </w:rPr>
        <w:t>-</w:t>
      </w:r>
      <w:r>
        <w:rPr>
          <w:color w:val="2B477B"/>
        </w:rPr>
        <w:t xml:space="preserve">6 </w:t>
      </w:r>
      <w:r>
        <w:rPr>
          <w:rFonts w:ascii="Arial Unicode MS" w:eastAsia="Arial Unicode MS" w:hAnsi="Arial Unicode MS" w:cs="Arial Unicode MS"/>
          <w:color w:val="2B477B"/>
        </w:rPr>
        <w:t>(Bloque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08" w:history="1">
        <w:r>
          <w:rPr>
            <w:rFonts w:ascii="Arial Unicode MS" w:eastAsia="Arial Unicode MS" w:hAnsi="Arial Unicode MS" w:cs="Arial Unicode MS"/>
            <w:color w:val="2B477B"/>
          </w:rPr>
          <w:t>Resolución</w:t>
        </w:r>
        <w:r>
          <w:rPr>
            <w:color w:val="2B477B"/>
          </w:rPr>
          <w:t xml:space="preserve"> 1200/2021</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Decreto</w:t>
      </w:r>
      <w:r>
        <w:rPr>
          <w:color w:val="2B477B"/>
        </w:rPr>
        <w:t xml:space="preserve"> </w:t>
      </w:r>
      <w:hyperlink r:id="rId209" w:history="1">
        <w:r>
          <w:rPr>
            <w:rFonts w:ascii="Arial Unicode MS" w:eastAsia="Arial Unicode MS" w:hAnsi="Arial Unicode MS" w:cs="Arial Unicode MS"/>
            <w:color w:val="2B477B"/>
          </w:rPr>
          <w:t>Presidencial</w:t>
        </w:r>
        <w:r>
          <w:rPr>
            <w:color w:val="2B477B"/>
          </w:rPr>
          <w:t xml:space="preserve"> 746/2021</w:t>
        </w:r>
      </w:hyperlink>
      <w:r>
        <w:rPr>
          <w:rFonts w:ascii="Arial Unicode MS" w:eastAsia="Arial Unicode MS" w:hAnsi="Arial Unicode MS" w:cs="Arial Unicode MS"/>
          <w:color w:val="2B477B"/>
        </w:rPr>
        <w:t>.</w:t>
      </w:r>
      <w:r>
        <w:rPr>
          <w:color w:val="2B477B"/>
        </w:rPr>
        <w:t xml:space="preserve"> </w:t>
      </w:r>
    </w:p>
  </w:footnote>
  <w:footnote w:id="122">
    <w:p w14:paraId="4DBD5DE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2 </w:t>
      </w:r>
      <w:r>
        <w:rPr>
          <w:rFonts w:ascii="Arial Unicode MS" w:eastAsia="Arial Unicode MS" w:hAnsi="Arial Unicode MS" w:cs="Arial Unicode MS"/>
          <w:color w:val="2B477B"/>
        </w:rPr>
        <w:t>(Bloque</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y</w:t>
      </w:r>
      <w:r>
        <w:rPr>
          <w:color w:val="2B477B"/>
        </w:rPr>
        <w:t xml:space="preserve"> 5</w:t>
      </w:r>
      <w:r>
        <w:rPr>
          <w:rFonts w:ascii="Arial Unicode MS" w:eastAsia="Arial Unicode MS" w:hAnsi="Arial Unicode MS" w:cs="Arial Unicode MS"/>
          <w:color w:val="2B477B"/>
        </w:rPr>
        <w:t>-</w:t>
      </w:r>
      <w:r>
        <w:rPr>
          <w:color w:val="2B477B"/>
        </w:rPr>
        <w:t xml:space="preserve">6 </w:t>
      </w:r>
      <w:r>
        <w:rPr>
          <w:rFonts w:ascii="Arial Unicode MS" w:eastAsia="Arial Unicode MS" w:hAnsi="Arial Unicode MS" w:cs="Arial Unicode MS"/>
          <w:color w:val="2B477B"/>
        </w:rPr>
        <w:t>(Bloque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algunos</w:t>
      </w:r>
      <w:r>
        <w:rPr>
          <w:color w:val="2B477B"/>
        </w:rPr>
        <w:t xml:space="preserve"> </w:t>
      </w:r>
      <w:r>
        <w:rPr>
          <w:rFonts w:ascii="Arial Unicode MS" w:eastAsia="Arial Unicode MS" w:hAnsi="Arial Unicode MS" w:cs="Arial Unicode MS"/>
          <w:color w:val="2B477B"/>
        </w:rPr>
        <w:t>ejemplos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campañas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promoción,</w:t>
      </w:r>
      <w:r>
        <w:rPr>
          <w:color w:val="2B477B"/>
        </w:rPr>
        <w:t xml:space="preserve"> </w:t>
      </w:r>
      <w:hyperlink r:id="rId210" w:history="1">
        <w:r>
          <w:rPr>
            <w:rFonts w:ascii="Arial Unicode MS" w:eastAsia="Arial Unicode MS" w:hAnsi="Arial Unicode MS" w:cs="Arial Unicode MS"/>
            <w:color w:val="2B477B"/>
          </w:rPr>
          <w:t>Día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Accesibilidad</w:t>
        </w:r>
      </w:hyperlink>
      <w:r>
        <w:rPr>
          <w:rFonts w:ascii="Arial Unicode MS" w:eastAsia="Arial Unicode MS" w:hAnsi="Arial Unicode MS" w:cs="Arial Unicode MS"/>
          <w:color w:val="2B477B"/>
        </w:rPr>
        <w:t>;</w:t>
      </w:r>
      <w:r>
        <w:rPr>
          <w:color w:val="2B477B"/>
        </w:rPr>
        <w:t xml:space="preserve"> </w:t>
      </w:r>
      <w:hyperlink r:id="rId211" w:history="1">
        <w:r>
          <w:rPr>
            <w:rFonts w:ascii="Arial Unicode MS" w:eastAsia="Arial Unicode MS" w:hAnsi="Arial Unicode MS" w:cs="Arial Unicode MS"/>
            <w:color w:val="2B477B"/>
          </w:rPr>
          <w:t>Agenda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Cuidados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ANDIS</w:t>
      </w:r>
      <w:r>
        <w:rPr>
          <w:color w:val="2B477B"/>
        </w:rPr>
        <w:t xml:space="preserve"> 1551/2021</w:t>
      </w:r>
    </w:p>
  </w:footnote>
  <w:footnote w:id="123">
    <w:p w14:paraId="74C96C5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212" w:history="1">
        <w:r>
          <w:rPr>
            <w:rFonts w:ascii="Arial Unicode MS" w:eastAsia="Arial Unicode MS" w:hAnsi="Arial Unicode MS" w:cs="Arial Unicode MS"/>
            <w:color w:val="2B477B"/>
          </w:rPr>
          <w:t>Lengua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Señas</w:t>
        </w:r>
        <w:r>
          <w:rPr>
            <w:color w:val="2B477B"/>
          </w:rPr>
          <w:t xml:space="preserve"> </w:t>
        </w:r>
        <w:r>
          <w:rPr>
            <w:rFonts w:ascii="Arial Unicode MS" w:eastAsia="Arial Unicode MS" w:hAnsi="Arial Unicode MS" w:cs="Arial Unicode MS"/>
            <w:color w:val="2B477B"/>
          </w:rPr>
          <w:t>Argentina,</w:t>
        </w:r>
      </w:hyperlink>
      <w:r>
        <w:rPr>
          <w:color w:val="2B477B"/>
        </w:rPr>
        <w:t xml:space="preserve"> 2023</w:t>
      </w:r>
      <w:r>
        <w:rPr>
          <w:rFonts w:ascii="Arial Unicode MS" w:eastAsia="Arial Unicode MS" w:hAnsi="Arial Unicode MS" w:cs="Arial Unicode MS"/>
          <w:color w:val="2B477B"/>
        </w:rPr>
        <w:t>.</w:t>
      </w:r>
      <w:r>
        <w:rPr>
          <w:color w:val="2B477B"/>
        </w:rPr>
        <w:t xml:space="preserve"> </w:t>
      </w:r>
    </w:p>
  </w:footnote>
  <w:footnote w:id="124">
    <w:p w14:paraId="6E4D5F1A"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consultar,</w:t>
      </w:r>
      <w:r>
        <w:rPr>
          <w:color w:val="2B477B"/>
        </w:rPr>
        <w:t xml:space="preserve"> </w:t>
      </w:r>
      <w:hyperlink r:id="rId21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Prevención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Empleo</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125">
    <w:p w14:paraId="2946561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27</w:t>
      </w:r>
      <w:r>
        <w:rPr>
          <w:rFonts w:ascii="Arial Unicode MS" w:eastAsia="Arial Unicode MS" w:hAnsi="Arial Unicode MS" w:cs="Arial Unicode MS"/>
          <w:color w:val="2B477B"/>
        </w:rPr>
        <w:t>-</w:t>
      </w:r>
      <w:r>
        <w:rPr>
          <w:color w:val="2B477B"/>
        </w:rPr>
        <w:t>28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hyperlink r:id="rId214" w:history="1">
        <w:r>
          <w:rPr>
            <w:color w:val="2B477B"/>
          </w:rPr>
          <w:t xml:space="preserve"> </w:t>
        </w:r>
      </w:hyperlink>
      <w:hyperlink r:id="rId215" w:history="1">
        <w:r>
          <w:rPr>
            <w:rFonts w:ascii="Arial Unicode MS" w:eastAsia="Arial Unicode MS" w:hAnsi="Arial Unicode MS" w:cs="Arial Unicode MS"/>
            <w:color w:val="2B477B"/>
          </w:rPr>
          <w:t>Ley</w:t>
        </w:r>
        <w:r>
          <w:rPr>
            <w:color w:val="2B477B"/>
          </w:rPr>
          <w:t xml:space="preserve"> 045</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Racismo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toda</w:t>
        </w:r>
        <w:r>
          <w:rPr>
            <w:color w:val="2B477B"/>
          </w:rPr>
          <w:t xml:space="preserve"> </w:t>
        </w:r>
        <w:r>
          <w:rPr>
            <w:rFonts w:ascii="Arial Unicode MS" w:eastAsia="Arial Unicode MS" w:hAnsi="Arial Unicode MS" w:cs="Arial Unicode MS"/>
            <w:color w:val="2B477B"/>
          </w:rPr>
          <w:t>forma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hyperlink>
      <w:r>
        <w:rPr>
          <w:rFonts w:ascii="Arial Unicode MS" w:eastAsia="Arial Unicode MS" w:hAnsi="Arial Unicode MS" w:cs="Arial Unicode MS"/>
          <w:color w:val="2B477B"/>
        </w:rPr>
        <w:t>,</w:t>
      </w:r>
      <w:r>
        <w:rPr>
          <w:color w:val="2B477B"/>
        </w:rPr>
        <w:t xml:space="preserve"> 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2010</w:t>
      </w:r>
      <w:r>
        <w:rPr>
          <w:rFonts w:ascii="Arial Unicode MS" w:eastAsia="Arial Unicode MS" w:hAnsi="Arial Unicode MS" w:cs="Arial Unicode MS"/>
          <w:color w:val="2B477B"/>
        </w:rPr>
        <w:t>;</w:t>
      </w:r>
      <w:r>
        <w:rPr>
          <w:color w:val="2B477B"/>
        </w:rPr>
        <w:t xml:space="preserve"> </w:t>
      </w:r>
      <w:hyperlink r:id="rId216"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Supremo</w:t>
        </w:r>
        <w:r>
          <w:rPr>
            <w:color w:val="2B477B"/>
          </w:rPr>
          <w:t xml:space="preserve"> 0762</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reglamenta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relacionado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acciones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capacitación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sensibilización.</w:t>
      </w:r>
      <w:r>
        <w:rPr>
          <w:color w:val="2B477B"/>
        </w:rPr>
        <w:t xml:space="preserve"> </w:t>
      </w:r>
    </w:p>
  </w:footnote>
  <w:footnote w:id="126">
    <w:p w14:paraId="0A609A2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27</w:t>
      </w:r>
      <w:r>
        <w:rPr>
          <w:rFonts w:ascii="Arial Unicode MS" w:eastAsia="Arial Unicode MS" w:hAnsi="Arial Unicode MS" w:cs="Arial Unicode MS"/>
          <w:color w:val="2B477B"/>
        </w:rPr>
        <w:t>-</w:t>
      </w:r>
      <w:r>
        <w:rPr>
          <w:color w:val="2B477B"/>
        </w:rPr>
        <w:t>28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17" w:history="1">
        <w:r>
          <w:rPr>
            <w:color w:val="2B477B"/>
          </w:rPr>
          <w:t xml:space="preserve"> </w:t>
        </w:r>
      </w:hyperlink>
      <w:hyperlink r:id="rId218" w:history="1">
        <w:r>
          <w:rPr>
            <w:rFonts w:ascii="Arial Unicode MS" w:eastAsia="Arial Unicode MS" w:hAnsi="Arial Unicode MS" w:cs="Arial Unicode MS"/>
            <w:color w:val="2B477B"/>
          </w:rPr>
          <w:t>Ley</w:t>
        </w:r>
        <w:r>
          <w:rPr>
            <w:color w:val="2B477B"/>
          </w:rPr>
          <w:t xml:space="preserve"> 045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Racismo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toda</w:t>
        </w:r>
        <w:r>
          <w:rPr>
            <w:color w:val="2B477B"/>
          </w:rPr>
          <w:t xml:space="preserve"> </w:t>
        </w:r>
        <w:r>
          <w:rPr>
            <w:rFonts w:ascii="Arial Unicode MS" w:eastAsia="Arial Unicode MS" w:hAnsi="Arial Unicode MS" w:cs="Arial Unicode MS"/>
            <w:color w:val="2B477B"/>
          </w:rPr>
          <w:t>forma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hyperlink>
      <w:r>
        <w:rPr>
          <w:rFonts w:ascii="Arial Unicode MS" w:eastAsia="Arial Unicode MS" w:hAnsi="Arial Unicode MS" w:cs="Arial Unicode MS"/>
          <w:color w:val="2B477B"/>
        </w:rPr>
        <w:t>,</w:t>
      </w:r>
      <w:r>
        <w:rPr>
          <w:color w:val="2B477B"/>
        </w:rPr>
        <w:t xml:space="preserve"> 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hyperlink r:id="rId219"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Supremo</w:t>
        </w:r>
        <w:r>
          <w:rPr>
            <w:color w:val="2B477B"/>
          </w:rPr>
          <w:t xml:space="preserve"> 0762</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reglamenta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obligaciones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medios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comunicación</w:t>
      </w:r>
      <w:r>
        <w:rPr>
          <w:color w:val="2B477B"/>
        </w:rPr>
        <w:t xml:space="preserve"> </w:t>
      </w:r>
      <w:r>
        <w:rPr>
          <w:rFonts w:ascii="Arial Unicode MS" w:eastAsia="Arial Unicode MS" w:hAnsi="Arial Unicode MS" w:cs="Arial Unicode MS"/>
          <w:color w:val="2B477B"/>
        </w:rPr>
        <w:t>social.</w:t>
      </w:r>
      <w:r>
        <w:rPr>
          <w:color w:val="2B477B"/>
        </w:rPr>
        <w:t xml:space="preserve"> </w:t>
      </w:r>
    </w:p>
  </w:footnote>
  <w:footnote w:id="127">
    <w:p w14:paraId="37059032"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hyperlink r:id="rId220" w:history="1">
        <w:r>
          <w:rPr>
            <w:rStyle w:val="Hyperlink1"/>
            <w:rFonts w:ascii="Arial Unicode MS" w:eastAsia="Arial Unicode MS" w:hAnsi="Arial Unicode MS" w:cs="Arial Unicode MS"/>
            <w:u w:val="single"/>
          </w:rPr>
          <w:t>Código</w:t>
        </w:r>
        <w:r>
          <w:rPr>
            <w:rStyle w:val="Hyperlink1"/>
            <w:u w:val="single"/>
          </w:rPr>
          <w:t xml:space="preserve"> </w:t>
        </w:r>
        <w:r>
          <w:rPr>
            <w:rStyle w:val="Hyperlink1"/>
            <w:rFonts w:ascii="Arial Unicode MS" w:eastAsia="Arial Unicode MS" w:hAnsi="Arial Unicode MS" w:cs="Arial Unicode MS"/>
            <w:u w:val="single"/>
          </w:rPr>
          <w:t>Pena</w:t>
        </w:r>
      </w:hyperlink>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art.</w:t>
      </w:r>
      <w:r>
        <w:rPr>
          <w:color w:val="2B477B"/>
        </w:rPr>
        <w:t xml:space="preserve"> 40 </w:t>
      </w:r>
      <w:r>
        <w:rPr>
          <w:rFonts w:ascii="Arial Unicode MS" w:eastAsia="Arial Unicode MS" w:hAnsi="Arial Unicode MS" w:cs="Arial Unicode MS"/>
          <w:color w:val="2B477B"/>
        </w:rPr>
        <w:t>bis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w:t>
      </w:r>
      <w:r>
        <w:rPr>
          <w:color w:val="2B477B"/>
        </w:rPr>
        <w:t xml:space="preserve"> 281 </w:t>
      </w:r>
      <w:r>
        <w:rPr>
          <w:rFonts w:ascii="Arial Unicode MS" w:eastAsia="Arial Unicode MS" w:hAnsi="Arial Unicode MS" w:cs="Arial Unicode MS"/>
          <w:color w:val="2B477B"/>
        </w:rPr>
        <w:t>sexies.</w:t>
      </w:r>
      <w:r>
        <w:rPr>
          <w:color w:val="2B477B"/>
        </w:rPr>
        <w:t xml:space="preserve"> </w:t>
      </w:r>
    </w:p>
  </w:footnote>
  <w:footnote w:id="128">
    <w:p w14:paraId="6B79AE7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27</w:t>
      </w:r>
      <w:r>
        <w:rPr>
          <w:rFonts w:ascii="Arial Unicode MS" w:eastAsia="Arial Unicode MS" w:hAnsi="Arial Unicode MS" w:cs="Arial Unicode MS"/>
          <w:color w:val="2B477B"/>
        </w:rPr>
        <w:t>-</w:t>
      </w:r>
      <w:r>
        <w:rPr>
          <w:color w:val="2B477B"/>
        </w:rPr>
        <w:t>28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Ciegos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(FENACIEBO)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Programa:</w:t>
      </w:r>
      <w:r>
        <w:rPr>
          <w:color w:val="2B477B"/>
        </w:rPr>
        <w:t xml:space="preserve"> </w:t>
      </w:r>
      <w:hyperlink r:id="rId221" w:history="1">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racismo</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no</w:t>
        </w:r>
        <w:r>
          <w:rPr>
            <w:rStyle w:val="Hyperlink1"/>
            <w:u w:val="single"/>
          </w:rPr>
          <w:t xml:space="preserve"> </w:t>
        </w:r>
        <w:r>
          <w:rPr>
            <w:rStyle w:val="Hyperlink1"/>
            <w:rFonts w:ascii="Arial Unicode MS" w:eastAsia="Arial Unicode MS" w:hAnsi="Arial Unicode MS" w:cs="Arial Unicode MS"/>
            <w:u w:val="single"/>
          </w:rPr>
          <w:t>es</w:t>
        </w:r>
        <w:r>
          <w:rPr>
            <w:rStyle w:val="Hyperlink1"/>
            <w:u w:val="single"/>
          </w:rPr>
          <w:t xml:space="preserve"> </w:t>
        </w:r>
        <w:r>
          <w:rPr>
            <w:rStyle w:val="Hyperlink1"/>
            <w:rFonts w:ascii="Arial Unicode MS" w:eastAsia="Arial Unicode MS" w:hAnsi="Arial Unicode MS" w:cs="Arial Unicode MS"/>
            <w:u w:val="single"/>
          </w:rPr>
          <w:t>un</w:t>
        </w:r>
        <w:r>
          <w:rPr>
            <w:rStyle w:val="Hyperlink1"/>
            <w:u w:val="single"/>
          </w:rPr>
          <w:t xml:space="preserve"> </w:t>
        </w:r>
        <w:r>
          <w:rPr>
            <w:rStyle w:val="Hyperlink1"/>
            <w:rFonts w:ascii="Arial Unicode MS" w:eastAsia="Arial Unicode MS" w:hAnsi="Arial Unicode MS" w:cs="Arial Unicode MS"/>
            <w:u w:val="single"/>
          </w:rPr>
          <w:t>cuento</w:t>
        </w:r>
      </w:hyperlink>
      <w:r>
        <w:rPr>
          <w:color w:val="2B477B"/>
        </w:rPr>
        <w:t xml:space="preserve"> 2023</w:t>
      </w:r>
      <w:r>
        <w:rPr>
          <w:rFonts w:ascii="Arial Unicode MS" w:eastAsia="Arial Unicode MS" w:hAnsi="Arial Unicode MS" w:cs="Arial Unicode MS"/>
          <w:color w:val="2B477B"/>
        </w:rPr>
        <w:t>.</w:t>
      </w:r>
      <w:r>
        <w:rPr>
          <w:color w:val="2B477B"/>
        </w:rPr>
        <w:t xml:space="preserve"> </w:t>
      </w:r>
    </w:p>
  </w:footnote>
  <w:footnote w:id="129">
    <w:p w14:paraId="362634EA"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46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22" w:history="1">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Inclusión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83 </w:t>
      </w:r>
      <w:r>
        <w:rPr>
          <w:rFonts w:ascii="Arial Unicode MS" w:eastAsia="Arial Unicode MS" w:hAnsi="Arial Unicode MS" w:cs="Arial Unicode MS"/>
          <w:color w:val="2B477B"/>
        </w:rPr>
        <w:t>y</w:t>
      </w:r>
      <w:r>
        <w:rPr>
          <w:color w:val="2B477B"/>
        </w:rPr>
        <w:t xml:space="preserve"> 88</w:t>
      </w:r>
      <w:r>
        <w:rPr>
          <w:rFonts w:ascii="Arial Unicode MS" w:eastAsia="Arial Unicode MS" w:hAnsi="Arial Unicode MS" w:cs="Arial Unicode MS"/>
          <w:color w:val="2B477B"/>
        </w:rPr>
        <w:t>.</w:t>
      </w:r>
      <w:r>
        <w:rPr>
          <w:color w:val="2B477B"/>
        </w:rPr>
        <w:t xml:space="preserve"> </w:t>
      </w:r>
    </w:p>
  </w:footnote>
  <w:footnote w:id="130">
    <w:p w14:paraId="72C8C54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57</w:t>
      </w:r>
      <w:r>
        <w:rPr>
          <w:rFonts w:ascii="Arial Unicode MS" w:eastAsia="Arial Unicode MS" w:hAnsi="Arial Unicode MS" w:cs="Arial Unicode MS"/>
          <w:color w:val="2B477B"/>
        </w:rPr>
        <w:t>-</w:t>
      </w:r>
      <w:r>
        <w:rPr>
          <w:color w:val="2B477B"/>
        </w:rPr>
        <w:t>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23" w:history="1">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Proyectos</w:t>
        </w:r>
        <w:r>
          <w:rPr>
            <w:color w:val="2B477B"/>
          </w:rPr>
          <w:t xml:space="preserve"> </w:t>
        </w:r>
        <w:r>
          <w:rPr>
            <w:rFonts w:ascii="Arial Unicode MS" w:eastAsia="Arial Unicode MS" w:hAnsi="Arial Unicode MS" w:cs="Arial Unicode MS"/>
            <w:color w:val="2B477B"/>
          </w:rPr>
          <w:t>Inclusivos</w:t>
        </w:r>
      </w:hyperlink>
      <w:r>
        <w:rPr>
          <w:color w:val="2B477B"/>
        </w:rPr>
        <w:t xml:space="preserve"> </w:t>
      </w:r>
      <w:r>
        <w:rPr>
          <w:rFonts w:ascii="Arial Unicode MS" w:eastAsia="Arial Unicode MS" w:hAnsi="Arial Unicode MS" w:cs="Arial Unicode MS"/>
          <w:color w:val="2B477B"/>
        </w:rPr>
        <w:t>(FONAPI),</w:t>
      </w:r>
      <w:hyperlink r:id="rId224" w:history="1">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Justicia</w:t>
        </w:r>
      </w:hyperlink>
      <w:r>
        <w:rPr>
          <w:color w:val="2B477B"/>
        </w:rPr>
        <w:t xml:space="preserve"> </w:t>
      </w:r>
      <w:r>
        <w:rPr>
          <w:rFonts w:ascii="Arial Unicode MS" w:eastAsia="Arial Unicode MS" w:hAnsi="Arial Unicode MS" w:cs="Arial Unicode MS"/>
          <w:color w:val="2B477B"/>
        </w:rPr>
        <w:t>(PAJ);</w:t>
      </w:r>
      <w:r>
        <w:rPr>
          <w:color w:val="2B477B"/>
        </w:rPr>
        <w:t xml:space="preserve"> </w:t>
      </w:r>
      <w:hyperlink r:id="rId225" w:history="1">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Estrategia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Local</w:t>
        </w:r>
        <w:r>
          <w:rPr>
            <w:color w:val="2B477B"/>
          </w:rPr>
          <w:t xml:space="preserve"> </w:t>
        </w:r>
        <w:r>
          <w:rPr>
            <w:rFonts w:ascii="Arial Unicode MS" w:eastAsia="Arial Unicode MS" w:hAnsi="Arial Unicode MS" w:cs="Arial Unicode MS"/>
            <w:color w:val="2B477B"/>
          </w:rPr>
          <w:t>Inclusivo</w:t>
        </w:r>
      </w:hyperlink>
      <w:r>
        <w:rPr>
          <w:rFonts w:ascii="Arial Unicode MS" w:eastAsia="Arial Unicode MS" w:hAnsi="Arial Unicode MS" w:cs="Arial Unicode MS"/>
          <w:color w:val="2B477B"/>
        </w:rPr>
        <w:t>(EDLI).</w:t>
      </w:r>
      <w:r>
        <w:rPr>
          <w:color w:val="2B477B"/>
        </w:rPr>
        <w:t xml:space="preserve"> </w:t>
      </w:r>
    </w:p>
  </w:footnote>
  <w:footnote w:id="131">
    <w:p w14:paraId="1B443D0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60</w:t>
      </w:r>
      <w:r>
        <w:rPr>
          <w:rFonts w:ascii="Arial Unicode MS" w:eastAsia="Arial Unicode MS" w:hAnsi="Arial Unicode MS" w:cs="Arial Unicode MS"/>
          <w:color w:val="2B477B"/>
        </w:rPr>
        <w:t>-</w:t>
      </w:r>
      <w:r>
        <w:rPr>
          <w:color w:val="2B477B"/>
        </w:rPr>
        <w:t xml:space="preserve">61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28</w:t>
      </w:r>
      <w:r>
        <w:rPr>
          <w:rFonts w:ascii="Arial Unicode MS" w:eastAsia="Arial Unicode MS" w:hAnsi="Arial Unicode MS" w:cs="Arial Unicode MS"/>
          <w:color w:val="2B477B"/>
        </w:rPr>
        <w:t>-</w:t>
      </w:r>
      <w:r>
        <w:rPr>
          <w:color w:val="2B477B"/>
        </w:rPr>
        <w:t>29</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leyes</w:t>
      </w:r>
      <w:r>
        <w:rPr>
          <w:color w:val="2B477B"/>
        </w:rPr>
        <w:t xml:space="preserve"> </w:t>
      </w:r>
      <w:r>
        <w:rPr>
          <w:rFonts w:ascii="Arial Unicode MS" w:eastAsia="Arial Unicode MS" w:hAnsi="Arial Unicode MS" w:cs="Arial Unicode MS"/>
          <w:color w:val="2B477B"/>
        </w:rPr>
        <w:t>mencionadas</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26"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609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hyperlink>
      <w:r>
        <w:rPr>
          <w:rFonts w:ascii="Arial Unicode MS" w:eastAsia="Arial Unicode MS" w:hAnsi="Arial Unicode MS" w:cs="Arial Unicode MS"/>
          <w:color w:val="2B477B"/>
        </w:rPr>
        <w:t>,</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hyperlink r:id="rId227"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422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Oportunidades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2010</w:t>
      </w:r>
      <w:r>
        <w:rPr>
          <w:rFonts w:ascii="Arial Unicode MS" w:eastAsia="Arial Unicode MS" w:hAnsi="Arial Unicode MS" w:cs="Arial Unicode MS"/>
          <w:color w:val="2B477B"/>
        </w:rPr>
        <w:t>.</w:t>
      </w:r>
      <w:r>
        <w:rPr>
          <w:color w:val="2B477B"/>
        </w:rPr>
        <w:t xml:space="preserve"> </w:t>
      </w:r>
    </w:p>
  </w:footnote>
  <w:footnote w:id="132">
    <w:p w14:paraId="23E7386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57</w:t>
      </w:r>
      <w:r>
        <w:rPr>
          <w:rFonts w:ascii="Arial Unicode MS" w:eastAsia="Arial Unicode MS" w:hAnsi="Arial Unicode MS" w:cs="Arial Unicode MS"/>
          <w:color w:val="2B477B"/>
        </w:rPr>
        <w:t>-</w:t>
      </w:r>
      <w:r>
        <w:rPr>
          <w:color w:val="2B477B"/>
        </w:rPr>
        <w:t>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consultar,</w:t>
      </w:r>
      <w:r>
        <w:rPr>
          <w:color w:val="2B477B"/>
        </w:rPr>
        <w:t xml:space="preserve"> </w:t>
      </w:r>
      <w:hyperlink r:id="rId228" w:history="1">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recomendaciones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prevención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COVID-</w:t>
        </w:r>
        <w:r>
          <w:rPr>
            <w:color w:val="2B477B"/>
          </w:rPr>
          <w:t xml:space="preserve">19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residencias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adultos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Santiago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133">
    <w:p w14:paraId="786B739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57</w:t>
      </w:r>
      <w:r>
        <w:rPr>
          <w:rFonts w:ascii="Arial Unicode MS" w:eastAsia="Arial Unicode MS" w:hAnsi="Arial Unicode MS" w:cs="Arial Unicode MS"/>
          <w:color w:val="2B477B"/>
        </w:rPr>
        <w:t>-</w:t>
      </w:r>
      <w:r>
        <w:rPr>
          <w:color w:val="2B477B"/>
        </w:rPr>
        <w:t xml:space="preserve">63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28</w:t>
      </w:r>
      <w:r>
        <w:rPr>
          <w:rFonts w:ascii="Arial Unicode MS" w:eastAsia="Arial Unicode MS" w:hAnsi="Arial Unicode MS" w:cs="Arial Unicode MS"/>
          <w:color w:val="2B477B"/>
        </w:rPr>
        <w:t>-</w:t>
      </w:r>
      <w:r>
        <w:rPr>
          <w:color w:val="2B477B"/>
        </w:rPr>
        <w:t>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consultar,</w:t>
      </w:r>
      <w:r>
        <w:rPr>
          <w:color w:val="2B477B"/>
        </w:rPr>
        <w:t xml:space="preserve"> </w:t>
      </w:r>
      <w:hyperlink r:id="rId22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21</w:t>
        </w:r>
        <w:r>
          <w:rPr>
            <w:rFonts w:ascii="Arial Unicode MS" w:eastAsia="Arial Unicode MS" w:hAnsi="Arial Unicode MS" w:cs="Arial Unicode MS"/>
            <w:color w:val="2B477B"/>
          </w:rPr>
          <w:t>.</w:t>
        </w:r>
        <w:r>
          <w:rPr>
            <w:color w:val="2B477B"/>
          </w:rPr>
          <w:t>303</w:t>
        </w:r>
      </w:hyperlink>
      <w:r>
        <w:rPr>
          <w:rFonts w:ascii="Arial Unicode MS" w:eastAsia="Arial Unicode MS" w:hAnsi="Arial Unicode MS" w:cs="Arial Unicode MS"/>
          <w:color w:val="2B477B"/>
        </w:rPr>
        <w:t>,</w:t>
      </w:r>
      <w:r>
        <w:rPr>
          <w:color w:val="2B477B"/>
        </w:rPr>
        <w:t xml:space="preserve"> 2021</w:t>
      </w:r>
      <w:r>
        <w:rPr>
          <w:rFonts w:ascii="Arial Unicode MS" w:eastAsia="Arial Unicode MS" w:hAnsi="Arial Unicode MS" w:cs="Arial Unicode MS"/>
          <w:color w:val="2B477B"/>
        </w:rPr>
        <w:t>;</w:t>
      </w:r>
      <w:r>
        <w:rPr>
          <w:color w:val="2B477B"/>
        </w:rPr>
        <w:t xml:space="preserve"> </w:t>
      </w:r>
      <w:hyperlink r:id="rId230" w:history="1">
        <w:r>
          <w:rPr>
            <w:rFonts w:ascii="Arial Unicode MS" w:eastAsia="Arial Unicode MS" w:hAnsi="Arial Unicode MS" w:cs="Arial Unicode MS"/>
            <w:color w:val="2B477B"/>
          </w:rPr>
          <w:t>Guías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Lenguaje</w:t>
        </w:r>
        <w:r>
          <w:rPr>
            <w:color w:val="2B477B"/>
          </w:rPr>
          <w:t xml:space="preserve"> </w:t>
        </w:r>
        <w:r>
          <w:rPr>
            <w:rFonts w:ascii="Arial Unicode MS" w:eastAsia="Arial Unicode MS" w:hAnsi="Arial Unicode MS" w:cs="Arial Unicode MS"/>
            <w:color w:val="2B477B"/>
          </w:rPr>
          <w:t>Inclusivo</w:t>
        </w:r>
      </w:hyperlink>
      <w:r>
        <w:rPr>
          <w:color w:val="2B477B"/>
        </w:rPr>
        <w:t xml:space="preserve"> </w:t>
      </w:r>
      <w:r>
        <w:rPr>
          <w:rFonts w:ascii="Arial Unicode MS" w:eastAsia="Arial Unicode MS" w:hAnsi="Arial Unicode MS" w:cs="Arial Unicode MS"/>
          <w:color w:val="2B477B"/>
        </w:rPr>
        <w:t>y</w:t>
      </w:r>
      <w:r>
        <w:rPr>
          <w:color w:val="2B477B"/>
        </w:rPr>
        <w:t xml:space="preserve"> </w:t>
      </w:r>
      <w:hyperlink r:id="rId23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21</w:t>
        </w:r>
        <w:r>
          <w:rPr>
            <w:rFonts w:ascii="Arial Unicode MS" w:eastAsia="Arial Unicode MS" w:hAnsi="Arial Unicode MS" w:cs="Arial Unicode MS"/>
            <w:color w:val="2B477B"/>
          </w:rPr>
          <w:t>.</w:t>
        </w:r>
        <w:r>
          <w:rPr>
            <w:color w:val="2B477B"/>
          </w:rPr>
          <w:t>303</w:t>
        </w:r>
      </w:hyperlink>
      <w:r>
        <w:rPr>
          <w:rFonts w:ascii="Arial Unicode MS" w:eastAsia="Arial Unicode MS" w:hAnsi="Arial Unicode MS" w:cs="Arial Unicode MS"/>
          <w:color w:val="2B477B"/>
        </w:rPr>
        <w:t>,</w:t>
      </w:r>
      <w:r>
        <w:rPr>
          <w:color w:val="2B477B"/>
        </w:rPr>
        <w:t xml:space="preserve"> 2021</w:t>
      </w:r>
      <w:r>
        <w:rPr>
          <w:rFonts w:ascii="Arial Unicode MS" w:eastAsia="Arial Unicode MS" w:hAnsi="Arial Unicode MS" w:cs="Arial Unicode MS"/>
          <w:color w:val="2B477B"/>
        </w:rPr>
        <w:t>.</w:t>
      </w:r>
      <w:r>
        <w:rPr>
          <w:color w:val="2B477B"/>
        </w:rPr>
        <w:t xml:space="preserve"> </w:t>
      </w:r>
    </w:p>
  </w:footnote>
  <w:footnote w:id="134">
    <w:p w14:paraId="4D3FA16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86 </w:t>
      </w:r>
      <w:r>
        <w:rPr>
          <w:rFonts w:ascii="Arial Unicode MS" w:eastAsia="Arial Unicode MS" w:hAnsi="Arial Unicode MS" w:cs="Arial Unicode MS"/>
          <w:color w:val="2B477B"/>
        </w:rPr>
        <w:t>y</w:t>
      </w:r>
      <w:r>
        <w:rPr>
          <w:color w:val="2B477B"/>
        </w:rPr>
        <w:t xml:space="preserve"> 87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32" w:history="1">
        <w:r>
          <w:rPr>
            <w:rFonts w:ascii="Arial Unicode MS" w:eastAsia="Arial Unicode MS" w:hAnsi="Arial Unicode MS" w:cs="Arial Unicode MS"/>
            <w:color w:val="2B477B"/>
          </w:rPr>
          <w:t>Política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2013</w:t>
        </w:r>
        <w:r>
          <w:rPr>
            <w:rFonts w:ascii="Arial Unicode MS" w:eastAsia="Arial Unicode MS" w:hAnsi="Arial Unicode MS" w:cs="Arial Unicode MS"/>
            <w:color w:val="2B477B"/>
          </w:rPr>
          <w:t>-</w:t>
        </w:r>
        <w:r>
          <w:rPr>
            <w:color w:val="2B477B"/>
          </w:rPr>
          <w:t>2022</w:t>
        </w:r>
      </w:hyperlink>
      <w:r>
        <w:rPr>
          <w:rFonts w:ascii="Arial Unicode MS" w:eastAsia="Arial Unicode MS" w:hAnsi="Arial Unicode MS" w:cs="Arial Unicode MS"/>
          <w:color w:val="2B477B"/>
        </w:rPr>
        <w:t>.</w:t>
      </w:r>
      <w:r>
        <w:rPr>
          <w:color w:val="2B477B"/>
        </w:rPr>
        <w:t xml:space="preserve"> </w:t>
      </w:r>
    </w:p>
  </w:footnote>
  <w:footnote w:id="135">
    <w:p w14:paraId="1D1FFC5C"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86 </w:t>
      </w:r>
      <w:r>
        <w:rPr>
          <w:rFonts w:ascii="Arial Unicode MS" w:eastAsia="Arial Unicode MS" w:hAnsi="Arial Unicode MS" w:cs="Arial Unicode MS"/>
          <w:color w:val="2B477B"/>
        </w:rPr>
        <w:t>y</w:t>
      </w:r>
      <w:r>
        <w:rPr>
          <w:color w:val="2B477B"/>
        </w:rPr>
        <w:t xml:space="preserve"> 87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Derecho,</w:t>
      </w:r>
      <w:r>
        <w:rPr>
          <w:color w:val="2B477B"/>
        </w:rPr>
        <w:t xml:space="preserve"> </w:t>
      </w:r>
      <w:hyperlink r:id="rId233" w:history="1">
        <w:r>
          <w:rPr>
            <w:rStyle w:val="Hyperlink0"/>
            <w:rFonts w:ascii="Arial Unicode MS" w:eastAsia="Arial Unicode MS" w:hAnsi="Arial Unicode MS" w:cs="Arial Unicode MS"/>
          </w:rPr>
          <w:t>Tejiendo</w:t>
        </w:r>
        <w:r>
          <w:rPr>
            <w:rStyle w:val="Hyperlink0"/>
          </w:rPr>
          <w:t xml:space="preserve"> </w:t>
        </w:r>
        <w:r>
          <w:rPr>
            <w:rStyle w:val="Hyperlink0"/>
            <w:rFonts w:ascii="Arial Unicode MS" w:eastAsia="Arial Unicode MS" w:hAnsi="Arial Unicode MS" w:cs="Arial Unicode MS"/>
          </w:rPr>
          <w:t>Justicia</w:t>
        </w:r>
      </w:hyperlink>
      <w:r>
        <w:rPr>
          <w:color w:val="2B477B"/>
        </w:rPr>
        <w:t xml:space="preserve"> </w:t>
      </w:r>
      <w:r>
        <w:rPr>
          <w:rFonts w:ascii="Arial Unicode MS" w:eastAsia="Arial Unicode MS" w:hAnsi="Arial Unicode MS" w:cs="Arial Unicode MS"/>
          <w:color w:val="2B477B"/>
        </w:rPr>
        <w:t>y</w:t>
      </w:r>
      <w:r>
        <w:rPr>
          <w:color w:val="2B477B"/>
        </w:rPr>
        <w:t xml:space="preserve"> </w:t>
      </w:r>
      <w:hyperlink r:id="rId234" w:history="1">
        <w:r>
          <w:rPr>
            <w:rStyle w:val="Hyperlink0"/>
            <w:rFonts w:ascii="Arial Unicode MS" w:eastAsia="Arial Unicode MS" w:hAnsi="Arial Unicode MS" w:cs="Arial Unicode MS"/>
          </w:rPr>
          <w:t>Sistema</w:t>
        </w:r>
        <w:r>
          <w:rPr>
            <w:rStyle w:val="Hyperlink0"/>
          </w:rPr>
          <w:t xml:space="preserve"> </w:t>
        </w:r>
        <w:r>
          <w:rPr>
            <w:rStyle w:val="Hyperlink0"/>
            <w:rFonts w:ascii="Arial Unicode MS" w:eastAsia="Arial Unicode MS" w:hAnsi="Arial Unicode MS" w:cs="Arial Unicode MS"/>
          </w:rPr>
          <w:t>Único</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Información</w:t>
        </w:r>
        <w:r>
          <w:rPr>
            <w:rStyle w:val="Hyperlink0"/>
          </w:rPr>
          <w:t xml:space="preserve"> </w:t>
        </w:r>
        <w:r>
          <w:rPr>
            <w:rStyle w:val="Hyperlink0"/>
            <w:rFonts w:ascii="Arial Unicode MS" w:eastAsia="Arial Unicode MS" w:hAnsi="Arial Unicode MS" w:cs="Arial Unicode MS"/>
          </w:rPr>
          <w:t>Normativa</w:t>
        </w:r>
      </w:hyperlink>
      <w:r>
        <w:rPr>
          <w:rFonts w:ascii="Arial Unicode MS" w:eastAsia="Arial Unicode MS" w:hAnsi="Arial Unicode MS" w:cs="Arial Unicode MS"/>
          <w:color w:val="2B477B"/>
        </w:rPr>
        <w:t>.</w:t>
      </w:r>
      <w:r>
        <w:rPr>
          <w:color w:val="2B477B"/>
        </w:rPr>
        <w:t xml:space="preserve"> </w:t>
      </w:r>
    </w:p>
  </w:footnote>
  <w:footnote w:id="136">
    <w:p w14:paraId="6F21064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r>
        <w:rPr>
          <w:color w:val="2B477B"/>
        </w:rPr>
        <w:t>53</w:t>
      </w:r>
      <w:r>
        <w:rPr>
          <w:rFonts w:ascii="Arial Unicode MS" w:eastAsia="Arial Unicode MS" w:hAnsi="Arial Unicode MS" w:cs="Arial Unicode MS"/>
          <w:color w:val="2B477B"/>
        </w:rPr>
        <w:t>.</w:t>
      </w:r>
      <w:r>
        <w:rPr>
          <w:color w:val="2B477B"/>
        </w:rPr>
        <w:t xml:space="preserve"> </w:t>
      </w:r>
    </w:p>
  </w:footnote>
  <w:footnote w:id="137">
    <w:p w14:paraId="60FA95C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r>
        <w:rPr>
          <w:color w:val="2B477B"/>
        </w:rPr>
        <w:t>53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35" w:history="1">
        <w:r>
          <w:rPr>
            <w:rFonts w:ascii="Arial Unicode MS" w:eastAsia="Arial Unicode MS" w:hAnsi="Arial Unicode MS" w:cs="Arial Unicode MS"/>
            <w:color w:val="2B477B"/>
          </w:rPr>
          <w:t>Ley</w:t>
        </w:r>
        <w:r>
          <w:rPr>
            <w:color w:val="2B477B"/>
          </w:rPr>
          <w:t xml:space="preserve"> 1752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hyperlink>
    </w:p>
  </w:footnote>
  <w:footnote w:id="138">
    <w:p w14:paraId="084FDD5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115</w:t>
      </w:r>
      <w:r>
        <w:rPr>
          <w:rFonts w:ascii="Arial Unicode MS" w:eastAsia="Arial Unicode MS" w:hAnsi="Arial Unicode MS" w:cs="Arial Unicode MS"/>
          <w:color w:val="2B477B"/>
        </w:rPr>
        <w:t>-</w:t>
      </w:r>
      <w:r>
        <w:rPr>
          <w:color w:val="2B477B"/>
        </w:rPr>
        <w:t>116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r>
        <w:rPr>
          <w:color w:val="2B477B"/>
        </w:rPr>
        <w:t xml:space="preserve"> </w:t>
      </w:r>
      <w:hyperlink r:id="rId236" w:history="1">
        <w:r>
          <w:rPr>
            <w:rFonts w:ascii="Arial Unicode MS" w:eastAsia="Arial Unicode MS" w:hAnsi="Arial Unicode MS" w:cs="Arial Unicode MS"/>
            <w:color w:val="2B477B"/>
          </w:rPr>
          <w:t>Plataforma</w:t>
        </w:r>
        <w:r>
          <w:rPr>
            <w:color w:val="2B477B"/>
          </w:rPr>
          <w:t xml:space="preserve"> </w:t>
        </w:r>
        <w:r>
          <w:rPr>
            <w:rFonts w:ascii="Arial Unicode MS" w:eastAsia="Arial Unicode MS" w:hAnsi="Arial Unicode MS" w:cs="Arial Unicode MS"/>
            <w:color w:val="2B477B"/>
          </w:rPr>
          <w:t>Virtual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Discapacidades</w:t>
        </w:r>
      </w:hyperlink>
      <w:r>
        <w:rPr>
          <w:rFonts w:ascii="Arial Unicode MS" w:eastAsia="Arial Unicode MS" w:hAnsi="Arial Unicode MS" w:cs="Arial Unicode MS"/>
          <w:color w:val="2B477B"/>
        </w:rPr>
        <w:t>.</w:t>
      </w:r>
      <w:r>
        <w:rPr>
          <w:color w:val="2B477B"/>
        </w:rPr>
        <w:t xml:space="preserve"> </w:t>
      </w:r>
    </w:p>
  </w:footnote>
  <w:footnote w:id="139">
    <w:p w14:paraId="7AEC00D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84</w:t>
      </w:r>
      <w:r>
        <w:rPr>
          <w:rFonts w:ascii="Arial Unicode MS" w:eastAsia="Arial Unicode MS" w:hAnsi="Arial Unicode MS" w:cs="Arial Unicode MS"/>
          <w:color w:val="2B477B"/>
        </w:rPr>
        <w:t>-</w:t>
      </w:r>
      <w:r>
        <w:rPr>
          <w:color w:val="2B477B"/>
        </w:rPr>
        <w:t>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37"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Orgánico</w:t>
        </w:r>
        <w:r>
          <w:rPr>
            <w:color w:val="2B477B"/>
          </w:rPr>
          <w:t xml:space="preserve"> </w:t>
        </w:r>
        <w:r>
          <w:rPr>
            <w:rFonts w:ascii="Arial Unicode MS" w:eastAsia="Arial Unicode MS" w:hAnsi="Arial Unicode MS" w:cs="Arial Unicode MS"/>
            <w:color w:val="2B477B"/>
          </w:rPr>
          <w:t>Integral</w:t>
        </w:r>
        <w:r>
          <w:rPr>
            <w:color w:val="2B477B"/>
          </w:rPr>
          <w:t xml:space="preserve"> </w:t>
        </w:r>
        <w:r>
          <w:rPr>
            <w:rFonts w:ascii="Arial Unicode MS" w:eastAsia="Arial Unicode MS" w:hAnsi="Arial Unicode MS" w:cs="Arial Unicode MS"/>
            <w:color w:val="2B477B"/>
          </w:rPr>
          <w:t>Penal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176 </w:t>
      </w:r>
      <w:r>
        <w:rPr>
          <w:rFonts w:ascii="Arial Unicode MS" w:eastAsia="Arial Unicode MS" w:hAnsi="Arial Unicode MS" w:cs="Arial Unicode MS"/>
          <w:color w:val="2B477B"/>
        </w:rPr>
        <w:t>y</w:t>
      </w:r>
      <w:r>
        <w:rPr>
          <w:color w:val="2B477B"/>
        </w:rPr>
        <w:t xml:space="preserve"> 177</w:t>
      </w:r>
      <w:r>
        <w:rPr>
          <w:rFonts w:ascii="Arial Unicode MS" w:eastAsia="Arial Unicode MS" w:hAnsi="Arial Unicode MS" w:cs="Arial Unicode MS"/>
          <w:color w:val="2B477B"/>
        </w:rPr>
        <w:t>,</w:t>
      </w:r>
      <w:r>
        <w:rPr>
          <w:color w:val="2B477B"/>
        </w:rPr>
        <w:t xml:space="preserve"> 2014</w:t>
      </w:r>
      <w:r>
        <w:rPr>
          <w:rFonts w:ascii="Arial Unicode MS" w:eastAsia="Arial Unicode MS" w:hAnsi="Arial Unicode MS" w:cs="Arial Unicode MS"/>
          <w:color w:val="2B477B"/>
        </w:rPr>
        <w:t>.</w:t>
      </w:r>
      <w:r>
        <w:rPr>
          <w:color w:val="2B477B"/>
        </w:rPr>
        <w:t xml:space="preserve"> </w:t>
      </w:r>
    </w:p>
  </w:footnote>
  <w:footnote w:id="140">
    <w:p w14:paraId="4AEA147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123</w:t>
      </w:r>
      <w:r>
        <w:rPr>
          <w:rFonts w:ascii="Arial Unicode MS" w:eastAsia="Arial Unicode MS" w:hAnsi="Arial Unicode MS" w:cs="Arial Unicode MS"/>
          <w:color w:val="2B477B"/>
        </w:rPr>
        <w:t>-</w:t>
      </w:r>
      <w:r>
        <w:rPr>
          <w:color w:val="2B477B"/>
        </w:rPr>
        <w:t>124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detalles</w:t>
      </w:r>
      <w:r>
        <w:rPr>
          <w:color w:val="2B477B"/>
        </w:rPr>
        <w:t xml:space="preserve"> </w:t>
      </w:r>
      <w:r>
        <w:rPr>
          <w:rFonts w:ascii="Arial Unicode MS" w:eastAsia="Arial Unicode MS" w:hAnsi="Arial Unicode MS" w:cs="Arial Unicode MS"/>
          <w:color w:val="2B477B"/>
        </w:rPr>
        <w:t>consultar,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Judicatura</w:t>
      </w:r>
      <w:r>
        <w:rPr>
          <w:color w:val="2B477B"/>
        </w:rPr>
        <w:t xml:space="preserve"> </w:t>
      </w:r>
      <w:r>
        <w:rPr>
          <w:rFonts w:ascii="Arial Unicode MS" w:eastAsia="Arial Unicode MS" w:hAnsi="Arial Unicode MS" w:cs="Arial Unicode MS"/>
          <w:color w:val="2B477B"/>
        </w:rPr>
        <w:t>Federal,</w:t>
      </w:r>
      <w:r>
        <w:rPr>
          <w:color w:val="2B477B"/>
        </w:rPr>
        <w:t xml:space="preserve"> </w:t>
      </w:r>
      <w:hyperlink r:id="rId238" w:history="1">
        <w:r>
          <w:rPr>
            <w:rStyle w:val="Hyperlink1"/>
            <w:rFonts w:ascii="Arial Unicode MS" w:eastAsia="Arial Unicode MS" w:hAnsi="Arial Unicode MS" w:cs="Arial Unicode MS"/>
            <w:u w:val="single"/>
          </w:rPr>
          <w:t>Escuela</w:t>
        </w:r>
        <w:r>
          <w:rPr>
            <w:rStyle w:val="Hyperlink1"/>
            <w:u w:val="single"/>
          </w:rPr>
          <w:t xml:space="preserve"> </w:t>
        </w:r>
        <w:r>
          <w:rPr>
            <w:rStyle w:val="Hyperlink1"/>
            <w:rFonts w:ascii="Arial Unicode MS" w:eastAsia="Arial Unicode MS" w:hAnsi="Arial Unicode MS" w:cs="Arial Unicode MS"/>
            <w:u w:val="single"/>
          </w:rPr>
          <w:t>Federal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Formación</w:t>
        </w:r>
        <w:r>
          <w:rPr>
            <w:rStyle w:val="Hyperlink1"/>
            <w:u w:val="single"/>
          </w:rPr>
          <w:t xml:space="preserve"> </w:t>
        </w:r>
        <w:r>
          <w:rPr>
            <w:rStyle w:val="Hyperlink1"/>
            <w:rFonts w:ascii="Arial Unicode MS" w:eastAsia="Arial Unicode MS" w:hAnsi="Arial Unicode MS" w:cs="Arial Unicode MS"/>
            <w:u w:val="single"/>
          </w:rPr>
          <w:t>Judicial;</w:t>
        </w:r>
        <w:r>
          <w:rPr>
            <w:rStyle w:val="Hyperlink1"/>
            <w:u w:val="single"/>
          </w:rPr>
          <w:t xml:space="preserve"> </w:t>
        </w:r>
      </w:hyperlink>
      <w:r>
        <w:rPr>
          <w:color w:val="2B477B"/>
        </w:rPr>
        <w:t xml:space="preserve"> </w:t>
      </w:r>
      <w:hyperlink r:id="rId239" w:history="1">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Inclusión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2011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240" w:history="1">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Federal</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Prevenir</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Eliminar</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Discriminación,</w:t>
        </w:r>
      </w:hyperlink>
      <w:r>
        <w:rPr>
          <w:color w:val="2B477B"/>
        </w:rPr>
        <w:t xml:space="preserve"> 2003</w:t>
      </w:r>
      <w:r>
        <w:rPr>
          <w:rFonts w:ascii="Arial Unicode MS" w:eastAsia="Arial Unicode MS" w:hAnsi="Arial Unicode MS" w:cs="Arial Unicode MS"/>
          <w:color w:val="2B477B"/>
        </w:rPr>
        <w:t>.</w:t>
      </w:r>
    </w:p>
  </w:footnote>
  <w:footnote w:id="141">
    <w:p w14:paraId="111F447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123</w:t>
      </w:r>
      <w:r>
        <w:rPr>
          <w:rFonts w:ascii="Arial Unicode MS" w:eastAsia="Arial Unicode MS" w:hAnsi="Arial Unicode MS" w:cs="Arial Unicode MS"/>
          <w:color w:val="2B477B"/>
        </w:rPr>
        <w:t>-</w:t>
      </w:r>
      <w:r>
        <w:rPr>
          <w:color w:val="2B477B"/>
        </w:rPr>
        <w:t>124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detalles</w:t>
      </w:r>
      <w:r>
        <w:rPr>
          <w:color w:val="2B477B"/>
        </w:rPr>
        <w:t xml:space="preserve"> </w:t>
      </w:r>
      <w:r>
        <w:rPr>
          <w:rFonts w:ascii="Arial Unicode MS" w:eastAsia="Arial Unicode MS" w:hAnsi="Arial Unicode MS" w:cs="Arial Unicode MS"/>
          <w:color w:val="2B477B"/>
        </w:rPr>
        <w:t>consultar,</w:t>
      </w:r>
      <w:r>
        <w:rPr>
          <w:color w:val="2B477B"/>
        </w:rPr>
        <w:t xml:space="preserve"> </w:t>
      </w:r>
      <w:r>
        <w:rPr>
          <w:rFonts w:ascii="Arial Unicode MS" w:eastAsia="Arial Unicode MS" w:hAnsi="Arial Unicode MS" w:cs="Arial Unicode MS"/>
          <w:color w:val="2B477B"/>
        </w:rPr>
        <w:t>Suprema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hyperlink r:id="rId241" w:history="1">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juzgar</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perspectiva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142">
    <w:p w14:paraId="77933889"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123</w:t>
      </w:r>
      <w:r>
        <w:rPr>
          <w:rFonts w:ascii="Arial Unicode MS" w:eastAsia="Arial Unicode MS" w:hAnsi="Arial Unicode MS" w:cs="Arial Unicode MS"/>
          <w:color w:val="2B477B"/>
        </w:rPr>
        <w:t>-</w:t>
      </w:r>
      <w:r>
        <w:rPr>
          <w:color w:val="2B477B"/>
        </w:rPr>
        <w:t>125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estas</w:t>
      </w:r>
      <w:r>
        <w:rPr>
          <w:color w:val="2B477B"/>
        </w:rPr>
        <w:t xml:space="preserve"> </w:t>
      </w:r>
      <w:r>
        <w:rPr>
          <w:rFonts w:ascii="Arial Unicode MS" w:eastAsia="Arial Unicode MS" w:hAnsi="Arial Unicode MS" w:cs="Arial Unicode MS"/>
          <w:color w:val="2B477B"/>
        </w:rPr>
        <w:t>actividades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difusión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42" w:history="1">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Actividades</w:t>
        </w:r>
        <w:r>
          <w:rPr>
            <w:color w:val="2B477B"/>
          </w:rPr>
          <w:t xml:space="preserve"> 2022</w:t>
        </w:r>
      </w:hyperlink>
      <w:r>
        <w:rPr>
          <w:rFonts w:ascii="Arial Unicode MS" w:eastAsia="Arial Unicode MS" w:hAnsi="Arial Unicode MS" w:cs="Arial Unicode MS"/>
          <w:color w:val="2B477B"/>
        </w:rPr>
        <w:t>.</w:t>
      </w:r>
      <w:r>
        <w:rPr>
          <w:color w:val="2B477B"/>
        </w:rPr>
        <w:t xml:space="preserve"> </w:t>
      </w:r>
    </w:p>
  </w:footnote>
  <w:footnote w:id="143">
    <w:p w14:paraId="65ECEAC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123</w:t>
      </w:r>
      <w:r>
        <w:rPr>
          <w:rFonts w:ascii="Arial Unicode MS" w:eastAsia="Arial Unicode MS" w:hAnsi="Arial Unicode MS" w:cs="Arial Unicode MS"/>
          <w:color w:val="2B477B"/>
        </w:rPr>
        <w:t>-</w:t>
      </w:r>
      <w:r>
        <w:rPr>
          <w:color w:val="2B477B"/>
        </w:rPr>
        <w:t>125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4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Prevenir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Eliminar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43 </w:t>
      </w:r>
      <w:r>
        <w:rPr>
          <w:rFonts w:ascii="Arial Unicode MS" w:eastAsia="Arial Unicode MS" w:hAnsi="Arial Unicode MS" w:cs="Arial Unicode MS"/>
          <w:color w:val="2B477B"/>
        </w:rPr>
        <w:t>a</w:t>
      </w:r>
      <w:r>
        <w:rPr>
          <w:color w:val="2B477B"/>
        </w:rPr>
        <w:t xml:space="preserve"> 55</w:t>
      </w:r>
      <w:r>
        <w:rPr>
          <w:rFonts w:ascii="Arial Unicode MS" w:eastAsia="Arial Unicode MS" w:hAnsi="Arial Unicode MS" w:cs="Arial Unicode MS"/>
          <w:color w:val="2B477B"/>
        </w:rPr>
        <w:t>,</w:t>
      </w:r>
      <w:r>
        <w:rPr>
          <w:color w:val="2B477B"/>
        </w:rPr>
        <w:t xml:space="preserve"> 2003</w:t>
      </w:r>
      <w:r>
        <w:rPr>
          <w:rFonts w:ascii="Arial Unicode MS" w:eastAsia="Arial Unicode MS" w:hAnsi="Arial Unicode MS" w:cs="Arial Unicode MS"/>
          <w:color w:val="2B477B"/>
        </w:rPr>
        <w:t>.</w:t>
      </w:r>
    </w:p>
  </w:footnote>
  <w:footnote w:id="144">
    <w:p w14:paraId="4CF71295"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184</w:t>
      </w:r>
      <w:r>
        <w:rPr>
          <w:rFonts w:ascii="Arial Unicode MS" w:eastAsia="Arial Unicode MS" w:hAnsi="Arial Unicode MS" w:cs="Arial Unicode MS"/>
          <w:color w:val="2B477B"/>
        </w:rPr>
        <w:t>-</w:t>
      </w:r>
      <w:r>
        <w:rPr>
          <w:color w:val="2B477B"/>
        </w:rPr>
        <w:t>186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44" w:history="1">
        <w:r>
          <w:rPr>
            <w:rFonts w:ascii="Arial Unicode MS" w:eastAsia="Arial Unicode MS" w:hAnsi="Arial Unicode MS" w:cs="Arial Unicode MS"/>
            <w:color w:val="2B477B"/>
          </w:rPr>
          <w:t>Documento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Sistematización</w:t>
        </w:r>
        <w:r>
          <w:rPr>
            <w:color w:val="2B477B"/>
          </w:rPr>
          <w:t xml:space="preserve"> </w:t>
        </w:r>
        <w:r>
          <w:rPr>
            <w:rFonts w:ascii="Arial Unicode MS" w:eastAsia="Arial Unicode MS" w:hAnsi="Arial Unicode MS" w:cs="Arial Unicode MS"/>
            <w:color w:val="2B477B"/>
          </w:rPr>
          <w:t>del</w:t>
        </w:r>
        <w:r>
          <w:rPr>
            <w:color w:val="2B477B"/>
          </w:rPr>
          <w:t xml:space="preserve"> </w:t>
        </w:r>
      </w:hyperlink>
      <w:hyperlink r:id="rId245" w:history="1">
        <w:r>
          <w:rPr>
            <w:rFonts w:ascii="Arial Unicode MS" w:eastAsia="Arial Unicode MS" w:hAnsi="Arial Unicode MS" w:cs="Arial Unicode MS"/>
            <w:color w:val="2B477B"/>
          </w:rPr>
          <w:t>Plan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acción</w:t>
        </w:r>
        <w:r>
          <w:rPr>
            <w:color w:val="2B477B"/>
          </w:rPr>
          <w:t xml:space="preserve"> </w:t>
        </w:r>
        <w:r>
          <w:rPr>
            <w:rFonts w:ascii="Arial Unicode MS" w:eastAsia="Arial Unicode MS" w:hAnsi="Arial Unicode MS" w:cs="Arial Unicode MS"/>
            <w:color w:val="2B477B"/>
          </w:rPr>
          <w:t>Nacional</w:t>
        </w:r>
      </w:hyperlink>
      <w:hyperlink r:id="rId246" w:history="1">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hyperlink r:id="rId24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6667/2020</w:t>
        </w:r>
      </w:hyperlink>
      <w:r>
        <w:rPr>
          <w:rFonts w:ascii="Arial Unicode MS" w:eastAsia="Arial Unicode MS" w:hAnsi="Arial Unicode MS" w:cs="Arial Unicode MS"/>
          <w:color w:val="2B477B"/>
        </w:rPr>
        <w:t>.</w:t>
      </w:r>
      <w:r>
        <w:rPr>
          <w:color w:val="2B477B"/>
        </w:rPr>
        <w:t xml:space="preserve"> </w:t>
      </w:r>
    </w:p>
  </w:footnote>
  <w:footnote w:id="145">
    <w:p w14:paraId="3D90AC8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184</w:t>
      </w:r>
      <w:r>
        <w:rPr>
          <w:rFonts w:ascii="Arial Unicode MS" w:eastAsia="Arial Unicode MS" w:hAnsi="Arial Unicode MS" w:cs="Arial Unicode MS"/>
          <w:color w:val="2B477B"/>
        </w:rPr>
        <w:t>-</w:t>
      </w:r>
      <w:r>
        <w:rPr>
          <w:color w:val="2B477B"/>
        </w:rPr>
        <w:t>186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48"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6667/2020</w:t>
        </w:r>
      </w:hyperlink>
      <w:r>
        <w:rPr>
          <w:rFonts w:ascii="Arial Unicode MS" w:eastAsia="Arial Unicode MS" w:hAnsi="Arial Unicode MS" w:cs="Arial Unicode MS"/>
          <w:color w:val="2B477B"/>
        </w:rPr>
        <w:t>.</w:t>
      </w:r>
      <w:r>
        <w:rPr>
          <w:color w:val="2B477B"/>
        </w:rPr>
        <w:t xml:space="preserve"> </w:t>
      </w:r>
    </w:p>
  </w:footnote>
  <w:footnote w:id="146">
    <w:p w14:paraId="7236AA8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136</w:t>
      </w:r>
      <w:r>
        <w:rPr>
          <w:rFonts w:ascii="Arial Unicode MS" w:eastAsia="Arial Unicode MS" w:hAnsi="Arial Unicode MS" w:cs="Arial Unicode MS"/>
          <w:color w:val="2B477B"/>
        </w:rPr>
        <w:t>-</w:t>
      </w:r>
      <w:r>
        <w:rPr>
          <w:color w:val="2B477B"/>
        </w:rPr>
        <w:t>137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49"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hyperlink>
      <w:r>
        <w:rPr>
          <w:rFonts w:ascii="Arial Unicode MS" w:eastAsia="Arial Unicode MS" w:hAnsi="Arial Unicode MS" w:cs="Arial Unicode MS"/>
          <w:color w:val="2B477B"/>
        </w:rPr>
        <w:t>.</w:t>
      </w:r>
    </w:p>
  </w:footnote>
  <w:footnote w:id="147">
    <w:p w14:paraId="3639CD5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136</w:t>
      </w:r>
      <w:r>
        <w:rPr>
          <w:rFonts w:ascii="Arial Unicode MS" w:eastAsia="Arial Unicode MS" w:hAnsi="Arial Unicode MS" w:cs="Arial Unicode MS"/>
          <w:color w:val="2B477B"/>
        </w:rPr>
        <w:t>-</w:t>
      </w:r>
      <w:r>
        <w:rPr>
          <w:color w:val="2B477B"/>
        </w:rPr>
        <w:t>137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50" w:history="1">
        <w:r>
          <w:rPr>
            <w:rStyle w:val="Hyperlink1"/>
            <w:rFonts w:ascii="Arial Unicode MS" w:eastAsia="Arial Unicode MS" w:hAnsi="Arial Unicode MS" w:cs="Arial Unicode MS"/>
            <w:u w:val="single"/>
          </w:rPr>
          <w:t>Ley</w:t>
        </w:r>
        <w:r>
          <w:rPr>
            <w:rStyle w:val="Hyperlink1"/>
            <w:u w:val="single"/>
          </w:rPr>
          <w:t xml:space="preserve"> 28</w:t>
        </w:r>
        <w:r>
          <w:rPr>
            <w:rStyle w:val="Hyperlink1"/>
            <w:rFonts w:ascii="Arial Unicode MS" w:eastAsia="Arial Unicode MS" w:hAnsi="Arial Unicode MS" w:cs="Arial Unicode MS"/>
            <w:u w:val="single"/>
          </w:rPr>
          <w:t>.</w:t>
        </w:r>
        <w:r>
          <w:rPr>
            <w:rStyle w:val="Hyperlink1"/>
            <w:u w:val="single"/>
          </w:rPr>
          <w:t>867</w:t>
        </w:r>
      </w:hyperlink>
      <w:r>
        <w:rPr>
          <w:rFonts w:ascii="Arial Unicode MS" w:eastAsia="Arial Unicode MS" w:hAnsi="Arial Unicode MS" w:cs="Arial Unicode MS"/>
          <w:color w:val="2B477B"/>
        </w:rPr>
        <w:t>.</w:t>
      </w:r>
      <w:r>
        <w:rPr>
          <w:color w:val="2B477B"/>
        </w:rPr>
        <w:t xml:space="preserve"> </w:t>
      </w:r>
    </w:p>
  </w:footnote>
  <w:footnote w:id="148">
    <w:p w14:paraId="6286A46B"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136</w:t>
      </w:r>
      <w:r>
        <w:rPr>
          <w:rFonts w:ascii="Arial Unicode MS" w:eastAsia="Arial Unicode MS" w:hAnsi="Arial Unicode MS" w:cs="Arial Unicode MS"/>
          <w:color w:val="2B477B"/>
        </w:rPr>
        <w:t>-</w:t>
      </w:r>
      <w:r>
        <w:rPr>
          <w:color w:val="2B477B"/>
        </w:rPr>
        <w:t>137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51" w:history="1">
        <w:r>
          <w:rPr>
            <w:rStyle w:val="Hyperlink1"/>
            <w:rFonts w:ascii="Arial Unicode MS" w:eastAsia="Arial Unicode MS" w:hAnsi="Arial Unicode MS" w:cs="Arial Unicode MS"/>
            <w:u w:val="single"/>
          </w:rPr>
          <w:t>Política</w:t>
        </w:r>
        <w:r>
          <w:rPr>
            <w:rStyle w:val="Hyperlink1"/>
            <w:u w:val="single"/>
          </w:rPr>
          <w:t xml:space="preserve"> </w:t>
        </w:r>
        <w:r>
          <w:rPr>
            <w:rStyle w:val="Hyperlink1"/>
            <w:rFonts w:ascii="Arial Unicode MS" w:eastAsia="Arial Unicode MS" w:hAnsi="Arial Unicode MS" w:cs="Arial Unicode MS"/>
            <w:u w:val="single"/>
          </w:rPr>
          <w:t>Nacional</w:t>
        </w:r>
        <w:r>
          <w:rPr>
            <w:rStyle w:val="Hyperlink1"/>
            <w:u w:val="single"/>
          </w:rPr>
          <w:t xml:space="preserve"> </w:t>
        </w:r>
        <w:r>
          <w:rPr>
            <w:rStyle w:val="Hyperlink1"/>
            <w:rFonts w:ascii="Arial Unicode MS" w:eastAsia="Arial Unicode MS" w:hAnsi="Arial Unicode MS" w:cs="Arial Unicode MS"/>
            <w:u w:val="single"/>
          </w:rPr>
          <w:t>Multisectorial</w:t>
        </w:r>
        <w:r>
          <w:rPr>
            <w:rStyle w:val="Hyperlink1"/>
            <w:u w:val="single"/>
          </w:rPr>
          <w:t xml:space="preserve"> </w:t>
        </w:r>
        <w:r>
          <w:rPr>
            <w:rStyle w:val="Hyperlink1"/>
            <w:rFonts w:ascii="Arial Unicode MS" w:eastAsia="Arial Unicode MS" w:hAnsi="Arial Unicode MS" w:cs="Arial Unicode MS"/>
            <w:u w:val="single"/>
          </w:rPr>
          <w:t>en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p>
  </w:footnote>
  <w:footnote w:id="149">
    <w:p w14:paraId="625E90B5"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Crenshaw,</w:t>
      </w:r>
      <w:r>
        <w:rPr>
          <w:color w:val="2B477B"/>
        </w:rPr>
        <w:t xml:space="preserve"> </w:t>
      </w:r>
      <w:r>
        <w:rPr>
          <w:rFonts w:ascii="Arial Unicode MS" w:eastAsia="Arial Unicode MS" w:hAnsi="Arial Unicode MS" w:cs="Arial Unicode MS"/>
          <w:color w:val="2B477B"/>
        </w:rPr>
        <w:t>Kimberlé,</w:t>
      </w:r>
      <w:r>
        <w:rPr>
          <w:color w:val="2B477B"/>
        </w:rPr>
        <w:t xml:space="preserve"> </w:t>
      </w:r>
      <w:r>
        <w:rPr>
          <w:rFonts w:ascii="Arial Unicode MS" w:eastAsia="Arial Unicode MS" w:hAnsi="Arial Unicode MS" w:cs="Arial Unicode MS"/>
          <w:color w:val="2B477B"/>
        </w:rPr>
        <w:t>Cartografiando</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márgenes:</w:t>
      </w:r>
      <w:r>
        <w:rPr>
          <w:color w:val="2B477B"/>
        </w:rPr>
        <w:t xml:space="preserve"> </w:t>
      </w:r>
      <w:r>
        <w:rPr>
          <w:rFonts w:ascii="Arial Unicode MS" w:eastAsia="Arial Unicode MS" w:hAnsi="Arial Unicode MS" w:cs="Arial Unicode MS"/>
          <w:color w:val="2B477B"/>
        </w:rPr>
        <w:t>Interseccionalidad,</w:t>
      </w:r>
      <w:r>
        <w:rPr>
          <w:color w:val="2B477B"/>
        </w:rPr>
        <w:t xml:space="preserve"> </w:t>
      </w:r>
      <w:r>
        <w:rPr>
          <w:rFonts w:ascii="Arial Unicode MS" w:eastAsia="Arial Unicode MS" w:hAnsi="Arial Unicode MS" w:cs="Arial Unicode MS"/>
          <w:color w:val="2B477B"/>
        </w:rPr>
        <w:t>políticas</w:t>
      </w:r>
      <w:r>
        <w:rPr>
          <w:color w:val="2B477B"/>
        </w:rPr>
        <w:t xml:space="preserve"> </w:t>
      </w:r>
      <w:r>
        <w:rPr>
          <w:rFonts w:ascii="Arial Unicode MS" w:eastAsia="Arial Unicode MS" w:hAnsi="Arial Unicode MS" w:cs="Arial Unicode MS"/>
          <w:color w:val="2B477B"/>
        </w:rPr>
        <w:t>identitarias,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violencia</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color,</w:t>
      </w:r>
      <w:r>
        <w:rPr>
          <w:color w:val="2B477B"/>
        </w:rPr>
        <w:t xml:space="preserve"> </w:t>
      </w:r>
      <w:r>
        <w:rPr>
          <w:rFonts w:ascii="Arial Unicode MS" w:eastAsia="Arial Unicode MS" w:hAnsi="Arial Unicode MS" w:cs="Arial Unicode MS"/>
          <w:color w:val="2B477B"/>
        </w:rPr>
        <w:t>Stanford</w:t>
      </w:r>
      <w:r>
        <w:rPr>
          <w:color w:val="2B477B"/>
        </w:rPr>
        <w:t xml:space="preserve"> </w:t>
      </w:r>
      <w:r>
        <w:rPr>
          <w:rFonts w:ascii="Arial Unicode MS" w:eastAsia="Arial Unicode MS" w:hAnsi="Arial Unicode MS" w:cs="Arial Unicode MS"/>
          <w:color w:val="2B477B"/>
        </w:rPr>
        <w:t>Law</w:t>
      </w:r>
      <w:r>
        <w:rPr>
          <w:color w:val="2B477B"/>
        </w:rPr>
        <w:t xml:space="preserve"> </w:t>
      </w:r>
      <w:r>
        <w:rPr>
          <w:rFonts w:ascii="Arial Unicode MS" w:eastAsia="Arial Unicode MS" w:hAnsi="Arial Unicode MS" w:cs="Arial Unicode MS"/>
          <w:color w:val="2B477B"/>
        </w:rPr>
        <w:t>Review,</w:t>
      </w:r>
      <w:r>
        <w:rPr>
          <w:color w:val="2B477B"/>
        </w:rPr>
        <w:t xml:space="preserve"> 43 </w:t>
      </w:r>
      <w:r>
        <w:rPr>
          <w:rFonts w:ascii="Arial Unicode MS" w:eastAsia="Arial Unicode MS" w:hAnsi="Arial Unicode MS" w:cs="Arial Unicode MS"/>
          <w:color w:val="2B477B"/>
        </w:rPr>
        <w:t>(</w:t>
      </w:r>
      <w:r>
        <w:rPr>
          <w:color w:val="2B477B"/>
        </w:rPr>
        <w:t>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241</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r>
        <w:rPr>
          <w:color w:val="2B477B"/>
        </w:rPr>
        <w:t>299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traducido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Raquel</w:t>
      </w:r>
      <w:r>
        <w:rPr>
          <w:color w:val="2B477B"/>
        </w:rPr>
        <w:t xml:space="preserve"> </w:t>
      </w:r>
      <w:r>
        <w:rPr>
          <w:rFonts w:ascii="Arial Unicode MS" w:eastAsia="Arial Unicode MS" w:hAnsi="Arial Unicode MS" w:cs="Arial Unicode MS"/>
          <w:color w:val="2B477B"/>
        </w:rPr>
        <w:t>(Lucas)</w:t>
      </w:r>
      <w:r>
        <w:rPr>
          <w:color w:val="2B477B"/>
        </w:rPr>
        <w:t xml:space="preserve"> </w:t>
      </w:r>
      <w:r>
        <w:rPr>
          <w:rFonts w:ascii="Arial Unicode MS" w:eastAsia="Arial Unicode MS" w:hAnsi="Arial Unicode MS" w:cs="Arial Unicode MS"/>
          <w:color w:val="2B477B"/>
        </w:rPr>
        <w:t>Platero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Javier</w:t>
      </w:r>
      <w:r>
        <w:rPr>
          <w:color w:val="2B477B"/>
        </w:rPr>
        <w:t xml:space="preserve"> </w:t>
      </w:r>
      <w:r>
        <w:rPr>
          <w:rFonts w:ascii="Arial Unicode MS" w:eastAsia="Arial Unicode MS" w:hAnsi="Arial Unicode MS" w:cs="Arial Unicode MS"/>
          <w:color w:val="2B477B"/>
        </w:rPr>
        <w:t>Sáez;</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Parlamericas,</w:t>
      </w:r>
      <w:r>
        <w:rPr>
          <w:color w:val="2B477B"/>
        </w:rPr>
        <w:t xml:space="preserve"> </w:t>
      </w:r>
      <w:r>
        <w:rPr>
          <w:rFonts w:ascii="Arial Unicode MS" w:eastAsia="Arial Unicode MS" w:hAnsi="Arial Unicode MS" w:cs="Arial Unicode MS"/>
          <w:color w:val="2B477B"/>
        </w:rPr>
        <w:t>I</w:t>
      </w:r>
      <w:hyperlink r:id="rId252" w:history="1">
        <w:r>
          <w:rPr>
            <w:rFonts w:ascii="Arial Unicode MS" w:eastAsia="Arial Unicode MS" w:hAnsi="Arial Unicode MS" w:cs="Arial Unicode MS"/>
            <w:color w:val="2B477B"/>
          </w:rPr>
          <w:t>nterseccionalidad.</w:t>
        </w:r>
      </w:hyperlink>
      <w:r>
        <w:rPr>
          <w:color w:val="2B477B"/>
        </w:rPr>
        <w:t xml:space="preserve"> </w:t>
      </w:r>
    </w:p>
  </w:footnote>
  <w:footnote w:id="150">
    <w:p w14:paraId="60E268E9"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jurisprudencia</w:t>
      </w:r>
      <w:r>
        <w:t xml:space="preserve"> </w:t>
      </w:r>
      <w:r>
        <w:rPr>
          <w:rFonts w:ascii="Arial Unicode MS" w:eastAsia="Arial Unicode MS" w:hAnsi="Arial Unicode MS" w:cs="Arial Unicode MS"/>
        </w:rPr>
        <w:t>del</w:t>
      </w:r>
      <w:r>
        <w:t xml:space="preserve"> </w:t>
      </w:r>
      <w:r>
        <w:rPr>
          <w:rFonts w:ascii="Arial Unicode MS" w:eastAsia="Arial Unicode MS" w:hAnsi="Arial Unicode MS" w:cs="Arial Unicode MS"/>
        </w:rPr>
        <w:t>sistema</w:t>
      </w:r>
      <w:r>
        <w:t xml:space="preserve"> </w:t>
      </w:r>
      <w:r>
        <w:rPr>
          <w:rFonts w:ascii="Arial Unicode MS" w:eastAsia="Arial Unicode MS" w:hAnsi="Arial Unicode MS" w:cs="Arial Unicode MS"/>
        </w:rPr>
        <w:t>interamericano</w:t>
      </w:r>
      <w:r>
        <w:t xml:space="preserve"> </w:t>
      </w:r>
      <w:r>
        <w:rPr>
          <w:rFonts w:ascii="Arial Unicode MS" w:eastAsia="Arial Unicode MS" w:hAnsi="Arial Unicode MS" w:cs="Arial Unicode MS"/>
        </w:rPr>
        <w:t>emplea</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concepto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“interseccionalidad”</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análisis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discriminación,</w:t>
      </w:r>
      <w:r>
        <w:t xml:space="preserve"> </w:t>
      </w:r>
      <w:r>
        <w:rPr>
          <w:rFonts w:ascii="Arial Unicode MS" w:eastAsia="Arial Unicode MS" w:hAnsi="Arial Unicode MS" w:cs="Arial Unicode MS"/>
        </w:rPr>
        <w:t>considerando</w:t>
      </w:r>
      <w:r>
        <w:t xml:space="preserve"> </w:t>
      </w:r>
      <w:r>
        <w:rPr>
          <w:rFonts w:ascii="Arial Unicode MS" w:eastAsia="Arial Unicode MS" w:hAnsi="Arial Unicode MS" w:cs="Arial Unicode MS"/>
        </w:rPr>
        <w:t>aquellos</w:t>
      </w:r>
      <w:r>
        <w:t xml:space="preserve"> </w:t>
      </w:r>
      <w:r>
        <w:rPr>
          <w:rFonts w:ascii="Arial Unicode MS" w:eastAsia="Arial Unicode MS" w:hAnsi="Arial Unicode MS" w:cs="Arial Unicode MS"/>
        </w:rPr>
        <w:t>casos</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presenta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confluencia</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forma</w:t>
      </w:r>
      <w:r>
        <w:t xml:space="preserve"> </w:t>
      </w:r>
      <w:r>
        <w:rPr>
          <w:rFonts w:ascii="Arial Unicode MS" w:eastAsia="Arial Unicode MS" w:hAnsi="Arial Unicode MS" w:cs="Arial Unicode MS"/>
        </w:rPr>
        <w:t>transversal</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múltiples</w:t>
      </w:r>
      <w:r>
        <w:t xml:space="preserve"> </w:t>
      </w:r>
      <w:r>
        <w:rPr>
          <w:rFonts w:ascii="Arial Unicode MS" w:eastAsia="Arial Unicode MS" w:hAnsi="Arial Unicode MS" w:cs="Arial Unicode MS"/>
        </w:rPr>
        <w:t>factores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vulnerabilidad</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riesgo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discriminación</w:t>
      </w:r>
      <w:r>
        <w:t xml:space="preserve"> </w:t>
      </w:r>
      <w:r>
        <w:rPr>
          <w:rFonts w:ascii="Arial Unicode MS" w:eastAsia="Arial Unicode MS" w:hAnsi="Arial Unicode MS" w:cs="Arial Unicode MS"/>
        </w:rPr>
        <w:t>asociados</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una</w:t>
      </w:r>
      <w:r>
        <w:t xml:space="preserve"> </w:t>
      </w:r>
      <w:r>
        <w:rPr>
          <w:rFonts w:ascii="Arial Unicode MS" w:eastAsia="Arial Unicode MS" w:hAnsi="Arial Unicode MS" w:cs="Arial Unicode MS"/>
        </w:rPr>
        <w:t>serie</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condiciones</w:t>
      </w:r>
      <w:r>
        <w:t xml:space="preserve"> </w:t>
      </w:r>
      <w:r>
        <w:rPr>
          <w:rFonts w:ascii="Arial Unicode MS" w:eastAsia="Arial Unicode MS" w:hAnsi="Arial Unicode MS" w:cs="Arial Unicode MS"/>
        </w:rPr>
        <w:t>particulares.</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respecto</w:t>
      </w:r>
      <w:r>
        <w:t xml:space="preserve"> </w:t>
      </w:r>
      <w:r>
        <w:rPr>
          <w:rFonts w:ascii="Arial Unicode MS" w:eastAsia="Arial Unicode MS" w:hAnsi="Arial Unicode MS" w:cs="Arial Unicode MS"/>
        </w:rPr>
        <w:t>véase,</w:t>
      </w:r>
      <w:r>
        <w:t xml:space="preserve"> </w:t>
      </w:r>
      <w:r>
        <w:rPr>
          <w:rFonts w:ascii="Arial Unicode MS" w:eastAsia="Arial Unicode MS" w:hAnsi="Arial Unicode MS" w:cs="Arial Unicode MS"/>
        </w:rPr>
        <w:t>CIDH,</w:t>
      </w:r>
      <w:r>
        <w:t xml:space="preserve"> </w:t>
      </w:r>
      <w:r>
        <w:rPr>
          <w:rFonts w:ascii="Arial Unicode MS" w:eastAsia="Arial Unicode MS" w:hAnsi="Arial Unicode MS" w:cs="Arial Unicode MS"/>
        </w:rPr>
        <w:t>Informe</w:t>
      </w:r>
      <w:r>
        <w:t xml:space="preserve"> </w:t>
      </w:r>
      <w:r>
        <w:rPr>
          <w:rFonts w:ascii="Arial Unicode MS" w:eastAsia="Arial Unicode MS" w:hAnsi="Arial Unicode MS" w:cs="Arial Unicode MS"/>
        </w:rPr>
        <w:t>No.</w:t>
      </w:r>
      <w:r>
        <w:t xml:space="preserve"> 64/11</w:t>
      </w:r>
      <w:r>
        <w:rPr>
          <w:rFonts w:ascii="Arial Unicode MS" w:eastAsia="Arial Unicode MS" w:hAnsi="Arial Unicode MS" w:cs="Arial Unicode MS"/>
        </w:rPr>
        <w:t>,</w:t>
      </w:r>
      <w:r>
        <w:t xml:space="preserve"> </w:t>
      </w:r>
      <w:r>
        <w:rPr>
          <w:rFonts w:ascii="Arial Unicode MS" w:eastAsia="Arial Unicode MS" w:hAnsi="Arial Unicode MS" w:cs="Arial Unicode MS"/>
        </w:rPr>
        <w:t>Caso</w:t>
      </w:r>
      <w:r>
        <w:t xml:space="preserve"> 12</w:t>
      </w:r>
      <w:r>
        <w:rPr>
          <w:rFonts w:ascii="Arial Unicode MS" w:eastAsia="Arial Unicode MS" w:hAnsi="Arial Unicode MS" w:cs="Arial Unicode MS"/>
        </w:rPr>
        <w:t>.</w:t>
      </w:r>
      <w:r>
        <w:t>573</w:t>
      </w:r>
      <w:r>
        <w:rPr>
          <w:rFonts w:ascii="Arial Unicode MS" w:eastAsia="Arial Unicode MS" w:hAnsi="Arial Unicode MS" w:cs="Arial Unicode MS"/>
        </w:rPr>
        <w:t>,</w:t>
      </w:r>
      <w:r>
        <w:t xml:space="preserve"> </w:t>
      </w:r>
      <w:r>
        <w:rPr>
          <w:rFonts w:ascii="Arial Unicode MS" w:eastAsia="Arial Unicode MS" w:hAnsi="Arial Unicode MS" w:cs="Arial Unicode MS"/>
        </w:rPr>
        <w:t>Fondo,</w:t>
      </w:r>
      <w:r>
        <w:t xml:space="preserve"> </w:t>
      </w:r>
      <w:r>
        <w:rPr>
          <w:rFonts w:ascii="Arial Unicode MS" w:eastAsia="Arial Unicode MS" w:hAnsi="Arial Unicode MS" w:cs="Arial Unicode MS"/>
        </w:rPr>
        <w:t>Marino</w:t>
      </w:r>
      <w:r>
        <w:t xml:space="preserve"> </w:t>
      </w:r>
      <w:r>
        <w:rPr>
          <w:rFonts w:ascii="Arial Unicode MS" w:eastAsia="Arial Unicode MS" w:hAnsi="Arial Unicode MS" w:cs="Arial Unicode MS"/>
        </w:rPr>
        <w:t>López</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otros</w:t>
      </w:r>
      <w:r>
        <w:t xml:space="preserve"> </w:t>
      </w:r>
      <w:r>
        <w:rPr>
          <w:rFonts w:ascii="Arial Unicode MS" w:eastAsia="Arial Unicode MS" w:hAnsi="Arial Unicode MS" w:cs="Arial Unicode MS"/>
        </w:rPr>
        <w:t>(Operación</w:t>
      </w:r>
      <w:r>
        <w:t xml:space="preserve"> </w:t>
      </w:r>
      <w:r>
        <w:rPr>
          <w:rFonts w:ascii="Arial Unicode MS" w:eastAsia="Arial Unicode MS" w:hAnsi="Arial Unicode MS" w:cs="Arial Unicode MS"/>
        </w:rPr>
        <w:t>Génesis),</w:t>
      </w:r>
      <w:r>
        <w:t xml:space="preserve"> </w:t>
      </w:r>
      <w:r>
        <w:rPr>
          <w:rFonts w:ascii="Arial Unicode MS" w:eastAsia="Arial Unicode MS" w:hAnsi="Arial Unicode MS" w:cs="Arial Unicode MS"/>
        </w:rPr>
        <w:t>Colombia,</w:t>
      </w:r>
      <w:r>
        <w:t xml:space="preserve"> 31 </w:t>
      </w:r>
      <w:r>
        <w:rPr>
          <w:rFonts w:ascii="Arial Unicode MS" w:eastAsia="Arial Unicode MS" w:hAnsi="Arial Unicode MS" w:cs="Arial Unicode MS"/>
        </w:rPr>
        <w:t>de</w:t>
      </w:r>
      <w:r>
        <w:t xml:space="preserve"> </w:t>
      </w:r>
      <w:r>
        <w:rPr>
          <w:rFonts w:ascii="Arial Unicode MS" w:eastAsia="Arial Unicode MS" w:hAnsi="Arial Unicode MS" w:cs="Arial Unicode MS"/>
        </w:rPr>
        <w:t>marzo</w:t>
      </w:r>
      <w:r>
        <w:t xml:space="preserve"> </w:t>
      </w:r>
      <w:r>
        <w:rPr>
          <w:rFonts w:ascii="Arial Unicode MS" w:eastAsia="Arial Unicode MS" w:hAnsi="Arial Unicode MS" w:cs="Arial Unicode MS"/>
        </w:rPr>
        <w:t>de</w:t>
      </w:r>
      <w:r>
        <w:t xml:space="preserve"> 2011</w:t>
      </w:r>
      <w:r>
        <w:rPr>
          <w:rFonts w:ascii="Arial Unicode MS" w:eastAsia="Arial Unicode MS" w:hAnsi="Arial Unicode MS" w:cs="Arial Unicode MS"/>
        </w:rPr>
        <w:t>.</w:t>
      </w:r>
    </w:p>
  </w:footnote>
  <w:footnote w:id="151">
    <w:p w14:paraId="68DFA7D5"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53"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hyperlink>
      <w:hyperlink r:id="rId254" w:history="1">
        <w:r>
          <w:rPr>
            <w:color w:val="2B477B"/>
          </w:rPr>
          <w:t xml:space="preserve"> </w:t>
        </w:r>
        <w:r>
          <w:rPr>
            <w:rFonts w:ascii="Arial Unicode MS" w:eastAsia="Arial Unicode MS" w:hAnsi="Arial Unicode MS" w:cs="Arial Unicode MS"/>
            <w:color w:val="2B477B"/>
          </w:rPr>
          <w:t>núm.</w:t>
        </w:r>
        <w:r>
          <w:rPr>
            <w:color w:val="2B477B"/>
          </w:rPr>
          <w:t xml:space="preserve"> 6</w:t>
        </w:r>
      </w:hyperlink>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discriminación,</w:t>
      </w:r>
      <w:r>
        <w:rPr>
          <w:color w:val="2B477B"/>
        </w:rPr>
        <w:t xml:space="preserve"> 2018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19</w:t>
      </w:r>
      <w:r>
        <w:rPr>
          <w:rFonts w:ascii="Arial Unicode MS" w:eastAsia="Arial Unicode MS" w:hAnsi="Arial Unicode MS" w:cs="Arial Unicode MS"/>
          <w:color w:val="2B477B"/>
        </w:rPr>
        <w:t>.</w:t>
      </w:r>
    </w:p>
  </w:footnote>
  <w:footnote w:id="152">
    <w:p w14:paraId="6736738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I</w:t>
      </w:r>
      <w:hyperlink r:id="rId255" w:history="1">
        <w:r>
          <w:rPr>
            <w:rFonts w:ascii="Arial Unicode MS" w:eastAsia="Arial Unicode MS" w:hAnsi="Arial Unicode MS" w:cs="Arial Unicode MS"/>
            <w:color w:val="2B477B"/>
          </w:rPr>
          <w:t>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niñas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jóvenes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/72/133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36</w:t>
      </w:r>
      <w:r>
        <w:rPr>
          <w:rFonts w:ascii="Arial Unicode MS" w:eastAsia="Arial Unicode MS" w:hAnsi="Arial Unicode MS" w:cs="Arial Unicode MS"/>
          <w:color w:val="2B477B"/>
        </w:rPr>
        <w:t>.</w:t>
      </w:r>
      <w:r>
        <w:rPr>
          <w:color w:val="2B477B"/>
        </w:rPr>
        <w:t> </w:t>
      </w:r>
    </w:p>
  </w:footnote>
  <w:footnote w:id="153">
    <w:p w14:paraId="2EFA605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realizado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base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esto,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56" w:history="1">
        <w:r>
          <w:rPr>
            <w:rStyle w:val="Hyperlink0"/>
            <w:rFonts w:ascii="Arial Unicode MS" w:eastAsia="Arial Unicode MS" w:hAnsi="Arial Unicode MS" w:cs="Arial Unicode MS"/>
          </w:rPr>
          <w:t>Comentario</w:t>
        </w:r>
        <w:r>
          <w:rPr>
            <w:rStyle w:val="Hyperlink0"/>
          </w:rPr>
          <w:t xml:space="preserve"> </w:t>
        </w:r>
        <w:r>
          <w:rPr>
            <w:rStyle w:val="Hyperlink0"/>
            <w:rFonts w:ascii="Arial Unicode MS" w:eastAsia="Arial Unicode MS" w:hAnsi="Arial Unicode MS" w:cs="Arial Unicode MS"/>
          </w:rPr>
          <w:t>General</w:t>
        </w:r>
        <w:r>
          <w:rPr>
            <w:rStyle w:val="Hyperlink0"/>
          </w:rPr>
          <w:t xml:space="preserve"> </w:t>
        </w:r>
        <w:r>
          <w:rPr>
            <w:rStyle w:val="Hyperlink0"/>
            <w:rFonts w:ascii="Arial Unicode MS" w:eastAsia="Arial Unicode MS" w:hAnsi="Arial Unicode MS" w:cs="Arial Unicode MS"/>
          </w:rPr>
          <w:t>núm.</w:t>
        </w:r>
        <w:r>
          <w:rPr>
            <w:rStyle w:val="Hyperlink0"/>
          </w:rPr>
          <w:t xml:space="preserve"> 3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Mujeres</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Niñas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color w:val="2B477B"/>
        </w:rPr>
        <w:t>,</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52</w:t>
      </w:r>
      <w:r>
        <w:rPr>
          <w:rFonts w:ascii="Arial Unicode MS" w:eastAsia="Arial Unicode MS" w:hAnsi="Arial Unicode MS" w:cs="Arial Unicode MS"/>
          <w:color w:val="2B477B"/>
        </w:rPr>
        <w:t>.</w:t>
      </w:r>
    </w:p>
  </w:footnote>
  <w:footnote w:id="154">
    <w:p w14:paraId="564E340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realizado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base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esto,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52</w:t>
      </w:r>
      <w:r>
        <w:rPr>
          <w:rFonts w:ascii="Arial Unicode MS" w:eastAsia="Arial Unicode MS" w:hAnsi="Arial Unicode MS" w:cs="Arial Unicode MS"/>
          <w:color w:val="2B477B"/>
        </w:rPr>
        <w:t>.</w:t>
      </w:r>
    </w:p>
  </w:footnote>
  <w:footnote w:id="155">
    <w:p w14:paraId="112EF59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Grupo</w:t>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Mundial</w:t>
      </w:r>
      <w:r>
        <w:rPr>
          <w:color w:val="2B477B"/>
        </w:rPr>
        <w:t xml:space="preserve"> </w:t>
      </w:r>
      <w:r>
        <w:rPr>
          <w:rFonts w:ascii="Arial Unicode MS" w:eastAsia="Arial Unicode MS" w:hAnsi="Arial Unicode MS" w:cs="Arial Unicode MS"/>
          <w:color w:val="2B477B"/>
        </w:rPr>
        <w:t>(GBM),</w:t>
      </w:r>
      <w:r>
        <w:rPr>
          <w:color w:val="2B477B"/>
        </w:rPr>
        <w:t xml:space="preserve"> </w:t>
      </w:r>
      <w:r>
        <w:rPr>
          <w:rFonts w:ascii="Arial Unicode MS" w:eastAsia="Arial Unicode MS" w:hAnsi="Arial Unicode MS" w:cs="Arial Unicode MS"/>
          <w:color w:val="2B477B"/>
        </w:rPr>
        <w:t>I</w:t>
      </w:r>
      <w:hyperlink r:id="rId257" w:history="1">
        <w:r>
          <w:rPr>
            <w:rFonts w:ascii="Arial Unicode MS" w:eastAsia="Arial Unicode MS" w:hAnsi="Arial Unicode MS" w:cs="Arial Unicode MS"/>
            <w:color w:val="2B477B"/>
          </w:rPr>
          <w:t>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hyperlink>
      <w:hyperlink r:id="rId258" w:history="1">
        <w:r>
          <w:rPr>
            <w:rFonts w:ascii="Arial Unicode MS" w:eastAsia="Arial Unicode MS" w:hAnsi="Arial Unicode MS" w:cs="Arial Unicode MS"/>
            <w:color w:val="2B477B"/>
          </w:rPr>
          <w:t>América</w:t>
        </w:r>
      </w:hyperlink>
      <w:hyperlink r:id="rId259" w:history="1">
        <w:r>
          <w:rPr>
            <w:color w:val="2B477B"/>
          </w:rPr>
          <w:t xml:space="preserve"> </w:t>
        </w:r>
        <w:r>
          <w:rPr>
            <w:rFonts w:ascii="Arial Unicode MS" w:eastAsia="Arial Unicode MS" w:hAnsi="Arial Unicode MS" w:cs="Arial Unicode MS"/>
            <w:color w:val="2B477B"/>
          </w:rPr>
          <w:t>Latina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Caribe: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camino</w:t>
        </w:r>
        <w:r>
          <w:rPr>
            <w:color w:val="2B477B"/>
          </w:rPr>
          <w:t xml:space="preserve"> </w:t>
        </w:r>
        <w:r>
          <w:rPr>
            <w:rFonts w:ascii="Arial Unicode MS" w:eastAsia="Arial Unicode MS" w:hAnsi="Arial Unicode MS" w:cs="Arial Unicode MS"/>
            <w:color w:val="2B477B"/>
          </w:rPr>
          <w:t>hacia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sostenible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88</w:t>
      </w:r>
      <w:r>
        <w:rPr>
          <w:rFonts w:ascii="Arial Unicode MS" w:eastAsia="Arial Unicode MS" w:hAnsi="Arial Unicode MS" w:cs="Arial Unicode MS"/>
          <w:color w:val="2B477B"/>
        </w:rPr>
        <w:t>.</w:t>
      </w:r>
    </w:p>
  </w:footnote>
  <w:footnote w:id="156">
    <w:p w14:paraId="519178A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GBM,</w:t>
      </w:r>
      <w:r>
        <w:rPr>
          <w:color w:val="2B477B"/>
        </w:rPr>
        <w:t xml:space="preserve"> </w:t>
      </w:r>
      <w:r>
        <w:rPr>
          <w:rFonts w:ascii="Arial Unicode MS" w:eastAsia="Arial Unicode MS" w:hAnsi="Arial Unicode MS" w:cs="Arial Unicode MS"/>
          <w:color w:val="2B477B"/>
        </w:rPr>
        <w:t>I</w:t>
      </w:r>
      <w:hyperlink r:id="rId260" w:history="1">
        <w:r>
          <w:rPr>
            <w:rFonts w:ascii="Arial Unicode MS" w:eastAsia="Arial Unicode MS" w:hAnsi="Arial Unicode MS" w:cs="Arial Unicode MS"/>
            <w:color w:val="2B477B"/>
          </w:rPr>
          <w:t>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hyperlink>
      <w:hyperlink r:id="rId261" w:history="1">
        <w:r>
          <w:rPr>
            <w:rFonts w:ascii="Arial Unicode MS" w:eastAsia="Arial Unicode MS" w:hAnsi="Arial Unicode MS" w:cs="Arial Unicode MS"/>
            <w:color w:val="2B477B"/>
          </w:rPr>
          <w:t>América</w:t>
        </w:r>
      </w:hyperlink>
      <w:hyperlink r:id="rId262" w:history="1">
        <w:r>
          <w:rPr>
            <w:color w:val="2B477B"/>
          </w:rPr>
          <w:t xml:space="preserve"> </w:t>
        </w:r>
        <w:r>
          <w:rPr>
            <w:rFonts w:ascii="Arial Unicode MS" w:eastAsia="Arial Unicode MS" w:hAnsi="Arial Unicode MS" w:cs="Arial Unicode MS"/>
            <w:color w:val="2B477B"/>
          </w:rPr>
          <w:t>Latina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Caribe,</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88</w:t>
      </w:r>
      <w:r>
        <w:rPr>
          <w:rFonts w:ascii="Arial Unicode MS" w:eastAsia="Arial Unicode MS" w:hAnsi="Arial Unicode MS" w:cs="Arial Unicode MS"/>
          <w:color w:val="2B477B"/>
        </w:rPr>
        <w:t>.</w:t>
      </w:r>
      <w:r>
        <w:rPr>
          <w:color w:val="2B477B"/>
        </w:rPr>
        <w:t xml:space="preserve"> </w:t>
      </w:r>
    </w:p>
  </w:footnote>
  <w:footnote w:id="157">
    <w:p w14:paraId="54CE78BB"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Comisión</w:t>
      </w:r>
      <w:r>
        <w:t xml:space="preserve"> </w:t>
      </w:r>
      <w:r>
        <w:rPr>
          <w:rFonts w:ascii="Arial Unicode MS" w:eastAsia="Arial Unicode MS" w:hAnsi="Arial Unicode MS" w:cs="Arial Unicode MS"/>
        </w:rPr>
        <w:t>Económica</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América</w:t>
      </w:r>
      <w:r>
        <w:t xml:space="preserve"> </w:t>
      </w:r>
      <w:r>
        <w:rPr>
          <w:rFonts w:ascii="Arial Unicode MS" w:eastAsia="Arial Unicode MS" w:hAnsi="Arial Unicode MS" w:cs="Arial Unicode MS"/>
        </w:rPr>
        <w:t>Latina</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Caribe</w:t>
      </w:r>
      <w:r>
        <w:t xml:space="preserve"> </w:t>
      </w:r>
      <w:r>
        <w:rPr>
          <w:rFonts w:ascii="Arial Unicode MS" w:eastAsia="Arial Unicode MS" w:hAnsi="Arial Unicode MS" w:cs="Arial Unicode MS"/>
        </w:rPr>
        <w:t>(CEPAL),</w:t>
      </w:r>
      <w:r>
        <w:t xml:space="preserve"> </w:t>
      </w:r>
      <w:hyperlink r:id="rId263" w:history="1">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sociedad</w:t>
        </w:r>
        <w:r>
          <w:rPr>
            <w:rStyle w:val="Hyperlink0"/>
          </w:rPr>
          <w:t xml:space="preserve"> </w:t>
        </w:r>
        <w:r>
          <w:rPr>
            <w:rStyle w:val="Hyperlink0"/>
            <w:rFonts w:ascii="Arial Unicode MS" w:eastAsia="Arial Unicode MS" w:hAnsi="Arial Unicode MS" w:cs="Arial Unicode MS"/>
          </w:rPr>
          <w:t>del</w:t>
        </w:r>
        <w:r>
          <w:rPr>
            <w:rStyle w:val="Hyperlink0"/>
          </w:rPr>
          <w:t xml:space="preserve"> </w:t>
        </w:r>
        <w:r>
          <w:rPr>
            <w:rStyle w:val="Hyperlink0"/>
            <w:rFonts w:ascii="Arial Unicode MS" w:eastAsia="Arial Unicode MS" w:hAnsi="Arial Unicode MS" w:cs="Arial Unicode MS"/>
          </w:rPr>
          <w:t>cuidado:</w:t>
        </w:r>
        <w:r>
          <w:rPr>
            <w:rStyle w:val="Hyperlink0"/>
          </w:rPr>
          <w:t xml:space="preserve"> </w:t>
        </w:r>
        <w:r>
          <w:rPr>
            <w:rStyle w:val="Hyperlink0"/>
            <w:rFonts w:ascii="Arial Unicode MS" w:eastAsia="Arial Unicode MS" w:hAnsi="Arial Unicode MS" w:cs="Arial Unicode MS"/>
          </w:rPr>
          <w:t>horizonte</w:t>
        </w:r>
        <w:r>
          <w:rPr>
            <w:rStyle w:val="Hyperlink0"/>
          </w:rPr>
          <w:t xml:space="preserve"> </w:t>
        </w:r>
        <w:r>
          <w:rPr>
            <w:rStyle w:val="Hyperlink0"/>
            <w:rFonts w:ascii="Arial Unicode MS" w:eastAsia="Arial Unicode MS" w:hAnsi="Arial Unicode MS" w:cs="Arial Unicode MS"/>
          </w:rPr>
          <w:t>para</w:t>
        </w:r>
        <w:r>
          <w:rPr>
            <w:rStyle w:val="Hyperlink0"/>
          </w:rPr>
          <w:t xml:space="preserve"> </w:t>
        </w:r>
        <w:r>
          <w:rPr>
            <w:rStyle w:val="Hyperlink0"/>
            <w:rFonts w:ascii="Arial Unicode MS" w:eastAsia="Arial Unicode MS" w:hAnsi="Arial Unicode MS" w:cs="Arial Unicode MS"/>
          </w:rPr>
          <w:t>una</w:t>
        </w:r>
        <w:r>
          <w:rPr>
            <w:rStyle w:val="Hyperlink0"/>
          </w:rPr>
          <w:t xml:space="preserve"> </w:t>
        </w:r>
        <w:r>
          <w:rPr>
            <w:rStyle w:val="Hyperlink0"/>
            <w:rFonts w:ascii="Arial Unicode MS" w:eastAsia="Arial Unicode MS" w:hAnsi="Arial Unicode MS" w:cs="Arial Unicode MS"/>
          </w:rPr>
          <w:t>recuperación</w:t>
        </w:r>
        <w:r>
          <w:rPr>
            <w:rStyle w:val="Hyperlink0"/>
          </w:rPr>
          <w:t xml:space="preserve"> </w:t>
        </w:r>
        <w:r>
          <w:rPr>
            <w:rStyle w:val="Hyperlink0"/>
            <w:rFonts w:ascii="Arial Unicode MS" w:eastAsia="Arial Unicode MS" w:hAnsi="Arial Unicode MS" w:cs="Arial Unicode MS"/>
          </w:rPr>
          <w:t>sostenible</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igualdad</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género</w:t>
        </w:r>
      </w:hyperlink>
      <w:r>
        <w:rPr>
          <w:rFonts w:ascii="Arial Unicode MS" w:eastAsia="Arial Unicode MS" w:hAnsi="Arial Unicode MS" w:cs="Arial Unicode MS"/>
        </w:rPr>
        <w:t>,</w:t>
      </w:r>
      <w:r>
        <w:t xml:space="preserve"> </w:t>
      </w:r>
      <w:r>
        <w:rPr>
          <w:rFonts w:ascii="Arial Unicode MS" w:eastAsia="Arial Unicode MS" w:hAnsi="Arial Unicode MS" w:cs="Arial Unicode MS"/>
        </w:rPr>
        <w:t>Santiago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Chile,</w:t>
      </w:r>
      <w:r>
        <w:t xml:space="preserve"> 2022</w:t>
      </w:r>
      <w:r>
        <w:rPr>
          <w:rFonts w:ascii="Arial Unicode MS" w:eastAsia="Arial Unicode MS" w:hAnsi="Arial Unicode MS" w:cs="Arial Unicode MS"/>
        </w:rPr>
        <w:t>.</w:t>
      </w:r>
      <w:r>
        <w:t xml:space="preserve"> </w:t>
      </w:r>
    </w:p>
  </w:footnote>
  <w:footnote w:id="158">
    <w:p w14:paraId="0FFA8484"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Ver,</w:t>
      </w:r>
      <w:r>
        <w:t xml:space="preserve"> </w:t>
      </w:r>
      <w:r>
        <w:rPr>
          <w:rFonts w:ascii="Arial Unicode MS" w:eastAsia="Arial Unicode MS" w:hAnsi="Arial Unicode MS" w:cs="Arial Unicode MS"/>
        </w:rPr>
        <w:t>Oficina</w:t>
      </w:r>
      <w:r>
        <w:t xml:space="preserve"> </w:t>
      </w:r>
      <w:r>
        <w:rPr>
          <w:rFonts w:ascii="Arial Unicode MS" w:eastAsia="Arial Unicode MS" w:hAnsi="Arial Unicode MS" w:cs="Arial Unicode MS"/>
        </w:rPr>
        <w:t>del</w:t>
      </w:r>
      <w:r>
        <w:t xml:space="preserve"> </w:t>
      </w:r>
      <w:r>
        <w:rPr>
          <w:rFonts w:ascii="Arial Unicode MS" w:eastAsia="Arial Unicode MS" w:hAnsi="Arial Unicode MS" w:cs="Arial Unicode MS"/>
        </w:rPr>
        <w:t>Alto</w:t>
      </w:r>
      <w:r>
        <w:t xml:space="preserve"> </w:t>
      </w:r>
      <w:r>
        <w:rPr>
          <w:rFonts w:ascii="Arial Unicode MS" w:eastAsia="Arial Unicode MS" w:hAnsi="Arial Unicode MS" w:cs="Arial Unicode MS"/>
        </w:rPr>
        <w:t>Comisionado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hyperlink r:id="rId264" w:history="1">
        <w:r>
          <w:rPr>
            <w:rStyle w:val="Hyperlink0"/>
            <w:rFonts w:ascii="Arial Unicode MS" w:eastAsia="Arial Unicode MS" w:hAnsi="Arial Unicode MS" w:cs="Arial Unicode MS"/>
          </w:rPr>
          <w:t>Sistemas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cuidado</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apoyo:</w:t>
        </w:r>
        <w:r>
          <w:rPr>
            <w:rStyle w:val="Hyperlink0"/>
          </w:rPr>
          <w:t xml:space="preserve"> </w:t>
        </w:r>
        <w:r>
          <w:rPr>
            <w:rStyle w:val="Hyperlink0"/>
            <w:rFonts w:ascii="Arial Unicode MS" w:eastAsia="Arial Unicode MS" w:hAnsi="Arial Unicode MS" w:cs="Arial Unicode MS"/>
          </w:rPr>
          <w:t>una</w:t>
        </w:r>
        <w:r>
          <w:rPr>
            <w:rStyle w:val="Hyperlink0"/>
          </w:rPr>
          <w:t xml:space="preserve"> </w:t>
        </w:r>
        <w:r>
          <w:rPr>
            <w:rStyle w:val="Hyperlink0"/>
            <w:rFonts w:ascii="Arial Unicode MS" w:eastAsia="Arial Unicode MS" w:hAnsi="Arial Unicode MS" w:cs="Arial Unicode MS"/>
          </w:rPr>
          <w:t>cuestión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humanos</w:t>
        </w:r>
      </w:hyperlink>
      <w:r>
        <w:rPr>
          <w:rFonts w:ascii="Arial Unicode MS" w:eastAsia="Arial Unicode MS" w:hAnsi="Arial Unicode MS" w:cs="Arial Unicode MS"/>
        </w:rPr>
        <w:t>,</w:t>
      </w:r>
      <w:r>
        <w:t xml:space="preserve"> 17 </w:t>
      </w:r>
      <w:r>
        <w:rPr>
          <w:rFonts w:ascii="Arial Unicode MS" w:eastAsia="Arial Unicode MS" w:hAnsi="Arial Unicode MS" w:cs="Arial Unicode MS"/>
        </w:rPr>
        <w:t>de</w:t>
      </w:r>
      <w:r>
        <w:t xml:space="preserve"> </w:t>
      </w:r>
      <w:r>
        <w:rPr>
          <w:rFonts w:ascii="Arial Unicode MS" w:eastAsia="Arial Unicode MS" w:hAnsi="Arial Unicode MS" w:cs="Arial Unicode MS"/>
        </w:rPr>
        <w:t>febrero</w:t>
      </w:r>
      <w:r>
        <w:t xml:space="preserve"> </w:t>
      </w:r>
      <w:r>
        <w:rPr>
          <w:rFonts w:ascii="Arial Unicode MS" w:eastAsia="Arial Unicode MS" w:hAnsi="Arial Unicode MS" w:cs="Arial Unicode MS"/>
        </w:rPr>
        <w:t>de</w:t>
      </w:r>
      <w:r>
        <w:t xml:space="preserve"> 2023</w:t>
      </w:r>
      <w:r>
        <w:rPr>
          <w:rFonts w:ascii="Arial Unicode MS" w:eastAsia="Arial Unicode MS" w:hAnsi="Arial Unicode MS" w:cs="Arial Unicode MS"/>
        </w:rPr>
        <w:t>.</w:t>
      </w:r>
      <w:r>
        <w:t xml:space="preserve">  </w:t>
      </w:r>
    </w:p>
  </w:footnote>
  <w:footnote w:id="159">
    <w:p w14:paraId="18BA629E"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Naciones</w:t>
      </w:r>
      <w:r>
        <w:t xml:space="preserve"> </w:t>
      </w:r>
      <w:r>
        <w:rPr>
          <w:rFonts w:ascii="Arial Unicode MS" w:eastAsia="Arial Unicode MS" w:hAnsi="Arial Unicode MS" w:cs="Arial Unicode MS"/>
        </w:rPr>
        <w:t>Unidas,</w:t>
      </w:r>
      <w:r>
        <w:t xml:space="preserve"> </w:t>
      </w:r>
      <w:r>
        <w:rPr>
          <w:rFonts w:ascii="Arial Unicode MS" w:eastAsia="Arial Unicode MS" w:hAnsi="Arial Unicode MS" w:cs="Arial Unicode MS"/>
        </w:rPr>
        <w:t>Comité</w:t>
      </w:r>
      <w:r>
        <w:t xml:space="preserve"> </w:t>
      </w:r>
      <w:r>
        <w:rPr>
          <w:rFonts w:ascii="Arial Unicode MS" w:eastAsia="Arial Unicode MS" w:hAnsi="Arial Unicode MS" w:cs="Arial Unicode MS"/>
        </w:rPr>
        <w:t>CDPD,</w:t>
      </w:r>
      <w:hyperlink r:id="rId265" w:history="1">
        <w:r>
          <w:rPr>
            <w:rStyle w:val="Hyperlink0"/>
          </w:rPr>
          <w:t xml:space="preserve"> </w:t>
        </w:r>
        <w:r>
          <w:rPr>
            <w:rStyle w:val="Hyperlink0"/>
            <w:rFonts w:ascii="Arial Unicode MS" w:eastAsia="Arial Unicode MS" w:hAnsi="Arial Unicode MS" w:cs="Arial Unicode MS"/>
          </w:rPr>
          <w:t>Comentario</w:t>
        </w:r>
        <w:r>
          <w:rPr>
            <w:rStyle w:val="Hyperlink0"/>
          </w:rPr>
          <w:t xml:space="preserve"> </w:t>
        </w:r>
        <w:r>
          <w:rPr>
            <w:rStyle w:val="Hyperlink0"/>
            <w:rFonts w:ascii="Arial Unicode MS" w:eastAsia="Arial Unicode MS" w:hAnsi="Arial Unicode MS" w:cs="Arial Unicode MS"/>
          </w:rPr>
          <w:t>General</w:t>
        </w:r>
        <w:r>
          <w:rPr>
            <w:rStyle w:val="Hyperlink0"/>
          </w:rPr>
          <w:t xml:space="preserve"> </w:t>
        </w:r>
        <w:r>
          <w:rPr>
            <w:rStyle w:val="Hyperlink0"/>
            <w:rFonts w:ascii="Arial Unicode MS" w:eastAsia="Arial Unicode MS" w:hAnsi="Arial Unicode MS" w:cs="Arial Unicode MS"/>
          </w:rPr>
          <w:t>núm.</w:t>
        </w:r>
        <w:r>
          <w:rPr>
            <w:rStyle w:val="Hyperlink0"/>
          </w:rPr>
          <w:t xml:space="preserve"> 1</w:t>
        </w:r>
        <w:r>
          <w:rPr>
            <w:rStyle w:val="Hyperlink0"/>
            <w:rFonts w:ascii="Arial Unicode MS" w:eastAsia="Arial Unicode MS" w:hAnsi="Arial Unicode MS" w:cs="Arial Unicode MS"/>
          </w:rPr>
          <w:t>,</w:t>
        </w:r>
        <w:r>
          <w:rPr>
            <w:rStyle w:val="Hyperlink0"/>
          </w:rPr>
          <w:t xml:space="preserve"> </w:t>
        </w:r>
        <w:r>
          <w:rPr>
            <w:rStyle w:val="Hyperlink0"/>
            <w:rFonts w:ascii="Arial Unicode MS" w:eastAsia="Arial Unicode MS" w:hAnsi="Arial Unicode MS" w:cs="Arial Unicode MS"/>
          </w:rPr>
          <w:t>art.</w:t>
        </w:r>
        <w:r>
          <w:rPr>
            <w:rStyle w:val="Hyperlink0"/>
          </w:rPr>
          <w:t xml:space="preserve"> 12</w:t>
        </w:r>
        <w:r>
          <w:rPr>
            <w:rStyle w:val="Hyperlink0"/>
            <w:rFonts w:ascii="Arial Unicode MS" w:eastAsia="Arial Unicode MS" w:hAnsi="Arial Unicode MS" w:cs="Arial Unicode MS"/>
          </w:rPr>
          <w:t>,</w:t>
        </w:r>
        <w:r>
          <w:rPr>
            <w:rStyle w:val="Hyperlink0"/>
          </w:rPr>
          <w:t xml:space="preserve"> </w:t>
        </w:r>
        <w:r>
          <w:rPr>
            <w:rStyle w:val="Hyperlink0"/>
            <w:rFonts w:ascii="Arial Unicode MS" w:eastAsia="Arial Unicode MS" w:hAnsi="Arial Unicode MS" w:cs="Arial Unicode MS"/>
          </w:rPr>
          <w:t>Igual</w:t>
        </w:r>
        <w:r>
          <w:rPr>
            <w:rStyle w:val="Hyperlink0"/>
          </w:rPr>
          <w:t xml:space="preserve"> </w:t>
        </w:r>
        <w:r>
          <w:rPr>
            <w:rStyle w:val="Hyperlink0"/>
            <w:rFonts w:ascii="Arial Unicode MS" w:eastAsia="Arial Unicode MS" w:hAnsi="Arial Unicode MS" w:cs="Arial Unicode MS"/>
          </w:rPr>
          <w:t>Reconocimiento</w:t>
        </w:r>
        <w:r>
          <w:rPr>
            <w:rStyle w:val="Hyperlink0"/>
          </w:rPr>
          <w:t xml:space="preserve"> </w:t>
        </w:r>
        <w:r>
          <w:rPr>
            <w:rStyle w:val="Hyperlink0"/>
            <w:rFonts w:ascii="Arial Unicode MS" w:eastAsia="Arial Unicode MS" w:hAnsi="Arial Unicode MS" w:cs="Arial Unicode MS"/>
          </w:rPr>
          <w:t>como</w:t>
        </w:r>
        <w:r>
          <w:rPr>
            <w:rStyle w:val="Hyperlink0"/>
          </w:rPr>
          <w:t xml:space="preserve"> </w:t>
        </w:r>
        <w:r>
          <w:rPr>
            <w:rStyle w:val="Hyperlink0"/>
            <w:rFonts w:ascii="Arial Unicode MS" w:eastAsia="Arial Unicode MS" w:hAnsi="Arial Unicode MS" w:cs="Arial Unicode MS"/>
          </w:rPr>
          <w:t>Persona</w:t>
        </w:r>
        <w:r>
          <w:rPr>
            <w:rStyle w:val="Hyperlink0"/>
          </w:rPr>
          <w:t xml:space="preserve"> </w:t>
        </w:r>
        <w:r>
          <w:rPr>
            <w:rStyle w:val="Hyperlink0"/>
            <w:rFonts w:ascii="Arial Unicode MS" w:eastAsia="Arial Unicode MS" w:hAnsi="Arial Unicode MS" w:cs="Arial Unicode MS"/>
          </w:rPr>
          <w:t>ante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ley</w:t>
        </w:r>
      </w:hyperlink>
      <w:r>
        <w:rPr>
          <w:rFonts w:ascii="Arial Unicode MS" w:eastAsia="Arial Unicode MS" w:hAnsi="Arial Unicode MS" w:cs="Arial Unicode MS"/>
        </w:rPr>
        <w:t>,</w:t>
      </w:r>
      <w:r>
        <w:t xml:space="preserve"> 19 </w:t>
      </w:r>
      <w:r>
        <w:rPr>
          <w:rFonts w:ascii="Arial Unicode MS" w:eastAsia="Arial Unicode MS" w:hAnsi="Arial Unicode MS" w:cs="Arial Unicode MS"/>
        </w:rPr>
        <w:t>de</w:t>
      </w:r>
      <w:r>
        <w:t xml:space="preserve"> </w:t>
      </w:r>
      <w:r>
        <w:rPr>
          <w:rFonts w:ascii="Arial Unicode MS" w:eastAsia="Arial Unicode MS" w:hAnsi="Arial Unicode MS" w:cs="Arial Unicode MS"/>
        </w:rPr>
        <w:t>mayo</w:t>
      </w:r>
      <w:r>
        <w:t xml:space="preserve"> </w:t>
      </w:r>
      <w:r>
        <w:rPr>
          <w:rFonts w:ascii="Arial Unicode MS" w:eastAsia="Arial Unicode MS" w:hAnsi="Arial Unicode MS" w:cs="Arial Unicode MS"/>
        </w:rPr>
        <w:t>de</w:t>
      </w:r>
      <w:r>
        <w:t xml:space="preserve"> 2014</w:t>
      </w:r>
      <w:r>
        <w:rPr>
          <w:rFonts w:ascii="Arial Unicode MS" w:eastAsia="Arial Unicode MS" w:hAnsi="Arial Unicode MS" w:cs="Arial Unicode MS"/>
        </w:rPr>
        <w:t>.</w:t>
      </w:r>
      <w:r>
        <w:t xml:space="preserve"> </w:t>
      </w:r>
    </w:p>
  </w:footnote>
  <w:footnote w:id="160">
    <w:p w14:paraId="416616B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Oficina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Alto</w:t>
      </w:r>
      <w:r>
        <w:rPr>
          <w:color w:val="2B477B"/>
        </w:rPr>
        <w:t xml:space="preserve"> </w:t>
      </w:r>
      <w:r>
        <w:rPr>
          <w:rFonts w:ascii="Arial Unicode MS" w:eastAsia="Arial Unicode MS" w:hAnsi="Arial Unicode MS" w:cs="Arial Unicode MS"/>
          <w:color w:val="2B477B"/>
        </w:rPr>
        <w:t>Comisionado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hyperlink r:id="rId266" w:history="1">
        <w:r>
          <w:rPr>
            <w:rFonts w:ascii="Arial Unicode MS" w:eastAsia="Arial Unicode MS" w:hAnsi="Arial Unicode MS" w:cs="Arial Unicode MS"/>
            <w:color w:val="2B477B"/>
          </w:rPr>
          <w:t>Sistemas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asegurar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manera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construir</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mejor</w:t>
        </w:r>
        <w:r>
          <w:rPr>
            <w:color w:val="2B477B"/>
          </w:rPr>
          <w:t xml:space="preserve"> </w:t>
        </w:r>
        <w:r>
          <w:rPr>
            <w:rFonts w:ascii="Arial Unicode MS" w:eastAsia="Arial Unicode MS" w:hAnsi="Arial Unicode MS" w:cs="Arial Unicode MS"/>
            <w:color w:val="2B477B"/>
          </w:rPr>
          <w:t>futuro</w:t>
        </w:r>
        <w:r>
          <w:rPr>
            <w:color w:val="2B477B"/>
          </w:rPr>
          <w:t xml:space="preserve"> </w:t>
        </w:r>
        <w:r>
          <w:rPr>
            <w:rFonts w:ascii="Arial Unicode MS" w:eastAsia="Arial Unicode MS" w:hAnsi="Arial Unicode MS" w:cs="Arial Unicode MS"/>
            <w:color w:val="2B477B"/>
          </w:rPr>
          <w:t>después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pandemia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COVID</w:t>
        </w:r>
        <w:r>
          <w:rPr>
            <w:color w:val="2B477B"/>
          </w:rPr>
          <w:t xml:space="preserve"> 19</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/52/52</w:t>
      </w:r>
      <w:r>
        <w:rPr>
          <w:rFonts w:ascii="Arial Unicode MS" w:eastAsia="Arial Unicode MS" w:hAnsi="Arial Unicode MS" w:cs="Arial Unicode MS"/>
          <w:color w:val="2B477B"/>
        </w:rPr>
        <w:t>,</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enero</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p>
  </w:footnote>
  <w:footnote w:id="161">
    <w:p w14:paraId="048384F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67"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Accesibilidad</w:t>
        </w:r>
      </w:hyperlink>
      <w:r>
        <w:rPr>
          <w:rFonts w:ascii="Arial Unicode MS" w:eastAsia="Arial Unicode MS" w:hAnsi="Arial Unicode MS" w:cs="Arial Unicode MS"/>
          <w:color w:val="2B477B"/>
        </w:rPr>
        <w:t>,</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w:t>
      </w:r>
      <w:r>
        <w:rPr>
          <w:rFonts w:ascii="Arial Unicode MS" w:eastAsia="Arial Unicode MS" w:hAnsi="Arial Unicode MS" w:cs="Arial Unicode MS"/>
          <w:color w:val="2B477B"/>
        </w:rPr>
        <w:t>.</w:t>
      </w:r>
      <w:r>
        <w:rPr>
          <w:color w:val="2B477B"/>
        </w:rPr>
        <w:t xml:space="preserve"> </w:t>
      </w:r>
    </w:p>
  </w:footnote>
  <w:footnote w:id="162">
    <w:p w14:paraId="448FC61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68"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13</w:t>
      </w:r>
      <w:r>
        <w:rPr>
          <w:rFonts w:ascii="Arial Unicode MS" w:eastAsia="Arial Unicode MS" w:hAnsi="Arial Unicode MS" w:cs="Arial Unicode MS"/>
          <w:color w:val="2B477B"/>
        </w:rPr>
        <w:t>-</w:t>
      </w:r>
      <w:r>
        <w:rPr>
          <w:color w:val="2B477B"/>
        </w:rPr>
        <w:t>16</w:t>
      </w:r>
      <w:r>
        <w:rPr>
          <w:rFonts w:ascii="Arial Unicode MS" w:eastAsia="Arial Unicode MS" w:hAnsi="Arial Unicode MS" w:cs="Arial Unicode MS"/>
          <w:color w:val="2B477B"/>
        </w:rPr>
        <w:t>.</w:t>
      </w:r>
    </w:p>
  </w:footnote>
  <w:footnote w:id="163">
    <w:p w14:paraId="5AAEAD67"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OEA,</w:t>
      </w:r>
      <w:r>
        <w:rPr>
          <w:color w:val="2B477B"/>
        </w:rPr>
        <w:t xml:space="preserve"> </w:t>
      </w:r>
      <w:hyperlink r:id="rId269"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Interamericana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Eliminación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todas</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formas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contra</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Style w:val="Hyperlink1"/>
          <w:u w:val="single"/>
        </w:rPr>
        <w:t xml:space="preserve"> </w:t>
      </w:r>
      <w:r>
        <w:rPr>
          <w:rFonts w:ascii="Arial Unicode MS" w:eastAsia="Arial Unicode MS" w:hAnsi="Arial Unicode MS" w:cs="Arial Unicode MS"/>
          <w:color w:val="2B477B"/>
        </w:rPr>
        <w:t>adoptada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Guatemala,</w:t>
      </w:r>
      <w:r>
        <w:rPr>
          <w:color w:val="2B477B"/>
        </w:rPr>
        <w:t xml:space="preserve"> 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III.</w:t>
      </w:r>
      <w:r>
        <w:rPr>
          <w:color w:val="2B477B"/>
        </w:rPr>
        <w:t xml:space="preserve"> </w:t>
      </w:r>
    </w:p>
  </w:footnote>
  <w:footnote w:id="164">
    <w:p w14:paraId="7A3F34D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70"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Accesibilidad</w:t>
        </w:r>
      </w:hyperlink>
      <w:r>
        <w:rPr>
          <w:rFonts w:ascii="Arial Unicode MS" w:eastAsia="Arial Unicode MS" w:hAnsi="Arial Unicode MS" w:cs="Arial Unicode MS"/>
          <w:color w:val="2B477B"/>
        </w:rPr>
        <w:t>,</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14</w:t>
      </w:r>
      <w:r>
        <w:rPr>
          <w:rFonts w:ascii="Arial Unicode MS" w:eastAsia="Arial Unicode MS" w:hAnsi="Arial Unicode MS" w:cs="Arial Unicode MS"/>
          <w:color w:val="2B477B"/>
        </w:rPr>
        <w:t>.</w:t>
      </w:r>
    </w:p>
  </w:footnote>
  <w:footnote w:id="165">
    <w:p w14:paraId="65DAEF9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hyperlink r:id="rId271" w:history="1">
        <w:r>
          <w:rPr>
            <w:rStyle w:val="Hyperlink0"/>
            <w:rFonts w:ascii="Arial Unicode MS" w:eastAsia="Arial Unicode MS" w:hAnsi="Arial Unicode MS" w:cs="Arial Unicode MS"/>
          </w:rPr>
          <w:t>,</w:t>
        </w:r>
        <w:r>
          <w:rPr>
            <w:rStyle w:val="Hyperlink0"/>
          </w:rPr>
          <w:t xml:space="preserve"> </w:t>
        </w:r>
        <w:r>
          <w:rPr>
            <w:rStyle w:val="Hyperlink0"/>
            <w:rFonts w:ascii="Arial Unicode MS" w:eastAsia="Arial Unicode MS" w:hAnsi="Arial Unicode MS" w:cs="Arial Unicode MS"/>
          </w:rPr>
          <w:t>Convención</w:t>
        </w:r>
        <w:r>
          <w:rPr>
            <w:rStyle w:val="Hyperlink0"/>
          </w:rPr>
          <w:t xml:space="preserve"> </w:t>
        </w:r>
        <w:r>
          <w:rPr>
            <w:rStyle w:val="Hyperlink0"/>
            <w:rFonts w:ascii="Arial Unicode MS" w:eastAsia="Arial Unicode MS" w:hAnsi="Arial Unicode MS" w:cs="Arial Unicode MS"/>
          </w:rPr>
          <w:t>Internacional</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w:t>
      </w:r>
      <w:r>
        <w:rPr>
          <w:rFonts w:ascii="Arial Unicode MS" w:eastAsia="Arial Unicode MS" w:hAnsi="Arial Unicode MS" w:cs="Arial Unicode MS"/>
          <w:color w:val="2B477B"/>
        </w:rPr>
        <w:t>.</w:t>
      </w:r>
    </w:p>
  </w:footnote>
  <w:footnote w:id="166">
    <w:p w14:paraId="1B25C1BB"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272" w:history="1">
        <w:r>
          <w:rPr>
            <w:rStyle w:val="Hyperlink0"/>
            <w:rFonts w:ascii="Arial Unicode MS" w:eastAsia="Arial Unicode MS" w:hAnsi="Arial Unicode MS" w:cs="Arial Unicode MS"/>
          </w:rPr>
          <w:t>CDPD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2</w:t>
      </w:r>
      <w:r>
        <w:rPr>
          <w:rFonts w:ascii="Arial Unicode MS" w:eastAsia="Arial Unicode MS" w:hAnsi="Arial Unicode MS" w:cs="Arial Unicode MS"/>
          <w:color w:val="2B477B"/>
        </w:rPr>
        <w:t>.</w:t>
      </w:r>
    </w:p>
  </w:footnote>
  <w:footnote w:id="167">
    <w:p w14:paraId="1285E8EB"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73"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Accesibilidad</w:t>
        </w:r>
      </w:hyperlink>
      <w:r>
        <w:rPr>
          <w:rFonts w:ascii="Arial Unicode MS" w:eastAsia="Arial Unicode MS" w:hAnsi="Arial Unicode MS" w:cs="Arial Unicode MS"/>
          <w:color w:val="2B477B"/>
        </w:rPr>
        <w:t>,</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25 </w:t>
      </w:r>
      <w:r>
        <w:rPr>
          <w:rFonts w:ascii="Arial Unicode MS" w:eastAsia="Arial Unicode MS" w:hAnsi="Arial Unicode MS" w:cs="Arial Unicode MS"/>
          <w:color w:val="2B477B"/>
        </w:rPr>
        <w:t>y</w:t>
      </w:r>
      <w:r>
        <w:rPr>
          <w:color w:val="2B477B"/>
        </w:rPr>
        <w:t xml:space="preserve"> 31</w:t>
      </w:r>
      <w:r>
        <w:rPr>
          <w:rFonts w:ascii="Arial Unicode MS" w:eastAsia="Arial Unicode MS" w:hAnsi="Arial Unicode MS" w:cs="Arial Unicode MS"/>
          <w:color w:val="2B477B"/>
        </w:rPr>
        <w:t>.</w:t>
      </w:r>
    </w:p>
  </w:footnote>
  <w:footnote w:id="168">
    <w:p w14:paraId="36454BE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274"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33</w:t>
      </w:r>
      <w:r>
        <w:rPr>
          <w:rFonts w:ascii="Arial Unicode MS" w:eastAsia="Arial Unicode MS" w:hAnsi="Arial Unicode MS" w:cs="Arial Unicode MS"/>
          <w:color w:val="2B477B"/>
        </w:rPr>
        <w:t>.</w:t>
      </w:r>
    </w:p>
  </w:footnote>
  <w:footnote w:id="169">
    <w:p w14:paraId="1B7C955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75" w:history="1">
        <w:r>
          <w:rPr>
            <w:rFonts w:ascii="Arial Unicode MS" w:eastAsia="Arial Unicode MS" w:hAnsi="Arial Unicode MS" w:cs="Arial Unicode MS"/>
            <w:color w:val="2B477B"/>
          </w:rPr>
          <w:t>Ley</w:t>
        </w:r>
        <w:r>
          <w:rPr>
            <w:color w:val="2B477B"/>
          </w:rPr>
          <w:t xml:space="preserve"> 22</w:t>
        </w:r>
        <w:r>
          <w:rPr>
            <w:rFonts w:ascii="Arial Unicode MS" w:eastAsia="Arial Unicode MS" w:hAnsi="Arial Unicode MS" w:cs="Arial Unicode MS"/>
            <w:color w:val="2B477B"/>
          </w:rPr>
          <w:t>.</w:t>
        </w:r>
        <w:r>
          <w:rPr>
            <w:color w:val="2B477B"/>
          </w:rPr>
          <w:t>431</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art.</w:t>
      </w:r>
      <w:r>
        <w:rPr>
          <w:color w:val="2B477B"/>
        </w:rPr>
        <w:t xml:space="preserve"> 20</w:t>
      </w:r>
      <w:r>
        <w:rPr>
          <w:rFonts w:ascii="Arial Unicode MS" w:eastAsia="Arial Unicode MS" w:hAnsi="Arial Unicode MS" w:cs="Arial Unicode MS"/>
          <w:color w:val="2B477B"/>
        </w:rPr>
        <w:t>;</w:t>
      </w:r>
      <w:r>
        <w:rPr>
          <w:color w:val="2B477B"/>
        </w:rPr>
        <w:t xml:space="preserve"> </w:t>
      </w:r>
      <w:hyperlink r:id="rId276" w:history="1">
        <w:r>
          <w:rPr>
            <w:rFonts w:ascii="Arial Unicode MS" w:eastAsia="Arial Unicode MS" w:hAnsi="Arial Unicode MS" w:cs="Arial Unicode MS"/>
            <w:color w:val="2B477B"/>
          </w:rPr>
          <w:t>Persons</w:t>
        </w:r>
        <w:r>
          <w:rPr>
            <w:color w:val="2B477B"/>
          </w:rPr>
          <w:t xml:space="preserve"> </w:t>
        </w:r>
        <w:r>
          <w:rPr>
            <w:rFonts w:ascii="Arial Unicode MS" w:eastAsia="Arial Unicode MS" w:hAnsi="Arial Unicode MS" w:cs="Arial Unicode MS"/>
            <w:color w:val="2B477B"/>
          </w:rPr>
          <w:t>with</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(Equal</w:t>
        </w:r>
        <w:r>
          <w:rPr>
            <w:color w:val="2B477B"/>
          </w:rPr>
          <w:t xml:space="preserve"> </w:t>
        </w:r>
        <w:r>
          <w:rPr>
            <w:rFonts w:ascii="Arial Unicode MS" w:eastAsia="Arial Unicode MS" w:hAnsi="Arial Unicode MS" w:cs="Arial Unicode MS"/>
            <w:color w:val="2B477B"/>
          </w:rPr>
          <w:t>Opportunities)</w:t>
        </w:r>
        <w:r>
          <w:rPr>
            <w:color w:val="2B477B"/>
          </w:rPr>
          <w:t xml:space="preserve"> </w:t>
        </w:r>
        <w:r>
          <w:rPr>
            <w:rFonts w:ascii="Arial Unicode MS" w:eastAsia="Arial Unicode MS" w:hAnsi="Arial Unicode MS" w:cs="Arial Unicode MS"/>
            <w:color w:val="2B477B"/>
          </w:rPr>
          <w:t>Act</w:t>
        </w:r>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arts.</w:t>
      </w:r>
      <w:r>
        <w:rPr>
          <w:color w:val="2B477B"/>
        </w:rPr>
        <w:t xml:space="preserve"> 20 </w:t>
      </w:r>
      <w:r>
        <w:rPr>
          <w:rFonts w:ascii="Arial Unicode MS" w:eastAsia="Arial Unicode MS" w:hAnsi="Arial Unicode MS" w:cs="Arial Unicode MS"/>
          <w:color w:val="2B477B"/>
        </w:rPr>
        <w:t>a</w:t>
      </w:r>
      <w:r>
        <w:rPr>
          <w:color w:val="2B477B"/>
        </w:rPr>
        <w:t xml:space="preserve"> 24</w:t>
      </w:r>
      <w:r>
        <w:rPr>
          <w:rFonts w:ascii="Arial Unicode MS" w:eastAsia="Arial Unicode MS" w:hAnsi="Arial Unicode MS" w:cs="Arial Unicode MS"/>
          <w:color w:val="2B477B"/>
        </w:rPr>
        <w:t>;</w:t>
      </w:r>
      <w:r>
        <w:rPr>
          <w:color w:val="2B477B"/>
        </w:rPr>
        <w:t xml:space="preserve"> </w:t>
      </w:r>
      <w:hyperlink r:id="rId277" w:history="1">
        <w:r>
          <w:rPr>
            <w:rFonts w:ascii="Arial Unicode MS" w:eastAsia="Arial Unicode MS" w:hAnsi="Arial Unicode MS" w:cs="Arial Unicode MS"/>
            <w:color w:val="2B477B"/>
          </w:rPr>
          <w:t>Ley</w:t>
        </w:r>
        <w:r>
          <w:rPr>
            <w:color w:val="2B477B"/>
          </w:rPr>
          <w:t xml:space="preserve"> 223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arts.</w:t>
      </w:r>
      <w:r>
        <w:rPr>
          <w:color w:val="2B477B"/>
        </w:rPr>
        <w:t xml:space="preserve"> 17</w:t>
      </w:r>
      <w:r>
        <w:rPr>
          <w:rFonts w:ascii="Arial Unicode MS" w:eastAsia="Arial Unicode MS" w:hAnsi="Arial Unicode MS" w:cs="Arial Unicode MS"/>
          <w:color w:val="2B477B"/>
        </w:rPr>
        <w:t>,</w:t>
      </w:r>
      <w:r>
        <w:rPr>
          <w:color w:val="2B477B"/>
        </w:rPr>
        <w:t xml:space="preserve"> 21</w:t>
      </w:r>
      <w:r>
        <w:rPr>
          <w:rFonts w:ascii="Arial Unicode MS" w:eastAsia="Arial Unicode MS" w:hAnsi="Arial Unicode MS" w:cs="Arial Unicode MS"/>
          <w:color w:val="2B477B"/>
        </w:rPr>
        <w:t>,</w:t>
      </w:r>
      <w:r>
        <w:rPr>
          <w:color w:val="2B477B"/>
        </w:rPr>
        <w:t xml:space="preserve"> 32</w:t>
      </w:r>
      <w:r>
        <w:rPr>
          <w:rFonts w:ascii="Arial Unicode MS" w:eastAsia="Arial Unicode MS" w:hAnsi="Arial Unicode MS" w:cs="Arial Unicode MS"/>
          <w:color w:val="2B477B"/>
        </w:rPr>
        <w:t>,</w:t>
      </w:r>
      <w:r>
        <w:rPr>
          <w:color w:val="2B477B"/>
        </w:rPr>
        <w:t xml:space="preserve"> 33 </w:t>
      </w:r>
      <w:r>
        <w:rPr>
          <w:rFonts w:ascii="Arial Unicode MS" w:eastAsia="Arial Unicode MS" w:hAnsi="Arial Unicode MS" w:cs="Arial Unicode MS"/>
          <w:color w:val="2B477B"/>
        </w:rPr>
        <w:t>y</w:t>
      </w:r>
      <w:r>
        <w:rPr>
          <w:color w:val="2B477B"/>
        </w:rPr>
        <w:t xml:space="preserve"> 37</w:t>
      </w:r>
      <w:r>
        <w:rPr>
          <w:rFonts w:ascii="Arial Unicode MS" w:eastAsia="Arial Unicode MS" w:hAnsi="Arial Unicode MS" w:cs="Arial Unicode MS"/>
          <w:color w:val="2B477B"/>
        </w:rPr>
        <w:t>;</w:t>
      </w:r>
      <w:r>
        <w:rPr>
          <w:color w:val="2B477B"/>
        </w:rPr>
        <w:t xml:space="preserve"> </w:t>
      </w:r>
      <w:hyperlink r:id="rId278" w:history="1">
        <w:r>
          <w:rPr>
            <w:rFonts w:ascii="Arial Unicode MS" w:eastAsia="Arial Unicode MS" w:hAnsi="Arial Unicode MS" w:cs="Arial Unicode MS"/>
            <w:color w:val="2B477B"/>
          </w:rPr>
          <w:t>Ley</w:t>
        </w:r>
        <w:r>
          <w:rPr>
            <w:color w:val="2B477B"/>
          </w:rPr>
          <w:t xml:space="preserve"> 13</w:t>
        </w:r>
        <w:r>
          <w:rPr>
            <w:rFonts w:ascii="Arial Unicode MS" w:eastAsia="Arial Unicode MS" w:hAnsi="Arial Unicode MS" w:cs="Arial Unicode MS"/>
            <w:color w:val="2B477B"/>
          </w:rPr>
          <w:t>.</w:t>
        </w:r>
        <w:r>
          <w:rPr>
            <w:color w:val="2B477B"/>
          </w:rPr>
          <w:t xml:space="preserve">146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art.</w:t>
      </w:r>
      <w:r>
        <w:rPr>
          <w:color w:val="2B477B"/>
        </w:rPr>
        <w:t xml:space="preserve"> 5</w:t>
      </w:r>
      <w:r>
        <w:rPr>
          <w:rFonts w:ascii="Arial Unicode MS" w:eastAsia="Arial Unicode MS" w:hAnsi="Arial Unicode MS" w:cs="Arial Unicode MS"/>
          <w:color w:val="2B477B"/>
        </w:rPr>
        <w:t>;</w:t>
      </w:r>
      <w:r>
        <w:rPr>
          <w:color w:val="2B477B"/>
        </w:rPr>
        <w:t xml:space="preserve"> </w:t>
      </w:r>
      <w:hyperlink r:id="rId279" w:history="1">
        <w:r>
          <w:rPr>
            <w:color w:val="2B477B"/>
          </w:rPr>
          <w:t xml:space="preserve"> </w:t>
        </w:r>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422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arts.</w:t>
      </w:r>
      <w:r>
        <w:rPr>
          <w:color w:val="2B477B"/>
        </w:rPr>
        <w:t xml:space="preserve"> 8 </w:t>
      </w:r>
      <w:r>
        <w:rPr>
          <w:rFonts w:ascii="Arial Unicode MS" w:eastAsia="Arial Unicode MS" w:hAnsi="Arial Unicode MS" w:cs="Arial Unicode MS"/>
          <w:color w:val="2B477B"/>
        </w:rPr>
        <w:t>y</w:t>
      </w:r>
      <w:r>
        <w:rPr>
          <w:color w:val="2B477B"/>
        </w:rPr>
        <w:t xml:space="preserve"> 23 </w:t>
      </w:r>
      <w:r>
        <w:rPr>
          <w:rFonts w:ascii="Arial Unicode MS" w:eastAsia="Arial Unicode MS" w:hAnsi="Arial Unicode MS" w:cs="Arial Unicode MS"/>
          <w:color w:val="2B477B"/>
        </w:rPr>
        <w:t>a</w:t>
      </w:r>
      <w:r>
        <w:rPr>
          <w:color w:val="2B477B"/>
        </w:rPr>
        <w:t xml:space="preserve"> 33</w:t>
      </w:r>
      <w:r>
        <w:rPr>
          <w:rFonts w:ascii="Arial Unicode MS" w:eastAsia="Arial Unicode MS" w:hAnsi="Arial Unicode MS" w:cs="Arial Unicode MS"/>
          <w:color w:val="2B477B"/>
        </w:rPr>
        <w:t>;</w:t>
      </w:r>
      <w:r>
        <w:rPr>
          <w:color w:val="2B477B"/>
        </w:rPr>
        <w:t xml:space="preserve"> </w:t>
      </w:r>
      <w:hyperlink r:id="rId280" w:history="1">
        <w:r>
          <w:rPr>
            <w:rFonts w:ascii="Arial Unicode MS" w:eastAsia="Arial Unicode MS" w:hAnsi="Arial Unicode MS" w:cs="Arial Unicode MS"/>
            <w:color w:val="2B477B"/>
          </w:rPr>
          <w:t>Ley</w:t>
        </w:r>
        <w:r>
          <w:rPr>
            <w:color w:val="2B477B"/>
          </w:rPr>
          <w:t xml:space="preserve"> 1618</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art.</w:t>
      </w:r>
      <w:r>
        <w:rPr>
          <w:color w:val="2B477B"/>
        </w:rPr>
        <w:t xml:space="preserve"> 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hyperlink r:id="rId281" w:history="1">
        <w:r>
          <w:rPr>
            <w:color w:val="2B477B"/>
          </w:rPr>
          <w:t xml:space="preserve">7600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arts.</w:t>
      </w:r>
      <w:r>
        <w:rPr>
          <w:color w:val="2B477B"/>
        </w:rPr>
        <w:t xml:space="preserve"> 4</w:t>
      </w:r>
      <w:r>
        <w:rPr>
          <w:rFonts w:ascii="Arial Unicode MS" w:eastAsia="Arial Unicode MS" w:hAnsi="Arial Unicode MS" w:cs="Arial Unicode MS"/>
          <w:color w:val="2B477B"/>
        </w:rPr>
        <w:t>,</w:t>
      </w:r>
      <w:r>
        <w:rPr>
          <w:color w:val="2B477B"/>
        </w:rPr>
        <w:t xml:space="preserve"> 62 </w:t>
      </w:r>
      <w:r>
        <w:rPr>
          <w:rFonts w:ascii="Arial Unicode MS" w:eastAsia="Arial Unicode MS" w:hAnsi="Arial Unicode MS" w:cs="Arial Unicode MS"/>
          <w:color w:val="2B477B"/>
        </w:rPr>
        <w:t>y</w:t>
      </w:r>
      <w:r>
        <w:rPr>
          <w:color w:val="2B477B"/>
        </w:rPr>
        <w:t xml:space="preserve"> 67</w:t>
      </w:r>
      <w:r>
        <w:rPr>
          <w:rFonts w:ascii="Arial Unicode MS" w:eastAsia="Arial Unicode MS" w:hAnsi="Arial Unicode MS" w:cs="Arial Unicode MS"/>
          <w:color w:val="2B477B"/>
        </w:rPr>
        <w:t>;</w:t>
      </w:r>
      <w:r>
        <w:rPr>
          <w:color w:val="2B477B"/>
        </w:rPr>
        <w:t xml:space="preserve"> </w:t>
      </w:r>
      <w:hyperlink r:id="rId28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arts.</w:t>
      </w:r>
      <w:r>
        <w:rPr>
          <w:color w:val="2B477B"/>
        </w:rPr>
        <w:t xml:space="preserve"> 58 </w:t>
      </w:r>
      <w:r>
        <w:rPr>
          <w:rFonts w:ascii="Arial Unicode MS" w:eastAsia="Arial Unicode MS" w:hAnsi="Arial Unicode MS" w:cs="Arial Unicode MS"/>
          <w:color w:val="2B477B"/>
        </w:rPr>
        <w:t>a</w:t>
      </w:r>
      <w:r>
        <w:rPr>
          <w:color w:val="2B477B"/>
        </w:rPr>
        <w:t xml:space="preserve"> 70</w:t>
      </w:r>
      <w:r>
        <w:rPr>
          <w:rFonts w:ascii="Arial Unicode MS" w:eastAsia="Arial Unicode MS" w:hAnsi="Arial Unicode MS" w:cs="Arial Unicode MS"/>
          <w:color w:val="2B477B"/>
        </w:rPr>
        <w:t>;</w:t>
      </w:r>
      <w:r>
        <w:rPr>
          <w:color w:val="2B477B"/>
        </w:rPr>
        <w:t xml:space="preserve"> </w:t>
      </w:r>
      <w:hyperlink r:id="rId283" w:history="1">
        <w:r>
          <w:rPr>
            <w:rFonts w:ascii="Arial Unicode MS" w:eastAsia="Arial Unicode MS" w:hAnsi="Arial Unicode MS" w:cs="Arial Unicode MS"/>
            <w:color w:val="2B477B"/>
          </w:rPr>
          <w:t>Decreto</w:t>
        </w:r>
        <w:r>
          <w:rPr>
            <w:color w:val="2B477B"/>
          </w:rPr>
          <w:t xml:space="preserve"> 672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arts.</w:t>
      </w:r>
      <w:r>
        <w:rPr>
          <w:color w:val="2B477B"/>
        </w:rPr>
        <w:t xml:space="preserve"> 37 </w:t>
      </w:r>
      <w:r>
        <w:rPr>
          <w:rFonts w:ascii="Arial Unicode MS" w:eastAsia="Arial Unicode MS" w:hAnsi="Arial Unicode MS" w:cs="Arial Unicode MS"/>
          <w:color w:val="2B477B"/>
        </w:rPr>
        <w:t>a</w:t>
      </w:r>
      <w:r>
        <w:rPr>
          <w:color w:val="2B477B"/>
        </w:rPr>
        <w:t xml:space="preserve"> 42</w:t>
      </w:r>
      <w:r>
        <w:rPr>
          <w:rFonts w:ascii="Arial Unicode MS" w:eastAsia="Arial Unicode MS" w:hAnsi="Arial Unicode MS" w:cs="Arial Unicode MS"/>
          <w:color w:val="2B477B"/>
        </w:rPr>
        <w:t>;</w:t>
      </w:r>
      <w:r>
        <w:rPr>
          <w:color w:val="2B477B"/>
        </w:rPr>
        <w:t xml:space="preserve"> </w:t>
      </w:r>
      <w:hyperlink r:id="rId284" w:history="1">
        <w:r>
          <w:rPr>
            <w:rFonts w:ascii="Arial Unicode MS" w:eastAsia="Arial Unicode MS" w:hAnsi="Arial Unicode MS" w:cs="Arial Unicode MS"/>
            <w:color w:val="2B477B"/>
          </w:rPr>
          <w:t>Decreto</w:t>
        </w:r>
        <w:r>
          <w:rPr>
            <w:color w:val="2B477B"/>
          </w:rPr>
          <w:t xml:space="preserve"> 135</w:t>
        </w:r>
        <w:r>
          <w:rPr>
            <w:rFonts w:ascii="Arial Unicode MS" w:eastAsia="Arial Unicode MS" w:hAnsi="Arial Unicode MS" w:cs="Arial Unicode MS"/>
            <w:color w:val="2B477B"/>
          </w:rPr>
          <w:t>-</w:t>
        </w:r>
        <w:r>
          <w:rPr>
            <w:color w:val="2B477B"/>
          </w:rPr>
          <w:t>96</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art.</w:t>
      </w:r>
      <w:r>
        <w:rPr>
          <w:color w:val="2B477B"/>
        </w:rPr>
        <w:t xml:space="preserve"> 61</w:t>
      </w:r>
      <w:r>
        <w:rPr>
          <w:rFonts w:ascii="Arial Unicode MS" w:eastAsia="Arial Unicode MS" w:hAnsi="Arial Unicode MS" w:cs="Arial Unicode MS"/>
          <w:color w:val="2B477B"/>
        </w:rPr>
        <w:t>;</w:t>
      </w:r>
      <w:r>
        <w:rPr>
          <w:color w:val="2B477B"/>
        </w:rPr>
        <w:t xml:space="preserve"> </w:t>
      </w:r>
      <w:hyperlink r:id="rId285" w:history="1">
        <w:r>
          <w:rPr>
            <w:rFonts w:ascii="Arial Unicode MS" w:eastAsia="Arial Unicode MS" w:hAnsi="Arial Unicode MS" w:cs="Arial Unicode MS"/>
            <w:color w:val="2B477B"/>
          </w:rPr>
          <w:t>Act</w:t>
        </w:r>
        <w:r>
          <w:rPr>
            <w:color w:val="2B477B"/>
          </w:rPr>
          <w:t xml:space="preserve"> 11</w:t>
        </w:r>
      </w:hyperlink>
      <w:r>
        <w:rPr>
          <w:color w:val="2B477B"/>
        </w:rPr>
        <w:t xml:space="preserve"> 2010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r>
        <w:rPr>
          <w:color w:val="2B477B"/>
        </w:rPr>
        <w:t xml:space="preserve"> </w:t>
      </w:r>
      <w:r>
        <w:rPr>
          <w:rFonts w:ascii="Arial Unicode MS" w:eastAsia="Arial Unicode MS" w:hAnsi="Arial Unicode MS" w:cs="Arial Unicode MS"/>
          <w:color w:val="2B477B"/>
        </w:rPr>
        <w:t>arts.</w:t>
      </w:r>
      <w:r>
        <w:rPr>
          <w:color w:val="2B477B"/>
        </w:rPr>
        <w:t xml:space="preserve"> 26 </w:t>
      </w:r>
      <w:r>
        <w:rPr>
          <w:rFonts w:ascii="Arial Unicode MS" w:eastAsia="Arial Unicode MS" w:hAnsi="Arial Unicode MS" w:cs="Arial Unicode MS"/>
          <w:color w:val="2B477B"/>
        </w:rPr>
        <w:t>a</w:t>
      </w:r>
      <w:r>
        <w:rPr>
          <w:color w:val="2B477B"/>
        </w:rPr>
        <w:t xml:space="preserve"> 31</w:t>
      </w:r>
      <w:r>
        <w:rPr>
          <w:rFonts w:ascii="Arial Unicode MS" w:eastAsia="Arial Unicode MS" w:hAnsi="Arial Unicode MS" w:cs="Arial Unicode MS"/>
          <w:color w:val="2B477B"/>
        </w:rPr>
        <w:t>;</w:t>
      </w:r>
      <w:r>
        <w:rPr>
          <w:color w:val="2B477B"/>
        </w:rPr>
        <w:t xml:space="preserve"> </w:t>
      </w:r>
      <w:hyperlink r:id="rId286" w:history="1">
        <w:r>
          <w:rPr>
            <w:rFonts w:ascii="Arial Unicode MS" w:eastAsia="Arial Unicode MS" w:hAnsi="Arial Unicode MS" w:cs="Arial Unicode MS"/>
            <w:color w:val="2B477B"/>
          </w:rPr>
          <w:t>Loi</w:t>
        </w:r>
        <w:r>
          <w:rPr>
            <w:color w:val="2B477B"/>
          </w:rPr>
          <w:t xml:space="preserve"> </w:t>
        </w:r>
        <w:r>
          <w:rPr>
            <w:rFonts w:ascii="Arial Unicode MS" w:eastAsia="Arial Unicode MS" w:hAnsi="Arial Unicode MS" w:cs="Arial Unicode MS"/>
            <w:color w:val="2B477B"/>
          </w:rPr>
          <w:t>portant</w:t>
        </w:r>
        <w:r>
          <w:rPr>
            <w:color w:val="2B477B"/>
          </w:rPr>
          <w:t xml:space="preserve"> </w:t>
        </w:r>
        <w:r>
          <w:rPr>
            <w:rFonts w:ascii="Arial Unicode MS" w:eastAsia="Arial Unicode MS" w:hAnsi="Arial Unicode MS" w:cs="Arial Unicode MS"/>
            <w:color w:val="2B477B"/>
          </w:rPr>
          <w:t>sur</w:t>
        </w:r>
        <w:r>
          <w:rPr>
            <w:color w:val="2B477B"/>
          </w:rPr>
          <w:t xml:space="preserve"> </w:t>
        </w:r>
        <w:r>
          <w:rPr>
            <w:rFonts w:ascii="Arial Unicode MS" w:eastAsia="Arial Unicode MS" w:hAnsi="Arial Unicode MS" w:cs="Arial Unicode MS"/>
            <w:color w:val="2B477B"/>
          </w:rPr>
          <w:t>l’integration</w:t>
        </w:r>
        <w:r>
          <w:rPr>
            <w:color w:val="2B477B"/>
          </w:rPr>
          <w:t xml:space="preserve"> </w:t>
        </w:r>
        <w:r>
          <w:rPr>
            <w:rFonts w:ascii="Arial Unicode MS" w:eastAsia="Arial Unicode MS" w:hAnsi="Arial Unicode MS" w:cs="Arial Unicode MS"/>
            <w:color w:val="2B477B"/>
          </w:rPr>
          <w:t>des</w:t>
        </w:r>
        <w:r>
          <w:rPr>
            <w:color w:val="2B477B"/>
          </w:rPr>
          <w:t xml:space="preserve"> </w:t>
        </w:r>
        <w:r>
          <w:rPr>
            <w:rFonts w:ascii="Arial Unicode MS" w:eastAsia="Arial Unicode MS" w:hAnsi="Arial Unicode MS" w:cs="Arial Unicode MS"/>
            <w:color w:val="2B477B"/>
          </w:rPr>
          <w:t>personnes</w:t>
        </w:r>
        <w:r>
          <w:rPr>
            <w:color w:val="2B477B"/>
          </w:rPr>
          <w:t xml:space="preserve"> </w:t>
        </w:r>
        <w:r>
          <w:rPr>
            <w:rFonts w:ascii="Arial Unicode MS" w:eastAsia="Arial Unicode MS" w:hAnsi="Arial Unicode MS" w:cs="Arial Unicode MS"/>
            <w:color w:val="2B477B"/>
          </w:rPr>
          <w:t>handicapees</w:t>
        </w:r>
      </w:hyperlink>
      <w:hyperlink r:id="rId287" w:history="1">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arts.</w:t>
      </w:r>
      <w:r>
        <w:rPr>
          <w:color w:val="2B477B"/>
        </w:rPr>
        <w:t xml:space="preserve"> 55 </w:t>
      </w:r>
      <w:r>
        <w:rPr>
          <w:rFonts w:ascii="Arial Unicode MS" w:eastAsia="Arial Unicode MS" w:hAnsi="Arial Unicode MS" w:cs="Arial Unicode MS"/>
          <w:color w:val="2B477B"/>
        </w:rPr>
        <w:t>a</w:t>
      </w:r>
      <w:r>
        <w:rPr>
          <w:color w:val="2B477B"/>
        </w:rPr>
        <w:t xml:space="preserve"> 68</w:t>
      </w:r>
      <w:r>
        <w:rPr>
          <w:rFonts w:ascii="Arial Unicode MS" w:eastAsia="Arial Unicode MS" w:hAnsi="Arial Unicode MS" w:cs="Arial Unicode MS"/>
          <w:color w:val="2B477B"/>
        </w:rPr>
        <w:t>;</w:t>
      </w:r>
      <w:r>
        <w:rPr>
          <w:color w:val="2B477B"/>
        </w:rPr>
        <w:t xml:space="preserve"> </w:t>
      </w:r>
      <w:hyperlink r:id="rId288" w:history="1">
        <w:r>
          <w:rPr>
            <w:rFonts w:ascii="Arial Unicode MS" w:eastAsia="Arial Unicode MS" w:hAnsi="Arial Unicode MS" w:cs="Arial Unicode MS"/>
            <w:color w:val="2B477B"/>
          </w:rPr>
          <w:t>Decreto</w:t>
        </w:r>
        <w:r>
          <w:rPr>
            <w:color w:val="2B477B"/>
          </w:rPr>
          <w:t xml:space="preserve"> 160</w:t>
        </w:r>
        <w:r>
          <w:rPr>
            <w:rFonts w:ascii="Arial Unicode MS" w:eastAsia="Arial Unicode MS" w:hAnsi="Arial Unicode MS" w:cs="Arial Unicode MS"/>
            <w:color w:val="2B477B"/>
          </w:rPr>
          <w:t>-</w:t>
        </w:r>
        <w:r>
          <w:rPr>
            <w:color w:val="2B477B"/>
          </w:rPr>
          <w:t>2005</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arts.</w:t>
      </w:r>
      <w:r>
        <w:rPr>
          <w:color w:val="2B477B"/>
        </w:rPr>
        <w:t xml:space="preserve"> 6</w:t>
      </w:r>
      <w:r>
        <w:rPr>
          <w:rFonts w:ascii="Arial Unicode MS" w:eastAsia="Arial Unicode MS" w:hAnsi="Arial Unicode MS" w:cs="Arial Unicode MS"/>
          <w:color w:val="2B477B"/>
        </w:rPr>
        <w:t>,</w:t>
      </w:r>
      <w:r>
        <w:rPr>
          <w:color w:val="2B477B"/>
        </w:rPr>
        <w:t xml:space="preserve"> 39</w:t>
      </w:r>
      <w:r>
        <w:rPr>
          <w:rFonts w:ascii="Arial Unicode MS" w:eastAsia="Arial Unicode MS" w:hAnsi="Arial Unicode MS" w:cs="Arial Unicode MS"/>
          <w:color w:val="2B477B"/>
        </w:rPr>
        <w:t>,</w:t>
      </w:r>
      <w:r>
        <w:rPr>
          <w:color w:val="2B477B"/>
        </w:rPr>
        <w:t xml:space="preserve"> 50</w:t>
      </w:r>
      <w:r>
        <w:rPr>
          <w:rFonts w:ascii="Arial Unicode MS" w:eastAsia="Arial Unicode MS" w:hAnsi="Arial Unicode MS" w:cs="Arial Unicode MS"/>
          <w:color w:val="2B477B"/>
        </w:rPr>
        <w:t>,</w:t>
      </w:r>
      <w:r>
        <w:rPr>
          <w:color w:val="2B477B"/>
        </w:rPr>
        <w:t xml:space="preserve"> 81</w:t>
      </w:r>
      <w:r>
        <w:rPr>
          <w:rFonts w:ascii="Arial Unicode MS" w:eastAsia="Arial Unicode MS" w:hAnsi="Arial Unicode MS" w:cs="Arial Unicode MS"/>
          <w:color w:val="2B477B"/>
        </w:rPr>
        <w:t>;</w:t>
      </w:r>
      <w:r>
        <w:rPr>
          <w:color w:val="2B477B"/>
        </w:rPr>
        <w:t xml:space="preserve"> </w:t>
      </w:r>
      <w:hyperlink r:id="rId289" w:history="1">
        <w:r>
          <w:rPr>
            <w:rFonts w:ascii="Arial Unicode MS" w:eastAsia="Arial Unicode MS" w:hAnsi="Arial Unicode MS" w:cs="Arial Unicode MS"/>
            <w:color w:val="2B477B"/>
          </w:rPr>
          <w:t>Act</w:t>
        </w:r>
        <w:r>
          <w:rPr>
            <w:color w:val="2B477B"/>
          </w:rPr>
          <w:t xml:space="preserve"> 13</w:t>
        </w:r>
      </w:hyperlink>
      <w:hyperlink r:id="rId290" w:history="1">
        <w:r>
          <w:rPr>
            <w:color w:val="2B477B"/>
          </w:rPr>
          <w:t xml:space="preserve"> </w:t>
        </w:r>
        <w:r>
          <w:rPr>
            <w:rFonts w:ascii="Arial Unicode MS" w:eastAsia="Arial Unicode MS" w:hAnsi="Arial Unicode MS" w:cs="Arial Unicode MS"/>
            <w:color w:val="2B477B"/>
          </w:rPr>
          <w:t>de</w:t>
        </w:r>
        <w:r>
          <w:rPr>
            <w:color w:val="2B477B"/>
          </w:rPr>
          <w:t xml:space="preserve"> 2014</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Jamaica,</w:t>
      </w:r>
      <w:r>
        <w:rPr>
          <w:color w:val="2B477B"/>
        </w:rPr>
        <w:t xml:space="preserve"> </w:t>
      </w:r>
      <w:r>
        <w:rPr>
          <w:rFonts w:ascii="Arial Unicode MS" w:eastAsia="Arial Unicode MS" w:hAnsi="Arial Unicode MS" w:cs="Arial Unicode MS"/>
          <w:color w:val="2B477B"/>
        </w:rPr>
        <w:t>arts.</w:t>
      </w:r>
      <w:r>
        <w:rPr>
          <w:color w:val="2B477B"/>
        </w:rPr>
        <w:t xml:space="preserve"> 30 </w:t>
      </w:r>
      <w:r>
        <w:rPr>
          <w:rFonts w:ascii="Arial Unicode MS" w:eastAsia="Arial Unicode MS" w:hAnsi="Arial Unicode MS" w:cs="Arial Unicode MS"/>
          <w:color w:val="2B477B"/>
        </w:rPr>
        <w:t>y</w:t>
      </w:r>
      <w:r>
        <w:rPr>
          <w:color w:val="2B477B"/>
        </w:rPr>
        <w:t xml:space="preserve"> 46</w:t>
      </w:r>
      <w:r>
        <w:rPr>
          <w:rFonts w:ascii="Arial Unicode MS" w:eastAsia="Arial Unicode MS" w:hAnsi="Arial Unicode MS" w:cs="Arial Unicode MS"/>
          <w:color w:val="2B477B"/>
        </w:rPr>
        <w:t>;</w:t>
      </w:r>
      <w:r>
        <w:rPr>
          <w:color w:val="2B477B"/>
        </w:rPr>
        <w:t xml:space="preserve"> </w:t>
      </w:r>
      <w:hyperlink r:id="rId29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arts.</w:t>
      </w:r>
      <w:r>
        <w:rPr>
          <w:color w:val="2B477B"/>
        </w:rPr>
        <w:t xml:space="preserve"> 2</w:t>
      </w:r>
      <w:r>
        <w:rPr>
          <w:rFonts w:ascii="Arial Unicode MS" w:eastAsia="Arial Unicode MS" w:hAnsi="Arial Unicode MS" w:cs="Arial Unicode MS"/>
          <w:color w:val="2B477B"/>
        </w:rPr>
        <w:t>,</w:t>
      </w:r>
      <w:r>
        <w:rPr>
          <w:color w:val="2B477B"/>
        </w:rPr>
        <w:t xml:space="preserve"> 5 </w:t>
      </w:r>
      <w:r>
        <w:rPr>
          <w:rFonts w:ascii="Arial Unicode MS" w:eastAsia="Arial Unicode MS" w:hAnsi="Arial Unicode MS" w:cs="Arial Unicode MS"/>
          <w:color w:val="2B477B"/>
        </w:rPr>
        <w:t>y</w:t>
      </w:r>
      <w:r>
        <w:rPr>
          <w:color w:val="2B477B"/>
        </w:rPr>
        <w:t xml:space="preserve"> 16</w:t>
      </w:r>
      <w:r>
        <w:rPr>
          <w:rFonts w:ascii="Arial Unicode MS" w:eastAsia="Arial Unicode MS" w:hAnsi="Arial Unicode MS" w:cs="Arial Unicode MS"/>
          <w:color w:val="2B477B"/>
        </w:rPr>
        <w:t>;</w:t>
      </w:r>
      <w:r>
        <w:rPr>
          <w:color w:val="2B477B"/>
        </w:rPr>
        <w:t xml:space="preserve"> </w:t>
      </w:r>
      <w:hyperlink r:id="rId292" w:history="1">
        <w:r>
          <w:rPr>
            <w:rFonts w:ascii="Arial Unicode MS" w:eastAsia="Arial Unicode MS" w:hAnsi="Arial Unicode MS" w:cs="Arial Unicode MS"/>
            <w:color w:val="2B477B"/>
          </w:rPr>
          <w:t>Ley</w:t>
        </w:r>
        <w:r>
          <w:rPr>
            <w:color w:val="2B477B"/>
          </w:rPr>
          <w:t xml:space="preserve"> 763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Nicaragua,</w:t>
      </w:r>
      <w:r>
        <w:rPr>
          <w:color w:val="2B477B"/>
        </w:rPr>
        <w:t xml:space="preserve"> </w:t>
      </w:r>
      <w:r>
        <w:rPr>
          <w:rFonts w:ascii="Arial Unicode MS" w:eastAsia="Arial Unicode MS" w:hAnsi="Arial Unicode MS" w:cs="Arial Unicode MS"/>
          <w:color w:val="2B477B"/>
        </w:rPr>
        <w:t>arts.</w:t>
      </w:r>
      <w:r>
        <w:rPr>
          <w:color w:val="2B477B"/>
        </w:rPr>
        <w:t xml:space="preserve"> 4</w:t>
      </w:r>
      <w:r>
        <w:rPr>
          <w:rFonts w:ascii="Arial Unicode MS" w:eastAsia="Arial Unicode MS" w:hAnsi="Arial Unicode MS" w:cs="Arial Unicode MS"/>
          <w:color w:val="2B477B"/>
        </w:rPr>
        <w:t>,</w:t>
      </w:r>
      <w:r>
        <w:rPr>
          <w:color w:val="2B477B"/>
        </w:rPr>
        <w:t xml:space="preserve"> 9 </w:t>
      </w:r>
      <w:r>
        <w:rPr>
          <w:rFonts w:ascii="Arial Unicode MS" w:eastAsia="Arial Unicode MS" w:hAnsi="Arial Unicode MS" w:cs="Arial Unicode MS"/>
          <w:color w:val="2B477B"/>
        </w:rPr>
        <w:t>a</w:t>
      </w:r>
      <w:r>
        <w:rPr>
          <w:color w:val="2B477B"/>
        </w:rPr>
        <w:t xml:space="preserve"> 13</w:t>
      </w:r>
      <w:r>
        <w:rPr>
          <w:rFonts w:ascii="Arial Unicode MS" w:eastAsia="Arial Unicode MS" w:hAnsi="Arial Unicode MS" w:cs="Arial Unicode MS"/>
          <w:color w:val="2B477B"/>
        </w:rPr>
        <w:t>;</w:t>
      </w:r>
      <w:r>
        <w:rPr>
          <w:color w:val="2B477B"/>
        </w:rPr>
        <w:t xml:space="preserve"> </w:t>
      </w:r>
      <w:hyperlink r:id="rId293" w:history="1">
        <w:r>
          <w:rPr>
            <w:rFonts w:ascii="Arial Unicode MS" w:eastAsia="Arial Unicode MS" w:hAnsi="Arial Unicode MS" w:cs="Arial Unicode MS"/>
            <w:color w:val="2B477B"/>
          </w:rPr>
          <w:t>Ley</w:t>
        </w:r>
        <w:r>
          <w:rPr>
            <w:color w:val="2B477B"/>
          </w:rPr>
          <w:t xml:space="preserve"> 15/2016</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arts.</w:t>
      </w:r>
      <w:r>
        <w:rPr>
          <w:color w:val="2B477B"/>
        </w:rPr>
        <w:t xml:space="preserve"> 30 </w:t>
      </w:r>
      <w:r>
        <w:rPr>
          <w:rFonts w:ascii="Arial Unicode MS" w:eastAsia="Arial Unicode MS" w:hAnsi="Arial Unicode MS" w:cs="Arial Unicode MS"/>
          <w:color w:val="2B477B"/>
        </w:rPr>
        <w:t>a</w:t>
      </w:r>
      <w:r>
        <w:rPr>
          <w:color w:val="2B477B"/>
        </w:rPr>
        <w:t xml:space="preserve"> 47</w:t>
      </w:r>
      <w:r>
        <w:rPr>
          <w:rFonts w:ascii="Arial Unicode MS" w:eastAsia="Arial Unicode MS" w:hAnsi="Arial Unicode MS" w:cs="Arial Unicode MS"/>
          <w:color w:val="2B477B"/>
        </w:rPr>
        <w:t>;</w:t>
      </w:r>
      <w:r>
        <w:rPr>
          <w:color w:val="2B477B"/>
        </w:rPr>
        <w:t xml:space="preserve"> </w:t>
      </w:r>
      <w:hyperlink r:id="rId294" w:history="1">
        <w:r>
          <w:rPr>
            <w:rFonts w:ascii="Arial Unicode MS" w:eastAsia="Arial Unicode MS" w:hAnsi="Arial Unicode MS" w:cs="Arial Unicode MS"/>
            <w:color w:val="2B477B"/>
          </w:rPr>
          <w:t>Ley</w:t>
        </w:r>
        <w:r>
          <w:rPr>
            <w:color w:val="2B477B"/>
          </w:rPr>
          <w:t xml:space="preserve"> 29973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arts.</w:t>
      </w:r>
      <w:r>
        <w:rPr>
          <w:color w:val="2B477B"/>
        </w:rPr>
        <w:t xml:space="preserve"> 15 </w:t>
      </w:r>
      <w:r>
        <w:rPr>
          <w:rFonts w:ascii="Arial Unicode MS" w:eastAsia="Arial Unicode MS" w:hAnsi="Arial Unicode MS" w:cs="Arial Unicode MS"/>
          <w:color w:val="2B477B"/>
        </w:rPr>
        <w:t>a</w:t>
      </w:r>
      <w:r>
        <w:rPr>
          <w:color w:val="2B477B"/>
        </w:rPr>
        <w:t xml:space="preserve"> 25</w:t>
      </w:r>
      <w:r>
        <w:rPr>
          <w:rFonts w:ascii="Arial Unicode MS" w:eastAsia="Arial Unicode MS" w:hAnsi="Arial Unicode MS" w:cs="Arial Unicode MS"/>
          <w:color w:val="2B477B"/>
        </w:rPr>
        <w:t>;</w:t>
      </w:r>
      <w:r>
        <w:rPr>
          <w:color w:val="2B477B"/>
        </w:rPr>
        <w:t xml:space="preserve"> </w:t>
      </w:r>
      <w:hyperlink r:id="rId295" w:history="1">
        <w:r>
          <w:rPr>
            <w:rFonts w:ascii="Arial Unicode MS" w:eastAsia="Arial Unicode MS" w:hAnsi="Arial Unicode MS" w:cs="Arial Unicode MS"/>
            <w:color w:val="2B477B"/>
          </w:rPr>
          <w:t>Ley</w:t>
        </w:r>
        <w:r>
          <w:rPr>
            <w:color w:val="2B477B"/>
          </w:rPr>
          <w:t xml:space="preserve"> 5</w:t>
        </w:r>
        <w:r>
          <w:rPr>
            <w:rFonts w:ascii="Arial Unicode MS" w:eastAsia="Arial Unicode MS" w:hAnsi="Arial Unicode MS" w:cs="Arial Unicode MS"/>
            <w:color w:val="2B477B"/>
          </w:rPr>
          <w:t>-</w:t>
        </w:r>
        <w:r>
          <w:rPr>
            <w:color w:val="2B477B"/>
          </w:rPr>
          <w:t>13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arts.</w:t>
      </w:r>
      <w:r>
        <w:rPr>
          <w:color w:val="2B477B"/>
        </w:rPr>
        <w:t xml:space="preserve"> 2</w:t>
      </w:r>
      <w:r>
        <w:rPr>
          <w:rFonts w:ascii="Arial Unicode MS" w:eastAsia="Arial Unicode MS" w:hAnsi="Arial Unicode MS" w:cs="Arial Unicode MS"/>
          <w:color w:val="2B477B"/>
        </w:rPr>
        <w:t>,</w:t>
      </w:r>
      <w:r>
        <w:rPr>
          <w:color w:val="2B477B"/>
        </w:rPr>
        <w:t xml:space="preserve"> 4 </w:t>
      </w:r>
      <w:r>
        <w:rPr>
          <w:rFonts w:ascii="Arial Unicode MS" w:eastAsia="Arial Unicode MS" w:hAnsi="Arial Unicode MS" w:cs="Arial Unicode MS"/>
          <w:color w:val="2B477B"/>
        </w:rPr>
        <w:t>y</w:t>
      </w:r>
      <w:r>
        <w:rPr>
          <w:color w:val="2B477B"/>
        </w:rPr>
        <w:t xml:space="preserve"> 15</w:t>
      </w:r>
      <w:r>
        <w:rPr>
          <w:rFonts w:ascii="Arial Unicode MS" w:eastAsia="Arial Unicode MS" w:hAnsi="Arial Unicode MS" w:cs="Arial Unicode MS"/>
          <w:color w:val="2B477B"/>
        </w:rPr>
        <w:t>;</w:t>
      </w:r>
      <w:r>
        <w:rPr>
          <w:color w:val="2B477B"/>
        </w:rPr>
        <w:t xml:space="preserve"> </w:t>
      </w:r>
      <w:hyperlink r:id="rId296" w:history="1">
        <w:r>
          <w:rPr>
            <w:rFonts w:ascii="Arial Unicode MS" w:eastAsia="Arial Unicode MS" w:hAnsi="Arial Unicode MS" w:cs="Arial Unicode MS"/>
            <w:color w:val="2B477B"/>
          </w:rPr>
          <w:t>Ley</w:t>
        </w:r>
        <w:r>
          <w:rPr>
            <w:color w:val="2B477B"/>
          </w:rPr>
          <w:t xml:space="preserve"> 18</w:t>
        </w:r>
        <w:r>
          <w:rPr>
            <w:rFonts w:ascii="Arial Unicode MS" w:eastAsia="Arial Unicode MS" w:hAnsi="Arial Unicode MS" w:cs="Arial Unicode MS"/>
            <w:color w:val="2B477B"/>
          </w:rPr>
          <w:t>.</w:t>
        </w:r>
        <w:r>
          <w:rPr>
            <w:color w:val="2B477B"/>
          </w:rPr>
          <w:t xml:space="preserve">651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arts.</w:t>
      </w:r>
      <w:r>
        <w:rPr>
          <w:color w:val="2B477B"/>
        </w:rPr>
        <w:t xml:space="preserve"> 8</w:t>
      </w:r>
      <w:r>
        <w:rPr>
          <w:rFonts w:ascii="Arial Unicode MS" w:eastAsia="Arial Unicode MS" w:hAnsi="Arial Unicode MS" w:cs="Arial Unicode MS"/>
          <w:color w:val="2B477B"/>
        </w:rPr>
        <w:t>,</w:t>
      </w:r>
      <w:r>
        <w:rPr>
          <w:color w:val="2B477B"/>
        </w:rPr>
        <w:t xml:space="preserve"> 76</w:t>
      </w:r>
      <w:r>
        <w:rPr>
          <w:rFonts w:ascii="Arial Unicode MS" w:eastAsia="Arial Unicode MS" w:hAnsi="Arial Unicode MS" w:cs="Arial Unicode MS"/>
          <w:color w:val="2B477B"/>
        </w:rPr>
        <w:t>,</w:t>
      </w:r>
      <w:r>
        <w:rPr>
          <w:color w:val="2B477B"/>
        </w:rPr>
        <w:t xml:space="preserve"> 77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82 </w:t>
      </w:r>
      <w:r>
        <w:rPr>
          <w:rFonts w:ascii="Arial Unicode MS" w:eastAsia="Arial Unicode MS" w:hAnsi="Arial Unicode MS" w:cs="Arial Unicode MS"/>
          <w:color w:val="2B477B"/>
        </w:rPr>
        <w:t>a</w:t>
      </w:r>
      <w:r>
        <w:rPr>
          <w:color w:val="2B477B"/>
        </w:rPr>
        <w:t xml:space="preserve"> 87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29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arts.</w:t>
      </w:r>
      <w:r>
        <w:rPr>
          <w:color w:val="2B477B"/>
        </w:rPr>
        <w:t xml:space="preserve"> 31 </w:t>
      </w:r>
      <w:r>
        <w:rPr>
          <w:rFonts w:ascii="Arial Unicode MS" w:eastAsia="Arial Unicode MS" w:hAnsi="Arial Unicode MS" w:cs="Arial Unicode MS"/>
          <w:color w:val="2B477B"/>
        </w:rPr>
        <w:t>a</w:t>
      </w:r>
      <w:r>
        <w:rPr>
          <w:color w:val="2B477B"/>
        </w:rPr>
        <w:t xml:space="preserve"> 44</w:t>
      </w:r>
      <w:r>
        <w:rPr>
          <w:rFonts w:ascii="Arial Unicode MS" w:eastAsia="Arial Unicode MS" w:hAnsi="Arial Unicode MS" w:cs="Arial Unicode MS"/>
          <w:color w:val="2B477B"/>
        </w:rPr>
        <w:t>.</w:t>
      </w:r>
    </w:p>
  </w:footnote>
  <w:footnote w:id="170">
    <w:p w14:paraId="1578D5B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22</w:t>
      </w:r>
      <w:r>
        <w:rPr>
          <w:rFonts w:ascii="Arial Unicode MS" w:eastAsia="Arial Unicode MS" w:hAnsi="Arial Unicode MS" w:cs="Arial Unicode MS"/>
          <w:color w:val="2B477B"/>
        </w:rPr>
        <w:t>,</w:t>
      </w:r>
      <w:r>
        <w:rPr>
          <w:color w:val="2B477B"/>
        </w:rPr>
        <w:t xml:space="preserve"> 40</w:t>
      </w:r>
      <w:r>
        <w:rPr>
          <w:rFonts w:ascii="Arial Unicode MS" w:eastAsia="Arial Unicode MS" w:hAnsi="Arial Unicode MS" w:cs="Arial Unicode MS"/>
          <w:color w:val="2B477B"/>
        </w:rPr>
        <w:t>,</w:t>
      </w:r>
      <w:r>
        <w:rPr>
          <w:color w:val="2B477B"/>
        </w:rPr>
        <w:t xml:space="preserve"> 113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298"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Política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70</w:t>
      </w:r>
      <w:r>
        <w:rPr>
          <w:rFonts w:ascii="Arial Unicode MS" w:eastAsia="Arial Unicode MS" w:hAnsi="Arial Unicode MS" w:cs="Arial Unicode MS"/>
          <w:color w:val="2B477B"/>
        </w:rPr>
        <w:t>.</w:t>
      </w:r>
      <w:r>
        <w:rPr>
          <w:color w:val="2B477B"/>
        </w:rPr>
        <w:t xml:space="preserve">3 </w:t>
      </w:r>
      <w:r>
        <w:rPr>
          <w:rFonts w:ascii="Arial Unicode MS" w:eastAsia="Arial Unicode MS" w:hAnsi="Arial Unicode MS" w:cs="Arial Unicode MS"/>
          <w:color w:val="2B477B"/>
        </w:rPr>
        <w:t>y</w:t>
      </w:r>
      <w:r>
        <w:rPr>
          <w:color w:val="2B477B"/>
        </w:rPr>
        <w:t xml:space="preserve"> 107</w:t>
      </w:r>
      <w:r>
        <w:rPr>
          <w:rFonts w:ascii="Arial Unicode MS" w:eastAsia="Arial Unicode MS" w:hAnsi="Arial Unicode MS" w:cs="Arial Unicode MS"/>
          <w:color w:val="2B477B"/>
        </w:rPr>
        <w:t>;</w:t>
      </w:r>
      <w:r>
        <w:rPr>
          <w:color w:val="2B477B"/>
        </w:rPr>
        <w:t xml:space="preserve"> </w:t>
      </w:r>
      <w:hyperlink r:id="rId299"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224 </w:t>
      </w:r>
      <w:r>
        <w:rPr>
          <w:rFonts w:ascii="Arial Unicode MS" w:eastAsia="Arial Unicode MS" w:hAnsi="Arial Unicode MS" w:cs="Arial Unicode MS"/>
          <w:color w:val="2B477B"/>
        </w:rPr>
        <w:t>y</w:t>
      </w:r>
      <w:r>
        <w:rPr>
          <w:color w:val="2B477B"/>
        </w:rPr>
        <w:t xml:space="preserve"> 227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300"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16 </w:t>
      </w:r>
      <w:r>
        <w:rPr>
          <w:rFonts w:ascii="Arial Unicode MS" w:eastAsia="Arial Unicode MS" w:hAnsi="Arial Unicode MS" w:cs="Arial Unicode MS"/>
          <w:color w:val="2B477B"/>
        </w:rPr>
        <w:t>y</w:t>
      </w:r>
      <w:r>
        <w:rPr>
          <w:color w:val="2B477B"/>
        </w:rPr>
        <w:t xml:space="preserve"> 47</w:t>
      </w:r>
      <w:r>
        <w:rPr>
          <w:rFonts w:ascii="Arial Unicode MS" w:eastAsia="Arial Unicode MS" w:hAnsi="Arial Unicode MS" w:cs="Arial Unicode MS"/>
          <w:color w:val="2B477B"/>
        </w:rPr>
        <w:t>.</w:t>
      </w:r>
    </w:p>
  </w:footnote>
  <w:footnote w:id="171">
    <w:p w14:paraId="57AC6590"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22</w:t>
      </w:r>
      <w:r>
        <w:rPr>
          <w:rFonts w:ascii="Arial Unicode MS" w:eastAsia="Arial Unicode MS" w:hAnsi="Arial Unicode MS" w:cs="Arial Unicode MS"/>
          <w:color w:val="2B477B"/>
        </w:rPr>
        <w:t>-</w:t>
      </w:r>
      <w:r>
        <w:rPr>
          <w:color w:val="2B477B"/>
        </w:rPr>
        <w:t>25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Ministerial</w:t>
      </w:r>
      <w:r>
        <w:rPr>
          <w:color w:val="2B477B"/>
        </w:rPr>
        <w:t xml:space="preserve"> </w:t>
      </w:r>
      <w:r>
        <w:rPr>
          <w:rFonts w:ascii="Arial Unicode MS" w:eastAsia="Arial Unicode MS" w:hAnsi="Arial Unicode MS" w:cs="Arial Unicode MS"/>
          <w:color w:val="2B477B"/>
        </w:rPr>
        <w:t>No.</w:t>
      </w:r>
      <w:r>
        <w:rPr>
          <w:color w:val="2B477B"/>
        </w:rPr>
        <w:t xml:space="preserve"> 077/2014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w:t>
      </w:r>
      <w:hyperlink r:id="rId301" w:history="1">
        <w:r>
          <w:rPr>
            <w:rStyle w:val="Hyperlink0"/>
            <w:rFonts w:ascii="Arial Unicode MS" w:eastAsia="Arial Unicode MS" w:hAnsi="Arial Unicode MS" w:cs="Arial Unicode MS"/>
          </w:rPr>
          <w:t>Guía</w:t>
        </w:r>
        <w:r>
          <w:rPr>
            <w:rStyle w:val="Hyperlink0"/>
          </w:rPr>
          <w:t xml:space="preserve"> </w:t>
        </w:r>
        <w:r>
          <w:rPr>
            <w:rStyle w:val="Hyperlink0"/>
            <w:rFonts w:ascii="Arial Unicode MS" w:eastAsia="Arial Unicode MS" w:hAnsi="Arial Unicode MS" w:cs="Arial Unicode MS"/>
          </w:rPr>
          <w:t>Nacional</w:t>
        </w:r>
        <w:r>
          <w:rPr>
            <w:rStyle w:val="Hyperlink0"/>
          </w:rPr>
          <w:t xml:space="preserve"> 17 </w:t>
        </w:r>
        <w:r>
          <w:rPr>
            <w:rStyle w:val="Hyperlink0"/>
            <w:rFonts w:ascii="Arial Unicode MS" w:eastAsia="Arial Unicode MS" w:hAnsi="Arial Unicode MS" w:cs="Arial Unicode MS"/>
          </w:rPr>
          <w:t>Normas</w:t>
        </w:r>
        <w:r>
          <w:rPr>
            <w:rStyle w:val="Hyperlink0"/>
          </w:rPr>
          <w:t xml:space="preserve"> </w:t>
        </w:r>
        <w:r>
          <w:rPr>
            <w:rStyle w:val="Hyperlink0"/>
            <w:rFonts w:ascii="Arial Unicode MS" w:eastAsia="Arial Unicode MS" w:hAnsi="Arial Unicode MS" w:cs="Arial Unicode MS"/>
          </w:rPr>
          <w:t>Bolivianas:</w:t>
        </w:r>
        <w:r>
          <w:rPr>
            <w:rStyle w:val="Hyperlink0"/>
          </w:rPr>
          <w:t xml:space="preserve"> </w:t>
        </w:r>
        <w:r>
          <w:rPr>
            <w:rStyle w:val="Hyperlink0"/>
            <w:rFonts w:ascii="Arial Unicode MS" w:eastAsia="Arial Unicode MS" w:hAnsi="Arial Unicode MS" w:cs="Arial Unicode MS"/>
          </w:rPr>
          <w:t>Accesibilidad</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al</w:t>
        </w:r>
        <w:r>
          <w:rPr>
            <w:rStyle w:val="Hyperlink0"/>
          </w:rPr>
          <w:t xml:space="preserve"> </w:t>
        </w:r>
        <w:r>
          <w:rPr>
            <w:rStyle w:val="Hyperlink0"/>
            <w:rFonts w:ascii="Arial Unicode MS" w:eastAsia="Arial Unicode MS" w:hAnsi="Arial Unicode MS" w:cs="Arial Unicode MS"/>
          </w:rPr>
          <w:t>Medio</w:t>
        </w:r>
        <w:r>
          <w:rPr>
            <w:rStyle w:val="Hyperlink0"/>
          </w:rPr>
          <w:t xml:space="preserve"> </w:t>
        </w:r>
        <w:r>
          <w:rPr>
            <w:rStyle w:val="Hyperlink0"/>
            <w:rFonts w:ascii="Arial Unicode MS" w:eastAsia="Arial Unicode MS" w:hAnsi="Arial Unicode MS" w:cs="Arial Unicode MS"/>
          </w:rPr>
          <w:t>Físico</w:t>
        </w:r>
      </w:hyperlink>
      <w:r>
        <w:rPr>
          <w:rFonts w:ascii="Arial Unicode MS" w:eastAsia="Arial Unicode MS" w:hAnsi="Arial Unicode MS" w:cs="Arial Unicode MS"/>
          <w:color w:val="2B477B"/>
        </w:rPr>
        <w:t>”.</w:t>
      </w:r>
    </w:p>
  </w:footnote>
  <w:footnote w:id="172">
    <w:p w14:paraId="0BC11E1B"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302" w:history="1">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Administrativa</w:t>
        </w:r>
        <w:r>
          <w:rPr>
            <w:color w:val="2B477B"/>
          </w:rPr>
          <w:t xml:space="preserve"> </w:t>
        </w:r>
        <w:r>
          <w:rPr>
            <w:rFonts w:ascii="Arial Unicode MS" w:eastAsia="Arial Unicode MS" w:hAnsi="Arial Unicode MS" w:cs="Arial Unicode MS"/>
            <w:color w:val="2B477B"/>
          </w:rPr>
          <w:t>Regulatoria</w:t>
        </w:r>
        <w:r>
          <w:rPr>
            <w:color w:val="2B477B"/>
          </w:rPr>
          <w:t xml:space="preserve"> </w:t>
        </w:r>
        <w:r>
          <w:rPr>
            <w:rFonts w:ascii="Arial Unicode MS" w:eastAsia="Arial Unicode MS" w:hAnsi="Arial Unicode MS" w:cs="Arial Unicode MS"/>
            <w:color w:val="2B477B"/>
          </w:rPr>
          <w:t>ATT-DJ-RAR-TL</w:t>
        </w:r>
        <w:r>
          <w:rPr>
            <w:color w:val="2B477B"/>
          </w:rPr>
          <w:t xml:space="preserve"> </w:t>
        </w:r>
        <w:r>
          <w:rPr>
            <w:rFonts w:ascii="Arial Unicode MS" w:eastAsia="Arial Unicode MS" w:hAnsi="Arial Unicode MS" w:cs="Arial Unicode MS"/>
            <w:color w:val="2B477B"/>
          </w:rPr>
          <w:t>LP</w:t>
        </w:r>
        <w:r>
          <w:rPr>
            <w:color w:val="2B477B"/>
          </w:rPr>
          <w:t xml:space="preserve"> 420/2018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del</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del</w:t>
      </w:r>
      <w:r>
        <w:rPr>
          <w:color w:val="2B477B"/>
        </w:rPr>
        <w:t xml:space="preserve"> 2018</w:t>
      </w:r>
      <w:r>
        <w:rPr>
          <w:rFonts w:ascii="Arial Unicode MS" w:eastAsia="Arial Unicode MS" w:hAnsi="Arial Unicode MS" w:cs="Arial Unicode MS"/>
          <w:color w:val="2B477B"/>
        </w:rPr>
        <w:t>;</w:t>
      </w:r>
      <w:hyperlink r:id="rId30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223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36</w:t>
      </w:r>
      <w:r>
        <w:rPr>
          <w:rFonts w:ascii="Arial Unicode MS" w:eastAsia="Arial Unicode MS" w:hAnsi="Arial Unicode MS" w:cs="Arial Unicode MS"/>
          <w:color w:val="2B477B"/>
        </w:rPr>
        <w:t>.</w:t>
      </w:r>
    </w:p>
  </w:footnote>
  <w:footnote w:id="173">
    <w:p w14:paraId="0AACAEA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40</w:t>
      </w:r>
      <w:r>
        <w:rPr>
          <w:rFonts w:ascii="Arial Unicode MS" w:eastAsia="Arial Unicode MS" w:hAnsi="Arial Unicode MS" w:cs="Arial Unicode MS"/>
          <w:color w:val="2B477B"/>
        </w:rPr>
        <w:t>-</w:t>
      </w:r>
      <w:r>
        <w:rPr>
          <w:color w:val="2B477B"/>
        </w:rPr>
        <w:t>44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04" w:history="1">
        <w:r>
          <w:rPr>
            <w:rStyle w:val="Hyperlink1"/>
            <w:rFonts w:ascii="Arial Unicode MS" w:eastAsia="Arial Unicode MS" w:hAnsi="Arial Unicode MS" w:cs="Arial Unicode MS"/>
            <w:u w:val="single"/>
          </w:rPr>
          <w:t>Constitución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República</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w:t>
        </w:r>
        <w:r>
          <w:rPr>
            <w:rStyle w:val="Hyperlink1"/>
            <w:rFonts w:ascii="Arial Unicode MS" w:eastAsia="Arial Unicode MS" w:hAnsi="Arial Unicode MS" w:cs="Arial Unicode MS"/>
            <w:u w:val="single"/>
          </w:rPr>
          <w:t>Brasil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w:t>
      </w:r>
      <w:r>
        <w:rPr>
          <w:color w:val="2B477B"/>
        </w:rPr>
        <w:t xml:space="preserve"> 244</w:t>
      </w:r>
      <w:r>
        <w:rPr>
          <w:rFonts w:ascii="Arial Unicode MS" w:eastAsia="Arial Unicode MS" w:hAnsi="Arial Unicode MS" w:cs="Arial Unicode MS"/>
          <w:color w:val="2B477B"/>
        </w:rPr>
        <w:t>.</w:t>
      </w:r>
      <w:r>
        <w:rPr>
          <w:color w:val="2B477B"/>
        </w:rPr>
        <w:t xml:space="preserve"> </w:t>
      </w:r>
    </w:p>
  </w:footnote>
  <w:footnote w:id="174">
    <w:p w14:paraId="1DB5030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40</w:t>
      </w:r>
      <w:r>
        <w:rPr>
          <w:rFonts w:ascii="Arial Unicode MS" w:eastAsia="Arial Unicode MS" w:hAnsi="Arial Unicode MS" w:cs="Arial Unicode MS"/>
          <w:color w:val="2B477B"/>
        </w:rPr>
        <w:t>-</w:t>
      </w:r>
      <w:r>
        <w:rPr>
          <w:color w:val="2B477B"/>
        </w:rPr>
        <w:t>44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05" w:history="1">
        <w:r>
          <w:rPr>
            <w:rFonts w:ascii="Arial Unicode MS" w:eastAsia="Arial Unicode MS" w:hAnsi="Arial Unicode MS" w:cs="Arial Unicode MS"/>
            <w:color w:val="2B477B"/>
          </w:rPr>
          <w:t>Reglamento</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Telecomunicaciones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Interés</w:t>
        </w:r>
        <w:r>
          <w:rPr>
            <w:color w:val="2B477B"/>
          </w:rPr>
          <w:t xml:space="preserve"> </w:t>
        </w:r>
        <w:r>
          <w:rPr>
            <w:rFonts w:ascii="Arial Unicode MS" w:eastAsia="Arial Unicode MS" w:hAnsi="Arial Unicode MS" w:cs="Arial Unicode MS"/>
            <w:color w:val="2B477B"/>
          </w:rPr>
          <w:t>Colectivo</w:t>
        </w:r>
      </w:hyperlink>
      <w:r>
        <w:rPr>
          <w:rFonts w:ascii="Arial Unicode MS" w:eastAsia="Arial Unicode MS" w:hAnsi="Arial Unicode MS" w:cs="Arial Unicode MS"/>
          <w:color w:val="2B477B"/>
        </w:rPr>
        <w:t>,</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entregada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la</w:t>
      </w:r>
      <w:r>
        <w:rPr>
          <w:color w:val="2B477B"/>
        </w:rPr>
        <w:t xml:space="preserve"> </w:t>
      </w:r>
      <w:hyperlink r:id="rId306" w:history="1">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Brasileña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Técnicas</w:t>
        </w:r>
      </w:hyperlink>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emitido</w:t>
      </w:r>
      <w:r>
        <w:rPr>
          <w:color w:val="2B477B"/>
        </w:rPr>
        <w:t xml:space="preserve"> </w:t>
      </w:r>
      <w:r>
        <w:rPr>
          <w:rFonts w:ascii="Arial Unicode MS" w:eastAsia="Arial Unicode MS" w:hAnsi="Arial Unicode MS" w:cs="Arial Unicode MS"/>
          <w:color w:val="2B477B"/>
        </w:rPr>
        <w:t>alrededor</w:t>
      </w:r>
      <w:r>
        <w:rPr>
          <w:color w:val="2B477B"/>
        </w:rPr>
        <w:t xml:space="preserve"> </w:t>
      </w:r>
      <w:r>
        <w:rPr>
          <w:rFonts w:ascii="Arial Unicode MS" w:eastAsia="Arial Unicode MS" w:hAnsi="Arial Unicode MS" w:cs="Arial Unicode MS"/>
          <w:color w:val="2B477B"/>
        </w:rPr>
        <w:t>de</w:t>
      </w:r>
      <w:r>
        <w:rPr>
          <w:color w:val="2B477B"/>
        </w:rPr>
        <w:t xml:space="preserve"> 42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establecen</w:t>
      </w:r>
      <w:r>
        <w:rPr>
          <w:color w:val="2B477B"/>
        </w:rPr>
        <w:t xml:space="preserve"> </w:t>
      </w:r>
      <w:r>
        <w:rPr>
          <w:rFonts w:ascii="Arial Unicode MS" w:eastAsia="Arial Unicode MS" w:hAnsi="Arial Unicode MS" w:cs="Arial Unicode MS"/>
          <w:color w:val="2B477B"/>
        </w:rPr>
        <w:t>requisitos</w:t>
      </w:r>
      <w:r>
        <w:rPr>
          <w:color w:val="2B477B"/>
        </w:rPr>
        <w:t xml:space="preserve"> </w:t>
      </w:r>
      <w:r>
        <w:rPr>
          <w:rFonts w:ascii="Arial Unicode MS" w:eastAsia="Arial Unicode MS" w:hAnsi="Arial Unicode MS" w:cs="Arial Unicode MS"/>
          <w:color w:val="2B477B"/>
        </w:rPr>
        <w:t>técnicos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medios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transporte,</w:t>
      </w:r>
      <w:r>
        <w:rPr>
          <w:color w:val="2B477B"/>
        </w:rPr>
        <w:t xml:space="preserve"> </w:t>
      </w:r>
      <w:r>
        <w:rPr>
          <w:rFonts w:ascii="Arial Unicode MS" w:eastAsia="Arial Unicode MS" w:hAnsi="Arial Unicode MS" w:cs="Arial Unicode MS"/>
          <w:color w:val="2B477B"/>
        </w:rPr>
        <w:t>equipamiento</w:t>
      </w:r>
      <w:r>
        <w:rPr>
          <w:color w:val="2B477B"/>
        </w:rPr>
        <w:t xml:space="preserve"> </w:t>
      </w:r>
      <w:r>
        <w:rPr>
          <w:rFonts w:ascii="Arial Unicode MS" w:eastAsia="Arial Unicode MS" w:hAnsi="Arial Unicode MS" w:cs="Arial Unicode MS"/>
          <w:color w:val="2B477B"/>
        </w:rPr>
        <w:t>urbano,</w:t>
      </w:r>
      <w:r>
        <w:rPr>
          <w:color w:val="2B477B"/>
        </w:rPr>
        <w:t xml:space="preserve"> </w:t>
      </w:r>
      <w:r>
        <w:rPr>
          <w:rFonts w:ascii="Arial Unicode MS" w:eastAsia="Arial Unicode MS" w:hAnsi="Arial Unicode MS" w:cs="Arial Unicode MS"/>
          <w:color w:val="2B477B"/>
        </w:rPr>
        <w:t>edificios,</w:t>
      </w:r>
      <w:r>
        <w:rPr>
          <w:color w:val="2B477B"/>
        </w:rPr>
        <w:t xml:space="preserve"> </w:t>
      </w:r>
      <w:r>
        <w:rPr>
          <w:rFonts w:ascii="Arial Unicode MS" w:eastAsia="Arial Unicode MS" w:hAnsi="Arial Unicode MS" w:cs="Arial Unicode MS"/>
          <w:color w:val="2B477B"/>
        </w:rPr>
        <w:t>mobiliario,</w:t>
      </w:r>
      <w:r>
        <w:rPr>
          <w:color w:val="2B477B"/>
        </w:rPr>
        <w:t xml:space="preserve"> </w:t>
      </w:r>
      <w:r>
        <w:rPr>
          <w:rFonts w:ascii="Arial Unicode MS" w:eastAsia="Arial Unicode MS" w:hAnsi="Arial Unicode MS" w:cs="Arial Unicode MS"/>
          <w:color w:val="2B477B"/>
        </w:rPr>
        <w:t>sistemas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comunicación.</w:t>
      </w:r>
      <w:r>
        <w:rPr>
          <w:color w:val="2B477B"/>
        </w:rPr>
        <w:t xml:space="preserve"> </w:t>
      </w:r>
      <w:r>
        <w:rPr>
          <w:rFonts w:ascii="Arial Unicode MS" w:eastAsia="Arial Unicode MS" w:hAnsi="Arial Unicode MS" w:cs="Arial Unicode MS"/>
          <w:color w:val="2B477B"/>
        </w:rPr>
        <w:t>Asimismo,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w:t>
      </w:r>
      <w:r>
        <w:rPr>
          <w:color w:val="2B477B"/>
        </w:rPr>
        <w:t xml:space="preserve"> </w:t>
      </w:r>
      <w:r>
        <w:rPr>
          <w:rFonts w:ascii="Arial Unicode MS" w:eastAsia="Arial Unicode MS" w:hAnsi="Arial Unicode MS" w:cs="Arial Unicode MS"/>
          <w:color w:val="2B477B"/>
        </w:rPr>
        <w:t>el</w:t>
      </w:r>
      <w:r>
        <w:rPr>
          <w:color w:val="2B477B"/>
        </w:rPr>
        <w:t xml:space="preserve"> </w:t>
      </w:r>
      <w:hyperlink r:id="rId307" w:history="1">
        <w:r>
          <w:rPr>
            <w:rStyle w:val="Hyperlink1"/>
            <w:rFonts w:ascii="Arial Unicode MS" w:eastAsia="Arial Unicode MS" w:hAnsi="Arial Unicode MS" w:cs="Arial Unicode MS"/>
            <w:u w:val="single"/>
          </w:rPr>
          <w:t>Decreto</w:t>
        </w:r>
        <w:r>
          <w:rPr>
            <w:rStyle w:val="Hyperlink1"/>
            <w:u w:val="single"/>
          </w:rPr>
          <w:t xml:space="preserve"> 5</w:t>
        </w:r>
        <w:r>
          <w:rPr>
            <w:rStyle w:val="Hyperlink1"/>
            <w:rFonts w:ascii="Arial Unicode MS" w:eastAsia="Arial Unicode MS" w:hAnsi="Arial Unicode MS" w:cs="Arial Unicode MS"/>
            <w:u w:val="single"/>
          </w:rPr>
          <w:t>.</w:t>
        </w:r>
        <w:r>
          <w:rPr>
            <w:rStyle w:val="Hyperlink1"/>
            <w:u w:val="single"/>
          </w:rPr>
          <w:t xml:space="preserve">296 </w:t>
        </w:r>
        <w:r>
          <w:rPr>
            <w:rStyle w:val="Hyperlink1"/>
            <w:rFonts w:ascii="Arial Unicode MS" w:eastAsia="Arial Unicode MS" w:hAnsi="Arial Unicode MS" w:cs="Arial Unicode MS"/>
            <w:u w:val="single"/>
          </w:rPr>
          <w:t>de</w:t>
        </w:r>
        <w:r>
          <w:rPr>
            <w:rStyle w:val="Hyperlink1"/>
            <w:u w:val="single"/>
          </w:rPr>
          <w:t xml:space="preserve"> 2004</w:t>
        </w:r>
      </w:hyperlink>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provee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generales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criterios</w:t>
      </w:r>
      <w:r>
        <w:rPr>
          <w:color w:val="2B477B"/>
        </w:rPr>
        <w:t xml:space="preserve"> </w:t>
      </w:r>
      <w:r>
        <w:rPr>
          <w:rFonts w:ascii="Arial Unicode MS" w:eastAsia="Arial Unicode MS" w:hAnsi="Arial Unicode MS" w:cs="Arial Unicode MS"/>
          <w:color w:val="2B477B"/>
        </w:rPr>
        <w:t>básicos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implementación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arquitectónica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urbana.</w:t>
      </w:r>
    </w:p>
  </w:footnote>
  <w:footnote w:id="175">
    <w:p w14:paraId="4441EC86"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105</w:t>
      </w:r>
      <w:r>
        <w:rPr>
          <w:rFonts w:ascii="Arial Unicode MS" w:eastAsia="Arial Unicode MS" w:hAnsi="Arial Unicode MS" w:cs="Arial Unicode MS"/>
          <w:color w:val="2B477B"/>
        </w:rPr>
        <w:t>-</w:t>
      </w:r>
      <w:r>
        <w:rPr>
          <w:color w:val="2B477B"/>
        </w:rPr>
        <w:t>115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08"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hyperlink>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capítulo</w:t>
      </w:r>
      <w:r>
        <w:rPr>
          <w:color w:val="2B477B"/>
        </w:rPr>
        <w:t xml:space="preserve"> </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art.</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reporte</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cuenta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menos</w:t>
      </w:r>
      <w:r>
        <w:rPr>
          <w:color w:val="2B477B"/>
        </w:rPr>
        <w:t xml:space="preserve"> 16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reglamentaciones</w:t>
      </w:r>
      <w:r>
        <w:rPr>
          <w:color w:val="2B477B"/>
        </w:rPr>
        <w:t xml:space="preserve"> </w:t>
      </w:r>
      <w:r>
        <w:rPr>
          <w:rFonts w:ascii="Arial Unicode MS" w:eastAsia="Arial Unicode MS" w:hAnsi="Arial Unicode MS" w:cs="Arial Unicode MS"/>
          <w:color w:val="2B477B"/>
        </w:rPr>
        <w:t>relacionadas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infraestructura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transporte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edificios</w:t>
      </w:r>
      <w:r>
        <w:rPr>
          <w:color w:val="2B477B"/>
        </w:rPr>
        <w:t xml:space="preserve"> </w:t>
      </w:r>
      <w:r>
        <w:rPr>
          <w:rFonts w:ascii="Arial Unicode MS" w:eastAsia="Arial Unicode MS" w:hAnsi="Arial Unicode MS" w:cs="Arial Unicode MS"/>
          <w:color w:val="2B477B"/>
        </w:rPr>
        <w:t>gubernamentales.</w:t>
      </w:r>
      <w:r>
        <w:rPr>
          <w:color w:val="2B477B"/>
        </w:rPr>
        <w:t xml:space="preserve"> </w:t>
      </w:r>
    </w:p>
  </w:footnote>
  <w:footnote w:id="176">
    <w:p w14:paraId="301BA75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78</w:t>
      </w:r>
      <w:r>
        <w:rPr>
          <w:rFonts w:ascii="Arial Unicode MS" w:eastAsia="Arial Unicode MS" w:hAnsi="Arial Unicode MS" w:cs="Arial Unicode MS"/>
          <w:color w:val="2B477B"/>
        </w:rPr>
        <w:t>-</w:t>
      </w:r>
      <w:r>
        <w:rPr>
          <w:color w:val="2B477B"/>
        </w:rPr>
        <w:t>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09" w:history="1">
        <w:r>
          <w:rPr>
            <w:rFonts w:ascii="Arial Unicode MS" w:eastAsia="Arial Unicode MS" w:hAnsi="Arial Unicode MS" w:cs="Arial Unicode MS"/>
            <w:color w:val="2B477B"/>
          </w:rPr>
          <w:t>Ley</w:t>
        </w:r>
        <w:r>
          <w:rPr>
            <w:color w:val="2B477B"/>
          </w:rPr>
          <w:t xml:space="preserve"> 769</w:t>
        </w:r>
      </w:hyperlink>
      <w:r>
        <w:rPr>
          <w:color w:val="2B477B"/>
        </w:rPr>
        <w:t xml:space="preserve"> </w:t>
      </w:r>
      <w:r>
        <w:rPr>
          <w:rFonts w:ascii="Arial Unicode MS" w:eastAsia="Arial Unicode MS" w:hAnsi="Arial Unicode MS" w:cs="Arial Unicode MS"/>
          <w:color w:val="2B477B"/>
        </w:rPr>
        <w:t>de</w:t>
      </w:r>
      <w:r>
        <w:rPr>
          <w:color w:val="2B477B"/>
        </w:rPr>
        <w:t xml:space="preserve"> 2002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expide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Tránsito</w:t>
      </w:r>
      <w:r>
        <w:rPr>
          <w:color w:val="2B477B"/>
        </w:rPr>
        <w:t xml:space="preserve"> </w:t>
      </w:r>
      <w:r>
        <w:rPr>
          <w:rFonts w:ascii="Arial Unicode MS" w:eastAsia="Arial Unicode MS" w:hAnsi="Arial Unicode MS" w:cs="Arial Unicode MS"/>
          <w:color w:val="2B477B"/>
        </w:rPr>
        <w:t>Terrestre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dictan</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disposiciones;</w:t>
      </w:r>
      <w:hyperlink r:id="rId310" w:history="1">
        <w:r>
          <w:rPr>
            <w:color w:val="2B477B"/>
          </w:rPr>
          <w:t xml:space="preserve"> </w:t>
        </w:r>
        <w:r>
          <w:rPr>
            <w:rFonts w:ascii="Arial Unicode MS" w:eastAsia="Arial Unicode MS" w:hAnsi="Arial Unicode MS" w:cs="Arial Unicode MS"/>
            <w:color w:val="2B477B"/>
          </w:rPr>
          <w:t>Ley</w:t>
        </w:r>
        <w:r>
          <w:rPr>
            <w:color w:val="2B477B"/>
          </w:rPr>
          <w:t xml:space="preserve"> 1083</w:t>
        </w:r>
      </w:hyperlink>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medio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establecen</w:t>
      </w:r>
      <w:r>
        <w:rPr>
          <w:color w:val="2B477B"/>
        </w:rPr>
        <w:t xml:space="preserve"> </w:t>
      </w:r>
      <w:r>
        <w:rPr>
          <w:rFonts w:ascii="Arial Unicode MS" w:eastAsia="Arial Unicode MS" w:hAnsi="Arial Unicode MS" w:cs="Arial Unicode MS"/>
          <w:color w:val="2B477B"/>
        </w:rPr>
        <w:t>algunas</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planeación</w:t>
      </w:r>
      <w:r>
        <w:rPr>
          <w:color w:val="2B477B"/>
        </w:rPr>
        <w:t xml:space="preserve"> </w:t>
      </w:r>
      <w:r>
        <w:rPr>
          <w:rFonts w:ascii="Arial Unicode MS" w:eastAsia="Arial Unicode MS" w:hAnsi="Arial Unicode MS" w:cs="Arial Unicode MS"/>
          <w:color w:val="2B477B"/>
        </w:rPr>
        <w:t>urbana</w:t>
      </w:r>
      <w:r>
        <w:rPr>
          <w:color w:val="2B477B"/>
        </w:rPr>
        <w:t xml:space="preserve"> </w:t>
      </w:r>
      <w:r>
        <w:rPr>
          <w:rFonts w:ascii="Arial Unicode MS" w:eastAsia="Arial Unicode MS" w:hAnsi="Arial Unicode MS" w:cs="Arial Unicode MS"/>
          <w:color w:val="2B477B"/>
        </w:rPr>
        <w:t>sostenible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dictan</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disposiciones;</w:t>
      </w:r>
      <w:r>
        <w:rPr>
          <w:color w:val="2B477B"/>
        </w:rPr>
        <w:t xml:space="preserve"> </w:t>
      </w:r>
      <w:hyperlink r:id="rId311" w:history="1">
        <w:r>
          <w:rPr>
            <w:rFonts w:ascii="Arial Unicode MS" w:eastAsia="Arial Unicode MS" w:hAnsi="Arial Unicode MS" w:cs="Arial Unicode MS"/>
            <w:color w:val="2B477B"/>
          </w:rPr>
          <w:t>Ley</w:t>
        </w:r>
        <w:r>
          <w:rPr>
            <w:color w:val="2B477B"/>
          </w:rPr>
          <w:t xml:space="preserve"> 1287</w:t>
        </w:r>
      </w:hyperlink>
      <w:r>
        <w:rPr>
          <w:color w:val="2B477B"/>
        </w:rPr>
        <w:t xml:space="preserve"> </w:t>
      </w:r>
      <w:r>
        <w:rPr>
          <w:rFonts w:ascii="Arial Unicode MS" w:eastAsia="Arial Unicode MS" w:hAnsi="Arial Unicode MS" w:cs="Arial Unicode MS"/>
          <w:color w:val="2B477B"/>
        </w:rPr>
        <w:t>de</w:t>
      </w:r>
      <w:r>
        <w:rPr>
          <w:color w:val="2B477B"/>
        </w:rPr>
        <w:t xml:space="preserve"> 2009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adiciona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361 </w:t>
      </w:r>
      <w:r>
        <w:rPr>
          <w:rFonts w:ascii="Arial Unicode MS" w:eastAsia="Arial Unicode MS" w:hAnsi="Arial Unicode MS" w:cs="Arial Unicode MS"/>
          <w:color w:val="2B477B"/>
        </w:rPr>
        <w:t>de</w:t>
      </w:r>
      <w:r>
        <w:rPr>
          <w:color w:val="2B477B"/>
        </w:rPr>
        <w:t xml:space="preserve"> 1997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Asimismo,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han</w:t>
      </w:r>
      <w:r>
        <w:rPr>
          <w:color w:val="2B477B"/>
        </w:rPr>
        <w:t xml:space="preserve"> </w:t>
      </w:r>
      <w:r>
        <w:rPr>
          <w:rFonts w:ascii="Arial Unicode MS" w:eastAsia="Arial Unicode MS" w:hAnsi="Arial Unicode MS" w:cs="Arial Unicode MS"/>
          <w:color w:val="2B477B"/>
        </w:rPr>
        <w:t>emitido</w:t>
      </w:r>
      <w:r>
        <w:rPr>
          <w:color w:val="2B477B"/>
        </w:rPr>
        <w:t xml:space="preserve"> </w:t>
      </w:r>
      <w:r>
        <w:rPr>
          <w:rFonts w:ascii="Arial Unicode MS" w:eastAsia="Arial Unicode MS" w:hAnsi="Arial Unicode MS" w:cs="Arial Unicode MS"/>
          <w:color w:val="2B477B"/>
        </w:rPr>
        <w:t>siete</w:t>
      </w:r>
      <w:r>
        <w:rPr>
          <w:color w:val="2B477B"/>
        </w:rPr>
        <w:t xml:space="preserve"> </w:t>
      </w:r>
      <w:r>
        <w:rPr>
          <w:rFonts w:ascii="Arial Unicode MS" w:eastAsia="Arial Unicode MS" w:hAnsi="Arial Unicode MS" w:cs="Arial Unicode MS"/>
          <w:color w:val="2B477B"/>
        </w:rPr>
        <w:t>Decretos:</w:t>
      </w:r>
      <w:r>
        <w:rPr>
          <w:color w:val="2B477B"/>
        </w:rPr>
        <w:t xml:space="preserve"> </w:t>
      </w:r>
      <w:hyperlink r:id="rId312" w:history="1">
        <w:r>
          <w:rPr>
            <w:color w:val="2B477B"/>
          </w:rPr>
          <w:t>1079</w:t>
        </w:r>
      </w:hyperlink>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hyperlink r:id="rId313" w:history="1">
        <w:r>
          <w:rPr>
            <w:color w:val="2B477B"/>
          </w:rPr>
          <w:t xml:space="preserve">1504 </w:t>
        </w:r>
      </w:hyperlink>
      <w:r>
        <w:rPr>
          <w:rFonts w:ascii="Arial Unicode MS" w:eastAsia="Arial Unicode MS" w:hAnsi="Arial Unicode MS" w:cs="Arial Unicode MS"/>
          <w:color w:val="2B477B"/>
        </w:rPr>
        <w:t>de</w:t>
      </w:r>
      <w:r>
        <w:rPr>
          <w:color w:val="2B477B"/>
        </w:rPr>
        <w:t xml:space="preserve"> 1998</w:t>
      </w:r>
      <w:r>
        <w:rPr>
          <w:rFonts w:ascii="Arial Unicode MS" w:eastAsia="Arial Unicode MS" w:hAnsi="Arial Unicode MS" w:cs="Arial Unicode MS"/>
          <w:color w:val="2B477B"/>
        </w:rPr>
        <w:t>;</w:t>
      </w:r>
      <w:r>
        <w:rPr>
          <w:color w:val="2B477B"/>
        </w:rPr>
        <w:t xml:space="preserve"> </w:t>
      </w:r>
      <w:hyperlink r:id="rId314" w:history="1">
        <w:r>
          <w:rPr>
            <w:color w:val="2B477B"/>
          </w:rPr>
          <w:t>1660</w:t>
        </w:r>
      </w:hyperlink>
      <w:r>
        <w:rPr>
          <w:color w:val="2B477B"/>
        </w:rPr>
        <w:t xml:space="preserve"> </w:t>
      </w:r>
      <w:r>
        <w:rPr>
          <w:rFonts w:ascii="Arial Unicode MS" w:eastAsia="Arial Unicode MS" w:hAnsi="Arial Unicode MS" w:cs="Arial Unicode MS"/>
          <w:color w:val="2B477B"/>
        </w:rPr>
        <w:t>de</w:t>
      </w:r>
      <w:r>
        <w:rPr>
          <w:color w:val="2B477B"/>
        </w:rPr>
        <w:t xml:space="preserve"> 2003</w:t>
      </w:r>
      <w:r>
        <w:rPr>
          <w:rFonts w:ascii="Arial Unicode MS" w:eastAsia="Arial Unicode MS" w:hAnsi="Arial Unicode MS" w:cs="Arial Unicode MS"/>
          <w:color w:val="2B477B"/>
        </w:rPr>
        <w:t>,</w:t>
      </w:r>
      <w:r>
        <w:rPr>
          <w:color w:val="2B477B"/>
        </w:rPr>
        <w:t xml:space="preserve"> </w:t>
      </w:r>
      <w:hyperlink r:id="rId315" w:history="1">
        <w:r>
          <w:rPr>
            <w:color w:val="2B477B"/>
          </w:rPr>
          <w:t xml:space="preserve">1538 </w:t>
        </w:r>
        <w:r>
          <w:rPr>
            <w:rFonts w:ascii="Arial Unicode MS" w:eastAsia="Arial Unicode MS" w:hAnsi="Arial Unicode MS" w:cs="Arial Unicode MS"/>
            <w:color w:val="2B477B"/>
          </w:rPr>
          <w:t>de</w:t>
        </w:r>
      </w:hyperlink>
      <w:r>
        <w:rPr>
          <w:color w:val="2B477B"/>
        </w:rPr>
        <w:t xml:space="preserve"> 2005</w:t>
      </w:r>
      <w:r>
        <w:rPr>
          <w:rFonts w:ascii="Arial Unicode MS" w:eastAsia="Arial Unicode MS" w:hAnsi="Arial Unicode MS" w:cs="Arial Unicode MS"/>
          <w:color w:val="2B477B"/>
        </w:rPr>
        <w:t>,</w:t>
      </w:r>
      <w:r>
        <w:rPr>
          <w:color w:val="2B477B"/>
        </w:rPr>
        <w:t xml:space="preserve"> </w:t>
      </w:r>
      <w:hyperlink r:id="rId316" w:history="1">
        <w:r>
          <w:rPr>
            <w:color w:val="2B477B"/>
          </w:rPr>
          <w:t>103</w:t>
        </w:r>
      </w:hyperlink>
      <w:r>
        <w:rPr>
          <w:color w:val="2B477B"/>
        </w:rPr>
        <w:t xml:space="preserve"> </w:t>
      </w:r>
      <w:r>
        <w:rPr>
          <w:rFonts w:ascii="Arial Unicode MS" w:eastAsia="Arial Unicode MS" w:hAnsi="Arial Unicode MS" w:cs="Arial Unicode MS"/>
          <w:color w:val="2B477B"/>
        </w:rPr>
        <w:t>y</w:t>
      </w:r>
      <w:r>
        <w:rPr>
          <w:color w:val="2B477B"/>
        </w:rPr>
        <w:t xml:space="preserve"> </w:t>
      </w:r>
      <w:hyperlink r:id="rId317" w:history="1">
        <w:r>
          <w:rPr>
            <w:color w:val="2B477B"/>
          </w:rPr>
          <w:t>348</w:t>
        </w:r>
      </w:hyperlink>
      <w:r>
        <w:rPr>
          <w:color w:val="2B477B"/>
        </w:rPr>
        <w:t xml:space="preserve"> </w:t>
      </w:r>
      <w:r>
        <w:rPr>
          <w:rFonts w:ascii="Arial Unicode MS" w:eastAsia="Arial Unicode MS" w:hAnsi="Arial Unicode MS" w:cs="Arial Unicode MS"/>
          <w:color w:val="2B477B"/>
        </w:rPr>
        <w:t>del</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seis</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técnicas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especificaciones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ámbitos</w:t>
      </w:r>
      <w:r>
        <w:rPr>
          <w:color w:val="2B477B"/>
        </w:rPr>
        <w:t xml:space="preserve"> </w:t>
      </w:r>
      <w:r>
        <w:rPr>
          <w:rFonts w:ascii="Arial Unicode MS" w:eastAsia="Arial Unicode MS" w:hAnsi="Arial Unicode MS" w:cs="Arial Unicode MS"/>
          <w:color w:val="2B477B"/>
        </w:rPr>
        <w:t>referidos:</w:t>
      </w:r>
      <w:r>
        <w:rPr>
          <w:color w:val="2B477B"/>
        </w:rPr>
        <w:t xml:space="preserve"> </w:t>
      </w:r>
      <w:r>
        <w:rPr>
          <w:rFonts w:ascii="Arial Unicode MS" w:eastAsia="Arial Unicode MS" w:hAnsi="Arial Unicode MS" w:cs="Arial Unicode MS"/>
          <w:color w:val="2B477B"/>
        </w:rPr>
        <w:t>Norma</w:t>
      </w:r>
      <w:r>
        <w:rPr>
          <w:color w:val="2B477B"/>
        </w:rPr>
        <w:t xml:space="preserve"> </w:t>
      </w:r>
      <w:r>
        <w:rPr>
          <w:rFonts w:ascii="Arial Unicode MS" w:eastAsia="Arial Unicode MS" w:hAnsi="Arial Unicode MS" w:cs="Arial Unicode MS"/>
          <w:color w:val="2B477B"/>
        </w:rPr>
        <w:t>Técnica</w:t>
      </w:r>
      <w:r>
        <w:rPr>
          <w:color w:val="2B477B"/>
        </w:rPr>
        <w:t xml:space="preserve"> </w:t>
      </w:r>
      <w:r>
        <w:rPr>
          <w:rFonts w:ascii="Arial Unicode MS" w:eastAsia="Arial Unicode MS" w:hAnsi="Arial Unicode MS" w:cs="Arial Unicode MS"/>
          <w:color w:val="2B477B"/>
        </w:rPr>
        <w:t>Colombiana</w:t>
      </w:r>
      <w:r>
        <w:rPr>
          <w:color w:val="2B477B"/>
        </w:rPr>
        <w:t xml:space="preserve"> </w:t>
      </w:r>
      <w:hyperlink r:id="rId318" w:history="1">
        <w:r>
          <w:rPr>
            <w:color w:val="2B477B"/>
          </w:rPr>
          <w:t>6047</w:t>
        </w:r>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criterios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requisitos</w:t>
      </w:r>
      <w:r>
        <w:rPr>
          <w:color w:val="2B477B"/>
        </w:rPr>
        <w:t xml:space="preserve"> </w:t>
      </w:r>
      <w:r>
        <w:rPr>
          <w:rFonts w:ascii="Arial Unicode MS" w:eastAsia="Arial Unicode MS" w:hAnsi="Arial Unicode MS" w:cs="Arial Unicode MS"/>
          <w:color w:val="2B477B"/>
        </w:rPr>
        <w:t>generales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señalización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medio</w:t>
      </w:r>
      <w:r>
        <w:rPr>
          <w:color w:val="2B477B"/>
        </w:rPr>
        <w:t xml:space="preserve"> </w:t>
      </w:r>
      <w:r>
        <w:rPr>
          <w:rFonts w:ascii="Arial Unicode MS" w:eastAsia="Arial Unicode MS" w:hAnsi="Arial Unicode MS" w:cs="Arial Unicode MS"/>
          <w:color w:val="2B477B"/>
        </w:rPr>
        <w:t>físico,</w:t>
      </w:r>
      <w:r>
        <w:rPr>
          <w:color w:val="2B477B"/>
        </w:rPr>
        <w:t xml:space="preserve"> </w:t>
      </w:r>
      <w:hyperlink r:id="rId319" w:history="1">
        <w:r>
          <w:rPr>
            <w:color w:val="2B477B"/>
          </w:rPr>
          <w:t>4145</w:t>
        </w:r>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señala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dimensiones</w:t>
      </w:r>
      <w:r>
        <w:rPr>
          <w:color w:val="2B477B"/>
        </w:rPr>
        <w:t xml:space="preserve"> </w:t>
      </w:r>
      <w:r>
        <w:rPr>
          <w:rFonts w:ascii="Arial Unicode MS" w:eastAsia="Arial Unicode MS" w:hAnsi="Arial Unicode MS" w:cs="Arial Unicode MS"/>
          <w:color w:val="2B477B"/>
        </w:rPr>
        <w:t>mínimas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características</w:t>
      </w:r>
      <w:r>
        <w:rPr>
          <w:color w:val="2B477B"/>
        </w:rPr>
        <w:t xml:space="preserve"> </w:t>
      </w:r>
      <w:r>
        <w:rPr>
          <w:rFonts w:ascii="Arial Unicode MS" w:eastAsia="Arial Unicode MS" w:hAnsi="Arial Unicode MS" w:cs="Arial Unicode MS"/>
          <w:color w:val="2B477B"/>
        </w:rPr>
        <w:t>generales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deben</w:t>
      </w:r>
      <w:r>
        <w:rPr>
          <w:color w:val="2B477B"/>
        </w:rPr>
        <w:t xml:space="preserve"> </w:t>
      </w:r>
      <w:r>
        <w:rPr>
          <w:rFonts w:ascii="Arial Unicode MS" w:eastAsia="Arial Unicode MS" w:hAnsi="Arial Unicode MS" w:cs="Arial Unicode MS"/>
          <w:color w:val="2B477B"/>
        </w:rPr>
        <w:t>cumplir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escaleras</w:t>
      </w:r>
      <w:r>
        <w:rPr>
          <w:color w:val="2B477B"/>
        </w:rPr>
        <w:t xml:space="preserve"> </w:t>
      </w:r>
      <w:r>
        <w:rPr>
          <w:rFonts w:ascii="Arial Unicode MS" w:eastAsia="Arial Unicode MS" w:hAnsi="Arial Unicode MS" w:cs="Arial Unicode MS"/>
          <w:color w:val="2B477B"/>
        </w:rPr>
        <w:t>principales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edificios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espacios</w:t>
      </w:r>
      <w:r>
        <w:rPr>
          <w:color w:val="2B477B"/>
        </w:rPr>
        <w:t xml:space="preserve"> </w:t>
      </w:r>
      <w:r>
        <w:rPr>
          <w:rFonts w:ascii="Arial Unicode MS" w:eastAsia="Arial Unicode MS" w:hAnsi="Arial Unicode MS" w:cs="Arial Unicode MS"/>
          <w:color w:val="2B477B"/>
        </w:rPr>
        <w:t>urbanos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rurales,</w:t>
      </w:r>
      <w:r>
        <w:rPr>
          <w:color w:val="2B477B"/>
        </w:rPr>
        <w:t xml:space="preserve"> </w:t>
      </w:r>
      <w:hyperlink r:id="rId320" w:history="1">
        <w:r>
          <w:rPr>
            <w:color w:val="2B477B"/>
          </w:rPr>
          <w:t>4140</w:t>
        </w:r>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dimensiones</w:t>
      </w:r>
      <w:r>
        <w:rPr>
          <w:color w:val="2B477B"/>
        </w:rPr>
        <w:t xml:space="preserve"> </w:t>
      </w:r>
      <w:r>
        <w:rPr>
          <w:rFonts w:ascii="Arial Unicode MS" w:eastAsia="Arial Unicode MS" w:hAnsi="Arial Unicode MS" w:cs="Arial Unicode MS"/>
          <w:color w:val="2B477B"/>
        </w:rPr>
        <w:t>mínimas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características</w:t>
      </w:r>
      <w:r>
        <w:rPr>
          <w:color w:val="2B477B"/>
        </w:rPr>
        <w:t xml:space="preserve"> </w:t>
      </w:r>
      <w:r>
        <w:rPr>
          <w:rFonts w:ascii="Arial Unicode MS" w:eastAsia="Arial Unicode MS" w:hAnsi="Arial Unicode MS" w:cs="Arial Unicode MS"/>
          <w:color w:val="2B477B"/>
        </w:rPr>
        <w:t>funcionales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constructivas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deben</w:t>
      </w:r>
      <w:r>
        <w:rPr>
          <w:color w:val="2B477B"/>
        </w:rPr>
        <w:t xml:space="preserve"> </w:t>
      </w:r>
      <w:r>
        <w:rPr>
          <w:rFonts w:ascii="Arial Unicode MS" w:eastAsia="Arial Unicode MS" w:hAnsi="Arial Unicode MS" w:cs="Arial Unicode MS"/>
          <w:color w:val="2B477B"/>
        </w:rPr>
        <w:t>cumplir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pasillos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corredores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edificios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espacios</w:t>
      </w:r>
      <w:r>
        <w:rPr>
          <w:color w:val="2B477B"/>
        </w:rPr>
        <w:t xml:space="preserve"> </w:t>
      </w:r>
      <w:r>
        <w:rPr>
          <w:rFonts w:ascii="Arial Unicode MS" w:eastAsia="Arial Unicode MS" w:hAnsi="Arial Unicode MS" w:cs="Arial Unicode MS"/>
          <w:color w:val="2B477B"/>
        </w:rPr>
        <w:t>urbanos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rurales,</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otras.</w:t>
      </w:r>
      <w:r>
        <w:rPr>
          <w:color w:val="2B477B"/>
        </w:rPr>
        <w:t xml:space="preserve"> </w:t>
      </w:r>
    </w:p>
  </w:footnote>
  <w:footnote w:id="177">
    <w:p w14:paraId="2FF0C76C"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ejemplo,</w:t>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mencionadas,</w:t>
      </w:r>
      <w:r>
        <w:rPr>
          <w:color w:val="2B477B"/>
        </w:rPr>
        <w:t xml:space="preserve"> </w:t>
      </w:r>
      <w:r>
        <w:rPr>
          <w:rFonts w:ascii="Arial Unicode MS" w:eastAsia="Arial Unicode MS" w:hAnsi="Arial Unicode MS" w:cs="Arial Unicode MS"/>
          <w:color w:val="2B477B"/>
        </w:rPr>
        <w:t>la</w:t>
      </w:r>
      <w:r>
        <w:rPr>
          <w:color w:val="2B477B"/>
        </w:rPr>
        <w:t xml:space="preserve"> </w:t>
      </w:r>
      <w:hyperlink r:id="rId321" w:history="1">
        <w:r>
          <w:rPr>
            <w:rFonts w:ascii="Arial Unicode MS" w:eastAsia="Arial Unicode MS" w:hAnsi="Arial Unicode MS" w:cs="Arial Unicode MS"/>
            <w:color w:val="2B477B"/>
          </w:rPr>
          <w:t>Resolución</w:t>
        </w:r>
        <w:r>
          <w:rPr>
            <w:color w:val="2B477B"/>
          </w:rPr>
          <w:t xml:space="preserve"> 20223040030355 </w:t>
        </w:r>
      </w:hyperlink>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modifica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numeral</w:t>
      </w:r>
      <w:r>
        <w:rPr>
          <w:color w:val="2B477B"/>
        </w:rPr>
        <w:t xml:space="preserve"> 2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anexo</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No.</w:t>
      </w:r>
      <w:r>
        <w:rPr>
          <w:color w:val="2B477B"/>
        </w:rPr>
        <w:t xml:space="preserve"> 2017 </w:t>
      </w:r>
      <w:r>
        <w:rPr>
          <w:rFonts w:ascii="Arial Unicode MS" w:eastAsia="Arial Unicode MS" w:hAnsi="Arial Unicode MS" w:cs="Arial Unicode MS"/>
          <w:color w:val="2B477B"/>
        </w:rPr>
        <w:t>de</w:t>
      </w:r>
      <w:r>
        <w:rPr>
          <w:color w:val="2B477B"/>
        </w:rPr>
        <w:t xml:space="preserve"> 2014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reglamenta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expedición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certificados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aptitud</w:t>
      </w:r>
      <w:r>
        <w:rPr>
          <w:color w:val="2B477B"/>
        </w:rPr>
        <w:t xml:space="preserve"> </w:t>
      </w:r>
      <w:r>
        <w:rPr>
          <w:rFonts w:ascii="Arial Unicode MS" w:eastAsia="Arial Unicode MS" w:hAnsi="Arial Unicode MS" w:cs="Arial Unicode MS"/>
          <w:color w:val="2B477B"/>
        </w:rPr>
        <w:t>física,</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coordinación</w:t>
      </w:r>
      <w:r>
        <w:rPr>
          <w:color w:val="2B477B"/>
        </w:rPr>
        <w:t xml:space="preserve"> </w:t>
      </w:r>
      <w:r>
        <w:rPr>
          <w:rFonts w:ascii="Arial Unicode MS" w:eastAsia="Arial Unicode MS" w:hAnsi="Arial Unicode MS" w:cs="Arial Unicode MS"/>
          <w:color w:val="2B477B"/>
        </w:rPr>
        <w:t>motriz</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conducción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vehículos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dictan</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disposiciones”.</w:t>
      </w:r>
    </w:p>
  </w:footnote>
  <w:footnote w:id="178">
    <w:p w14:paraId="431F40E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78</w:t>
      </w:r>
      <w:r>
        <w:rPr>
          <w:rFonts w:ascii="Arial Unicode MS" w:eastAsia="Arial Unicode MS" w:hAnsi="Arial Unicode MS" w:cs="Arial Unicode MS"/>
          <w:color w:val="2B477B"/>
        </w:rPr>
        <w:t>-</w:t>
      </w:r>
      <w:r>
        <w:rPr>
          <w:color w:val="2B477B"/>
        </w:rPr>
        <w:t>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hyperlink r:id="rId322" w:history="1">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12</w:t>
        </w:r>
      </w:hyperlink>
      <w:r>
        <w:rPr>
          <w:rFonts w:ascii="Arial Unicode MS" w:eastAsia="Arial Unicode MS" w:hAnsi="Arial Unicode MS" w:cs="Arial Unicode MS"/>
          <w:color w:val="2B477B"/>
        </w:rPr>
        <w:t>,</w:t>
      </w:r>
      <w:r>
        <w:rPr>
          <w:color w:val="2B477B"/>
        </w:rPr>
        <w:t xml:space="preserve"> 1987</w:t>
      </w:r>
      <w:r>
        <w:rPr>
          <w:rFonts w:ascii="Arial Unicode MS" w:eastAsia="Arial Unicode MS" w:hAnsi="Arial Unicode MS" w:cs="Arial Unicode MS"/>
          <w:color w:val="2B477B"/>
        </w:rPr>
        <w:t>.</w:t>
      </w:r>
      <w:r>
        <w:rPr>
          <w:color w:val="2B477B"/>
        </w:rPr>
        <w:t xml:space="preserve"> </w:t>
      </w:r>
    </w:p>
  </w:footnote>
  <w:footnote w:id="179">
    <w:p w14:paraId="21094FA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78</w:t>
      </w:r>
      <w:r>
        <w:rPr>
          <w:rFonts w:ascii="Arial Unicode MS" w:eastAsia="Arial Unicode MS" w:hAnsi="Arial Unicode MS" w:cs="Arial Unicode MS"/>
          <w:color w:val="2B477B"/>
        </w:rPr>
        <w:t>-</w:t>
      </w:r>
      <w:r>
        <w:rPr>
          <w:color w:val="2B477B"/>
        </w:rPr>
        <w:t>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Tecnologías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Comunicaciones,</w:t>
      </w:r>
      <w:r>
        <w:rPr>
          <w:color w:val="2B477B"/>
        </w:rPr>
        <w:t xml:space="preserve"> </w:t>
      </w:r>
      <w:hyperlink r:id="rId323" w:history="1">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Relevo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iniciativa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Relevo</w:t>
      </w:r>
      <w:r>
        <w:rPr>
          <w:color w:val="2B477B"/>
        </w:rPr>
        <w:t xml:space="preserve"> </w:t>
      </w:r>
      <w:r>
        <w:rPr>
          <w:rFonts w:ascii="Arial Unicode MS" w:eastAsia="Arial Unicode MS" w:hAnsi="Arial Unicode MS" w:cs="Arial Unicode MS"/>
          <w:color w:val="2B477B"/>
        </w:rPr>
        <w:t>colombiano</w:t>
      </w:r>
      <w:r>
        <w:rPr>
          <w:color w:val="2B477B"/>
        </w:rPr>
        <w:t xml:space="preserve"> </w:t>
      </w:r>
      <w:r>
        <w:rPr>
          <w:rFonts w:ascii="Arial Unicode MS" w:eastAsia="Arial Unicode MS" w:hAnsi="Arial Unicode MS" w:cs="Arial Unicode MS"/>
          <w:color w:val="2B477B"/>
        </w:rPr>
        <w:t>está</w:t>
      </w:r>
      <w:r>
        <w:rPr>
          <w:color w:val="2B477B"/>
        </w:rPr>
        <w:t xml:space="preserve"> </w:t>
      </w:r>
      <w:r>
        <w:rPr>
          <w:rFonts w:ascii="Arial Unicode MS" w:eastAsia="Arial Unicode MS" w:hAnsi="Arial Unicode MS" w:cs="Arial Unicode MS"/>
          <w:color w:val="2B477B"/>
        </w:rPr>
        <w:t>siendo</w:t>
      </w:r>
      <w:r>
        <w:rPr>
          <w:color w:val="2B477B"/>
        </w:rPr>
        <w:t xml:space="preserve"> </w:t>
      </w:r>
      <w:r>
        <w:rPr>
          <w:rFonts w:ascii="Arial Unicode MS" w:eastAsia="Arial Unicode MS" w:hAnsi="Arial Unicode MS" w:cs="Arial Unicode MS"/>
          <w:color w:val="2B477B"/>
        </w:rPr>
        <w:t>replicada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Servicio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ese</w:t>
      </w:r>
      <w:r>
        <w:rPr>
          <w:color w:val="2B477B"/>
        </w:rPr>
        <w:t xml:space="preserve"> </w:t>
      </w:r>
      <w:r>
        <w:rPr>
          <w:rFonts w:ascii="Arial Unicode MS" w:eastAsia="Arial Unicode MS" w:hAnsi="Arial Unicode MS" w:cs="Arial Unicode MS"/>
          <w:color w:val="2B477B"/>
        </w:rPr>
        <w:t>país</w:t>
      </w:r>
      <w:r>
        <w:rPr>
          <w:color w:val="2B477B"/>
        </w:rPr>
        <w:t xml:space="preserve"> </w:t>
      </w:r>
      <w:r>
        <w:rPr>
          <w:rFonts w:ascii="Arial Unicode MS" w:eastAsia="Arial Unicode MS" w:hAnsi="Arial Unicode MS" w:cs="Arial Unicode MS"/>
          <w:color w:val="2B477B"/>
        </w:rPr>
        <w:t>bajo</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acuerdo</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ambos</w:t>
      </w:r>
      <w:r>
        <w:rPr>
          <w:color w:val="2B477B"/>
        </w:rPr>
        <w:t xml:space="preserve"> </w:t>
      </w:r>
      <w:r>
        <w:rPr>
          <w:rFonts w:ascii="Arial Unicode MS" w:eastAsia="Arial Unicode MS" w:hAnsi="Arial Unicode MS" w:cs="Arial Unicode MS"/>
          <w:color w:val="2B477B"/>
        </w:rPr>
        <w:t>países.</w:t>
      </w:r>
      <w:r>
        <w:rPr>
          <w:color w:val="2B477B"/>
        </w:rPr>
        <w:t xml:space="preserve"> </w:t>
      </w:r>
    </w:p>
  </w:footnote>
  <w:footnote w:id="180">
    <w:p w14:paraId="7D42B2C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78</w:t>
      </w:r>
      <w:r>
        <w:rPr>
          <w:rFonts w:ascii="Arial Unicode MS" w:eastAsia="Arial Unicode MS" w:hAnsi="Arial Unicode MS" w:cs="Arial Unicode MS"/>
          <w:color w:val="2B477B"/>
        </w:rPr>
        <w:t>-</w:t>
      </w:r>
      <w:r>
        <w:rPr>
          <w:color w:val="2B477B"/>
        </w:rPr>
        <w:t>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24" w:history="1">
        <w:r>
          <w:rPr>
            <w:rFonts w:ascii="Arial Unicode MS" w:eastAsia="Arial Unicode MS" w:hAnsi="Arial Unicode MS" w:cs="Arial Unicode MS"/>
            <w:color w:val="2B477B"/>
          </w:rPr>
          <w:t>Licencia</w:t>
        </w:r>
        <w:r>
          <w:rPr>
            <w:color w:val="2B477B"/>
          </w:rPr>
          <w:t xml:space="preserve"> </w:t>
        </w:r>
        <w:r>
          <w:rPr>
            <w:rFonts w:ascii="Arial Unicode MS" w:eastAsia="Arial Unicode MS" w:hAnsi="Arial Unicode MS" w:cs="Arial Unicode MS"/>
            <w:color w:val="2B477B"/>
          </w:rPr>
          <w:t>País</w:t>
        </w:r>
      </w:hyperlink>
      <w:r>
        <w:rPr>
          <w:rFonts w:ascii="Arial Unicode MS" w:eastAsia="Arial Unicode MS" w:hAnsi="Arial Unicode MS" w:cs="Arial Unicode MS"/>
          <w:color w:val="2B477B"/>
        </w:rPr>
        <w:t>.</w:t>
      </w:r>
      <w:r>
        <w:rPr>
          <w:color w:val="2B477B"/>
        </w:rPr>
        <w:t xml:space="preserve"> </w:t>
      </w:r>
    </w:p>
  </w:footnote>
  <w:footnote w:id="181">
    <w:p w14:paraId="02D1841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25" w:history="1">
        <w:r>
          <w:rPr>
            <w:rFonts w:ascii="Arial Unicode MS" w:eastAsia="Arial Unicode MS" w:hAnsi="Arial Unicode MS" w:cs="Arial Unicode MS"/>
            <w:color w:val="2B477B"/>
          </w:rPr>
          <w:t>Ley</w:t>
        </w:r>
        <w:r>
          <w:rPr>
            <w:color w:val="2B477B"/>
          </w:rPr>
          <w:t xml:space="preserve"> 24</w:t>
        </w:r>
        <w:r>
          <w:rPr>
            <w:rFonts w:ascii="Arial Unicode MS" w:eastAsia="Arial Unicode MS" w:hAnsi="Arial Unicode MS" w:cs="Arial Unicode MS"/>
            <w:color w:val="2B477B"/>
          </w:rPr>
          <w:t>.</w:t>
        </w:r>
        <w:r>
          <w:rPr>
            <w:color w:val="2B477B"/>
          </w:rPr>
          <w:t>314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Movilidad</w:t>
        </w:r>
        <w:r>
          <w:rPr>
            <w:color w:val="2B477B"/>
          </w:rPr>
          <w:t xml:space="preserve"> </w:t>
        </w:r>
        <w:r>
          <w:rPr>
            <w:rFonts w:ascii="Arial Unicode MS" w:eastAsia="Arial Unicode MS" w:hAnsi="Arial Unicode MS" w:cs="Arial Unicode MS"/>
            <w:color w:val="2B477B"/>
          </w:rPr>
          <w:t>Reducida</w:t>
        </w:r>
      </w:hyperlink>
      <w:r>
        <w:rPr>
          <w:rFonts w:ascii="Arial Unicode MS" w:eastAsia="Arial Unicode MS" w:hAnsi="Arial Unicode MS" w:cs="Arial Unicode MS"/>
          <w:color w:val="2B477B"/>
        </w:rPr>
        <w:t>.</w:t>
      </w:r>
    </w:p>
  </w:footnote>
  <w:footnote w:id="182">
    <w:p w14:paraId="3AC438B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L</w:t>
      </w:r>
      <w:hyperlink r:id="rId326" w:history="1">
        <w:r>
          <w:rPr>
            <w:rFonts w:ascii="Arial Unicode MS" w:eastAsia="Arial Unicode MS" w:hAnsi="Arial Unicode MS" w:cs="Arial Unicode MS"/>
            <w:color w:val="2B477B"/>
          </w:rPr>
          <w:t>ey</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Turismo</w:t>
        </w:r>
        <w:r>
          <w:rPr>
            <w:color w:val="2B477B"/>
          </w:rPr>
          <w:t xml:space="preserve"> </w:t>
        </w:r>
        <w:r>
          <w:rPr>
            <w:rFonts w:ascii="Arial Unicode MS" w:eastAsia="Arial Unicode MS" w:hAnsi="Arial Unicode MS" w:cs="Arial Unicode MS"/>
            <w:color w:val="2B477B"/>
          </w:rPr>
          <w:t>Accesible,</w:t>
        </w:r>
        <w:r>
          <w:rPr>
            <w:color w:val="2B477B"/>
          </w:rPr>
          <w:t xml:space="preserve"> </w:t>
        </w:r>
        <w:r>
          <w:rPr>
            <w:rFonts w:ascii="Arial Unicode MS" w:eastAsia="Arial Unicode MS" w:hAnsi="Arial Unicode MS" w:cs="Arial Unicode MS"/>
            <w:color w:val="2B477B"/>
          </w:rPr>
          <w:t>N.</w:t>
        </w:r>
        <w:r>
          <w:rPr>
            <w:color w:val="2B477B"/>
          </w:rPr>
          <w:t xml:space="preserve"> 25</w:t>
        </w:r>
        <w:r>
          <w:rPr>
            <w:rFonts w:ascii="Arial Unicode MS" w:eastAsia="Arial Unicode MS" w:hAnsi="Arial Unicode MS" w:cs="Arial Unicode MS"/>
            <w:color w:val="2B477B"/>
          </w:rPr>
          <w:t>,</w:t>
        </w:r>
        <w:r>
          <w:rPr>
            <w:color w:val="2B477B"/>
          </w:rPr>
          <w:t>643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hyperlink>
    </w:p>
  </w:footnote>
  <w:footnote w:id="183">
    <w:p w14:paraId="14C1D68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27" w:history="1">
        <w:r>
          <w:rPr>
            <w:rFonts w:ascii="Arial Unicode MS" w:eastAsia="Arial Unicode MS" w:hAnsi="Arial Unicode MS" w:cs="Arial Unicode MS"/>
            <w:color w:val="2B477B"/>
          </w:rPr>
          <w:t>Ley</w:t>
        </w:r>
        <w:r>
          <w:rPr>
            <w:color w:val="2B477B"/>
          </w:rPr>
          <w:t xml:space="preserve"> </w:t>
        </w:r>
      </w:hyperlink>
      <w:hyperlink r:id="rId328" w:history="1">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n);</w:t>
      </w:r>
      <w:r>
        <w:rPr>
          <w:color w:val="2B477B"/>
        </w:rPr>
        <w:t xml:space="preserve"> </w:t>
      </w:r>
      <w:hyperlink r:id="rId32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Superior,</w:t>
        </w:r>
        <w:r>
          <w:rPr>
            <w:color w:val="2B477B"/>
          </w:rPr>
          <w:t xml:space="preserve"> </w:t>
        </w:r>
        <w:r>
          <w:rPr>
            <w:rFonts w:ascii="Arial Unicode MS" w:eastAsia="Arial Unicode MS" w:hAnsi="Arial Unicode MS" w:cs="Arial Unicode MS"/>
            <w:color w:val="2B477B"/>
          </w:rPr>
          <w:t>arts.</w:t>
        </w:r>
        <w:r>
          <w:rPr>
            <w:color w:val="2B477B"/>
          </w:rPr>
          <w:t xml:space="preserve"> 1 </w:t>
        </w:r>
        <w:r>
          <w:rPr>
            <w:rFonts w:ascii="Arial Unicode MS" w:eastAsia="Arial Unicode MS" w:hAnsi="Arial Unicode MS" w:cs="Arial Unicode MS"/>
            <w:color w:val="2B477B"/>
          </w:rPr>
          <w:t>y</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hyperlink>
      <w:hyperlink r:id="rId330" w:history="1">
        <w:r>
          <w:rPr>
            <w:rFonts w:ascii="Arial Unicode MS" w:eastAsia="Arial Unicode MS" w:hAnsi="Arial Unicode MS" w:cs="Arial Unicode MS"/>
            <w:color w:val="2B477B"/>
          </w:rPr>
          <w:t>No.</w:t>
        </w:r>
        <w:r>
          <w:rPr>
            <w:color w:val="2B477B"/>
          </w:rPr>
          <w:t xml:space="preserve"> 25</w:t>
        </w:r>
        <w:r>
          <w:rPr>
            <w:rFonts w:ascii="Arial Unicode MS" w:eastAsia="Arial Unicode MS" w:hAnsi="Arial Unicode MS" w:cs="Arial Unicode MS"/>
            <w:color w:val="2B477B"/>
          </w:rPr>
          <w:t>.</w:t>
        </w:r>
        <w:r>
          <w:rPr>
            <w:color w:val="2B477B"/>
          </w:rPr>
          <w:t>573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modificatoria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24</w:t>
      </w:r>
      <w:r>
        <w:rPr>
          <w:rFonts w:ascii="Arial Unicode MS" w:eastAsia="Arial Unicode MS" w:hAnsi="Arial Unicode MS" w:cs="Arial Unicode MS"/>
          <w:color w:val="2B477B"/>
        </w:rPr>
        <w:t>.</w:t>
      </w:r>
      <w:r>
        <w:rPr>
          <w:color w:val="2B477B"/>
        </w:rPr>
        <w:t>521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26</w:t>
      </w:r>
      <w:r>
        <w:rPr>
          <w:rFonts w:ascii="Arial Unicode MS" w:eastAsia="Arial Unicode MS" w:hAnsi="Arial Unicode MS" w:cs="Arial Unicode MS"/>
          <w:color w:val="2B477B"/>
        </w:rPr>
        <w:t>.</w:t>
      </w:r>
      <w:r>
        <w:rPr>
          <w:color w:val="2B477B"/>
        </w:rPr>
        <w:t>206</w:t>
      </w:r>
      <w:r>
        <w:rPr>
          <w:rFonts w:ascii="Arial Unicode MS" w:eastAsia="Arial Unicode MS" w:hAnsi="Arial Unicode MS" w:cs="Arial Unicode MS"/>
          <w:color w:val="2B477B"/>
        </w:rPr>
        <w:t>;</w:t>
      </w:r>
      <w:hyperlink r:id="rId33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Superior,</w:t>
        </w:r>
        <w:r>
          <w:rPr>
            <w:color w:val="2B477B"/>
          </w:rPr>
          <w:t xml:space="preserve"> </w:t>
        </w:r>
        <w:r>
          <w:rPr>
            <w:rFonts w:ascii="Arial Unicode MS" w:eastAsia="Arial Unicode MS" w:hAnsi="Arial Unicode MS" w:cs="Arial Unicode MS"/>
            <w:color w:val="2B477B"/>
          </w:rPr>
          <w:t>arts.</w:t>
        </w:r>
        <w:r>
          <w:rPr>
            <w:color w:val="2B477B"/>
          </w:rPr>
          <w:t xml:space="preserve"> 1 </w:t>
        </w:r>
        <w:r>
          <w:rPr>
            <w:rFonts w:ascii="Arial Unicode MS" w:eastAsia="Arial Unicode MS" w:hAnsi="Arial Unicode MS" w:cs="Arial Unicode MS"/>
            <w:color w:val="2B477B"/>
          </w:rPr>
          <w:t>y</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hyperlink>
      <w:hyperlink r:id="rId332" w:history="1">
        <w:r>
          <w:rPr>
            <w:rFonts w:ascii="Arial Unicode MS" w:eastAsia="Arial Unicode MS" w:hAnsi="Arial Unicode MS" w:cs="Arial Unicode MS"/>
            <w:color w:val="2B477B"/>
          </w:rPr>
          <w:t>No.</w:t>
        </w:r>
        <w:r>
          <w:rPr>
            <w:color w:val="2B477B"/>
          </w:rPr>
          <w:t xml:space="preserve"> 25</w:t>
        </w:r>
        <w:r>
          <w:rPr>
            <w:rFonts w:ascii="Arial Unicode MS" w:eastAsia="Arial Unicode MS" w:hAnsi="Arial Unicode MS" w:cs="Arial Unicode MS"/>
            <w:color w:val="2B477B"/>
          </w:rPr>
          <w:t>.</w:t>
        </w:r>
        <w:r>
          <w:rPr>
            <w:color w:val="2B477B"/>
          </w:rPr>
          <w:t>573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modificatoria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24</w:t>
      </w:r>
      <w:r>
        <w:rPr>
          <w:rFonts w:ascii="Arial Unicode MS" w:eastAsia="Arial Unicode MS" w:hAnsi="Arial Unicode MS" w:cs="Arial Unicode MS"/>
          <w:color w:val="2B477B"/>
        </w:rPr>
        <w:t>.</w:t>
      </w:r>
      <w:r>
        <w:rPr>
          <w:color w:val="2B477B"/>
        </w:rPr>
        <w:t>521</w:t>
      </w:r>
      <w:r>
        <w:rPr>
          <w:rFonts w:ascii="Arial Unicode MS" w:eastAsia="Arial Unicode MS" w:hAnsi="Arial Unicode MS" w:cs="Arial Unicode MS"/>
          <w:color w:val="2B477B"/>
        </w:rPr>
        <w:t>.</w:t>
      </w:r>
      <w:r>
        <w:rPr>
          <w:color w:val="2B477B"/>
        </w:rPr>
        <w:t xml:space="preserve"> </w:t>
      </w:r>
    </w:p>
  </w:footnote>
  <w:footnote w:id="184">
    <w:p w14:paraId="6B509D9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3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Páginas</w:t>
        </w:r>
        <w:r>
          <w:rPr>
            <w:color w:val="2B477B"/>
          </w:rPr>
          <w:t xml:space="preserve"> </w:t>
        </w:r>
        <w:r>
          <w:rPr>
            <w:rFonts w:ascii="Arial Unicode MS" w:eastAsia="Arial Unicode MS" w:hAnsi="Arial Unicode MS" w:cs="Arial Unicode MS"/>
            <w:color w:val="2B477B"/>
          </w:rPr>
          <w:t>Web,</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26</w:t>
        </w:r>
        <w:r>
          <w:rPr>
            <w:rFonts w:ascii="Arial Unicode MS" w:eastAsia="Arial Unicode MS" w:hAnsi="Arial Unicode MS" w:cs="Arial Unicode MS"/>
            <w:color w:val="2B477B"/>
          </w:rPr>
          <w:t>.</w:t>
        </w:r>
        <w:r>
          <w:rPr>
            <w:color w:val="2B477B"/>
          </w:rPr>
          <w:t>653</w:t>
        </w:r>
        <w:r>
          <w:rPr>
            <w:rFonts w:ascii="Arial Unicode MS" w:eastAsia="Arial Unicode MS" w:hAnsi="Arial Unicode MS" w:cs="Arial Unicode MS"/>
            <w:color w:val="2B477B"/>
          </w:rPr>
          <w:t>.</w:t>
        </w:r>
      </w:hyperlink>
      <w:r>
        <w:rPr>
          <w:color w:val="2B477B"/>
        </w:rPr>
        <w:t xml:space="preserve"> </w:t>
      </w:r>
    </w:p>
  </w:footnote>
  <w:footnote w:id="185">
    <w:p w14:paraId="0EB97BF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34" w:history="1">
        <w:r>
          <w:rPr>
            <w:rFonts w:ascii="Arial Unicode MS" w:eastAsia="Arial Unicode MS" w:hAnsi="Arial Unicode MS" w:cs="Arial Unicode MS"/>
            <w:color w:val="2B477B"/>
          </w:rPr>
          <w:t>Ley</w:t>
        </w:r>
        <w:r>
          <w:rPr>
            <w:color w:val="2B477B"/>
          </w:rPr>
          <w:t xml:space="preserve"> 24</w:t>
        </w:r>
        <w:r>
          <w:rPr>
            <w:rFonts w:ascii="Arial Unicode MS" w:eastAsia="Arial Unicode MS" w:hAnsi="Arial Unicode MS" w:cs="Arial Unicode MS"/>
            <w:color w:val="2B477B"/>
          </w:rPr>
          <w:t>.</w:t>
        </w:r>
        <w:r>
          <w:rPr>
            <w:color w:val="2B477B"/>
          </w:rPr>
          <w:t>204</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terminología</w:t>
      </w:r>
      <w:r>
        <w:rPr>
          <w:color w:val="2B477B"/>
        </w:rPr>
        <w:t xml:space="preserve"> </w:t>
      </w:r>
      <w:r>
        <w:rPr>
          <w:rFonts w:ascii="Arial Unicode MS" w:eastAsia="Arial Unicode MS" w:hAnsi="Arial Unicode MS" w:cs="Arial Unicode MS"/>
          <w:color w:val="2B477B"/>
        </w:rPr>
        <w:t>empleada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nombrar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sordas</w:t>
      </w:r>
      <w:r>
        <w:rPr>
          <w:color w:val="2B477B"/>
        </w:rPr>
        <w:t xml:space="preserve"> </w:t>
      </w:r>
      <w:r>
        <w:rPr>
          <w:rFonts w:ascii="Arial Unicode MS" w:eastAsia="Arial Unicode MS" w:hAnsi="Arial Unicode MS" w:cs="Arial Unicode MS"/>
          <w:color w:val="2B477B"/>
        </w:rPr>
        <w:t>corresponde</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p>
  </w:footnote>
  <w:footnote w:id="186">
    <w:p w14:paraId="7CD4DCA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35" w:history="1">
        <w:r>
          <w:rPr>
            <w:rFonts w:ascii="Arial Unicode MS" w:eastAsia="Arial Unicode MS" w:hAnsi="Arial Unicode MS" w:cs="Arial Unicode MS"/>
            <w:color w:val="2B477B"/>
          </w:rPr>
          <w:t>Ley</w:t>
        </w:r>
        <w:r>
          <w:rPr>
            <w:color w:val="2B477B"/>
          </w:rPr>
          <w:t xml:space="preserve"> 24</w:t>
        </w:r>
        <w:r>
          <w:rPr>
            <w:rFonts w:ascii="Arial Unicode MS" w:eastAsia="Arial Unicode MS" w:hAnsi="Arial Unicode MS" w:cs="Arial Unicode MS"/>
            <w:color w:val="2B477B"/>
          </w:rPr>
          <w:t>.</w:t>
        </w:r>
        <w:r>
          <w:rPr>
            <w:color w:val="2B477B"/>
          </w:rPr>
          <w:t>421</w:t>
        </w:r>
      </w:hyperlink>
      <w:r>
        <w:rPr>
          <w:rFonts w:ascii="Arial Unicode MS" w:eastAsia="Arial Unicode MS" w:hAnsi="Arial Unicode MS" w:cs="Arial Unicode MS"/>
          <w:color w:val="2B477B"/>
        </w:rPr>
        <w:t>;</w:t>
      </w:r>
      <w:r>
        <w:rPr>
          <w:color w:val="2B477B"/>
        </w:rPr>
        <w:t xml:space="preserve"> </w:t>
      </w:r>
      <w:hyperlink r:id="rId336"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Comunicaciones</w:t>
        </w:r>
        <w:r>
          <w:rPr>
            <w:color w:val="2B477B"/>
          </w:rPr>
          <w:t xml:space="preserve"> </w:t>
        </w:r>
        <w:r>
          <w:rPr>
            <w:rFonts w:ascii="Arial Unicode MS" w:eastAsia="Arial Unicode MS" w:hAnsi="Arial Unicode MS" w:cs="Arial Unicode MS"/>
            <w:color w:val="2B477B"/>
          </w:rPr>
          <w:t>Audiovisuales</w:t>
        </w:r>
        <w:r>
          <w:rPr>
            <w:color w:val="2B477B"/>
          </w:rPr>
          <w:t xml:space="preserve"> 26</w:t>
        </w:r>
        <w:r>
          <w:rPr>
            <w:rFonts w:ascii="Arial Unicode MS" w:eastAsia="Arial Unicode MS" w:hAnsi="Arial Unicode MS" w:cs="Arial Unicode MS"/>
            <w:color w:val="2B477B"/>
          </w:rPr>
          <w:t>.</w:t>
        </w:r>
        <w:r>
          <w:rPr>
            <w:color w:val="2B477B"/>
          </w:rPr>
          <w:t>522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66</w:t>
        </w:r>
        <w:r>
          <w:rPr>
            <w:rFonts w:ascii="Arial Unicode MS" w:eastAsia="Arial Unicode MS" w:hAnsi="Arial Unicode MS" w:cs="Arial Unicode MS"/>
            <w:color w:val="2B477B"/>
          </w:rPr>
          <w:t>.</w:t>
        </w:r>
      </w:hyperlink>
    </w:p>
  </w:footnote>
  <w:footnote w:id="187">
    <w:p w14:paraId="0D213E5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Xenofobia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Racismo,</w:t>
      </w:r>
      <w:r>
        <w:rPr>
          <w:color w:val="2B477B"/>
        </w:rPr>
        <w:t xml:space="preserve"> </w:t>
      </w:r>
      <w:hyperlink r:id="rId337" w:history="1">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plazas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parques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188">
    <w:p w14:paraId="4F627E6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p>
  </w:footnote>
  <w:footnote w:id="189">
    <w:p w14:paraId="10972E1A"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338" w:history="1">
        <w:r>
          <w:rPr>
            <w:rFonts w:ascii="Arial Unicode MS" w:eastAsia="Arial Unicode MS" w:hAnsi="Arial Unicode MS" w:cs="Arial Unicode MS"/>
            <w:color w:val="2B477B"/>
          </w:rPr>
          <w:t>Lengua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Señas</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Ley</w:t>
        </w:r>
        <w:r>
          <w:rPr>
            <w:color w:val="2B477B"/>
          </w:rPr>
          <w:t xml:space="preserve"> 27</w:t>
        </w:r>
        <w:r>
          <w:rPr>
            <w:rFonts w:ascii="Arial Unicode MS" w:eastAsia="Arial Unicode MS" w:hAnsi="Arial Unicode MS" w:cs="Arial Unicode MS"/>
            <w:color w:val="2B477B"/>
          </w:rPr>
          <w:t>.</w:t>
        </w:r>
        <w:r>
          <w:rPr>
            <w:color w:val="2B477B"/>
          </w:rPr>
          <w:t>710</w:t>
        </w:r>
      </w:hyperlink>
      <w:r>
        <w:rPr>
          <w:rFonts w:ascii="Arial Unicode MS" w:eastAsia="Arial Unicode MS" w:hAnsi="Arial Unicode MS" w:cs="Arial Unicode MS"/>
          <w:color w:val="2B477B"/>
        </w:rPr>
        <w:t>,</w:t>
      </w:r>
      <w:r>
        <w:rPr>
          <w:color w:val="2B477B"/>
        </w:rPr>
        <w:t xml:space="preserve"> 2023</w:t>
      </w:r>
      <w:r>
        <w:rPr>
          <w:rFonts w:ascii="Arial Unicode MS" w:eastAsia="Arial Unicode MS" w:hAnsi="Arial Unicode MS" w:cs="Arial Unicode MS"/>
          <w:color w:val="2B477B"/>
        </w:rPr>
        <w:t>.</w:t>
      </w:r>
      <w:r>
        <w:rPr>
          <w:color w:val="2B477B"/>
        </w:rPr>
        <w:t xml:space="preserve"> </w:t>
      </w:r>
    </w:p>
  </w:footnote>
  <w:footnote w:id="190">
    <w:p w14:paraId="12D04D47" w14:textId="77777777" w:rsidR="001A105D" w:rsidRDefault="00000000">
      <w:pPr>
        <w:pStyle w:val="FootnoteText"/>
        <w:jc w:val="left"/>
      </w:pPr>
      <w:r>
        <w:rPr>
          <w:vertAlign w:val="superscript"/>
        </w:rPr>
        <w:footnoteRef/>
      </w:r>
      <w:r>
        <w:t xml:space="preserve"> </w:t>
      </w:r>
      <w:r>
        <w:rPr>
          <w:rFonts w:ascii="Arial Unicode MS" w:eastAsia="Arial Unicode MS" w:hAnsi="Arial Unicode MS" w:cs="Arial Unicode MS"/>
        </w:rPr>
        <w:t>Organizaciones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Sociedad</w:t>
      </w:r>
      <w:r>
        <w:t xml:space="preserve"> </w:t>
      </w:r>
      <w:r>
        <w:rPr>
          <w:rFonts w:ascii="Arial Unicode MS" w:eastAsia="Arial Unicode MS" w:hAnsi="Arial Unicode MS" w:cs="Arial Unicode MS"/>
        </w:rPr>
        <w:t>Civil</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Argentina,</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enviada</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CIDH</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respuesta</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cuestionario</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situación</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Américas”,</w:t>
      </w:r>
      <w:r>
        <w:t xml:space="preserve"> 15 </w:t>
      </w:r>
      <w:r>
        <w:rPr>
          <w:rFonts w:ascii="Arial Unicode MS" w:eastAsia="Arial Unicode MS" w:hAnsi="Arial Unicode MS" w:cs="Arial Unicode MS"/>
        </w:rPr>
        <w:t>de</w:t>
      </w:r>
      <w:r>
        <w:t xml:space="preserve"> </w:t>
      </w:r>
      <w:r>
        <w:rPr>
          <w:rFonts w:ascii="Arial Unicode MS" w:eastAsia="Arial Unicode MS" w:hAnsi="Arial Unicode MS" w:cs="Arial Unicode MS"/>
        </w:rPr>
        <w:t>septiembre</w:t>
      </w:r>
      <w:r>
        <w:t xml:space="preserve"> </w:t>
      </w:r>
      <w:r>
        <w:rPr>
          <w:rFonts w:ascii="Arial Unicode MS" w:eastAsia="Arial Unicode MS" w:hAnsi="Arial Unicode MS" w:cs="Arial Unicode MS"/>
        </w:rPr>
        <w:t>de</w:t>
      </w:r>
      <w:r>
        <w:t xml:space="preserve"> 2022</w:t>
      </w:r>
      <w:r>
        <w:rPr>
          <w:rFonts w:ascii="Arial Unicode MS" w:eastAsia="Arial Unicode MS" w:hAnsi="Arial Unicode MS" w:cs="Arial Unicode MS"/>
        </w:rPr>
        <w:t>,</w:t>
      </w:r>
      <w:r>
        <w:t xml:space="preserve"> </w:t>
      </w:r>
      <w:r>
        <w:rPr>
          <w:rFonts w:ascii="Arial Unicode MS" w:eastAsia="Arial Unicode MS" w:hAnsi="Arial Unicode MS" w:cs="Arial Unicode MS"/>
        </w:rPr>
        <w:t>pág.</w:t>
      </w:r>
      <w:r>
        <w:t xml:space="preserve"> 1</w:t>
      </w:r>
      <w:r>
        <w:rPr>
          <w:rFonts w:ascii="Arial Unicode MS" w:eastAsia="Arial Unicode MS" w:hAnsi="Arial Unicode MS" w:cs="Arial Unicode MS"/>
        </w:rPr>
        <w:t>,al</w:t>
      </w:r>
      <w:r>
        <w:t xml:space="preserve"> </w:t>
      </w:r>
      <w:r>
        <w:rPr>
          <w:rFonts w:ascii="Arial Unicode MS" w:eastAsia="Arial Unicode MS" w:hAnsi="Arial Unicode MS" w:cs="Arial Unicode MS"/>
        </w:rPr>
        <w:t>respecto</w:t>
      </w:r>
      <w:r>
        <w:t xml:space="preserve"> </w:t>
      </w:r>
      <w:r>
        <w:rPr>
          <w:rFonts w:ascii="Arial Unicode MS" w:eastAsia="Arial Unicode MS" w:hAnsi="Arial Unicode MS" w:cs="Arial Unicode MS"/>
        </w:rPr>
        <w:t>ver,</w:t>
      </w:r>
      <w:r>
        <w:t xml:space="preserve"> </w:t>
      </w:r>
      <w:hyperlink r:id="rId339" w:history="1">
        <w:r>
          <w:rPr>
            <w:rStyle w:val="Hyperlink1"/>
            <w:rFonts w:ascii="Arial Unicode MS" w:eastAsia="Arial Unicode MS" w:hAnsi="Arial Unicode MS" w:cs="Arial Unicode MS"/>
          </w:rPr>
          <w:t>Decreto</w:t>
        </w:r>
        <w:r>
          <w:rPr>
            <w:rStyle w:val="Hyperlink1"/>
          </w:rPr>
          <w:t xml:space="preserve"> 914/97</w:t>
        </w:r>
      </w:hyperlink>
      <w:r>
        <w:t xml:space="preserve"> </w:t>
      </w:r>
      <w:r>
        <w:rPr>
          <w:rFonts w:ascii="Arial Unicode MS" w:eastAsia="Arial Unicode MS" w:hAnsi="Arial Unicode MS" w:cs="Arial Unicode MS"/>
        </w:rPr>
        <w:t>y</w:t>
      </w:r>
      <w:r>
        <w:t xml:space="preserve"> </w:t>
      </w:r>
      <w:hyperlink r:id="rId340" w:history="1">
        <w:r>
          <w:rPr>
            <w:rStyle w:val="Hyperlink1"/>
            <w:rFonts w:ascii="Arial Unicode MS" w:eastAsia="Arial Unicode MS" w:hAnsi="Arial Unicode MS" w:cs="Arial Unicode MS"/>
          </w:rPr>
          <w:t>Ley</w:t>
        </w:r>
        <w:r>
          <w:rPr>
            <w:rStyle w:val="Hyperlink1"/>
          </w:rPr>
          <w:t xml:space="preserve"> 22</w:t>
        </w:r>
        <w:r>
          <w:rPr>
            <w:rStyle w:val="Hyperlink1"/>
            <w:rFonts w:ascii="Arial Unicode MS" w:eastAsia="Arial Unicode MS" w:hAnsi="Arial Unicode MS" w:cs="Arial Unicode MS"/>
          </w:rPr>
          <w:t>.</w:t>
        </w:r>
        <w:r>
          <w:rPr>
            <w:rStyle w:val="Hyperlink1"/>
          </w:rPr>
          <w:t>431</w:t>
        </w:r>
      </w:hyperlink>
      <w:r>
        <w:rPr>
          <w:rStyle w:val="Hyperlink1"/>
          <w:rFonts w:ascii="Arial Unicode MS" w:eastAsia="Arial Unicode MS" w:hAnsi="Arial Unicode MS" w:cs="Arial Unicode MS"/>
        </w:rPr>
        <w:t>,</w:t>
      </w:r>
      <w:r>
        <w:rPr>
          <w:rStyle w:val="Hyperlink1"/>
        </w:rPr>
        <w:t xml:space="preserve"> </w:t>
      </w:r>
      <w:r>
        <w:rPr>
          <w:rFonts w:ascii="Arial Unicode MS" w:eastAsia="Arial Unicode MS" w:hAnsi="Arial Unicode MS" w:cs="Arial Unicode MS"/>
        </w:rPr>
        <w:t>arts.</w:t>
      </w:r>
      <w:r>
        <w:t xml:space="preserve"> 20</w:t>
      </w:r>
      <w:r>
        <w:rPr>
          <w:rFonts w:ascii="Arial Unicode MS" w:eastAsia="Arial Unicode MS" w:hAnsi="Arial Unicode MS" w:cs="Arial Unicode MS"/>
        </w:rPr>
        <w:t>,</w:t>
      </w:r>
      <w:r>
        <w:t xml:space="preserve"> 21 </w:t>
      </w:r>
      <w:r>
        <w:rPr>
          <w:rFonts w:ascii="Arial Unicode MS" w:eastAsia="Arial Unicode MS" w:hAnsi="Arial Unicode MS" w:cs="Arial Unicode MS"/>
        </w:rPr>
        <w:t>y</w:t>
      </w:r>
      <w:r>
        <w:t xml:space="preserve"> 22</w:t>
      </w:r>
      <w:r>
        <w:rPr>
          <w:rFonts w:ascii="Arial Unicode MS" w:eastAsia="Arial Unicode MS" w:hAnsi="Arial Unicode MS" w:cs="Arial Unicode MS"/>
        </w:rPr>
        <w:t>.</w:t>
      </w:r>
    </w:p>
  </w:footnote>
  <w:footnote w:id="191">
    <w:p w14:paraId="5C31484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r>
        <w:rPr>
          <w:color w:val="2B477B"/>
        </w:rPr>
        <w:t>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41"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 xml:space="preserve">422 </w:t>
        </w:r>
      </w:hyperlink>
      <w:r>
        <w:rPr>
          <w:rFonts w:ascii="Arial Unicode MS" w:eastAsia="Arial Unicode MS" w:hAnsi="Arial Unicode MS" w:cs="Arial Unicode MS"/>
          <w:color w:val="2B477B"/>
        </w:rPr>
        <w:t>y</w:t>
      </w:r>
      <w:hyperlink r:id="rId342" w:history="1">
        <w:r>
          <w:rPr>
            <w:color w:val="2B477B"/>
          </w:rPr>
          <w:t xml:space="preserve"> </w:t>
        </w:r>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No</w:t>
        </w:r>
        <w:r>
          <w:rPr>
            <w:color w:val="2B477B"/>
          </w:rPr>
          <w:t xml:space="preserve"> 142</w:t>
        </w:r>
      </w:hyperlink>
      <w:r>
        <w:rPr>
          <w:rFonts w:ascii="Arial Unicode MS" w:eastAsia="Arial Unicode MS" w:hAnsi="Arial Unicode MS" w:cs="Arial Unicode MS"/>
          <w:color w:val="2B477B"/>
        </w:rPr>
        <w:t>.</w:t>
      </w:r>
      <w:r>
        <w:rPr>
          <w:color w:val="2B477B"/>
        </w:rPr>
        <w:t xml:space="preserve"> </w:t>
      </w:r>
    </w:p>
  </w:footnote>
  <w:footnote w:id="192">
    <w:p w14:paraId="69ADA69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proofErr w:type="gramStart"/>
      <w:r>
        <w:rPr>
          <w:color w:val="2B477B"/>
        </w:rPr>
        <w:t>55</w:t>
      </w:r>
      <w:r>
        <w:rPr>
          <w:rFonts w:ascii="Arial Unicode MS" w:eastAsia="Arial Unicode MS" w:hAnsi="Arial Unicode MS" w:cs="Arial Unicode MS"/>
          <w:color w:val="2B477B"/>
        </w:rPr>
        <w:t>;para</w:t>
      </w:r>
      <w:proofErr w:type="gramEnd"/>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43"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No</w:t>
        </w:r>
        <w:r>
          <w:rPr>
            <w:color w:val="2B477B"/>
          </w:rPr>
          <w:t xml:space="preserve"> 32</w:t>
        </w:r>
      </w:hyperlink>
      <w:r>
        <w:rPr>
          <w:rFonts w:ascii="Arial Unicode MS" w:eastAsia="Arial Unicode MS" w:hAnsi="Arial Unicode MS" w:cs="Arial Unicode MS"/>
          <w:color w:val="2B477B"/>
        </w:rPr>
        <w:t>.</w:t>
      </w:r>
    </w:p>
  </w:footnote>
  <w:footnote w:id="193">
    <w:p w14:paraId="45DC41C0"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r>
        <w:rPr>
          <w:color w:val="2B477B"/>
        </w:rPr>
        <w:t>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consultar,</w:t>
      </w:r>
      <w:r>
        <w:rPr>
          <w:color w:val="2B477B"/>
        </w:rPr>
        <w:t xml:space="preserve"> </w:t>
      </w:r>
      <w:hyperlink r:id="rId344"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Supremo</w:t>
        </w:r>
        <w:r>
          <w:rPr>
            <w:color w:val="2B477B"/>
          </w:rPr>
          <w:t xml:space="preserve"> </w:t>
        </w:r>
        <w:r>
          <w:rPr>
            <w:rFonts w:ascii="Arial Unicode MS" w:eastAsia="Arial Unicode MS" w:hAnsi="Arial Unicode MS" w:cs="Arial Unicode MS"/>
            <w:color w:val="2B477B"/>
          </w:rPr>
          <w:t>No</w:t>
        </w:r>
        <w:r>
          <w:rPr>
            <w:color w:val="2B477B"/>
          </w:rPr>
          <w:t xml:space="preserve"> 1</w:t>
        </w:r>
      </w:hyperlink>
      <w:r>
        <w:rPr>
          <w:rFonts w:ascii="Arial Unicode MS" w:eastAsia="Arial Unicode MS" w:hAnsi="Arial Unicode MS" w:cs="Arial Unicode MS"/>
          <w:color w:val="2B477B"/>
        </w:rPr>
        <w:t>.</w:t>
      </w:r>
      <w:r>
        <w:rPr>
          <w:color w:val="2B477B"/>
        </w:rPr>
        <w:t xml:space="preserve"> </w:t>
      </w:r>
    </w:p>
  </w:footnote>
  <w:footnote w:id="194">
    <w:p w14:paraId="2DD32F4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r>
        <w:rPr>
          <w:color w:val="2B477B"/>
        </w:rPr>
        <w:t>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45" w:history="1">
        <w:r>
          <w:rPr>
            <w:rFonts w:ascii="Arial Unicode MS" w:eastAsia="Arial Unicode MS" w:hAnsi="Arial Unicode MS" w:cs="Arial Unicode MS"/>
            <w:color w:val="2B477B"/>
          </w:rPr>
          <w:t>Ordenanza</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Urbanismo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Construcciones</w:t>
        </w:r>
      </w:hyperlink>
      <w:r>
        <w:rPr>
          <w:rFonts w:ascii="Arial Unicode MS" w:eastAsia="Arial Unicode MS" w:hAnsi="Arial Unicode MS" w:cs="Arial Unicode MS"/>
          <w:color w:val="2B477B"/>
        </w:rPr>
        <w:t>.</w:t>
      </w:r>
      <w:r>
        <w:rPr>
          <w:color w:val="2B477B"/>
        </w:rPr>
        <w:t xml:space="preserve"> </w:t>
      </w:r>
    </w:p>
  </w:footnote>
  <w:footnote w:id="195">
    <w:p w14:paraId="19C8958D"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proofErr w:type="gramStart"/>
      <w:r>
        <w:rPr>
          <w:color w:val="2B477B"/>
        </w:rPr>
        <w:t>55</w:t>
      </w:r>
      <w:r>
        <w:rPr>
          <w:rFonts w:ascii="Arial Unicode MS" w:eastAsia="Arial Unicode MS" w:hAnsi="Arial Unicode MS" w:cs="Arial Unicode MS"/>
          <w:color w:val="2B477B"/>
        </w:rPr>
        <w:t>,ver</w:t>
      </w:r>
      <w:proofErr w:type="gramEnd"/>
      <w:r>
        <w:rPr>
          <w:rFonts w:ascii="Arial Unicode MS" w:eastAsia="Arial Unicode MS" w:hAnsi="Arial Unicode MS" w:cs="Arial Unicode MS"/>
          <w:color w:val="2B477B"/>
        </w:rPr>
        <w:t>,</w:t>
      </w:r>
      <w:hyperlink r:id="rId346" w:history="1">
        <w:r>
          <w:rPr>
            <w:color w:val="2B477B"/>
          </w:rPr>
          <w:t xml:space="preserve"> </w:t>
        </w:r>
        <w:r>
          <w:rPr>
            <w:rFonts w:ascii="Arial Unicode MS" w:eastAsia="Arial Unicode MS" w:hAnsi="Arial Unicode MS" w:cs="Arial Unicode MS"/>
            <w:color w:val="2B477B"/>
          </w:rPr>
          <w:t>Ley</w:t>
        </w:r>
        <w:r>
          <w:rPr>
            <w:color w:val="2B477B"/>
          </w:rPr>
          <w:t xml:space="preserve"> 21</w:t>
        </w:r>
        <w:r>
          <w:rPr>
            <w:rFonts w:ascii="Arial Unicode MS" w:eastAsia="Arial Unicode MS" w:hAnsi="Arial Unicode MS" w:cs="Arial Unicode MS"/>
            <w:color w:val="2B477B"/>
          </w:rPr>
          <w:t>.</w:t>
        </w:r>
        <w:r>
          <w:rPr>
            <w:color w:val="2B477B"/>
          </w:rPr>
          <w:t>089</w:t>
        </w:r>
      </w:hyperlink>
      <w:r>
        <w:rPr>
          <w:rFonts w:ascii="Arial Unicode MS" w:eastAsia="Arial Unicode MS" w:hAnsi="Arial Unicode MS" w:cs="Arial Unicode MS"/>
          <w:color w:val="2B477B"/>
        </w:rPr>
        <w:t>.</w:t>
      </w:r>
      <w:r>
        <w:rPr>
          <w:color w:val="2B477B"/>
        </w:rPr>
        <w:t xml:space="preserve"> </w:t>
      </w:r>
    </w:p>
  </w:footnote>
  <w:footnote w:id="196">
    <w:p w14:paraId="3F1DF9E5"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51</w:t>
      </w:r>
      <w:r>
        <w:rPr>
          <w:rFonts w:ascii="Arial Unicode MS" w:eastAsia="Arial Unicode MS" w:hAnsi="Arial Unicode MS" w:cs="Arial Unicode MS"/>
          <w:color w:val="2B477B"/>
        </w:rPr>
        <w:t>-</w:t>
      </w:r>
      <w:r>
        <w:rPr>
          <w:color w:val="2B477B"/>
        </w:rPr>
        <w:t>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47" w:history="1">
        <w:r>
          <w:rPr>
            <w:rFonts w:ascii="Arial Unicode MS" w:eastAsia="Arial Unicode MS" w:hAnsi="Arial Unicode MS" w:cs="Arial Unicode MS"/>
            <w:color w:val="2B477B"/>
          </w:rPr>
          <w:t>Ley</w:t>
        </w:r>
        <w:r>
          <w:rPr>
            <w:color w:val="2B477B"/>
          </w:rPr>
          <w:t xml:space="preserve"> 21</w:t>
        </w:r>
        <w:r>
          <w:rPr>
            <w:rFonts w:ascii="Arial Unicode MS" w:eastAsia="Arial Unicode MS" w:hAnsi="Arial Unicode MS" w:cs="Arial Unicode MS"/>
            <w:color w:val="2B477B"/>
          </w:rPr>
          <w:t>.</w:t>
        </w:r>
        <w:r>
          <w:rPr>
            <w:color w:val="2B477B"/>
          </w:rPr>
          <w:t>303</w:t>
        </w:r>
      </w:hyperlink>
      <w:r>
        <w:rPr>
          <w:rFonts w:ascii="Arial Unicode MS" w:eastAsia="Arial Unicode MS" w:hAnsi="Arial Unicode MS" w:cs="Arial Unicode MS"/>
          <w:color w:val="2B477B"/>
        </w:rPr>
        <w:t>.</w:t>
      </w:r>
      <w:r>
        <w:rPr>
          <w:color w:val="2B477B"/>
        </w:rPr>
        <w:t xml:space="preserve"> </w:t>
      </w:r>
    </w:p>
  </w:footnote>
  <w:footnote w:id="197">
    <w:p w14:paraId="7C089E7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26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48"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Supremo</w:t>
        </w:r>
        <w:r>
          <w:rPr>
            <w:color w:val="2B477B"/>
          </w:rPr>
          <w:t xml:space="preserve"> </w:t>
        </w:r>
        <w:r>
          <w:rPr>
            <w:rFonts w:ascii="Arial Unicode MS" w:eastAsia="Arial Unicode MS" w:hAnsi="Arial Unicode MS" w:cs="Arial Unicode MS"/>
            <w:color w:val="2B477B"/>
          </w:rPr>
          <w:t>No</w:t>
        </w:r>
        <w:r>
          <w:rPr>
            <w:color w:val="2B477B"/>
          </w:rPr>
          <w:t xml:space="preserve"> 50</w:t>
        </w:r>
      </w:hyperlink>
      <w:r>
        <w:rPr>
          <w:rFonts w:ascii="Arial Unicode MS" w:eastAsia="Arial Unicode MS" w:hAnsi="Arial Unicode MS" w:cs="Arial Unicode MS"/>
          <w:color w:val="2B477B"/>
        </w:rPr>
        <w:t>.</w:t>
      </w:r>
      <w:r>
        <w:rPr>
          <w:color w:val="2B477B"/>
        </w:rPr>
        <w:t xml:space="preserve"> </w:t>
      </w:r>
    </w:p>
  </w:footnote>
  <w:footnote w:id="198">
    <w:p w14:paraId="71B3C74B" w14:textId="77777777" w:rsidR="001A105D" w:rsidRDefault="00000000">
      <w:pPr>
        <w:pStyle w:val="Body"/>
        <w:jc w:val="left"/>
      </w:pPr>
      <w:r>
        <w:rPr>
          <w:color w:val="2B477B"/>
          <w:vertAlign w:val="superscript"/>
        </w:rPr>
        <w:footnoteRef/>
      </w:r>
      <w:r>
        <w:rPr>
          <w:color w:val="2B477B"/>
        </w:rPr>
        <w:t xml:space="preserve"> </w:t>
      </w:r>
      <w:proofErr w:type="gramStart"/>
      <w:r>
        <w:rPr>
          <w:rFonts w:ascii="Arial Unicode MS" w:eastAsia="Arial Unicode MS" w:hAnsi="Arial Unicode MS" w:cs="Arial Unicode MS"/>
          <w:color w:val="2B477B"/>
        </w:rPr>
        <w:t>CIDH,</w:t>
      </w:r>
      <w:r>
        <w:rPr>
          <w:color w:val="2B477B"/>
        </w:rPr>
        <w:t xml:space="preserve">  </w:t>
      </w:r>
      <w:r>
        <w:rPr>
          <w:rStyle w:val="Hyperlink0"/>
          <w:rFonts w:ascii="Arial Unicode MS" w:eastAsia="Arial Unicode MS" w:hAnsi="Arial Unicode MS" w:cs="Arial Unicode MS"/>
        </w:rPr>
        <w:t>Informe</w:t>
      </w:r>
      <w:proofErr w:type="gramEnd"/>
      <w:r>
        <w:rPr>
          <w:rStyle w:val="Hyperlink0"/>
        </w:rPr>
        <w:t xml:space="preserve"> </w:t>
      </w:r>
      <w:r>
        <w:rPr>
          <w:rStyle w:val="Hyperlink0"/>
          <w:rFonts w:ascii="Arial Unicode MS" w:eastAsia="Arial Unicode MS" w:hAnsi="Arial Unicode MS" w:cs="Arial Unicode MS"/>
        </w:rPr>
        <w:t>Anual</w:t>
      </w:r>
      <w:r>
        <w:rPr>
          <w:rStyle w:val="Hyperlink0"/>
        </w:rPr>
        <w:t xml:space="preserve"> 2022</w:t>
      </w:r>
      <w:r>
        <w:rPr>
          <w:rStyle w:val="Hyperlink0"/>
          <w:rFonts w:ascii="Arial Unicode MS" w:eastAsia="Arial Unicode MS" w:hAnsi="Arial Unicode MS" w:cs="Arial Unicode MS"/>
        </w:rPr>
        <w:t>,</w:t>
      </w:r>
      <w:r>
        <w:rPr>
          <w:rStyle w:val="Hyperlink0"/>
        </w:rPr>
        <w:t xml:space="preserve"> </w:t>
      </w:r>
      <w:r>
        <w:rPr>
          <w:rStyle w:val="Hyperlink0"/>
          <w:rFonts w:ascii="Arial Unicode MS" w:eastAsia="Arial Unicode MS" w:hAnsi="Arial Unicode MS" w:cs="Arial Unicode MS"/>
        </w:rPr>
        <w:t>Capítulo</w:t>
      </w:r>
      <w:r>
        <w:rPr>
          <w:rStyle w:val="Hyperlink0"/>
        </w:rPr>
        <w:t xml:space="preserve"> </w:t>
      </w:r>
      <w:r>
        <w:rPr>
          <w:rStyle w:val="Hyperlink0"/>
          <w:rFonts w:ascii="Arial Unicode MS" w:eastAsia="Arial Unicode MS" w:hAnsi="Arial Unicode MS" w:cs="Arial Unicode MS"/>
        </w:rPr>
        <w:t>IV.A</w:t>
      </w:r>
      <w:r>
        <w:rPr>
          <w:rStyle w:val="Hyperlink0"/>
        </w:rPr>
        <w:t xml:space="preserve"> </w:t>
      </w:r>
      <w:r>
        <w:rPr>
          <w:rStyle w:val="Hyperlink0"/>
          <w:rFonts w:ascii="Arial Unicode MS" w:eastAsia="Arial Unicode MS" w:hAnsi="Arial Unicode MS" w:cs="Arial Unicode MS"/>
        </w:rPr>
        <w:t>“Guyana”</w:t>
      </w:r>
      <w:r>
        <w:rPr>
          <w:rFonts w:ascii="Arial Unicode MS" w:eastAsia="Arial Unicode MS" w:hAnsi="Arial Unicode MS" w:cs="Arial Unicode MS"/>
          <w:color w:val="2B477B"/>
        </w:rPr>
        <w:t>,</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470</w:t>
      </w:r>
      <w:r>
        <w:rPr>
          <w:rFonts w:ascii="Arial Unicode MS" w:eastAsia="Arial Unicode MS" w:hAnsi="Arial Unicode MS" w:cs="Arial Unicode MS"/>
          <w:color w:val="2B477B"/>
        </w:rPr>
        <w:t>.</w:t>
      </w:r>
    </w:p>
  </w:footnote>
  <w:footnote w:id="199">
    <w:p w14:paraId="18F16B8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Anual</w:t>
      </w:r>
      <w:r>
        <w:rPr>
          <w:rStyle w:val="Hyperlink0"/>
        </w:rPr>
        <w:t xml:space="preserve"> 2022</w:t>
      </w:r>
      <w:r>
        <w:rPr>
          <w:rStyle w:val="Hyperlink0"/>
          <w:rFonts w:ascii="Arial Unicode MS" w:eastAsia="Arial Unicode MS" w:hAnsi="Arial Unicode MS" w:cs="Arial Unicode MS"/>
        </w:rPr>
        <w:t>,</w:t>
      </w:r>
      <w:r>
        <w:rPr>
          <w:rStyle w:val="Hyperlink0"/>
        </w:rPr>
        <w:t xml:space="preserve"> </w:t>
      </w:r>
      <w:r>
        <w:rPr>
          <w:rStyle w:val="Hyperlink0"/>
          <w:rFonts w:ascii="Arial Unicode MS" w:eastAsia="Arial Unicode MS" w:hAnsi="Arial Unicode MS" w:cs="Arial Unicode MS"/>
        </w:rPr>
        <w:t>Capítulo</w:t>
      </w:r>
      <w:r>
        <w:rPr>
          <w:rStyle w:val="Hyperlink0"/>
        </w:rPr>
        <w:t xml:space="preserve"> </w:t>
      </w:r>
      <w:r>
        <w:rPr>
          <w:rStyle w:val="Hyperlink0"/>
          <w:rFonts w:ascii="Arial Unicode MS" w:eastAsia="Arial Unicode MS" w:hAnsi="Arial Unicode MS" w:cs="Arial Unicode MS"/>
        </w:rPr>
        <w:t>IV.A</w:t>
      </w:r>
      <w:r>
        <w:rPr>
          <w:rStyle w:val="Hyperlink0"/>
        </w:rPr>
        <w:t xml:space="preserve"> </w:t>
      </w:r>
      <w:r>
        <w:rPr>
          <w:rStyle w:val="Hyperlink0"/>
          <w:rFonts w:ascii="Arial Unicode MS" w:eastAsia="Arial Unicode MS" w:hAnsi="Arial Unicode MS" w:cs="Arial Unicode MS"/>
        </w:rPr>
        <w:t>“Jamaica”</w:t>
      </w:r>
      <w:r>
        <w:rPr>
          <w:rFonts w:ascii="Arial Unicode MS" w:eastAsia="Arial Unicode MS" w:hAnsi="Arial Unicode MS" w:cs="Arial Unicode MS"/>
          <w:color w:val="2B477B"/>
        </w:rPr>
        <w:t>,</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549</w:t>
      </w:r>
      <w:r>
        <w:rPr>
          <w:rFonts w:ascii="Arial Unicode MS" w:eastAsia="Arial Unicode MS" w:hAnsi="Arial Unicode MS" w:cs="Arial Unicode MS"/>
          <w:color w:val="2B477B"/>
        </w:rPr>
        <w:t>.</w:t>
      </w:r>
    </w:p>
  </w:footnote>
  <w:footnote w:id="200">
    <w:p w14:paraId="00B6E773"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149</w:t>
      </w:r>
      <w:r>
        <w:rPr>
          <w:rFonts w:ascii="Arial Unicode MS" w:eastAsia="Arial Unicode MS" w:hAnsi="Arial Unicode MS" w:cs="Arial Unicode MS"/>
          <w:color w:val="2B477B"/>
        </w:rPr>
        <w:t>-</w:t>
      </w:r>
      <w:r>
        <w:rPr>
          <w:color w:val="2B477B"/>
        </w:rPr>
        <w:t>155</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Senado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hyperlink r:id="rId34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Movilidad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Seguridad</w:t>
        </w:r>
        <w:r>
          <w:rPr>
            <w:color w:val="2B477B"/>
          </w:rPr>
          <w:t xml:space="preserve"> </w:t>
        </w:r>
        <w:r>
          <w:rPr>
            <w:rFonts w:ascii="Arial Unicode MS" w:eastAsia="Arial Unicode MS" w:hAnsi="Arial Unicode MS" w:cs="Arial Unicode MS"/>
            <w:color w:val="2B477B"/>
          </w:rPr>
          <w:t>Vial</w:t>
        </w:r>
      </w:hyperlink>
      <w:r>
        <w:rPr>
          <w:rFonts w:ascii="Arial Unicode MS" w:eastAsia="Arial Unicode MS" w:hAnsi="Arial Unicode MS" w:cs="Arial Unicode MS"/>
          <w:color w:val="2B477B"/>
        </w:rPr>
        <w:t>,</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201">
    <w:p w14:paraId="03D9CC3F"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149</w:t>
      </w:r>
      <w:r>
        <w:rPr>
          <w:rFonts w:ascii="Arial Unicode MS" w:eastAsia="Arial Unicode MS" w:hAnsi="Arial Unicode MS" w:cs="Arial Unicode MS"/>
          <w:color w:val="2B477B"/>
        </w:rPr>
        <w:t>-</w:t>
      </w:r>
      <w:r>
        <w:rPr>
          <w:color w:val="2B477B"/>
        </w:rPr>
        <w:t>155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Secretaría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Hacienda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Crédito</w:t>
      </w:r>
      <w:r>
        <w:rPr>
          <w:color w:val="2B477B"/>
        </w:rPr>
        <w:t xml:space="preserve"> </w:t>
      </w:r>
      <w:r>
        <w:rPr>
          <w:rFonts w:ascii="Arial Unicode MS" w:eastAsia="Arial Unicode MS" w:hAnsi="Arial Unicode MS" w:cs="Arial Unicode MS"/>
          <w:color w:val="2B477B"/>
        </w:rPr>
        <w:t>Público,</w:t>
      </w:r>
      <w:r>
        <w:rPr>
          <w:color w:val="2B477B"/>
        </w:rPr>
        <w:t xml:space="preserve"> </w:t>
      </w:r>
      <w:r>
        <w:rPr>
          <w:rFonts w:ascii="Arial Unicode MS" w:eastAsia="Arial Unicode MS" w:hAnsi="Arial Unicode MS" w:cs="Arial Unicode MS"/>
          <w:color w:val="2B477B"/>
        </w:rPr>
        <w:t>Acuerdo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emiten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criterios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especificaciones</w:t>
      </w:r>
      <w:r>
        <w:rPr>
          <w:color w:val="2B477B"/>
        </w:rPr>
        <w:t xml:space="preserve"> </w:t>
      </w:r>
      <w:r>
        <w:rPr>
          <w:rFonts w:ascii="Arial Unicode MS" w:eastAsia="Arial Unicode MS" w:hAnsi="Arial Unicode MS" w:cs="Arial Unicode MS"/>
          <w:color w:val="2B477B"/>
        </w:rPr>
        <w:t>técnicos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inmuebles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Administración</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Federal,</w:t>
      </w:r>
      <w:r>
        <w:rPr>
          <w:color w:val="2B477B"/>
        </w:rPr>
        <w:t xml:space="preserve"> 2022</w:t>
      </w:r>
      <w:r>
        <w:rPr>
          <w:rFonts w:ascii="Arial Unicode MS" w:eastAsia="Arial Unicode MS" w:hAnsi="Arial Unicode MS" w:cs="Arial Unicode MS"/>
          <w:color w:val="2B477B"/>
        </w:rPr>
        <w:t>.</w:t>
      </w:r>
    </w:p>
  </w:footnote>
  <w:footnote w:id="202">
    <w:p w14:paraId="557D397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149</w:t>
      </w:r>
      <w:r>
        <w:rPr>
          <w:rFonts w:ascii="Arial Unicode MS" w:eastAsia="Arial Unicode MS" w:hAnsi="Arial Unicode MS" w:cs="Arial Unicode MS"/>
          <w:color w:val="2B477B"/>
        </w:rPr>
        <w:t>-</w:t>
      </w:r>
      <w:r>
        <w:rPr>
          <w:color w:val="2B477B"/>
        </w:rPr>
        <w:t>155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Suprema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hyperlink r:id="rId350" w:history="1">
        <w:r>
          <w:rPr>
            <w:rFonts w:ascii="Arial Unicode MS" w:eastAsia="Arial Unicode MS" w:hAnsi="Arial Unicode MS" w:cs="Arial Unicode MS"/>
            <w:color w:val="2B477B"/>
          </w:rPr>
          <w:t>Acuerdo</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Administración</w:t>
        </w:r>
        <w:r>
          <w:rPr>
            <w:color w:val="2B477B"/>
          </w:rPr>
          <w:t xml:space="preserve"> </w:t>
        </w:r>
        <w:r>
          <w:rPr>
            <w:rFonts w:ascii="Arial Unicode MS" w:eastAsia="Arial Unicode MS" w:hAnsi="Arial Unicode MS" w:cs="Arial Unicode MS"/>
            <w:color w:val="2B477B"/>
          </w:rPr>
          <w:t>III</w:t>
        </w:r>
        <w:r>
          <w:rPr>
            <w:color w:val="2B477B"/>
          </w:rPr>
          <w:t>/2022</w:t>
        </w:r>
        <w:r>
          <w:rPr>
            <w:rFonts w:ascii="Arial Unicode MS" w:eastAsia="Arial Unicode MS" w:hAnsi="Arial Unicode MS" w:cs="Arial Unicode MS"/>
            <w:color w:val="2B477B"/>
          </w:rPr>
          <w:t>.</w:t>
        </w:r>
        <w:r>
          <w:rPr>
            <w:color w:val="2B477B"/>
          </w:rPr>
          <w:t xml:space="preserve"> </w:t>
        </w:r>
      </w:hyperlink>
    </w:p>
  </w:footnote>
  <w:footnote w:id="203">
    <w:p w14:paraId="401298DA"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149</w:t>
      </w:r>
      <w:r>
        <w:rPr>
          <w:rFonts w:ascii="Arial Unicode MS" w:eastAsia="Arial Unicode MS" w:hAnsi="Arial Unicode MS" w:cs="Arial Unicode MS"/>
          <w:color w:val="2B477B"/>
        </w:rPr>
        <w:t>-</w:t>
      </w:r>
      <w:r>
        <w:rPr>
          <w:color w:val="2B477B"/>
        </w:rPr>
        <w:t>155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véanse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resoluciones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Segunda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Amparos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w:t>
      </w:r>
      <w:hyperlink r:id="rId351" w:history="1">
        <w:r>
          <w:rPr>
            <w:color w:val="2B477B"/>
          </w:rPr>
          <w:t>388/2018</w:t>
        </w:r>
      </w:hyperlink>
      <w:r>
        <w:rPr>
          <w:rFonts w:ascii="Arial Unicode MS" w:eastAsia="Arial Unicode MS" w:hAnsi="Arial Unicode MS" w:cs="Arial Unicode MS"/>
          <w:color w:val="2B477B"/>
        </w:rPr>
        <w:t>,</w:t>
      </w:r>
      <w:r>
        <w:rPr>
          <w:color w:val="2B477B"/>
        </w:rPr>
        <w:t xml:space="preserve"> </w:t>
      </w:r>
      <w:hyperlink r:id="rId352" w:history="1">
        <w:r>
          <w:rPr>
            <w:color w:val="2B477B"/>
          </w:rPr>
          <w:t>583/2018</w:t>
        </w:r>
      </w:hyperlink>
      <w:r>
        <w:rPr>
          <w:rFonts w:ascii="Arial Unicode MS" w:eastAsia="Arial Unicode MS" w:hAnsi="Arial Unicode MS" w:cs="Arial Unicode MS"/>
          <w:color w:val="2B477B"/>
        </w:rPr>
        <w:t>,</w:t>
      </w:r>
      <w:r>
        <w:rPr>
          <w:color w:val="2B477B"/>
        </w:rPr>
        <w:t xml:space="preserve"> </w:t>
      </w:r>
      <w:hyperlink r:id="rId353" w:history="1">
        <w:r>
          <w:rPr>
            <w:color w:val="2B477B"/>
          </w:rPr>
          <w:t>635/2018</w:t>
        </w:r>
      </w:hyperlink>
      <w:r>
        <w:rPr>
          <w:rFonts w:ascii="Arial Unicode MS" w:eastAsia="Arial Unicode MS" w:hAnsi="Arial Unicode MS" w:cs="Arial Unicode MS"/>
          <w:color w:val="2B477B"/>
        </w:rPr>
        <w:t>,</w:t>
      </w:r>
      <w:r>
        <w:rPr>
          <w:color w:val="2B477B"/>
        </w:rPr>
        <w:t xml:space="preserve"> </w:t>
      </w:r>
      <w:hyperlink r:id="rId354" w:history="1">
        <w:r>
          <w:rPr>
            <w:color w:val="2B477B"/>
          </w:rPr>
          <w:t>579/2018</w:t>
        </w:r>
      </w:hyperlink>
      <w:r>
        <w:rPr>
          <w:color w:val="2B477B"/>
        </w:rPr>
        <w:t xml:space="preserve"> </w:t>
      </w:r>
      <w:r>
        <w:rPr>
          <w:rFonts w:ascii="Arial Unicode MS" w:eastAsia="Arial Unicode MS" w:hAnsi="Arial Unicode MS" w:cs="Arial Unicode MS"/>
          <w:color w:val="2B477B"/>
        </w:rPr>
        <w:t>y</w:t>
      </w:r>
      <w:r>
        <w:rPr>
          <w:color w:val="2B477B"/>
        </w:rPr>
        <w:t xml:space="preserve"> </w:t>
      </w:r>
      <w:hyperlink r:id="rId355" w:history="1">
        <w:r>
          <w:rPr>
            <w:color w:val="2B477B"/>
          </w:rPr>
          <w:t>717/2018</w:t>
        </w:r>
      </w:hyperlink>
      <w:r>
        <w:rPr>
          <w:rFonts w:ascii="Arial Unicode MS" w:eastAsia="Arial Unicode MS" w:hAnsi="Arial Unicode MS" w:cs="Arial Unicode MS"/>
          <w:color w:val="2B477B"/>
        </w:rPr>
        <w:t>.</w:t>
      </w:r>
    </w:p>
  </w:footnote>
  <w:footnote w:id="204">
    <w:p w14:paraId="247EBF2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168</w:t>
      </w:r>
      <w:r>
        <w:rPr>
          <w:rFonts w:ascii="Arial Unicode MS" w:eastAsia="Arial Unicode MS" w:hAnsi="Arial Unicode MS" w:cs="Arial Unicode MS"/>
          <w:color w:val="2B477B"/>
        </w:rPr>
        <w:t>-</w:t>
      </w:r>
      <w:r>
        <w:rPr>
          <w:color w:val="2B477B"/>
        </w:rPr>
        <w:t>171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Legislativa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(LEGISPAN),</w:t>
      </w:r>
      <w:r>
        <w:rPr>
          <w:color w:val="2B477B"/>
        </w:rPr>
        <w:t xml:space="preserve"> </w:t>
      </w:r>
      <w:hyperlink r:id="rId356" w:history="1">
        <w:r>
          <w:rPr>
            <w:rFonts w:ascii="Arial Unicode MS" w:eastAsia="Arial Unicode MS" w:hAnsi="Arial Unicode MS" w:cs="Arial Unicode MS"/>
            <w:color w:val="2B477B"/>
          </w:rPr>
          <w:t>Ley</w:t>
        </w:r>
        <w:r>
          <w:rPr>
            <w:color w:val="2B477B"/>
          </w:rPr>
          <w:t xml:space="preserve"> 15 </w:t>
        </w:r>
        <w:r>
          <w:rPr>
            <w:rFonts w:ascii="Arial Unicode MS" w:eastAsia="Arial Unicode MS" w:hAnsi="Arial Unicode MS" w:cs="Arial Unicode MS"/>
            <w:color w:val="2B477B"/>
          </w:rPr>
          <w:t>de</w:t>
        </w:r>
        <w:r>
          <w:rPr>
            <w:color w:val="2B477B"/>
          </w:rPr>
          <w:t xml:space="preserve"> 2016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29 </w:t>
      </w:r>
      <w:r>
        <w:rPr>
          <w:rFonts w:ascii="Arial Unicode MS" w:eastAsia="Arial Unicode MS" w:hAnsi="Arial Unicode MS" w:cs="Arial Unicode MS"/>
          <w:color w:val="2B477B"/>
        </w:rPr>
        <w:t>d-</w:t>
      </w:r>
      <w:r>
        <w:rPr>
          <w:color w:val="2B477B"/>
        </w:rPr>
        <w:t>29</w:t>
      </w:r>
      <w:r>
        <w:rPr>
          <w:rFonts w:ascii="Arial Unicode MS" w:eastAsia="Arial Unicode MS" w:hAnsi="Arial Unicode MS" w:cs="Arial Unicode MS"/>
          <w:color w:val="2B477B"/>
        </w:rPr>
        <w:t>ñ,</w:t>
      </w:r>
      <w:r>
        <w:rPr>
          <w:color w:val="2B477B"/>
        </w:rPr>
        <w:t xml:space="preserve"> 37 </w:t>
      </w:r>
      <w:r>
        <w:rPr>
          <w:rFonts w:ascii="Arial Unicode MS" w:eastAsia="Arial Unicode MS" w:hAnsi="Arial Unicode MS" w:cs="Arial Unicode MS"/>
          <w:color w:val="2B477B"/>
        </w:rPr>
        <w:t>y</w:t>
      </w:r>
      <w:r>
        <w:rPr>
          <w:color w:val="2B477B"/>
        </w:rPr>
        <w:t xml:space="preserve"> 39</w:t>
      </w:r>
      <w:r>
        <w:rPr>
          <w:rFonts w:ascii="Arial Unicode MS" w:eastAsia="Arial Unicode MS" w:hAnsi="Arial Unicode MS" w:cs="Arial Unicode MS"/>
          <w:color w:val="2B477B"/>
        </w:rPr>
        <w:t>.</w:t>
      </w:r>
      <w:r>
        <w:rPr>
          <w:color w:val="2B477B"/>
        </w:rPr>
        <w:t xml:space="preserve"> </w:t>
      </w:r>
    </w:p>
  </w:footnote>
  <w:footnote w:id="205">
    <w:p w14:paraId="2D775052"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168</w:t>
      </w:r>
      <w:r>
        <w:rPr>
          <w:rFonts w:ascii="Arial Unicode MS" w:eastAsia="Arial Unicode MS" w:hAnsi="Arial Unicode MS" w:cs="Arial Unicode MS"/>
          <w:color w:val="2B477B"/>
        </w:rPr>
        <w:t>-</w:t>
      </w:r>
      <w:r>
        <w:rPr>
          <w:color w:val="2B477B"/>
        </w:rPr>
        <w:t>171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hyperlink r:id="rId357" w:history="1">
        <w:r>
          <w:rPr>
            <w:rFonts w:ascii="Arial Unicode MS" w:eastAsia="Arial Unicode MS" w:hAnsi="Arial Unicode MS" w:cs="Arial Unicode MS"/>
            <w:color w:val="2B477B"/>
          </w:rPr>
          <w:t>Plan</w:t>
        </w:r>
        <w:r>
          <w:rPr>
            <w:color w:val="2B477B"/>
          </w:rPr>
          <w:t xml:space="preserve"> </w:t>
        </w:r>
        <w:r>
          <w:rPr>
            <w:rFonts w:ascii="Arial Unicode MS" w:eastAsia="Arial Unicode MS" w:hAnsi="Arial Unicode MS" w:cs="Arial Unicode MS"/>
            <w:color w:val="2B477B"/>
          </w:rPr>
          <w:t>Estratégico</w:t>
        </w:r>
        <w:r>
          <w:rPr>
            <w:color w:val="2B477B"/>
          </w:rPr>
          <w:t xml:space="preserve"> </w:t>
        </w:r>
        <w:r>
          <w:rPr>
            <w:rFonts w:ascii="Arial Unicode MS" w:eastAsia="Arial Unicode MS" w:hAnsi="Arial Unicode MS" w:cs="Arial Unicode MS"/>
            <w:color w:val="2B477B"/>
          </w:rPr>
          <w:t>Nacional</w:t>
        </w:r>
        <w:r>
          <w:rPr>
            <w:color w:val="2B477B"/>
          </w:rPr>
          <w:t xml:space="preserve"> 2020</w:t>
        </w:r>
        <w:r>
          <w:rPr>
            <w:rFonts w:ascii="Arial Unicode MS" w:eastAsia="Arial Unicode MS" w:hAnsi="Arial Unicode MS" w:cs="Arial Unicode MS"/>
            <w:color w:val="2B477B"/>
          </w:rPr>
          <w:t>-</w:t>
        </w:r>
        <w:r>
          <w:rPr>
            <w:color w:val="2B477B"/>
          </w:rPr>
          <w:t>2024</w:t>
        </w:r>
      </w:hyperlink>
      <w:r>
        <w:rPr>
          <w:rFonts w:ascii="Arial Unicode MS" w:eastAsia="Arial Unicode MS" w:hAnsi="Arial Unicode MS" w:cs="Arial Unicode MS"/>
          <w:color w:val="2B477B"/>
        </w:rPr>
        <w:t>.</w:t>
      </w:r>
      <w:r>
        <w:rPr>
          <w:color w:val="2B477B"/>
        </w:rPr>
        <w:t xml:space="preserve"> </w:t>
      </w:r>
    </w:p>
  </w:footnote>
  <w:footnote w:id="206">
    <w:p w14:paraId="555132E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168</w:t>
      </w:r>
      <w:r>
        <w:rPr>
          <w:rFonts w:ascii="Arial Unicode MS" w:eastAsia="Arial Unicode MS" w:hAnsi="Arial Unicode MS" w:cs="Arial Unicode MS"/>
          <w:color w:val="2B477B"/>
        </w:rPr>
        <w:t>-</w:t>
      </w:r>
      <w:r>
        <w:rPr>
          <w:color w:val="2B477B"/>
        </w:rPr>
        <w:t>171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hyperlink r:id="rId358" w:history="1">
        <w:r>
          <w:rPr>
            <w:rFonts w:ascii="Arial Unicode MS" w:eastAsia="Arial Unicode MS" w:hAnsi="Arial Unicode MS" w:cs="Arial Unicode MS"/>
            <w:color w:val="2B477B"/>
          </w:rPr>
          <w:t>Plan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Seguridad</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Situaciones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Emergencia</w:t>
        </w:r>
      </w:hyperlink>
      <w:r>
        <w:rPr>
          <w:rFonts w:ascii="Arial Unicode MS" w:eastAsia="Arial Unicode MS" w:hAnsi="Arial Unicode MS" w:cs="Arial Unicode MS"/>
          <w:color w:val="2B477B"/>
        </w:rPr>
        <w:t>.</w:t>
      </w:r>
      <w:r>
        <w:rPr>
          <w:color w:val="2B477B"/>
        </w:rPr>
        <w:t xml:space="preserve"> </w:t>
      </w:r>
    </w:p>
  </w:footnote>
  <w:footnote w:id="207">
    <w:p w14:paraId="2719BA75"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181</w:t>
      </w:r>
      <w:r>
        <w:rPr>
          <w:rFonts w:ascii="Arial Unicode MS" w:eastAsia="Arial Unicode MS" w:hAnsi="Arial Unicode MS" w:cs="Arial Unicode MS"/>
          <w:color w:val="2B477B"/>
        </w:rPr>
        <w:t>-</w:t>
      </w:r>
      <w:r>
        <w:rPr>
          <w:color w:val="2B477B"/>
        </w:rPr>
        <w:t>184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hyperlink r:id="rId35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N.º</w:t>
        </w:r>
        <w:r>
          <w:rPr>
            <w:color w:val="2B477B"/>
          </w:rPr>
          <w:t xml:space="preserve"> 4934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Medio</w:t>
        </w:r>
        <w:r>
          <w:rPr>
            <w:color w:val="2B477B"/>
          </w:rPr>
          <w:t xml:space="preserve"> </w:t>
        </w:r>
        <w:r>
          <w:rPr>
            <w:rFonts w:ascii="Arial Unicode MS" w:eastAsia="Arial Unicode MS" w:hAnsi="Arial Unicode MS" w:cs="Arial Unicode MS"/>
            <w:color w:val="2B477B"/>
          </w:rPr>
          <w:t>Físico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hyperlink r:id="rId360"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N.º</w:t>
        </w:r>
        <w:r>
          <w:rPr>
            <w:color w:val="2B477B"/>
          </w:rPr>
          <w:t xml:space="preserve"> 6057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Deambulación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Permanencia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lugares</w:t>
        </w:r>
        <w:r>
          <w:rPr>
            <w:color w:val="2B477B"/>
          </w:rPr>
          <w:t xml:space="preserve"> </w:t>
        </w:r>
        <w:r>
          <w:rPr>
            <w:rFonts w:ascii="Arial Unicode MS" w:eastAsia="Arial Unicode MS" w:hAnsi="Arial Unicode MS" w:cs="Arial Unicode MS"/>
            <w:color w:val="2B477B"/>
          </w:rPr>
          <w:t>públicos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Transporte</w:t>
        </w:r>
        <w:r>
          <w:rPr>
            <w:color w:val="2B477B"/>
          </w:rPr>
          <w:t xml:space="preserve"> </w:t>
        </w:r>
        <w:r>
          <w:rPr>
            <w:rFonts w:ascii="Arial Unicode MS" w:eastAsia="Arial Unicode MS" w:hAnsi="Arial Unicode MS" w:cs="Arial Unicode MS"/>
            <w:color w:val="2B477B"/>
          </w:rPr>
          <w:t>Público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toda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acompañada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perro</w:t>
        </w:r>
        <w:r>
          <w:rPr>
            <w:color w:val="2B477B"/>
          </w:rPr>
          <w:t xml:space="preserve"> </w:t>
        </w:r>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asistencia.</w:t>
        </w:r>
      </w:hyperlink>
    </w:p>
  </w:footnote>
  <w:footnote w:id="208">
    <w:p w14:paraId="2112D061"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181</w:t>
      </w:r>
      <w:r>
        <w:rPr>
          <w:rFonts w:ascii="Arial Unicode MS" w:eastAsia="Arial Unicode MS" w:hAnsi="Arial Unicode MS" w:cs="Arial Unicode MS"/>
          <w:color w:val="2B477B"/>
        </w:rPr>
        <w:t>-</w:t>
      </w:r>
      <w:r>
        <w:rPr>
          <w:color w:val="2B477B"/>
        </w:rPr>
        <w:t>184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hyperlink r:id="rId36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N.º</w:t>
        </w:r>
        <w:r>
          <w:rPr>
            <w:color w:val="2B477B"/>
          </w:rPr>
          <w:t xml:space="preserve"> 4336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Obligatoriedad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Lenguaje</w:t>
        </w:r>
        <w:r>
          <w:rPr>
            <w:color w:val="2B477B"/>
          </w:rPr>
          <w:t xml:space="preserve"> </w:t>
        </w:r>
        <w:r>
          <w:rPr>
            <w:rFonts w:ascii="Arial Unicode MS" w:eastAsia="Arial Unicode MS" w:hAnsi="Arial Unicode MS" w:cs="Arial Unicode MS"/>
            <w:color w:val="2B477B"/>
          </w:rPr>
          <w:t>(sic)</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Señas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Informativos</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Noticieros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Medios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Comunicación</w:t>
        </w:r>
        <w:r>
          <w:rPr>
            <w:color w:val="2B477B"/>
          </w:rPr>
          <w:t xml:space="preserve"> </w:t>
        </w:r>
        <w:r>
          <w:rPr>
            <w:rFonts w:ascii="Arial Unicode MS" w:eastAsia="Arial Unicode MS" w:hAnsi="Arial Unicode MS" w:cs="Arial Unicode MS"/>
            <w:color w:val="2B477B"/>
          </w:rPr>
          <w:t>Audiovisuales</w:t>
        </w:r>
      </w:hyperlink>
      <w:r>
        <w:rPr>
          <w:rFonts w:ascii="Arial Unicode MS" w:eastAsia="Arial Unicode MS" w:hAnsi="Arial Unicode MS" w:cs="Arial Unicode MS"/>
          <w:color w:val="2B477B"/>
        </w:rPr>
        <w:t>.</w:t>
      </w:r>
      <w:r>
        <w:rPr>
          <w:color w:val="2B477B"/>
        </w:rPr>
        <w:t xml:space="preserve"> </w:t>
      </w:r>
    </w:p>
  </w:footnote>
  <w:footnote w:id="209">
    <w:p w14:paraId="69D0E3B7"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181</w:t>
      </w:r>
      <w:r>
        <w:rPr>
          <w:rFonts w:ascii="Arial Unicode MS" w:eastAsia="Arial Unicode MS" w:hAnsi="Arial Unicode MS" w:cs="Arial Unicode MS"/>
          <w:color w:val="2B477B"/>
        </w:rPr>
        <w:t>-</w:t>
      </w:r>
      <w:r>
        <w:rPr>
          <w:color w:val="2B477B"/>
        </w:rPr>
        <w:t>184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6354/2019 </w:t>
      </w:r>
      <w:hyperlink r:id="rId362" w:history="1">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Garantiza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Comunicación</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Sordas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Auditiva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Realizar</w:t>
        </w:r>
        <w:r>
          <w:rPr>
            <w:color w:val="2B477B"/>
          </w:rPr>
          <w:t xml:space="preserve"> </w:t>
        </w:r>
        <w:r>
          <w:rPr>
            <w:rFonts w:ascii="Arial Unicode MS" w:eastAsia="Arial Unicode MS" w:hAnsi="Arial Unicode MS" w:cs="Arial Unicode MS"/>
            <w:color w:val="2B477B"/>
          </w:rPr>
          <w:t>Trámites</w:t>
        </w:r>
        <w:r>
          <w:rPr>
            <w:color w:val="2B477B"/>
          </w:rPr>
          <w:t xml:space="preserve"> </w:t>
        </w:r>
        <w:r>
          <w:rPr>
            <w:rFonts w:ascii="Arial Unicode MS" w:eastAsia="Arial Unicode MS" w:hAnsi="Arial Unicode MS" w:cs="Arial Unicode MS"/>
            <w:color w:val="2B477B"/>
          </w:rPr>
          <w:t>den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Organismos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Estado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nota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lenguaje</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referirse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titulares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evoluciona</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otra.</w:t>
      </w:r>
      <w:r>
        <w:rPr>
          <w:color w:val="2B477B"/>
        </w:rPr>
        <w:t xml:space="preserve"> </w:t>
      </w:r>
    </w:p>
  </w:footnote>
  <w:footnote w:id="210">
    <w:p w14:paraId="0DBCD27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Ronda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Acción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Andes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Investigación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Socioeconómico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Mesa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Solidarias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Angelitos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Barreras,</w:t>
      </w:r>
      <w:r>
        <w:rPr>
          <w:color w:val="2B477B"/>
        </w:rPr>
        <w:t xml:space="preserve"> </w:t>
      </w:r>
      <w:r>
        <w:rPr>
          <w:rFonts w:ascii="Arial Unicode MS" w:eastAsia="Arial Unicode MS" w:hAnsi="Arial Unicode MS" w:cs="Arial Unicode MS"/>
          <w:color w:val="2B477B"/>
        </w:rPr>
        <w:t>A.C.</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Manos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Inspiran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diversas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activistas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profesionales</w:t>
      </w:r>
      <w:r>
        <w:rPr>
          <w:color w:val="2B477B"/>
        </w:rPr>
        <w:t xml:space="preserve"> </w:t>
      </w:r>
      <w:r>
        <w:rPr>
          <w:rFonts w:ascii="Arial Unicode MS" w:eastAsia="Arial Unicode MS" w:hAnsi="Arial Unicode MS" w:cs="Arial Unicode MS"/>
          <w:color w:val="2B477B"/>
        </w:rPr>
        <w:t>independientes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enfatizado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importancia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obligación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cuestión</w:t>
      </w:r>
      <w:r>
        <w:rPr>
          <w:color w:val="2B477B"/>
        </w:rPr>
        <w:t xml:space="preserve"> </w:t>
      </w:r>
      <w:r>
        <w:rPr>
          <w:rFonts w:ascii="Arial Unicode MS" w:eastAsia="Arial Unicode MS" w:hAnsi="Arial Unicode MS" w:cs="Arial Unicode MS"/>
          <w:color w:val="2B477B"/>
        </w:rPr>
        <w:t>transversal.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hecho,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consagra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obligación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proofErr w:type="gramStart"/>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Partes</w:t>
      </w:r>
      <w:proofErr w:type="gramEnd"/>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celebrar</w:t>
      </w:r>
      <w:r>
        <w:rPr>
          <w:color w:val="2B477B"/>
        </w:rPr>
        <w:t xml:space="preserve"> </w:t>
      </w:r>
      <w:r>
        <w:rPr>
          <w:rFonts w:ascii="Arial Unicode MS" w:eastAsia="Arial Unicode MS" w:hAnsi="Arial Unicode MS" w:cs="Arial Unicode MS"/>
          <w:color w:val="2B477B"/>
        </w:rPr>
        <w:t>consultas</w:t>
      </w:r>
      <w:r>
        <w:rPr>
          <w:color w:val="2B477B"/>
        </w:rPr>
        <w:t xml:space="preserve"> </w:t>
      </w:r>
      <w:r>
        <w:rPr>
          <w:rFonts w:ascii="Arial Unicode MS" w:eastAsia="Arial Unicode MS" w:hAnsi="Arial Unicode MS" w:cs="Arial Unicode MS"/>
          <w:color w:val="2B477B"/>
        </w:rPr>
        <w:t>estrechas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colaborar</w:t>
      </w:r>
      <w:r>
        <w:rPr>
          <w:color w:val="2B477B"/>
        </w:rPr>
        <w:t xml:space="preserve"> </w:t>
      </w:r>
      <w:r>
        <w:rPr>
          <w:rFonts w:ascii="Arial Unicode MS" w:eastAsia="Arial Unicode MS" w:hAnsi="Arial Unicode MS" w:cs="Arial Unicode MS"/>
          <w:color w:val="2B477B"/>
        </w:rPr>
        <w:t>activamente</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proceso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seguimiento</w:t>
      </w:r>
      <w:r>
        <w:rPr>
          <w:color w:val="2B477B"/>
        </w:rPr>
        <w:t xml:space="preserve"> </w:t>
      </w:r>
      <w:r>
        <w:rPr>
          <w:rFonts w:ascii="Arial Unicode MS" w:eastAsia="Arial Unicode MS" w:hAnsi="Arial Unicode MS" w:cs="Arial Unicode MS"/>
          <w:color w:val="2B477B"/>
        </w:rPr>
        <w:t>(art.</w:t>
      </w:r>
      <w:r>
        <w:rPr>
          <w:color w:val="2B477B"/>
        </w:rPr>
        <w:t xml:space="preserve"> 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concepto</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amplio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trata</w:t>
      </w:r>
      <w:r>
        <w:rPr>
          <w:color w:val="2B477B"/>
        </w:rPr>
        <w:t xml:space="preserve"> </w:t>
      </w:r>
      <w:r>
        <w:rPr>
          <w:rFonts w:ascii="Arial Unicode MS" w:eastAsia="Arial Unicode MS" w:hAnsi="Arial Unicode MS" w:cs="Arial Unicode MS"/>
          <w:color w:val="2B477B"/>
        </w:rPr>
        <w:t>sólo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reconocer</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sino</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papel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determinación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363" w:history="1">
        <w:r>
          <w:rPr>
            <w:rStyle w:val="Hyperlink0"/>
            <w:rFonts w:ascii="Arial Unicode MS" w:eastAsia="Arial Unicode MS" w:hAnsi="Arial Unicode MS" w:cs="Arial Unicode MS"/>
          </w:rPr>
          <w:t>Observación</w:t>
        </w:r>
        <w:r>
          <w:rPr>
            <w:rStyle w:val="Hyperlink0"/>
          </w:rPr>
          <w:t xml:space="preserve"> </w:t>
        </w:r>
        <w:r>
          <w:rPr>
            <w:rStyle w:val="Hyperlink0"/>
            <w:rFonts w:ascii="Arial Unicode MS" w:eastAsia="Arial Unicode MS" w:hAnsi="Arial Unicode MS" w:cs="Arial Unicode MS"/>
          </w:rPr>
          <w:t>General</w:t>
        </w:r>
        <w:r>
          <w:rPr>
            <w:rStyle w:val="Hyperlink0"/>
          </w:rPr>
          <w:t xml:space="preserve"> </w:t>
        </w:r>
        <w:r>
          <w:rPr>
            <w:rStyle w:val="Hyperlink0"/>
            <w:rFonts w:ascii="Arial Unicode MS" w:eastAsia="Arial Unicode MS" w:hAnsi="Arial Unicode MS" w:cs="Arial Unicode MS"/>
          </w:rPr>
          <w:t>núm.</w:t>
        </w:r>
        <w:r>
          <w:rPr>
            <w:rStyle w:val="Hyperlink0"/>
          </w:rPr>
          <w:t xml:space="preserve"> 7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participación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color w:val="2B477B"/>
        </w:rPr>
        <w:t>,</w:t>
      </w:r>
      <w:r>
        <w:rPr>
          <w:color w:val="2B477B"/>
        </w:rPr>
        <w:t xml:space="preserve"> 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p>
  </w:footnote>
  <w:footnote w:id="211">
    <w:p w14:paraId="1FE25FFE"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base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respuestas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p>
  </w:footnote>
  <w:footnote w:id="212">
    <w:p w14:paraId="4A89616C" w14:textId="77777777" w:rsidR="001A105D" w:rsidRDefault="00000000">
      <w:pPr>
        <w:pStyle w:val="NormalWeb"/>
        <w:shd w:val="clear" w:color="auto" w:fill="FCFCFC"/>
        <w:spacing w:before="0" w:after="0"/>
      </w:pPr>
      <w:r>
        <w:rPr>
          <w:color w:val="2B477B"/>
          <w:spacing w:val="-1"/>
          <w:sz w:val="16"/>
          <w:szCs w:val="16"/>
          <w:vertAlign w:val="superscript"/>
          <w:lang w:val="es-ES_tradnl"/>
        </w:rPr>
        <w:footnoteRef/>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Tratado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Marrakech</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exige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Partes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firmantes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que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introduzcan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sus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normas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sobre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derecho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autor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un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conjunto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estándar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limitaciones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y</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excepciones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para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permitir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reproducción,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distribución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y</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puesta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disposición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obras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publicadas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formatos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accesibles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para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personas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ciegas,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con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discapacidad</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visual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u</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otras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dificultades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para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acceder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texto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impreso.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misma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manera,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apunta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permitir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intercambio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transfronterizo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esas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obras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por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parte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organizaciones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relacionadas.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alcance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régimen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Tratado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Marrakech</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abarca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obras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forma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texto,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notación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y</w:t>
      </w:r>
      <w:r>
        <w:rPr>
          <w:color w:val="2B477B"/>
          <w:spacing w:val="-1"/>
          <w:sz w:val="16"/>
          <w:szCs w:val="16"/>
          <w:u w:color="808080"/>
          <w:lang w:val="es-ES_tradnl"/>
        </w:rPr>
        <w:t>/</w:t>
      </w:r>
      <w:r>
        <w:rPr>
          <w:rFonts w:ascii="Arial Unicode MS" w:eastAsia="Arial Unicode MS" w:hAnsi="Arial Unicode MS" w:cs="Arial Unicode MS"/>
          <w:color w:val="2B477B"/>
          <w:spacing w:val="-1"/>
          <w:sz w:val="16"/>
          <w:szCs w:val="16"/>
          <w:u w:color="808080"/>
          <w:lang w:val="es-ES_tradnl"/>
        </w:rPr>
        <w:t>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ilustraciones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conexas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con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independencia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que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hayan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sido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publicadas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puestas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disposición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público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por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cualquier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medio”,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y</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ello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incluye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los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audiolibros,</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ver,</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Organización</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Mundial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la</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Propiedad</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Intelectual</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(OMPI),</w:t>
      </w:r>
      <w:r>
        <w:rPr>
          <w:color w:val="2B477B"/>
          <w:spacing w:val="-1"/>
          <w:sz w:val="16"/>
          <w:szCs w:val="16"/>
          <w:u w:color="808080"/>
          <w:lang w:val="es-ES_tradnl"/>
        </w:rPr>
        <w:t xml:space="preserve"> </w:t>
      </w:r>
      <w:hyperlink r:id="rId364" w:history="1">
        <w:r>
          <w:rPr>
            <w:rStyle w:val="Hyperlink0"/>
            <w:rFonts w:ascii="Arial Unicode MS" w:eastAsia="Arial Unicode MS" w:hAnsi="Arial Unicode MS" w:cs="Arial Unicode MS"/>
            <w:spacing w:val="-1"/>
            <w:sz w:val="16"/>
            <w:szCs w:val="16"/>
            <w:lang w:val="es-ES_tradnl"/>
          </w:rPr>
          <w:t>Tratado</w:t>
        </w:r>
        <w:r>
          <w:rPr>
            <w:rStyle w:val="Hyperlink0"/>
            <w:spacing w:val="-1"/>
            <w:sz w:val="16"/>
            <w:szCs w:val="16"/>
            <w:lang w:val="es-ES_tradnl"/>
          </w:rPr>
          <w:t xml:space="preserve"> </w:t>
        </w:r>
        <w:r>
          <w:rPr>
            <w:rStyle w:val="Hyperlink0"/>
            <w:rFonts w:ascii="Arial Unicode MS" w:eastAsia="Arial Unicode MS" w:hAnsi="Arial Unicode MS" w:cs="Arial Unicode MS"/>
            <w:spacing w:val="-1"/>
            <w:sz w:val="16"/>
            <w:szCs w:val="16"/>
            <w:lang w:val="es-ES_tradnl"/>
          </w:rPr>
          <w:t>de</w:t>
        </w:r>
        <w:r>
          <w:rPr>
            <w:rStyle w:val="Hyperlink0"/>
            <w:spacing w:val="-1"/>
            <w:sz w:val="16"/>
            <w:szCs w:val="16"/>
            <w:lang w:val="es-ES_tradnl"/>
          </w:rPr>
          <w:t xml:space="preserve"> </w:t>
        </w:r>
        <w:r>
          <w:rPr>
            <w:rStyle w:val="Hyperlink0"/>
            <w:rFonts w:ascii="Arial Unicode MS" w:eastAsia="Arial Unicode MS" w:hAnsi="Arial Unicode MS" w:cs="Arial Unicode MS"/>
            <w:spacing w:val="-1"/>
            <w:sz w:val="16"/>
            <w:szCs w:val="16"/>
            <w:lang w:val="es-ES_tradnl"/>
          </w:rPr>
          <w:t>Marrakech,</w:t>
        </w:r>
      </w:hyperlink>
      <w:r>
        <w:rPr>
          <w:color w:val="2B477B"/>
          <w:spacing w:val="-1"/>
          <w:sz w:val="16"/>
          <w:szCs w:val="16"/>
          <w:u w:color="808080"/>
          <w:lang w:val="es-ES_tradnl"/>
        </w:rPr>
        <w:t xml:space="preserve"> 27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junio</w:t>
      </w:r>
      <w:r>
        <w:rPr>
          <w:color w:val="2B477B"/>
          <w:spacing w:val="-1"/>
          <w:sz w:val="16"/>
          <w:szCs w:val="16"/>
          <w:u w:color="808080"/>
          <w:lang w:val="es-ES_tradnl"/>
        </w:rPr>
        <w:t xml:space="preserve"> </w:t>
      </w:r>
      <w:r>
        <w:rPr>
          <w:rFonts w:ascii="Arial Unicode MS" w:eastAsia="Arial Unicode MS" w:hAnsi="Arial Unicode MS" w:cs="Arial Unicode MS"/>
          <w:color w:val="2B477B"/>
          <w:spacing w:val="-1"/>
          <w:sz w:val="16"/>
          <w:szCs w:val="16"/>
          <w:u w:color="808080"/>
          <w:lang w:val="es-ES_tradnl"/>
        </w:rPr>
        <w:t>de</w:t>
      </w:r>
      <w:r>
        <w:rPr>
          <w:color w:val="2B477B"/>
          <w:spacing w:val="-1"/>
          <w:sz w:val="16"/>
          <w:szCs w:val="16"/>
          <w:u w:color="808080"/>
          <w:lang w:val="es-ES_tradnl"/>
        </w:rPr>
        <w:t xml:space="preserve"> 2013</w:t>
      </w:r>
      <w:r>
        <w:rPr>
          <w:rFonts w:ascii="Arial Unicode MS" w:eastAsia="Arial Unicode MS" w:hAnsi="Arial Unicode MS" w:cs="Arial Unicode MS"/>
          <w:color w:val="2B477B"/>
          <w:spacing w:val="-1"/>
          <w:sz w:val="16"/>
          <w:szCs w:val="16"/>
          <w:u w:color="808080"/>
          <w:lang w:val="es-ES_tradnl"/>
        </w:rPr>
        <w:t>.</w:t>
      </w:r>
    </w:p>
  </w:footnote>
  <w:footnote w:id="213">
    <w:p w14:paraId="136B5763" w14:textId="77777777" w:rsidR="001A105D" w:rsidRDefault="00000000">
      <w:pPr>
        <w:pStyle w:val="Body"/>
        <w:jc w:val="left"/>
      </w:pPr>
      <w:r>
        <w:rPr>
          <w:color w:val="2B477B"/>
          <w:vertAlign w:val="superscript"/>
        </w:rPr>
        <w:footnoteRef/>
      </w:r>
      <w:r>
        <w:rPr>
          <w:color w:val="2B477B"/>
          <w:vertAlign w:val="superscript"/>
        </w:rPr>
        <w:t xml:space="preserve"> </w:t>
      </w:r>
      <w:r>
        <w:rPr>
          <w:rFonts w:ascii="Arial Unicode MS" w:eastAsia="Arial Unicode MS" w:hAnsi="Arial Unicode MS" w:cs="Arial Unicode MS"/>
          <w:color w:val="2B477B"/>
        </w:rPr>
        <w:t>OEA,</w:t>
      </w:r>
      <w:r>
        <w:rPr>
          <w:color w:val="2B477B"/>
        </w:rPr>
        <w:t xml:space="preserve"> </w:t>
      </w:r>
      <w:hyperlink r:id="rId365"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Americana</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Humanos</w:t>
        </w:r>
      </w:hyperlink>
      <w:r>
        <w:rPr>
          <w:color w:val="2B477B"/>
        </w:rPr>
        <w:t xml:space="preserve"> </w:t>
      </w:r>
      <w:r>
        <w:rPr>
          <w:rFonts w:ascii="Arial Unicode MS" w:eastAsia="Arial Unicode MS" w:hAnsi="Arial Unicode MS" w:cs="Arial Unicode MS"/>
          <w:color w:val="2B477B"/>
        </w:rPr>
        <w:t>(CADH),</w:t>
      </w:r>
      <w:r>
        <w:rPr>
          <w:color w:val="2B477B"/>
        </w:rPr>
        <w:t xml:space="preserve"> </w:t>
      </w:r>
      <w:r>
        <w:rPr>
          <w:rFonts w:ascii="Arial Unicode MS" w:eastAsia="Arial Unicode MS" w:hAnsi="Arial Unicode MS" w:cs="Arial Unicode MS"/>
          <w:color w:val="2B477B"/>
        </w:rPr>
        <w:t>Pacto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San</w:t>
      </w:r>
      <w:r>
        <w:rPr>
          <w:color w:val="2B477B"/>
        </w:rPr>
        <w:t xml:space="preserve"> </w:t>
      </w:r>
      <w:r>
        <w:rPr>
          <w:rFonts w:ascii="Arial Unicode MS" w:eastAsia="Arial Unicode MS" w:hAnsi="Arial Unicode MS" w:cs="Arial Unicode MS"/>
          <w:color w:val="2B477B"/>
        </w:rPr>
        <w:t>José,</w:t>
      </w:r>
      <w:r>
        <w:rPr>
          <w:color w:val="2B477B"/>
        </w:rPr>
        <w:t xml:space="preserve"> 1969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23</w:t>
      </w:r>
      <w:r>
        <w:rPr>
          <w:rFonts w:ascii="Arial Unicode MS" w:eastAsia="Arial Unicode MS" w:hAnsi="Arial Unicode MS" w:cs="Arial Unicode MS"/>
          <w:color w:val="2B477B"/>
        </w:rPr>
        <w:t>.</w:t>
      </w:r>
    </w:p>
  </w:footnote>
  <w:footnote w:id="214">
    <w:p w14:paraId="18041AB4"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proporcionada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571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64 </w:t>
      </w:r>
      <w:r>
        <w:rPr>
          <w:rFonts w:ascii="Arial Unicode MS" w:eastAsia="Arial Unicode MS" w:hAnsi="Arial Unicode MS" w:cs="Arial Unicode MS"/>
          <w:color w:val="2B477B"/>
        </w:rPr>
        <w:t>y</w:t>
      </w:r>
      <w:r>
        <w:rPr>
          <w:color w:val="2B477B"/>
        </w:rPr>
        <w:t xml:space="preserve"> 105</w:t>
      </w:r>
      <w:r>
        <w:rPr>
          <w:rFonts w:ascii="Arial Unicode MS" w:eastAsia="Arial Unicode MS" w:hAnsi="Arial Unicode MS" w:cs="Arial Unicode MS"/>
          <w:color w:val="2B477B"/>
        </w:rPr>
        <w:t>;</w:t>
      </w:r>
      <w:r>
        <w:rPr>
          <w:color w:val="2B477B"/>
        </w:rPr>
        <w:t xml:space="preserve"> </w:t>
      </w:r>
      <w:hyperlink r:id="rId366"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82</w:t>
      </w:r>
      <w:r>
        <w:rPr>
          <w:rFonts w:ascii="Arial Unicode MS" w:eastAsia="Arial Unicode MS" w:hAnsi="Arial Unicode MS" w:cs="Arial Unicode MS"/>
          <w:color w:val="2B477B"/>
        </w:rPr>
        <w:t>.</w:t>
      </w:r>
      <w:r>
        <w:rPr>
          <w:color w:val="2B477B"/>
        </w:rPr>
        <w:t xml:space="preserve">3 </w:t>
      </w:r>
      <w:r>
        <w:rPr>
          <w:rFonts w:ascii="Arial Unicode MS" w:eastAsia="Arial Unicode MS" w:hAnsi="Arial Unicode MS" w:cs="Arial Unicode MS"/>
          <w:color w:val="2B477B"/>
        </w:rPr>
        <w:t>y</w:t>
      </w:r>
      <w:r>
        <w:rPr>
          <w:color w:val="2B477B"/>
        </w:rPr>
        <w:t xml:space="preserve"> 94</w:t>
      </w:r>
      <w:r>
        <w:rPr>
          <w:rFonts w:ascii="Arial Unicode MS" w:eastAsia="Arial Unicode MS" w:hAnsi="Arial Unicode MS" w:cs="Arial Unicode MS"/>
          <w:color w:val="2B477B"/>
        </w:rPr>
        <w:t>;</w:t>
      </w:r>
      <w:r>
        <w:rPr>
          <w:color w:val="2B477B"/>
        </w:rPr>
        <w:t xml:space="preserve"> </w:t>
      </w:r>
      <w:hyperlink r:id="rId367" w:history="1">
        <w:r>
          <w:rPr>
            <w:rFonts w:ascii="Arial Unicode MS" w:eastAsia="Arial Unicode MS" w:hAnsi="Arial Unicode MS" w:cs="Arial Unicode MS"/>
            <w:color w:val="2B477B"/>
          </w:rPr>
          <w:t>Persons</w:t>
        </w:r>
        <w:r>
          <w:rPr>
            <w:color w:val="2B477B"/>
          </w:rPr>
          <w:t xml:space="preserve"> </w:t>
        </w:r>
        <w:r>
          <w:rPr>
            <w:rFonts w:ascii="Arial Unicode MS" w:eastAsia="Arial Unicode MS" w:hAnsi="Arial Unicode MS" w:cs="Arial Unicode MS"/>
            <w:color w:val="2B477B"/>
          </w:rPr>
          <w:t>with</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(Equal</w:t>
        </w:r>
        <w:r>
          <w:rPr>
            <w:color w:val="2B477B"/>
          </w:rPr>
          <w:t xml:space="preserve"> </w:t>
        </w:r>
        <w:r>
          <w:rPr>
            <w:rFonts w:ascii="Arial Unicode MS" w:eastAsia="Arial Unicode MS" w:hAnsi="Arial Unicode MS" w:cs="Arial Unicode MS"/>
            <w:color w:val="2B477B"/>
          </w:rPr>
          <w:t>Opportunities)</w:t>
        </w:r>
        <w:r>
          <w:rPr>
            <w:color w:val="2B477B"/>
          </w:rPr>
          <w:t xml:space="preserve"> </w:t>
        </w:r>
      </w:hyperlink>
      <w:hyperlink r:id="rId368" w:history="1">
        <w:r>
          <w:rPr>
            <w:rFonts w:ascii="Arial Unicode MS" w:eastAsia="Arial Unicode MS" w:hAnsi="Arial Unicode MS" w:cs="Arial Unicode MS"/>
            <w:color w:val="2B477B"/>
          </w:rPr>
          <w:t>Act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26 </w:t>
      </w:r>
      <w:r>
        <w:rPr>
          <w:rFonts w:ascii="Arial Unicode MS" w:eastAsia="Arial Unicode MS" w:hAnsi="Arial Unicode MS" w:cs="Arial Unicode MS"/>
          <w:color w:val="2B477B"/>
        </w:rPr>
        <w:t>y</w:t>
      </w:r>
      <w:r>
        <w:rPr>
          <w:color w:val="2B477B"/>
        </w:rPr>
        <w:t xml:space="preserve"> 42 </w:t>
      </w:r>
      <w:r>
        <w:rPr>
          <w:rFonts w:ascii="Arial Unicode MS" w:eastAsia="Arial Unicode MS" w:hAnsi="Arial Unicode MS" w:cs="Arial Unicode MS"/>
          <w:color w:val="2B477B"/>
        </w:rPr>
        <w:t>y</w:t>
      </w:r>
      <w:r>
        <w:rPr>
          <w:color w:val="2B477B"/>
        </w:rPr>
        <w:t xml:space="preserve"> </w:t>
      </w:r>
      <w:hyperlink r:id="rId369" w:history="1">
        <w:r>
          <w:rPr>
            <w:rFonts w:ascii="Arial Unicode MS" w:eastAsia="Arial Unicode MS" w:hAnsi="Arial Unicode MS" w:cs="Arial Unicode MS"/>
            <w:color w:val="2B477B"/>
          </w:rPr>
          <w:t>Parliamentary</w:t>
        </w:r>
        <w:r>
          <w:rPr>
            <w:color w:val="2B477B"/>
          </w:rPr>
          <w:t xml:space="preserve"> </w:t>
        </w:r>
        <w:r>
          <w:rPr>
            <w:rFonts w:ascii="Arial Unicode MS" w:eastAsia="Arial Unicode MS" w:hAnsi="Arial Unicode MS" w:cs="Arial Unicode MS"/>
            <w:color w:val="2B477B"/>
          </w:rPr>
          <w:t>Elections</w:t>
        </w:r>
        <w:r>
          <w:rPr>
            <w:color w:val="2B477B"/>
          </w:rPr>
          <w:t xml:space="preserve"> </w:t>
        </w:r>
        <w:r>
          <w:rPr>
            <w:rFonts w:ascii="Arial Unicode MS" w:eastAsia="Arial Unicode MS" w:hAnsi="Arial Unicode MS" w:cs="Arial Unicode MS"/>
            <w:color w:val="2B477B"/>
          </w:rPr>
          <w:t>Act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hyperlink r:id="rId370" w:history="1">
        <w:r>
          <w:rPr>
            <w:rFonts w:ascii="Arial Unicode MS" w:eastAsia="Arial Unicode MS" w:hAnsi="Arial Unicode MS" w:cs="Arial Unicode MS"/>
            <w:color w:val="2B477B"/>
          </w:rPr>
          <w:t>Representation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art.</w:t>
      </w:r>
      <w:r>
        <w:rPr>
          <w:color w:val="2B477B"/>
        </w:rPr>
        <w:t xml:space="preserve"> 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DFL</w:t>
      </w:r>
      <w:r>
        <w:rPr>
          <w:color w:val="2B477B"/>
        </w:rPr>
        <w:t xml:space="preserve"> 2 </w:t>
      </w:r>
      <w:r>
        <w:rPr>
          <w:rFonts w:ascii="Arial Unicode MS" w:eastAsia="Arial Unicode MS" w:hAnsi="Arial Unicode MS" w:cs="Arial Unicode MS"/>
          <w:color w:val="2B477B"/>
        </w:rPr>
        <w:t>de</w:t>
      </w:r>
      <w:r>
        <w:rPr>
          <w:color w:val="2B477B"/>
        </w:rPr>
        <w:t xml:space="preserve"> 2017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37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18</w:t>
        </w:r>
        <w:r>
          <w:rPr>
            <w:rFonts w:ascii="Arial Unicode MS" w:eastAsia="Arial Unicode MS" w:hAnsi="Arial Unicode MS" w:cs="Arial Unicode MS"/>
            <w:color w:val="2B477B"/>
          </w:rPr>
          <w:t>.</w:t>
        </w:r>
        <w:r>
          <w:rPr>
            <w:color w:val="2B477B"/>
          </w:rPr>
          <w:t>700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144</w:t>
      </w:r>
      <w:r>
        <w:rPr>
          <w:rFonts w:ascii="Arial Unicode MS" w:eastAsia="Arial Unicode MS" w:hAnsi="Arial Unicode MS" w:cs="Arial Unicode MS"/>
          <w:color w:val="2B477B"/>
        </w:rPr>
        <w:t>.</w:t>
      </w:r>
      <w:r>
        <w:rPr>
          <w:color w:val="2B477B"/>
        </w:rPr>
        <w:t xml:space="preserve">9 </w:t>
      </w:r>
      <w:r>
        <w:rPr>
          <w:rFonts w:ascii="Arial Unicode MS" w:eastAsia="Arial Unicode MS" w:hAnsi="Arial Unicode MS" w:cs="Arial Unicode MS"/>
          <w:color w:val="2B477B"/>
        </w:rPr>
        <w:t>y</w:t>
      </w:r>
      <w:r>
        <w:rPr>
          <w:color w:val="2B477B"/>
        </w:rPr>
        <w:t xml:space="preserve"> </w:t>
      </w:r>
      <w:hyperlink r:id="rId372"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422</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25</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hyperlink r:id="rId373" w:history="1">
        <w:r>
          <w:rPr>
            <w:rFonts w:ascii="Arial Unicode MS" w:eastAsia="Arial Unicode MS" w:hAnsi="Arial Unicode MS" w:cs="Arial Unicode MS"/>
            <w:color w:val="2B477B"/>
          </w:rPr>
          <w:t>Reglamento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Política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aprobada</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Pleno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N°</w:t>
      </w:r>
      <w:r>
        <w:rPr>
          <w:color w:val="2B477B"/>
        </w:rPr>
        <w:t xml:space="preserve"> </w:t>
      </w:r>
      <w:r>
        <w:rPr>
          <w:rFonts w:ascii="Arial Unicode MS" w:eastAsia="Arial Unicode MS" w:hAnsi="Arial Unicode MS" w:cs="Arial Unicode MS"/>
          <w:color w:val="2B477B"/>
        </w:rPr>
        <w:t>PLECNE-</w:t>
      </w:r>
      <w:r>
        <w:rPr>
          <w:color w:val="2B477B"/>
        </w:rPr>
        <w:t>3</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w:t>
      </w:r>
      <w:r>
        <w:rPr>
          <w:color w:val="2B477B"/>
        </w:rPr>
        <w:t>7</w:t>
      </w:r>
      <w:r>
        <w:rPr>
          <w:rFonts w:ascii="Arial Unicode MS" w:eastAsia="Arial Unicode MS" w:hAnsi="Arial Unicode MS" w:cs="Arial Unicode MS"/>
          <w:color w:val="2B477B"/>
        </w:rPr>
        <w:t>-</w:t>
      </w:r>
      <w:r>
        <w:rPr>
          <w:color w:val="2B477B"/>
        </w:rPr>
        <w:t>2013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 </w:t>
      </w:r>
      <w:r>
        <w:rPr>
          <w:rFonts w:ascii="Arial Unicode MS" w:eastAsia="Arial Unicode MS" w:hAnsi="Arial Unicode MS" w:cs="Arial Unicode MS"/>
          <w:color w:val="2B477B"/>
        </w:rPr>
        <w:t>a</w:t>
      </w:r>
      <w:r>
        <w:rPr>
          <w:color w:val="2B477B"/>
        </w:rPr>
        <w:t xml:space="preserve"> 11</w:t>
      </w:r>
      <w:r>
        <w:rPr>
          <w:rFonts w:ascii="Arial Unicode MS" w:eastAsia="Arial Unicode MS" w:hAnsi="Arial Unicode MS" w:cs="Arial Unicode MS"/>
          <w:color w:val="2B477B"/>
        </w:rPr>
        <w:t>;</w:t>
      </w:r>
      <w:r>
        <w:rPr>
          <w:color w:val="2B477B"/>
        </w:rPr>
        <w:t xml:space="preserve"> </w:t>
      </w:r>
      <w:hyperlink r:id="rId374" w:history="1">
        <w:r>
          <w:rPr>
            <w:rFonts w:ascii="Arial Unicode MS" w:eastAsia="Arial Unicode MS" w:hAnsi="Arial Unicode MS" w:cs="Arial Unicode MS"/>
            <w:color w:val="2B477B"/>
          </w:rPr>
          <w:t>Decreto</w:t>
        </w:r>
        <w:r>
          <w:rPr>
            <w:color w:val="2B477B"/>
          </w:rPr>
          <w:t xml:space="preserve"> 672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art.</w:t>
      </w:r>
      <w:r>
        <w:rPr>
          <w:color w:val="2B477B"/>
        </w:rPr>
        <w:t xml:space="preserve"> 32</w:t>
      </w:r>
      <w:r>
        <w:rPr>
          <w:rFonts w:ascii="Arial Unicode MS" w:eastAsia="Arial Unicode MS" w:hAnsi="Arial Unicode MS" w:cs="Arial Unicode MS"/>
          <w:color w:val="2B477B"/>
        </w:rPr>
        <w:t>;</w:t>
      </w:r>
      <w:r>
        <w:rPr>
          <w:color w:val="2B477B"/>
        </w:rPr>
        <w:t xml:space="preserve"> </w:t>
      </w:r>
      <w:hyperlink r:id="rId375" w:history="1">
        <w:r>
          <w:rPr>
            <w:rFonts w:ascii="Arial Unicode MS" w:eastAsia="Arial Unicode MS" w:hAnsi="Arial Unicode MS" w:cs="Arial Unicode MS"/>
            <w:color w:val="2B477B"/>
          </w:rPr>
          <w:t>Persons</w:t>
        </w:r>
        <w:r>
          <w:rPr>
            <w:color w:val="2B477B"/>
          </w:rPr>
          <w:t xml:space="preserve"> </w:t>
        </w:r>
        <w:r>
          <w:rPr>
            <w:rFonts w:ascii="Arial Unicode MS" w:eastAsia="Arial Unicode MS" w:hAnsi="Arial Unicode MS" w:cs="Arial Unicode MS"/>
            <w:color w:val="2B477B"/>
          </w:rPr>
          <w:t>with</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Act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32</w:t>
      </w:r>
      <w:hyperlink r:id="rId376" w:history="1">
        <w:r>
          <w:rPr>
            <w:color w:val="2B477B"/>
          </w:rPr>
          <w:t xml:space="preserve"> </w:t>
        </w:r>
      </w:hyperlink>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Act</w:t>
      </w:r>
      <w:hyperlink r:id="rId377" w:history="1">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r>
        <w:rPr>
          <w:color w:val="2B477B"/>
        </w:rPr>
        <w:t xml:space="preserve"> 30</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r>
        <w:rPr>
          <w:color w:val="2B477B"/>
        </w:rPr>
        <w:t xml:space="preserve"> 73 </w:t>
      </w:r>
      <w:r>
        <w:rPr>
          <w:rFonts w:ascii="Arial Unicode MS" w:eastAsia="Arial Unicode MS" w:hAnsi="Arial Unicode MS" w:cs="Arial Unicode MS"/>
          <w:color w:val="2B477B"/>
        </w:rPr>
        <w:t>y</w:t>
      </w:r>
      <w:r>
        <w:rPr>
          <w:color w:val="2B477B"/>
        </w:rPr>
        <w:t xml:space="preserve"> 77</w:t>
      </w:r>
      <w:r>
        <w:rPr>
          <w:rFonts w:ascii="Arial Unicode MS" w:eastAsia="Arial Unicode MS" w:hAnsi="Arial Unicode MS" w:cs="Arial Unicode MS"/>
          <w:color w:val="2B477B"/>
        </w:rPr>
        <w:t>;</w:t>
      </w:r>
      <w:r>
        <w:rPr>
          <w:color w:val="2B477B"/>
        </w:rPr>
        <w:t xml:space="preserve"> </w:t>
      </w:r>
      <w:hyperlink r:id="rId378"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Integración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w:r>
        <w:rPr>
          <w:color w:val="2B477B"/>
        </w:rPr>
        <w:t xml:space="preserve"> </w:t>
      </w:r>
      <w:r>
        <w:rPr>
          <w:rFonts w:ascii="Arial Unicode MS" w:eastAsia="Arial Unicode MS" w:hAnsi="Arial Unicode MS" w:cs="Arial Unicode MS"/>
          <w:color w:val="2B477B"/>
        </w:rPr>
        <w:t>arts.</w:t>
      </w:r>
      <w:r>
        <w:rPr>
          <w:color w:val="2B477B"/>
        </w:rPr>
        <w:t xml:space="preserve"> 58 </w:t>
      </w:r>
      <w:r>
        <w:rPr>
          <w:rFonts w:ascii="Arial Unicode MS" w:eastAsia="Arial Unicode MS" w:hAnsi="Arial Unicode MS" w:cs="Arial Unicode MS"/>
          <w:color w:val="2B477B"/>
        </w:rPr>
        <w:t>y</w:t>
      </w:r>
      <w:r>
        <w:rPr>
          <w:color w:val="2B477B"/>
        </w:rPr>
        <w:t xml:space="preserve"> 59 </w:t>
      </w:r>
      <w:r>
        <w:rPr>
          <w:rFonts w:ascii="Arial Unicode MS" w:eastAsia="Arial Unicode MS" w:hAnsi="Arial Unicode MS" w:cs="Arial Unicode MS"/>
          <w:color w:val="2B477B"/>
        </w:rPr>
        <w:t>y</w:t>
      </w:r>
      <w:r>
        <w:rPr>
          <w:color w:val="2B477B"/>
        </w:rPr>
        <w:t xml:space="preserve"> </w:t>
      </w:r>
      <w:hyperlink r:id="rId379"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art.</w:t>
        </w:r>
        <w:r>
          <w:rPr>
            <w:color w:val="2B477B"/>
          </w:rPr>
          <w:t xml:space="preserve"> 157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hyperlink>
      <w:r>
        <w:rPr>
          <w:rFonts w:ascii="Arial Unicode MS" w:eastAsia="Arial Unicode MS" w:hAnsi="Arial Unicode MS" w:cs="Arial Unicode MS"/>
          <w:color w:val="2B477B"/>
        </w:rPr>
        <w:t>;</w:t>
      </w:r>
      <w:r>
        <w:rPr>
          <w:color w:val="2B477B"/>
        </w:rPr>
        <w:t xml:space="preserve"> </w:t>
      </w:r>
      <w:hyperlink r:id="rId380" w:history="1">
        <w:r>
          <w:rPr>
            <w:rFonts w:ascii="Arial Unicode MS" w:eastAsia="Arial Unicode MS" w:hAnsi="Arial Unicode MS" w:cs="Arial Unicode MS"/>
            <w:color w:val="2B477B"/>
          </w:rPr>
          <w:t>Reglamento</w:t>
        </w:r>
        <w:r>
          <w:rPr>
            <w:color w:val="2B477B"/>
          </w:rPr>
          <w:t xml:space="preserve"> </w:t>
        </w:r>
        <w:r>
          <w:rPr>
            <w:rFonts w:ascii="Arial Unicode MS" w:eastAsia="Arial Unicode MS" w:hAnsi="Arial Unicode MS" w:cs="Arial Unicode MS"/>
            <w:color w:val="2B477B"/>
          </w:rPr>
          <w:t>aprobado</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Acuerdo</w:t>
        </w:r>
        <w:r>
          <w:rPr>
            <w:color w:val="2B477B"/>
          </w:rPr>
          <w:t xml:space="preserve"> </w:t>
        </w:r>
        <w:r>
          <w:rPr>
            <w:rFonts w:ascii="Arial Unicode MS" w:eastAsia="Arial Unicode MS" w:hAnsi="Arial Unicode MS" w:cs="Arial Unicode MS"/>
            <w:color w:val="2B477B"/>
          </w:rPr>
          <w:t>N°</w:t>
        </w:r>
        <w:r>
          <w:rPr>
            <w:color w:val="2B477B"/>
          </w:rPr>
          <w:t xml:space="preserve"> 18</w:t>
        </w:r>
        <w:r>
          <w:rPr>
            <w:rFonts w:ascii="Arial Unicode MS" w:eastAsia="Arial Unicode MS" w:hAnsi="Arial Unicode MS" w:cs="Arial Unicode MS"/>
            <w:color w:val="2B477B"/>
          </w:rPr>
          <w:t>-</w:t>
        </w:r>
        <w:r>
          <w:rPr>
            <w:color w:val="2B477B"/>
          </w:rPr>
          <w:t>2017</w:t>
        </w:r>
      </w:hyperlink>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Tribunal</w:t>
      </w:r>
      <w:r>
        <w:rPr>
          <w:color w:val="2B477B"/>
        </w:rPr>
        <w:t xml:space="preserve"> </w:t>
      </w:r>
      <w:r>
        <w:rPr>
          <w:rFonts w:ascii="Arial Unicode MS" w:eastAsia="Arial Unicode MS" w:hAnsi="Arial Unicode MS" w:cs="Arial Unicode MS"/>
          <w:color w:val="2B477B"/>
        </w:rPr>
        <w:t>Supremo</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hyperlink r:id="rId381" w:history="1">
        <w:r>
          <w:rPr>
            <w:rFonts w:ascii="Arial Unicode MS" w:eastAsia="Arial Unicode MS" w:hAnsi="Arial Unicode MS" w:cs="Arial Unicode MS"/>
            <w:color w:val="2B477B"/>
          </w:rPr>
          <w:t>Representation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Jamaica,</w:t>
      </w:r>
      <w:r>
        <w:rPr>
          <w:color w:val="2B477B"/>
        </w:rPr>
        <w:t xml:space="preserve"> </w:t>
      </w:r>
      <w:r>
        <w:rPr>
          <w:rFonts w:ascii="Arial Unicode MS" w:eastAsia="Arial Unicode MS" w:hAnsi="Arial Unicode MS" w:cs="Arial Unicode MS"/>
          <w:color w:val="2B477B"/>
        </w:rPr>
        <w:t>arts.</w:t>
      </w:r>
      <w:r>
        <w:rPr>
          <w:color w:val="2B477B"/>
        </w:rPr>
        <w:t xml:space="preserve"> 36</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r>
        <w:rPr>
          <w:color w:val="2B477B"/>
        </w:rPr>
        <w:t xml:space="preserve"> 36</w:t>
      </w:r>
      <w:r>
        <w:rPr>
          <w:rFonts w:ascii="Arial Unicode MS" w:eastAsia="Arial Unicode MS" w:hAnsi="Arial Unicode MS" w:cs="Arial Unicode MS"/>
          <w:color w:val="2B477B"/>
        </w:rPr>
        <w:t>.</w:t>
      </w:r>
      <w:r>
        <w:rPr>
          <w:color w:val="2B477B"/>
        </w:rPr>
        <w:t xml:space="preserve">4 </w:t>
      </w:r>
      <w:r>
        <w:rPr>
          <w:rFonts w:ascii="Arial Unicode MS" w:eastAsia="Arial Unicode MS" w:hAnsi="Arial Unicode MS" w:cs="Arial Unicode MS"/>
          <w:color w:val="2B477B"/>
        </w:rPr>
        <w:t>y</w:t>
      </w:r>
      <w:r>
        <w:rPr>
          <w:color w:val="2B477B"/>
        </w:rPr>
        <w:t xml:space="preserve"> 36</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hyperlink r:id="rId382" w:history="1">
        <w:r>
          <w:rPr>
            <w:rFonts w:ascii="Arial Unicode MS" w:eastAsia="Arial Unicode MS" w:hAnsi="Arial Unicode MS" w:cs="Arial Unicode MS"/>
            <w:color w:val="2B477B"/>
          </w:rPr>
          <w:t>Ley</w:t>
        </w:r>
        <w:r>
          <w:rPr>
            <w:color w:val="2B477B"/>
          </w:rPr>
          <w:t xml:space="preserve"> 15</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art.</w:t>
      </w:r>
      <w:r>
        <w:rPr>
          <w:color w:val="2B477B"/>
        </w:rPr>
        <w:t xml:space="preserve"> 10</w:t>
      </w:r>
      <w:r>
        <w:rPr>
          <w:rFonts w:ascii="Arial Unicode MS" w:eastAsia="Arial Unicode MS" w:hAnsi="Arial Unicode MS" w:cs="Arial Unicode MS"/>
          <w:color w:val="2B477B"/>
        </w:rPr>
        <w:t>;</w:t>
      </w:r>
      <w:r>
        <w:rPr>
          <w:color w:val="2B477B"/>
        </w:rPr>
        <w:t xml:space="preserve"> </w:t>
      </w:r>
      <w:hyperlink r:id="rId383" w:history="1">
        <w:r>
          <w:rPr>
            <w:rFonts w:ascii="Arial Unicode MS" w:eastAsia="Arial Unicode MS" w:hAnsi="Arial Unicode MS" w:cs="Arial Unicode MS"/>
            <w:color w:val="2B477B"/>
          </w:rPr>
          <w:t>Reglamento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Voto</w:t>
        </w:r>
        <w:r>
          <w:rPr>
            <w:color w:val="2B477B"/>
          </w:rPr>
          <w:t xml:space="preserve"> </w:t>
        </w:r>
        <w:r>
          <w:rPr>
            <w:rFonts w:ascii="Arial Unicode MS" w:eastAsia="Arial Unicode MS" w:hAnsi="Arial Unicode MS" w:cs="Arial Unicode MS"/>
            <w:color w:val="2B477B"/>
          </w:rPr>
          <w:t>Accesible</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Elecciones</w:t>
        </w:r>
        <w:r>
          <w:rPr>
            <w:color w:val="2B477B"/>
          </w:rPr>
          <w:t xml:space="preserve"> </w:t>
        </w:r>
        <w:r>
          <w:rPr>
            <w:rFonts w:ascii="Arial Unicode MS" w:eastAsia="Arial Unicode MS" w:hAnsi="Arial Unicode MS" w:cs="Arial Unicode MS"/>
            <w:color w:val="2B477B"/>
          </w:rPr>
          <w:t>Generales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Departamentales</w:t>
        </w:r>
        <w:r>
          <w:rPr>
            <w:color w:val="2B477B"/>
          </w:rPr>
          <w:t xml:space="preserve"> </w:t>
        </w:r>
      </w:hyperlink>
      <w:r>
        <w:rPr>
          <w:rFonts w:ascii="Arial Unicode MS" w:eastAsia="Arial Unicode MS" w:hAnsi="Arial Unicode MS" w:cs="Arial Unicode MS"/>
          <w:color w:val="2B477B"/>
        </w:rPr>
        <w:t>adoptado</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Resolución</w:t>
      </w:r>
      <w:r>
        <w:rPr>
          <w:color w:val="2B477B"/>
        </w:rPr>
        <w:t xml:space="preserve"> 41/2017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Tribunal</w:t>
      </w:r>
      <w:r>
        <w:rPr>
          <w:color w:val="2B477B"/>
        </w:rPr>
        <w:t xml:space="preserve"> </w:t>
      </w:r>
      <w:r>
        <w:rPr>
          <w:rFonts w:ascii="Arial Unicode MS" w:eastAsia="Arial Unicode MS" w:hAnsi="Arial Unicode MS" w:cs="Arial Unicode MS"/>
          <w:color w:val="2B477B"/>
        </w:rPr>
        <w:t>Superior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w:t>
      </w:r>
      <w:r>
        <w:rPr>
          <w:color w:val="2B477B"/>
        </w:rPr>
        <w:t xml:space="preserve"> </w:t>
      </w:r>
      <w:hyperlink r:id="rId384"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Elecciones</w:t>
        </w:r>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art.</w:t>
      </w:r>
      <w:r>
        <w:rPr>
          <w:color w:val="2B477B"/>
        </w:rPr>
        <w:t xml:space="preserve"> 263</w:t>
      </w:r>
      <w:r>
        <w:rPr>
          <w:rFonts w:ascii="Arial Unicode MS" w:eastAsia="Arial Unicode MS" w:hAnsi="Arial Unicode MS" w:cs="Arial Unicode MS"/>
          <w:color w:val="2B477B"/>
        </w:rPr>
        <w:t>;</w:t>
      </w:r>
      <w:r>
        <w:rPr>
          <w:color w:val="2B477B"/>
        </w:rPr>
        <w:t xml:space="preserve"> </w:t>
      </w:r>
      <w:hyperlink r:id="rId385"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No.</w:t>
        </w:r>
        <w:r>
          <w:rPr>
            <w:color w:val="2B477B"/>
          </w:rPr>
          <w:t xml:space="preserve"> 275</w:t>
        </w:r>
        <w:r>
          <w:rPr>
            <w:rFonts w:ascii="Arial Unicode MS" w:eastAsia="Arial Unicode MS" w:hAnsi="Arial Unicode MS" w:cs="Arial Unicode MS"/>
            <w:color w:val="2B477B"/>
          </w:rPr>
          <w:t>-</w:t>
        </w:r>
        <w:r>
          <w:rPr>
            <w:color w:val="2B477B"/>
          </w:rPr>
          <w:t>97</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art.</w:t>
      </w:r>
      <w:r>
        <w:rPr>
          <w:color w:val="2B477B"/>
        </w:rPr>
        <w:t xml:space="preserve"> 121</w:t>
      </w:r>
      <w:r>
        <w:rPr>
          <w:rFonts w:ascii="Arial Unicode MS" w:eastAsia="Arial Unicode MS" w:hAnsi="Arial Unicode MS" w:cs="Arial Unicode MS"/>
          <w:color w:val="2B477B"/>
        </w:rPr>
        <w:t>;</w:t>
      </w:r>
      <w:r>
        <w:rPr>
          <w:color w:val="2B477B"/>
        </w:rPr>
        <w:t xml:space="preserve"> </w:t>
      </w:r>
      <w:hyperlink r:id="rId386" w:history="1">
        <w:r>
          <w:rPr>
            <w:rFonts w:ascii="Arial Unicode MS" w:eastAsia="Arial Unicode MS" w:hAnsi="Arial Unicode MS" w:cs="Arial Unicode MS"/>
            <w:color w:val="2B477B"/>
          </w:rPr>
          <w:t>Representation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Act</w:t>
        </w:r>
      </w:hyperlink>
      <w:hyperlink r:id="rId387" w:history="1">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color w:val="2B477B"/>
        </w:rPr>
        <w:t xml:space="preserve"> </w:t>
      </w:r>
      <w:r>
        <w:rPr>
          <w:rFonts w:ascii="Arial Unicode MS" w:eastAsia="Arial Unicode MS" w:hAnsi="Arial Unicode MS" w:cs="Arial Unicode MS"/>
          <w:color w:val="2B477B"/>
        </w:rPr>
        <w:t>arts.</w:t>
      </w:r>
      <w:r>
        <w:rPr>
          <w:color w:val="2B477B"/>
        </w:rPr>
        <w:t xml:space="preserve"> 33</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r>
        <w:rPr>
          <w:color w:val="2B477B"/>
        </w:rPr>
        <w:t xml:space="preserve"> 48 </w:t>
      </w:r>
      <w:r>
        <w:rPr>
          <w:rFonts w:ascii="Arial Unicode MS" w:eastAsia="Arial Unicode MS" w:hAnsi="Arial Unicode MS" w:cs="Arial Unicode MS"/>
          <w:color w:val="2B477B"/>
        </w:rPr>
        <w:t>y</w:t>
      </w:r>
      <w:r>
        <w:rPr>
          <w:color w:val="2B477B"/>
        </w:rPr>
        <w:t xml:space="preserve"> 83</w:t>
      </w:r>
      <w:r>
        <w:rPr>
          <w:rFonts w:ascii="Arial Unicode MS" w:eastAsia="Arial Unicode MS" w:hAnsi="Arial Unicode MS" w:cs="Arial Unicode MS"/>
          <w:color w:val="2B477B"/>
        </w:rPr>
        <w:t>;</w:t>
      </w:r>
      <w:r>
        <w:rPr>
          <w:color w:val="2B477B"/>
        </w:rPr>
        <w:t xml:space="preserve"> </w:t>
      </w:r>
      <w:hyperlink r:id="rId388" w:history="1">
        <w:r>
          <w:rPr>
            <w:rFonts w:ascii="Arial Unicode MS" w:eastAsia="Arial Unicode MS" w:hAnsi="Arial Unicode MS" w:cs="Arial Unicode MS"/>
            <w:color w:val="2B477B"/>
          </w:rPr>
          <w:t>Ley</w:t>
        </w:r>
        <w:r>
          <w:rPr>
            <w:color w:val="2B477B"/>
          </w:rPr>
          <w:t xml:space="preserve"> 7</w:t>
        </w:r>
        <w:r>
          <w:rPr>
            <w:rFonts w:ascii="Arial Unicode MS" w:eastAsia="Arial Unicode MS" w:hAnsi="Arial Unicode MS" w:cs="Arial Unicode MS"/>
            <w:color w:val="2B477B"/>
          </w:rPr>
          <w:t>.</w:t>
        </w:r>
        <w:r>
          <w:rPr>
            <w:color w:val="2B477B"/>
          </w:rPr>
          <w:t>812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art.</w:t>
      </w:r>
      <w:r>
        <w:rPr>
          <w:color w:val="2B477B"/>
        </w:rPr>
        <w:t xml:space="preserve"> 95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38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Procesos</w:t>
        </w:r>
        <w:r>
          <w:rPr>
            <w:color w:val="2B477B"/>
          </w:rPr>
          <w:t xml:space="preserve"> </w:t>
        </w:r>
        <w:r>
          <w:rPr>
            <w:rFonts w:ascii="Arial Unicode MS" w:eastAsia="Arial Unicode MS" w:hAnsi="Arial Unicode MS" w:cs="Arial Unicode MS"/>
            <w:color w:val="2B477B"/>
          </w:rPr>
          <w:t>electorales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art.</w:t>
        </w:r>
        <w:r>
          <w:rPr>
            <w:color w:val="2B477B"/>
          </w:rPr>
          <w:t xml:space="preserve"> 28</w:t>
        </w:r>
        <w:r>
          <w:rPr>
            <w:rFonts w:ascii="Arial Unicode MS" w:eastAsia="Arial Unicode MS" w:hAnsi="Arial Unicode MS" w:cs="Arial Unicode MS"/>
            <w:color w:val="2B477B"/>
          </w:rPr>
          <w:t>.</w:t>
        </w:r>
      </w:hyperlink>
    </w:p>
  </w:footnote>
  <w:footnote w:id="215">
    <w:p w14:paraId="70812588" w14:textId="77777777" w:rsidR="001A105D" w:rsidRDefault="00000000">
      <w:pPr>
        <w:pStyle w:val="Body"/>
        <w:jc w:val="left"/>
      </w:pPr>
      <w:r>
        <w:rPr>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 </w:t>
      </w:r>
      <w:r>
        <w:rPr>
          <w:rFonts w:ascii="Arial Unicode MS" w:eastAsia="Arial Unicode MS" w:hAnsi="Arial Unicode MS" w:cs="Arial Unicode MS"/>
          <w:color w:val="2B477B"/>
        </w:rPr>
        <w:t>y</w:t>
      </w:r>
      <w:r>
        <w:rPr>
          <w:color w:val="2B477B"/>
        </w:rPr>
        <w:t xml:space="preserve"> 3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90" w:history="1">
        <w:r>
          <w:rPr>
            <w:rStyle w:val="Hyperlink2"/>
            <w:rFonts w:ascii="Arial Unicode MS" w:eastAsia="Arial Unicode MS" w:hAnsi="Arial Unicode MS" w:cs="Arial Unicode MS"/>
            <w:color w:val="2B477B"/>
          </w:rPr>
          <w:t>Ley</w:t>
        </w:r>
        <w:r>
          <w:rPr>
            <w:rStyle w:val="Hyperlink2"/>
            <w:color w:val="2B477B"/>
          </w:rPr>
          <w:t xml:space="preserve"> 26</w:t>
        </w:r>
        <w:r>
          <w:rPr>
            <w:rStyle w:val="Hyperlink2"/>
            <w:rFonts w:ascii="Arial Unicode MS" w:eastAsia="Arial Unicode MS" w:hAnsi="Arial Unicode MS" w:cs="Arial Unicode MS"/>
            <w:color w:val="2B477B"/>
          </w:rPr>
          <w:t>.</w:t>
        </w:r>
        <w:r>
          <w:rPr>
            <w:rStyle w:val="Hyperlink2"/>
            <w:color w:val="2B477B"/>
          </w:rPr>
          <w:t xml:space="preserve">571 </w:t>
        </w:r>
        <w:r>
          <w:rPr>
            <w:rStyle w:val="Hyperlink2"/>
            <w:rFonts w:ascii="Arial Unicode MS" w:eastAsia="Arial Unicode MS" w:hAnsi="Arial Unicode MS" w:cs="Arial Unicode MS"/>
            <w:color w:val="2B477B"/>
          </w:rPr>
          <w:t>sobre</w:t>
        </w:r>
        <w:r>
          <w:rPr>
            <w:rStyle w:val="Hyperlink2"/>
            <w:color w:val="2B477B"/>
          </w:rPr>
          <w:t xml:space="preserve"> </w:t>
        </w:r>
        <w:r>
          <w:rPr>
            <w:rStyle w:val="Hyperlink2"/>
            <w:rFonts w:ascii="Arial Unicode MS" w:eastAsia="Arial Unicode MS" w:hAnsi="Arial Unicode MS" w:cs="Arial Unicode MS"/>
            <w:color w:val="2B477B"/>
          </w:rPr>
          <w:t>Democratización</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la</w:t>
        </w:r>
        <w:r>
          <w:rPr>
            <w:rStyle w:val="Hyperlink2"/>
            <w:color w:val="2B477B"/>
          </w:rPr>
          <w:t xml:space="preserve"> </w:t>
        </w:r>
        <w:r>
          <w:rPr>
            <w:rStyle w:val="Hyperlink2"/>
            <w:rFonts w:ascii="Arial Unicode MS" w:eastAsia="Arial Unicode MS" w:hAnsi="Arial Unicode MS" w:cs="Arial Unicode MS"/>
            <w:color w:val="2B477B"/>
          </w:rPr>
          <w:t>Representación</w:t>
        </w:r>
        <w:r>
          <w:rPr>
            <w:rStyle w:val="Hyperlink0"/>
          </w:rPr>
          <w:t xml:space="preserve"> </w:t>
        </w:r>
        <w:r>
          <w:rPr>
            <w:rStyle w:val="Hyperlink0"/>
            <w:rFonts w:ascii="Arial Unicode MS" w:eastAsia="Arial Unicode MS" w:hAnsi="Arial Unicode MS" w:cs="Arial Unicode MS"/>
          </w:rPr>
          <w:t>Política,</w:t>
        </w:r>
        <w:r>
          <w:rPr>
            <w:rStyle w:val="Hyperlink0"/>
          </w:rPr>
          <w:t xml:space="preserve"> </w:t>
        </w:r>
        <w:r>
          <w:rPr>
            <w:rStyle w:val="Hyperlink0"/>
            <w:rFonts w:ascii="Arial Unicode MS" w:eastAsia="Arial Unicode MS" w:hAnsi="Arial Unicode MS" w:cs="Arial Unicode MS"/>
          </w:rPr>
          <w:t>Transparencia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Equidad</w:t>
        </w:r>
        <w:r>
          <w:rPr>
            <w:rStyle w:val="Hyperlink0"/>
          </w:rPr>
          <w:t xml:space="preserve"> </w:t>
        </w:r>
        <w:r>
          <w:rPr>
            <w:rStyle w:val="Hyperlink0"/>
            <w:rFonts w:ascii="Arial Unicode MS" w:eastAsia="Arial Unicode MS" w:hAnsi="Arial Unicode MS" w:cs="Arial Unicode MS"/>
          </w:rPr>
          <w:t>Electora</w:t>
        </w:r>
      </w:hyperlink>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art.</w:t>
      </w:r>
      <w:r>
        <w:rPr>
          <w:color w:val="2B477B"/>
        </w:rPr>
        <w:t xml:space="preserve"> 105</w:t>
      </w:r>
      <w:r>
        <w:rPr>
          <w:rFonts w:ascii="Arial Unicode MS" w:eastAsia="Arial Unicode MS" w:hAnsi="Arial Unicode MS" w:cs="Arial Unicode MS"/>
          <w:color w:val="2B477B"/>
        </w:rPr>
        <w:t>,</w:t>
      </w:r>
      <w:r>
        <w:rPr>
          <w:color w:val="2B477B"/>
        </w:rPr>
        <w:t xml:space="preserve"> 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del</w:t>
      </w:r>
      <w:r>
        <w:rPr>
          <w:color w:val="2B477B"/>
        </w:rPr>
        <w:t xml:space="preserve"> 2009</w:t>
      </w:r>
      <w:r>
        <w:rPr>
          <w:rFonts w:ascii="Arial Unicode MS" w:eastAsia="Arial Unicode MS" w:hAnsi="Arial Unicode MS" w:cs="Arial Unicode MS"/>
          <w:color w:val="2B477B"/>
        </w:rPr>
        <w:t>.</w:t>
      </w:r>
      <w:r>
        <w:rPr>
          <w:color w:val="2B477B"/>
        </w:rPr>
        <w:t xml:space="preserve"> </w:t>
      </w:r>
    </w:p>
  </w:footnote>
  <w:footnote w:id="216">
    <w:p w14:paraId="2589D0D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hyperlink r:id="rId391" w:history="1">
        <w:r>
          <w:rPr>
            <w:rStyle w:val="Hyperlink0"/>
            <w:rFonts w:ascii="Arial Unicode MS" w:eastAsia="Arial Unicode MS" w:hAnsi="Arial Unicode MS" w:cs="Arial Unicode MS"/>
          </w:rPr>
          <w:t>Voto</w:t>
        </w:r>
        <w:r>
          <w:rPr>
            <w:rStyle w:val="Hyperlink0"/>
          </w:rPr>
          <w:t xml:space="preserve"> </w:t>
        </w:r>
        <w:r>
          <w:rPr>
            <w:rStyle w:val="Hyperlink0"/>
            <w:rFonts w:ascii="Arial Unicode MS" w:eastAsia="Arial Unicode MS" w:hAnsi="Arial Unicode MS" w:cs="Arial Unicode MS"/>
          </w:rPr>
          <w:t>Accesible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obstante,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informaron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hyperlink r:id="rId392" w:history="1">
        <w:r>
          <w:rPr>
            <w:rStyle w:val="Hyperlink0"/>
            <w:rFonts w:ascii="Arial Unicode MS" w:eastAsia="Arial Unicode MS" w:hAnsi="Arial Unicode MS" w:cs="Arial Unicode MS"/>
          </w:rPr>
          <w:t>Ley</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Partidos</w:t>
        </w:r>
        <w:r>
          <w:rPr>
            <w:rStyle w:val="Hyperlink0"/>
          </w:rPr>
          <w:t xml:space="preserve"> </w:t>
        </w:r>
        <w:r>
          <w:rPr>
            <w:rStyle w:val="Hyperlink0"/>
            <w:rFonts w:ascii="Arial Unicode MS" w:eastAsia="Arial Unicode MS" w:hAnsi="Arial Unicode MS" w:cs="Arial Unicode MS"/>
          </w:rPr>
          <w:t>Políticos</w:t>
        </w:r>
        <w:r>
          <w:rPr>
            <w:rStyle w:val="Hyperlink0"/>
          </w:rPr>
          <w:t xml:space="preserve"> </w:t>
        </w:r>
        <w:r>
          <w:rPr>
            <w:rStyle w:val="Hyperlink0"/>
            <w:rFonts w:ascii="Arial Unicode MS" w:eastAsia="Arial Unicode MS" w:hAnsi="Arial Unicode MS" w:cs="Arial Unicode MS"/>
          </w:rPr>
          <w:t>(Ley</w:t>
        </w:r>
        <w:r>
          <w:rPr>
            <w:rStyle w:val="Hyperlink0"/>
          </w:rPr>
          <w:t xml:space="preserve"> 23</w:t>
        </w:r>
        <w:r>
          <w:rPr>
            <w:rStyle w:val="Hyperlink0"/>
            <w:rFonts w:ascii="Arial Unicode MS" w:eastAsia="Arial Unicode MS" w:hAnsi="Arial Unicode MS" w:cs="Arial Unicode MS"/>
          </w:rPr>
          <w:t>.</w:t>
        </w:r>
        <w:r>
          <w:rPr>
            <w:rStyle w:val="Hyperlink0"/>
          </w:rPr>
          <w:t>298</w:t>
        </w:r>
        <w:r>
          <w:rPr>
            <w:rStyle w:val="Hyperlink0"/>
            <w:rFonts w:ascii="Arial Unicode MS" w:eastAsia="Arial Unicode MS" w:hAnsi="Arial Unicode MS" w:cs="Arial Unicode MS"/>
          </w:rPr>
          <w:t>)</w:t>
        </w:r>
      </w:hyperlink>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artículo</w:t>
      </w:r>
      <w:r>
        <w:rPr>
          <w:color w:val="2B477B"/>
        </w:rPr>
        <w:t xml:space="preserve"> 33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excluidas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padrón</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consecuencia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disposiciones</w:t>
      </w:r>
      <w:r>
        <w:rPr>
          <w:color w:val="2B477B"/>
        </w:rPr>
        <w:t xml:space="preserve"> </w:t>
      </w:r>
      <w:r>
        <w:rPr>
          <w:rFonts w:ascii="Arial Unicode MS" w:eastAsia="Arial Unicode MS" w:hAnsi="Arial Unicode MS" w:cs="Arial Unicode MS"/>
          <w:color w:val="2B477B"/>
        </w:rPr>
        <w:t>legales</w:t>
      </w:r>
      <w:r>
        <w:rPr>
          <w:color w:val="2B477B"/>
        </w:rPr>
        <w:t xml:space="preserve"> </w:t>
      </w:r>
      <w:r>
        <w:rPr>
          <w:rFonts w:ascii="Arial Unicode MS" w:eastAsia="Arial Unicode MS" w:hAnsi="Arial Unicode MS" w:cs="Arial Unicode MS"/>
          <w:color w:val="2B477B"/>
        </w:rPr>
        <w:t>vigentes</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podrán</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candidatos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cargos</w:t>
      </w:r>
      <w:r>
        <w:rPr>
          <w:color w:val="2B477B"/>
        </w:rPr>
        <w:t xml:space="preserve"> </w:t>
      </w:r>
      <w:r>
        <w:rPr>
          <w:rFonts w:ascii="Arial Unicode MS" w:eastAsia="Arial Unicode MS" w:hAnsi="Arial Unicode MS" w:cs="Arial Unicode MS"/>
          <w:color w:val="2B477B"/>
        </w:rPr>
        <w:t>públicos</w:t>
      </w:r>
      <w:r>
        <w:rPr>
          <w:color w:val="2B477B"/>
        </w:rPr>
        <w:t xml:space="preserve"> </w:t>
      </w:r>
      <w:r>
        <w:rPr>
          <w:rFonts w:ascii="Arial Unicode MS" w:eastAsia="Arial Unicode MS" w:hAnsi="Arial Unicode MS" w:cs="Arial Unicode MS"/>
          <w:color w:val="2B477B"/>
        </w:rPr>
        <w:t>electivos</w:t>
      </w:r>
      <w:r>
        <w:rPr>
          <w:color w:val="2B477B"/>
        </w:rPr>
        <w:t xml:space="preserve"> </w:t>
      </w:r>
      <w:r>
        <w:rPr>
          <w:rFonts w:ascii="Arial Unicode MS" w:eastAsia="Arial Unicode MS" w:hAnsi="Arial Unicode MS" w:cs="Arial Unicode MS"/>
          <w:color w:val="2B477B"/>
        </w:rPr>
        <w:t>nacionales.</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remite</w:t>
      </w:r>
      <w:r>
        <w:rPr>
          <w:color w:val="2B477B"/>
        </w:rPr>
        <w:t xml:space="preserve"> </w:t>
      </w:r>
      <w:r>
        <w:rPr>
          <w:rFonts w:ascii="Arial Unicode MS" w:eastAsia="Arial Unicode MS" w:hAnsi="Arial Unicode MS" w:cs="Arial Unicode MS"/>
          <w:color w:val="2B477B"/>
        </w:rPr>
        <w:t>al</w:t>
      </w:r>
      <w:r>
        <w:rPr>
          <w:color w:val="2B477B"/>
        </w:rPr>
        <w:t xml:space="preserve"> </w:t>
      </w:r>
      <w:hyperlink r:id="rId393" w:history="1">
        <w:r>
          <w:rPr>
            <w:rStyle w:val="Hyperlink0"/>
            <w:rFonts w:ascii="Arial Unicode MS" w:eastAsia="Arial Unicode MS" w:hAnsi="Arial Unicode MS" w:cs="Arial Unicode MS"/>
          </w:rPr>
          <w:t>Código</w:t>
        </w:r>
        <w:r>
          <w:rPr>
            <w:rStyle w:val="Hyperlink0"/>
          </w:rPr>
          <w:t xml:space="preserve"> </w:t>
        </w:r>
        <w:r>
          <w:rPr>
            <w:rStyle w:val="Hyperlink0"/>
            <w:rFonts w:ascii="Arial Unicode MS" w:eastAsia="Arial Unicode MS" w:hAnsi="Arial Unicode MS" w:cs="Arial Unicode MS"/>
          </w:rPr>
          <w:t>Nacional</w:t>
        </w:r>
        <w:r>
          <w:rPr>
            <w:rStyle w:val="Hyperlink0"/>
          </w:rPr>
          <w:t xml:space="preserve"> </w:t>
        </w:r>
        <w:r>
          <w:rPr>
            <w:rStyle w:val="Hyperlink0"/>
            <w:rFonts w:ascii="Arial Unicode MS" w:eastAsia="Arial Unicode MS" w:hAnsi="Arial Unicode MS" w:cs="Arial Unicode MS"/>
          </w:rPr>
          <w:t>Electoral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artículo</w:t>
      </w:r>
      <w:r>
        <w:rPr>
          <w:color w:val="2B477B"/>
        </w:rPr>
        <w:t xml:space="preserve"> 3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quedan</w:t>
      </w:r>
      <w:r>
        <w:rPr>
          <w:color w:val="2B477B"/>
        </w:rPr>
        <w:t xml:space="preserve"> </w:t>
      </w:r>
      <w:r>
        <w:rPr>
          <w:rFonts w:ascii="Arial Unicode MS" w:eastAsia="Arial Unicode MS" w:hAnsi="Arial Unicode MS" w:cs="Arial Unicode MS"/>
          <w:color w:val="2B477B"/>
        </w:rPr>
        <w:t>excluidos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padrón</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dementes</w:t>
      </w:r>
      <w:r>
        <w:rPr>
          <w:color w:val="2B477B"/>
        </w:rPr>
        <w:t xml:space="preserve"> </w:t>
      </w:r>
      <w:r>
        <w:rPr>
          <w:rFonts w:ascii="Arial Unicode MS" w:eastAsia="Arial Unicode MS" w:hAnsi="Arial Unicode MS" w:cs="Arial Unicode MS"/>
          <w:color w:val="2B477B"/>
        </w:rPr>
        <w:t>declarados</w:t>
      </w:r>
      <w:r>
        <w:rPr>
          <w:color w:val="2B477B"/>
        </w:rPr>
        <w:t xml:space="preserve"> </w:t>
      </w:r>
      <w:r>
        <w:rPr>
          <w:rFonts w:ascii="Arial Unicode MS" w:eastAsia="Arial Unicode MS" w:hAnsi="Arial Unicode MS" w:cs="Arial Unicode MS"/>
          <w:color w:val="2B477B"/>
        </w:rPr>
        <w:t>tales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juicio.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modo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aún</w:t>
      </w:r>
      <w:r>
        <w:rPr>
          <w:color w:val="2B477B"/>
        </w:rPr>
        <w:t xml:space="preserve"> </w:t>
      </w:r>
      <w:r>
        <w:rPr>
          <w:rFonts w:ascii="Arial Unicode MS" w:eastAsia="Arial Unicode MS" w:hAnsi="Arial Unicode MS" w:cs="Arial Unicode MS"/>
          <w:color w:val="2B477B"/>
        </w:rPr>
        <w:t>pueden</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excluidas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padrón</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si</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judicial</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w:t>
      </w:r>
      <w:r>
        <w:rPr>
          <w:rFonts w:ascii="Arial Unicode MS" w:eastAsia="Arial Unicode MS" w:hAnsi="Arial Unicode MS" w:cs="Arial Unicode MS"/>
          <w:color w:val="2B477B"/>
        </w:rPr>
        <w:t>.</w:t>
      </w:r>
    </w:p>
  </w:footnote>
  <w:footnote w:id="217">
    <w:p w14:paraId="331C7F8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Agencia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Discapacidad(ANDIS),</w:t>
      </w:r>
      <w:r>
        <w:rPr>
          <w:color w:val="2B477B"/>
        </w:rPr>
        <w:t xml:space="preserve"> </w:t>
      </w:r>
      <w:hyperlink r:id="rId394" w:history="1">
        <w:r>
          <w:rPr>
            <w:rStyle w:val="Hyperlink3"/>
            <w:color w:val="2B477B"/>
          </w:rPr>
          <w:t xml:space="preserve">Campaña por el derecho a voto de las personas </w:t>
        </w:r>
        <w:r>
          <w:rPr>
            <w:rStyle w:val="Hyperlink0"/>
            <w:rFonts w:ascii="Helvetica LT Std Oblique" w:hAnsi="Helvetica LT Std Oblique"/>
          </w:rPr>
          <w:t>que se encuentran en establecimientos de salud mental y/o de 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abril</w:t>
      </w:r>
      <w:r>
        <w:rPr>
          <w:color w:val="2B477B"/>
        </w:rPr>
        <w:t xml:space="preserve"> 2023</w:t>
      </w:r>
      <w:r>
        <w:rPr>
          <w:rFonts w:ascii="Arial Unicode MS" w:eastAsia="Arial Unicode MS" w:hAnsi="Arial Unicode MS" w:cs="Arial Unicode MS"/>
          <w:color w:val="2B477B"/>
        </w:rPr>
        <w:t>.</w:t>
      </w:r>
      <w:r>
        <w:rPr>
          <w:color w:val="2B477B"/>
        </w:rPr>
        <w:t xml:space="preserve"> </w:t>
      </w:r>
    </w:p>
  </w:footnote>
  <w:footnote w:id="218">
    <w:p w14:paraId="675507DA" w14:textId="77777777" w:rsidR="001A105D" w:rsidRDefault="00000000">
      <w:pPr>
        <w:pStyle w:val="Body"/>
        <w:spacing w:line="259" w:lineRule="auto"/>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encontrar</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campaña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Agencia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Acción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voto</w:t>
      </w:r>
      <w:r>
        <w:rPr>
          <w:color w:val="2B477B"/>
        </w:rPr>
        <w:t xml:space="preserve"> </w:t>
      </w:r>
      <w:r>
        <w:rPr>
          <w:rFonts w:ascii="Arial Unicode MS" w:eastAsia="Arial Unicode MS" w:hAnsi="Arial Unicode MS" w:cs="Arial Unicode MS"/>
          <w:color w:val="2B477B"/>
        </w:rPr>
        <w:t>accesible,</w:t>
      </w:r>
      <w:r>
        <w:rPr>
          <w:color w:val="2B477B"/>
        </w:rPr>
        <w:t xml:space="preserve"> </w:t>
      </w:r>
      <w:hyperlink r:id="rId395" w:history="1">
        <w:r>
          <w:rPr>
            <w:rFonts w:ascii="Arial Unicode MS" w:eastAsia="Arial Unicode MS" w:hAnsi="Arial Unicode MS" w:cs="Arial Unicode MS"/>
            <w:color w:val="2B477B"/>
          </w:rPr>
          <w:t>C</w:t>
        </w:r>
        <w:r>
          <w:rPr>
            <w:rStyle w:val="Hyperlink3"/>
            <w:color w:val="2B477B"/>
          </w:rPr>
          <w:t>ampaña por el derecho a voto de las personas que se encuentran en establecimientos de salud mental y/o discapacidad</w:t>
        </w:r>
      </w:hyperlink>
      <w:hyperlink r:id="rId396" w:history="1">
        <w:r>
          <w:rPr>
            <w:rStyle w:val="Hyperlink4"/>
          </w:rPr>
          <w:t>,</w:t>
        </w:r>
      </w:hyperlink>
      <w:r>
        <w:rPr>
          <w:color w:val="2B477B"/>
        </w:rPr>
        <w:t xml:space="preserve"> </w:t>
      </w:r>
      <w:r>
        <w:rPr>
          <w:rFonts w:ascii="Arial Unicode MS" w:eastAsia="Arial Unicode MS" w:hAnsi="Arial Unicode MS" w:cs="Arial Unicode MS"/>
          <w:color w:val="2B477B"/>
        </w:rPr>
        <w:t>abril</w:t>
      </w:r>
      <w:r>
        <w:rPr>
          <w:color w:val="2B477B"/>
        </w:rPr>
        <w:t xml:space="preserve"> 2023</w:t>
      </w:r>
      <w:r>
        <w:rPr>
          <w:rFonts w:ascii="Arial Unicode MS" w:eastAsia="Arial Unicode MS" w:hAnsi="Arial Unicode MS" w:cs="Arial Unicode MS"/>
          <w:color w:val="2B477B"/>
        </w:rPr>
        <w:t>.</w:t>
      </w:r>
      <w:r>
        <w:rPr>
          <w:color w:val="2B477B"/>
        </w:rPr>
        <w:t xml:space="preserve"> </w:t>
      </w:r>
    </w:p>
  </w:footnote>
  <w:footnote w:id="219">
    <w:p w14:paraId="441B1DA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Tribunal</w:t>
      </w:r>
      <w:r>
        <w:rPr>
          <w:color w:val="2B477B"/>
        </w:rPr>
        <w:t xml:space="preserve"> </w:t>
      </w:r>
      <w:r>
        <w:rPr>
          <w:rFonts w:ascii="Arial Unicode MS" w:eastAsia="Arial Unicode MS" w:hAnsi="Arial Unicode MS" w:cs="Arial Unicode MS"/>
          <w:color w:val="2B477B"/>
        </w:rPr>
        <w:t>Supremo</w:t>
      </w:r>
      <w:r>
        <w:rPr>
          <w:color w:val="2B477B"/>
        </w:rPr>
        <w:t xml:space="preserve"> </w:t>
      </w:r>
      <w:r>
        <w:rPr>
          <w:rFonts w:ascii="Arial Unicode MS" w:eastAsia="Arial Unicode MS" w:hAnsi="Arial Unicode MS" w:cs="Arial Unicode MS"/>
          <w:color w:val="2B477B"/>
        </w:rPr>
        <w:t>Electoral,</w:t>
      </w:r>
      <w:r>
        <w:rPr>
          <w:color w:val="2B477B"/>
        </w:rPr>
        <w:t xml:space="preserve"> </w:t>
      </w:r>
      <w:hyperlink r:id="rId397" w:history="1">
        <w:r>
          <w:rPr>
            <w:rFonts w:ascii="Arial Unicode MS" w:eastAsia="Arial Unicode MS" w:hAnsi="Arial Unicode MS" w:cs="Arial Unicode MS"/>
            <w:color w:val="2B477B"/>
          </w:rPr>
          <w:t>Reglamento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Voto</w:t>
        </w:r>
        <w:r>
          <w:rPr>
            <w:color w:val="2B477B"/>
          </w:rPr>
          <w:t xml:space="preserve"> </w:t>
        </w:r>
        <w:r>
          <w:rPr>
            <w:rFonts w:ascii="Arial Unicode MS" w:eastAsia="Arial Unicode MS" w:hAnsi="Arial Unicode MS" w:cs="Arial Unicode MS"/>
            <w:color w:val="2B477B"/>
          </w:rPr>
          <w:t>Asistido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aprobado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plena</w:t>
      </w:r>
      <w:r>
        <w:rPr>
          <w:color w:val="2B477B"/>
        </w:rPr>
        <w:t xml:space="preserve"> </w:t>
      </w:r>
      <w:r>
        <w:rPr>
          <w:rFonts w:ascii="Arial Unicode MS" w:eastAsia="Arial Unicode MS" w:hAnsi="Arial Unicode MS" w:cs="Arial Unicode MS"/>
          <w:color w:val="2B477B"/>
        </w:rPr>
        <w:t>TSE-RSP-ADM</w:t>
      </w:r>
      <w:r>
        <w:rPr>
          <w:color w:val="2B477B"/>
        </w:rPr>
        <w:t xml:space="preserve"> </w:t>
      </w:r>
      <w:r>
        <w:rPr>
          <w:rFonts w:ascii="Arial Unicode MS" w:eastAsia="Arial Unicode MS" w:hAnsi="Arial Unicode MS" w:cs="Arial Unicode MS"/>
          <w:color w:val="2B477B"/>
        </w:rPr>
        <w:t>N.º</w:t>
      </w:r>
      <w:r>
        <w:rPr>
          <w:color w:val="2B477B"/>
        </w:rPr>
        <w:t xml:space="preserve"> 463/2014 </w:t>
      </w:r>
      <w:r>
        <w:rPr>
          <w:rFonts w:ascii="Arial Unicode MS" w:eastAsia="Arial Unicode MS" w:hAnsi="Arial Unicode MS" w:cs="Arial Unicode MS"/>
          <w:color w:val="2B477B"/>
        </w:rPr>
        <w:t>el</w:t>
      </w:r>
      <w:r>
        <w:rPr>
          <w:color w:val="2B477B"/>
        </w:rPr>
        <w:t xml:space="preserve"> 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p>
  </w:footnote>
  <w:footnote w:id="220">
    <w:p w14:paraId="5F4E236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7 </w:t>
      </w:r>
      <w:r>
        <w:rPr>
          <w:rFonts w:ascii="Arial Unicode MS" w:eastAsia="Arial Unicode MS" w:hAnsi="Arial Unicode MS" w:cs="Arial Unicode MS"/>
          <w:color w:val="2B477B"/>
        </w:rPr>
        <w:t>y</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398"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hyperlink>
      <w:r>
        <w:rPr>
          <w:color w:val="2B477B"/>
        </w:rPr>
        <w:t xml:space="preserve"> </w:t>
      </w:r>
      <w:r>
        <w:rPr>
          <w:rFonts w:ascii="Arial Unicode MS" w:eastAsia="Arial Unicode MS" w:hAnsi="Arial Unicode MS" w:cs="Arial Unicode MS"/>
          <w:color w:val="2B477B"/>
        </w:rPr>
        <w:t>arts.</w:t>
      </w:r>
      <w:r>
        <w:rPr>
          <w:color w:val="2B477B"/>
        </w:rPr>
        <w:t xml:space="preserve"> 14 </w:t>
      </w:r>
      <w:r>
        <w:rPr>
          <w:rFonts w:ascii="Arial Unicode MS" w:eastAsia="Arial Unicode MS" w:hAnsi="Arial Unicode MS" w:cs="Arial Unicode MS"/>
          <w:color w:val="2B477B"/>
        </w:rPr>
        <w:t>a</w:t>
      </w:r>
      <w:r>
        <w:rPr>
          <w:color w:val="2B477B"/>
        </w:rPr>
        <w:t xml:space="preserve"> 16 </w:t>
      </w:r>
      <w:r>
        <w:rPr>
          <w:rFonts w:ascii="Arial Unicode MS" w:eastAsia="Arial Unicode MS" w:hAnsi="Arial Unicode MS" w:cs="Arial Unicode MS"/>
          <w:color w:val="2B477B"/>
        </w:rPr>
        <w:t>y</w:t>
      </w:r>
      <w:r>
        <w:rPr>
          <w:color w:val="2B477B"/>
        </w:rPr>
        <w:t xml:space="preserve"> </w:t>
      </w:r>
      <w:hyperlink r:id="rId399" w:history="1">
        <w:r>
          <w:rPr>
            <w:rFonts w:ascii="Arial Unicode MS" w:eastAsia="Arial Unicode MS" w:hAnsi="Arial Unicode MS" w:cs="Arial Unicode MS"/>
            <w:color w:val="2B477B"/>
          </w:rPr>
          <w:t>Ley</w:t>
        </w:r>
        <w:r>
          <w:rPr>
            <w:color w:val="2B477B"/>
          </w:rPr>
          <w:t xml:space="preserve"> 13</w:t>
        </w:r>
        <w:r>
          <w:rPr>
            <w:rFonts w:ascii="Arial Unicode MS" w:eastAsia="Arial Unicode MS" w:hAnsi="Arial Unicode MS" w:cs="Arial Unicode MS"/>
            <w:color w:val="2B477B"/>
          </w:rPr>
          <w:t>.</w:t>
        </w:r>
        <w:r>
          <w:rPr>
            <w:color w:val="2B477B"/>
          </w:rPr>
          <w:t xml:space="preserve">146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76</w:t>
        </w:r>
        <w:r>
          <w:rPr>
            <w:rFonts w:ascii="Arial Unicode MS" w:eastAsia="Arial Unicode MS" w:hAnsi="Arial Unicode MS" w:cs="Arial Unicode MS"/>
            <w:color w:val="2B477B"/>
          </w:rPr>
          <w:t>.</w:t>
        </w:r>
      </w:hyperlink>
    </w:p>
  </w:footnote>
  <w:footnote w:id="221">
    <w:p w14:paraId="53B1110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7 </w:t>
      </w:r>
      <w:r>
        <w:rPr>
          <w:rFonts w:ascii="Arial Unicode MS" w:eastAsia="Arial Unicode MS" w:hAnsi="Arial Unicode MS" w:cs="Arial Unicode MS"/>
          <w:color w:val="2B477B"/>
        </w:rPr>
        <w:t>y</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Resolución</w:t>
      </w:r>
      <w:r>
        <w:rPr>
          <w:color w:val="2B477B"/>
        </w:rPr>
        <w:t xml:space="preserve"> 23</w:t>
      </w:r>
      <w:r>
        <w:rPr>
          <w:rFonts w:ascii="Arial Unicode MS" w:eastAsia="Arial Unicode MS" w:hAnsi="Arial Unicode MS" w:cs="Arial Unicode MS"/>
          <w:color w:val="2B477B"/>
        </w:rPr>
        <w:t>.</w:t>
      </w:r>
      <w:r>
        <w:rPr>
          <w:color w:val="2B477B"/>
        </w:rPr>
        <w:t>381</w:t>
      </w:r>
      <w:r>
        <w:rPr>
          <w:rFonts w:ascii="Arial Unicode MS" w:eastAsia="Arial Unicode MS" w:hAnsi="Arial Unicode MS" w:cs="Arial Unicode MS"/>
          <w:color w:val="2B477B"/>
        </w:rPr>
        <w:t>,</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Resolución</w:t>
      </w:r>
      <w:r>
        <w:rPr>
          <w:color w:val="2B477B"/>
        </w:rPr>
        <w:t xml:space="preserve"> 23</w:t>
      </w:r>
      <w:r>
        <w:rPr>
          <w:rFonts w:ascii="Arial Unicode MS" w:eastAsia="Arial Unicode MS" w:hAnsi="Arial Unicode MS" w:cs="Arial Unicode MS"/>
          <w:color w:val="2B477B"/>
        </w:rPr>
        <w:t>.</w:t>
      </w:r>
      <w:r>
        <w:rPr>
          <w:color w:val="2B477B"/>
        </w:rPr>
        <w:t>381</w:t>
      </w:r>
      <w:r>
        <w:rPr>
          <w:rFonts w:ascii="Arial Unicode MS" w:eastAsia="Arial Unicode MS" w:hAnsi="Arial Unicode MS" w:cs="Arial Unicode MS"/>
          <w:color w:val="2B477B"/>
        </w:rPr>
        <w:t>,</w:t>
      </w:r>
      <w:r>
        <w:rPr>
          <w:color w:val="2B477B"/>
        </w:rPr>
        <w:t xml:space="preserve"> 2012</w:t>
      </w:r>
      <w:r>
        <w:rPr>
          <w:rFonts w:ascii="Arial Unicode MS" w:eastAsia="Arial Unicode MS" w:hAnsi="Arial Unicode MS" w:cs="Arial Unicode MS"/>
          <w:color w:val="2B477B"/>
        </w:rPr>
        <w:t>.</w:t>
      </w:r>
      <w:r>
        <w:rPr>
          <w:color w:val="2B477B"/>
        </w:rPr>
        <w:t xml:space="preserve"> </w:t>
      </w:r>
    </w:p>
  </w:footnote>
  <w:footnote w:id="222">
    <w:p w14:paraId="4AE798AE" w14:textId="77777777" w:rsidR="001A105D" w:rsidRDefault="00000000">
      <w:pPr>
        <w:pStyle w:val="Body"/>
        <w:jc w:val="left"/>
      </w:pPr>
      <w:r>
        <w:rPr>
          <w:rStyle w:val="None"/>
          <w:color w:val="2B477B"/>
          <w:vertAlign w:val="superscript"/>
        </w:rPr>
        <w:footnoteRef/>
      </w:r>
      <w:r>
        <w:rPr>
          <w:rStyle w:val="None"/>
          <w:color w:val="2B477B"/>
          <w:vertAlign w:val="superscript"/>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base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11 </w:t>
      </w:r>
      <w:r>
        <w:rPr>
          <w:rFonts w:ascii="Arial Unicode MS" w:eastAsia="Arial Unicode MS" w:hAnsi="Arial Unicode MS" w:cs="Arial Unicode MS"/>
          <w:color w:val="2B477B"/>
        </w:rPr>
        <w:t>y</w:t>
      </w:r>
      <w:r>
        <w:rPr>
          <w:color w:val="2B477B"/>
        </w:rPr>
        <w:t xml:space="preserve"> </w:t>
      </w:r>
      <w:proofErr w:type="gramStart"/>
      <w:r>
        <w:rPr>
          <w:color w:val="2B477B"/>
        </w:rPr>
        <w:t>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proofErr w:type="gramEnd"/>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hyperlink r:id="rId400" w:history="1">
        <w:r>
          <w:rPr>
            <w:rStyle w:val="Hyperlink1"/>
            <w:rFonts w:ascii="Arial Unicode MS" w:eastAsia="Arial Unicode MS" w:hAnsi="Arial Unicode MS" w:cs="Arial Unicode MS"/>
            <w:u w:val="single"/>
          </w:rPr>
          <w:t>Ley</w:t>
        </w:r>
        <w:r>
          <w:rPr>
            <w:rStyle w:val="Hyperlink1"/>
            <w:u w:val="single"/>
          </w:rPr>
          <w:t xml:space="preserve"> 20</w:t>
        </w:r>
        <w:r>
          <w:rPr>
            <w:rStyle w:val="Hyperlink1"/>
            <w:rFonts w:ascii="Arial Unicode MS" w:eastAsia="Arial Unicode MS" w:hAnsi="Arial Unicode MS" w:cs="Arial Unicode MS"/>
            <w:u w:val="single"/>
          </w:rPr>
          <w:t>.</w:t>
        </w:r>
        <w:r>
          <w:rPr>
            <w:rStyle w:val="Hyperlink1"/>
            <w:u w:val="single"/>
          </w:rPr>
          <w:t>422</w:t>
        </w:r>
        <w:r>
          <w:rPr>
            <w:rStyle w:val="Hyperlink1"/>
            <w:rFonts w:ascii="Arial Unicode MS" w:eastAsia="Arial Unicode MS" w:hAnsi="Arial Unicode MS" w:cs="Arial Unicode MS"/>
            <w:u w:val="single"/>
          </w:rPr>
          <w:t>,</w:t>
        </w:r>
      </w:hyperlink>
      <w:r>
        <w:rPr>
          <w:color w:val="2B477B"/>
        </w:rPr>
        <w:t xml:space="preserve"> </w:t>
      </w:r>
      <w:r>
        <w:rPr>
          <w:rFonts w:ascii="Arial Unicode MS" w:eastAsia="Arial Unicode MS" w:hAnsi="Arial Unicode MS" w:cs="Arial Unicode MS"/>
          <w:color w:val="2B477B"/>
        </w:rPr>
        <w:t>arts.</w:t>
      </w:r>
      <w:r>
        <w:rPr>
          <w:color w:val="2B477B"/>
        </w:rPr>
        <w:t xml:space="preserve"> 62</w:t>
      </w:r>
      <w:r>
        <w:rPr>
          <w:rFonts w:ascii="Arial Unicode MS" w:eastAsia="Arial Unicode MS" w:hAnsi="Arial Unicode MS" w:cs="Arial Unicode MS"/>
          <w:color w:val="2B477B"/>
        </w:rPr>
        <w:t>-</w:t>
      </w:r>
      <w:r>
        <w:rPr>
          <w:color w:val="2B477B"/>
        </w:rPr>
        <w:t>64</w:t>
      </w:r>
      <w:r>
        <w:rPr>
          <w:rFonts w:ascii="Arial Unicode MS" w:eastAsia="Arial Unicode MS" w:hAnsi="Arial Unicode MS" w:cs="Arial Unicode MS"/>
          <w:color w:val="2B477B"/>
        </w:rPr>
        <w:t>.</w:t>
      </w:r>
    </w:p>
  </w:footnote>
  <w:footnote w:id="223">
    <w:p w14:paraId="31D9223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w:t>
      </w:r>
      <w:r>
        <w:rPr>
          <w:rFonts w:ascii="Arial Unicode MS" w:eastAsia="Arial Unicode MS" w:hAnsi="Arial Unicode MS" w:cs="Arial Unicode MS"/>
          <w:color w:val="2B477B"/>
        </w:rPr>
        <w:t>-</w:t>
      </w:r>
      <w:r>
        <w:rPr>
          <w:color w:val="2B477B"/>
        </w:rPr>
        <w:t>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detalles</w:t>
      </w:r>
      <w:r>
        <w:rPr>
          <w:color w:val="2B477B"/>
        </w:rPr>
        <w:t xml:space="preserve"> </w:t>
      </w:r>
      <w:r>
        <w:rPr>
          <w:rFonts w:ascii="Arial Unicode MS" w:eastAsia="Arial Unicode MS" w:hAnsi="Arial Unicode MS" w:cs="Arial Unicode MS"/>
          <w:color w:val="2B477B"/>
        </w:rPr>
        <w:t>ver,</w:t>
      </w:r>
      <w:r>
        <w:rPr>
          <w:color w:val="2B477B"/>
        </w:rPr>
        <w:t xml:space="preserve"> </w:t>
      </w:r>
      <w:hyperlink r:id="rId401" w:history="1">
        <w:r>
          <w:rPr>
            <w:rFonts w:ascii="Arial Unicode MS" w:eastAsia="Arial Unicode MS" w:hAnsi="Arial Unicode MS" w:cs="Arial Unicode MS"/>
            <w:color w:val="2B477B"/>
          </w:rPr>
          <w:t>Ley</w:t>
        </w:r>
        <w:r>
          <w:rPr>
            <w:color w:val="2B477B"/>
          </w:rPr>
          <w:t xml:space="preserve"> 1757 </w:t>
        </w:r>
        <w:r>
          <w:rPr>
            <w:rFonts w:ascii="Arial Unicode MS" w:eastAsia="Arial Unicode MS" w:hAnsi="Arial Unicode MS" w:cs="Arial Unicode MS"/>
            <w:color w:val="2B477B"/>
          </w:rPr>
          <w:t>de</w:t>
        </w:r>
        <w:r>
          <w:rPr>
            <w:color w:val="2B477B"/>
          </w:rPr>
          <w:t xml:space="preserve"> 2015</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79</w:t>
      </w:r>
      <w:r>
        <w:rPr>
          <w:rFonts w:ascii="Arial Unicode MS" w:eastAsia="Arial Unicode MS" w:hAnsi="Arial Unicode MS" w:cs="Arial Unicode MS"/>
          <w:color w:val="2B477B"/>
        </w:rPr>
        <w:t>;</w:t>
      </w:r>
      <w:r>
        <w:rPr>
          <w:color w:val="2B477B"/>
        </w:rPr>
        <w:t xml:space="preserve"> </w:t>
      </w:r>
      <w:hyperlink r:id="rId402" w:history="1">
        <w:r>
          <w:rPr>
            <w:rFonts w:ascii="Arial Unicode MS" w:eastAsia="Arial Unicode MS" w:hAnsi="Arial Unicode MS" w:cs="Arial Unicode MS"/>
            <w:color w:val="2B477B"/>
          </w:rPr>
          <w:t>Decreto</w:t>
        </w:r>
        <w:r>
          <w:rPr>
            <w:color w:val="2B477B"/>
          </w:rPr>
          <w:t xml:space="preserve"> 1350</w:t>
        </w:r>
        <w:r>
          <w:rPr>
            <w:rFonts w:ascii="Arial Unicode MS" w:eastAsia="Arial Unicode MS" w:hAnsi="Arial Unicode MS" w:cs="Arial Unicode MS"/>
            <w:color w:val="2B477B"/>
          </w:rPr>
          <w:t>,</w:t>
        </w:r>
        <w:r>
          <w:rPr>
            <w:color w:val="2B477B"/>
          </w:rPr>
          <w:t xml:space="preserve"> 2018</w:t>
        </w:r>
        <w:r>
          <w:rPr>
            <w:rFonts w:ascii="Arial Unicode MS" w:eastAsia="Arial Unicode MS" w:hAnsi="Arial Unicode MS" w:cs="Arial Unicode MS"/>
            <w:color w:val="2B477B"/>
          </w:rPr>
          <w:t>.</w:t>
        </w:r>
      </w:hyperlink>
    </w:p>
  </w:footnote>
  <w:footnote w:id="224">
    <w:p w14:paraId="7201FA4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13</w:t>
      </w:r>
      <w:r>
        <w:rPr>
          <w:rFonts w:ascii="Arial Unicode MS" w:eastAsia="Arial Unicode MS" w:hAnsi="Arial Unicode MS" w:cs="Arial Unicode MS"/>
          <w:color w:val="2B477B"/>
        </w:rPr>
        <w:t>-</w:t>
      </w:r>
      <w:r>
        <w:rPr>
          <w:color w:val="2B477B"/>
        </w:rPr>
        <w:t>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detalles</w:t>
      </w:r>
      <w:r>
        <w:rPr>
          <w:color w:val="2B477B"/>
        </w:rPr>
        <w:t xml:space="preserve"> </w:t>
      </w:r>
      <w:r>
        <w:rPr>
          <w:rFonts w:ascii="Arial Unicode MS" w:eastAsia="Arial Unicode MS" w:hAnsi="Arial Unicode MS" w:cs="Arial Unicode MS"/>
          <w:color w:val="2B477B"/>
        </w:rPr>
        <w:t>ver,</w:t>
      </w:r>
      <w:r>
        <w:rPr>
          <w:color w:val="2B477B"/>
        </w:rPr>
        <w:t xml:space="preserve"> </w:t>
      </w:r>
      <w:hyperlink r:id="rId403" w:history="1">
        <w:r>
          <w:rPr>
            <w:rFonts w:ascii="Arial Unicode MS" w:eastAsia="Arial Unicode MS" w:hAnsi="Arial Unicode MS" w:cs="Arial Unicode MS"/>
            <w:color w:val="2B477B"/>
          </w:rPr>
          <w:t>Voto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Ciegas</w:t>
        </w:r>
      </w:hyperlink>
      <w:r>
        <w:rPr>
          <w:rFonts w:ascii="Arial Unicode MS" w:eastAsia="Arial Unicode MS" w:hAnsi="Arial Unicode MS" w:cs="Arial Unicode MS"/>
          <w:color w:val="2B477B"/>
        </w:rPr>
        <w:t>;</w:t>
      </w:r>
      <w:r>
        <w:rPr>
          <w:color w:val="2B477B"/>
        </w:rPr>
        <w:t xml:space="preserve">  </w:t>
      </w:r>
      <w:hyperlink r:id="rId404" w:history="1">
        <w:r>
          <w:rPr>
            <w:rFonts w:ascii="Arial Unicode MS" w:eastAsia="Arial Unicode MS" w:hAnsi="Arial Unicode MS" w:cs="Arial Unicode MS"/>
            <w:color w:val="2B477B"/>
          </w:rPr>
          <w:t>Decreto</w:t>
        </w:r>
        <w:r>
          <w:rPr>
            <w:color w:val="2B477B"/>
          </w:rPr>
          <w:t xml:space="preserve"> 1350</w:t>
        </w:r>
        <w:r>
          <w:rPr>
            <w:rFonts w:ascii="Arial Unicode MS" w:eastAsia="Arial Unicode MS" w:hAnsi="Arial Unicode MS" w:cs="Arial Unicode MS"/>
            <w:color w:val="2B477B"/>
          </w:rPr>
          <w:t>,</w:t>
        </w:r>
        <w:r>
          <w:rPr>
            <w:color w:val="2B477B"/>
          </w:rPr>
          <w:t xml:space="preserve"> 2018</w:t>
        </w:r>
        <w:r>
          <w:rPr>
            <w:rFonts w:ascii="Arial Unicode MS" w:eastAsia="Arial Unicode MS" w:hAnsi="Arial Unicode MS" w:cs="Arial Unicode MS"/>
            <w:color w:val="2B477B"/>
          </w:rPr>
          <w:t>.</w:t>
        </w:r>
      </w:hyperlink>
    </w:p>
  </w:footnote>
  <w:footnote w:id="225">
    <w:p w14:paraId="50EC853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Constitucional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405" w:history="1">
        <w:r>
          <w:rPr>
            <w:rStyle w:val="Hyperlink0"/>
            <w:rFonts w:ascii="Arial Unicode MS" w:eastAsia="Arial Unicode MS" w:hAnsi="Arial Unicode MS" w:cs="Arial Unicode MS"/>
          </w:rPr>
          <w:t>Sentencia</w:t>
        </w:r>
        <w:r>
          <w:rPr>
            <w:rStyle w:val="Hyperlink0"/>
          </w:rPr>
          <w:t xml:space="preserve"> </w:t>
        </w:r>
        <w:r>
          <w:rPr>
            <w:rStyle w:val="Hyperlink0"/>
            <w:rFonts w:ascii="Arial Unicode MS" w:eastAsia="Arial Unicode MS" w:hAnsi="Arial Unicode MS" w:cs="Arial Unicode MS"/>
          </w:rPr>
          <w:t>T-</w:t>
        </w:r>
        <w:r>
          <w:rPr>
            <w:rStyle w:val="Hyperlink0"/>
          </w:rPr>
          <w:t>573/1</w:t>
        </w:r>
      </w:hyperlink>
      <w:r>
        <w:rPr>
          <w:color w:val="2B477B"/>
        </w:rPr>
        <w:t>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406" w:history="1">
        <w:r>
          <w:rPr>
            <w:rStyle w:val="Hyperlink2"/>
            <w:rFonts w:ascii="Arial Unicode MS" w:eastAsia="Arial Unicode MS" w:hAnsi="Arial Unicode MS" w:cs="Arial Unicode MS"/>
            <w:color w:val="2B477B"/>
          </w:rPr>
          <w:t>Proceso</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Reglamentación</w:t>
        </w:r>
        <w:r>
          <w:rPr>
            <w:rStyle w:val="Hyperlink2"/>
            <w:color w:val="2B477B"/>
          </w:rPr>
          <w:t xml:space="preserve"> </w:t>
        </w:r>
        <w:r>
          <w:rPr>
            <w:rStyle w:val="Hyperlink2"/>
            <w:rFonts w:ascii="Arial Unicode MS" w:eastAsia="Arial Unicode MS" w:hAnsi="Arial Unicode MS" w:cs="Arial Unicode MS"/>
            <w:color w:val="2B477B"/>
          </w:rPr>
          <w:t>ordenado</w:t>
        </w:r>
        <w:r>
          <w:rPr>
            <w:rStyle w:val="Hyperlink2"/>
            <w:color w:val="2B477B"/>
          </w:rPr>
          <w:t xml:space="preserve"> </w:t>
        </w:r>
        <w:r>
          <w:rPr>
            <w:rStyle w:val="Hyperlink2"/>
            <w:rFonts w:ascii="Arial Unicode MS" w:eastAsia="Arial Unicode MS" w:hAnsi="Arial Unicode MS" w:cs="Arial Unicode MS"/>
            <w:color w:val="2B477B"/>
          </w:rPr>
          <w:t>en</w:t>
        </w:r>
        <w:r>
          <w:rPr>
            <w:rStyle w:val="Hyperlink2"/>
            <w:color w:val="2B477B"/>
          </w:rPr>
          <w:t xml:space="preserve"> </w:t>
        </w:r>
        <w:r>
          <w:rPr>
            <w:rStyle w:val="Hyperlink2"/>
            <w:rFonts w:ascii="Arial Unicode MS" w:eastAsia="Arial Unicode MS" w:hAnsi="Arial Unicode MS" w:cs="Arial Unicode MS"/>
            <w:color w:val="2B477B"/>
          </w:rPr>
          <w:t>la</w:t>
        </w:r>
        <w:r>
          <w:rPr>
            <w:rStyle w:val="Hyperlink2"/>
            <w:color w:val="2B477B"/>
          </w:rPr>
          <w:t xml:space="preserve"> </w:t>
        </w:r>
        <w:r>
          <w:rPr>
            <w:rStyle w:val="Hyperlink2"/>
            <w:rFonts w:ascii="Arial Unicode MS" w:eastAsia="Arial Unicode MS" w:hAnsi="Arial Unicode MS" w:cs="Arial Unicode MS"/>
            <w:color w:val="2B477B"/>
          </w:rPr>
          <w:t>Sentencia</w:t>
        </w:r>
        <w:r>
          <w:rPr>
            <w:rStyle w:val="Hyperlink0"/>
          </w:rPr>
          <w:t xml:space="preserve"> </w:t>
        </w:r>
        <w:r>
          <w:rPr>
            <w:rStyle w:val="Hyperlink0"/>
            <w:rFonts w:ascii="Arial Unicode MS" w:eastAsia="Arial Unicode MS" w:hAnsi="Arial Unicode MS" w:cs="Arial Unicode MS"/>
          </w:rPr>
          <w:t>T-</w:t>
        </w:r>
        <w:r>
          <w:rPr>
            <w:rStyle w:val="Hyperlink0"/>
          </w:rPr>
          <w:t xml:space="preserve">573 </w:t>
        </w:r>
        <w:r>
          <w:rPr>
            <w:rStyle w:val="Hyperlink0"/>
            <w:rFonts w:ascii="Arial Unicode MS" w:eastAsia="Arial Unicode MS" w:hAnsi="Arial Unicode MS" w:cs="Arial Unicode MS"/>
          </w:rPr>
          <w:t>del</w:t>
        </w:r>
        <w:r>
          <w:rPr>
            <w:rStyle w:val="Hyperlink0"/>
          </w:rPr>
          <w:t xml:space="preserve"> 2016</w:t>
        </w:r>
      </w:hyperlink>
      <w:r>
        <w:rPr>
          <w:rFonts w:ascii="Arial Unicode MS" w:eastAsia="Arial Unicode MS" w:hAnsi="Arial Unicode MS" w:cs="Arial Unicode MS"/>
          <w:color w:val="2B477B"/>
        </w:rPr>
        <w:t>.</w:t>
      </w:r>
      <w:r>
        <w:rPr>
          <w:color w:val="2B477B"/>
        </w:rPr>
        <w:t xml:space="preserve"> </w:t>
      </w:r>
    </w:p>
  </w:footnote>
  <w:footnote w:id="226">
    <w:p w14:paraId="1CC0353A" w14:textId="77777777" w:rsidR="001A105D" w:rsidRDefault="00000000">
      <w:pPr>
        <w:pStyle w:val="FootnoteText"/>
        <w:jc w:val="left"/>
      </w:pPr>
      <w:r>
        <w:rPr>
          <w:rStyle w:val="None"/>
          <w:vertAlign w:val="superscript"/>
        </w:rPr>
        <w:footnoteRef/>
      </w:r>
      <w:r>
        <w:t xml:space="preserve"> </w:t>
      </w:r>
      <w:r>
        <w:rPr>
          <w:rFonts w:ascii="Arial Unicode MS" w:eastAsia="Arial Unicode MS" w:hAnsi="Arial Unicode MS" w:cs="Arial Unicode MS"/>
        </w:rPr>
        <w:t>CIDH,</w:t>
      </w:r>
      <w: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Anual</w:t>
      </w:r>
      <w:r>
        <w:rPr>
          <w:rStyle w:val="Hyperlink0"/>
        </w:rPr>
        <w:t xml:space="preserve"> 2023 </w:t>
      </w:r>
      <w:r>
        <w:rPr>
          <w:rStyle w:val="Hyperlink0"/>
          <w:rFonts w:ascii="Arial Unicode MS" w:eastAsia="Arial Unicode MS" w:hAnsi="Arial Unicode MS" w:cs="Arial Unicode MS"/>
        </w:rPr>
        <w:t>Capítulo</w:t>
      </w:r>
      <w:r>
        <w:rPr>
          <w:rStyle w:val="Hyperlink0"/>
        </w:rPr>
        <w:t xml:space="preserve"> </w:t>
      </w:r>
      <w:r>
        <w:rPr>
          <w:rStyle w:val="Hyperlink0"/>
          <w:rFonts w:ascii="Arial Unicode MS" w:eastAsia="Arial Unicode MS" w:hAnsi="Arial Unicode MS" w:cs="Arial Unicode MS"/>
        </w:rPr>
        <w:t>IV.A</w:t>
      </w:r>
      <w:r>
        <w:rPr>
          <w:rStyle w:val="Hyperlink0"/>
        </w:rPr>
        <w:t xml:space="preserve"> </w:t>
      </w:r>
      <w:r>
        <w:rPr>
          <w:rStyle w:val="Hyperlink0"/>
          <w:rFonts w:ascii="Arial Unicode MS" w:eastAsia="Arial Unicode MS" w:hAnsi="Arial Unicode MS" w:cs="Arial Unicode MS"/>
        </w:rPr>
        <w:t>“Guyana”</w:t>
      </w:r>
      <w:r>
        <w:rPr>
          <w:rFonts w:ascii="Arial Unicode MS" w:eastAsia="Arial Unicode MS" w:hAnsi="Arial Unicode MS" w:cs="Arial Unicode MS"/>
        </w:rPr>
        <w:t>,</w:t>
      </w:r>
      <w:r>
        <w:t xml:space="preserve"> 25 </w:t>
      </w:r>
      <w:r>
        <w:rPr>
          <w:rFonts w:ascii="Arial Unicode MS" w:eastAsia="Arial Unicode MS" w:hAnsi="Arial Unicode MS" w:cs="Arial Unicode MS"/>
        </w:rPr>
        <w:t>de</w:t>
      </w:r>
      <w:r>
        <w:t xml:space="preserve"> </w:t>
      </w:r>
      <w:r>
        <w:rPr>
          <w:rFonts w:ascii="Arial Unicode MS" w:eastAsia="Arial Unicode MS" w:hAnsi="Arial Unicode MS" w:cs="Arial Unicode MS"/>
        </w:rPr>
        <w:t>abril</w:t>
      </w:r>
      <w:r>
        <w:t xml:space="preserve"> </w:t>
      </w:r>
      <w:r>
        <w:rPr>
          <w:rFonts w:ascii="Arial Unicode MS" w:eastAsia="Arial Unicode MS" w:hAnsi="Arial Unicode MS" w:cs="Arial Unicode MS"/>
        </w:rPr>
        <w:t>de</w:t>
      </w:r>
      <w:r>
        <w:t xml:space="preserve"> 2024</w:t>
      </w:r>
      <w:r>
        <w:rPr>
          <w:rFonts w:ascii="Arial Unicode MS" w:eastAsia="Arial Unicode MS" w:hAnsi="Arial Unicode MS" w:cs="Arial Unicode MS"/>
        </w:rPr>
        <w:t>,</w:t>
      </w:r>
      <w:r>
        <w:t xml:space="preserve"> </w:t>
      </w:r>
      <w:r>
        <w:rPr>
          <w:rFonts w:ascii="Arial Unicode MS" w:eastAsia="Arial Unicode MS" w:hAnsi="Arial Unicode MS" w:cs="Arial Unicode MS"/>
        </w:rPr>
        <w:t>párr.</w:t>
      </w:r>
      <w:r>
        <w:t xml:space="preserve"> 436</w:t>
      </w:r>
      <w:r>
        <w:rPr>
          <w:rFonts w:ascii="Arial Unicode MS" w:eastAsia="Arial Unicode MS" w:hAnsi="Arial Unicode MS" w:cs="Arial Unicode MS"/>
        </w:rPr>
        <w:t>;Department</w:t>
      </w:r>
      <w:r>
        <w:t xml:space="preserve"> </w:t>
      </w:r>
      <w:r>
        <w:rPr>
          <w:rFonts w:ascii="Arial Unicode MS" w:eastAsia="Arial Unicode MS" w:hAnsi="Arial Unicode MS" w:cs="Arial Unicode MS"/>
        </w:rPr>
        <w:t>of</w:t>
      </w:r>
      <w:r>
        <w:t xml:space="preserve"> </w:t>
      </w:r>
      <w:r>
        <w:rPr>
          <w:rFonts w:ascii="Arial Unicode MS" w:eastAsia="Arial Unicode MS" w:hAnsi="Arial Unicode MS" w:cs="Arial Unicode MS"/>
        </w:rPr>
        <w:t>Public</w:t>
      </w:r>
      <w:r>
        <w:t xml:space="preserve"> </w:t>
      </w:r>
      <w:r>
        <w:rPr>
          <w:rFonts w:ascii="Arial Unicode MS" w:eastAsia="Arial Unicode MS" w:hAnsi="Arial Unicode MS" w:cs="Arial Unicode MS"/>
        </w:rPr>
        <w:t>information,</w:t>
      </w:r>
      <w:r>
        <w:t xml:space="preserve"> </w:t>
      </w:r>
      <w:hyperlink r:id="rId407" w:history="1">
        <w:r>
          <w:rPr>
            <w:rStyle w:val="Hyperlink0"/>
            <w:rFonts w:ascii="Arial Unicode MS" w:eastAsia="Arial Unicode MS" w:hAnsi="Arial Unicode MS" w:cs="Arial Unicode MS"/>
          </w:rPr>
          <w:t>Report</w:t>
        </w:r>
        <w:r>
          <w:rPr>
            <w:rStyle w:val="Hyperlink0"/>
          </w:rPr>
          <w:t xml:space="preserve"> </w:t>
        </w:r>
        <w:r>
          <w:rPr>
            <w:rStyle w:val="Hyperlink0"/>
            <w:rFonts w:ascii="Arial Unicode MS" w:eastAsia="Arial Unicode MS" w:hAnsi="Arial Unicode MS" w:cs="Arial Unicode MS"/>
          </w:rPr>
          <w:t>of</w:t>
        </w:r>
        <w:r>
          <w:rPr>
            <w:rStyle w:val="Hyperlink0"/>
          </w:rPr>
          <w:t xml:space="preserve"> </w:t>
        </w:r>
        <w:r>
          <w:rPr>
            <w:rStyle w:val="Hyperlink0"/>
            <w:rFonts w:ascii="Arial Unicode MS" w:eastAsia="Arial Unicode MS" w:hAnsi="Arial Unicode MS" w:cs="Arial Unicode MS"/>
          </w:rPr>
          <w:t>the</w:t>
        </w:r>
        <w:r>
          <w:rPr>
            <w:rStyle w:val="Hyperlink0"/>
          </w:rPr>
          <w:t xml:space="preserve"> </w:t>
        </w:r>
        <w:r>
          <w:rPr>
            <w:rStyle w:val="Hyperlink0"/>
            <w:rFonts w:ascii="Arial Unicode MS" w:eastAsia="Arial Unicode MS" w:hAnsi="Arial Unicode MS" w:cs="Arial Unicode MS"/>
          </w:rPr>
          <w:t>Commission</w:t>
        </w:r>
        <w:r>
          <w:rPr>
            <w:rStyle w:val="Hyperlink0"/>
          </w:rPr>
          <w:t xml:space="preserve"> </w:t>
        </w:r>
        <w:r>
          <w:rPr>
            <w:rStyle w:val="Hyperlink0"/>
            <w:rFonts w:ascii="Arial Unicode MS" w:eastAsia="Arial Unicode MS" w:hAnsi="Arial Unicode MS" w:cs="Arial Unicode MS"/>
          </w:rPr>
          <w:t>of</w:t>
        </w:r>
        <w:r>
          <w:rPr>
            <w:rStyle w:val="Hyperlink0"/>
          </w:rPr>
          <w:t xml:space="preserve"> </w:t>
        </w:r>
        <w:r>
          <w:rPr>
            <w:rStyle w:val="Hyperlink0"/>
            <w:rFonts w:ascii="Arial Unicode MS" w:eastAsia="Arial Unicode MS" w:hAnsi="Arial Unicode MS" w:cs="Arial Unicode MS"/>
          </w:rPr>
          <w:t>Inquiry</w:t>
        </w:r>
        <w:r>
          <w:rPr>
            <w:rStyle w:val="Hyperlink0"/>
          </w:rPr>
          <w:t xml:space="preserve"> </w:t>
        </w:r>
        <w:r>
          <w:rPr>
            <w:rStyle w:val="Hyperlink0"/>
            <w:rFonts w:ascii="Arial Unicode MS" w:eastAsia="Arial Unicode MS" w:hAnsi="Arial Unicode MS" w:cs="Arial Unicode MS"/>
          </w:rPr>
          <w:t>into</w:t>
        </w:r>
        <w:r>
          <w:rPr>
            <w:rStyle w:val="Hyperlink0"/>
          </w:rPr>
          <w:t xml:space="preserve"> </w:t>
        </w:r>
        <w:r>
          <w:rPr>
            <w:rStyle w:val="Hyperlink0"/>
            <w:rFonts w:ascii="Arial Unicode MS" w:eastAsia="Arial Unicode MS" w:hAnsi="Arial Unicode MS" w:cs="Arial Unicode MS"/>
          </w:rPr>
          <w:t>the</w:t>
        </w:r>
        <w:r>
          <w:rPr>
            <w:rStyle w:val="Hyperlink0"/>
          </w:rPr>
          <w:t xml:space="preserve"> </w:t>
        </w:r>
        <w:r>
          <w:rPr>
            <w:rStyle w:val="Hyperlink0"/>
            <w:rFonts w:ascii="Arial Unicode MS" w:eastAsia="Arial Unicode MS" w:hAnsi="Arial Unicode MS" w:cs="Arial Unicode MS"/>
          </w:rPr>
          <w:t>General</w:t>
        </w:r>
        <w:r>
          <w:rPr>
            <w:rStyle w:val="Hyperlink0"/>
          </w:rPr>
          <w:t xml:space="preserve"> </w:t>
        </w:r>
        <w:r>
          <w:rPr>
            <w:rStyle w:val="Hyperlink0"/>
            <w:rFonts w:ascii="Arial Unicode MS" w:eastAsia="Arial Unicode MS" w:hAnsi="Arial Unicode MS" w:cs="Arial Unicode MS"/>
          </w:rPr>
          <w:t>and</w:t>
        </w:r>
        <w:r>
          <w:rPr>
            <w:rStyle w:val="Hyperlink0"/>
          </w:rPr>
          <w:t xml:space="preserve"> </w:t>
        </w:r>
        <w:r>
          <w:rPr>
            <w:rStyle w:val="Hyperlink0"/>
            <w:rFonts w:ascii="Arial Unicode MS" w:eastAsia="Arial Unicode MS" w:hAnsi="Arial Unicode MS" w:cs="Arial Unicode MS"/>
          </w:rPr>
          <w:t>Regional</w:t>
        </w:r>
        <w:r>
          <w:rPr>
            <w:rStyle w:val="Hyperlink0"/>
          </w:rPr>
          <w:t xml:space="preserve"> </w:t>
        </w:r>
        <w:r>
          <w:rPr>
            <w:rStyle w:val="Hyperlink0"/>
            <w:rFonts w:ascii="Arial Unicode MS" w:eastAsia="Arial Unicode MS" w:hAnsi="Arial Unicode MS" w:cs="Arial Unicode MS"/>
          </w:rPr>
          <w:t>Elections</w:t>
        </w:r>
        <w:r>
          <w:rPr>
            <w:rStyle w:val="Hyperlink0"/>
          </w:rPr>
          <w:t xml:space="preserve"> </w:t>
        </w:r>
        <w:r>
          <w:rPr>
            <w:rStyle w:val="Hyperlink0"/>
            <w:rFonts w:ascii="Arial Unicode MS" w:eastAsia="Arial Unicode MS" w:hAnsi="Arial Unicode MS" w:cs="Arial Unicode MS"/>
          </w:rPr>
          <w:t>of</w:t>
        </w:r>
        <w:r>
          <w:rPr>
            <w:rStyle w:val="Hyperlink0"/>
          </w:rPr>
          <w:t xml:space="preserve"> </w:t>
        </w:r>
        <w:r>
          <w:rPr>
            <w:rStyle w:val="Hyperlink0"/>
            <w:rFonts w:ascii="Arial Unicode MS" w:eastAsia="Arial Unicode MS" w:hAnsi="Arial Unicode MS" w:cs="Arial Unicode MS"/>
          </w:rPr>
          <w:t>Guyana,</w:t>
        </w:r>
        <w:r>
          <w:rPr>
            <w:rStyle w:val="Hyperlink0"/>
          </w:rPr>
          <w:t xml:space="preserve"> </w:t>
        </w:r>
        <w:r>
          <w:rPr>
            <w:rStyle w:val="Hyperlink0"/>
            <w:rFonts w:ascii="Arial Unicode MS" w:eastAsia="Arial Unicode MS" w:hAnsi="Arial Unicode MS" w:cs="Arial Unicode MS"/>
          </w:rPr>
          <w:t>marzo</w:t>
        </w:r>
        <w:r>
          <w:rPr>
            <w:rStyle w:val="Hyperlink0"/>
          </w:rPr>
          <w:t xml:space="preserve"> 2 </w:t>
        </w:r>
        <w:r>
          <w:rPr>
            <w:rStyle w:val="Hyperlink0"/>
            <w:rFonts w:ascii="Arial Unicode MS" w:eastAsia="Arial Unicode MS" w:hAnsi="Arial Unicode MS" w:cs="Arial Unicode MS"/>
          </w:rPr>
          <w:t>de</w:t>
        </w:r>
        <w:r>
          <w:rPr>
            <w:rStyle w:val="Hyperlink0"/>
          </w:rPr>
          <w:t xml:space="preserve"> 2020</w:t>
        </w:r>
      </w:hyperlink>
      <w:r>
        <w:rPr>
          <w:rFonts w:ascii="Arial Unicode MS" w:eastAsia="Arial Unicode MS" w:hAnsi="Arial Unicode MS" w:cs="Arial Unicode MS"/>
        </w:rPr>
        <w:t>,</w:t>
      </w:r>
      <w:r>
        <w:t xml:space="preserve"> </w:t>
      </w:r>
      <w:r>
        <w:rPr>
          <w:rFonts w:ascii="Arial Unicode MS" w:eastAsia="Arial Unicode MS" w:hAnsi="Arial Unicode MS" w:cs="Arial Unicode MS"/>
        </w:rPr>
        <w:t>abril</w:t>
      </w:r>
      <w:r>
        <w:t xml:space="preserve"> 26 </w:t>
      </w:r>
      <w:r>
        <w:rPr>
          <w:rFonts w:ascii="Arial Unicode MS" w:eastAsia="Arial Unicode MS" w:hAnsi="Arial Unicode MS" w:cs="Arial Unicode MS"/>
        </w:rPr>
        <w:t>de</w:t>
      </w:r>
      <w:r>
        <w:t xml:space="preserve"> 2023</w:t>
      </w:r>
      <w:r>
        <w:rPr>
          <w:rFonts w:ascii="Arial Unicode MS" w:eastAsia="Arial Unicode MS" w:hAnsi="Arial Unicode MS" w:cs="Arial Unicode MS"/>
        </w:rPr>
        <w:t>,</w:t>
      </w:r>
      <w:r>
        <w:t xml:space="preserve"> </w:t>
      </w:r>
      <w:r>
        <w:rPr>
          <w:rFonts w:ascii="Arial Unicode MS" w:eastAsia="Arial Unicode MS" w:hAnsi="Arial Unicode MS" w:cs="Arial Unicode MS"/>
        </w:rPr>
        <w:t>pág.</w:t>
      </w:r>
      <w:r>
        <w:t>107</w:t>
      </w:r>
      <w:r>
        <w:rPr>
          <w:rFonts w:ascii="Arial Unicode MS" w:eastAsia="Arial Unicode MS" w:hAnsi="Arial Unicode MS" w:cs="Arial Unicode MS"/>
        </w:rPr>
        <w:t>.</w:t>
      </w:r>
    </w:p>
    <w:p w14:paraId="14C6B12A" w14:textId="77777777" w:rsidR="001A105D" w:rsidRDefault="001A105D">
      <w:pPr>
        <w:pStyle w:val="FootnoteText"/>
        <w:jc w:val="left"/>
      </w:pPr>
    </w:p>
  </w:footnote>
  <w:footnote w:id="227">
    <w:p w14:paraId="2587497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23</w:t>
      </w:r>
      <w:r>
        <w:rPr>
          <w:rFonts w:ascii="Arial Unicode MS" w:eastAsia="Arial Unicode MS" w:hAnsi="Arial Unicode MS" w:cs="Arial Unicode MS"/>
          <w:color w:val="2B477B"/>
        </w:rPr>
        <w:t>-</w:t>
      </w:r>
      <w:r>
        <w:rPr>
          <w:color w:val="2B477B"/>
        </w:rPr>
        <w:t>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Electoral,</w:t>
      </w:r>
      <w:r>
        <w:rPr>
          <w:color w:val="2B477B"/>
        </w:rPr>
        <w:t xml:space="preserve"> </w:t>
      </w:r>
      <w:hyperlink r:id="rId408" w:history="1">
        <w:r>
          <w:rPr>
            <w:rFonts w:ascii="Arial Unicode MS" w:eastAsia="Arial Unicode MS" w:hAnsi="Arial Unicode MS" w:cs="Arial Unicode MS"/>
            <w:color w:val="2B477B"/>
          </w:rPr>
          <w:t>Acuerdo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aprueba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funcionarios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funcionarias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Mesas</w:t>
        </w:r>
        <w:r>
          <w:rPr>
            <w:color w:val="2B477B"/>
          </w:rPr>
          <w:t xml:space="preserve"> </w:t>
        </w:r>
        <w:r>
          <w:rPr>
            <w:rFonts w:ascii="Arial Unicode MS" w:eastAsia="Arial Unicode MS" w:hAnsi="Arial Unicode MS" w:cs="Arial Unicode MS"/>
            <w:color w:val="2B477B"/>
          </w:rPr>
          <w:t>Directivas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Casilla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2018</w:t>
      </w:r>
      <w:r>
        <w:rPr>
          <w:rFonts w:ascii="Arial Unicode MS" w:eastAsia="Arial Unicode MS" w:hAnsi="Arial Unicode MS" w:cs="Arial Unicode MS"/>
          <w:color w:val="2B477B"/>
        </w:rPr>
        <w:t>.</w:t>
      </w:r>
    </w:p>
  </w:footnote>
  <w:footnote w:id="228">
    <w:p w14:paraId="521B00D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23</w:t>
      </w:r>
      <w:r>
        <w:rPr>
          <w:rFonts w:ascii="Arial Unicode MS" w:eastAsia="Arial Unicode MS" w:hAnsi="Arial Unicode MS" w:cs="Arial Unicode MS"/>
          <w:color w:val="2B477B"/>
        </w:rPr>
        <w:t>-</w:t>
      </w:r>
      <w:r>
        <w:rPr>
          <w:color w:val="2B477B"/>
        </w:rPr>
        <w:t>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Electoral,</w:t>
      </w:r>
      <w:r>
        <w:rPr>
          <w:color w:val="2B477B"/>
        </w:rPr>
        <w:t xml:space="preserve"> </w:t>
      </w:r>
      <w:hyperlink r:id="rId409" w:history="1">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adopción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tendientes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garantizar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voto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ciudadana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procesos</w:t>
        </w:r>
        <w:r>
          <w:rPr>
            <w:color w:val="2B477B"/>
          </w:rPr>
          <w:t xml:space="preserve"> </w:t>
        </w:r>
        <w:r>
          <w:rPr>
            <w:rFonts w:ascii="Arial Unicode MS" w:eastAsia="Arial Unicode MS" w:hAnsi="Arial Unicode MS" w:cs="Arial Unicode MS"/>
            <w:color w:val="2B477B"/>
          </w:rPr>
          <w:t>electorales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mecanismos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ciudadana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2022</w:t>
      </w:r>
      <w:r>
        <w:rPr>
          <w:rFonts w:ascii="Arial Unicode MS" w:eastAsia="Arial Unicode MS" w:hAnsi="Arial Unicode MS" w:cs="Arial Unicode MS"/>
          <w:color w:val="2B477B"/>
        </w:rPr>
        <w:t>.</w:t>
      </w:r>
    </w:p>
  </w:footnote>
  <w:footnote w:id="229">
    <w:p w14:paraId="70FC66C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31</w:t>
      </w:r>
      <w:r>
        <w:rPr>
          <w:rFonts w:ascii="Arial Unicode MS" w:eastAsia="Arial Unicode MS" w:hAnsi="Arial Unicode MS" w:cs="Arial Unicode MS"/>
          <w:color w:val="2B477B"/>
        </w:rPr>
        <w:t>-</w:t>
      </w:r>
      <w:r>
        <w:rPr>
          <w:color w:val="2B477B"/>
        </w:rPr>
        <w:t>32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410" w:history="1">
        <w:r>
          <w:rPr>
            <w:rFonts w:ascii="Arial Unicode MS" w:eastAsia="Arial Unicode MS" w:hAnsi="Arial Unicode MS" w:cs="Arial Unicode MS"/>
            <w:color w:val="2B477B"/>
          </w:rPr>
          <w:t>Reglamento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29</w:t>
        </w:r>
        <w:r>
          <w:rPr>
            <w:rFonts w:ascii="Arial Unicode MS" w:eastAsia="Arial Unicode MS" w:hAnsi="Arial Unicode MS" w:cs="Arial Unicode MS"/>
            <w:color w:val="2B477B"/>
          </w:rPr>
          <w:t>.</w:t>
        </w:r>
        <w:r>
          <w:rPr>
            <w:color w:val="2B477B"/>
          </w:rPr>
          <w:t>973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p>
  </w:footnote>
  <w:footnote w:id="230">
    <w:p w14:paraId="1DFF3031" w14:textId="77777777" w:rsidR="001A105D" w:rsidRDefault="00000000">
      <w:pPr>
        <w:pStyle w:val="FootnoteText"/>
        <w:jc w:val="left"/>
      </w:pPr>
      <w:r>
        <w:rPr>
          <w:rStyle w:val="None"/>
          <w:vertAlign w:val="superscript"/>
        </w:rPr>
        <w:footnoteRef/>
      </w:r>
      <w:r>
        <w:t xml:space="preserve"> </w:t>
      </w:r>
      <w:r>
        <w:rPr>
          <w:rFonts w:ascii="Arial Unicode MS" w:eastAsia="Arial Unicode MS" w:hAnsi="Arial Unicode MS" w:cs="Arial Unicode MS"/>
        </w:rPr>
        <w:t>El</w:t>
      </w:r>
      <w:r>
        <w:t xml:space="preserve"> </w:t>
      </w:r>
      <w:r>
        <w:rPr>
          <w:rFonts w:ascii="Arial Unicode MS" w:eastAsia="Arial Unicode MS" w:hAnsi="Arial Unicode MS" w:cs="Arial Unicode MS"/>
        </w:rPr>
        <w:t>artículo</w:t>
      </w:r>
      <w:r>
        <w:t xml:space="preserve"> 33</w:t>
      </w:r>
      <w:r>
        <w:rPr>
          <w:rFonts w:ascii="Arial Unicode MS" w:eastAsia="Arial Unicode MS" w:hAnsi="Arial Unicode MS" w:cs="Arial Unicode MS"/>
        </w:rPr>
        <w:t>.</w:t>
      </w:r>
      <w:r>
        <w:t xml:space="preserve">3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CDPD</w:t>
      </w:r>
      <w:r>
        <w:t xml:space="preserve"> </w:t>
      </w:r>
      <w:r>
        <w:rPr>
          <w:rFonts w:ascii="Arial Unicode MS" w:eastAsia="Arial Unicode MS" w:hAnsi="Arial Unicode MS" w:cs="Arial Unicode MS"/>
        </w:rPr>
        <w:t>exige</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gobiernos</w:t>
      </w:r>
      <w:r>
        <w:t xml:space="preserve"> </w:t>
      </w:r>
      <w:r>
        <w:rPr>
          <w:rFonts w:ascii="Arial Unicode MS" w:eastAsia="Arial Unicode MS" w:hAnsi="Arial Unicode MS" w:cs="Arial Unicode MS"/>
        </w:rPr>
        <w:t>asegurar</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representantes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sociedad</w:t>
      </w:r>
      <w:r>
        <w:t xml:space="preserve"> </w:t>
      </w:r>
      <w:r>
        <w:rPr>
          <w:rFonts w:ascii="Arial Unicode MS" w:eastAsia="Arial Unicode MS" w:hAnsi="Arial Unicode MS" w:cs="Arial Unicode MS"/>
        </w:rPr>
        <w:t>civil,</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particular</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organizaciones</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representan,</w:t>
      </w:r>
      <w:r>
        <w:t xml:space="preserve"> </w:t>
      </w:r>
      <w:r>
        <w:rPr>
          <w:rFonts w:ascii="Arial Unicode MS" w:eastAsia="Arial Unicode MS" w:hAnsi="Arial Unicode MS" w:cs="Arial Unicode MS"/>
        </w:rPr>
        <w:t>estén</w:t>
      </w:r>
      <w:r>
        <w:t xml:space="preserve"> </w:t>
      </w:r>
      <w:r>
        <w:rPr>
          <w:rFonts w:ascii="Arial Unicode MS" w:eastAsia="Arial Unicode MS" w:hAnsi="Arial Unicode MS" w:cs="Arial Unicode MS"/>
        </w:rPr>
        <w:t>integradas</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participen</w:t>
      </w:r>
      <w:r>
        <w:t xml:space="preserve"> </w:t>
      </w:r>
      <w:r>
        <w:rPr>
          <w:rFonts w:ascii="Arial Unicode MS" w:eastAsia="Arial Unicode MS" w:hAnsi="Arial Unicode MS" w:cs="Arial Unicode MS"/>
        </w:rPr>
        <w:t>plenamente</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supervisión</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aplicación</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ejercicio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que</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obligan</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garantizar</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firmar</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ratificar</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Convención.</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fecha</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muchos</w:t>
      </w:r>
      <w:r>
        <w:t xml:space="preserve"> </w:t>
      </w:r>
      <w:r>
        <w:rPr>
          <w:rFonts w:ascii="Arial Unicode MS" w:eastAsia="Arial Unicode MS" w:hAnsi="Arial Unicode MS" w:cs="Arial Unicode MS"/>
        </w:rPr>
        <w:t>países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región</w:t>
      </w:r>
      <w:r>
        <w:t xml:space="preserve"> </w:t>
      </w:r>
      <w:r>
        <w:rPr>
          <w:rFonts w:ascii="Arial Unicode MS" w:eastAsia="Arial Unicode MS" w:hAnsi="Arial Unicode MS" w:cs="Arial Unicode MS"/>
        </w:rPr>
        <w:t>aún</w:t>
      </w:r>
      <w:r>
        <w:t xml:space="preserve"> </w:t>
      </w:r>
      <w:r>
        <w:rPr>
          <w:rFonts w:ascii="Arial Unicode MS" w:eastAsia="Arial Unicode MS" w:hAnsi="Arial Unicode MS" w:cs="Arial Unicode MS"/>
        </w:rPr>
        <w:t>no</w:t>
      </w:r>
      <w:r>
        <w:t xml:space="preserve"> </w:t>
      </w:r>
      <w:r>
        <w:rPr>
          <w:rFonts w:ascii="Arial Unicode MS" w:eastAsia="Arial Unicode MS" w:hAnsi="Arial Unicode MS" w:cs="Arial Unicode MS"/>
        </w:rPr>
        <w:t>se</w:t>
      </w:r>
      <w:r>
        <w:t xml:space="preserve"> </w:t>
      </w:r>
      <w:r>
        <w:rPr>
          <w:rFonts w:ascii="Arial Unicode MS" w:eastAsia="Arial Unicode MS" w:hAnsi="Arial Unicode MS" w:cs="Arial Unicode MS"/>
        </w:rPr>
        <w:t>ha</w:t>
      </w:r>
      <w:r>
        <w:t xml:space="preserve"> </w:t>
      </w:r>
      <w:r>
        <w:rPr>
          <w:rFonts w:ascii="Arial Unicode MS" w:eastAsia="Arial Unicode MS" w:hAnsi="Arial Unicode MS" w:cs="Arial Unicode MS"/>
        </w:rPr>
        <w:t>instaurado</w:t>
      </w:r>
      <w:r>
        <w:t xml:space="preserve"> </w:t>
      </w:r>
      <w:r>
        <w:rPr>
          <w:rFonts w:ascii="Arial Unicode MS" w:eastAsia="Arial Unicode MS" w:hAnsi="Arial Unicode MS" w:cs="Arial Unicode MS"/>
        </w:rPr>
        <w:t>un</w:t>
      </w:r>
      <w:r>
        <w:t xml:space="preserve"> </w:t>
      </w:r>
      <w:r>
        <w:rPr>
          <w:rFonts w:ascii="Arial Unicode MS" w:eastAsia="Arial Unicode MS" w:hAnsi="Arial Unicode MS" w:cs="Arial Unicode MS"/>
        </w:rPr>
        <w:t>organismo</w:t>
      </w:r>
      <w:r>
        <w:t xml:space="preserve"> </w:t>
      </w:r>
      <w:r>
        <w:rPr>
          <w:rFonts w:ascii="Arial Unicode MS" w:eastAsia="Arial Unicode MS" w:hAnsi="Arial Unicode MS" w:cs="Arial Unicode MS"/>
        </w:rPr>
        <w:t>nacional</w:t>
      </w:r>
      <w:r>
        <w:t xml:space="preserve"> </w:t>
      </w:r>
      <w:r>
        <w:rPr>
          <w:rFonts w:ascii="Arial Unicode MS" w:eastAsia="Arial Unicode MS" w:hAnsi="Arial Unicode MS" w:cs="Arial Unicode MS"/>
        </w:rPr>
        <w:t>independiente</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participativo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monitoreo</w:t>
      </w:r>
      <w:r>
        <w:t xml:space="preserve"> </w:t>
      </w:r>
      <w:r>
        <w:rPr>
          <w:rFonts w:ascii="Arial Unicode MS" w:eastAsia="Arial Unicode MS" w:hAnsi="Arial Unicode MS" w:cs="Arial Unicode MS"/>
        </w:rPr>
        <w:t>del</w:t>
      </w:r>
      <w:r>
        <w:t xml:space="preserve"> </w:t>
      </w:r>
      <w:r>
        <w:rPr>
          <w:rFonts w:ascii="Arial Unicode MS" w:eastAsia="Arial Unicode MS" w:hAnsi="Arial Unicode MS" w:cs="Arial Unicode MS"/>
        </w:rPr>
        <w:t>ejercicio</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p>
  </w:footnote>
  <w:footnote w:id="231">
    <w:p w14:paraId="61E88A4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referido</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consulta</w:t>
      </w:r>
      <w:r>
        <w:rPr>
          <w:color w:val="2B477B"/>
        </w:rPr>
        <w:t xml:space="preserve"> </w:t>
      </w:r>
      <w:r>
        <w:rPr>
          <w:rFonts w:ascii="Arial Unicode MS" w:eastAsia="Arial Unicode MS" w:hAnsi="Arial Unicode MS" w:cs="Arial Unicode MS"/>
          <w:color w:val="2B477B"/>
        </w:rPr>
        <w:t>vinculante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w:t>
      </w:r>
      <w:r>
        <w:rPr>
          <w:color w:val="2B477B"/>
        </w:rPr>
        <w:t xml:space="preserve"> </w:t>
      </w:r>
      <w:r>
        <w:rPr>
          <w:rFonts w:ascii="Arial Unicode MS" w:eastAsia="Arial Unicode MS" w:hAnsi="Arial Unicode MS" w:cs="Arial Unicode MS"/>
          <w:color w:val="2B477B"/>
        </w:rPr>
        <w:t>regulado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4</w:t>
      </w:r>
      <w:r>
        <w:rPr>
          <w:rFonts w:ascii="Arial Unicode MS" w:eastAsia="Arial Unicode MS" w:hAnsi="Arial Unicode MS" w:cs="Arial Unicode MS"/>
          <w:color w:val="2B477B"/>
        </w:rPr>
        <w:t>.</w:t>
      </w:r>
      <w:r>
        <w:rPr>
          <w:color w:val="2B477B"/>
        </w:rPr>
        <w:t xml:space="preserve">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7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seguimiento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refiere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obligación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tienen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consultar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representativas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tanto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elaboración</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aplicación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legislación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políticas</w:t>
      </w:r>
      <w:r>
        <w:rPr>
          <w:color w:val="2B477B"/>
        </w:rPr>
        <w:t xml:space="preserve"> </w:t>
      </w:r>
      <w:r>
        <w:rPr>
          <w:rFonts w:ascii="Arial Unicode MS" w:eastAsia="Arial Unicode MS" w:hAnsi="Arial Unicode MS" w:cs="Arial Unicode MS"/>
          <w:color w:val="2B477B"/>
        </w:rPr>
        <w:t>públicas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impliquen</w:t>
      </w:r>
      <w:r>
        <w:rPr>
          <w:color w:val="2B477B"/>
        </w:rPr>
        <w:t xml:space="preserve"> </w:t>
      </w:r>
      <w:r>
        <w:rPr>
          <w:rFonts w:ascii="Arial Unicode MS" w:eastAsia="Arial Unicode MS" w:hAnsi="Arial Unicode MS" w:cs="Arial Unicode MS"/>
          <w:color w:val="2B477B"/>
        </w:rPr>
        <w:t>cuestiones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directa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indirectamente</w:t>
      </w:r>
      <w:r>
        <w:rPr>
          <w:color w:val="2B477B"/>
        </w:rPr>
        <w:t xml:space="preserve"> </w:t>
      </w:r>
      <w:r>
        <w:rPr>
          <w:rFonts w:ascii="Arial Unicode MS" w:eastAsia="Arial Unicode MS" w:hAnsi="Arial Unicode MS" w:cs="Arial Unicode MS"/>
          <w:color w:val="2B477B"/>
        </w:rPr>
        <w:t>atañen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población.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consulta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plantea</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principio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transversal</w:t>
      </w:r>
      <w:r>
        <w:rPr>
          <w:color w:val="2B477B"/>
        </w:rPr>
        <w:t xml:space="preserve"> </w:t>
      </w:r>
      <w:r>
        <w:rPr>
          <w:rFonts w:ascii="Arial Unicode MS" w:eastAsia="Arial Unicode MS" w:hAnsi="Arial Unicode MS" w:cs="Arial Unicode MS"/>
          <w:color w:val="2B477B"/>
        </w:rPr>
        <w:t>cuya</w:t>
      </w:r>
      <w:r>
        <w:rPr>
          <w:color w:val="2B477B"/>
        </w:rPr>
        <w:t xml:space="preserve"> </w:t>
      </w:r>
      <w:r>
        <w:rPr>
          <w:rFonts w:ascii="Arial Unicode MS" w:eastAsia="Arial Unicode MS" w:hAnsi="Arial Unicode MS" w:cs="Arial Unicode MS"/>
          <w:color w:val="2B477B"/>
        </w:rPr>
        <w:t>obligación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cumplimiento</w:t>
      </w:r>
      <w:r>
        <w:rPr>
          <w:color w:val="2B477B"/>
        </w:rPr>
        <w:t xml:space="preserve"> </w:t>
      </w:r>
      <w:r>
        <w:rPr>
          <w:rFonts w:ascii="Arial Unicode MS" w:eastAsia="Arial Unicode MS" w:hAnsi="Arial Unicode MS" w:cs="Arial Unicode MS"/>
          <w:color w:val="2B477B"/>
        </w:rPr>
        <w:t>surge</w:t>
      </w:r>
      <w:r>
        <w:rPr>
          <w:color w:val="2B477B"/>
        </w:rPr>
        <w:t xml:space="preserve"> </w:t>
      </w:r>
      <w:r>
        <w:rPr>
          <w:rFonts w:ascii="Arial Unicode MS" w:eastAsia="Arial Unicode MS" w:hAnsi="Arial Unicode MS" w:cs="Arial Unicode MS"/>
          <w:color w:val="2B477B"/>
        </w:rPr>
        <w:t>precisamente</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cambio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paradigma</w:t>
      </w:r>
      <w:r>
        <w:rPr>
          <w:color w:val="2B477B"/>
        </w:rPr>
        <w:t xml:space="preserve"> </w:t>
      </w:r>
      <w:r>
        <w:rPr>
          <w:rFonts w:ascii="Arial Unicode MS" w:eastAsia="Arial Unicode MS" w:hAnsi="Arial Unicode MS" w:cs="Arial Unicode MS"/>
          <w:color w:val="2B477B"/>
        </w:rPr>
        <w:t>desde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abordar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411"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7</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/7</w:t>
      </w:r>
      <w:r>
        <w:rPr>
          <w:rFonts w:ascii="Arial Unicode MS" w:eastAsia="Arial Unicode MS" w:hAnsi="Arial Unicode MS" w:cs="Arial Unicode MS"/>
          <w:color w:val="2B477B"/>
        </w:rPr>
        <w:t>,</w:t>
      </w:r>
      <w:r>
        <w:rPr>
          <w:color w:val="2B477B"/>
        </w:rPr>
        <w:t xml:space="preserve"> 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p>
  </w:footnote>
  <w:footnote w:id="232">
    <w:p w14:paraId="310D0A9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proporcionada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412"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w:t>
        </w:r>
      </w:hyperlink>
      <w:r>
        <w:rPr>
          <w:color w:val="2B477B"/>
        </w:rPr>
        <w:t xml:space="preserve"> </w:t>
      </w:r>
      <w:hyperlink r:id="rId413" w:history="1">
        <w:r>
          <w:rPr>
            <w:rFonts w:ascii="Arial Unicode MS" w:eastAsia="Arial Unicode MS" w:hAnsi="Arial Unicode MS" w:cs="Arial Unicode MS"/>
            <w:color w:val="2B477B"/>
          </w:rPr>
          <w:t>Parliamentary</w:t>
        </w:r>
        <w:r>
          <w:rPr>
            <w:color w:val="2B477B"/>
          </w:rPr>
          <w:t xml:space="preserve"> </w:t>
        </w:r>
        <w:r>
          <w:rPr>
            <w:rFonts w:ascii="Arial Unicode MS" w:eastAsia="Arial Unicode MS" w:hAnsi="Arial Unicode MS" w:cs="Arial Unicode MS"/>
            <w:color w:val="2B477B"/>
          </w:rPr>
          <w:t>Elections</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artículos</w:t>
      </w:r>
      <w:r>
        <w:rPr>
          <w:color w:val="2B477B"/>
        </w:rPr>
        <w:t xml:space="preserve"> 8 </w:t>
      </w:r>
      <w:r>
        <w:rPr>
          <w:rFonts w:ascii="Arial Unicode MS" w:eastAsia="Arial Unicode MS" w:hAnsi="Arial Unicode MS" w:cs="Arial Unicode MS"/>
          <w:color w:val="2B477B"/>
        </w:rPr>
        <w:t>y</w:t>
      </w:r>
      <w:r>
        <w:rPr>
          <w:color w:val="2B477B"/>
        </w:rPr>
        <w:t xml:space="preserve"> 9</w:t>
      </w:r>
      <w:r>
        <w:rPr>
          <w:rFonts w:ascii="Arial Unicode MS" w:eastAsia="Arial Unicode MS" w:hAnsi="Arial Unicode MS" w:cs="Arial Unicode MS"/>
          <w:color w:val="2B477B"/>
        </w:rPr>
        <w:t>;</w:t>
      </w:r>
      <w:r>
        <w:rPr>
          <w:color w:val="2B477B"/>
        </w:rPr>
        <w:t xml:space="preserve"> </w:t>
      </w:r>
      <w:hyperlink r:id="rId414" w:history="1">
        <w:r>
          <w:rPr>
            <w:rFonts w:ascii="Arial Unicode MS" w:eastAsia="Arial Unicode MS" w:hAnsi="Arial Unicode MS" w:cs="Arial Unicode MS"/>
            <w:color w:val="2B477B"/>
          </w:rPr>
          <w:t>Representation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artículo</w:t>
      </w:r>
      <w:r>
        <w:rPr>
          <w:color w:val="2B477B"/>
        </w:rPr>
        <w:t xml:space="preserve"> 8</w:t>
      </w:r>
      <w:r>
        <w:rPr>
          <w:rFonts w:ascii="Arial Unicode MS" w:eastAsia="Arial Unicode MS" w:hAnsi="Arial Unicode MS" w:cs="Arial Unicode MS"/>
          <w:color w:val="2B477B"/>
        </w:rPr>
        <w:t>;</w:t>
      </w:r>
      <w:r>
        <w:rPr>
          <w:color w:val="2B477B"/>
        </w:rPr>
        <w:t xml:space="preserve"> </w:t>
      </w:r>
      <w:hyperlink r:id="rId415"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16</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r>
        <w:rPr>
          <w:color w:val="2B477B"/>
        </w:rPr>
        <w:t xml:space="preserve"> </w:t>
      </w:r>
      <w:hyperlink r:id="rId416" w:history="1">
        <w:r>
          <w:rPr>
            <w:color w:val="2B477B"/>
          </w:rPr>
          <w:t xml:space="preserve"> </w:t>
        </w:r>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Ecuador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62 </w:t>
      </w:r>
      <w:r>
        <w:rPr>
          <w:rFonts w:ascii="Arial Unicode MS" w:eastAsia="Arial Unicode MS" w:hAnsi="Arial Unicode MS" w:cs="Arial Unicode MS"/>
          <w:color w:val="2B477B"/>
        </w:rPr>
        <w:t>y</w:t>
      </w:r>
      <w:r>
        <w:rPr>
          <w:color w:val="2B477B"/>
        </w:rPr>
        <w:t xml:space="preserve"> 64</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w:t>
      </w:r>
      <w:r>
        <w:rPr>
          <w:color w:val="2B477B"/>
        </w:rPr>
        <w:t xml:space="preserve"> </w:t>
      </w:r>
      <w:hyperlink r:id="rId417" w:history="1">
        <w:r>
          <w:rPr>
            <w:rFonts w:ascii="Arial Unicode MS" w:eastAsia="Arial Unicode MS" w:hAnsi="Arial Unicode MS" w:cs="Arial Unicode MS"/>
            <w:color w:val="2B477B"/>
          </w:rPr>
          <w:t>Constitución</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art.</w:t>
      </w:r>
      <w:r>
        <w:rPr>
          <w:color w:val="2B477B"/>
        </w:rPr>
        <w:t xml:space="preserve">  74</w:t>
      </w:r>
      <w:r>
        <w:rPr>
          <w:rFonts w:ascii="Arial Unicode MS" w:eastAsia="Arial Unicode MS" w:hAnsi="Arial Unicode MS" w:cs="Arial Unicode MS"/>
          <w:color w:val="2B477B"/>
        </w:rPr>
        <w:t>.</w:t>
      </w:r>
      <w:r>
        <w:rPr>
          <w:color w:val="2B477B"/>
        </w:rPr>
        <w:t xml:space="preserve">3 </w:t>
      </w:r>
      <w:r>
        <w:rPr>
          <w:rFonts w:ascii="Arial Unicode MS" w:eastAsia="Arial Unicode MS" w:hAnsi="Arial Unicode MS" w:cs="Arial Unicode MS"/>
          <w:color w:val="2B477B"/>
        </w:rPr>
        <w:t>y</w:t>
      </w:r>
      <w:r>
        <w:rPr>
          <w:color w:val="2B477B"/>
        </w:rPr>
        <w:t xml:space="preserve"> </w:t>
      </w:r>
      <w:hyperlink r:id="rId418"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Electora</w:t>
        </w:r>
      </w:hyperlink>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art.</w:t>
      </w:r>
      <w:r>
        <w:rPr>
          <w:color w:val="2B477B"/>
        </w:rPr>
        <w:t xml:space="preserve"> 167</w:t>
      </w:r>
      <w:r>
        <w:rPr>
          <w:rFonts w:ascii="Arial Unicode MS" w:eastAsia="Arial Unicode MS" w:hAnsi="Arial Unicode MS" w:cs="Arial Unicode MS"/>
          <w:color w:val="2B477B"/>
        </w:rPr>
        <w:t>;</w:t>
      </w:r>
      <w:r>
        <w:rPr>
          <w:color w:val="2B477B"/>
        </w:rPr>
        <w:t xml:space="preserve"> </w:t>
      </w:r>
      <w:hyperlink r:id="rId419"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No.</w:t>
        </w:r>
        <w:r>
          <w:rPr>
            <w:color w:val="2B477B"/>
          </w:rPr>
          <w:t xml:space="preserve"> 1</w:t>
        </w:r>
        <w:r>
          <w:rPr>
            <w:rFonts w:ascii="Arial Unicode MS" w:eastAsia="Arial Unicode MS" w:hAnsi="Arial Unicode MS" w:cs="Arial Unicode MS"/>
            <w:color w:val="2B477B"/>
          </w:rPr>
          <w:t>-</w:t>
        </w:r>
        <w:r>
          <w:rPr>
            <w:color w:val="2B477B"/>
          </w:rPr>
          <w:t>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artículo</w:t>
        </w:r>
        <w:r>
          <w:rPr>
            <w:color w:val="2B477B"/>
          </w:rPr>
          <w:t xml:space="preserve"> 3</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Partidos</w:t>
        </w:r>
        <w:r>
          <w:rPr>
            <w:color w:val="2B477B"/>
          </w:rPr>
          <w:t xml:space="preserve"> </w:t>
        </w:r>
        <w:r>
          <w:rPr>
            <w:rFonts w:ascii="Arial Unicode MS" w:eastAsia="Arial Unicode MS" w:hAnsi="Arial Unicode MS" w:cs="Arial Unicode MS"/>
            <w:color w:val="2B477B"/>
          </w:rPr>
          <w:t>Políticos</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hyperlink r:id="rId420"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15</w:t>
      </w:r>
      <w:r>
        <w:rPr>
          <w:rFonts w:ascii="Arial Unicode MS" w:eastAsia="Arial Unicode MS" w:hAnsi="Arial Unicode MS" w:cs="Arial Unicode MS"/>
          <w:color w:val="2B477B"/>
        </w:rPr>
        <w:t>;</w:t>
      </w:r>
      <w:r>
        <w:rPr>
          <w:color w:val="2B477B"/>
        </w:rPr>
        <w:t xml:space="preserve"> </w:t>
      </w:r>
      <w:hyperlink r:id="rId421"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24</w:t>
      </w:r>
      <w:r>
        <w:rPr>
          <w:rFonts w:ascii="Arial Unicode MS" w:eastAsia="Arial Unicode MS" w:hAnsi="Arial Unicode MS" w:cs="Arial Unicode MS"/>
          <w:color w:val="2B477B"/>
        </w:rPr>
        <w:t>,</w:t>
      </w:r>
      <w:r>
        <w:rPr>
          <w:color w:val="2B477B"/>
        </w:rPr>
        <w:t xml:space="preserve"> 29 </w:t>
      </w:r>
      <w:r>
        <w:rPr>
          <w:rFonts w:ascii="Arial Unicode MS" w:eastAsia="Arial Unicode MS" w:hAnsi="Arial Unicode MS" w:cs="Arial Unicode MS"/>
          <w:color w:val="2B477B"/>
        </w:rPr>
        <w:t>y</w:t>
      </w:r>
      <w:r>
        <w:rPr>
          <w:color w:val="2B477B"/>
        </w:rPr>
        <w:t xml:space="preserve"> 157</w:t>
      </w:r>
      <w:r>
        <w:rPr>
          <w:rFonts w:ascii="Arial Unicode MS" w:eastAsia="Arial Unicode MS" w:hAnsi="Arial Unicode MS" w:cs="Arial Unicode MS"/>
          <w:color w:val="2B477B"/>
        </w:rPr>
        <w:t>;</w:t>
      </w:r>
      <w:r>
        <w:rPr>
          <w:color w:val="2B477B"/>
        </w:rPr>
        <w:t xml:space="preserve"> </w:t>
      </w:r>
      <w:hyperlink r:id="rId422"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Nicaragua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47</w:t>
      </w:r>
      <w:r>
        <w:rPr>
          <w:rFonts w:ascii="Arial Unicode MS" w:eastAsia="Arial Unicode MS" w:hAnsi="Arial Unicode MS" w:cs="Arial Unicode MS"/>
          <w:color w:val="2B477B"/>
        </w:rPr>
        <w:t>;</w:t>
      </w:r>
      <w:r>
        <w:rPr>
          <w:color w:val="2B477B"/>
        </w:rPr>
        <w:t xml:space="preserve"> </w:t>
      </w:r>
      <w:hyperlink r:id="rId423" w:history="1">
        <w:r>
          <w:rPr>
            <w:rFonts w:ascii="Arial Unicode MS" w:eastAsia="Arial Unicode MS" w:hAnsi="Arial Unicode MS" w:cs="Arial Unicode MS"/>
            <w:color w:val="2B477B"/>
          </w:rPr>
          <w:t>Constitución</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arts.</w:t>
      </w:r>
      <w:r>
        <w:rPr>
          <w:color w:val="2B477B"/>
        </w:rPr>
        <w:t xml:space="preserve"> 153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424"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Electoral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91</w:t>
      </w:r>
      <w:r>
        <w:rPr>
          <w:rFonts w:ascii="Arial Unicode MS" w:eastAsia="Arial Unicode MS" w:hAnsi="Arial Unicode MS" w:cs="Arial Unicode MS"/>
          <w:color w:val="2B477B"/>
        </w:rPr>
        <w:t>;</w:t>
      </w:r>
      <w:r>
        <w:rPr>
          <w:color w:val="2B477B"/>
        </w:rPr>
        <w:t xml:space="preserve"> </w:t>
      </w:r>
      <w:hyperlink r:id="rId425"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208</w:t>
      </w:r>
      <w:r>
        <w:rPr>
          <w:rFonts w:ascii="Arial Unicode MS" w:eastAsia="Arial Unicode MS" w:hAnsi="Arial Unicode MS" w:cs="Arial Unicode MS"/>
          <w:color w:val="2B477B"/>
        </w:rPr>
        <w:t>;</w:t>
      </w:r>
      <w:r>
        <w:rPr>
          <w:color w:val="2B477B"/>
        </w:rPr>
        <w:t xml:space="preserve"> </w:t>
      </w:r>
      <w:hyperlink r:id="rId426" w:history="1">
        <w:r>
          <w:rPr>
            <w:rFonts w:ascii="Arial Unicode MS" w:eastAsia="Arial Unicode MS" w:hAnsi="Arial Unicode MS" w:cs="Arial Unicode MS"/>
            <w:color w:val="2B477B"/>
          </w:rPr>
          <w:t>Constitución</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Surinam,</w:t>
      </w:r>
      <w:r>
        <w:rPr>
          <w:color w:val="2B477B"/>
        </w:rPr>
        <w:t xml:space="preserve"> </w:t>
      </w:r>
      <w:r>
        <w:rPr>
          <w:rFonts w:ascii="Arial Unicode MS" w:eastAsia="Arial Unicode MS" w:hAnsi="Arial Unicode MS" w:cs="Arial Unicode MS"/>
          <w:color w:val="2B477B"/>
        </w:rPr>
        <w:t>art.</w:t>
      </w:r>
      <w:r>
        <w:rPr>
          <w:color w:val="2B477B"/>
        </w:rPr>
        <w:t xml:space="preserve"> 54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42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Electoral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Representation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Act</w:t>
      </w:r>
      <w:hyperlink r:id="rId428" w:history="1">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color w:val="2B477B"/>
        </w:rPr>
        <w:t xml:space="preserve"> </w:t>
      </w:r>
      <w:r>
        <w:rPr>
          <w:rFonts w:ascii="Arial Unicode MS" w:eastAsia="Arial Unicode MS" w:hAnsi="Arial Unicode MS" w:cs="Arial Unicode MS"/>
          <w:color w:val="2B477B"/>
        </w:rPr>
        <w:t>art.</w:t>
      </w:r>
      <w:r>
        <w:rPr>
          <w:color w:val="2B477B"/>
        </w:rPr>
        <w:t xml:space="preserve"> 15</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r>
        <w:rPr>
          <w:color w:val="2B477B"/>
        </w:rPr>
        <w:t xml:space="preserve"> </w:t>
      </w:r>
      <w:hyperlink r:id="rId429"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Uruguay</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77</w:t>
      </w:r>
      <w:r>
        <w:rPr>
          <w:rFonts w:ascii="Arial Unicode MS" w:eastAsia="Arial Unicode MS" w:hAnsi="Arial Unicode MS" w:cs="Arial Unicode MS"/>
          <w:color w:val="2B477B"/>
        </w:rPr>
        <w:t>,</w:t>
      </w:r>
      <w:r>
        <w:rPr>
          <w:color w:val="2B477B"/>
        </w:rPr>
        <w:t xml:space="preserve"> 78 </w:t>
      </w:r>
      <w:r>
        <w:rPr>
          <w:rFonts w:ascii="Arial Unicode MS" w:eastAsia="Arial Unicode MS" w:hAnsi="Arial Unicode MS" w:cs="Arial Unicode MS"/>
          <w:color w:val="2B477B"/>
        </w:rPr>
        <w:t>y</w:t>
      </w:r>
      <w:r>
        <w:rPr>
          <w:color w:val="2B477B"/>
        </w:rPr>
        <w:t xml:space="preserve"> 80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430"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64</w:t>
      </w:r>
      <w:r>
        <w:rPr>
          <w:rFonts w:ascii="Arial Unicode MS" w:eastAsia="Arial Unicode MS" w:hAnsi="Arial Unicode MS" w:cs="Arial Unicode MS"/>
          <w:color w:val="2B477B"/>
        </w:rPr>
        <w:t>.</w:t>
      </w:r>
      <w:r>
        <w:rPr>
          <w:color w:val="2B477B"/>
        </w:rPr>
        <w:t xml:space="preserve"> </w:t>
      </w:r>
    </w:p>
  </w:footnote>
  <w:footnote w:id="233">
    <w:p w14:paraId="5C5C7CC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proporcionada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431" w:history="1">
        <w:r>
          <w:rPr>
            <w:rFonts w:ascii="Arial Unicode MS" w:eastAsia="Arial Unicode MS" w:hAnsi="Arial Unicode MS" w:cs="Arial Unicode MS"/>
            <w:color w:val="2B477B"/>
          </w:rPr>
          <w:t>Ley</w:t>
        </w:r>
        <w:r>
          <w:rPr>
            <w:color w:val="2B477B"/>
          </w:rPr>
          <w:t xml:space="preserve"> 23</w:t>
        </w:r>
        <w:r>
          <w:rPr>
            <w:rFonts w:ascii="Arial Unicode MS" w:eastAsia="Arial Unicode MS" w:hAnsi="Arial Unicode MS" w:cs="Arial Unicode MS"/>
            <w:color w:val="2B477B"/>
          </w:rPr>
          <w:t>.</w:t>
        </w:r>
        <w:r>
          <w:rPr>
            <w:color w:val="2B477B"/>
          </w:rPr>
          <w:t>298</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art.</w:t>
      </w:r>
      <w:r>
        <w:rPr>
          <w:color w:val="2B477B"/>
        </w:rPr>
        <w:t xml:space="preserve"> 33</w:t>
      </w:r>
      <w:r>
        <w:rPr>
          <w:rFonts w:ascii="Arial Unicode MS" w:eastAsia="Arial Unicode MS" w:hAnsi="Arial Unicode MS" w:cs="Arial Unicode MS"/>
          <w:color w:val="2B477B"/>
        </w:rPr>
        <w:t>;</w:t>
      </w:r>
      <w:r>
        <w:rPr>
          <w:color w:val="2B477B"/>
        </w:rPr>
        <w:t xml:space="preserve"> </w:t>
      </w:r>
      <w:hyperlink r:id="rId432"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1973</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arts.</w:t>
      </w:r>
      <w:r>
        <w:rPr>
          <w:color w:val="2B477B"/>
        </w:rPr>
        <w:t xml:space="preserve"> 43 </w:t>
      </w:r>
      <w:r>
        <w:rPr>
          <w:rFonts w:ascii="Arial Unicode MS" w:eastAsia="Arial Unicode MS" w:hAnsi="Arial Unicode MS" w:cs="Arial Unicode MS"/>
          <w:color w:val="2B477B"/>
        </w:rPr>
        <w:t>a</w:t>
      </w:r>
      <w:r>
        <w:rPr>
          <w:color w:val="2B477B"/>
        </w:rPr>
        <w:t xml:space="preserve"> 49</w:t>
      </w:r>
      <w:r>
        <w:rPr>
          <w:rFonts w:ascii="Arial Unicode MS" w:eastAsia="Arial Unicode MS" w:hAnsi="Arial Unicode MS" w:cs="Arial Unicode MS"/>
          <w:color w:val="2B477B"/>
        </w:rPr>
        <w:t>,</w:t>
      </w:r>
      <w:r>
        <w:rPr>
          <w:color w:val="2B477B"/>
        </w:rPr>
        <w:t xml:space="preserve"> </w:t>
      </w:r>
      <w:hyperlink r:id="rId433" w:history="1">
        <w:r>
          <w:rPr>
            <w:rFonts w:ascii="Arial Unicode MS" w:eastAsia="Arial Unicode MS" w:hAnsi="Arial Unicode MS" w:cs="Arial Unicode MS"/>
            <w:color w:val="2B477B"/>
          </w:rPr>
          <w:t>Local</w:t>
        </w:r>
        <w:r>
          <w:rPr>
            <w:color w:val="2B477B"/>
          </w:rPr>
          <w:t xml:space="preserve"> </w:t>
        </w:r>
        <w:r>
          <w:rPr>
            <w:rFonts w:ascii="Arial Unicode MS" w:eastAsia="Arial Unicode MS" w:hAnsi="Arial Unicode MS" w:cs="Arial Unicode MS"/>
            <w:color w:val="2B477B"/>
          </w:rPr>
          <w:t>Government</w:t>
        </w:r>
        <w:r>
          <w:rPr>
            <w:color w:val="2B477B"/>
          </w:rPr>
          <w:t xml:space="preserve"> </w:t>
        </w:r>
        <w:r>
          <w:rPr>
            <w:rFonts w:ascii="Arial Unicode MS" w:eastAsia="Arial Unicode MS" w:hAnsi="Arial Unicode MS" w:cs="Arial Unicode MS"/>
            <w:color w:val="2B477B"/>
          </w:rPr>
          <w:t>Act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22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Juries</w:t>
      </w:r>
      <w:r>
        <w:rPr>
          <w:color w:val="2B477B"/>
        </w:rPr>
        <w:t xml:space="preserve"> </w:t>
      </w:r>
      <w:r>
        <w:rPr>
          <w:rFonts w:ascii="Arial Unicode MS" w:eastAsia="Arial Unicode MS" w:hAnsi="Arial Unicode MS" w:cs="Arial Unicode MS"/>
          <w:color w:val="2B477B"/>
        </w:rPr>
        <w:t>Act,</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hyperlink r:id="rId434"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1974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arts.</w:t>
        </w:r>
        <w:r>
          <w:rPr>
            <w:color w:val="2B477B"/>
          </w:rPr>
          <w:t xml:space="preserve"> 38 </w:t>
        </w:r>
        <w:r>
          <w:rPr>
            <w:rFonts w:ascii="Arial Unicode MS" w:eastAsia="Arial Unicode MS" w:hAnsi="Arial Unicode MS" w:cs="Arial Unicode MS"/>
            <w:color w:val="2B477B"/>
          </w:rPr>
          <w:t>a</w:t>
        </w:r>
        <w:r>
          <w:rPr>
            <w:color w:val="2B477B"/>
          </w:rPr>
          <w:t xml:space="preserve"> 45</w:t>
        </w:r>
        <w:r>
          <w:rPr>
            <w:rFonts w:ascii="Arial Unicode MS" w:eastAsia="Arial Unicode MS" w:hAnsi="Arial Unicode MS" w:cs="Arial Unicode MS"/>
            <w:color w:val="2B477B"/>
          </w:rPr>
          <w:t>,</w:t>
        </w:r>
      </w:hyperlink>
      <w:r>
        <w:rPr>
          <w:color w:val="2B477B"/>
        </w:rPr>
        <w:t xml:space="preserve"> </w:t>
      </w:r>
      <w:hyperlink r:id="rId435" w:history="1">
        <w:r>
          <w:rPr>
            <w:rFonts w:ascii="Arial Unicode MS" w:eastAsia="Arial Unicode MS" w:hAnsi="Arial Unicode MS" w:cs="Arial Unicode MS"/>
            <w:color w:val="2B477B"/>
          </w:rPr>
          <w:t>Juries</w:t>
        </w:r>
        <w:r>
          <w:rPr>
            <w:color w:val="2B477B"/>
          </w:rPr>
          <w:t xml:space="preserve"> </w:t>
        </w:r>
        <w:r>
          <w:rPr>
            <w:rFonts w:ascii="Arial Unicode MS" w:eastAsia="Arial Unicode MS" w:hAnsi="Arial Unicode MS" w:cs="Arial Unicode MS"/>
            <w:color w:val="2B477B"/>
          </w:rPr>
          <w:t>Act</w:t>
        </w:r>
      </w:hyperlink>
      <w:hyperlink r:id="rId436" w:history="1">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art.</w:t>
      </w:r>
      <w:r>
        <w:rPr>
          <w:color w:val="2B477B"/>
        </w:rPr>
        <w:t xml:space="preserve"> 5 </w:t>
      </w:r>
      <w:r>
        <w:rPr>
          <w:rFonts w:ascii="Arial Unicode MS" w:eastAsia="Arial Unicode MS" w:hAnsi="Arial Unicode MS" w:cs="Arial Unicode MS"/>
          <w:color w:val="2B477B"/>
        </w:rPr>
        <w:t>y</w:t>
      </w:r>
      <w:r>
        <w:rPr>
          <w:color w:val="2B477B"/>
        </w:rPr>
        <w:t xml:space="preserve"> </w:t>
      </w:r>
      <w:hyperlink r:id="rId437" w:history="1">
        <w:r>
          <w:rPr>
            <w:rFonts w:ascii="Arial Unicode MS" w:eastAsia="Arial Unicode MS" w:hAnsi="Arial Unicode MS" w:cs="Arial Unicode MS"/>
            <w:color w:val="2B477B"/>
          </w:rPr>
          <w:t>Referendum</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hyperlink r:id="rId438"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1981</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Belice,</w:t>
      </w:r>
      <w:r>
        <w:rPr>
          <w:color w:val="2B477B"/>
        </w:rPr>
        <w:t xml:space="preserve"> </w:t>
      </w:r>
      <w:r>
        <w:rPr>
          <w:rFonts w:ascii="Arial Unicode MS" w:eastAsia="Arial Unicode MS" w:hAnsi="Arial Unicode MS" w:cs="Arial Unicode MS"/>
          <w:color w:val="2B477B"/>
        </w:rPr>
        <w:t>arts.</w:t>
      </w:r>
      <w:r>
        <w:rPr>
          <w:color w:val="2B477B"/>
        </w:rPr>
        <w:t xml:space="preserve"> 58 </w:t>
      </w:r>
      <w:r>
        <w:rPr>
          <w:rFonts w:ascii="Arial Unicode MS" w:eastAsia="Arial Unicode MS" w:hAnsi="Arial Unicode MS" w:cs="Arial Unicode MS"/>
          <w:color w:val="2B477B"/>
        </w:rPr>
        <w:t>y</w:t>
      </w:r>
      <w:r>
        <w:rPr>
          <w:color w:val="2B477B"/>
        </w:rPr>
        <w:t xml:space="preserve"> 63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439" w:history="1">
        <w:r>
          <w:rPr>
            <w:rFonts w:ascii="Arial Unicode MS" w:eastAsia="Arial Unicode MS" w:hAnsi="Arial Unicode MS" w:cs="Arial Unicode MS"/>
            <w:color w:val="2B477B"/>
          </w:rPr>
          <w:t>Representation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Act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w:t>
      </w:r>
      <w:r>
        <w:rPr>
          <w:rFonts w:ascii="Arial Unicode MS" w:eastAsia="Arial Unicode MS" w:hAnsi="Arial Unicode MS" w:cs="Arial Unicode MS"/>
          <w:color w:val="2B477B"/>
        </w:rPr>
        <w:t>;</w:t>
      </w:r>
      <w:r>
        <w:rPr>
          <w:color w:val="2B477B"/>
        </w:rPr>
        <w:t xml:space="preserve"> </w:t>
      </w:r>
      <w:hyperlink r:id="rId440"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arts.</w:t>
        </w:r>
        <w:r>
          <w:rPr>
            <w:color w:val="2B477B"/>
          </w:rPr>
          <w:t xml:space="preserve"> 119</w:t>
        </w:r>
        <w:r>
          <w:rPr>
            <w:rFonts w:ascii="Arial Unicode MS" w:eastAsia="Arial Unicode MS" w:hAnsi="Arial Unicode MS" w:cs="Arial Unicode MS"/>
            <w:color w:val="2B477B"/>
          </w:rPr>
          <w:t>,</w:t>
        </w:r>
        <w:r>
          <w:rPr>
            <w:color w:val="2B477B"/>
          </w:rPr>
          <w:t xml:space="preserve"> 142</w:t>
        </w:r>
        <w:r>
          <w:rPr>
            <w:rFonts w:ascii="Arial Unicode MS" w:eastAsia="Arial Unicode MS" w:hAnsi="Arial Unicode MS" w:cs="Arial Unicode MS"/>
            <w:color w:val="2B477B"/>
          </w:rPr>
          <w:t>,</w:t>
        </w:r>
        <w:r>
          <w:rPr>
            <w:color w:val="2B477B"/>
          </w:rPr>
          <w:t xml:space="preserve"> 218</w:t>
        </w:r>
        <w:r>
          <w:rPr>
            <w:rFonts w:ascii="Arial Unicode MS" w:eastAsia="Arial Unicode MS" w:hAnsi="Arial Unicode MS" w:cs="Arial Unicode MS"/>
            <w:color w:val="2B477B"/>
          </w:rPr>
          <w:t>,</w:t>
        </w:r>
        <w:r>
          <w:rPr>
            <w:color w:val="2B477B"/>
          </w:rPr>
          <w:t xml:space="preserve"> 220</w:t>
        </w:r>
        <w:r>
          <w:rPr>
            <w:rFonts w:ascii="Arial Unicode MS" w:eastAsia="Arial Unicode MS" w:hAnsi="Arial Unicode MS" w:cs="Arial Unicode MS"/>
            <w:color w:val="2B477B"/>
          </w:rPr>
          <w:t>;</w:t>
        </w:r>
      </w:hyperlink>
      <w:r>
        <w:rPr>
          <w:color w:val="2B477B"/>
        </w:rPr>
        <w:t xml:space="preserve"> </w:t>
      </w:r>
      <w:hyperlink r:id="rId441"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No.</w:t>
        </w:r>
        <w:r>
          <w:rPr>
            <w:color w:val="2B477B"/>
          </w:rPr>
          <w:t xml:space="preserve"> 1</w:t>
        </w:r>
        <w:r>
          <w:rPr>
            <w:rFonts w:ascii="Arial Unicode MS" w:eastAsia="Arial Unicode MS" w:hAnsi="Arial Unicode MS" w:cs="Arial Unicode MS"/>
            <w:color w:val="2B477B"/>
          </w:rPr>
          <w:t>-</w:t>
        </w:r>
        <w:r>
          <w:rPr>
            <w:color w:val="2B477B"/>
          </w:rPr>
          <w:t>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.h,</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Electoral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Partidos</w:t>
        </w:r>
        <w:r>
          <w:rPr>
            <w:color w:val="2B477B"/>
          </w:rPr>
          <w:t xml:space="preserve"> </w:t>
        </w:r>
        <w:r>
          <w:rPr>
            <w:rFonts w:ascii="Arial Unicode MS" w:eastAsia="Arial Unicode MS" w:hAnsi="Arial Unicode MS" w:cs="Arial Unicode MS"/>
            <w:color w:val="2B477B"/>
          </w:rPr>
          <w:t>Políticos</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hyperlink r:id="rId442"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155</w:t>
      </w:r>
      <w:r>
        <w:rPr>
          <w:rFonts w:ascii="Arial Unicode MS" w:eastAsia="Arial Unicode MS" w:hAnsi="Arial Unicode MS" w:cs="Arial Unicode MS"/>
          <w:color w:val="2B477B"/>
        </w:rPr>
        <w:t>;</w:t>
      </w:r>
      <w:r>
        <w:rPr>
          <w:color w:val="2B477B"/>
        </w:rPr>
        <w:t xml:space="preserve"> </w:t>
      </w:r>
      <w:hyperlink r:id="rId443" w:history="1">
        <w:r>
          <w:rPr>
            <w:rFonts w:ascii="Arial Unicode MS" w:eastAsia="Arial Unicode MS" w:hAnsi="Arial Unicode MS" w:cs="Arial Unicode MS"/>
            <w:color w:val="2B477B"/>
          </w:rPr>
          <w:t>Constitución</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arts.</w:t>
      </w:r>
      <w:r>
        <w:rPr>
          <w:color w:val="2B477B"/>
        </w:rPr>
        <w:t xml:space="preserve"> 149 </w:t>
      </w:r>
      <w:r>
        <w:rPr>
          <w:rFonts w:ascii="Arial Unicode MS" w:eastAsia="Arial Unicode MS" w:hAnsi="Arial Unicode MS" w:cs="Arial Unicode MS"/>
          <w:color w:val="2B477B"/>
        </w:rPr>
        <w:t>y</w:t>
      </w:r>
      <w:r>
        <w:rPr>
          <w:color w:val="2B477B"/>
        </w:rPr>
        <w:t xml:space="preserve"> 177 </w:t>
      </w:r>
      <w:r>
        <w:rPr>
          <w:rFonts w:ascii="Arial Unicode MS" w:eastAsia="Arial Unicode MS" w:hAnsi="Arial Unicode MS" w:cs="Arial Unicode MS"/>
          <w:color w:val="2B477B"/>
        </w:rPr>
        <w:t>y</w:t>
      </w:r>
      <w:r>
        <w:rPr>
          <w:color w:val="2B477B"/>
        </w:rPr>
        <w:t xml:space="preserve"> </w:t>
      </w:r>
      <w:hyperlink r:id="rId444"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Electoral</w:t>
        </w:r>
      </w:hyperlink>
      <w:r>
        <w:rPr>
          <w:color w:val="2B477B"/>
        </w:rPr>
        <w:t xml:space="preserve"> 50</w:t>
      </w:r>
      <w:r>
        <w:rPr>
          <w:rFonts w:ascii="Arial Unicode MS" w:eastAsia="Arial Unicode MS" w:hAnsi="Arial Unicode MS" w:cs="Arial Unicode MS"/>
          <w:color w:val="2B477B"/>
        </w:rPr>
        <w:t>,</w:t>
      </w:r>
      <w:r>
        <w:rPr>
          <w:color w:val="2B477B"/>
        </w:rPr>
        <w:t xml:space="preserve"> 56</w:t>
      </w:r>
      <w:r>
        <w:rPr>
          <w:rFonts w:ascii="Arial Unicode MS" w:eastAsia="Arial Unicode MS" w:hAnsi="Arial Unicode MS" w:cs="Arial Unicode MS"/>
          <w:color w:val="2B477B"/>
        </w:rPr>
        <w:t>,</w:t>
      </w:r>
      <w:r>
        <w:rPr>
          <w:color w:val="2B477B"/>
        </w:rPr>
        <w:t xml:space="preserve"> 59</w:t>
      </w:r>
      <w:r>
        <w:rPr>
          <w:rFonts w:ascii="Arial Unicode MS" w:eastAsia="Arial Unicode MS" w:hAnsi="Arial Unicode MS" w:cs="Arial Unicode MS"/>
          <w:color w:val="2B477B"/>
        </w:rPr>
        <w:t>.</w:t>
      </w:r>
      <w:r>
        <w:rPr>
          <w:color w:val="2B477B"/>
        </w:rPr>
        <w:t xml:space="preserve">1 </w:t>
      </w:r>
      <w:r>
        <w:rPr>
          <w:rFonts w:ascii="Arial Unicode MS" w:eastAsia="Arial Unicode MS" w:hAnsi="Arial Unicode MS" w:cs="Arial Unicode MS"/>
          <w:color w:val="2B477B"/>
        </w:rPr>
        <w:t>y</w:t>
      </w:r>
      <w:r>
        <w:rPr>
          <w:color w:val="2B477B"/>
        </w:rPr>
        <w:t xml:space="preserve"> 87</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r>
        <w:rPr>
          <w:color w:val="2B477B"/>
        </w:rPr>
        <w:t xml:space="preserve"> </w:t>
      </w:r>
      <w:hyperlink r:id="rId445"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41</w:t>
      </w:r>
      <w:r>
        <w:rPr>
          <w:rFonts w:ascii="Arial Unicode MS" w:eastAsia="Arial Unicode MS" w:hAnsi="Arial Unicode MS" w:cs="Arial Unicode MS"/>
          <w:color w:val="2B477B"/>
        </w:rPr>
        <w:t>;</w:t>
      </w:r>
      <w:r>
        <w:rPr>
          <w:color w:val="2B477B"/>
        </w:rPr>
        <w:t xml:space="preserve"> </w:t>
      </w:r>
      <w:hyperlink r:id="rId446"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Jamaica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37</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.c),</w:t>
      </w:r>
      <w:r>
        <w:rPr>
          <w:color w:val="2B477B"/>
        </w:rPr>
        <w:t xml:space="preserve"> 40</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.f),</w:t>
      </w:r>
      <w:r>
        <w:rPr>
          <w:color w:val="2B477B"/>
        </w:rPr>
        <w:t xml:space="preserve"> 41</w:t>
      </w:r>
      <w:r>
        <w:rPr>
          <w:rFonts w:ascii="Arial Unicode MS" w:eastAsia="Arial Unicode MS" w:hAnsi="Arial Unicode MS" w:cs="Arial Unicode MS"/>
          <w:color w:val="2B477B"/>
        </w:rPr>
        <w:t>.</w:t>
      </w:r>
      <w:r>
        <w:rPr>
          <w:color w:val="2B477B"/>
        </w:rPr>
        <w:t>4</w:t>
      </w:r>
      <w:r>
        <w:rPr>
          <w:rFonts w:ascii="Arial Unicode MS" w:eastAsia="Arial Unicode MS" w:hAnsi="Arial Unicode MS" w:cs="Arial Unicode MS"/>
          <w:color w:val="2B477B"/>
        </w:rPr>
        <w:t>.a);</w:t>
      </w:r>
      <w:r>
        <w:rPr>
          <w:color w:val="2B477B"/>
        </w:rPr>
        <w:t xml:space="preserve"> </w:t>
      </w:r>
      <w:hyperlink r:id="rId44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Instituciones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Procedimientos</w:t>
        </w:r>
        <w:r>
          <w:rPr>
            <w:color w:val="2B477B"/>
          </w:rPr>
          <w:t xml:space="preserve"> </w:t>
        </w:r>
        <w:r>
          <w:rPr>
            <w:rFonts w:ascii="Arial Unicode MS" w:eastAsia="Arial Unicode MS" w:hAnsi="Arial Unicode MS" w:cs="Arial Unicode MS"/>
            <w:color w:val="2B477B"/>
          </w:rPr>
          <w:t>Electorales</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art.</w:t>
      </w:r>
      <w:r>
        <w:rPr>
          <w:color w:val="2B477B"/>
        </w:rPr>
        <w:t xml:space="preserve"> 280</w:t>
      </w:r>
      <w:r>
        <w:rPr>
          <w:rFonts w:ascii="Arial Unicode MS" w:eastAsia="Arial Unicode MS" w:hAnsi="Arial Unicode MS" w:cs="Arial Unicode MS"/>
          <w:color w:val="2B477B"/>
        </w:rPr>
        <w:t>;</w:t>
      </w:r>
      <w:r>
        <w:rPr>
          <w:color w:val="2B477B"/>
        </w:rPr>
        <w:t xml:space="preserve"> </w:t>
      </w:r>
      <w:hyperlink r:id="rId448"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Nicaragua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134</w:t>
      </w:r>
      <w:r>
        <w:rPr>
          <w:rFonts w:ascii="Arial Unicode MS" w:eastAsia="Arial Unicode MS" w:hAnsi="Arial Unicode MS" w:cs="Arial Unicode MS"/>
          <w:color w:val="2B477B"/>
        </w:rPr>
        <w:t>,</w:t>
      </w:r>
      <w:r>
        <w:rPr>
          <w:color w:val="2B477B"/>
        </w:rPr>
        <w:t xml:space="preserve"> 147 </w:t>
      </w:r>
      <w:r>
        <w:rPr>
          <w:rFonts w:ascii="Arial Unicode MS" w:eastAsia="Arial Unicode MS" w:hAnsi="Arial Unicode MS" w:cs="Arial Unicode MS"/>
          <w:color w:val="2B477B"/>
        </w:rPr>
        <w:t>y</w:t>
      </w:r>
      <w:r>
        <w:rPr>
          <w:color w:val="2B477B"/>
        </w:rPr>
        <w:t xml:space="preserve"> 171</w:t>
      </w:r>
      <w:r>
        <w:rPr>
          <w:rFonts w:ascii="Arial Unicode MS" w:eastAsia="Arial Unicode MS" w:hAnsi="Arial Unicode MS" w:cs="Arial Unicode MS"/>
          <w:color w:val="2B477B"/>
        </w:rPr>
        <w:t>;</w:t>
      </w:r>
      <w:r>
        <w:rPr>
          <w:color w:val="2B477B"/>
        </w:rPr>
        <w:t xml:space="preserve"> </w:t>
      </w:r>
      <w:hyperlink r:id="rId449"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228</w:t>
      </w:r>
      <w:r>
        <w:rPr>
          <w:rFonts w:ascii="Arial Unicode MS" w:eastAsia="Arial Unicode MS" w:hAnsi="Arial Unicode MS" w:cs="Arial Unicode MS"/>
          <w:color w:val="2B477B"/>
        </w:rPr>
        <w:t>;</w:t>
      </w:r>
      <w:r>
        <w:rPr>
          <w:color w:val="2B477B"/>
        </w:rPr>
        <w:t xml:space="preserve"> </w:t>
      </w:r>
      <w:hyperlink r:id="rId450"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hyperlink>
      <w:r>
        <w:rPr>
          <w:color w:val="2B477B"/>
        </w:rPr>
        <w:t xml:space="preserve"> </w:t>
      </w:r>
      <w:r>
        <w:rPr>
          <w:rFonts w:ascii="Arial Unicode MS" w:eastAsia="Arial Unicode MS" w:hAnsi="Arial Unicode MS" w:cs="Arial Unicode MS"/>
          <w:color w:val="2B477B"/>
        </w:rPr>
        <w:t>artículos</w:t>
      </w:r>
      <w:r>
        <w:rPr>
          <w:color w:val="2B477B"/>
        </w:rPr>
        <w:t xml:space="preserve"> 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45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Electoral</w:t>
        </w:r>
        <w:r>
          <w:rPr>
            <w:color w:val="2B477B"/>
          </w:rPr>
          <w:t xml:space="preserve"> 275</w:t>
        </w:r>
      </w:hyperlink>
      <w:r>
        <w:rPr>
          <w:rFonts w:ascii="Arial Unicode MS" w:eastAsia="Arial Unicode MS" w:hAnsi="Arial Unicode MS" w:cs="Arial Unicode MS"/>
          <w:color w:val="2B477B"/>
        </w:rPr>
        <w:t>,</w:t>
      </w:r>
      <w:r>
        <w:rPr>
          <w:color w:val="2B477B"/>
        </w:rPr>
        <w:t xml:space="preserve"> 18</w:t>
      </w:r>
      <w:r>
        <w:rPr>
          <w:rFonts w:ascii="Arial Unicode MS" w:eastAsia="Arial Unicode MS" w:hAnsi="Arial Unicode MS" w:cs="Arial Unicode MS"/>
          <w:color w:val="2B477B"/>
        </w:rPr>
        <w:t>;</w:t>
      </w:r>
      <w:r>
        <w:rPr>
          <w:color w:val="2B477B"/>
        </w:rPr>
        <w:t xml:space="preserve"> </w:t>
      </w:r>
      <w:hyperlink r:id="rId452" w:history="1">
        <w:r>
          <w:rPr>
            <w:rFonts w:ascii="Arial Unicode MS" w:eastAsia="Arial Unicode MS" w:hAnsi="Arial Unicode MS" w:cs="Arial Unicode MS"/>
            <w:color w:val="2B477B"/>
          </w:rPr>
          <w:t>Constitución</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color w:val="2B477B"/>
        </w:rPr>
        <w:t xml:space="preserve"> </w:t>
      </w:r>
      <w:r>
        <w:rPr>
          <w:rFonts w:ascii="Arial Unicode MS" w:eastAsia="Arial Unicode MS" w:hAnsi="Arial Unicode MS" w:cs="Arial Unicode MS"/>
          <w:color w:val="2B477B"/>
        </w:rPr>
        <w:t>arts.</w:t>
      </w:r>
      <w:r>
        <w:rPr>
          <w:color w:val="2B477B"/>
        </w:rPr>
        <w:t xml:space="preserve"> 35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Mental</w:t>
      </w:r>
      <w:r>
        <w:rPr>
          <w:color w:val="2B477B"/>
        </w:rPr>
        <w:t xml:space="preserve"> </w:t>
      </w:r>
      <w:hyperlink r:id="rId453" w:history="1">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hyperlink r:id="rId454" w:history="1">
        <w:r>
          <w:rPr>
            <w:rFonts w:ascii="Arial Unicode MS" w:eastAsia="Arial Unicode MS" w:hAnsi="Arial Unicode MS" w:cs="Arial Unicode MS"/>
            <w:color w:val="2B477B"/>
          </w:rPr>
          <w:t>,</w:t>
        </w:r>
        <w:r>
          <w:rPr>
            <w:color w:val="2B477B"/>
          </w:rPr>
          <w:t xml:space="preserve"> </w:t>
        </w:r>
      </w:hyperlink>
      <w:r>
        <w:rPr>
          <w:rFonts w:ascii="Arial Unicode MS" w:eastAsia="Arial Unicode MS" w:hAnsi="Arial Unicode MS" w:cs="Arial Unicode MS"/>
          <w:color w:val="2B477B"/>
        </w:rPr>
        <w:t>arts.</w:t>
      </w:r>
      <w:r>
        <w:rPr>
          <w:color w:val="2B477B"/>
        </w:rPr>
        <w:t xml:space="preserve"> 42</w:t>
      </w:r>
      <w:r>
        <w:rPr>
          <w:rFonts w:ascii="Arial Unicode MS" w:eastAsia="Arial Unicode MS" w:hAnsi="Arial Unicode MS" w:cs="Arial Unicode MS"/>
          <w:color w:val="2B477B"/>
        </w:rPr>
        <w:t>,</w:t>
      </w:r>
      <w:r>
        <w:rPr>
          <w:color w:val="2B477B"/>
        </w:rPr>
        <w:t xml:space="preserve"> 43</w:t>
      </w:r>
      <w:r>
        <w:rPr>
          <w:rFonts w:ascii="Arial Unicode MS" w:eastAsia="Arial Unicode MS" w:hAnsi="Arial Unicode MS" w:cs="Arial Unicode MS"/>
          <w:color w:val="2B477B"/>
        </w:rPr>
        <w:t>,</w:t>
      </w:r>
      <w:r>
        <w:rPr>
          <w:color w:val="2B477B"/>
        </w:rPr>
        <w:t xml:space="preserve"> 48 </w:t>
      </w:r>
      <w:r>
        <w:rPr>
          <w:rFonts w:ascii="Arial Unicode MS" w:eastAsia="Arial Unicode MS" w:hAnsi="Arial Unicode MS" w:cs="Arial Unicode MS"/>
          <w:color w:val="2B477B"/>
        </w:rPr>
        <w:t>y</w:t>
      </w:r>
      <w:r>
        <w:rPr>
          <w:color w:val="2B477B"/>
        </w:rPr>
        <w:t xml:space="preserve"> 49</w:t>
      </w:r>
      <w:r>
        <w:rPr>
          <w:rFonts w:ascii="Arial Unicode MS" w:eastAsia="Arial Unicode MS" w:hAnsi="Arial Unicode MS" w:cs="Arial Unicode MS"/>
          <w:color w:val="2B477B"/>
        </w:rPr>
        <w:t>;</w:t>
      </w:r>
      <w:r>
        <w:rPr>
          <w:color w:val="2B477B"/>
        </w:rPr>
        <w:t xml:space="preserve"> </w:t>
      </w:r>
      <w:hyperlink r:id="rId455" w:history="1">
        <w:r>
          <w:rPr>
            <w:rFonts w:ascii="Arial Unicode MS" w:eastAsia="Arial Unicode MS" w:hAnsi="Arial Unicode MS" w:cs="Arial Unicode MS"/>
            <w:color w:val="2B477B"/>
          </w:rPr>
          <w:t>Ley</w:t>
        </w:r>
        <w:r>
          <w:rPr>
            <w:color w:val="2B477B"/>
          </w:rPr>
          <w:t xml:space="preserve"> 7</w:t>
        </w:r>
        <w:r>
          <w:rPr>
            <w:rFonts w:ascii="Arial Unicode MS" w:eastAsia="Arial Unicode MS" w:hAnsi="Arial Unicode MS" w:cs="Arial Unicode MS"/>
            <w:color w:val="2B477B"/>
          </w:rPr>
          <w:t>.</w:t>
        </w:r>
        <w:r>
          <w:rPr>
            <w:color w:val="2B477B"/>
          </w:rPr>
          <w:t>812</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art.</w:t>
      </w:r>
      <w:r>
        <w:rPr>
          <w:color w:val="2B477B"/>
        </w:rPr>
        <w:t xml:space="preserve"> 33</w:t>
      </w:r>
      <w:r>
        <w:rPr>
          <w:rFonts w:ascii="Arial Unicode MS" w:eastAsia="Arial Unicode MS" w:hAnsi="Arial Unicode MS" w:cs="Arial Unicode MS"/>
          <w:color w:val="2B477B"/>
        </w:rPr>
        <w:t>;</w:t>
      </w:r>
      <w:r>
        <w:rPr>
          <w:color w:val="2B477B"/>
        </w:rPr>
        <w:t xml:space="preserve"> </w:t>
      </w:r>
      <w:hyperlink r:id="rId456" w:history="1">
        <w:r>
          <w:rPr>
            <w:rFonts w:ascii="Arial Unicode MS" w:eastAsia="Arial Unicode MS" w:hAnsi="Arial Unicode MS" w:cs="Arial Unicode MS"/>
            <w:color w:val="2B477B"/>
          </w:rPr>
          <w:t>Constitución</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arts.</w:t>
      </w:r>
      <w:r>
        <w:rPr>
          <w:color w:val="2B477B"/>
        </w:rPr>
        <w:t xml:space="preserve"> 39 </w:t>
      </w:r>
      <w:r>
        <w:rPr>
          <w:rFonts w:ascii="Arial Unicode MS" w:eastAsia="Arial Unicode MS" w:hAnsi="Arial Unicode MS" w:cs="Arial Unicode MS"/>
          <w:color w:val="2B477B"/>
        </w:rPr>
        <w:t>y</w:t>
      </w:r>
      <w:r>
        <w:rPr>
          <w:color w:val="2B477B"/>
        </w:rPr>
        <w:t xml:space="preserve"> </w:t>
      </w:r>
      <w:hyperlink r:id="rId45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Procesos</w:t>
        </w:r>
        <w:r>
          <w:rPr>
            <w:color w:val="2B477B"/>
          </w:rPr>
          <w:t xml:space="preserve"> </w:t>
        </w:r>
        <w:r>
          <w:rPr>
            <w:rFonts w:ascii="Arial Unicode MS" w:eastAsia="Arial Unicode MS" w:hAnsi="Arial Unicode MS" w:cs="Arial Unicode MS"/>
            <w:color w:val="2B477B"/>
          </w:rPr>
          <w:t>electorales,</w:t>
        </w:r>
        <w:r>
          <w:rPr>
            <w:color w:val="2B477B"/>
          </w:rPr>
          <w:t xml:space="preserve"> </w:t>
        </w:r>
        <w:r>
          <w:rPr>
            <w:rFonts w:ascii="Arial Unicode MS" w:eastAsia="Arial Unicode MS" w:hAnsi="Arial Unicode MS" w:cs="Arial Unicode MS"/>
            <w:color w:val="2B477B"/>
          </w:rPr>
          <w:t>arts.</w:t>
        </w:r>
        <w:r>
          <w:rPr>
            <w:color w:val="2B477B"/>
          </w:rPr>
          <w:t xml:space="preserve"> 64 </w:t>
        </w:r>
        <w:r>
          <w:rPr>
            <w:rFonts w:ascii="Arial Unicode MS" w:eastAsia="Arial Unicode MS" w:hAnsi="Arial Unicode MS" w:cs="Arial Unicode MS"/>
            <w:color w:val="2B477B"/>
          </w:rPr>
          <w:t>y</w:t>
        </w:r>
        <w:r>
          <w:rPr>
            <w:color w:val="2B477B"/>
          </w:rPr>
          <w:t xml:space="preserve"> 100</w:t>
        </w:r>
        <w:r>
          <w:rPr>
            <w:rFonts w:ascii="Arial Unicode MS" w:eastAsia="Arial Unicode MS" w:hAnsi="Arial Unicode MS" w:cs="Arial Unicode MS"/>
            <w:color w:val="2B477B"/>
          </w:rPr>
          <w:t>.</w:t>
        </w:r>
        <w:r>
          <w:rPr>
            <w:color w:val="2B477B"/>
          </w:rPr>
          <w:t xml:space="preserve"> </w:t>
        </w:r>
      </w:hyperlink>
    </w:p>
  </w:footnote>
  <w:footnote w:id="234">
    <w:p w14:paraId="632AC48A" w14:textId="77777777" w:rsidR="001A105D" w:rsidRDefault="00000000">
      <w:pPr>
        <w:pStyle w:val="Body"/>
        <w:jc w:val="left"/>
      </w:pPr>
      <w:r>
        <w:rPr>
          <w:rStyle w:val="None"/>
          <w:color w:val="2B477B"/>
          <w:vertAlign w:val="superscript"/>
        </w:rPr>
        <w:footnoteRef/>
      </w:r>
      <w:r>
        <w:rPr>
          <w:rStyle w:val="None"/>
          <w:color w:val="2B477B"/>
          <w:vertAlign w:val="superscript"/>
        </w:rPr>
        <w:t xml:space="preserve"> </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Americanos</w:t>
      </w:r>
      <w:r>
        <w:rPr>
          <w:color w:val="2B477B"/>
        </w:rPr>
        <w:t xml:space="preserve"> </w:t>
      </w:r>
      <w:r>
        <w:rPr>
          <w:rFonts w:ascii="Arial Unicode MS" w:eastAsia="Arial Unicode MS" w:hAnsi="Arial Unicode MS" w:cs="Arial Unicode MS"/>
          <w:color w:val="2B477B"/>
        </w:rPr>
        <w:t>(OEA),</w:t>
      </w:r>
      <w:r>
        <w:rPr>
          <w:color w:val="2B477B"/>
        </w:rPr>
        <w:t xml:space="preserve"> </w:t>
      </w:r>
      <w:hyperlink r:id="rId458"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Americana</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Humanos</w:t>
        </w:r>
      </w:hyperlink>
      <w:r>
        <w:rPr>
          <w:rFonts w:ascii="Arial Unicode MS" w:eastAsia="Arial Unicode MS" w:hAnsi="Arial Unicode MS" w:cs="Arial Unicode MS"/>
          <w:color w:val="2B477B"/>
        </w:rPr>
        <w:t>,</w:t>
      </w:r>
      <w:r>
        <w:rPr>
          <w:color w:val="2B477B"/>
        </w:rPr>
        <w:t xml:space="preserve"> 1969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w:t>
      </w:r>
      <w:r>
        <w:rPr>
          <w:rFonts w:ascii="Arial Unicode MS" w:eastAsia="Arial Unicode MS" w:hAnsi="Arial Unicode MS" w:cs="Arial Unicode MS"/>
          <w:color w:val="2B477B"/>
        </w:rPr>
        <w:t>,</w:t>
      </w:r>
      <w:r>
        <w:rPr>
          <w:color w:val="2B477B"/>
        </w:rPr>
        <w:t xml:space="preserve"> 2</w:t>
      </w:r>
      <w:r>
        <w:rPr>
          <w:rFonts w:ascii="Arial Unicode MS" w:eastAsia="Arial Unicode MS" w:hAnsi="Arial Unicode MS" w:cs="Arial Unicode MS"/>
          <w:color w:val="2B477B"/>
        </w:rPr>
        <w:t>,</w:t>
      </w:r>
      <w:r>
        <w:rPr>
          <w:color w:val="2B477B"/>
        </w:rPr>
        <w:t xml:space="preserve"> 3</w:t>
      </w:r>
      <w:r>
        <w:rPr>
          <w:rFonts w:ascii="Arial Unicode MS" w:eastAsia="Arial Unicode MS" w:hAnsi="Arial Unicode MS" w:cs="Arial Unicode MS"/>
          <w:color w:val="2B477B"/>
        </w:rPr>
        <w:t>,</w:t>
      </w:r>
      <w:r>
        <w:rPr>
          <w:color w:val="2B477B"/>
        </w:rPr>
        <w:t xml:space="preserve"> 7</w:t>
      </w:r>
      <w:r>
        <w:rPr>
          <w:rFonts w:ascii="Arial Unicode MS" w:eastAsia="Arial Unicode MS" w:hAnsi="Arial Unicode MS" w:cs="Arial Unicode MS"/>
          <w:color w:val="2B477B"/>
        </w:rPr>
        <w:t>,</w:t>
      </w:r>
      <w:r>
        <w:rPr>
          <w:color w:val="2B477B"/>
        </w:rPr>
        <w:t xml:space="preserve"> 18</w:t>
      </w:r>
      <w:r>
        <w:rPr>
          <w:rFonts w:ascii="Arial Unicode MS" w:eastAsia="Arial Unicode MS" w:hAnsi="Arial Unicode MS" w:cs="Arial Unicode MS"/>
          <w:color w:val="2B477B"/>
        </w:rPr>
        <w:t>,</w:t>
      </w:r>
      <w:r>
        <w:rPr>
          <w:color w:val="2B477B"/>
        </w:rPr>
        <w:t xml:space="preserve"> 23</w:t>
      </w:r>
      <w:r>
        <w:rPr>
          <w:rFonts w:ascii="Arial Unicode MS" w:eastAsia="Arial Unicode MS" w:hAnsi="Arial Unicode MS" w:cs="Arial Unicode MS"/>
          <w:color w:val="2B477B"/>
        </w:rPr>
        <w:t>,</w:t>
      </w:r>
      <w:r>
        <w:rPr>
          <w:color w:val="2B477B"/>
        </w:rPr>
        <w:t xml:space="preserve"> 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w:t>
      </w:r>
      <w:hyperlink r:id="rId459" w:history="1">
        <w:r>
          <w:rPr>
            <w:rStyle w:val="Hyperlink1"/>
            <w:rFonts w:ascii="Arial Unicode MS" w:eastAsia="Arial Unicode MS" w:hAnsi="Arial Unicode MS" w:cs="Arial Unicode MS"/>
            <w:u w:val="single"/>
          </w:rPr>
          <w:t>onvención</w:t>
        </w:r>
        <w:r>
          <w:rPr>
            <w:rStyle w:val="Hyperlink1"/>
            <w:u w:val="single"/>
          </w:rPr>
          <w:t xml:space="preserve"> </w:t>
        </w:r>
        <w:r>
          <w:rPr>
            <w:rStyle w:val="Hyperlink1"/>
            <w:rFonts w:ascii="Arial Unicode MS" w:eastAsia="Arial Unicode MS" w:hAnsi="Arial Unicode MS" w:cs="Arial Unicode MS"/>
            <w:u w:val="single"/>
          </w:rPr>
          <w:t>Interamericana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Eliminación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todas</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formas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contra</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artículo</w:t>
      </w:r>
      <w:r>
        <w:rPr>
          <w:color w:val="2B477B"/>
        </w:rPr>
        <w:t xml:space="preserve"> 1</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reinterpretado</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CEDDIS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(ONU),</w:t>
      </w:r>
      <w:r>
        <w:rPr>
          <w:color w:val="2B477B"/>
        </w:rPr>
        <w:t xml:space="preserve"> </w:t>
      </w:r>
      <w:hyperlink r:id="rId460"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12</w:t>
      </w:r>
      <w:r>
        <w:rPr>
          <w:rFonts w:ascii="Arial Unicode MS" w:eastAsia="Arial Unicode MS" w:hAnsi="Arial Unicode MS" w:cs="Arial Unicode MS"/>
          <w:color w:val="2B477B"/>
        </w:rPr>
        <w:t>,</w:t>
      </w:r>
      <w:r>
        <w:rPr>
          <w:color w:val="2B477B"/>
        </w:rPr>
        <w:t xml:space="preserve"> 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33</w:t>
      </w:r>
      <w:r>
        <w:rPr>
          <w:rFonts w:ascii="Arial Unicode MS" w:eastAsia="Arial Unicode MS" w:hAnsi="Arial Unicode MS" w:cs="Arial Unicode MS"/>
          <w:color w:val="2B477B"/>
        </w:rPr>
        <w:t>.b.</w:t>
      </w:r>
      <w:r>
        <w:rPr>
          <w:color w:val="2B477B"/>
        </w:rPr>
        <w:t xml:space="preserve"> </w:t>
      </w:r>
    </w:p>
  </w:footnote>
  <w:footnote w:id="235">
    <w:p w14:paraId="7AC2C67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CEDDIS-OEA,</w:t>
      </w:r>
      <w:r>
        <w:rPr>
          <w:color w:val="2B477B"/>
        </w:rPr>
        <w:t xml:space="preserve"> </w:t>
      </w:r>
      <w:hyperlink r:id="rId461"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necesidad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interpretar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I.</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In</w:t>
        </w:r>
        <w:r>
          <w:rPr>
            <w:color w:val="2B477B"/>
          </w:rPr>
          <w:t xml:space="preserve"> </w:t>
        </w:r>
        <w:r>
          <w:rPr>
            <w:rFonts w:ascii="Arial Unicode MS" w:eastAsia="Arial Unicode MS" w:hAnsi="Arial Unicode MS" w:cs="Arial Unicode MS"/>
            <w:color w:val="2B477B"/>
          </w:rPr>
          <w:t>fine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w:t>
        </w:r>
      </w:hyperlink>
      <w:hyperlink r:id="rId462" w:history="1">
        <w:r>
          <w:rPr>
            <w:rFonts w:ascii="Arial Unicode MS" w:eastAsia="Arial Unicode MS" w:hAnsi="Arial Unicode MS" w:cs="Arial Unicode MS"/>
            <w:color w:val="2B477B"/>
          </w:rPr>
          <w:t>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artículo</w:t>
      </w:r>
      <w:r>
        <w:rPr>
          <w:color w:val="2B477B"/>
        </w:rPr>
        <w:t xml:space="preserve"> 12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CEDDIS</w:t>
      </w:r>
      <w:r>
        <w:rPr>
          <w:color w:val="2B477B"/>
        </w:rPr>
        <w:t>/</w:t>
      </w:r>
      <w:r>
        <w:rPr>
          <w:rFonts w:ascii="Arial Unicode MS" w:eastAsia="Arial Unicode MS" w:hAnsi="Arial Unicode MS" w:cs="Arial Unicode MS"/>
          <w:color w:val="2B477B"/>
        </w:rPr>
        <w:t>doc.</w:t>
      </w:r>
      <w:r>
        <w:rPr>
          <w:color w:val="2B477B"/>
        </w:rPr>
        <w:t xml:space="preserve">12 </w:t>
      </w:r>
      <w:r>
        <w:rPr>
          <w:rFonts w:ascii="Arial Unicode MS" w:eastAsia="Arial Unicode MS" w:hAnsi="Arial Unicode MS" w:cs="Arial Unicode MS"/>
          <w:color w:val="2B477B"/>
        </w:rPr>
        <w:t>(I-E</w:t>
      </w:r>
      <w:r>
        <w:rPr>
          <w:color w:val="2B477B"/>
        </w:rPr>
        <w:t>/11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Rev.</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Ser.L</w:t>
      </w:r>
      <w:r>
        <w:rPr>
          <w:color w:val="2B477B"/>
        </w:rPr>
        <w:t>/</w:t>
      </w:r>
      <w:r>
        <w:rPr>
          <w:rFonts w:ascii="Arial Unicode MS" w:eastAsia="Arial Unicode MS" w:hAnsi="Arial Unicode MS" w:cs="Arial Unicode MS"/>
          <w:color w:val="2B477B"/>
        </w:rPr>
        <w:t>XXIV.</w:t>
      </w:r>
      <w:r>
        <w:rPr>
          <w:color w:val="2B477B"/>
        </w:rPr>
        <w:t>3</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r>
        <w:rPr>
          <w:color w:val="2B477B"/>
        </w:rPr>
        <w:t xml:space="preserve"> 28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2011</w:t>
      </w:r>
      <w:r>
        <w:rPr>
          <w:rFonts w:ascii="Arial Unicode MS" w:eastAsia="Arial Unicode MS" w:hAnsi="Arial Unicode MS" w:cs="Arial Unicode MS"/>
          <w:color w:val="2B477B"/>
        </w:rPr>
        <w:t>.</w:t>
      </w:r>
      <w:r>
        <w:rPr>
          <w:color w:val="2B477B"/>
        </w:rPr>
        <w:t xml:space="preserve"> </w:t>
      </w:r>
    </w:p>
  </w:footnote>
  <w:footnote w:id="236">
    <w:p w14:paraId="1D447F0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NU,</w:t>
      </w:r>
      <w:r>
        <w:rPr>
          <w:color w:val="2B477B"/>
        </w:rPr>
        <w:t xml:space="preserve"> </w:t>
      </w:r>
      <w:hyperlink r:id="rId463"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Style w:val="Hyperlink1"/>
          <w:u w:val="single"/>
        </w:rPr>
        <w:t xml:space="preserve"> </w:t>
      </w:r>
      <w:r>
        <w:rPr>
          <w:rStyle w:val="Hyperlink1"/>
          <w:rFonts w:ascii="Arial Unicode MS" w:eastAsia="Arial Unicode MS" w:hAnsi="Arial Unicode MS" w:cs="Arial Unicode MS"/>
          <w:u w:val="single"/>
        </w:rPr>
        <w:t>(CDPD)</w:t>
      </w:r>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29</w:t>
      </w:r>
      <w:r>
        <w:rPr>
          <w:rFonts w:ascii="Arial Unicode MS" w:eastAsia="Arial Unicode MS" w:hAnsi="Arial Unicode MS" w:cs="Arial Unicode MS"/>
          <w:color w:val="2B477B"/>
        </w:rPr>
        <w:t>.</w:t>
      </w:r>
    </w:p>
  </w:footnote>
  <w:footnote w:id="237">
    <w:p w14:paraId="67C9E138" w14:textId="77777777" w:rsidR="001A105D" w:rsidRDefault="00000000">
      <w:pPr>
        <w:pStyle w:val="Body"/>
        <w:jc w:val="left"/>
      </w:pPr>
      <w:r>
        <w:rPr>
          <w:rStyle w:val="None"/>
          <w:color w:val="2B477B"/>
          <w:vertAlign w:val="superscript"/>
        </w:rPr>
        <w:footnoteRef/>
      </w:r>
      <w:r>
        <w:rPr>
          <w:rStyle w:val="None"/>
          <w:color w:val="2B477B"/>
          <w:vertAlign w:val="superscript"/>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NU,</w:t>
      </w:r>
      <w:r>
        <w:rPr>
          <w:color w:val="2B477B"/>
        </w:rPr>
        <w:t xml:space="preserve"> </w:t>
      </w:r>
      <w:hyperlink r:id="rId464" w:history="1">
        <w:r>
          <w:rPr>
            <w:rStyle w:val="Hyperlink1"/>
            <w:rFonts w:ascii="Arial Unicode MS" w:eastAsia="Arial Unicode MS" w:hAnsi="Arial Unicode MS" w:cs="Arial Unicode MS"/>
            <w:u w:val="single"/>
          </w:rPr>
          <w:t>CDPD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29</w:t>
      </w:r>
      <w:r>
        <w:rPr>
          <w:rFonts w:ascii="Arial Unicode MS" w:eastAsia="Arial Unicode MS" w:hAnsi="Arial Unicode MS" w:cs="Arial Unicode MS"/>
          <w:color w:val="2B477B"/>
        </w:rPr>
        <w:t>.</w:t>
      </w:r>
    </w:p>
  </w:footnote>
  <w:footnote w:id="238">
    <w:p w14:paraId="46D20B9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hyperlink r:id="rId465" w:history="1">
        <w:r>
          <w:rPr>
            <w:rStyle w:val="Hyperlink1"/>
            <w:rFonts w:ascii="Arial Unicode MS" w:eastAsia="Arial Unicode MS" w:hAnsi="Arial Unicode MS" w:cs="Arial Unicode MS"/>
            <w:u w:val="single"/>
          </w:rPr>
          <w:t>Protocolo</w:t>
        </w:r>
        <w:r>
          <w:rPr>
            <w:rStyle w:val="Hyperlink1"/>
            <w:u w:val="single"/>
          </w:rPr>
          <w:t xml:space="preserve"> </w:t>
        </w:r>
        <w:r>
          <w:rPr>
            <w:rStyle w:val="Hyperlink1"/>
            <w:rFonts w:ascii="Arial Unicode MS" w:eastAsia="Arial Unicode MS" w:hAnsi="Arial Unicode MS" w:cs="Arial Unicode MS"/>
            <w:u w:val="single"/>
          </w:rPr>
          <w:t>Adicional</w:t>
        </w:r>
        <w:r>
          <w:rPr>
            <w:rStyle w:val="Hyperlink1"/>
            <w:u w:val="single"/>
          </w:rPr>
          <w:t xml:space="preserve"> </w:t>
        </w:r>
        <w:r>
          <w:rPr>
            <w:rStyle w:val="Hyperlink1"/>
            <w:rFonts w:ascii="Arial Unicode MS" w:eastAsia="Arial Unicode MS" w:hAnsi="Arial Unicode MS" w:cs="Arial Unicode MS"/>
            <w:u w:val="single"/>
          </w:rPr>
          <w:t>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Americana</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Humanos</w:t>
        </w:r>
        <w:r>
          <w:rPr>
            <w:rStyle w:val="Hyperlink1"/>
            <w:u w:val="single"/>
          </w:rPr>
          <w:t xml:space="preserve"> </w:t>
        </w:r>
        <w:r>
          <w:rPr>
            <w:rStyle w:val="Hyperlink1"/>
            <w:rFonts w:ascii="Arial Unicode MS" w:eastAsia="Arial Unicode MS" w:hAnsi="Arial Unicode MS" w:cs="Arial Unicode MS"/>
            <w:u w:val="single"/>
          </w:rPr>
          <w:t>en</w:t>
        </w:r>
        <w:r>
          <w:rPr>
            <w:rStyle w:val="Hyperlink1"/>
            <w:u w:val="single"/>
          </w:rPr>
          <w:t xml:space="preserve"> </w:t>
        </w:r>
        <w:r>
          <w:rPr>
            <w:rStyle w:val="Hyperlink1"/>
            <w:rFonts w:ascii="Arial Unicode MS" w:eastAsia="Arial Unicode MS" w:hAnsi="Arial Unicode MS" w:cs="Arial Unicode MS"/>
            <w:u w:val="single"/>
          </w:rPr>
          <w:t>materia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Económicos,</w:t>
        </w:r>
        <w:r>
          <w:rPr>
            <w:rStyle w:val="Hyperlink1"/>
            <w:u w:val="single"/>
          </w:rPr>
          <w:t xml:space="preserve"> </w:t>
        </w:r>
        <w:r>
          <w:rPr>
            <w:rStyle w:val="Hyperlink1"/>
            <w:rFonts w:ascii="Arial Unicode MS" w:eastAsia="Arial Unicode MS" w:hAnsi="Arial Unicode MS" w:cs="Arial Unicode MS"/>
            <w:u w:val="single"/>
          </w:rPr>
          <w:t>Sociales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Culturales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San</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art.</w:t>
      </w:r>
      <w:r>
        <w:rPr>
          <w:color w:val="2B477B"/>
        </w:rPr>
        <w:t xml:space="preserve"> 10</w:t>
      </w:r>
      <w:r>
        <w:rPr>
          <w:rFonts w:ascii="Arial Unicode MS" w:eastAsia="Arial Unicode MS" w:hAnsi="Arial Unicode MS" w:cs="Arial Unicode MS"/>
          <w:color w:val="2B477B"/>
        </w:rPr>
        <w:t>.</w:t>
      </w:r>
    </w:p>
  </w:footnote>
  <w:footnote w:id="239">
    <w:p w14:paraId="03138F6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466" w:history="1">
        <w:r>
          <w:rPr>
            <w:rStyle w:val="Hyperlink1"/>
            <w:rFonts w:ascii="Arial Unicode MS" w:eastAsia="Arial Unicode MS" w:hAnsi="Arial Unicode MS" w:cs="Arial Unicode MS"/>
            <w:u w:val="single"/>
          </w:rPr>
          <w:t>CD</w:t>
        </w:r>
        <w:r>
          <w:rPr>
            <w:rStyle w:val="Hyperlink1"/>
            <w:u w:val="single"/>
          </w:rPr>
          <w:t xml:space="preserve"> </w:t>
        </w:r>
        <w:r>
          <w:rPr>
            <w:rStyle w:val="Hyperlink1"/>
            <w:rFonts w:ascii="Arial Unicode MS" w:eastAsia="Arial Unicode MS" w:hAnsi="Arial Unicode MS" w:cs="Arial Unicode MS"/>
            <w:u w:val="single"/>
          </w:rPr>
          <w:t>PD</w:t>
        </w:r>
      </w:hyperlink>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25 </w:t>
      </w:r>
      <w:r>
        <w:rPr>
          <w:rFonts w:ascii="Arial Unicode MS" w:eastAsia="Arial Unicode MS" w:hAnsi="Arial Unicode MS" w:cs="Arial Unicode MS"/>
          <w:color w:val="2B477B"/>
        </w:rPr>
        <w:t>y</w:t>
      </w:r>
      <w:r>
        <w:rPr>
          <w:color w:val="2B477B"/>
        </w:rPr>
        <w:t xml:space="preserve"> 26</w:t>
      </w:r>
      <w:r>
        <w:rPr>
          <w:rFonts w:ascii="Arial Unicode MS" w:eastAsia="Arial Unicode MS" w:hAnsi="Arial Unicode MS" w:cs="Arial Unicode MS"/>
          <w:color w:val="2B477B"/>
        </w:rPr>
        <w:t>.</w:t>
      </w:r>
      <w:r>
        <w:rPr>
          <w:color w:val="2B477B"/>
        </w:rPr>
        <w:t xml:space="preserve"> </w:t>
      </w:r>
    </w:p>
  </w:footnote>
  <w:footnote w:id="240">
    <w:p w14:paraId="20720DD5" w14:textId="77777777" w:rsidR="001A105D" w:rsidRDefault="00000000">
      <w:pPr>
        <w:pStyle w:val="Body"/>
        <w:jc w:val="left"/>
      </w:pPr>
      <w:r>
        <w:rPr>
          <w:rStyle w:val="None"/>
          <w:rFonts w:ascii="Helvetica LT Std Oblique" w:eastAsia="Helvetica LT Std Oblique" w:hAnsi="Helvetica LT Std Oblique" w:cs="Helvetica LT Std Obliqu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Senado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Cámara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Diputados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r>
        <w:rPr>
          <w:rFonts w:ascii="Arial Unicode MS" w:eastAsia="Arial Unicode MS" w:hAnsi="Arial Unicode MS" w:cs="Arial Unicode MS"/>
          <w:color w:val="2B477B"/>
        </w:rPr>
        <w:t>Argentina,</w:t>
      </w:r>
      <w:r>
        <w:rPr>
          <w:color w:val="2B477B"/>
        </w:rPr>
        <w:t xml:space="preserve"> </w:t>
      </w:r>
      <w:hyperlink r:id="rId467" w:history="1">
        <w:r>
          <w:rPr>
            <w:rFonts w:ascii="Arial Unicode MS" w:eastAsia="Arial Unicode MS" w:hAnsi="Arial Unicode MS" w:cs="Arial Unicode MS"/>
            <w:color w:val="2B477B"/>
          </w:rPr>
          <w:t>Ley</w:t>
        </w:r>
        <w:r>
          <w:rPr>
            <w:color w:val="2B477B"/>
          </w:rPr>
          <w:t xml:space="preserve"> 24</w:t>
        </w:r>
        <w:r>
          <w:rPr>
            <w:rFonts w:ascii="Arial Unicode MS" w:eastAsia="Arial Unicode MS" w:hAnsi="Arial Unicode MS" w:cs="Arial Unicode MS"/>
            <w:color w:val="2B477B"/>
          </w:rPr>
          <w:t>.</w:t>
        </w:r>
        <w:r>
          <w:rPr>
            <w:color w:val="2B477B"/>
          </w:rPr>
          <w:t>901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Prestaciones</w:t>
        </w:r>
        <w:r>
          <w:rPr>
            <w:color w:val="2B477B"/>
          </w:rPr>
          <w:t xml:space="preserve"> </w:t>
        </w:r>
        <w:r>
          <w:rPr>
            <w:rFonts w:ascii="Arial Unicode MS" w:eastAsia="Arial Unicode MS" w:hAnsi="Arial Unicode MS" w:cs="Arial Unicode MS"/>
            <w:color w:val="2B477B"/>
          </w:rPr>
          <w:t>Básicas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Habilitación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Rehabilitación</w:t>
        </w:r>
        <w:r>
          <w:rPr>
            <w:color w:val="2B477B"/>
          </w:rPr>
          <w:t xml:space="preserve"> </w:t>
        </w:r>
        <w:r>
          <w:rPr>
            <w:rFonts w:ascii="Arial Unicode MS" w:eastAsia="Arial Unicode MS" w:hAnsi="Arial Unicode MS" w:cs="Arial Unicode MS"/>
            <w:color w:val="2B477B"/>
          </w:rPr>
          <w:t>Integral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favor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promulgada</w:t>
      </w:r>
      <w:r>
        <w:rPr>
          <w:color w:val="2B477B"/>
        </w:rPr>
        <w:t xml:space="preserve"> </w:t>
      </w:r>
      <w:r>
        <w:rPr>
          <w:rFonts w:ascii="Arial Unicode MS" w:eastAsia="Arial Unicode MS" w:hAnsi="Arial Unicode MS" w:cs="Arial Unicode MS"/>
          <w:color w:val="2B477B"/>
        </w:rPr>
        <w:t>el</w:t>
      </w:r>
      <w:r>
        <w:rPr>
          <w:color w:val="2B477B"/>
        </w:rPr>
        <w:t xml:space="preserve"> 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1997</w:t>
      </w:r>
      <w:r>
        <w:rPr>
          <w:rFonts w:ascii="Arial Unicode MS" w:eastAsia="Arial Unicode MS" w:hAnsi="Arial Unicode MS" w:cs="Arial Unicode MS"/>
          <w:color w:val="2B477B"/>
        </w:rPr>
        <w:t>;</w:t>
      </w:r>
      <w:r>
        <w:rPr>
          <w:color w:val="2B477B"/>
        </w:rPr>
        <w:t xml:space="preserve"> </w:t>
      </w:r>
      <w:hyperlink r:id="rId468" w:history="1">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480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Prestaciones</w:t>
        </w:r>
        <w:r>
          <w:rPr>
            <w:color w:val="2B477B"/>
          </w:rPr>
          <w:t xml:space="preserve"> </w:t>
        </w:r>
        <w:r>
          <w:rPr>
            <w:rFonts w:ascii="Arial Unicode MS" w:eastAsia="Arial Unicode MS" w:hAnsi="Arial Unicode MS" w:cs="Arial Unicode MS"/>
            <w:color w:val="2B477B"/>
          </w:rPr>
          <w:t>Básicas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promulgada</w:t>
      </w:r>
      <w:r>
        <w:rPr>
          <w:color w:val="2B477B"/>
        </w:rPr>
        <w:t xml:space="preserve"> </w:t>
      </w:r>
      <w:r>
        <w:rPr>
          <w:rFonts w:ascii="Arial Unicode MS" w:eastAsia="Arial Unicode MS" w:hAnsi="Arial Unicode MS" w:cs="Arial Unicode MS"/>
          <w:color w:val="2B477B"/>
        </w:rPr>
        <w:t>el</w:t>
      </w:r>
      <w:r>
        <w:rPr>
          <w:color w:val="2B477B"/>
        </w:rPr>
        <w:t xml:space="preserve"> 30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2009</w:t>
      </w:r>
      <w:r>
        <w:rPr>
          <w:rFonts w:ascii="Arial Unicode MS" w:eastAsia="Arial Unicode MS" w:hAnsi="Arial Unicode MS" w:cs="Arial Unicode MS"/>
          <w:color w:val="2B477B"/>
        </w:rPr>
        <w:t>.</w:t>
      </w:r>
      <w:r>
        <w:rPr>
          <w:color w:val="2B477B"/>
        </w:rPr>
        <w:t xml:space="preserve"> </w:t>
      </w:r>
    </w:p>
  </w:footnote>
  <w:footnote w:id="241">
    <w:p w14:paraId="528977E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hyperlink r:id="rId469" w:history="1">
        <w:r>
          <w:rPr>
            <w:rStyle w:val="Hyperlink0"/>
            <w:rFonts w:ascii="Arial Unicode MS" w:eastAsia="Arial Unicode MS" w:hAnsi="Arial Unicode MS" w:cs="Arial Unicode MS"/>
          </w:rPr>
          <w:t>Person</w:t>
        </w:r>
        <w:r>
          <w:rPr>
            <w:rStyle w:val="Hyperlink0"/>
          </w:rPr>
          <w:t xml:space="preserve"> </w:t>
        </w:r>
        <w:r>
          <w:rPr>
            <w:rStyle w:val="Hyperlink0"/>
            <w:rFonts w:ascii="Arial Unicode MS" w:eastAsia="Arial Unicode MS" w:hAnsi="Arial Unicode MS" w:cs="Arial Unicode MS"/>
          </w:rPr>
          <w:t>with</w:t>
        </w:r>
        <w:r>
          <w:rPr>
            <w:rStyle w:val="Hyperlink0"/>
          </w:rPr>
          <w:t xml:space="preserve"> </w:t>
        </w:r>
        <w:r>
          <w:rPr>
            <w:rStyle w:val="Hyperlink0"/>
            <w:rFonts w:ascii="Arial Unicode MS" w:eastAsia="Arial Unicode MS" w:hAnsi="Arial Unicode MS" w:cs="Arial Unicode MS"/>
          </w:rPr>
          <w:t>Disabilities</w:t>
        </w:r>
        <w:r>
          <w:rPr>
            <w:rStyle w:val="Hyperlink0"/>
          </w:rPr>
          <w:t xml:space="preserve"> </w:t>
        </w:r>
        <w:r>
          <w:rPr>
            <w:rStyle w:val="Hyperlink0"/>
            <w:rFonts w:ascii="Arial Unicode MS" w:eastAsia="Arial Unicode MS" w:hAnsi="Arial Unicode MS" w:cs="Arial Unicode MS"/>
          </w:rPr>
          <w:t>(Equal</w:t>
        </w:r>
        <w:r>
          <w:rPr>
            <w:rStyle w:val="Hyperlink0"/>
          </w:rPr>
          <w:t xml:space="preserve"> </w:t>
        </w:r>
        <w:r>
          <w:rPr>
            <w:rStyle w:val="Hyperlink0"/>
            <w:rFonts w:ascii="Arial Unicode MS" w:eastAsia="Arial Unicode MS" w:hAnsi="Arial Unicode MS" w:cs="Arial Unicode MS"/>
          </w:rPr>
          <w:t>Opportunities)</w:t>
        </w:r>
      </w:hyperlink>
      <w:r>
        <w:rPr>
          <w:color w:val="2B477B"/>
        </w:rPr>
        <w:t xml:space="preserve"> </w:t>
      </w:r>
      <w:r>
        <w:rPr>
          <w:rFonts w:ascii="Arial Unicode MS" w:eastAsia="Arial Unicode MS" w:hAnsi="Arial Unicode MS" w:cs="Arial Unicode MS"/>
          <w:color w:val="2B477B"/>
        </w:rPr>
        <w:t>Bill,</w:t>
      </w:r>
      <w:r>
        <w:rPr>
          <w:color w:val="2B477B"/>
        </w:rPr>
        <w:t xml:space="preserve"> 2014</w:t>
      </w:r>
      <w:r>
        <w:rPr>
          <w:rFonts w:ascii="Arial Unicode MS" w:eastAsia="Arial Unicode MS" w:hAnsi="Arial Unicode MS" w:cs="Arial Unicode MS"/>
          <w:color w:val="2B477B"/>
        </w:rPr>
        <w:t>.</w:t>
      </w:r>
      <w:r>
        <w:rPr>
          <w:color w:val="2B477B"/>
        </w:rPr>
        <w:t xml:space="preserve"> </w:t>
      </w:r>
    </w:p>
  </w:footnote>
  <w:footnote w:id="242">
    <w:p w14:paraId="7ECA9DE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Bahamas,</w:t>
      </w:r>
      <w:r>
        <w:rPr>
          <w:color w:val="2B477B"/>
        </w:rPr>
        <w:t xml:space="preserve"> </w:t>
      </w:r>
      <w:hyperlink r:id="rId470" w:history="1">
        <w:r>
          <w:rPr>
            <w:rStyle w:val="Hyperlink2"/>
            <w:rFonts w:ascii="Arial Unicode MS" w:eastAsia="Arial Unicode MS" w:hAnsi="Arial Unicode MS" w:cs="Arial Unicode MS"/>
            <w:color w:val="2B477B"/>
          </w:rPr>
          <w:t>Hospital</w:t>
        </w:r>
        <w:r>
          <w:rPr>
            <w:rStyle w:val="Hyperlink2"/>
            <w:color w:val="2B477B"/>
          </w:rPr>
          <w:t xml:space="preserve"> </w:t>
        </w:r>
        <w:r>
          <w:rPr>
            <w:rStyle w:val="Hyperlink2"/>
            <w:rFonts w:ascii="Arial Unicode MS" w:eastAsia="Arial Unicode MS" w:hAnsi="Arial Unicode MS" w:cs="Arial Unicode MS"/>
            <w:color w:val="2B477B"/>
          </w:rPr>
          <w:t>and</w:t>
        </w:r>
        <w:r>
          <w:rPr>
            <w:rStyle w:val="Hyperlink2"/>
            <w:color w:val="2B477B"/>
          </w:rPr>
          <w:t xml:space="preserve"> </w:t>
        </w:r>
        <w:r>
          <w:rPr>
            <w:rStyle w:val="Hyperlink0"/>
            <w:rFonts w:ascii="Arial Unicode MS" w:eastAsia="Arial Unicode MS" w:hAnsi="Arial Unicode MS" w:cs="Arial Unicode MS"/>
          </w:rPr>
          <w:t>Health</w:t>
        </w:r>
        <w:r>
          <w:rPr>
            <w:rStyle w:val="Hyperlink0"/>
          </w:rPr>
          <w:t xml:space="preserve"> </w:t>
        </w:r>
        <w:r>
          <w:rPr>
            <w:rStyle w:val="Hyperlink0"/>
            <w:rFonts w:ascii="Arial Unicode MS" w:eastAsia="Arial Unicode MS" w:hAnsi="Arial Unicode MS" w:cs="Arial Unicode MS"/>
          </w:rPr>
          <w:t>Care</w:t>
        </w:r>
        <w:r>
          <w:rPr>
            <w:rStyle w:val="Hyperlink0"/>
          </w:rPr>
          <w:t xml:space="preserve"> </w:t>
        </w:r>
        <w:r>
          <w:rPr>
            <w:rStyle w:val="Hyperlink0"/>
            <w:rFonts w:ascii="Arial Unicode MS" w:eastAsia="Arial Unicode MS" w:hAnsi="Arial Unicode MS" w:cs="Arial Unicode MS"/>
          </w:rPr>
          <w:t>Facilities</w:t>
        </w:r>
        <w:r>
          <w:rPr>
            <w:rStyle w:val="Hyperlink0"/>
          </w:rPr>
          <w:t xml:space="preserve"> </w:t>
        </w:r>
        <w:r>
          <w:rPr>
            <w:rStyle w:val="Hyperlink0"/>
            <w:rFonts w:ascii="Arial Unicode MS" w:eastAsia="Arial Unicode MS" w:hAnsi="Arial Unicode MS" w:cs="Arial Unicode MS"/>
          </w:rPr>
          <w:t>(General)</w:t>
        </w:r>
        <w:r>
          <w:rPr>
            <w:rStyle w:val="Hyperlink0"/>
          </w:rPr>
          <w:t xml:space="preserve"> </w:t>
        </w:r>
        <w:r>
          <w:rPr>
            <w:rStyle w:val="Hyperlink0"/>
            <w:rFonts w:ascii="Arial Unicode MS" w:eastAsia="Arial Unicode MS" w:hAnsi="Arial Unicode MS" w:cs="Arial Unicode MS"/>
          </w:rPr>
          <w:t>Regulations</w:t>
        </w:r>
      </w:hyperlink>
      <w:r>
        <w:rPr>
          <w:rFonts w:ascii="Arial Unicode MS" w:eastAsia="Arial Unicode MS" w:hAnsi="Arial Unicode MS" w:cs="Arial Unicode MS"/>
          <w:color w:val="2B477B"/>
        </w:rPr>
        <w:t>,</w:t>
      </w:r>
      <w:r>
        <w:rPr>
          <w:color w:val="2B477B"/>
        </w:rPr>
        <w:t xml:space="preserve"> 2000</w:t>
      </w:r>
      <w:r>
        <w:rPr>
          <w:rFonts w:ascii="Arial Unicode MS" w:eastAsia="Arial Unicode MS" w:hAnsi="Arial Unicode MS" w:cs="Arial Unicode MS"/>
          <w:color w:val="2B477B"/>
        </w:rPr>
        <w:t>.</w:t>
      </w:r>
      <w:r>
        <w:rPr>
          <w:color w:val="2B477B"/>
        </w:rPr>
        <w:t xml:space="preserve"> </w:t>
      </w:r>
    </w:p>
  </w:footnote>
  <w:footnote w:id="243">
    <w:p w14:paraId="3E17B85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w:t>
      </w:r>
      <w:r>
        <w:rPr>
          <w:color w:val="2B477B"/>
        </w:rPr>
        <w:t xml:space="preserve"> </w:t>
      </w:r>
    </w:p>
  </w:footnote>
  <w:footnote w:id="244">
    <w:p w14:paraId="2F071E1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hyperlink r:id="rId471" w:history="1">
        <w:r>
          <w:rPr>
            <w:rStyle w:val="Hyperlink0"/>
            <w:rFonts w:ascii="Arial Unicode MS" w:eastAsia="Arial Unicode MS" w:hAnsi="Arial Unicode MS" w:cs="Arial Unicode MS"/>
          </w:rPr>
          <w:t>Code</w:t>
        </w:r>
        <w:r>
          <w:rPr>
            <w:rStyle w:val="Hyperlink0"/>
          </w:rPr>
          <w:t xml:space="preserve"> </w:t>
        </w:r>
        <w:r>
          <w:rPr>
            <w:rStyle w:val="Hyperlink0"/>
            <w:rFonts w:ascii="Arial Unicode MS" w:eastAsia="Arial Unicode MS" w:hAnsi="Arial Unicode MS" w:cs="Arial Unicode MS"/>
          </w:rPr>
          <w:t>of</w:t>
        </w:r>
        <w:r>
          <w:rPr>
            <w:rStyle w:val="Hyperlink0"/>
          </w:rPr>
          <w:t xml:space="preserve"> </w:t>
        </w:r>
        <w:r>
          <w:rPr>
            <w:rStyle w:val="Hyperlink0"/>
            <w:rFonts w:ascii="Arial Unicode MS" w:eastAsia="Arial Unicode MS" w:hAnsi="Arial Unicode MS" w:cs="Arial Unicode MS"/>
          </w:rPr>
          <w:t>Conduct,</w:t>
        </w:r>
        <w:r>
          <w:rPr>
            <w:rStyle w:val="Hyperlink0"/>
          </w:rPr>
          <w:t xml:space="preserve"> </w:t>
        </w:r>
        <w:r>
          <w:rPr>
            <w:rStyle w:val="Hyperlink0"/>
            <w:rFonts w:ascii="Arial Unicode MS" w:eastAsia="Arial Unicode MS" w:hAnsi="Arial Unicode MS" w:cs="Arial Unicode MS"/>
          </w:rPr>
          <w:t>Barbados</w:t>
        </w:r>
        <w:r>
          <w:rPr>
            <w:rStyle w:val="Hyperlink0"/>
          </w:rPr>
          <w:t xml:space="preserve"> </w:t>
        </w:r>
        <w:r>
          <w:rPr>
            <w:rStyle w:val="Hyperlink0"/>
            <w:rFonts w:ascii="Arial Unicode MS" w:eastAsia="Arial Unicode MS" w:hAnsi="Arial Unicode MS" w:cs="Arial Unicode MS"/>
          </w:rPr>
          <w:t>Medical</w:t>
        </w:r>
        <w:r>
          <w:rPr>
            <w:rStyle w:val="Hyperlink0"/>
          </w:rPr>
          <w:t xml:space="preserve"> </w:t>
        </w:r>
        <w:r>
          <w:rPr>
            <w:rStyle w:val="Hyperlink0"/>
            <w:rFonts w:ascii="Arial Unicode MS" w:eastAsia="Arial Unicode MS" w:hAnsi="Arial Unicode MS" w:cs="Arial Unicode MS"/>
          </w:rPr>
          <w:t>Council</w:t>
        </w:r>
      </w:hyperlink>
      <w:r>
        <w:rPr>
          <w:rFonts w:ascii="Arial Unicode MS" w:eastAsia="Arial Unicode MS" w:hAnsi="Arial Unicode MS" w:cs="Arial Unicode MS"/>
          <w:color w:val="2B477B"/>
        </w:rPr>
        <w:t>,</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Cctado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Bregaglio,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hyperlink r:id="rId472" w:history="1">
        <w:r>
          <w:rPr>
            <w:rStyle w:val="Hyperlink2"/>
            <w:rFonts w:ascii="Arial Unicode MS" w:eastAsia="Arial Unicode MS" w:hAnsi="Arial Unicode MS" w:cs="Arial Unicode MS"/>
            <w:color w:val="2B477B"/>
          </w:rPr>
          <w:t>Marco</w:t>
        </w:r>
        <w:r>
          <w:rPr>
            <w:rStyle w:val="Hyperlink2"/>
            <w:color w:val="2B477B"/>
          </w:rPr>
          <w:t xml:space="preserve"> </w:t>
        </w:r>
        <w:r>
          <w:rPr>
            <w:rStyle w:val="Hyperlink2"/>
            <w:rFonts w:ascii="Arial Unicode MS" w:eastAsia="Arial Unicode MS" w:hAnsi="Arial Unicode MS" w:cs="Arial Unicode MS"/>
            <w:color w:val="2B477B"/>
          </w:rPr>
          <w:t>Legal</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los</w:t>
        </w:r>
        <w:r>
          <w:rPr>
            <w:rStyle w:val="Hyperlink2"/>
            <w:color w:val="2B477B"/>
          </w:rPr>
          <w:t xml:space="preserve"> </w:t>
        </w:r>
        <w:r>
          <w:rPr>
            <w:rStyle w:val="Hyperlink2"/>
            <w:rFonts w:ascii="Arial Unicode MS" w:eastAsia="Arial Unicode MS" w:hAnsi="Arial Unicode MS" w:cs="Arial Unicode MS"/>
            <w:color w:val="2B477B"/>
          </w:rPr>
          <w:t>Derechos</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las</w:t>
        </w:r>
        <w:r>
          <w:rPr>
            <w:rStyle w:val="Hyperlink2"/>
            <w:color w:val="2B477B"/>
          </w:rPr>
          <w:t xml:space="preserve"> </w:t>
        </w:r>
        <w:r>
          <w:rPr>
            <w:rStyle w:val="Hyperlink2"/>
            <w:rFonts w:ascii="Arial Unicode MS" w:eastAsia="Arial Unicode MS" w:hAnsi="Arial Unicode MS" w:cs="Arial Unicode MS"/>
            <w:color w:val="2B477B"/>
          </w:rPr>
          <w:t>Personas</w:t>
        </w:r>
        <w:r>
          <w:rPr>
            <w:rStyle w:val="Hyperlink2"/>
            <w:color w:val="2B477B"/>
          </w:rPr>
          <w:t xml:space="preserve"> </w:t>
        </w:r>
        <w:r>
          <w:rPr>
            <w:rStyle w:val="Hyperlink2"/>
            <w:rFonts w:ascii="Arial Unicode MS" w:eastAsia="Arial Unicode MS" w:hAnsi="Arial Unicode MS" w:cs="Arial Unicode MS"/>
            <w:color w:val="2B477B"/>
          </w:rPr>
          <w:t>con</w:t>
        </w:r>
        <w:r>
          <w:rPr>
            <w:rStyle w:val="Hyperlink2"/>
            <w:color w:val="2B477B"/>
          </w:rPr>
          <w:t xml:space="preserve"> </w:t>
        </w:r>
        <w:r>
          <w:rPr>
            <w:rStyle w:val="Hyperlink2"/>
            <w:rFonts w:ascii="Arial Unicode MS" w:eastAsia="Arial Unicode MS" w:hAnsi="Arial Unicode MS" w:cs="Arial Unicode MS"/>
            <w:color w:val="2B477B"/>
          </w:rPr>
          <w:t>Discapacidad:</w:t>
        </w:r>
        <w:r>
          <w:rPr>
            <w:rStyle w:val="Hyperlink2"/>
            <w:color w:val="2B477B"/>
          </w:rPr>
          <w:t xml:space="preserve"> </w:t>
        </w:r>
        <w:r>
          <w:rPr>
            <w:rStyle w:val="Hyperlink2"/>
            <w:rFonts w:ascii="Arial Unicode MS" w:eastAsia="Arial Unicode MS" w:hAnsi="Arial Unicode MS" w:cs="Arial Unicode MS"/>
            <w:color w:val="2B477B"/>
          </w:rPr>
          <w:t>América</w:t>
        </w:r>
        <w:r>
          <w:rPr>
            <w:rStyle w:val="Hyperlink0"/>
          </w:rPr>
          <w:t xml:space="preserve"> </w:t>
        </w:r>
        <w:r>
          <w:rPr>
            <w:rStyle w:val="Hyperlink0"/>
            <w:rFonts w:ascii="Arial Unicode MS" w:eastAsia="Arial Unicode MS" w:hAnsi="Arial Unicode MS" w:cs="Arial Unicode MS"/>
          </w:rPr>
          <w:t>Latina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Caribe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(BID)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Americanos</w:t>
      </w:r>
      <w:r>
        <w:rPr>
          <w:color w:val="2B477B"/>
        </w:rPr>
        <w:t xml:space="preserve"> </w:t>
      </w:r>
      <w:r>
        <w:rPr>
          <w:rFonts w:ascii="Arial Unicode MS" w:eastAsia="Arial Unicode MS" w:hAnsi="Arial Unicode MS" w:cs="Arial Unicode MS"/>
          <w:color w:val="2B477B"/>
        </w:rPr>
        <w:t>(OEA),</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49</w:t>
      </w:r>
      <w:r>
        <w:rPr>
          <w:rFonts w:ascii="Arial Unicode MS" w:eastAsia="Arial Unicode MS" w:hAnsi="Arial Unicode MS" w:cs="Arial Unicode MS"/>
          <w:color w:val="2B477B"/>
        </w:rPr>
        <w:t>.</w:t>
      </w:r>
      <w:r>
        <w:rPr>
          <w:color w:val="2B477B"/>
        </w:rPr>
        <w:t xml:space="preserve"> </w:t>
      </w:r>
    </w:p>
  </w:footnote>
  <w:footnote w:id="245">
    <w:p w14:paraId="3F1A65AC" w14:textId="77777777" w:rsidR="001A105D" w:rsidRDefault="00000000">
      <w:pPr>
        <w:pStyle w:val="Body"/>
        <w:jc w:val="left"/>
      </w:pPr>
      <w:r>
        <w:rPr>
          <w:rStyle w:val="None"/>
          <w:color w:val="2B477B"/>
          <w:vertAlign w:val="superscript"/>
        </w:rPr>
        <w:footnoteRef/>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Bregaglio,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hyperlink r:id="rId473" w:history="1">
        <w:r>
          <w:rPr>
            <w:rStyle w:val="Hyperlink2"/>
            <w:rFonts w:ascii="Arial Unicode MS" w:eastAsia="Arial Unicode MS" w:hAnsi="Arial Unicode MS" w:cs="Arial Unicode MS"/>
            <w:color w:val="2B477B"/>
          </w:rPr>
          <w:t>Marco</w:t>
        </w:r>
        <w:r>
          <w:rPr>
            <w:rStyle w:val="Hyperlink2"/>
            <w:color w:val="2B477B"/>
          </w:rPr>
          <w:t xml:space="preserve"> </w:t>
        </w:r>
        <w:r>
          <w:rPr>
            <w:rStyle w:val="Hyperlink2"/>
            <w:rFonts w:ascii="Arial Unicode MS" w:eastAsia="Arial Unicode MS" w:hAnsi="Arial Unicode MS" w:cs="Arial Unicode MS"/>
            <w:color w:val="2B477B"/>
          </w:rPr>
          <w:t>Legal</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los</w:t>
        </w:r>
        <w:r>
          <w:rPr>
            <w:rStyle w:val="Hyperlink2"/>
            <w:color w:val="2B477B"/>
          </w:rPr>
          <w:t xml:space="preserve"> </w:t>
        </w:r>
        <w:r>
          <w:rPr>
            <w:rStyle w:val="Hyperlink2"/>
            <w:rFonts w:ascii="Arial Unicode MS" w:eastAsia="Arial Unicode MS" w:hAnsi="Arial Unicode MS" w:cs="Arial Unicode MS"/>
            <w:color w:val="2B477B"/>
          </w:rPr>
          <w:t>Derechos</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las</w:t>
        </w:r>
        <w:r>
          <w:rPr>
            <w:rStyle w:val="Hyperlink2"/>
            <w:color w:val="2B477B"/>
          </w:rPr>
          <w:t xml:space="preserve"> </w:t>
        </w:r>
        <w:r>
          <w:rPr>
            <w:rStyle w:val="Hyperlink2"/>
            <w:rFonts w:ascii="Arial Unicode MS" w:eastAsia="Arial Unicode MS" w:hAnsi="Arial Unicode MS" w:cs="Arial Unicode MS"/>
            <w:color w:val="2B477B"/>
          </w:rPr>
          <w:t>Personas</w:t>
        </w:r>
        <w:r>
          <w:rPr>
            <w:rStyle w:val="Hyperlink2"/>
            <w:color w:val="2B477B"/>
          </w:rPr>
          <w:t xml:space="preserve"> </w:t>
        </w:r>
        <w:r>
          <w:rPr>
            <w:rStyle w:val="Hyperlink2"/>
            <w:rFonts w:ascii="Arial Unicode MS" w:eastAsia="Arial Unicode MS" w:hAnsi="Arial Unicode MS" w:cs="Arial Unicode MS"/>
            <w:color w:val="2B477B"/>
          </w:rPr>
          <w:t>con</w:t>
        </w:r>
        <w:r>
          <w:rPr>
            <w:rStyle w:val="Hyperlink2"/>
            <w:color w:val="2B477B"/>
          </w:rPr>
          <w:t xml:space="preserve"> </w:t>
        </w:r>
        <w:r>
          <w:rPr>
            <w:rStyle w:val="Hyperlink2"/>
            <w:rFonts w:ascii="Arial Unicode MS" w:eastAsia="Arial Unicode MS" w:hAnsi="Arial Unicode MS" w:cs="Arial Unicode MS"/>
            <w:color w:val="2B477B"/>
          </w:rPr>
          <w:t>Discapacidad:</w:t>
        </w:r>
        <w:r>
          <w:rPr>
            <w:rStyle w:val="Hyperlink2"/>
            <w:color w:val="2B477B"/>
          </w:rPr>
          <w:t xml:space="preserve"> </w:t>
        </w:r>
        <w:r>
          <w:rPr>
            <w:rStyle w:val="Hyperlink2"/>
            <w:rFonts w:ascii="Arial Unicode MS" w:eastAsia="Arial Unicode MS" w:hAnsi="Arial Unicode MS" w:cs="Arial Unicode MS"/>
            <w:color w:val="2B477B"/>
          </w:rPr>
          <w:t>América</w:t>
        </w:r>
        <w:r>
          <w:rPr>
            <w:rStyle w:val="Hyperlink0"/>
          </w:rPr>
          <w:t xml:space="preserve"> </w:t>
        </w:r>
        <w:r>
          <w:rPr>
            <w:rStyle w:val="Hyperlink0"/>
            <w:rFonts w:ascii="Arial Unicode MS" w:eastAsia="Arial Unicode MS" w:hAnsi="Arial Unicode MS" w:cs="Arial Unicode MS"/>
          </w:rPr>
          <w:t>Latina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Caribe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w:t>
      </w:r>
      <w:proofErr w:type="gramStart"/>
      <w:r>
        <w:rPr>
          <w:color w:val="2B477B"/>
        </w:rPr>
        <w:t>49</w:t>
      </w:r>
      <w:r>
        <w:rPr>
          <w:rFonts w:ascii="Arial Unicode MS" w:eastAsia="Arial Unicode MS" w:hAnsi="Arial Unicode MS" w:cs="Arial Unicode MS"/>
          <w:color w:val="2B477B"/>
        </w:rPr>
        <w:t>,.</w:t>
      </w:r>
      <w:proofErr w:type="gramEnd"/>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hyperlink r:id="rId474" w:history="1">
        <w:r>
          <w:rPr>
            <w:rStyle w:val="Hyperlink2"/>
            <w:rFonts w:ascii="Arial Unicode MS" w:eastAsia="Arial Unicode MS" w:hAnsi="Arial Unicode MS" w:cs="Arial Unicode MS"/>
            <w:color w:val="2B477B"/>
          </w:rPr>
          <w:t>Termination</w:t>
        </w:r>
        <w:r>
          <w:rPr>
            <w:rStyle w:val="Hyperlink2"/>
            <w:color w:val="2B477B"/>
          </w:rPr>
          <w:t xml:space="preserve"> </w:t>
        </w:r>
        <w:r>
          <w:rPr>
            <w:rStyle w:val="Hyperlink2"/>
            <w:rFonts w:ascii="Arial Unicode MS" w:eastAsia="Arial Unicode MS" w:hAnsi="Arial Unicode MS" w:cs="Arial Unicode MS"/>
            <w:color w:val="2B477B"/>
          </w:rPr>
          <w:t>of</w:t>
        </w:r>
        <w:r>
          <w:rPr>
            <w:rStyle w:val="Hyperlink2"/>
            <w:color w:val="2B477B"/>
          </w:rPr>
          <w:t xml:space="preserve"> </w:t>
        </w:r>
        <w:r>
          <w:rPr>
            <w:rStyle w:val="Hyperlink2"/>
            <w:rFonts w:ascii="Arial Unicode MS" w:eastAsia="Arial Unicode MS" w:hAnsi="Arial Unicode MS" w:cs="Arial Unicode MS"/>
            <w:color w:val="2B477B"/>
          </w:rPr>
          <w:t>Pregnancy</w:t>
        </w:r>
        <w:r>
          <w:rPr>
            <w:rStyle w:val="Hyperlink2"/>
            <w:color w:val="2B477B"/>
          </w:rPr>
          <w:t xml:space="preserve"> </w:t>
        </w:r>
        <w:r>
          <w:rPr>
            <w:rStyle w:val="Hyperlink0"/>
            <w:rFonts w:ascii="Arial Unicode MS" w:eastAsia="Arial Unicode MS" w:hAnsi="Arial Unicode MS" w:cs="Arial Unicode MS"/>
          </w:rPr>
          <w:t>Act</w:t>
        </w:r>
      </w:hyperlink>
      <w:r>
        <w:rPr>
          <w:rFonts w:ascii="Arial Unicode MS" w:eastAsia="Arial Unicode MS" w:hAnsi="Arial Unicode MS" w:cs="Arial Unicode MS"/>
          <w:color w:val="2B477B"/>
        </w:rPr>
        <w:t>,</w:t>
      </w:r>
      <w:r>
        <w:rPr>
          <w:color w:val="2B477B"/>
        </w:rPr>
        <w:t xml:space="preserve"> 1978</w:t>
      </w:r>
      <w:r>
        <w:rPr>
          <w:rFonts w:ascii="Arial Unicode MS" w:eastAsia="Arial Unicode MS" w:hAnsi="Arial Unicode MS" w:cs="Arial Unicode MS"/>
          <w:color w:val="2B477B"/>
        </w:rPr>
        <w:t>.</w:t>
      </w:r>
      <w:r>
        <w:rPr>
          <w:color w:val="2B477B"/>
        </w:rPr>
        <w:t xml:space="preserve"> </w:t>
      </w:r>
    </w:p>
  </w:footnote>
  <w:footnote w:id="246">
    <w:p w14:paraId="72BB40F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Mundial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(OMS),</w:t>
      </w:r>
      <w:r>
        <w:rPr>
          <w:color w:val="2B477B"/>
        </w:rPr>
        <w:t xml:space="preserve"> </w:t>
      </w:r>
      <w:hyperlink r:id="rId475" w:history="1">
        <w:r>
          <w:rPr>
            <w:rFonts w:ascii="Arial Unicode MS" w:eastAsia="Arial Unicode MS" w:hAnsi="Arial Unicode MS" w:cs="Arial Unicode MS"/>
            <w:color w:val="2B477B"/>
          </w:rPr>
          <w:t>Policy</w:t>
        </w:r>
        <w:r>
          <w:rPr>
            <w:color w:val="2B477B"/>
          </w:rPr>
          <w:t xml:space="preserve"> </w:t>
        </w:r>
        <w:r>
          <w:rPr>
            <w:rFonts w:ascii="Arial Unicode MS" w:eastAsia="Arial Unicode MS" w:hAnsi="Arial Unicode MS" w:cs="Arial Unicode MS"/>
            <w:color w:val="2B477B"/>
          </w:rPr>
          <w:t>Country</w:t>
        </w:r>
        <w:r>
          <w:rPr>
            <w:color w:val="2B477B"/>
          </w:rPr>
          <w:t xml:space="preserve"> </w:t>
        </w:r>
        <w:r>
          <w:rPr>
            <w:rFonts w:ascii="Arial Unicode MS" w:eastAsia="Arial Unicode MS" w:hAnsi="Arial Unicode MS" w:cs="Arial Unicode MS"/>
            <w:color w:val="2B477B"/>
          </w:rPr>
          <w:t>Profile,</w:t>
        </w:r>
      </w:hyperlink>
      <w:r>
        <w:rPr>
          <w:color w:val="2B477B"/>
        </w:rPr>
        <w:t xml:space="preserve"> 2024</w:t>
      </w:r>
      <w:r>
        <w:rPr>
          <w:rFonts w:ascii="Arial Unicode MS" w:eastAsia="Arial Unicode MS" w:hAnsi="Arial Unicode MS" w:cs="Arial Unicode MS"/>
          <w:color w:val="2B477B"/>
        </w:rPr>
        <w:t>.</w:t>
      </w:r>
      <w:r>
        <w:rPr>
          <w:color w:val="2B477B"/>
        </w:rPr>
        <w:t xml:space="preserve"> </w:t>
      </w:r>
    </w:p>
  </w:footnote>
  <w:footnote w:id="247">
    <w:p w14:paraId="14B90B05" w14:textId="77777777" w:rsidR="001A105D" w:rsidRDefault="00000000">
      <w:pPr>
        <w:pStyle w:val="Body"/>
        <w:jc w:val="left"/>
      </w:pPr>
      <w:r>
        <w:rPr>
          <w:color w:val="2B477B"/>
        </w:rPr>
        <w:footnoteRef/>
      </w:r>
      <w:r>
        <w:rPr>
          <w:color w:val="2B477B"/>
        </w:rPr>
        <w:t xml:space="preserve"> </w:t>
      </w:r>
      <w:r>
        <w:rPr>
          <w:rFonts w:ascii="Arial Unicode MS" w:eastAsia="Arial Unicode MS" w:hAnsi="Arial Unicode MS" w:cs="Arial Unicode MS"/>
          <w:color w:val="2B477B"/>
        </w:rPr>
        <w:t>Bregaglio,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hyperlink r:id="rId476" w:history="1">
        <w:r>
          <w:rPr>
            <w:rStyle w:val="Hyperlink2"/>
            <w:rFonts w:ascii="Arial Unicode MS" w:eastAsia="Arial Unicode MS" w:hAnsi="Arial Unicode MS" w:cs="Arial Unicode MS"/>
            <w:color w:val="2B477B"/>
          </w:rPr>
          <w:t>Marco</w:t>
        </w:r>
        <w:r>
          <w:rPr>
            <w:rStyle w:val="Hyperlink2"/>
            <w:color w:val="2B477B"/>
          </w:rPr>
          <w:t xml:space="preserve"> </w:t>
        </w:r>
        <w:r>
          <w:rPr>
            <w:rStyle w:val="Hyperlink2"/>
            <w:rFonts w:ascii="Arial Unicode MS" w:eastAsia="Arial Unicode MS" w:hAnsi="Arial Unicode MS" w:cs="Arial Unicode MS"/>
            <w:color w:val="2B477B"/>
          </w:rPr>
          <w:t>Legal</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los</w:t>
        </w:r>
        <w:r>
          <w:rPr>
            <w:rStyle w:val="Hyperlink2"/>
            <w:color w:val="2B477B"/>
          </w:rPr>
          <w:t xml:space="preserve"> </w:t>
        </w:r>
        <w:r>
          <w:rPr>
            <w:rStyle w:val="Hyperlink2"/>
            <w:rFonts w:ascii="Arial Unicode MS" w:eastAsia="Arial Unicode MS" w:hAnsi="Arial Unicode MS" w:cs="Arial Unicode MS"/>
            <w:color w:val="2B477B"/>
          </w:rPr>
          <w:t>Derechos</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las</w:t>
        </w:r>
        <w:r>
          <w:rPr>
            <w:rStyle w:val="Hyperlink2"/>
            <w:color w:val="2B477B"/>
          </w:rPr>
          <w:t xml:space="preserve"> </w:t>
        </w:r>
        <w:r>
          <w:rPr>
            <w:rStyle w:val="Hyperlink2"/>
            <w:rFonts w:ascii="Arial Unicode MS" w:eastAsia="Arial Unicode MS" w:hAnsi="Arial Unicode MS" w:cs="Arial Unicode MS"/>
            <w:color w:val="2B477B"/>
          </w:rPr>
          <w:t>Personas</w:t>
        </w:r>
        <w:r>
          <w:rPr>
            <w:rStyle w:val="Hyperlink2"/>
            <w:color w:val="2B477B"/>
          </w:rPr>
          <w:t xml:space="preserve"> </w:t>
        </w:r>
        <w:r>
          <w:rPr>
            <w:rStyle w:val="Hyperlink2"/>
            <w:rFonts w:ascii="Arial Unicode MS" w:eastAsia="Arial Unicode MS" w:hAnsi="Arial Unicode MS" w:cs="Arial Unicode MS"/>
            <w:color w:val="2B477B"/>
          </w:rPr>
          <w:t>con</w:t>
        </w:r>
        <w:r>
          <w:rPr>
            <w:rStyle w:val="Hyperlink2"/>
            <w:color w:val="2B477B"/>
          </w:rPr>
          <w:t xml:space="preserve"> </w:t>
        </w:r>
        <w:r>
          <w:rPr>
            <w:rStyle w:val="Hyperlink2"/>
            <w:rFonts w:ascii="Arial Unicode MS" w:eastAsia="Arial Unicode MS" w:hAnsi="Arial Unicode MS" w:cs="Arial Unicode MS"/>
            <w:color w:val="2B477B"/>
          </w:rPr>
          <w:t>Discapacidad:</w:t>
        </w:r>
        <w:r>
          <w:rPr>
            <w:rStyle w:val="Hyperlink2"/>
            <w:color w:val="2B477B"/>
          </w:rPr>
          <w:t xml:space="preserve"> </w:t>
        </w:r>
        <w:r>
          <w:rPr>
            <w:rStyle w:val="Hyperlink2"/>
            <w:rFonts w:ascii="Arial Unicode MS" w:eastAsia="Arial Unicode MS" w:hAnsi="Arial Unicode MS" w:cs="Arial Unicode MS"/>
            <w:color w:val="2B477B"/>
          </w:rPr>
          <w:t>América</w:t>
        </w:r>
        <w:r>
          <w:rPr>
            <w:rStyle w:val="Hyperlink0"/>
          </w:rPr>
          <w:t xml:space="preserve"> </w:t>
        </w:r>
        <w:r>
          <w:rPr>
            <w:rStyle w:val="Hyperlink0"/>
            <w:rFonts w:ascii="Arial Unicode MS" w:eastAsia="Arial Unicode MS" w:hAnsi="Arial Unicode MS" w:cs="Arial Unicode MS"/>
          </w:rPr>
          <w:t>Latina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Caribe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BID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OEA,</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49</w:t>
      </w:r>
      <w:r>
        <w:rPr>
          <w:rFonts w:ascii="Arial Unicode MS" w:eastAsia="Arial Unicode MS" w:hAnsi="Arial Unicode MS" w:cs="Arial Unicode MS"/>
          <w:color w:val="2B477B"/>
        </w:rPr>
        <w:t>.</w:t>
      </w:r>
    </w:p>
  </w:footnote>
  <w:footnote w:id="248">
    <w:p w14:paraId="19E881E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US</w:t>
      </w:r>
      <w:r>
        <w:rPr>
          <w:color w:val="2B477B"/>
        </w:rPr>
        <w:t xml:space="preserve"> </w:t>
      </w:r>
      <w:r>
        <w:rPr>
          <w:rFonts w:ascii="Arial Unicode MS" w:eastAsia="Arial Unicode MS" w:hAnsi="Arial Unicode MS" w:cs="Arial Unicode MS"/>
          <w:color w:val="2B477B"/>
        </w:rPr>
        <w:t>Department</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State,</w:t>
      </w:r>
      <w:r>
        <w:rPr>
          <w:color w:val="2B477B"/>
        </w:rPr>
        <w:t xml:space="preserve"> </w:t>
      </w:r>
      <w:hyperlink r:id="rId477" w:history="1">
        <w:r>
          <w:rPr>
            <w:rStyle w:val="Hyperlink2"/>
            <w:rFonts w:ascii="Arial Unicode MS" w:eastAsia="Arial Unicode MS" w:hAnsi="Arial Unicode MS" w:cs="Arial Unicode MS"/>
            <w:color w:val="2B477B"/>
          </w:rPr>
          <w:t>Country</w:t>
        </w:r>
        <w:r>
          <w:rPr>
            <w:rStyle w:val="Hyperlink2"/>
            <w:color w:val="2B477B"/>
          </w:rPr>
          <w:t xml:space="preserve"> </w:t>
        </w:r>
        <w:r>
          <w:rPr>
            <w:rStyle w:val="Hyperlink2"/>
            <w:rFonts w:ascii="Arial Unicode MS" w:eastAsia="Arial Unicode MS" w:hAnsi="Arial Unicode MS" w:cs="Arial Unicode MS"/>
            <w:color w:val="2B477B"/>
          </w:rPr>
          <w:t>Reports</w:t>
        </w:r>
        <w:r>
          <w:rPr>
            <w:rStyle w:val="Hyperlink2"/>
            <w:color w:val="2B477B"/>
          </w:rPr>
          <w:t xml:space="preserve"> </w:t>
        </w:r>
        <w:r>
          <w:rPr>
            <w:rStyle w:val="Hyperlink2"/>
            <w:rFonts w:ascii="Arial Unicode MS" w:eastAsia="Arial Unicode MS" w:hAnsi="Arial Unicode MS" w:cs="Arial Unicode MS"/>
            <w:color w:val="2B477B"/>
          </w:rPr>
          <w:t>on</w:t>
        </w:r>
        <w:r>
          <w:rPr>
            <w:rStyle w:val="Hyperlink2"/>
            <w:color w:val="2B477B"/>
          </w:rPr>
          <w:t xml:space="preserve"> </w:t>
        </w:r>
        <w:r>
          <w:rPr>
            <w:rStyle w:val="Hyperlink2"/>
            <w:rFonts w:ascii="Arial Unicode MS" w:eastAsia="Arial Unicode MS" w:hAnsi="Arial Unicode MS" w:cs="Arial Unicode MS"/>
            <w:color w:val="2B477B"/>
          </w:rPr>
          <w:t>Human</w:t>
        </w:r>
        <w:r>
          <w:rPr>
            <w:rStyle w:val="Hyperlink2"/>
            <w:color w:val="2B477B"/>
          </w:rPr>
          <w:t xml:space="preserve"> </w:t>
        </w:r>
        <w:r>
          <w:rPr>
            <w:rStyle w:val="Hyperlink2"/>
            <w:rFonts w:ascii="Arial Unicode MS" w:eastAsia="Arial Unicode MS" w:hAnsi="Arial Unicode MS" w:cs="Arial Unicode MS"/>
            <w:color w:val="2B477B"/>
          </w:rPr>
          <w:t>Rights</w:t>
        </w:r>
        <w:r>
          <w:rPr>
            <w:rStyle w:val="Hyperlink2"/>
            <w:color w:val="2B477B"/>
          </w:rPr>
          <w:t xml:space="preserve"> </w:t>
        </w:r>
        <w:r>
          <w:rPr>
            <w:rStyle w:val="Hyperlink2"/>
            <w:rFonts w:ascii="Arial Unicode MS" w:eastAsia="Arial Unicode MS" w:hAnsi="Arial Unicode MS" w:cs="Arial Unicode MS"/>
            <w:color w:val="2B477B"/>
          </w:rPr>
          <w:t>Practices,</w:t>
        </w:r>
        <w:r>
          <w:rPr>
            <w:rStyle w:val="Hyperlink2"/>
            <w:color w:val="2B477B"/>
          </w:rPr>
          <w:t xml:space="preserve"> </w:t>
        </w:r>
        <w:r>
          <w:rPr>
            <w:rStyle w:val="Hyperlink2"/>
            <w:rFonts w:ascii="Arial Unicode MS" w:eastAsia="Arial Unicode MS" w:hAnsi="Arial Unicode MS" w:cs="Arial Unicode MS"/>
            <w:color w:val="2B477B"/>
          </w:rPr>
          <w:t>Beliz</w:t>
        </w:r>
      </w:hyperlink>
      <w:hyperlink r:id="rId478" w:history="1">
        <w:r>
          <w:rPr>
            <w:rStyle w:val="Hyperlink2"/>
            <w:rFonts w:ascii="Arial Unicode MS" w:eastAsia="Arial Unicode MS" w:hAnsi="Arial Unicode MS" w:cs="Arial Unicode MS"/>
            <w:color w:val="2B477B"/>
          </w:rPr>
          <w:t>e</w:t>
        </w:r>
        <w:r>
          <w:rPr>
            <w:rStyle w:val="Hyperlink0"/>
            <w:rFonts w:ascii="Arial Unicode MS" w:eastAsia="Arial Unicode MS" w:hAnsi="Arial Unicode MS" w:cs="Arial Unicode MS"/>
          </w:rPr>
          <w:t>,</w:t>
        </w:r>
      </w:hyperlink>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249">
    <w:p w14:paraId="07CB5E0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29</w:t>
      </w:r>
      <w:r>
        <w:rPr>
          <w:rFonts w:ascii="Arial Unicode MS" w:eastAsia="Arial Unicode MS" w:hAnsi="Arial Unicode MS" w:cs="Arial Unicode MS"/>
          <w:color w:val="2B477B"/>
        </w:rPr>
        <w:t>-</w:t>
      </w:r>
      <w:r>
        <w:rPr>
          <w:color w:val="2B477B"/>
        </w:rPr>
        <w:t>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hyperlink r:id="rId479"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Supremo</w:t>
        </w:r>
        <w:r>
          <w:rPr>
            <w:color w:val="2B477B"/>
          </w:rPr>
          <w:t xml:space="preserve"> </w:t>
        </w:r>
        <w:r>
          <w:rPr>
            <w:rFonts w:ascii="Arial Unicode MS" w:eastAsia="Arial Unicode MS" w:hAnsi="Arial Unicode MS" w:cs="Arial Unicode MS"/>
            <w:color w:val="2B477B"/>
          </w:rPr>
          <w:t>No.</w:t>
        </w:r>
        <w:r>
          <w:rPr>
            <w:color w:val="2B477B"/>
          </w:rPr>
          <w:t xml:space="preserve"> 2026</w:t>
        </w:r>
        <w:r>
          <w:rPr>
            <w:rFonts w:ascii="Arial Unicode MS" w:eastAsia="Arial Unicode MS" w:hAnsi="Arial Unicode MS" w:cs="Arial Unicode MS"/>
            <w:color w:val="2B477B"/>
          </w:rPr>
          <w:t>,</w:t>
        </w:r>
        <w:r>
          <w:rPr>
            <w:color w:val="2B477B"/>
          </w:rPr>
          <w:t xml:space="preserve"> </w:t>
        </w:r>
      </w:hyperlink>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Fortalecimiento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“Implementación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Centros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Habilitación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Rehabilitación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Nivel</w:t>
      </w:r>
      <w:r>
        <w:rPr>
          <w:color w:val="2B477B"/>
        </w:rPr>
        <w:t xml:space="preserve"> </w:t>
      </w:r>
      <w:r>
        <w:rPr>
          <w:rFonts w:ascii="Arial Unicode MS" w:eastAsia="Arial Unicode MS" w:hAnsi="Arial Unicode MS" w:cs="Arial Unicode MS"/>
          <w:color w:val="2B477B"/>
        </w:rPr>
        <w:t>Nacional”,</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hyperlink r:id="rId480" w:history="1">
        <w:r>
          <w:rPr>
            <w:rFonts w:ascii="Arial Unicode MS" w:eastAsia="Arial Unicode MS" w:hAnsi="Arial Unicode MS" w:cs="Arial Unicode MS"/>
            <w:color w:val="2B477B"/>
          </w:rPr>
          <w:t>Ley</w:t>
        </w:r>
        <w:r>
          <w:rPr>
            <w:color w:val="2B477B"/>
          </w:rPr>
          <w:t xml:space="preserve"> 1152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Único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hyperlink>
      <w:r>
        <w:rPr>
          <w:rFonts w:ascii="Arial Unicode MS" w:eastAsia="Arial Unicode MS" w:hAnsi="Arial Unicode MS" w:cs="Arial Unicode MS"/>
          <w:color w:val="2B477B"/>
        </w:rPr>
        <w:t>,</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p>
  </w:footnote>
  <w:footnote w:id="250">
    <w:p w14:paraId="1FE2B20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46</w:t>
      </w:r>
      <w:r>
        <w:rPr>
          <w:rFonts w:ascii="Arial Unicode MS" w:eastAsia="Arial Unicode MS" w:hAnsi="Arial Unicode MS" w:cs="Arial Unicode MS"/>
          <w:color w:val="2B477B"/>
        </w:rPr>
        <w:t>-</w:t>
      </w:r>
      <w:r>
        <w:rPr>
          <w:color w:val="2B477B"/>
        </w:rPr>
        <w:t>47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hyperlink r:id="rId481" w:history="1">
        <w:r>
          <w:rPr>
            <w:rFonts w:ascii="Arial Unicode MS" w:eastAsia="Arial Unicode MS" w:hAnsi="Arial Unicode MS" w:cs="Arial Unicode MS"/>
            <w:color w:val="2B477B"/>
          </w:rPr>
          <w:t>Ordenanza</w:t>
        </w:r>
        <w:r>
          <w:rPr>
            <w:color w:val="2B477B"/>
          </w:rPr>
          <w:t xml:space="preserve"> </w:t>
        </w:r>
        <w:r>
          <w:rPr>
            <w:rFonts w:ascii="Arial Unicode MS" w:eastAsia="Arial Unicode MS" w:hAnsi="Arial Unicode MS" w:cs="Arial Unicode MS"/>
            <w:color w:val="2B477B"/>
          </w:rPr>
          <w:t>Consolidada</w:t>
        </w:r>
        <w:r>
          <w:rPr>
            <w:color w:val="2B477B"/>
          </w:rPr>
          <w:t xml:space="preserve"> </w:t>
        </w:r>
        <w:r>
          <w:rPr>
            <w:rFonts w:ascii="Arial Unicode MS" w:eastAsia="Arial Unicode MS" w:hAnsi="Arial Unicode MS" w:cs="Arial Unicode MS"/>
            <w:color w:val="2B477B"/>
          </w:rPr>
          <w:t>No.</w:t>
        </w:r>
        <w:r>
          <w:rPr>
            <w:color w:val="2B477B"/>
          </w:rPr>
          <w:t xml:space="preserve"> 6/</w:t>
        </w:r>
        <w:r>
          <w:rPr>
            <w:rFonts w:ascii="Arial Unicode MS" w:eastAsia="Arial Unicode MS" w:hAnsi="Arial Unicode MS" w:cs="Arial Unicode MS"/>
            <w:color w:val="2B477B"/>
          </w:rPr>
          <w:t>GM</w:t>
        </w:r>
        <w:r>
          <w:rPr>
            <w:color w:val="2B477B"/>
          </w:rPr>
          <w:t>/</w:t>
        </w:r>
        <w:r>
          <w:rPr>
            <w:rFonts w:ascii="Arial Unicode MS" w:eastAsia="Arial Unicode MS" w:hAnsi="Arial Unicode MS" w:cs="Arial Unicode MS"/>
            <w:color w:val="2B477B"/>
          </w:rPr>
          <w:t>MS</w:t>
        </w:r>
        <w:r>
          <w:rPr>
            <w:color w:val="2B477B"/>
          </w:rPr>
          <w:t xml:space="preserve"> </w:t>
        </w:r>
        <w:r>
          <w:rPr>
            <w:rFonts w:ascii="Arial Unicode MS" w:eastAsia="Arial Unicode MS" w:hAnsi="Arial Unicode MS" w:cs="Arial Unicode MS"/>
            <w:color w:val="2B477B"/>
          </w:rPr>
          <w:t>de</w:t>
        </w:r>
        <w:r>
          <w:rPr>
            <w:color w:val="2B477B"/>
          </w:rPr>
          <w:t xml:space="preserve"> 2017</w:t>
        </w:r>
      </w:hyperlink>
      <w:r>
        <w:rPr>
          <w:rFonts w:ascii="Arial Unicode MS" w:eastAsia="Arial Unicode MS" w:hAnsi="Arial Unicode MS" w:cs="Arial Unicode MS"/>
          <w:color w:val="2B477B"/>
        </w:rPr>
        <w:t>.</w:t>
      </w:r>
    </w:p>
  </w:footnote>
  <w:footnote w:id="251">
    <w:p w14:paraId="56D4393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66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Subsecretaría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División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Prevención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Control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Enfermedades,</w:t>
      </w:r>
      <w:r>
        <w:rPr>
          <w:color w:val="2B477B"/>
        </w:rPr>
        <w:t xml:space="preserve"> </w:t>
      </w:r>
      <w:r>
        <w:rPr>
          <w:rFonts w:ascii="Arial Unicode MS" w:eastAsia="Arial Unicode MS" w:hAnsi="Arial Unicode MS" w:cs="Arial Unicode MS"/>
          <w:color w:val="2B477B"/>
        </w:rPr>
        <w:t>Departamento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Ciclo</w:t>
      </w:r>
      <w:r>
        <w:rPr>
          <w:color w:val="2B477B"/>
        </w:rPr>
        <w:t xml:space="preserve"> </w:t>
      </w:r>
      <w:r>
        <w:rPr>
          <w:rFonts w:ascii="Arial Unicode MS" w:eastAsia="Arial Unicode MS" w:hAnsi="Arial Unicode MS" w:cs="Arial Unicode MS"/>
          <w:color w:val="2B477B"/>
        </w:rPr>
        <w:t>Vital,</w:t>
      </w:r>
      <w:r>
        <w:rPr>
          <w:color w:val="2B477B"/>
        </w:rPr>
        <w:t xml:space="preserve"> </w:t>
      </w:r>
      <w:hyperlink r:id="rId482" w:history="1">
        <w:r>
          <w:rPr>
            <w:rFonts w:ascii="Arial Unicode MS" w:eastAsia="Arial Unicode MS" w:hAnsi="Arial Unicode MS" w:cs="Arial Unicode MS"/>
            <w:color w:val="2B477B"/>
          </w:rPr>
          <w:t>Política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Reproductiva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marzo</w:t>
      </w:r>
      <w:r>
        <w:rPr>
          <w:color w:val="2B477B"/>
        </w:rPr>
        <w:t xml:space="preserve"> 2018</w:t>
      </w:r>
      <w:r>
        <w:rPr>
          <w:rFonts w:ascii="Arial Unicode MS" w:eastAsia="Arial Unicode MS" w:hAnsi="Arial Unicode MS" w:cs="Arial Unicode MS"/>
          <w:color w:val="2B477B"/>
        </w:rPr>
        <w:t>.</w:t>
      </w:r>
      <w:r>
        <w:rPr>
          <w:color w:val="2B477B"/>
        </w:rPr>
        <w:t xml:space="preserve"> </w:t>
      </w:r>
    </w:p>
  </w:footnote>
  <w:footnote w:id="252">
    <w:p w14:paraId="26A4C7A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66</w:t>
      </w:r>
      <w:r>
        <w:rPr>
          <w:rFonts w:ascii="Arial Unicode MS" w:eastAsia="Arial Unicode MS" w:hAnsi="Arial Unicode MS" w:cs="Arial Unicode MS"/>
          <w:color w:val="2B477B"/>
        </w:rPr>
        <w:t>.</w:t>
      </w:r>
      <w:r>
        <w:rPr>
          <w:color w:val="2B477B"/>
        </w:rPr>
        <w:t xml:space="preserve"> </w:t>
      </w:r>
    </w:p>
  </w:footnote>
  <w:footnote w:id="253">
    <w:p w14:paraId="1A8D34F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observaciones</w:t>
      </w:r>
      <w:r>
        <w:rPr>
          <w:color w:val="2B477B"/>
        </w:rPr>
        <w:t xml:space="preserve"> </w:t>
      </w:r>
      <w:r>
        <w:rPr>
          <w:rFonts w:ascii="Arial Unicode MS" w:eastAsia="Arial Unicode MS" w:hAnsi="Arial Unicode MS" w:cs="Arial Unicode MS"/>
          <w:color w:val="2B477B"/>
        </w:rPr>
        <w:t>finales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inicial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expresó:</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le</w:t>
      </w:r>
      <w:r>
        <w:rPr>
          <w:color w:val="2B477B"/>
        </w:rPr>
        <w:t xml:space="preserve"> </w:t>
      </w:r>
      <w:r>
        <w:rPr>
          <w:rFonts w:ascii="Arial Unicode MS" w:eastAsia="Arial Unicode MS" w:hAnsi="Arial Unicode MS" w:cs="Arial Unicode MS"/>
          <w:color w:val="2B477B"/>
        </w:rPr>
        <w:t>preocupa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cobertura</w:t>
      </w:r>
      <w:r>
        <w:rPr>
          <w:color w:val="2B477B"/>
        </w:rPr>
        <w:t xml:space="preserve"> </w:t>
      </w:r>
      <w:r>
        <w:rPr>
          <w:rFonts w:ascii="Arial Unicode MS" w:eastAsia="Arial Unicode MS" w:hAnsi="Arial Unicode MS" w:cs="Arial Unicode MS"/>
          <w:color w:val="2B477B"/>
        </w:rPr>
        <w:t>limitada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acciones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rehabilitación.</w:t>
      </w:r>
      <w:r>
        <w:rPr>
          <w:color w:val="2B477B"/>
        </w:rPr>
        <w:t xml:space="preserve"> </w:t>
      </w:r>
      <w:r>
        <w:rPr>
          <w:rFonts w:ascii="Arial Unicode MS" w:eastAsia="Arial Unicode MS" w:hAnsi="Arial Unicode MS" w:cs="Arial Unicode MS"/>
          <w:color w:val="2B477B"/>
        </w:rPr>
        <w:t>Asimismo,</w:t>
      </w:r>
      <w:r>
        <w:rPr>
          <w:color w:val="2B477B"/>
        </w:rPr>
        <w:t xml:space="preserve"> </w:t>
      </w:r>
      <w:r>
        <w:rPr>
          <w:rFonts w:ascii="Arial Unicode MS" w:eastAsia="Arial Unicode MS" w:hAnsi="Arial Unicode MS" w:cs="Arial Unicode MS"/>
          <w:color w:val="2B477B"/>
        </w:rPr>
        <w:t>le</w:t>
      </w:r>
      <w:r>
        <w:rPr>
          <w:color w:val="2B477B"/>
        </w:rPr>
        <w:t xml:space="preserve"> </w:t>
      </w:r>
      <w:r>
        <w:rPr>
          <w:rFonts w:ascii="Arial Unicode MS" w:eastAsia="Arial Unicode MS" w:hAnsi="Arial Unicode MS" w:cs="Arial Unicode MS"/>
          <w:color w:val="2B477B"/>
        </w:rPr>
        <w:t>preocupa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destinen</w:t>
      </w:r>
      <w:r>
        <w:rPr>
          <w:color w:val="2B477B"/>
        </w:rPr>
        <w:t xml:space="preserve"> </w:t>
      </w:r>
      <w:r>
        <w:rPr>
          <w:rFonts w:ascii="Arial Unicode MS" w:eastAsia="Arial Unicode MS" w:hAnsi="Arial Unicode MS" w:cs="Arial Unicode MS"/>
          <w:color w:val="2B477B"/>
        </w:rPr>
        <w:t>fondos</w:t>
      </w:r>
      <w:r>
        <w:rPr>
          <w:color w:val="2B477B"/>
        </w:rPr>
        <w:t xml:space="preserve"> </w:t>
      </w:r>
      <w:r>
        <w:rPr>
          <w:rFonts w:ascii="Arial Unicode MS" w:eastAsia="Arial Unicode MS" w:hAnsi="Arial Unicode MS" w:cs="Arial Unicode MS"/>
          <w:color w:val="2B477B"/>
        </w:rPr>
        <w:t>públicos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financiamiento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privadas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dedican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rehabilitación</w:t>
      </w:r>
      <w:r>
        <w:rPr>
          <w:color w:val="2B477B"/>
        </w:rPr>
        <w:t xml:space="preserve"> </w:t>
      </w:r>
      <w:r>
        <w:rPr>
          <w:rFonts w:ascii="Arial Unicode MS" w:eastAsia="Arial Unicode MS" w:hAnsi="Arial Unicode MS" w:cs="Arial Unicode MS"/>
          <w:color w:val="2B477B"/>
        </w:rPr>
        <w:t>física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niños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ausencia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fiscalización,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ofrecidos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tales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sean</w:t>
      </w:r>
      <w:r>
        <w:rPr>
          <w:color w:val="2B477B"/>
        </w:rPr>
        <w:t xml:space="preserve"> </w:t>
      </w:r>
      <w:r>
        <w:rPr>
          <w:rFonts w:ascii="Arial Unicode MS" w:eastAsia="Arial Unicode MS" w:hAnsi="Arial Unicode MS" w:cs="Arial Unicode MS"/>
          <w:color w:val="2B477B"/>
        </w:rPr>
        <w:t>universales.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recomienda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priorizar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destinar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recursos</w:t>
      </w:r>
      <w:r>
        <w:rPr>
          <w:color w:val="2B477B"/>
        </w:rPr>
        <w:t xml:space="preserve"> </w:t>
      </w:r>
      <w:r>
        <w:rPr>
          <w:rFonts w:ascii="Arial Unicode MS" w:eastAsia="Arial Unicode MS" w:hAnsi="Arial Unicode MS" w:cs="Arial Unicode MS"/>
          <w:color w:val="2B477B"/>
        </w:rPr>
        <w:t>necesarios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disponer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rehabilitación</w:t>
      </w:r>
      <w:r>
        <w:rPr>
          <w:color w:val="2B477B"/>
        </w:rPr>
        <w:t xml:space="preserve"> </w:t>
      </w:r>
      <w:r>
        <w:rPr>
          <w:rFonts w:ascii="Arial Unicode MS" w:eastAsia="Arial Unicode MS" w:hAnsi="Arial Unicode MS" w:cs="Arial Unicode MS"/>
          <w:color w:val="2B477B"/>
        </w:rPr>
        <w:t>basados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dirigidos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desde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niñez</w:t>
      </w:r>
      <w:r>
        <w:rPr>
          <w:color w:val="2B477B"/>
        </w:rPr>
        <w:t xml:space="preserve"> </w:t>
      </w:r>
      <w:r>
        <w:rPr>
          <w:rFonts w:ascii="Arial Unicode MS" w:eastAsia="Arial Unicode MS" w:hAnsi="Arial Unicode MS" w:cs="Arial Unicode MS"/>
          <w:color w:val="2B477B"/>
        </w:rPr>
        <w:t>hasta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edad</w:t>
      </w:r>
      <w:r>
        <w:rPr>
          <w:color w:val="2B477B"/>
        </w:rPr>
        <w:t xml:space="preserve"> </w:t>
      </w:r>
      <w:r>
        <w:rPr>
          <w:rFonts w:ascii="Arial Unicode MS" w:eastAsia="Arial Unicode MS" w:hAnsi="Arial Unicode MS" w:cs="Arial Unicode MS"/>
          <w:color w:val="2B477B"/>
        </w:rPr>
        <w:t>adulta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fines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comunitaria.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implementación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estas</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alienta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consulte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particular,</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representan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niñas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niños,</w:t>
      </w:r>
      <w:r>
        <w:rPr>
          <w:color w:val="2B477B"/>
        </w:rPr>
        <w:t xml:space="preserve"> </w:t>
      </w:r>
      <w:r>
        <w:rPr>
          <w:rFonts w:ascii="Arial Unicode MS" w:eastAsia="Arial Unicode MS" w:hAnsi="Arial Unicode MS" w:cs="Arial Unicode MS"/>
          <w:color w:val="2B477B"/>
        </w:rPr>
        <w:t>indígenas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viviendo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zonas</w:t>
      </w:r>
      <w:r>
        <w:rPr>
          <w:color w:val="2B477B"/>
        </w:rPr>
        <w:t xml:space="preserve"> </w:t>
      </w:r>
      <w:r>
        <w:rPr>
          <w:rFonts w:ascii="Arial Unicode MS" w:eastAsia="Arial Unicode MS" w:hAnsi="Arial Unicode MS" w:cs="Arial Unicode MS"/>
          <w:color w:val="2B477B"/>
        </w:rPr>
        <w:t>rurales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remotas”;</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483" w:history="1">
        <w:r>
          <w:rPr>
            <w:rFonts w:ascii="Arial Unicode MS" w:eastAsia="Arial Unicode MS" w:hAnsi="Arial Unicode MS" w:cs="Arial Unicode MS"/>
            <w:color w:val="2B477B"/>
          </w:rPr>
          <w:t>Observaciones</w:t>
        </w:r>
        <w:r>
          <w:rPr>
            <w:color w:val="2B477B"/>
          </w:rPr>
          <w:t xml:space="preserve"> </w:t>
        </w:r>
        <w:r>
          <w:rPr>
            <w:rFonts w:ascii="Arial Unicode MS" w:eastAsia="Arial Unicode MS" w:hAnsi="Arial Unicode MS" w:cs="Arial Unicode MS"/>
            <w:color w:val="2B477B"/>
          </w:rPr>
          <w:t>Finales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Inicial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hyperlink>
      <w:r>
        <w:rPr>
          <w:color w:val="2B477B"/>
        </w:rPr>
        <w:t xml:space="preserve"> 18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55 </w:t>
      </w:r>
      <w:r>
        <w:rPr>
          <w:rFonts w:ascii="Arial Unicode MS" w:eastAsia="Arial Unicode MS" w:hAnsi="Arial Unicode MS" w:cs="Arial Unicode MS"/>
          <w:color w:val="2B477B"/>
        </w:rPr>
        <w:t>y</w:t>
      </w:r>
      <w:r>
        <w:rPr>
          <w:color w:val="2B477B"/>
        </w:rPr>
        <w:t xml:space="preserve"> 56</w:t>
      </w:r>
      <w:r>
        <w:rPr>
          <w:rFonts w:ascii="Arial Unicode MS" w:eastAsia="Arial Unicode MS" w:hAnsi="Arial Unicode MS" w:cs="Arial Unicode MS"/>
          <w:color w:val="2B477B"/>
        </w:rPr>
        <w:t>.</w:t>
      </w:r>
      <w:r>
        <w:rPr>
          <w:color w:val="2B477B"/>
        </w:rPr>
        <w:t xml:space="preserve"> </w:t>
      </w:r>
    </w:p>
  </w:footnote>
  <w:footnote w:id="254">
    <w:p w14:paraId="363641B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66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Subsecretaría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r>
        <w:rPr>
          <w:color w:val="2B477B"/>
        </w:rPr>
        <w:t xml:space="preserve"> </w:t>
      </w:r>
      <w:hyperlink r:id="rId484"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584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Regula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Deberes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tienen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Relación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Acciones</w:t>
        </w:r>
        <w:r>
          <w:rPr>
            <w:color w:val="2B477B"/>
          </w:rPr>
          <w:t xml:space="preserve"> </w:t>
        </w:r>
        <w:r>
          <w:rPr>
            <w:rFonts w:ascii="Arial Unicode MS" w:eastAsia="Arial Unicode MS" w:hAnsi="Arial Unicode MS" w:cs="Arial Unicode MS"/>
            <w:color w:val="2B477B"/>
          </w:rPr>
          <w:t>vinculadas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Salud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Biblioteca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Congreso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(BCN),</w:t>
      </w:r>
      <w:r>
        <w:rPr>
          <w:color w:val="2B477B"/>
        </w:rPr>
        <w:t xml:space="preserve"> 24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p>
  </w:footnote>
  <w:footnote w:id="255">
    <w:p w14:paraId="5A83329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Subsecretaría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arts.</w:t>
      </w:r>
      <w:r>
        <w:rPr>
          <w:color w:val="2B477B"/>
        </w:rPr>
        <w:t xml:space="preserve"> 10</w:t>
      </w:r>
      <w:r>
        <w:rPr>
          <w:rFonts w:ascii="Arial Unicode MS" w:eastAsia="Arial Unicode MS" w:hAnsi="Arial Unicode MS" w:cs="Arial Unicode MS"/>
          <w:color w:val="2B477B"/>
        </w:rPr>
        <w:t>,</w:t>
      </w:r>
      <w:r>
        <w:rPr>
          <w:color w:val="2B477B"/>
        </w:rPr>
        <w:t xml:space="preserve"> 14</w:t>
      </w:r>
      <w:r>
        <w:rPr>
          <w:rFonts w:ascii="Arial Unicode MS" w:eastAsia="Arial Unicode MS" w:hAnsi="Arial Unicode MS" w:cs="Arial Unicode MS"/>
          <w:color w:val="2B477B"/>
        </w:rPr>
        <w:t>,</w:t>
      </w:r>
      <w:r>
        <w:rPr>
          <w:color w:val="2B477B"/>
        </w:rPr>
        <w:t xml:space="preserve"> 15 </w:t>
      </w:r>
      <w:r>
        <w:rPr>
          <w:rFonts w:ascii="Arial Unicode MS" w:eastAsia="Arial Unicode MS" w:hAnsi="Arial Unicode MS" w:cs="Arial Unicode MS"/>
          <w:color w:val="2B477B"/>
        </w:rPr>
        <w:t>y</w:t>
      </w:r>
      <w:r>
        <w:rPr>
          <w:color w:val="2B477B"/>
        </w:rPr>
        <w:t xml:space="preserve"> 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volverá</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revisar</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adelante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relación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protección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tratos</w:t>
      </w:r>
      <w:r>
        <w:rPr>
          <w:color w:val="2B477B"/>
        </w:rPr>
        <w:t xml:space="preserve"> </w:t>
      </w:r>
      <w:r>
        <w:rPr>
          <w:rFonts w:ascii="Arial Unicode MS" w:eastAsia="Arial Unicode MS" w:hAnsi="Arial Unicode MS" w:cs="Arial Unicode MS"/>
          <w:color w:val="2B477B"/>
        </w:rPr>
        <w:t>crueles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degradantes.</w:t>
      </w:r>
    </w:p>
  </w:footnote>
  <w:footnote w:id="256">
    <w:p w14:paraId="7637A38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88</w:t>
      </w:r>
      <w:r>
        <w:rPr>
          <w:rFonts w:ascii="Arial Unicode MS" w:eastAsia="Arial Unicode MS" w:hAnsi="Arial Unicode MS" w:cs="Arial Unicode MS"/>
          <w:color w:val="2B477B"/>
        </w:rPr>
        <w:t>-</w:t>
      </w:r>
      <w:r>
        <w:rPr>
          <w:color w:val="2B477B"/>
        </w:rPr>
        <w:t>89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485"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Estatutaria</w:t>
        </w:r>
        <w:r>
          <w:rPr>
            <w:color w:val="2B477B"/>
          </w:rPr>
          <w:t xml:space="preserve"> 1618 </w:t>
        </w:r>
        <w:r>
          <w:rPr>
            <w:rFonts w:ascii="Arial Unicode MS" w:eastAsia="Arial Unicode MS" w:hAnsi="Arial Unicode MS" w:cs="Arial Unicode MS"/>
            <w:color w:val="2B477B"/>
          </w:rPr>
          <w:t>de</w:t>
        </w:r>
        <w:r>
          <w:rPr>
            <w:color w:val="2B477B"/>
          </w:rPr>
          <w:t xml:space="preserve"> 2013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medio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Disposiciones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Garantizar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Pleno</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p>
  </w:footnote>
  <w:footnote w:id="257">
    <w:p w14:paraId="4F89CE2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88</w:t>
      </w:r>
      <w:r>
        <w:rPr>
          <w:rFonts w:ascii="Arial Unicode MS" w:eastAsia="Arial Unicode MS" w:hAnsi="Arial Unicode MS" w:cs="Arial Unicode MS"/>
          <w:color w:val="2B477B"/>
        </w:rPr>
        <w:t>-</w:t>
      </w:r>
      <w:r>
        <w:rPr>
          <w:color w:val="2B477B"/>
        </w:rPr>
        <w:t>89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hyperlink r:id="rId486" w:history="1">
        <w:r>
          <w:rPr>
            <w:rFonts w:ascii="Arial Unicode MS" w:eastAsia="Arial Unicode MS" w:hAnsi="Arial Unicode MS" w:cs="Arial Unicode MS"/>
            <w:color w:val="2B477B"/>
          </w:rPr>
          <w:t>Resolución</w:t>
        </w:r>
        <w:r>
          <w:rPr>
            <w:color w:val="2B477B"/>
          </w:rPr>
          <w:t xml:space="preserve"> 1904 </w:t>
        </w:r>
        <w:r>
          <w:rPr>
            <w:rFonts w:ascii="Arial Unicode MS" w:eastAsia="Arial Unicode MS" w:hAnsi="Arial Unicode MS" w:cs="Arial Unicode MS"/>
            <w:color w:val="2B477B"/>
          </w:rPr>
          <w:t>de</w:t>
        </w:r>
        <w:r>
          <w:rPr>
            <w:color w:val="2B477B"/>
          </w:rPr>
          <w:t xml:space="preserve"> 2017</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2017</w:t>
      </w:r>
      <w:r>
        <w:rPr>
          <w:rFonts w:ascii="Arial Unicode MS" w:eastAsia="Arial Unicode MS" w:hAnsi="Arial Unicode MS" w:cs="Arial Unicode MS"/>
          <w:color w:val="2B477B"/>
        </w:rPr>
        <w:t>.</w:t>
      </w:r>
    </w:p>
  </w:footnote>
  <w:footnote w:id="258">
    <w:p w14:paraId="74B7AE0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83</w:t>
      </w:r>
      <w:r>
        <w:rPr>
          <w:rFonts w:ascii="Arial Unicode MS" w:eastAsia="Arial Unicode MS" w:hAnsi="Arial Unicode MS" w:cs="Arial Unicode MS"/>
          <w:color w:val="2B477B"/>
        </w:rPr>
        <w:t>.</w:t>
      </w:r>
      <w:r>
        <w:rPr>
          <w:color w:val="2B477B"/>
        </w:rPr>
        <w:t xml:space="preserve"> </w:t>
      </w:r>
    </w:p>
  </w:footnote>
  <w:footnote w:id="259">
    <w:p w14:paraId="459C0AE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117</w:t>
      </w:r>
      <w:r>
        <w:rPr>
          <w:rFonts w:ascii="Arial Unicode MS" w:eastAsia="Arial Unicode MS" w:hAnsi="Arial Unicode MS" w:cs="Arial Unicode MS"/>
          <w:color w:val="2B477B"/>
        </w:rPr>
        <w:t>-</w:t>
      </w:r>
      <w:r>
        <w:rPr>
          <w:color w:val="2B477B"/>
        </w:rPr>
        <w:t>118</w:t>
      </w:r>
      <w:r>
        <w:rPr>
          <w:rFonts w:ascii="Arial Unicode MS" w:eastAsia="Arial Unicode MS" w:hAnsi="Arial Unicode MS" w:cs="Arial Unicode MS"/>
          <w:color w:val="2B477B"/>
        </w:rPr>
        <w:t>.</w:t>
      </w:r>
      <w:r>
        <w:rPr>
          <w:color w:val="2B477B"/>
        </w:rPr>
        <w:t xml:space="preserve"> </w:t>
      </w:r>
    </w:p>
  </w:footnote>
  <w:footnote w:id="260">
    <w:p w14:paraId="0E5BEB8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85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487"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Política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47</w:t>
      </w:r>
      <w:r>
        <w:rPr>
          <w:rFonts w:ascii="Arial Unicode MS" w:eastAsia="Arial Unicode MS" w:hAnsi="Arial Unicode MS" w:cs="Arial Unicode MS"/>
          <w:color w:val="2B477B"/>
        </w:rPr>
        <w:t>,</w:t>
      </w:r>
      <w:r>
        <w:rPr>
          <w:color w:val="2B477B"/>
        </w:rPr>
        <w:t xml:space="preserve"> 2008</w:t>
      </w:r>
      <w:r>
        <w:rPr>
          <w:rFonts w:ascii="Arial Unicode MS" w:eastAsia="Arial Unicode MS" w:hAnsi="Arial Unicode MS" w:cs="Arial Unicode MS"/>
          <w:color w:val="2B477B"/>
        </w:rPr>
        <w:t>.</w:t>
      </w:r>
    </w:p>
  </w:footnote>
  <w:footnote w:id="261">
    <w:p w14:paraId="77688F08" w14:textId="77777777" w:rsidR="001A105D" w:rsidRDefault="00000000">
      <w:pPr>
        <w:pStyle w:val="Body"/>
        <w:jc w:val="left"/>
      </w:pPr>
      <w:r>
        <w:rPr>
          <w:rStyle w:val="None"/>
          <w:color w:val="2B477B"/>
          <w:vertAlign w:val="superscript"/>
        </w:rPr>
        <w:footnoteRef/>
      </w:r>
      <w:r>
        <w:rPr>
          <w:color w:val="2B477B"/>
        </w:rPr>
        <w:t xml:space="preserve"> </w:t>
      </w:r>
      <w:hyperlink r:id="rId488" w:history="1">
        <w:r>
          <w:rPr>
            <w:rStyle w:val="Hyperlink0"/>
            <w:rFonts w:ascii="Arial Unicode MS" w:eastAsia="Arial Unicode MS" w:hAnsi="Arial Unicode MS" w:cs="Arial Unicode MS"/>
          </w:rPr>
          <w:t>Constitución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Guyana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24</w:t>
      </w:r>
      <w:r>
        <w:rPr>
          <w:rFonts w:ascii="Arial Unicode MS" w:eastAsia="Arial Unicode MS" w:hAnsi="Arial Unicode MS" w:cs="Arial Unicode MS"/>
          <w:color w:val="2B477B"/>
        </w:rPr>
        <w:t>,</w:t>
      </w:r>
      <w:r>
        <w:rPr>
          <w:color w:val="2B477B"/>
        </w:rPr>
        <w:t xml:space="preserve"> 1980</w:t>
      </w:r>
      <w:r>
        <w:rPr>
          <w:rFonts w:ascii="Arial Unicode MS" w:eastAsia="Arial Unicode MS" w:hAnsi="Arial Unicode MS" w:cs="Arial Unicode MS"/>
          <w:color w:val="2B477B"/>
        </w:rPr>
        <w:t>.</w:t>
      </w:r>
      <w:r>
        <w:rPr>
          <w:color w:val="2B477B"/>
        </w:rPr>
        <w:t xml:space="preserve"> </w:t>
      </w:r>
    </w:p>
  </w:footnote>
  <w:footnote w:id="262">
    <w:p w14:paraId="01442E0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Guayana,</w:t>
      </w:r>
      <w:r>
        <w:rPr>
          <w:color w:val="2B477B"/>
        </w:rPr>
        <w:t xml:space="preserve"> </w:t>
      </w:r>
      <w:hyperlink r:id="rId489" w:history="1">
        <w:r>
          <w:rPr>
            <w:rStyle w:val="Hyperlink0"/>
            <w:rFonts w:ascii="Arial Unicode MS" w:eastAsia="Arial Unicode MS" w:hAnsi="Arial Unicode MS" w:cs="Arial Unicode MS"/>
          </w:rPr>
          <w:t>Persons</w:t>
        </w:r>
        <w:r>
          <w:rPr>
            <w:rStyle w:val="Hyperlink0"/>
          </w:rPr>
          <w:t xml:space="preserve"> </w:t>
        </w:r>
        <w:r>
          <w:rPr>
            <w:rStyle w:val="Hyperlink0"/>
            <w:rFonts w:ascii="Arial Unicode MS" w:eastAsia="Arial Unicode MS" w:hAnsi="Arial Unicode MS" w:cs="Arial Unicode MS"/>
          </w:rPr>
          <w:t>with</w:t>
        </w:r>
        <w:r>
          <w:rPr>
            <w:rStyle w:val="Hyperlink0"/>
          </w:rPr>
          <w:t xml:space="preserve"> </w:t>
        </w:r>
        <w:r>
          <w:rPr>
            <w:rStyle w:val="Hyperlink0"/>
            <w:rFonts w:ascii="Arial Unicode MS" w:eastAsia="Arial Unicode MS" w:hAnsi="Arial Unicode MS" w:cs="Arial Unicode MS"/>
          </w:rPr>
          <w:t>Disabilities</w:t>
        </w:r>
        <w:r>
          <w:rPr>
            <w:rStyle w:val="Hyperlink0"/>
          </w:rPr>
          <w:t xml:space="preserve"> </w:t>
        </w:r>
        <w:r>
          <w:rPr>
            <w:rStyle w:val="Hyperlink0"/>
            <w:rFonts w:ascii="Arial Unicode MS" w:eastAsia="Arial Unicode MS" w:hAnsi="Arial Unicode MS" w:cs="Arial Unicode MS"/>
          </w:rPr>
          <w:t>Act</w:t>
        </w:r>
      </w:hyperlink>
      <w:r>
        <w:rPr>
          <w:rFonts w:ascii="Arial Unicode MS" w:eastAsia="Arial Unicode MS" w:hAnsi="Arial Unicode MS" w:cs="Arial Unicode MS"/>
          <w:color w:val="2B477B"/>
        </w:rPr>
        <w:t>,</w:t>
      </w:r>
      <w:r>
        <w:rPr>
          <w:color w:val="2B477B"/>
        </w:rPr>
        <w:t xml:space="preserve"> 2010</w:t>
      </w:r>
      <w:r>
        <w:rPr>
          <w:rFonts w:ascii="Arial Unicode MS" w:eastAsia="Arial Unicode MS" w:hAnsi="Arial Unicode MS" w:cs="Arial Unicode MS"/>
          <w:color w:val="2B477B"/>
        </w:rPr>
        <w:t>.</w:t>
      </w:r>
      <w:r>
        <w:rPr>
          <w:color w:val="2B477B"/>
        </w:rPr>
        <w:t xml:space="preserve"> </w:t>
      </w:r>
    </w:p>
  </w:footnote>
  <w:footnote w:id="263">
    <w:p w14:paraId="2FA78436" w14:textId="77777777" w:rsidR="001A105D" w:rsidRDefault="00000000">
      <w:pPr>
        <w:pStyle w:val="Body"/>
        <w:jc w:val="left"/>
      </w:pPr>
      <w:r>
        <w:rPr>
          <w:rStyle w:val="None"/>
          <w:color w:val="2B477B"/>
          <w:vertAlign w:val="superscript"/>
        </w:rPr>
        <w:footnoteRef/>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Guayana,</w:t>
      </w:r>
      <w:r>
        <w:rPr>
          <w:color w:val="2B477B"/>
        </w:rPr>
        <w:t xml:space="preserve"> </w:t>
      </w:r>
      <w:hyperlink r:id="rId490" w:history="1">
        <w:r>
          <w:rPr>
            <w:rStyle w:val="Hyperlink2"/>
            <w:rFonts w:ascii="Arial Unicode MS" w:eastAsia="Arial Unicode MS" w:hAnsi="Arial Unicode MS" w:cs="Arial Unicode MS"/>
            <w:color w:val="2B477B"/>
          </w:rPr>
          <w:t>H</w:t>
        </w:r>
        <w:r>
          <w:rPr>
            <w:rStyle w:val="Hyperlink0"/>
            <w:rFonts w:ascii="Arial Unicode MS" w:eastAsia="Arial Unicode MS" w:hAnsi="Arial Unicode MS" w:cs="Arial Unicode MS"/>
          </w:rPr>
          <w:t>ealth</w:t>
        </w:r>
        <w:r>
          <w:rPr>
            <w:rStyle w:val="Hyperlink0"/>
          </w:rPr>
          <w:t xml:space="preserve"> </w:t>
        </w:r>
        <w:r>
          <w:rPr>
            <w:rStyle w:val="Hyperlink0"/>
            <w:rFonts w:ascii="Arial Unicode MS" w:eastAsia="Arial Unicode MS" w:hAnsi="Arial Unicode MS" w:cs="Arial Unicode MS"/>
          </w:rPr>
          <w:t>Facilities</w:t>
        </w:r>
        <w:r>
          <w:rPr>
            <w:rStyle w:val="Hyperlink0"/>
          </w:rPr>
          <w:t xml:space="preserve"> </w:t>
        </w:r>
        <w:r>
          <w:rPr>
            <w:rStyle w:val="Hyperlink0"/>
            <w:rFonts w:ascii="Arial Unicode MS" w:eastAsia="Arial Unicode MS" w:hAnsi="Arial Unicode MS" w:cs="Arial Unicode MS"/>
          </w:rPr>
          <w:t>Licensing</w:t>
        </w:r>
        <w:r>
          <w:rPr>
            <w:rStyle w:val="Hyperlink0"/>
          </w:rPr>
          <w:t xml:space="preserve"> </w:t>
        </w:r>
        <w:r>
          <w:rPr>
            <w:rStyle w:val="Hyperlink0"/>
            <w:rFonts w:ascii="Arial Unicode MS" w:eastAsia="Arial Unicode MS" w:hAnsi="Arial Unicode MS" w:cs="Arial Unicode MS"/>
          </w:rPr>
          <w:t>Regulations</w:t>
        </w:r>
      </w:hyperlink>
      <w:r>
        <w:rPr>
          <w:rStyle w:val="Hyperlink2"/>
          <w:rFonts w:ascii="Arial Unicode MS" w:eastAsia="Arial Unicode MS" w:hAnsi="Arial Unicode MS" w:cs="Arial Unicode MS"/>
          <w:color w:val="2B477B"/>
        </w:rPr>
        <w:t>,</w:t>
      </w:r>
      <w:r>
        <w:rPr>
          <w:rStyle w:val="Hyperlink2"/>
          <w:color w:val="2B477B"/>
        </w:rPr>
        <w:t xml:space="preserve"> 2007</w:t>
      </w:r>
      <w:r>
        <w:rPr>
          <w:rStyle w:val="Hyperlink2"/>
          <w:rFonts w:ascii="Arial Unicode MS" w:eastAsia="Arial Unicode MS" w:hAnsi="Arial Unicode MS" w:cs="Arial Unicode MS"/>
          <w:color w:val="2B477B"/>
        </w:rPr>
        <w:t>.</w:t>
      </w:r>
      <w:r>
        <w:rPr>
          <w:rStyle w:val="Hyperlink2"/>
          <w:color w:val="2B477B"/>
        </w:rPr>
        <w:t xml:space="preserve"> </w:t>
      </w:r>
    </w:p>
  </w:footnote>
  <w:footnote w:id="264">
    <w:p w14:paraId="4887DD2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r>
        <w:rPr>
          <w:color w:val="2B477B"/>
        </w:rPr>
        <w:t xml:space="preserve"> </w:t>
      </w:r>
      <w:hyperlink r:id="rId491" w:history="1">
        <w:r>
          <w:rPr>
            <w:rFonts w:ascii="Arial Unicode MS" w:eastAsia="Arial Unicode MS" w:hAnsi="Arial Unicode MS" w:cs="Arial Unicode MS"/>
            <w:color w:val="2B477B"/>
          </w:rPr>
          <w:t>Medical</w:t>
        </w:r>
        <w:r>
          <w:rPr>
            <w:color w:val="2B477B"/>
          </w:rPr>
          <w:t xml:space="preserve"> </w:t>
        </w:r>
        <w:r>
          <w:rPr>
            <w:rFonts w:ascii="Arial Unicode MS" w:eastAsia="Arial Unicode MS" w:hAnsi="Arial Unicode MS" w:cs="Arial Unicode MS"/>
            <w:color w:val="2B477B"/>
          </w:rPr>
          <w:t>Practitioners</w:t>
        </w:r>
        <w:r>
          <w:rPr>
            <w:color w:val="2B477B"/>
          </w:rPr>
          <w:t xml:space="preserve"> </w:t>
        </w:r>
        <w:r>
          <w:rPr>
            <w:rFonts w:ascii="Arial Unicode MS" w:eastAsia="Arial Unicode MS" w:hAnsi="Arial Unicode MS" w:cs="Arial Unicode MS"/>
            <w:color w:val="2B477B"/>
          </w:rPr>
          <w:t>Act</w:t>
        </w:r>
      </w:hyperlink>
      <w:hyperlink r:id="rId492" w:history="1">
        <w:r>
          <w:rPr>
            <w:rStyle w:val="Hyperlink0"/>
            <w:rFonts w:ascii="Arial Unicode MS" w:eastAsia="Arial Unicode MS" w:hAnsi="Arial Unicode MS" w:cs="Arial Unicode MS"/>
          </w:rPr>
          <w:t>,</w:t>
        </w:r>
      </w:hyperlink>
      <w:r>
        <w:rPr>
          <w:color w:val="2B477B"/>
        </w:rPr>
        <w:t xml:space="preserve"> 1991</w:t>
      </w:r>
      <w:r>
        <w:rPr>
          <w:rFonts w:ascii="Arial Unicode MS" w:eastAsia="Arial Unicode MS" w:hAnsi="Arial Unicode MS" w:cs="Arial Unicode MS"/>
          <w:color w:val="2B477B"/>
        </w:rPr>
        <w:t>.</w:t>
      </w:r>
      <w:r>
        <w:rPr>
          <w:color w:val="2B477B"/>
        </w:rPr>
        <w:t xml:space="preserve"> </w:t>
      </w:r>
    </w:p>
  </w:footnote>
  <w:footnote w:id="265">
    <w:p w14:paraId="1F3B850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Guyana,</w:t>
      </w:r>
      <w:r>
        <w:rPr>
          <w:color w:val="2B477B"/>
        </w:rPr>
        <w:t xml:space="preserve"> </w:t>
      </w:r>
      <w:hyperlink r:id="rId493" w:history="1">
        <w:r>
          <w:rPr>
            <w:rFonts w:ascii="Arial Unicode MS" w:eastAsia="Arial Unicode MS" w:hAnsi="Arial Unicode MS" w:cs="Arial Unicode MS"/>
            <w:color w:val="2B477B"/>
          </w:rPr>
          <w:t>Medical</w:t>
        </w:r>
        <w:r>
          <w:rPr>
            <w:color w:val="2B477B"/>
          </w:rPr>
          <w:t xml:space="preserve"> </w:t>
        </w:r>
        <w:r>
          <w:rPr>
            <w:rFonts w:ascii="Arial Unicode MS" w:eastAsia="Arial Unicode MS" w:hAnsi="Arial Unicode MS" w:cs="Arial Unicode MS"/>
            <w:color w:val="2B477B"/>
          </w:rPr>
          <w:t>Termination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Pregn</w:t>
        </w:r>
        <w:r>
          <w:rPr>
            <w:rStyle w:val="Hyperlink0"/>
            <w:rFonts w:ascii="Arial Unicode MS" w:eastAsia="Arial Unicode MS" w:hAnsi="Arial Unicode MS" w:cs="Arial Unicode MS"/>
          </w:rPr>
          <w:t>ancy</w:t>
        </w:r>
        <w:r>
          <w:rPr>
            <w:rStyle w:val="Hyperlink0"/>
          </w:rPr>
          <w:t xml:space="preserve"> </w:t>
        </w:r>
        <w:r>
          <w:rPr>
            <w:rStyle w:val="Hyperlink0"/>
            <w:rFonts w:ascii="Arial Unicode MS" w:eastAsia="Arial Unicode MS" w:hAnsi="Arial Unicode MS" w:cs="Arial Unicode MS"/>
          </w:rPr>
          <w:t>Act</w:t>
        </w:r>
      </w:hyperlink>
      <w:r>
        <w:rPr>
          <w:rFonts w:ascii="Arial Unicode MS" w:eastAsia="Arial Unicode MS" w:hAnsi="Arial Unicode MS" w:cs="Arial Unicode MS"/>
          <w:color w:val="2B477B"/>
        </w:rPr>
        <w:t>,</w:t>
      </w:r>
      <w:r>
        <w:rPr>
          <w:color w:val="2B477B"/>
        </w:rPr>
        <w:t xml:space="preserve"> 1995</w:t>
      </w:r>
      <w:r>
        <w:rPr>
          <w:rFonts w:ascii="Arial Unicode MS" w:eastAsia="Arial Unicode MS" w:hAnsi="Arial Unicode MS" w:cs="Arial Unicode MS"/>
          <w:color w:val="2B477B"/>
        </w:rPr>
        <w:t>.</w:t>
      </w:r>
      <w:r>
        <w:rPr>
          <w:color w:val="2B477B"/>
        </w:rPr>
        <w:t xml:space="preserve"> </w:t>
      </w:r>
    </w:p>
  </w:footnote>
  <w:footnote w:id="266">
    <w:p w14:paraId="496B690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r>
        <w:rPr>
          <w:rStyle w:val="Hyperlink2"/>
          <w:color w:val="2B477B"/>
        </w:rPr>
        <w:t xml:space="preserve"> </w:t>
      </w:r>
      <w:hyperlink r:id="rId494" w:history="1">
        <w:r>
          <w:rPr>
            <w:rStyle w:val="Hyperlink0"/>
            <w:rFonts w:ascii="Arial Unicode MS" w:eastAsia="Arial Unicode MS" w:hAnsi="Arial Unicode MS" w:cs="Arial Unicode MS"/>
          </w:rPr>
          <w:t>Ley</w:t>
        </w:r>
        <w:r>
          <w:rPr>
            <w:rStyle w:val="Hyperlink0"/>
          </w:rPr>
          <w:t xml:space="preserve"> </w:t>
        </w:r>
        <w:r>
          <w:rPr>
            <w:rStyle w:val="Hyperlink0"/>
            <w:rFonts w:ascii="Arial Unicode MS" w:eastAsia="Arial Unicode MS" w:hAnsi="Arial Unicode MS" w:cs="Arial Unicode MS"/>
          </w:rPr>
          <w:t>para</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Integración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color w:val="2B477B"/>
        </w:rPr>
        <w:t>,</w:t>
      </w:r>
      <w:r>
        <w:rPr>
          <w:color w:val="2B477B"/>
        </w:rPr>
        <w:t xml:space="preserve"> 2012</w:t>
      </w:r>
      <w:r>
        <w:rPr>
          <w:rFonts w:ascii="Arial Unicode MS" w:eastAsia="Arial Unicode MS" w:hAnsi="Arial Unicode MS" w:cs="Arial Unicode MS"/>
          <w:color w:val="2B477B"/>
        </w:rPr>
        <w:t>.</w:t>
      </w:r>
      <w:r>
        <w:rPr>
          <w:color w:val="2B477B"/>
        </w:rPr>
        <w:t xml:space="preserve"> </w:t>
      </w:r>
    </w:p>
  </w:footnote>
  <w:footnote w:id="267">
    <w:p w14:paraId="38AA4688" w14:textId="77777777" w:rsidR="001A105D" w:rsidRDefault="00000000">
      <w:pPr>
        <w:pStyle w:val="Body"/>
        <w:jc w:val="left"/>
      </w:pPr>
      <w:r>
        <w:rPr>
          <w:rStyle w:val="None"/>
          <w:color w:val="2B477B"/>
          <w:vertAlign w:val="superscript"/>
        </w:rPr>
        <w:footnoteRef/>
      </w:r>
      <w:r>
        <w:rPr>
          <w:rStyle w:val="None"/>
          <w:rFonts w:ascii="Helvetica LT Std Oblique" w:hAnsi="Helvetica LT Std Oblique"/>
          <w:color w:val="2B477B"/>
          <w:vertAlign w:val="superscript"/>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Inicial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Haití,</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rStyle w:val="Hyperlink3"/>
          <w:color w:val="2B477B"/>
        </w:rPr>
        <w:t xml:space="preserve"> </w:t>
      </w:r>
      <w:r>
        <w:rPr>
          <w:rFonts w:ascii="Arial Unicode MS" w:eastAsia="Arial Unicode MS" w:hAnsi="Arial Unicode MS" w:cs="Arial Unicode MS"/>
          <w:color w:val="2B477B"/>
        </w:rPr>
        <w:t>Bregaglio,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hyperlink r:id="rId495" w:history="1">
        <w:r>
          <w:rPr>
            <w:rStyle w:val="Hyperlink2"/>
            <w:rFonts w:ascii="Arial Unicode MS" w:eastAsia="Arial Unicode MS" w:hAnsi="Arial Unicode MS" w:cs="Arial Unicode MS"/>
            <w:color w:val="2B477B"/>
          </w:rPr>
          <w:t>Marco</w:t>
        </w:r>
        <w:r>
          <w:rPr>
            <w:rStyle w:val="Hyperlink2"/>
            <w:color w:val="2B477B"/>
          </w:rPr>
          <w:t xml:space="preserve"> </w:t>
        </w:r>
        <w:r>
          <w:rPr>
            <w:rStyle w:val="Hyperlink2"/>
            <w:rFonts w:ascii="Arial Unicode MS" w:eastAsia="Arial Unicode MS" w:hAnsi="Arial Unicode MS" w:cs="Arial Unicode MS"/>
            <w:color w:val="2B477B"/>
          </w:rPr>
          <w:t>Legal</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los</w:t>
        </w:r>
        <w:r>
          <w:rPr>
            <w:rStyle w:val="Hyperlink2"/>
            <w:color w:val="2B477B"/>
          </w:rPr>
          <w:t xml:space="preserve"> </w:t>
        </w:r>
        <w:r>
          <w:rPr>
            <w:rStyle w:val="Hyperlink2"/>
            <w:rFonts w:ascii="Arial Unicode MS" w:eastAsia="Arial Unicode MS" w:hAnsi="Arial Unicode MS" w:cs="Arial Unicode MS"/>
            <w:color w:val="2B477B"/>
          </w:rPr>
          <w:t>Derechos</w:t>
        </w:r>
        <w:r>
          <w:rPr>
            <w:rStyle w:val="Hyperlink2"/>
            <w:color w:val="2B477B"/>
          </w:rPr>
          <w:t xml:space="preserve"> </w:t>
        </w:r>
        <w:r>
          <w:rPr>
            <w:rStyle w:val="Hyperlink2"/>
            <w:rFonts w:ascii="Arial Unicode MS" w:eastAsia="Arial Unicode MS" w:hAnsi="Arial Unicode MS" w:cs="Arial Unicode MS"/>
            <w:color w:val="2B477B"/>
          </w:rPr>
          <w:t>de</w:t>
        </w:r>
        <w:r>
          <w:rPr>
            <w:rStyle w:val="Hyperlink2"/>
            <w:color w:val="2B477B"/>
          </w:rPr>
          <w:t xml:space="preserve"> </w:t>
        </w:r>
        <w:r>
          <w:rPr>
            <w:rStyle w:val="Hyperlink2"/>
            <w:rFonts w:ascii="Arial Unicode MS" w:eastAsia="Arial Unicode MS" w:hAnsi="Arial Unicode MS" w:cs="Arial Unicode MS"/>
            <w:color w:val="2B477B"/>
          </w:rPr>
          <w:t>las</w:t>
        </w:r>
        <w:r>
          <w:rPr>
            <w:rStyle w:val="Hyperlink2"/>
            <w:color w:val="2B477B"/>
          </w:rPr>
          <w:t xml:space="preserve"> </w:t>
        </w:r>
        <w:r>
          <w:rPr>
            <w:rStyle w:val="Hyperlink2"/>
            <w:rFonts w:ascii="Arial Unicode MS" w:eastAsia="Arial Unicode MS" w:hAnsi="Arial Unicode MS" w:cs="Arial Unicode MS"/>
            <w:color w:val="2B477B"/>
          </w:rPr>
          <w:t>Personas</w:t>
        </w:r>
        <w:r>
          <w:rPr>
            <w:rStyle w:val="Hyperlink2"/>
            <w:color w:val="2B477B"/>
          </w:rPr>
          <w:t xml:space="preserve"> </w:t>
        </w:r>
        <w:r>
          <w:rPr>
            <w:rStyle w:val="Hyperlink2"/>
            <w:rFonts w:ascii="Arial Unicode MS" w:eastAsia="Arial Unicode MS" w:hAnsi="Arial Unicode MS" w:cs="Arial Unicode MS"/>
            <w:color w:val="2B477B"/>
          </w:rPr>
          <w:t>con</w:t>
        </w:r>
        <w:r>
          <w:rPr>
            <w:rStyle w:val="Hyperlink2"/>
            <w:color w:val="2B477B"/>
          </w:rPr>
          <w:t xml:space="preserve"> </w:t>
        </w:r>
        <w:r>
          <w:rPr>
            <w:rStyle w:val="Hyperlink2"/>
            <w:rFonts w:ascii="Arial Unicode MS" w:eastAsia="Arial Unicode MS" w:hAnsi="Arial Unicode MS" w:cs="Arial Unicode MS"/>
            <w:color w:val="2B477B"/>
          </w:rPr>
          <w:t>Discapacidad:</w:t>
        </w:r>
        <w:r>
          <w:rPr>
            <w:rStyle w:val="Hyperlink2"/>
            <w:color w:val="2B477B"/>
          </w:rPr>
          <w:t xml:space="preserve"> </w:t>
        </w:r>
        <w:r>
          <w:rPr>
            <w:rStyle w:val="Hyperlink2"/>
            <w:rFonts w:ascii="Arial Unicode MS" w:eastAsia="Arial Unicode MS" w:hAnsi="Arial Unicode MS" w:cs="Arial Unicode MS"/>
            <w:color w:val="2B477B"/>
          </w:rPr>
          <w:t>América</w:t>
        </w:r>
        <w:r>
          <w:rPr>
            <w:rStyle w:val="Hyperlink0"/>
          </w:rPr>
          <w:t xml:space="preserve"> </w:t>
        </w:r>
        <w:r>
          <w:rPr>
            <w:rStyle w:val="Hyperlink0"/>
            <w:rFonts w:ascii="Arial Unicode MS" w:eastAsia="Arial Unicode MS" w:hAnsi="Arial Unicode MS" w:cs="Arial Unicode MS"/>
          </w:rPr>
          <w:t>Latina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Caribe</w:t>
        </w:r>
      </w:hyperlink>
      <w:hyperlink r:id="rId496" w:history="1">
        <w:r>
          <w:rPr>
            <w:rStyle w:val="Hyperlink0"/>
            <w:rFonts w:ascii="Arial Unicode MS" w:eastAsia="Arial Unicode MS" w:hAnsi="Arial Unicode MS" w:cs="Arial Unicode MS"/>
          </w:rPr>
          <w:t>,</w:t>
        </w:r>
      </w:hyperlink>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(BID)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Americanos</w:t>
      </w:r>
      <w:r>
        <w:rPr>
          <w:color w:val="2B477B"/>
        </w:rPr>
        <w:t xml:space="preserve"> </w:t>
      </w:r>
      <w:r>
        <w:rPr>
          <w:rFonts w:ascii="Arial Unicode MS" w:eastAsia="Arial Unicode MS" w:hAnsi="Arial Unicode MS" w:cs="Arial Unicode MS"/>
          <w:color w:val="2B477B"/>
        </w:rPr>
        <w:t>(OEA),</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61</w:t>
      </w:r>
      <w:r>
        <w:rPr>
          <w:rFonts w:ascii="Arial Unicode MS" w:eastAsia="Arial Unicode MS" w:hAnsi="Arial Unicode MS" w:cs="Arial Unicode MS"/>
          <w:color w:val="2B477B"/>
        </w:rPr>
        <w:t>.</w:t>
      </w:r>
    </w:p>
  </w:footnote>
  <w:footnote w:id="268">
    <w:p w14:paraId="7760A05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Bregaglio,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América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Caribe,</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62</w:t>
      </w:r>
      <w:r>
        <w:rPr>
          <w:rFonts w:ascii="Arial Unicode MS" w:eastAsia="Arial Unicode MS" w:hAnsi="Arial Unicode MS" w:cs="Arial Unicode MS"/>
          <w:color w:val="2B477B"/>
        </w:rPr>
        <w:t>.</w:t>
      </w:r>
    </w:p>
  </w:footnote>
  <w:footnote w:id="269">
    <w:p w14:paraId="50F396F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497" w:history="1">
        <w:r>
          <w:rPr>
            <w:rStyle w:val="Hyperlink1"/>
            <w:rFonts w:ascii="Arial Unicode MS" w:eastAsia="Arial Unicode MS" w:hAnsi="Arial Unicode MS" w:cs="Arial Unicode MS"/>
            <w:u w:val="single"/>
          </w:rPr>
          <w:t>Secretaría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Salud</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Honduras</w:t>
        </w:r>
      </w:hyperlink>
      <w:r>
        <w:rPr>
          <w:color w:val="2B477B"/>
        </w:rPr>
        <w:t xml:space="preserve"> </w:t>
      </w:r>
      <w:r>
        <w:rPr>
          <w:rFonts w:ascii="Arial Unicode MS" w:eastAsia="Arial Unicode MS" w:hAnsi="Arial Unicode MS" w:cs="Arial Unicode MS"/>
          <w:color w:val="2B477B"/>
        </w:rPr>
        <w:t>(SESAL).</w:t>
      </w:r>
      <w:r>
        <w:rPr>
          <w:color w:val="2B477B"/>
        </w:rPr>
        <w:t xml:space="preserve"> </w:t>
      </w:r>
    </w:p>
  </w:footnote>
  <w:footnote w:id="270">
    <w:p w14:paraId="2BF2B96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particular,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recibido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(FENOPDIH),</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Padres,</w:t>
      </w:r>
      <w:r>
        <w:rPr>
          <w:color w:val="2B477B"/>
        </w:rPr>
        <w:t xml:space="preserve"> </w:t>
      </w:r>
      <w:r>
        <w:rPr>
          <w:rFonts w:ascii="Arial Unicode MS" w:eastAsia="Arial Unicode MS" w:hAnsi="Arial Unicode MS" w:cs="Arial Unicode MS"/>
          <w:color w:val="2B477B"/>
        </w:rPr>
        <w:t>Madres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(FENAPAPEDISH),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abril</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relación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situaciones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esterilización</w:t>
      </w:r>
      <w:r>
        <w:rPr>
          <w:color w:val="2B477B"/>
        </w:rPr>
        <w:t xml:space="preserve"> </w:t>
      </w:r>
      <w:r>
        <w:rPr>
          <w:rFonts w:ascii="Arial Unicode MS" w:eastAsia="Arial Unicode MS" w:hAnsi="Arial Unicode MS" w:cs="Arial Unicode MS"/>
          <w:color w:val="2B477B"/>
        </w:rPr>
        <w:t>forzada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país.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dos</w:t>
      </w:r>
      <w:r>
        <w:rPr>
          <w:color w:val="2B477B"/>
        </w:rPr>
        <w:t xml:space="preserve"> </w:t>
      </w:r>
      <w:r>
        <w:rPr>
          <w:rFonts w:ascii="Arial Unicode MS" w:eastAsia="Arial Unicode MS" w:hAnsi="Arial Unicode MS" w:cs="Arial Unicode MS"/>
          <w:color w:val="2B477B"/>
        </w:rPr>
        <w:t>informes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Consulta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Esterilización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elaborado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Colectiva</w:t>
      </w:r>
      <w:r>
        <w:rPr>
          <w:color w:val="2B477B"/>
        </w:rPr>
        <w:t xml:space="preserve"> </w:t>
      </w:r>
      <w:r>
        <w:rPr>
          <w:rFonts w:ascii="Arial Unicode MS" w:eastAsia="Arial Unicode MS" w:hAnsi="Arial Unicode MS" w:cs="Arial Unicode MS"/>
          <w:color w:val="2B477B"/>
        </w:rPr>
        <w:t>Mariposa</w:t>
      </w:r>
      <w:r>
        <w:rPr>
          <w:color w:val="2B477B"/>
        </w:rPr>
        <w:t xml:space="preserve"> 88</w:t>
      </w:r>
      <w:r>
        <w:rPr>
          <w:rFonts w:ascii="Arial Unicode MS" w:eastAsia="Arial Unicode MS" w:hAnsi="Arial Unicode MS" w:cs="Arial Unicode MS"/>
          <w:color w:val="2B477B"/>
        </w:rPr>
        <w:t>HN,</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segundo</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Investigación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elaborado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Madres,</w:t>
      </w:r>
      <w:r>
        <w:rPr>
          <w:color w:val="2B477B"/>
        </w:rPr>
        <w:t xml:space="preserve"> </w:t>
      </w:r>
      <w:r>
        <w:rPr>
          <w:rFonts w:ascii="Arial Unicode MS" w:eastAsia="Arial Unicode MS" w:hAnsi="Arial Unicode MS" w:cs="Arial Unicode MS"/>
          <w:color w:val="2B477B"/>
        </w:rPr>
        <w:t>Padres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(FENAPAPEDISH),</w:t>
      </w:r>
      <w:r>
        <w:rPr>
          <w:color w:val="2B477B"/>
        </w:rPr>
        <w:t xml:space="preserve"> </w:t>
      </w:r>
      <w:r>
        <w:rPr>
          <w:rFonts w:ascii="Arial Unicode MS" w:eastAsia="Arial Unicode MS" w:hAnsi="Arial Unicode MS" w:cs="Arial Unicode MS"/>
          <w:color w:val="2B477B"/>
        </w:rPr>
        <w:t>Hivos,</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Unlimited,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We</w:t>
      </w:r>
      <w:r>
        <w:rPr>
          <w:color w:val="2B477B"/>
        </w:rPr>
        <w:t xml:space="preserve"> </w:t>
      </w:r>
      <w:r>
        <w:rPr>
          <w:rFonts w:ascii="Arial Unicode MS" w:eastAsia="Arial Unicode MS" w:hAnsi="Arial Unicode MS" w:cs="Arial Unicode MS"/>
          <w:color w:val="2B477B"/>
        </w:rPr>
        <w:t>Lead,</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noviembre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Centro</w:t>
      </w:r>
      <w:r>
        <w:rPr>
          <w:color w:val="2B477B"/>
        </w:rPr>
        <w:t xml:space="preserve"> </w:t>
      </w:r>
      <w:r>
        <w:rPr>
          <w:rFonts w:ascii="Arial Unicode MS" w:eastAsia="Arial Unicode MS" w:hAnsi="Arial Unicode MS" w:cs="Arial Unicode MS"/>
          <w:color w:val="2B477B"/>
        </w:rPr>
        <w:t>Progreseño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presentó</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audiencia</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sede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ambas</w:t>
      </w:r>
      <w:r>
        <w:rPr>
          <w:color w:val="2B477B"/>
        </w:rPr>
        <w:t xml:space="preserve"> </w:t>
      </w:r>
      <w:r>
        <w:rPr>
          <w:rFonts w:ascii="Arial Unicode MS" w:eastAsia="Arial Unicode MS" w:hAnsi="Arial Unicode MS" w:cs="Arial Unicode MS"/>
          <w:color w:val="2B477B"/>
        </w:rPr>
        <w:t>partes,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comprometieron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trabajar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conjunto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detener</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práctica.</w:t>
      </w:r>
      <w:r>
        <w:rPr>
          <w:color w:val="2B477B"/>
        </w:rPr>
        <w:t xml:space="preserve"> </w:t>
      </w:r>
      <w:r>
        <w:rPr>
          <w:rFonts w:ascii="Arial Unicode MS" w:eastAsia="Arial Unicode MS" w:hAnsi="Arial Unicode MS" w:cs="Arial Unicode MS"/>
          <w:color w:val="2B477B"/>
        </w:rPr>
        <w:t>Revisaremos</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tema</w:t>
      </w:r>
      <w:r>
        <w:rPr>
          <w:color w:val="2B477B"/>
        </w:rPr>
        <w:t xml:space="preserve"> </w:t>
      </w:r>
      <w:r>
        <w:rPr>
          <w:rFonts w:ascii="Arial Unicode MS" w:eastAsia="Arial Unicode MS" w:hAnsi="Arial Unicode MS" w:cs="Arial Unicode MS"/>
          <w:color w:val="2B477B"/>
        </w:rPr>
        <w:t>nuevamente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capítulo</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informe.</w:t>
      </w:r>
      <w:r>
        <w:rPr>
          <w:color w:val="2B477B"/>
        </w:rPr>
        <w:t xml:space="preserve"> </w:t>
      </w:r>
    </w:p>
  </w:footnote>
  <w:footnote w:id="271">
    <w:p w14:paraId="19C0599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Jamaica,</w:t>
      </w:r>
      <w:r>
        <w:rPr>
          <w:color w:val="2B477B"/>
        </w:rPr>
        <w:t xml:space="preserve"> </w:t>
      </w:r>
      <w:hyperlink r:id="rId498" w:history="1">
        <w:r>
          <w:rPr>
            <w:rFonts w:ascii="Arial Unicode MS" w:eastAsia="Arial Unicode MS" w:hAnsi="Arial Unicode MS" w:cs="Arial Unicode MS"/>
            <w:color w:val="2B477B"/>
          </w:rPr>
          <w:t>The</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Act</w:t>
        </w:r>
      </w:hyperlink>
      <w:hyperlink r:id="rId499" w:history="1">
        <w:r>
          <w:rPr>
            <w:rStyle w:val="Hyperlink0"/>
            <w:rFonts w:ascii="Arial Unicode MS" w:eastAsia="Arial Unicode MS" w:hAnsi="Arial Unicode MS" w:cs="Arial Unicode MS"/>
          </w:rPr>
          <w:t>,</w:t>
        </w:r>
      </w:hyperlink>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35</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r>
        <w:rPr>
          <w:color w:val="2B477B"/>
        </w:rPr>
        <w:t xml:space="preserve"> 35</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35</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r>
        <w:rPr>
          <w:color w:val="2B477B"/>
        </w:rPr>
        <w:t xml:space="preserve"> </w:t>
      </w:r>
    </w:p>
  </w:footnote>
  <w:footnote w:id="272">
    <w:p w14:paraId="0339211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Jamaica,</w:t>
      </w:r>
      <w:r>
        <w:rPr>
          <w:color w:val="2B477B"/>
        </w:rPr>
        <w:t xml:space="preserve"> </w:t>
      </w:r>
      <w:hyperlink r:id="rId500" w:history="1">
        <w:r>
          <w:rPr>
            <w:rStyle w:val="Hyperlink2"/>
            <w:rFonts w:ascii="Arial Unicode MS" w:eastAsia="Arial Unicode MS" w:hAnsi="Arial Unicode MS" w:cs="Arial Unicode MS"/>
            <w:color w:val="2B477B"/>
          </w:rPr>
          <w:t>Mental</w:t>
        </w:r>
        <w:r>
          <w:rPr>
            <w:rStyle w:val="Hyperlink2"/>
            <w:color w:val="2B477B"/>
          </w:rPr>
          <w:t xml:space="preserve"> </w:t>
        </w:r>
        <w:r>
          <w:rPr>
            <w:rStyle w:val="Hyperlink2"/>
            <w:rFonts w:ascii="Arial Unicode MS" w:eastAsia="Arial Unicode MS" w:hAnsi="Arial Unicode MS" w:cs="Arial Unicode MS"/>
            <w:color w:val="2B477B"/>
          </w:rPr>
          <w:t>Health</w:t>
        </w:r>
        <w:r>
          <w:rPr>
            <w:rStyle w:val="Hyperlink2"/>
            <w:color w:val="2B477B"/>
          </w:rPr>
          <w:t xml:space="preserve"> </w:t>
        </w:r>
        <w:r>
          <w:rPr>
            <w:rStyle w:val="Hyperlink0"/>
            <w:rFonts w:ascii="Arial Unicode MS" w:eastAsia="Arial Unicode MS" w:hAnsi="Arial Unicode MS" w:cs="Arial Unicode MS"/>
          </w:rPr>
          <w:t>Act</w:t>
        </w:r>
      </w:hyperlink>
      <w:r>
        <w:rPr>
          <w:rFonts w:ascii="Arial Unicode MS" w:eastAsia="Arial Unicode MS" w:hAnsi="Arial Unicode MS" w:cs="Arial Unicode MS"/>
          <w:color w:val="2B477B"/>
        </w:rPr>
        <w:t>,</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23</w:t>
      </w:r>
      <w:r>
        <w:rPr>
          <w:rFonts w:ascii="Arial Unicode MS" w:eastAsia="Arial Unicode MS" w:hAnsi="Arial Unicode MS" w:cs="Arial Unicode MS"/>
          <w:color w:val="2B477B"/>
        </w:rPr>
        <w:t>,</w:t>
      </w:r>
      <w:r>
        <w:rPr>
          <w:color w:val="2B477B"/>
        </w:rPr>
        <w:t xml:space="preserve"> 24</w:t>
      </w:r>
      <w:r>
        <w:rPr>
          <w:rFonts w:ascii="Arial Unicode MS" w:eastAsia="Arial Unicode MS" w:hAnsi="Arial Unicode MS" w:cs="Arial Unicode MS"/>
          <w:color w:val="2B477B"/>
        </w:rPr>
        <w:t>,</w:t>
      </w:r>
      <w:r>
        <w:rPr>
          <w:color w:val="2B477B"/>
        </w:rPr>
        <w:t xml:space="preserve"> 25 </w:t>
      </w:r>
      <w:r>
        <w:rPr>
          <w:rFonts w:ascii="Arial Unicode MS" w:eastAsia="Arial Unicode MS" w:hAnsi="Arial Unicode MS" w:cs="Arial Unicode MS"/>
          <w:color w:val="2B477B"/>
        </w:rPr>
        <w:t>y</w:t>
      </w:r>
      <w:r>
        <w:rPr>
          <w:color w:val="2B477B"/>
        </w:rPr>
        <w:t xml:space="preserve"> 26</w:t>
      </w:r>
      <w:r>
        <w:rPr>
          <w:rFonts w:ascii="Arial Unicode MS" w:eastAsia="Arial Unicode MS" w:hAnsi="Arial Unicode MS" w:cs="Arial Unicode MS"/>
          <w:color w:val="2B477B"/>
        </w:rPr>
        <w:t>.</w:t>
      </w:r>
    </w:p>
  </w:footnote>
  <w:footnote w:id="273">
    <w:p w14:paraId="41B81EA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157</w:t>
      </w:r>
      <w:r>
        <w:rPr>
          <w:rFonts w:ascii="Arial Unicode MS" w:eastAsia="Arial Unicode MS" w:hAnsi="Arial Unicode MS" w:cs="Arial Unicode MS"/>
          <w:color w:val="2B477B"/>
        </w:rPr>
        <w:t>-</w:t>
      </w:r>
      <w:r>
        <w:rPr>
          <w:color w:val="2B477B"/>
        </w:rPr>
        <w:t>158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Mujeres,</w:t>
      </w:r>
      <w:r>
        <w:rPr>
          <w:color w:val="2B477B"/>
        </w:rPr>
        <w:t xml:space="preserve"> </w:t>
      </w:r>
      <w:hyperlink r:id="rId501" w:history="1">
        <w:r>
          <w:rPr>
            <w:rFonts w:ascii="Arial Unicode MS" w:eastAsia="Arial Unicode MS" w:hAnsi="Arial Unicode MS" w:cs="Arial Unicode MS"/>
            <w:color w:val="2B477B"/>
          </w:rPr>
          <w:t>Cartilla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Sexuales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2020</w:t>
      </w:r>
      <w:r>
        <w:rPr>
          <w:rFonts w:ascii="Arial Unicode MS" w:eastAsia="Arial Unicode MS" w:hAnsi="Arial Unicode MS" w:cs="Arial Unicode MS"/>
          <w:color w:val="2B477B"/>
        </w:rPr>
        <w:t>.</w:t>
      </w:r>
    </w:p>
  </w:footnote>
  <w:footnote w:id="274">
    <w:p w14:paraId="4F7D446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124</w:t>
      </w:r>
      <w:r>
        <w:rPr>
          <w:rFonts w:ascii="Arial Unicode MS" w:eastAsia="Arial Unicode MS" w:hAnsi="Arial Unicode MS" w:cs="Arial Unicode MS"/>
          <w:color w:val="2B477B"/>
        </w:rPr>
        <w:t>-</w:t>
      </w:r>
      <w:r>
        <w:rPr>
          <w:color w:val="2B477B"/>
        </w:rPr>
        <w:t>125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hyperlink r:id="rId502" w:history="1">
        <w:r>
          <w:rPr>
            <w:rFonts w:ascii="Arial Unicode MS" w:eastAsia="Arial Unicode MS" w:hAnsi="Arial Unicode MS" w:cs="Arial Unicode MS"/>
            <w:color w:val="2B477B"/>
          </w:rPr>
          <w:t>Reforma</w:t>
        </w:r>
        <w:r>
          <w:rPr>
            <w:color w:val="2B477B"/>
          </w:rPr>
          <w:t xml:space="preserve"> 131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reforman,</w:t>
        </w:r>
        <w:r>
          <w:rPr>
            <w:color w:val="2B477B"/>
          </w:rPr>
          <w:t xml:space="preserve"> </w:t>
        </w:r>
        <w:r>
          <w:rPr>
            <w:rFonts w:ascii="Arial Unicode MS" w:eastAsia="Arial Unicode MS" w:hAnsi="Arial Unicode MS" w:cs="Arial Unicode MS"/>
            <w:color w:val="2B477B"/>
          </w:rPr>
          <w:t>adicionan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derogan</w:t>
        </w:r>
        <w:r>
          <w:rPr>
            <w:color w:val="2B477B"/>
          </w:rPr>
          <w:t xml:space="preserve"> </w:t>
        </w:r>
        <w:r>
          <w:rPr>
            <w:rFonts w:ascii="Arial Unicode MS" w:eastAsia="Arial Unicode MS" w:hAnsi="Arial Unicode MS" w:cs="Arial Unicode MS"/>
            <w:color w:val="2B477B"/>
          </w:rPr>
          <w:t>diversas</w:t>
        </w:r>
        <w:r>
          <w:rPr>
            <w:color w:val="2B477B"/>
          </w:rPr>
          <w:t xml:space="preserve"> </w:t>
        </w:r>
        <w:r>
          <w:rPr>
            <w:rFonts w:ascii="Arial Unicode MS" w:eastAsia="Arial Unicode MS" w:hAnsi="Arial Unicode MS" w:cs="Arial Unicode MS"/>
            <w:color w:val="2B477B"/>
          </w:rPr>
          <w:t>disposiciones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Adicciones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275">
    <w:p w14:paraId="13B578A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174</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03" w:history="1">
        <w:r>
          <w:rPr>
            <w:rFonts w:ascii="Arial Unicode MS" w:eastAsia="Arial Unicode MS" w:hAnsi="Arial Unicode MS" w:cs="Arial Unicode MS"/>
            <w:color w:val="2B477B"/>
          </w:rPr>
          <w:t>Ley</w:t>
        </w:r>
        <w:r>
          <w:rPr>
            <w:color w:val="2B477B"/>
          </w:rPr>
          <w:t xml:space="preserve"> 15 </w:t>
        </w:r>
        <w:r>
          <w:rPr>
            <w:rFonts w:ascii="Arial Unicode MS" w:eastAsia="Arial Unicode MS" w:hAnsi="Arial Unicode MS" w:cs="Arial Unicode MS"/>
            <w:color w:val="2B477B"/>
          </w:rPr>
          <w:t>del</w:t>
        </w:r>
        <w:r>
          <w:rPr>
            <w:color w:val="2B477B"/>
          </w:rPr>
          <w:t xml:space="preserve"> 31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42 </w:t>
        </w:r>
        <w:r>
          <w:rPr>
            <w:rFonts w:ascii="Arial Unicode MS" w:eastAsia="Arial Unicode MS" w:hAnsi="Arial Unicode MS" w:cs="Arial Unicode MS"/>
            <w:color w:val="2B477B"/>
          </w:rPr>
          <w:t>de</w:t>
        </w:r>
        <w:r>
          <w:rPr>
            <w:color w:val="2B477B"/>
          </w:rPr>
          <w:t xml:space="preserve"> 1999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Equiparación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Oportunidades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14</w:t>
      </w:r>
      <w:r>
        <w:rPr>
          <w:rFonts w:ascii="Arial Unicode MS" w:eastAsia="Arial Unicode MS" w:hAnsi="Arial Unicode MS" w:cs="Arial Unicode MS"/>
          <w:color w:val="2B477B"/>
        </w:rPr>
        <w:t>,</w:t>
      </w:r>
      <w:r>
        <w:rPr>
          <w:color w:val="2B477B"/>
        </w:rPr>
        <w:t xml:space="preserve"> 15 </w:t>
      </w:r>
      <w:r>
        <w:rPr>
          <w:rFonts w:ascii="Arial Unicode MS" w:eastAsia="Arial Unicode MS" w:hAnsi="Arial Unicode MS" w:cs="Arial Unicode MS"/>
          <w:color w:val="2B477B"/>
        </w:rPr>
        <w:t>y</w:t>
      </w:r>
      <w:r>
        <w:rPr>
          <w:color w:val="2B477B"/>
        </w:rPr>
        <w:t xml:space="preserve"> 16</w:t>
      </w:r>
      <w:r>
        <w:rPr>
          <w:rFonts w:ascii="Arial Unicode MS" w:eastAsia="Arial Unicode MS" w:hAnsi="Arial Unicode MS" w:cs="Arial Unicode MS"/>
          <w:color w:val="2B477B"/>
        </w:rPr>
        <w:t>,</w:t>
      </w:r>
      <w:r>
        <w:rPr>
          <w:color w:val="2B477B"/>
        </w:rPr>
        <w:t xml:space="preserve"> 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p>
  </w:footnote>
  <w:footnote w:id="276">
    <w:p w14:paraId="33E1C38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proofErr w:type="gramStart"/>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proofErr w:type="gramEnd"/>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174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hyperlink r:id="rId504"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Ejecutivo</w:t>
        </w:r>
        <w:r>
          <w:rPr>
            <w:color w:val="2B477B"/>
          </w:rPr>
          <w:t xml:space="preserve"> </w:t>
        </w:r>
        <w:r>
          <w:rPr>
            <w:rFonts w:ascii="Arial Unicode MS" w:eastAsia="Arial Unicode MS" w:hAnsi="Arial Unicode MS" w:cs="Arial Unicode MS"/>
            <w:color w:val="2B477B"/>
          </w:rPr>
          <w:t>No</w:t>
        </w:r>
        <w:r>
          <w:rPr>
            <w:color w:val="2B477B"/>
          </w:rPr>
          <w:t xml:space="preserve">129 </w:t>
        </w:r>
        <w:r>
          <w:rPr>
            <w:rFonts w:ascii="Arial Unicode MS" w:eastAsia="Arial Unicode MS" w:hAnsi="Arial Unicode MS" w:cs="Arial Unicode MS"/>
            <w:color w:val="2B477B"/>
          </w:rPr>
          <w:t>del</w:t>
        </w:r>
        <w:r>
          <w:rPr>
            <w:color w:val="2B477B"/>
          </w:rPr>
          <w:t xml:space="preserve"> 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2021</w:t>
        </w:r>
      </w:hyperlink>
      <w:r>
        <w:rPr>
          <w:rFonts w:ascii="Arial Unicode MS" w:eastAsia="Arial Unicode MS" w:hAnsi="Arial Unicode MS" w:cs="Arial Unicode MS"/>
          <w:color w:val="2B477B"/>
        </w:rPr>
        <w:t>.</w:t>
      </w:r>
      <w:r>
        <w:rPr>
          <w:color w:val="2B477B"/>
        </w:rPr>
        <w:t xml:space="preserve"> </w:t>
      </w:r>
    </w:p>
  </w:footnote>
  <w:footnote w:id="277">
    <w:p w14:paraId="7717FD3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proofErr w:type="gramStart"/>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proofErr w:type="gramEnd"/>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188</w:t>
      </w:r>
      <w:r>
        <w:rPr>
          <w:rFonts w:ascii="Arial Unicode MS" w:eastAsia="Arial Unicode MS" w:hAnsi="Arial Unicode MS" w:cs="Arial Unicode MS"/>
          <w:color w:val="2B477B"/>
        </w:rPr>
        <w:t>-</w:t>
      </w:r>
      <w:r>
        <w:rPr>
          <w:color w:val="2B477B"/>
        </w:rPr>
        <w:t>189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Temprano</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Creciendo</w:t>
      </w:r>
      <w:r>
        <w:rPr>
          <w:color w:val="2B477B"/>
        </w:rPr>
        <w:t xml:space="preserve"> </w:t>
      </w:r>
      <w:r>
        <w:rPr>
          <w:rFonts w:ascii="Arial Unicode MS" w:eastAsia="Arial Unicode MS" w:hAnsi="Arial Unicode MS" w:cs="Arial Unicode MS"/>
          <w:color w:val="2B477B"/>
        </w:rPr>
        <w:t>Juntos”,</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p>
  </w:footnote>
  <w:footnote w:id="278">
    <w:p w14:paraId="6E5A36F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proofErr w:type="gramStart"/>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proofErr w:type="gramEnd"/>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188</w:t>
      </w:r>
      <w:r>
        <w:rPr>
          <w:rFonts w:ascii="Arial Unicode MS" w:eastAsia="Arial Unicode MS" w:hAnsi="Arial Unicode MS" w:cs="Arial Unicode MS"/>
          <w:color w:val="2B477B"/>
        </w:rPr>
        <w:t>-</w:t>
      </w:r>
      <w:r>
        <w:rPr>
          <w:color w:val="2B477B"/>
        </w:rPr>
        <w:t>189</w:t>
      </w:r>
      <w:r>
        <w:rPr>
          <w:rFonts w:ascii="Arial Unicode MS" w:eastAsia="Arial Unicode MS" w:hAnsi="Arial Unicode MS" w:cs="Arial Unicode MS"/>
          <w:color w:val="2B477B"/>
        </w:rPr>
        <w:t>.</w:t>
      </w:r>
      <w:r>
        <w:rPr>
          <w:color w:val="2B477B"/>
        </w:rPr>
        <w:t xml:space="preserve">  </w:t>
      </w:r>
    </w:p>
  </w:footnote>
  <w:footnote w:id="279">
    <w:p w14:paraId="15FC8C9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188</w:t>
      </w:r>
      <w:r>
        <w:rPr>
          <w:rFonts w:ascii="Arial Unicode MS" w:eastAsia="Arial Unicode MS" w:hAnsi="Arial Unicode MS" w:cs="Arial Unicode MS"/>
          <w:color w:val="2B477B"/>
        </w:rPr>
        <w:t>-</w:t>
      </w:r>
      <w:r>
        <w:rPr>
          <w:color w:val="2B477B"/>
        </w:rPr>
        <w:t>189</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Bienestar</w:t>
      </w:r>
      <w:r>
        <w:rPr>
          <w:color w:val="2B477B"/>
        </w:rPr>
        <w:t xml:space="preserve"> </w:t>
      </w:r>
      <w:r>
        <w:rPr>
          <w:rFonts w:ascii="Arial Unicode MS" w:eastAsia="Arial Unicode MS" w:hAnsi="Arial Unicode MS" w:cs="Arial Unicode MS"/>
          <w:color w:val="2B477B"/>
        </w:rPr>
        <w:t>Social,</w:t>
      </w:r>
      <w:r>
        <w:rPr>
          <w:color w:val="2B477B"/>
        </w:rPr>
        <w:t xml:space="preserve"> </w:t>
      </w:r>
      <w:hyperlink r:id="rId505" w:history="1">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Adolescentes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2021</w:t>
      </w:r>
      <w:r>
        <w:rPr>
          <w:rFonts w:ascii="Arial Unicode MS" w:eastAsia="Arial Unicode MS" w:hAnsi="Arial Unicode MS" w:cs="Arial Unicode MS"/>
          <w:color w:val="2B477B"/>
        </w:rPr>
        <w:t>.</w:t>
      </w:r>
      <w:r>
        <w:rPr>
          <w:color w:val="2B477B"/>
        </w:rPr>
        <w:t xml:space="preserve"> </w:t>
      </w:r>
    </w:p>
  </w:footnote>
  <w:footnote w:id="280">
    <w:p w14:paraId="14AB0A8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rStyle w:val="None"/>
          <w:rFonts w:ascii="Helvetica LT Std Oblique" w:hAnsi="Helvetica LT Std Oblique"/>
          <w:color w:val="2B477B"/>
          <w:u w:val="single"/>
        </w:rPr>
        <w:t xml:space="preserve"> </w:t>
      </w:r>
      <w:hyperlink r:id="rId506" w:history="1">
        <w:r>
          <w:rPr>
            <w:rStyle w:val="Hyperlink4"/>
          </w:rPr>
          <w:t>National Policy on Persons with Disabilities,</w:t>
        </w:r>
      </w:hyperlink>
      <w:r>
        <w:rPr>
          <w:color w:val="2B477B"/>
        </w:rPr>
        <w:t xml:space="preserve"> </w:t>
      </w:r>
      <w:r>
        <w:rPr>
          <w:rFonts w:ascii="Arial Unicode MS" w:eastAsia="Arial Unicode MS" w:hAnsi="Arial Unicode MS" w:cs="Arial Unicode MS"/>
          <w:color w:val="2B477B"/>
        </w:rPr>
        <w:t>sección</w:t>
      </w:r>
      <w:r>
        <w:rPr>
          <w:color w:val="2B477B"/>
        </w:rPr>
        <w:t xml:space="preserve"> </w:t>
      </w:r>
      <w:r>
        <w:rPr>
          <w:rFonts w:ascii="Arial Unicode MS" w:eastAsia="Arial Unicode MS" w:hAnsi="Arial Unicode MS" w:cs="Arial Unicode MS"/>
          <w:color w:val="2B477B"/>
        </w:rPr>
        <w:t>VI,</w:t>
      </w:r>
      <w:r>
        <w:rPr>
          <w:color w:val="2B477B"/>
        </w:rPr>
        <w:t xml:space="preserve"> 2017</w:t>
      </w:r>
      <w:r>
        <w:rPr>
          <w:rFonts w:ascii="Arial Unicode MS" w:eastAsia="Arial Unicode MS" w:hAnsi="Arial Unicode MS" w:cs="Arial Unicode MS"/>
          <w:color w:val="2B477B"/>
        </w:rPr>
        <w:t>.</w:t>
      </w:r>
      <w:r>
        <w:rPr>
          <w:color w:val="2B477B"/>
        </w:rPr>
        <w:t xml:space="preserve"> </w:t>
      </w:r>
    </w:p>
  </w:footnote>
  <w:footnote w:id="281">
    <w:p w14:paraId="00BF85F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color w:val="2B477B"/>
        </w:rPr>
        <w:t xml:space="preserve"> </w:t>
      </w:r>
      <w:hyperlink r:id="rId507" w:history="1">
        <w:r>
          <w:rPr>
            <w:rStyle w:val="Hyperlink2"/>
            <w:rFonts w:ascii="Arial Unicode MS" w:eastAsia="Arial Unicode MS" w:hAnsi="Arial Unicode MS" w:cs="Arial Unicode MS"/>
            <w:color w:val="2B477B"/>
          </w:rPr>
          <w:t>Mental</w:t>
        </w:r>
        <w:r>
          <w:rPr>
            <w:rStyle w:val="Hyperlink2"/>
            <w:color w:val="2B477B"/>
          </w:rPr>
          <w:t xml:space="preserve"> </w:t>
        </w:r>
        <w:r>
          <w:rPr>
            <w:rStyle w:val="Hyperlink2"/>
            <w:rFonts w:ascii="Arial Unicode MS" w:eastAsia="Arial Unicode MS" w:hAnsi="Arial Unicode MS" w:cs="Arial Unicode MS"/>
            <w:color w:val="2B477B"/>
          </w:rPr>
          <w:t>Health</w:t>
        </w:r>
        <w:r>
          <w:rPr>
            <w:rStyle w:val="Hyperlink2"/>
            <w:color w:val="2B477B"/>
          </w:rPr>
          <w:t xml:space="preserve"> </w:t>
        </w:r>
        <w:r>
          <w:rPr>
            <w:rStyle w:val="Hyperlink0"/>
            <w:rFonts w:ascii="Arial Unicode MS" w:eastAsia="Arial Unicode MS" w:hAnsi="Arial Unicode MS" w:cs="Arial Unicode MS"/>
          </w:rPr>
          <w:t>Act</w:t>
        </w:r>
      </w:hyperlink>
      <w:r>
        <w:rPr>
          <w:rStyle w:val="Hyperlink2"/>
          <w:color w:val="2B477B"/>
        </w:rPr>
        <w:t xml:space="preserve"> </w:t>
      </w:r>
      <w:r>
        <w:rPr>
          <w:rFonts w:ascii="Arial Unicode MS" w:eastAsia="Arial Unicode MS" w:hAnsi="Arial Unicode MS" w:cs="Arial Unicode MS"/>
          <w:color w:val="2B477B"/>
        </w:rPr>
        <w:t>(Act</w:t>
      </w:r>
      <w:r>
        <w:rPr>
          <w:color w:val="2B477B"/>
        </w:rPr>
        <w:t xml:space="preserve"> 30</w:t>
      </w:r>
      <w:r>
        <w:rPr>
          <w:rFonts w:ascii="Arial Unicode MS" w:eastAsia="Arial Unicode MS" w:hAnsi="Arial Unicode MS" w:cs="Arial Unicode MS"/>
          <w:color w:val="2B477B"/>
        </w:rPr>
        <w:t>,</w:t>
      </w:r>
      <w:r>
        <w:rPr>
          <w:color w:val="2B477B"/>
        </w:rPr>
        <w:t xml:space="preserve"> 1975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23</w:t>
      </w:r>
      <w:r>
        <w:rPr>
          <w:rFonts w:ascii="Arial Unicode MS" w:eastAsia="Arial Unicode MS" w:hAnsi="Arial Unicode MS" w:cs="Arial Unicode MS"/>
          <w:color w:val="2B477B"/>
        </w:rPr>
        <w:t>-</w:t>
      </w:r>
      <w:r>
        <w:rPr>
          <w:color w:val="2B477B"/>
        </w:rPr>
        <w:t>26</w:t>
      </w:r>
      <w:r>
        <w:rPr>
          <w:rFonts w:ascii="Arial Unicode MS" w:eastAsia="Arial Unicode MS" w:hAnsi="Arial Unicode MS" w:cs="Arial Unicode MS"/>
          <w:color w:val="2B477B"/>
        </w:rPr>
        <w:t>.</w:t>
      </w:r>
      <w:r>
        <w:rPr>
          <w:color w:val="2B477B"/>
        </w:rPr>
        <w:t xml:space="preserve"> </w:t>
      </w:r>
    </w:p>
  </w:footnote>
  <w:footnote w:id="282">
    <w:p w14:paraId="4E82C23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color w:val="2B477B"/>
        </w:rPr>
        <w:t xml:space="preserve"> </w:t>
      </w:r>
      <w:hyperlink r:id="rId508" w:history="1">
        <w:r>
          <w:rPr>
            <w:rFonts w:ascii="Arial Unicode MS" w:eastAsia="Arial Unicode MS" w:hAnsi="Arial Unicode MS" w:cs="Arial Unicode MS"/>
            <w:color w:val="2B477B"/>
          </w:rPr>
          <w:t>Private</w:t>
        </w:r>
        <w:r>
          <w:rPr>
            <w:color w:val="2B477B"/>
          </w:rPr>
          <w:t xml:space="preserve"> </w:t>
        </w:r>
        <w:r>
          <w:rPr>
            <w:rFonts w:ascii="Arial Unicode MS" w:eastAsia="Arial Unicode MS" w:hAnsi="Arial Unicode MS" w:cs="Arial Unicode MS"/>
            <w:color w:val="2B477B"/>
          </w:rPr>
          <w:t>Hospitals</w:t>
        </w:r>
        <w:r>
          <w:rPr>
            <w:color w:val="2B477B"/>
          </w:rPr>
          <w:t xml:space="preserve"> </w:t>
        </w:r>
        <w:r>
          <w:rPr>
            <w:rStyle w:val="Hyperlink0"/>
            <w:rFonts w:ascii="Arial Unicode MS" w:eastAsia="Arial Unicode MS" w:hAnsi="Arial Unicode MS" w:cs="Arial Unicode MS"/>
          </w:rPr>
          <w:t>Regulations</w:t>
        </w:r>
      </w:hyperlink>
      <w:r>
        <w:rPr>
          <w:color w:val="2B477B"/>
        </w:rPr>
        <w:t xml:space="preserve"> </w:t>
      </w:r>
      <w:r>
        <w:rPr>
          <w:rFonts w:ascii="Arial Unicode MS" w:eastAsia="Arial Unicode MS" w:hAnsi="Arial Unicode MS" w:cs="Arial Unicode MS"/>
          <w:color w:val="2B477B"/>
        </w:rPr>
        <w:t>(Act</w:t>
      </w:r>
      <w:r>
        <w:rPr>
          <w:color w:val="2B477B"/>
        </w:rPr>
        <w:t xml:space="preserve"> 2</w:t>
      </w:r>
      <w:r>
        <w:rPr>
          <w:rFonts w:ascii="Arial Unicode MS" w:eastAsia="Arial Unicode MS" w:hAnsi="Arial Unicode MS" w:cs="Arial Unicode MS"/>
          <w:color w:val="2B477B"/>
        </w:rPr>
        <w:t>,</w:t>
      </w:r>
      <w:r>
        <w:rPr>
          <w:color w:val="2B477B"/>
        </w:rPr>
        <w:t xml:space="preserve"> 1960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 </w:t>
      </w:r>
      <w:r>
        <w:rPr>
          <w:rFonts w:ascii="Arial Unicode MS" w:eastAsia="Arial Unicode MS" w:hAnsi="Arial Unicode MS" w:cs="Arial Unicode MS"/>
          <w:color w:val="2B477B"/>
        </w:rPr>
        <w:t>y</w:t>
      </w:r>
      <w:r>
        <w:rPr>
          <w:color w:val="2B477B"/>
        </w:rPr>
        <w:t xml:space="preserve"> 10</w:t>
      </w:r>
      <w:r>
        <w:rPr>
          <w:rFonts w:ascii="Arial Unicode MS" w:eastAsia="Arial Unicode MS" w:hAnsi="Arial Unicode MS" w:cs="Arial Unicode MS"/>
          <w:color w:val="2B477B"/>
        </w:rPr>
        <w:t>.</w:t>
      </w:r>
      <w:r>
        <w:rPr>
          <w:color w:val="2B477B"/>
        </w:rPr>
        <w:t xml:space="preserve"> </w:t>
      </w:r>
    </w:p>
  </w:footnote>
  <w:footnote w:id="283">
    <w:p w14:paraId="0961E3B9" w14:textId="77777777" w:rsidR="001A105D" w:rsidRDefault="00000000">
      <w:pPr>
        <w:pStyle w:val="Body"/>
        <w:jc w:val="left"/>
      </w:pPr>
      <w:r>
        <w:rPr>
          <w:rStyle w:val="None"/>
          <w:rFonts w:ascii="Helvetica LT Std Oblique" w:eastAsia="Helvetica LT Std Oblique" w:hAnsi="Helvetica LT Std Oblique" w:cs="Helvetica LT Std Oblique"/>
          <w:color w:val="2B477B"/>
          <w:vertAlign w:val="superscript"/>
        </w:rPr>
        <w:footnoteRef/>
      </w:r>
      <w:r>
        <w:rPr>
          <w:color w:val="2B477B"/>
        </w:rPr>
        <w:t xml:space="preserve"> </w:t>
      </w:r>
      <w:r>
        <w:rPr>
          <w:rFonts w:ascii="Arial Unicode MS" w:eastAsia="Arial Unicode MS" w:hAnsi="Arial Unicode MS" w:cs="Arial Unicode MS"/>
          <w:color w:val="2B477B"/>
        </w:rPr>
        <w:t>María</w:t>
      </w:r>
      <w:r>
        <w:rPr>
          <w:color w:val="2B477B"/>
        </w:rPr>
        <w:t xml:space="preserve"> </w:t>
      </w:r>
      <w:r>
        <w:rPr>
          <w:rFonts w:ascii="Arial Unicode MS" w:eastAsia="Arial Unicode MS" w:hAnsi="Arial Unicode MS" w:cs="Arial Unicode MS"/>
          <w:color w:val="2B477B"/>
        </w:rPr>
        <w:t>Inés</w:t>
      </w:r>
      <w:r>
        <w:rPr>
          <w:color w:val="2B477B"/>
        </w:rPr>
        <w:t xml:space="preserve"> </w:t>
      </w:r>
      <w:r>
        <w:rPr>
          <w:rFonts w:ascii="Arial Unicode MS" w:eastAsia="Arial Unicode MS" w:hAnsi="Arial Unicode MS" w:cs="Arial Unicode MS"/>
          <w:color w:val="2B477B"/>
        </w:rPr>
        <w:t>Chinchilla</w:t>
      </w:r>
      <w:r>
        <w:rPr>
          <w:color w:val="2B477B"/>
        </w:rPr>
        <w:t xml:space="preserve"> </w:t>
      </w:r>
      <w:r>
        <w:rPr>
          <w:rFonts w:ascii="Arial Unicode MS" w:eastAsia="Arial Unicode MS" w:hAnsi="Arial Unicode MS" w:cs="Arial Unicode MS"/>
          <w:color w:val="2B477B"/>
        </w:rPr>
        <w:t>ingresó</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penitenciario</w:t>
      </w:r>
      <w:r>
        <w:rPr>
          <w:color w:val="2B477B"/>
        </w:rPr>
        <w:t xml:space="preserve"> </w:t>
      </w:r>
      <w:r>
        <w:rPr>
          <w:rFonts w:ascii="Arial Unicode MS" w:eastAsia="Arial Unicode MS" w:hAnsi="Arial Unicode MS" w:cs="Arial Unicode MS"/>
          <w:color w:val="2B477B"/>
        </w:rPr>
        <w:t>guatemalteco</w:t>
      </w:r>
      <w:r>
        <w:rPr>
          <w:color w:val="2B477B"/>
        </w:rPr>
        <w:t xml:space="preserve"> </w:t>
      </w:r>
      <w:r>
        <w:rPr>
          <w:rFonts w:ascii="Arial Unicode MS" w:eastAsia="Arial Unicode MS" w:hAnsi="Arial Unicode MS" w:cs="Arial Unicode MS"/>
          <w:color w:val="2B477B"/>
        </w:rPr>
        <w:t>en</w:t>
      </w:r>
      <w:r>
        <w:rPr>
          <w:color w:val="2B477B"/>
        </w:rPr>
        <w:t xml:space="preserve"> 1995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problemas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diagnósticos</w:t>
      </w:r>
      <w:r>
        <w:rPr>
          <w:color w:val="2B477B"/>
        </w:rPr>
        <w:t xml:space="preserve"> </w:t>
      </w:r>
      <w:r>
        <w:rPr>
          <w:rFonts w:ascii="Arial Unicode MS" w:eastAsia="Arial Unicode MS" w:hAnsi="Arial Unicode MS" w:cs="Arial Unicode MS"/>
          <w:color w:val="2B477B"/>
        </w:rPr>
        <w:t>claros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enfermedades.</w:t>
      </w:r>
      <w:r>
        <w:rPr>
          <w:color w:val="2B477B"/>
        </w:rPr>
        <w:t xml:space="preserve"> </w:t>
      </w:r>
      <w:r>
        <w:rPr>
          <w:rFonts w:ascii="Arial Unicode MS" w:eastAsia="Arial Unicode MS" w:hAnsi="Arial Unicode MS" w:cs="Arial Unicode MS"/>
          <w:color w:val="2B477B"/>
        </w:rPr>
        <w:t>Durante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reclusión</w:t>
      </w:r>
      <w:r>
        <w:rPr>
          <w:color w:val="2B477B"/>
        </w:rPr>
        <w:t xml:space="preserve"> </w:t>
      </w:r>
      <w:r>
        <w:rPr>
          <w:rFonts w:ascii="Arial Unicode MS" w:eastAsia="Arial Unicode MS" w:hAnsi="Arial Unicode MS" w:cs="Arial Unicode MS"/>
          <w:color w:val="2B477B"/>
        </w:rPr>
        <w:t>entre</w:t>
      </w:r>
      <w:r>
        <w:rPr>
          <w:color w:val="2B477B"/>
        </w:rPr>
        <w:t xml:space="preserve"> 1997 </w:t>
      </w:r>
      <w:r>
        <w:rPr>
          <w:rFonts w:ascii="Arial Unicode MS" w:eastAsia="Arial Unicode MS" w:hAnsi="Arial Unicode MS" w:cs="Arial Unicode MS"/>
          <w:color w:val="2B477B"/>
        </w:rPr>
        <w:t>y</w:t>
      </w:r>
      <w:r>
        <w:rPr>
          <w:color w:val="2B477B"/>
        </w:rPr>
        <w:t xml:space="preserve"> 2004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empeoró</w:t>
      </w:r>
      <w:r>
        <w:rPr>
          <w:color w:val="2B477B"/>
        </w:rPr>
        <w:t xml:space="preserve"> </w:t>
      </w:r>
      <w:r>
        <w:rPr>
          <w:rFonts w:ascii="Arial Unicode MS" w:eastAsia="Arial Unicode MS" w:hAnsi="Arial Unicode MS" w:cs="Arial Unicode MS"/>
          <w:color w:val="2B477B"/>
        </w:rPr>
        <w:t>gradualmente.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determinó</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siendo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garante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integridad,</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realizaron</w:t>
      </w:r>
      <w:r>
        <w:rPr>
          <w:color w:val="2B477B"/>
        </w:rPr>
        <w:t xml:space="preserve"> </w:t>
      </w:r>
      <w:r>
        <w:rPr>
          <w:rFonts w:ascii="Arial Unicode MS" w:eastAsia="Arial Unicode MS" w:hAnsi="Arial Unicode MS" w:cs="Arial Unicode MS"/>
          <w:color w:val="2B477B"/>
        </w:rPr>
        <w:t>diagnósticos</w:t>
      </w:r>
      <w:r>
        <w:rPr>
          <w:color w:val="2B477B"/>
        </w:rPr>
        <w:t xml:space="preserve"> </w:t>
      </w:r>
      <w:r>
        <w:rPr>
          <w:rFonts w:ascii="Arial Unicode MS" w:eastAsia="Arial Unicode MS" w:hAnsi="Arial Unicode MS" w:cs="Arial Unicode MS"/>
          <w:color w:val="2B477B"/>
        </w:rPr>
        <w:t>completos</w:t>
      </w:r>
      <w:r>
        <w:rPr>
          <w:color w:val="2B477B"/>
        </w:rPr>
        <w:t xml:space="preserve"> </w:t>
      </w:r>
      <w:r>
        <w:rPr>
          <w:rFonts w:ascii="Arial Unicode MS" w:eastAsia="Arial Unicode MS" w:hAnsi="Arial Unicode MS" w:cs="Arial Unicode MS"/>
          <w:color w:val="2B477B"/>
        </w:rPr>
        <w:t>ni</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atendieron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necesidades</w:t>
      </w:r>
      <w:r>
        <w:rPr>
          <w:color w:val="2B477B"/>
        </w:rPr>
        <w:t xml:space="preserve"> </w:t>
      </w:r>
      <w:r>
        <w:rPr>
          <w:rFonts w:ascii="Arial Unicode MS" w:eastAsia="Arial Unicode MS" w:hAnsi="Arial Unicode MS" w:cs="Arial Unicode MS"/>
          <w:color w:val="2B477B"/>
        </w:rPr>
        <w:t>específicas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resultando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agravamiento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enfermedades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amputación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pierna.</w:t>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proporcionó</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detención</w:t>
      </w:r>
      <w:r>
        <w:rPr>
          <w:color w:val="2B477B"/>
        </w:rPr>
        <w:t xml:space="preserve"> </w:t>
      </w:r>
      <w:r>
        <w:rPr>
          <w:rFonts w:ascii="Arial Unicode MS" w:eastAsia="Arial Unicode MS" w:hAnsi="Arial Unicode MS" w:cs="Arial Unicode MS"/>
          <w:color w:val="2B477B"/>
        </w:rPr>
        <w:t>adecuadas,</w:t>
      </w:r>
      <w:r>
        <w:rPr>
          <w:color w:val="2B477B"/>
        </w:rPr>
        <w:t xml:space="preserve"> </w:t>
      </w:r>
      <w:r>
        <w:rPr>
          <w:rFonts w:ascii="Arial Unicode MS" w:eastAsia="Arial Unicode MS" w:hAnsi="Arial Unicode MS" w:cs="Arial Unicode MS"/>
          <w:color w:val="2B477B"/>
        </w:rPr>
        <w:t>considerando</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movilidad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silla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ruedas,</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incumplió</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obligaciones</w:t>
      </w:r>
      <w:r>
        <w:rPr>
          <w:color w:val="2B477B"/>
        </w:rPr>
        <w:t xml:space="preserve"> </w:t>
      </w:r>
      <w:r>
        <w:rPr>
          <w:rFonts w:ascii="Arial Unicode MS" w:eastAsia="Arial Unicode MS" w:hAnsi="Arial Unicode MS" w:cs="Arial Unicode MS"/>
          <w:color w:val="2B477B"/>
        </w:rPr>
        <w:t>especiales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09"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Chinchilla</w:t>
        </w:r>
        <w:r>
          <w:rPr>
            <w:color w:val="2B477B"/>
          </w:rPr>
          <w:t xml:space="preserve"> </w:t>
        </w:r>
        <w:r>
          <w:rPr>
            <w:rFonts w:ascii="Arial Unicode MS" w:eastAsia="Arial Unicode MS" w:hAnsi="Arial Unicode MS" w:cs="Arial Unicode MS"/>
            <w:color w:val="2B477B"/>
          </w:rPr>
          <w:t>Sandoval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Guatemala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29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312</w:t>
      </w:r>
      <w:r>
        <w:rPr>
          <w:rFonts w:ascii="Arial Unicode MS" w:eastAsia="Arial Unicode MS" w:hAnsi="Arial Unicode MS" w:cs="Arial Unicode MS"/>
          <w:color w:val="2B477B"/>
        </w:rPr>
        <w:t>.</w:t>
      </w:r>
      <w:r>
        <w:rPr>
          <w:color w:val="2B477B"/>
        </w:rPr>
        <w:t xml:space="preserve"> </w:t>
      </w:r>
    </w:p>
  </w:footnote>
  <w:footnote w:id="284">
    <w:p w14:paraId="0B69D51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10"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I.V.*</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30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329</w:t>
      </w:r>
      <w:r>
        <w:rPr>
          <w:rFonts w:ascii="Arial Unicode MS" w:eastAsia="Arial Unicode MS" w:hAnsi="Arial Unicode MS" w:cs="Arial Unicode MS"/>
          <w:color w:val="2B477B"/>
        </w:rPr>
        <w:t>.</w:t>
      </w:r>
      <w:r>
        <w:rPr>
          <w:color w:val="2B477B"/>
        </w:rPr>
        <w:t xml:space="preserve"> </w:t>
      </w:r>
    </w:p>
  </w:footnote>
  <w:footnote w:id="285">
    <w:p w14:paraId="761FFB7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11"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I.V.*</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30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10</w:t>
      </w:r>
      <w:r>
        <w:rPr>
          <w:rFonts w:ascii="Arial Unicode MS" w:eastAsia="Arial Unicode MS" w:hAnsi="Arial Unicode MS" w:cs="Arial Unicode MS"/>
          <w:color w:val="2B477B"/>
        </w:rPr>
        <w:t>,</w:t>
      </w:r>
      <w:r>
        <w:rPr>
          <w:color w:val="2B477B"/>
        </w:rPr>
        <w:t xml:space="preserve"> 11</w:t>
      </w:r>
      <w:r>
        <w:rPr>
          <w:rFonts w:ascii="Arial Unicode MS" w:eastAsia="Arial Unicode MS" w:hAnsi="Arial Unicode MS" w:cs="Arial Unicode MS"/>
          <w:color w:val="2B477B"/>
        </w:rPr>
        <w:t>,</w:t>
      </w:r>
      <w:r>
        <w:rPr>
          <w:color w:val="2B477B"/>
        </w:rPr>
        <w:t xml:space="preserve"> 12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r>
        <w:rPr>
          <w:color w:val="2B477B"/>
        </w:rPr>
        <w:t xml:space="preserve"> </w:t>
      </w:r>
    </w:p>
  </w:footnote>
  <w:footnote w:id="286">
    <w:p w14:paraId="43FEDB9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12"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I.V.*</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30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8</w:t>
      </w:r>
      <w:r>
        <w:rPr>
          <w:rFonts w:ascii="Arial Unicode MS" w:eastAsia="Arial Unicode MS" w:hAnsi="Arial Unicode MS" w:cs="Arial Unicode MS"/>
          <w:color w:val="2B477B"/>
        </w:rPr>
        <w:t>,</w:t>
      </w:r>
      <w:r>
        <w:rPr>
          <w:color w:val="2B477B"/>
        </w:rPr>
        <w:t xml:space="preserve"> 9</w:t>
      </w:r>
      <w:r>
        <w:rPr>
          <w:rFonts w:ascii="Arial Unicode MS" w:eastAsia="Arial Unicode MS" w:hAnsi="Arial Unicode MS" w:cs="Arial Unicode MS"/>
          <w:color w:val="2B477B"/>
        </w:rPr>
        <w:t>,</w:t>
      </w:r>
      <w:r>
        <w:rPr>
          <w:color w:val="2B477B"/>
        </w:rPr>
        <w:t xml:space="preserve"> 10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r>
        <w:rPr>
          <w:color w:val="2B477B"/>
        </w:rPr>
        <w:t xml:space="preserve"> </w:t>
      </w:r>
    </w:p>
  </w:footnote>
  <w:footnote w:id="287">
    <w:p w14:paraId="233B4EA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Caso</w:t>
      </w:r>
      <w:r>
        <w:rPr>
          <w:color w:val="2B477B"/>
        </w:rPr>
        <w:t xml:space="preserve"> </w:t>
      </w:r>
      <w:hyperlink r:id="rId513" w:history="1">
        <w:r>
          <w:rPr>
            <w:rFonts w:ascii="Arial Unicode MS" w:eastAsia="Arial Unicode MS" w:hAnsi="Arial Unicode MS" w:cs="Arial Unicode MS"/>
            <w:color w:val="2B477B"/>
          </w:rPr>
          <w:t>Vera</w:t>
        </w:r>
        <w:r>
          <w:rPr>
            <w:color w:val="2B477B"/>
          </w:rPr>
          <w:t xml:space="preserve"> </w:t>
        </w:r>
        <w:r>
          <w:rPr>
            <w:rFonts w:ascii="Arial Unicode MS" w:eastAsia="Arial Unicode MS" w:hAnsi="Arial Unicode MS" w:cs="Arial Unicode MS"/>
            <w:color w:val="2B477B"/>
          </w:rPr>
          <w:t>Rojas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Chile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101</w:t>
      </w:r>
      <w:r>
        <w:rPr>
          <w:rFonts w:ascii="Arial Unicode MS" w:eastAsia="Arial Unicode MS" w:hAnsi="Arial Unicode MS" w:cs="Arial Unicode MS"/>
          <w:color w:val="2B477B"/>
        </w:rPr>
        <w:t>.</w:t>
      </w:r>
    </w:p>
  </w:footnote>
  <w:footnote w:id="288">
    <w:p w14:paraId="35444C5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Caso</w:t>
      </w:r>
      <w:r>
        <w:rPr>
          <w:color w:val="2B477B"/>
        </w:rPr>
        <w:t xml:space="preserve"> </w:t>
      </w:r>
      <w:hyperlink r:id="rId514" w:history="1">
        <w:r>
          <w:rPr>
            <w:rFonts w:ascii="Arial Unicode MS" w:eastAsia="Arial Unicode MS" w:hAnsi="Arial Unicode MS" w:cs="Arial Unicode MS"/>
            <w:color w:val="2B477B"/>
          </w:rPr>
          <w:t>Vera</w:t>
        </w:r>
        <w:r>
          <w:rPr>
            <w:color w:val="2B477B"/>
          </w:rPr>
          <w:t xml:space="preserve"> </w:t>
        </w:r>
        <w:r>
          <w:rPr>
            <w:rFonts w:ascii="Arial Unicode MS" w:eastAsia="Arial Unicode MS" w:hAnsi="Arial Unicode MS" w:cs="Arial Unicode MS"/>
            <w:color w:val="2B477B"/>
          </w:rPr>
          <w:t>Rojas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Chile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109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p>
  </w:footnote>
  <w:footnote w:id="289">
    <w:p w14:paraId="18321F0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ejemplo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uso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lenguaje</w:t>
      </w:r>
      <w:r>
        <w:rPr>
          <w:color w:val="2B477B"/>
        </w:rPr>
        <w:t xml:space="preserve"> </w:t>
      </w:r>
      <w:r>
        <w:rPr>
          <w:rFonts w:ascii="Arial Unicode MS" w:eastAsia="Arial Unicode MS" w:hAnsi="Arial Unicode MS" w:cs="Arial Unicode MS"/>
          <w:color w:val="2B477B"/>
        </w:rPr>
        <w:t>sencillo</w:t>
      </w:r>
      <w:r>
        <w:rPr>
          <w:color w:val="2B477B"/>
        </w:rPr>
        <w:t xml:space="preserve"> </w:t>
      </w:r>
      <w:hyperlink r:id="rId515" w:history="1">
        <w:r>
          <w:rPr>
            <w:rFonts w:ascii="Arial Unicode MS" w:eastAsia="Arial Unicode MS" w:hAnsi="Arial Unicode MS" w:cs="Arial Unicode MS"/>
            <w:color w:val="2B477B"/>
          </w:rPr>
          <w:t>aquí</w:t>
        </w:r>
      </w:hyperlink>
      <w:r>
        <w:rPr>
          <w:rFonts w:ascii="Arial Unicode MS" w:eastAsia="Arial Unicode MS" w:hAnsi="Arial Unicode MS" w:cs="Arial Unicode MS"/>
          <w:color w:val="2B477B"/>
        </w:rPr>
        <w:t>.</w:t>
      </w:r>
      <w:r>
        <w:rPr>
          <w:color w:val="2B477B"/>
        </w:rPr>
        <w:t xml:space="preserve"> </w:t>
      </w:r>
    </w:p>
  </w:footnote>
  <w:footnote w:id="290">
    <w:p w14:paraId="55DDB69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Presidencia,</w:t>
      </w:r>
      <w:r>
        <w:rPr>
          <w:color w:val="2B477B"/>
        </w:rPr>
        <w:t xml:space="preserve"> </w:t>
      </w:r>
      <w:hyperlink r:id="rId516" w:history="1">
        <w:r>
          <w:rPr>
            <w:rFonts w:ascii="Arial Unicode MS" w:eastAsia="Arial Unicode MS" w:hAnsi="Arial Unicode MS" w:cs="Arial Unicode MS"/>
            <w:color w:val="2B477B"/>
          </w:rPr>
          <w:t>Resolución</w:t>
        </w:r>
        <w:r>
          <w:rPr>
            <w:color w:val="2B477B"/>
          </w:rPr>
          <w:t xml:space="preserve"> 48 </w:t>
        </w:r>
        <w:r>
          <w:rPr>
            <w:rFonts w:ascii="Arial Unicode MS" w:eastAsia="Arial Unicode MS" w:hAnsi="Arial Unicode MS" w:cs="Arial Unicode MS"/>
            <w:color w:val="2B477B"/>
          </w:rPr>
          <w:t>de</w:t>
        </w:r>
        <w:r>
          <w:rPr>
            <w:color w:val="2B477B"/>
          </w:rPr>
          <w:t xml:space="preserve"> 2020</w:t>
        </w:r>
      </w:hyperlink>
      <w:r>
        <w:rPr>
          <w:rFonts w:ascii="Arial Unicode MS" w:eastAsia="Arial Unicode MS" w:hAnsi="Arial Unicode MS" w:cs="Arial Unicode MS"/>
          <w:color w:val="2B477B"/>
        </w:rPr>
        <w:t>.</w:t>
      </w:r>
      <w:r>
        <w:rPr>
          <w:color w:val="2B477B"/>
        </w:rPr>
        <w:t xml:space="preserve"> </w:t>
      </w:r>
    </w:p>
  </w:footnote>
  <w:footnote w:id="291">
    <w:p w14:paraId="35B3D27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Casribe</w:t>
      </w:r>
      <w:r>
        <w:rPr>
          <w:color w:val="2B477B"/>
        </w:rPr>
        <w:t xml:space="preserve"> </w:t>
      </w:r>
      <w:r>
        <w:rPr>
          <w:rFonts w:ascii="Arial Unicode MS" w:eastAsia="Arial Unicode MS" w:hAnsi="Arial Unicode MS" w:cs="Arial Unicode MS"/>
          <w:color w:val="2B477B"/>
        </w:rPr>
        <w:t>(CARICOM),</w:t>
      </w:r>
      <w:r>
        <w:rPr>
          <w:color w:val="2B477B"/>
        </w:rPr>
        <w:t xml:space="preserve"> </w:t>
      </w:r>
      <w:r>
        <w:rPr>
          <w:rStyle w:val="Hyperlink0"/>
        </w:rPr>
        <w:t xml:space="preserve"> </w:t>
      </w:r>
      <w:hyperlink r:id="rId517" w:history="1">
        <w:r>
          <w:rPr>
            <w:rStyle w:val="Hyperlink0"/>
            <w:rFonts w:ascii="Arial Unicode MS" w:eastAsia="Arial Unicode MS" w:hAnsi="Arial Unicode MS" w:cs="Arial Unicode MS"/>
          </w:rPr>
          <w:t>CARICOM</w:t>
        </w:r>
        <w:r>
          <w:rPr>
            <w:rStyle w:val="Hyperlink0"/>
          </w:rPr>
          <w:t xml:space="preserve"> </w:t>
        </w:r>
        <w:r>
          <w:rPr>
            <w:rStyle w:val="Hyperlink0"/>
            <w:rFonts w:ascii="Arial Unicode MS" w:eastAsia="Arial Unicode MS" w:hAnsi="Arial Unicode MS" w:cs="Arial Unicode MS"/>
          </w:rPr>
          <w:t>Special</w:t>
        </w:r>
        <w:r>
          <w:rPr>
            <w:rStyle w:val="Hyperlink0"/>
          </w:rPr>
          <w:t xml:space="preserve"> </w:t>
        </w:r>
        <w:r>
          <w:rPr>
            <w:rStyle w:val="Hyperlink0"/>
            <w:rFonts w:ascii="Arial Unicode MS" w:eastAsia="Arial Unicode MS" w:hAnsi="Arial Unicode MS" w:cs="Arial Unicode MS"/>
          </w:rPr>
          <w:t>Rapporteur</w:t>
        </w:r>
        <w:r>
          <w:rPr>
            <w:rStyle w:val="Hyperlink0"/>
          </w:rPr>
          <w:t xml:space="preserve"> </w:t>
        </w:r>
        <w:r>
          <w:rPr>
            <w:rStyle w:val="Hyperlink0"/>
            <w:rFonts w:ascii="Arial Unicode MS" w:eastAsia="Arial Unicode MS" w:hAnsi="Arial Unicode MS" w:cs="Arial Unicode MS"/>
          </w:rPr>
          <w:t>on</w:t>
        </w:r>
        <w:r>
          <w:rPr>
            <w:rStyle w:val="Hyperlink0"/>
          </w:rPr>
          <w:t xml:space="preserve"> </w:t>
        </w:r>
        <w:r>
          <w:rPr>
            <w:rStyle w:val="Hyperlink0"/>
            <w:rFonts w:ascii="Arial Unicode MS" w:eastAsia="Arial Unicode MS" w:hAnsi="Arial Unicode MS" w:cs="Arial Unicode MS"/>
          </w:rPr>
          <w:t>Disability</w:t>
        </w:r>
        <w:r>
          <w:rPr>
            <w:rStyle w:val="Hyperlink0"/>
          </w:rPr>
          <w:t xml:space="preserve"> </w:t>
        </w:r>
        <w:r>
          <w:rPr>
            <w:rStyle w:val="Hyperlink0"/>
            <w:rFonts w:ascii="Arial Unicode MS" w:eastAsia="Arial Unicode MS" w:hAnsi="Arial Unicode MS" w:cs="Arial Unicode MS"/>
          </w:rPr>
          <w:t>Calls</w:t>
        </w:r>
        <w:r>
          <w:rPr>
            <w:rStyle w:val="Hyperlink0"/>
          </w:rPr>
          <w:t xml:space="preserve"> </w:t>
        </w:r>
        <w:r>
          <w:rPr>
            <w:rStyle w:val="Hyperlink0"/>
            <w:rFonts w:ascii="Arial Unicode MS" w:eastAsia="Arial Unicode MS" w:hAnsi="Arial Unicode MS" w:cs="Arial Unicode MS"/>
          </w:rPr>
          <w:t>for</w:t>
        </w:r>
        <w:r>
          <w:rPr>
            <w:rStyle w:val="Hyperlink0"/>
          </w:rPr>
          <w:t xml:space="preserve"> </w:t>
        </w:r>
        <w:r>
          <w:rPr>
            <w:rStyle w:val="Hyperlink0"/>
            <w:rFonts w:ascii="Arial Unicode MS" w:eastAsia="Arial Unicode MS" w:hAnsi="Arial Unicode MS" w:cs="Arial Unicode MS"/>
          </w:rPr>
          <w:t>Special</w:t>
        </w:r>
        <w:r>
          <w:rPr>
            <w:rStyle w:val="Hyperlink0"/>
          </w:rPr>
          <w:t xml:space="preserve"> </w:t>
        </w:r>
        <w:r>
          <w:rPr>
            <w:rStyle w:val="Hyperlink0"/>
            <w:rFonts w:ascii="Arial Unicode MS" w:eastAsia="Arial Unicode MS" w:hAnsi="Arial Unicode MS" w:cs="Arial Unicode MS"/>
          </w:rPr>
          <w:t>Considerations</w:t>
        </w:r>
        <w:r>
          <w:rPr>
            <w:rStyle w:val="Hyperlink0"/>
          </w:rPr>
          <w:t xml:space="preserve"> </w:t>
        </w:r>
        <w:r>
          <w:rPr>
            <w:rStyle w:val="Hyperlink0"/>
            <w:rFonts w:ascii="Arial Unicode MS" w:eastAsia="Arial Unicode MS" w:hAnsi="Arial Unicode MS" w:cs="Arial Unicode MS"/>
          </w:rPr>
          <w:t>for</w:t>
        </w:r>
        <w:r>
          <w:rPr>
            <w:rStyle w:val="Hyperlink0"/>
          </w:rPr>
          <w:t xml:space="preserve"> </w:t>
        </w:r>
        <w:r>
          <w:rPr>
            <w:rStyle w:val="Hyperlink0"/>
            <w:rFonts w:ascii="Arial Unicode MS" w:eastAsia="Arial Unicode MS" w:hAnsi="Arial Unicode MS" w:cs="Arial Unicode MS"/>
          </w:rPr>
          <w:t>Persons</w:t>
        </w:r>
        <w:r>
          <w:rPr>
            <w:rStyle w:val="Hyperlink0"/>
          </w:rPr>
          <w:t xml:space="preserve"> </w:t>
        </w:r>
        <w:r>
          <w:rPr>
            <w:rStyle w:val="Hyperlink0"/>
            <w:rFonts w:ascii="Arial Unicode MS" w:eastAsia="Arial Unicode MS" w:hAnsi="Arial Unicode MS" w:cs="Arial Unicode MS"/>
          </w:rPr>
          <w:t>with</w:t>
        </w:r>
        <w:r>
          <w:rPr>
            <w:rStyle w:val="Hyperlink0"/>
          </w:rPr>
          <w:t xml:space="preserve"> </w:t>
        </w:r>
        <w:r>
          <w:rPr>
            <w:rStyle w:val="Hyperlink0"/>
            <w:rFonts w:ascii="Arial Unicode MS" w:eastAsia="Arial Unicode MS" w:hAnsi="Arial Unicode MS" w:cs="Arial Unicode MS"/>
          </w:rPr>
          <w:t>Disabilities</w:t>
        </w:r>
        <w:r>
          <w:rPr>
            <w:rStyle w:val="Hyperlink0"/>
          </w:rPr>
          <w:t xml:space="preserve"> </w:t>
        </w:r>
        <w:r>
          <w:rPr>
            <w:rStyle w:val="Hyperlink0"/>
            <w:rFonts w:ascii="Arial Unicode MS" w:eastAsia="Arial Unicode MS" w:hAnsi="Arial Unicode MS" w:cs="Arial Unicode MS"/>
          </w:rPr>
          <w:t>During</w:t>
        </w:r>
        <w:r>
          <w:rPr>
            <w:rStyle w:val="Hyperlink0"/>
          </w:rPr>
          <w:t xml:space="preserve"> </w:t>
        </w:r>
        <w:r>
          <w:rPr>
            <w:rStyle w:val="Hyperlink0"/>
            <w:rFonts w:ascii="Arial Unicode MS" w:eastAsia="Arial Unicode MS" w:hAnsi="Arial Unicode MS" w:cs="Arial Unicode MS"/>
          </w:rPr>
          <w:t>and</w:t>
        </w:r>
        <w:r>
          <w:rPr>
            <w:rStyle w:val="Hyperlink0"/>
          </w:rPr>
          <w:t xml:space="preserve"> </w:t>
        </w:r>
        <w:r>
          <w:rPr>
            <w:rStyle w:val="Hyperlink0"/>
            <w:rFonts w:ascii="Arial Unicode MS" w:eastAsia="Arial Unicode MS" w:hAnsi="Arial Unicode MS" w:cs="Arial Unicode MS"/>
          </w:rPr>
          <w:t>After</w:t>
        </w:r>
        <w:r>
          <w:rPr>
            <w:rStyle w:val="Hyperlink0"/>
          </w:rPr>
          <w:t xml:space="preserve"> </w:t>
        </w:r>
        <w:r>
          <w:rPr>
            <w:rStyle w:val="Hyperlink0"/>
            <w:rFonts w:ascii="Arial Unicode MS" w:eastAsia="Arial Unicode MS" w:hAnsi="Arial Unicode MS" w:cs="Arial Unicode MS"/>
          </w:rPr>
          <w:t>COVID</w:t>
        </w:r>
        <w:r>
          <w:rPr>
            <w:rStyle w:val="Hyperlink0"/>
          </w:rPr>
          <w:t xml:space="preserve"> </w:t>
        </w:r>
        <w:r>
          <w:rPr>
            <w:rStyle w:val="Hyperlink0"/>
            <w:rFonts w:ascii="Arial Unicode MS" w:eastAsia="Arial Unicode MS" w:hAnsi="Arial Unicode MS" w:cs="Arial Unicode MS"/>
          </w:rPr>
          <w:t>Pandemic</w:t>
        </w:r>
        <w:r>
          <w:rPr>
            <w:rStyle w:val="Hyperlink0"/>
          </w:rPr>
          <w:t xml:space="preserve"> </w:t>
        </w:r>
        <w:r>
          <w:rPr>
            <w:rStyle w:val="Hyperlink0"/>
            <w:rFonts w:ascii="Arial Unicode MS" w:eastAsia="Arial Unicode MS" w:hAnsi="Arial Unicode MS" w:cs="Arial Unicode MS"/>
          </w:rPr>
          <w:t>in</w:t>
        </w:r>
        <w:r>
          <w:rPr>
            <w:rStyle w:val="Hyperlink0"/>
          </w:rPr>
          <w:t xml:space="preserve"> </w:t>
        </w:r>
        <w:r>
          <w:rPr>
            <w:rStyle w:val="Hyperlink0"/>
            <w:rFonts w:ascii="Arial Unicode MS" w:eastAsia="Arial Unicode MS" w:hAnsi="Arial Unicode MS" w:cs="Arial Unicode MS"/>
          </w:rPr>
          <w:t>the</w:t>
        </w:r>
        <w:r>
          <w:rPr>
            <w:rStyle w:val="Hyperlink0"/>
          </w:rPr>
          <w:t xml:space="preserve"> </w:t>
        </w:r>
        <w:r>
          <w:rPr>
            <w:rStyle w:val="Hyperlink0"/>
            <w:rFonts w:ascii="Arial Unicode MS" w:eastAsia="Arial Unicode MS" w:hAnsi="Arial Unicode MS" w:cs="Arial Unicode MS"/>
          </w:rPr>
          <w:t>Caribbean</w:t>
        </w:r>
      </w:hyperlink>
      <w:r>
        <w:rPr>
          <w:rFonts w:ascii="Arial Unicode MS" w:eastAsia="Arial Unicode MS" w:hAnsi="Arial Unicode MS" w:cs="Arial Unicode MS"/>
          <w:color w:val="2B477B"/>
        </w:rPr>
        <w:t>,</w:t>
      </w:r>
      <w:r>
        <w:rPr>
          <w:color w:val="2B477B"/>
        </w:rPr>
        <w:t xml:space="preserve"> 27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p>
  </w:footnote>
  <w:footnote w:id="292">
    <w:p w14:paraId="4E9F18B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CARICOM,</w:t>
      </w:r>
      <w:r>
        <w:rPr>
          <w:color w:val="2B477B"/>
        </w:rPr>
        <w:t xml:space="preserve"> </w:t>
      </w:r>
      <w:hyperlink r:id="rId518" w:history="1">
        <w:r>
          <w:rPr>
            <w:rStyle w:val="Hyperlink0"/>
            <w:rFonts w:ascii="Arial Unicode MS" w:eastAsia="Arial Unicode MS" w:hAnsi="Arial Unicode MS" w:cs="Arial Unicode MS"/>
          </w:rPr>
          <w:t>Declaration</w:t>
        </w:r>
        <w:r>
          <w:rPr>
            <w:rStyle w:val="Hyperlink0"/>
          </w:rPr>
          <w:t xml:space="preserve"> </w:t>
        </w:r>
        <w:r>
          <w:rPr>
            <w:rStyle w:val="Hyperlink0"/>
            <w:rFonts w:ascii="Arial Unicode MS" w:eastAsia="Arial Unicode MS" w:hAnsi="Arial Unicode MS" w:cs="Arial Unicode MS"/>
          </w:rPr>
          <w:t>of</w:t>
        </w:r>
        <w:r>
          <w:rPr>
            <w:rStyle w:val="Hyperlink0"/>
          </w:rPr>
          <w:t xml:space="preserve"> </w:t>
        </w:r>
        <w:r>
          <w:rPr>
            <w:rStyle w:val="Hyperlink0"/>
            <w:rFonts w:ascii="Arial Unicode MS" w:eastAsia="Arial Unicode MS" w:hAnsi="Arial Unicode MS" w:cs="Arial Unicode MS"/>
          </w:rPr>
          <w:t>Petion</w:t>
        </w:r>
        <w:r>
          <w:rPr>
            <w:rStyle w:val="Hyperlink0"/>
          </w:rPr>
          <w:t xml:space="preserve"> </w:t>
        </w:r>
        <w:r>
          <w:rPr>
            <w:rStyle w:val="Hyperlink0"/>
            <w:rFonts w:ascii="Arial Unicode MS" w:eastAsia="Arial Unicode MS" w:hAnsi="Arial Unicode MS" w:cs="Arial Unicode MS"/>
          </w:rPr>
          <w:t>Ville</w:t>
        </w:r>
      </w:hyperlink>
      <w:r>
        <w:rPr>
          <w:rFonts w:ascii="Arial Unicode MS" w:eastAsia="Arial Unicode MS" w:hAnsi="Arial Unicode MS" w:cs="Arial Unicode MS"/>
          <w:color w:val="2B477B"/>
        </w:rPr>
        <w:t>,</w:t>
      </w:r>
      <w:r>
        <w:rPr>
          <w:color w:val="2B477B"/>
        </w:rPr>
        <w:t xml:space="preserve"> 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2013</w:t>
      </w:r>
      <w:r>
        <w:rPr>
          <w:rFonts w:ascii="Arial Unicode MS" w:eastAsia="Arial Unicode MS" w:hAnsi="Arial Unicode MS" w:cs="Arial Unicode MS"/>
          <w:color w:val="2B477B"/>
        </w:rPr>
        <w:t>.</w:t>
      </w:r>
      <w:r>
        <w:rPr>
          <w:color w:val="2B477B"/>
        </w:rPr>
        <w:t xml:space="preserve"> </w:t>
      </w:r>
    </w:p>
  </w:footnote>
  <w:footnote w:id="293">
    <w:p w14:paraId="488428B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Morris,</w:t>
      </w:r>
      <w:r>
        <w:rPr>
          <w:color w:val="2B477B"/>
        </w:rPr>
        <w:t xml:space="preserve"> </w:t>
      </w:r>
      <w:r>
        <w:rPr>
          <w:rFonts w:ascii="Arial Unicode MS" w:eastAsia="Arial Unicode MS" w:hAnsi="Arial Unicode MS" w:cs="Arial Unicode MS"/>
          <w:color w:val="2B477B"/>
        </w:rPr>
        <w:t>Floyd,</w:t>
      </w:r>
      <w:r>
        <w:rPr>
          <w:color w:val="2B477B"/>
        </w:rPr>
        <w:t xml:space="preserve">  </w:t>
      </w:r>
      <w:hyperlink r:id="rId519" w:history="1">
        <w:r>
          <w:rPr>
            <w:rStyle w:val="Hyperlink0"/>
            <w:rFonts w:ascii="Arial Unicode MS" w:eastAsia="Arial Unicode MS" w:hAnsi="Arial Unicode MS" w:cs="Arial Unicode MS"/>
          </w:rPr>
          <w:t>COVID-</w:t>
        </w:r>
        <w:r>
          <w:rPr>
            <w:rStyle w:val="Hyperlink0"/>
          </w:rPr>
          <w:t xml:space="preserve">19 </w:t>
        </w:r>
        <w:r>
          <w:rPr>
            <w:rStyle w:val="Hyperlink0"/>
            <w:rFonts w:ascii="Arial Unicode MS" w:eastAsia="Arial Unicode MS" w:hAnsi="Arial Unicode MS" w:cs="Arial Unicode MS"/>
          </w:rPr>
          <w:t>and</w:t>
        </w:r>
        <w:r>
          <w:rPr>
            <w:rStyle w:val="Hyperlink0"/>
          </w:rPr>
          <w:t xml:space="preserve"> </w:t>
        </w:r>
        <w:r>
          <w:rPr>
            <w:rStyle w:val="Hyperlink0"/>
            <w:rFonts w:ascii="Arial Unicode MS" w:eastAsia="Arial Unicode MS" w:hAnsi="Arial Unicode MS" w:cs="Arial Unicode MS"/>
          </w:rPr>
          <w:t>tackling</w:t>
        </w:r>
        <w:r>
          <w:rPr>
            <w:rStyle w:val="Hyperlink0"/>
          </w:rPr>
          <w:t xml:space="preserve"> </w:t>
        </w:r>
        <w:r>
          <w:rPr>
            <w:rStyle w:val="Hyperlink0"/>
            <w:rFonts w:ascii="Arial Unicode MS" w:eastAsia="Arial Unicode MS" w:hAnsi="Arial Unicode MS" w:cs="Arial Unicode MS"/>
          </w:rPr>
          <w:t>inequalities</w:t>
        </w:r>
        <w:r>
          <w:rPr>
            <w:rStyle w:val="Hyperlink0"/>
          </w:rPr>
          <w:t xml:space="preserve"> </w:t>
        </w:r>
        <w:r>
          <w:rPr>
            <w:rStyle w:val="Hyperlink0"/>
            <w:rFonts w:ascii="Arial Unicode MS" w:eastAsia="Arial Unicode MS" w:hAnsi="Arial Unicode MS" w:cs="Arial Unicode MS"/>
          </w:rPr>
          <w:t>in</w:t>
        </w:r>
        <w:r>
          <w:rPr>
            <w:rStyle w:val="Hyperlink0"/>
          </w:rPr>
          <w:t xml:space="preserve"> </w:t>
        </w:r>
        <w:r>
          <w:rPr>
            <w:rStyle w:val="Hyperlink0"/>
            <w:rFonts w:ascii="Arial Unicode MS" w:eastAsia="Arial Unicode MS" w:hAnsi="Arial Unicode MS" w:cs="Arial Unicode MS"/>
          </w:rPr>
          <w:t>Caribbean</w:t>
        </w:r>
        <w:r>
          <w:rPr>
            <w:rStyle w:val="Hyperlink0"/>
          </w:rPr>
          <w:t xml:space="preserve"> </w:t>
        </w:r>
        <w:r>
          <w:rPr>
            <w:rStyle w:val="Hyperlink0"/>
            <w:rFonts w:ascii="Arial Unicode MS" w:eastAsia="Arial Unicode MS" w:hAnsi="Arial Unicode MS" w:cs="Arial Unicode MS"/>
          </w:rPr>
          <w:t>Small</w:t>
        </w:r>
        <w:r>
          <w:rPr>
            <w:rStyle w:val="Hyperlink0"/>
          </w:rPr>
          <w:t xml:space="preserve"> </w:t>
        </w:r>
        <w:r>
          <w:rPr>
            <w:rStyle w:val="Hyperlink0"/>
            <w:rFonts w:ascii="Arial Unicode MS" w:eastAsia="Arial Unicode MS" w:hAnsi="Arial Unicode MS" w:cs="Arial Unicode MS"/>
          </w:rPr>
          <w:t>Islands</w:t>
        </w:r>
        <w:r>
          <w:rPr>
            <w:rStyle w:val="Hyperlink0"/>
          </w:rPr>
          <w:t xml:space="preserve"> </w:t>
        </w:r>
        <w:r>
          <w:rPr>
            <w:rStyle w:val="Hyperlink0"/>
            <w:rFonts w:ascii="Arial Unicode MS" w:eastAsia="Arial Unicode MS" w:hAnsi="Arial Unicode MS" w:cs="Arial Unicode MS"/>
          </w:rPr>
          <w:t>States:</w:t>
        </w:r>
        <w:r>
          <w:rPr>
            <w:rStyle w:val="Hyperlink0"/>
          </w:rPr>
          <w:t xml:space="preserve"> </w:t>
        </w:r>
        <w:r>
          <w:rPr>
            <w:rStyle w:val="Hyperlink0"/>
            <w:rFonts w:ascii="Arial Unicode MS" w:eastAsia="Arial Unicode MS" w:hAnsi="Arial Unicode MS" w:cs="Arial Unicode MS"/>
          </w:rPr>
          <w:t>The</w:t>
        </w:r>
        <w:r>
          <w:rPr>
            <w:rStyle w:val="Hyperlink0"/>
          </w:rPr>
          <w:t xml:space="preserve"> </w:t>
        </w:r>
        <w:r>
          <w:rPr>
            <w:rStyle w:val="Hyperlink0"/>
            <w:rFonts w:ascii="Arial Unicode MS" w:eastAsia="Arial Unicode MS" w:hAnsi="Arial Unicode MS" w:cs="Arial Unicode MS"/>
          </w:rPr>
          <w:t>Perspective</w:t>
        </w:r>
        <w:r>
          <w:rPr>
            <w:rStyle w:val="Hyperlink0"/>
          </w:rPr>
          <w:t xml:space="preserve"> </w:t>
        </w:r>
        <w:r>
          <w:rPr>
            <w:rStyle w:val="Hyperlink0"/>
            <w:rFonts w:ascii="Arial Unicode MS" w:eastAsia="Arial Unicode MS" w:hAnsi="Arial Unicode MS" w:cs="Arial Unicode MS"/>
          </w:rPr>
          <w:t>of</w:t>
        </w:r>
        <w:r>
          <w:rPr>
            <w:rStyle w:val="Hyperlink0"/>
          </w:rPr>
          <w:t xml:space="preserve"> </w:t>
        </w:r>
        <w:r>
          <w:rPr>
            <w:rStyle w:val="Hyperlink0"/>
            <w:rFonts w:ascii="Arial Unicode MS" w:eastAsia="Arial Unicode MS" w:hAnsi="Arial Unicode MS" w:cs="Arial Unicode MS"/>
          </w:rPr>
          <w:t>Persons</w:t>
        </w:r>
        <w:r>
          <w:rPr>
            <w:rStyle w:val="Hyperlink0"/>
          </w:rPr>
          <w:t xml:space="preserve"> </w:t>
        </w:r>
        <w:r>
          <w:rPr>
            <w:rStyle w:val="Hyperlink0"/>
            <w:rFonts w:ascii="Arial Unicode MS" w:eastAsia="Arial Unicode MS" w:hAnsi="Arial Unicode MS" w:cs="Arial Unicode MS"/>
          </w:rPr>
          <w:t>with</w:t>
        </w:r>
        <w:r>
          <w:rPr>
            <w:rStyle w:val="Hyperlink0"/>
          </w:rPr>
          <w:t xml:space="preserve"> </w:t>
        </w:r>
        <w:r>
          <w:rPr>
            <w:rStyle w:val="Hyperlink0"/>
            <w:rFonts w:ascii="Arial Unicode MS" w:eastAsia="Arial Unicode MS" w:hAnsi="Arial Unicode MS" w:cs="Arial Unicode MS"/>
          </w:rPr>
          <w:t>Disabilities</w:t>
        </w:r>
      </w:hyperlink>
      <w:r>
        <w:rPr>
          <w:rStyle w:val="Hyperlink2"/>
          <w:rFonts w:ascii="Arial Unicode MS" w:eastAsia="Arial Unicode MS" w:hAnsi="Arial Unicode MS" w:cs="Arial Unicode MS"/>
          <w:color w:val="2B477B"/>
        </w:rPr>
        <w:t>,</w:t>
      </w:r>
      <w:r>
        <w:rPr>
          <w:rStyle w:val="Hyperlink2"/>
          <w:color w:val="2B477B"/>
        </w:rPr>
        <w:t xml:space="preserve"> </w:t>
      </w:r>
      <w:r>
        <w:rPr>
          <w:rStyle w:val="Hyperlink2"/>
          <w:rFonts w:ascii="Arial Unicode MS" w:eastAsia="Arial Unicode MS" w:hAnsi="Arial Unicode MS" w:cs="Arial Unicode MS"/>
          <w:color w:val="2B477B"/>
        </w:rPr>
        <w:t>UNESCO</w:t>
      </w:r>
      <w:r>
        <w:rPr>
          <w:rFonts w:ascii="Arial Unicode MS" w:eastAsia="Arial Unicode MS" w:hAnsi="Arial Unicode MS" w:cs="Arial Unicode MS"/>
          <w:color w:val="2B477B"/>
        </w:rPr>
        <w:t>,</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rStyle w:val="Hyperlink2"/>
          <w:color w:val="2B477B"/>
        </w:rPr>
        <w:t xml:space="preserve"> </w:t>
      </w:r>
    </w:p>
  </w:footnote>
  <w:footnote w:id="294">
    <w:p w14:paraId="111B584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66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Servicio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520" w:history="1">
        <w:r>
          <w:rPr>
            <w:rFonts w:ascii="Arial Unicode MS" w:eastAsia="Arial Unicode MS" w:hAnsi="Arial Unicode MS" w:cs="Arial Unicode MS"/>
            <w:color w:val="2B477B"/>
          </w:rPr>
          <w:t>Documento</w:t>
        </w:r>
        <w:r>
          <w:rPr>
            <w:color w:val="2B477B"/>
          </w:rPr>
          <w:t xml:space="preserve"> </w:t>
        </w:r>
        <w:r>
          <w:rPr>
            <w:rFonts w:ascii="Arial Unicode MS" w:eastAsia="Arial Unicode MS" w:hAnsi="Arial Unicode MS" w:cs="Arial Unicode MS"/>
            <w:color w:val="2B477B"/>
          </w:rPr>
          <w:t>Lectura</w:t>
        </w:r>
        <w:r>
          <w:rPr>
            <w:color w:val="2B477B"/>
          </w:rPr>
          <w:t xml:space="preserve"> </w:t>
        </w:r>
        <w:r>
          <w:rPr>
            <w:rFonts w:ascii="Arial Unicode MS" w:eastAsia="Arial Unicode MS" w:hAnsi="Arial Unicode MS" w:cs="Arial Unicode MS"/>
            <w:color w:val="2B477B"/>
          </w:rPr>
          <w:t>Fácil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Pandemia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Covid-</w:t>
        </w:r>
        <w:r>
          <w:rPr>
            <w:color w:val="2B477B"/>
          </w:rPr>
          <w:t xml:space="preserve">19 </w:t>
        </w:r>
        <w:r>
          <w:rPr>
            <w:rFonts w:ascii="Arial Unicode MS" w:eastAsia="Arial Unicode MS" w:hAnsi="Arial Unicode MS" w:cs="Arial Unicode MS"/>
            <w:color w:val="2B477B"/>
          </w:rPr>
          <w:t>Tengo</w:t>
        </w:r>
        <w:r>
          <w:rPr>
            <w:color w:val="2B477B"/>
          </w:rPr>
          <w:t xml:space="preserve"> </w:t>
        </w:r>
        <w:r>
          <w:rPr>
            <w:rFonts w:ascii="Arial Unicode MS" w:eastAsia="Arial Unicode MS" w:hAnsi="Arial Unicode MS" w:cs="Arial Unicode MS"/>
            <w:color w:val="2B477B"/>
          </w:rPr>
          <w:t>Mis</w:t>
        </w:r>
        <w:r>
          <w:rPr>
            <w:color w:val="2B477B"/>
          </w:rPr>
          <w:t xml:space="preserve"> </w:t>
        </w:r>
        <w:r>
          <w:rPr>
            <w:rFonts w:ascii="Arial Unicode MS" w:eastAsia="Arial Unicode MS" w:hAnsi="Arial Unicode MS" w:cs="Arial Unicode MS"/>
            <w:color w:val="2B477B"/>
          </w:rPr>
          <w:t>Derechos</w:t>
        </w:r>
      </w:hyperlink>
      <w:r>
        <w:rPr>
          <w:color w:val="2B477B"/>
        </w:rPr>
        <w:t xml:space="preserve"> </w:t>
      </w:r>
      <w:r>
        <w:rPr>
          <w:rFonts w:ascii="Arial Unicode MS" w:eastAsia="Arial Unicode MS" w:hAnsi="Arial Unicode MS" w:cs="Arial Unicode MS"/>
          <w:color w:val="2B477B"/>
        </w:rPr>
        <w:t>y</w:t>
      </w:r>
      <w:r>
        <w:rPr>
          <w:color w:val="2B477B"/>
        </w:rPr>
        <w:t xml:space="preserve"> </w:t>
      </w:r>
      <w:hyperlink r:id="rId521" w:history="1">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Catástrofe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lectura</w:t>
        </w:r>
        <w:r>
          <w:rPr>
            <w:color w:val="2B477B"/>
          </w:rPr>
          <w:t xml:space="preserve"> </w:t>
        </w:r>
        <w:r>
          <w:rPr>
            <w:rFonts w:ascii="Arial Unicode MS" w:eastAsia="Arial Unicode MS" w:hAnsi="Arial Unicode MS" w:cs="Arial Unicode MS"/>
            <w:color w:val="2B477B"/>
          </w:rPr>
          <w:t>fácil</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295">
    <w:p w14:paraId="6115E35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66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hyperlink r:id="rId522" w:history="1">
        <w:r>
          <w:rPr>
            <w:rStyle w:val="Hyperlink1"/>
            <w:rFonts w:ascii="Arial Unicode MS" w:eastAsia="Arial Unicode MS" w:hAnsi="Arial Unicode MS" w:cs="Arial Unicode MS"/>
            <w:u w:val="single"/>
          </w:rPr>
          <w:t>Consideraciones</w:t>
        </w:r>
        <w:r>
          <w:rPr>
            <w:rStyle w:val="Hyperlink1"/>
            <w:u w:val="single"/>
          </w:rPr>
          <w:t xml:space="preserve"> </w:t>
        </w:r>
        <w:r>
          <w:rPr>
            <w:rStyle w:val="Hyperlink1"/>
            <w:rFonts w:ascii="Arial Unicode MS" w:eastAsia="Arial Unicode MS" w:hAnsi="Arial Unicode MS" w:cs="Arial Unicode MS"/>
            <w:u w:val="single"/>
          </w:rPr>
          <w:t>Especiales</w:t>
        </w:r>
        <w:r>
          <w:rPr>
            <w:rStyle w:val="Hyperlink1"/>
            <w:u w:val="single"/>
          </w:rPr>
          <w:t xml:space="preserve"> </w:t>
        </w:r>
        <w:r>
          <w:rPr>
            <w:rStyle w:val="Hyperlink1"/>
            <w:rFonts w:ascii="Arial Unicode MS" w:eastAsia="Arial Unicode MS" w:hAnsi="Arial Unicode MS" w:cs="Arial Unicode MS"/>
            <w:u w:val="single"/>
          </w:rPr>
          <w:t>en</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Manejo</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Tratamiento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durante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Pandemia</w:t>
        </w:r>
        <w:r>
          <w:rPr>
            <w:rStyle w:val="Hyperlink1"/>
            <w:u w:val="single"/>
          </w:rPr>
          <w:t xml:space="preserve"> </w:t>
        </w:r>
        <w:r>
          <w:rPr>
            <w:rStyle w:val="Hyperlink1"/>
            <w:rFonts w:ascii="Arial Unicode MS" w:eastAsia="Arial Unicode MS" w:hAnsi="Arial Unicode MS" w:cs="Arial Unicode MS"/>
            <w:u w:val="single"/>
          </w:rPr>
          <w:t>Sars-Cov-</w:t>
        </w:r>
        <w:r>
          <w:rPr>
            <w:rStyle w:val="Hyperlink1"/>
            <w:u w:val="single"/>
          </w:rPr>
          <w:t>2</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p>
  </w:footnote>
  <w:footnote w:id="296">
    <w:p w14:paraId="1FC095F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hyperlink r:id="rId523" w:history="1">
        <w:r>
          <w:rPr>
            <w:rFonts w:ascii="Arial Unicode MS" w:eastAsia="Arial Unicode MS" w:hAnsi="Arial Unicode MS" w:cs="Arial Unicode MS"/>
            <w:color w:val="2B477B"/>
          </w:rPr>
          <w:t>Consideraciones</w:t>
        </w:r>
        <w:r>
          <w:rPr>
            <w:color w:val="2B477B"/>
          </w:rPr>
          <w:t xml:space="preserve"> </w:t>
        </w:r>
        <w:r>
          <w:rPr>
            <w:rFonts w:ascii="Arial Unicode MS" w:eastAsia="Arial Unicode MS" w:hAnsi="Arial Unicode MS" w:cs="Arial Unicode MS"/>
            <w:color w:val="2B477B"/>
          </w:rPr>
          <w:t>Especiales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Manejo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durante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Pandemia</w:t>
        </w:r>
        <w:r>
          <w:rPr>
            <w:color w:val="2B477B"/>
          </w:rPr>
          <w:t xml:space="preserve"> </w:t>
        </w:r>
        <w:r>
          <w:rPr>
            <w:rFonts w:ascii="Arial Unicode MS" w:eastAsia="Arial Unicode MS" w:hAnsi="Arial Unicode MS" w:cs="Arial Unicode MS"/>
            <w:color w:val="2B477B"/>
          </w:rPr>
          <w:t>Sars-Cov-</w:t>
        </w:r>
        <w:r>
          <w:rPr>
            <w:color w:val="2B477B"/>
          </w:rPr>
          <w:t>2</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p>
  </w:footnote>
  <w:footnote w:id="297">
    <w:p w14:paraId="3A46187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65</w:t>
      </w:r>
      <w:r>
        <w:rPr>
          <w:rFonts w:ascii="Arial Unicode MS" w:eastAsia="Arial Unicode MS" w:hAnsi="Arial Unicode MS" w:cs="Arial Unicode MS"/>
          <w:color w:val="2B477B"/>
        </w:rPr>
        <w:t>-</w:t>
      </w:r>
      <w:r>
        <w:rPr>
          <w:color w:val="2B477B"/>
        </w:rPr>
        <w:t>66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Servicio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Recomendaciones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contexto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pandemia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COVID-</w:t>
      </w:r>
      <w:r>
        <w:rPr>
          <w:color w:val="2B477B"/>
        </w:rPr>
        <w:t>19</w:t>
      </w:r>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298">
    <w:p w14:paraId="2E268BF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hyperlink r:id="rId524" w:history="1">
        <w:r>
          <w:rPr>
            <w:rFonts w:ascii="Arial Unicode MS" w:eastAsia="Arial Unicode MS" w:hAnsi="Arial Unicode MS" w:cs="Arial Unicode MS"/>
            <w:color w:val="2B477B"/>
          </w:rPr>
          <w:t>Recomendaciones</w:t>
        </w:r>
        <w:r>
          <w:rPr>
            <w:color w:val="2B477B"/>
          </w:rPr>
          <w:t xml:space="preserve"> </w:t>
        </w:r>
        <w:r>
          <w:rPr>
            <w:rFonts w:ascii="Arial Unicode MS" w:eastAsia="Arial Unicode MS" w:hAnsi="Arial Unicode MS" w:cs="Arial Unicode MS"/>
            <w:color w:val="2B477B"/>
          </w:rPr>
          <w:t>Generales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Éticas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durante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Pandemia</w:t>
        </w:r>
        <w:r>
          <w:rPr>
            <w:color w:val="2B477B"/>
          </w:rPr>
          <w:t xml:space="preserve"> </w:t>
        </w:r>
        <w:r>
          <w:rPr>
            <w:rFonts w:ascii="Arial Unicode MS" w:eastAsia="Arial Unicode MS" w:hAnsi="Arial Unicode MS" w:cs="Arial Unicode MS"/>
            <w:color w:val="2B477B"/>
          </w:rPr>
          <w:t>Covid-</w:t>
        </w:r>
        <w:r>
          <w:rPr>
            <w:color w:val="2B477B"/>
          </w:rPr>
          <w:t>19</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299">
    <w:p w14:paraId="17D455A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Bicentenario,</w:t>
      </w:r>
      <w:r>
        <w:rPr>
          <w:color w:val="2B477B"/>
        </w:rPr>
        <w:t xml:space="preserve"> </w:t>
      </w:r>
      <w:hyperlink r:id="rId525"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w:t>
        </w:r>
        <w:r>
          <w:rPr>
            <w:rFonts w:ascii="Arial Unicode MS" w:eastAsia="Arial Unicode MS" w:hAnsi="Arial Unicode MS" w:cs="Arial Unicode MS"/>
            <w:color w:val="2B477B"/>
          </w:rPr>
          <w:t>N.º</w:t>
        </w:r>
        <w:r>
          <w:rPr>
            <w:color w:val="2B477B"/>
          </w:rPr>
          <w:t xml:space="preserve"> 1468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Disposiciones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Prevención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Protección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Emergencia</w:t>
        </w:r>
        <w:r>
          <w:rPr>
            <w:color w:val="2B477B"/>
          </w:rPr>
          <w:t xml:space="preserve"> </w:t>
        </w:r>
        <w:r>
          <w:rPr>
            <w:rFonts w:ascii="Arial Unicode MS" w:eastAsia="Arial Unicode MS" w:hAnsi="Arial Unicode MS" w:cs="Arial Unicode MS"/>
            <w:color w:val="2B477B"/>
          </w:rPr>
          <w:t>Sanitaria</w:t>
        </w:r>
        <w:r>
          <w:rPr>
            <w:color w:val="2B477B"/>
          </w:rPr>
          <w:t xml:space="preserve"> </w:t>
        </w:r>
        <w:r>
          <w:rPr>
            <w:rFonts w:ascii="Arial Unicode MS" w:eastAsia="Arial Unicode MS" w:hAnsi="Arial Unicode MS" w:cs="Arial Unicode MS"/>
            <w:color w:val="2B477B"/>
          </w:rPr>
          <w:t>ocasionada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COVID-</w:t>
        </w:r>
        <w:r>
          <w:rPr>
            <w:color w:val="2B477B"/>
          </w:rPr>
          <w:t>19</w:t>
        </w:r>
      </w:hyperlink>
      <w:r>
        <w:rPr>
          <w:rFonts w:ascii="Arial Unicode MS" w:eastAsia="Arial Unicode MS" w:hAnsi="Arial Unicode MS" w:cs="Arial Unicode MS"/>
          <w:color w:val="2B477B"/>
        </w:rPr>
        <w:t>,</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300">
    <w:p w14:paraId="47E7AA9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w:t>
      </w:r>
      <w:hyperlink r:id="rId526" w:history="1">
        <w:r>
          <w:rPr>
            <w:rFonts w:ascii="Arial Unicode MS" w:eastAsia="Arial Unicode MS" w:hAnsi="Arial Unicode MS" w:cs="Arial Unicode MS"/>
            <w:color w:val="2B477B"/>
          </w:rPr>
          <w:t>Ley</w:t>
        </w:r>
        <w:r>
          <w:rPr>
            <w:color w:val="2B477B"/>
          </w:rPr>
          <w:t xml:space="preserve"> 29535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Otorga</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Lengua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Señas</w:t>
        </w:r>
        <w:r>
          <w:rPr>
            <w:color w:val="2B477B"/>
          </w:rPr>
          <w:t xml:space="preserve"> </w:t>
        </w:r>
        <w:r>
          <w:rPr>
            <w:rFonts w:ascii="Arial Unicode MS" w:eastAsia="Arial Unicode MS" w:hAnsi="Arial Unicode MS" w:cs="Arial Unicode MS"/>
            <w:color w:val="2B477B"/>
          </w:rPr>
          <w:t>Peruana</w:t>
        </w:r>
      </w:hyperlink>
      <w:r>
        <w:rPr>
          <w:rFonts w:ascii="Arial Unicode MS" w:eastAsia="Arial Unicode MS" w:hAnsi="Arial Unicode MS" w:cs="Arial Unicode MS"/>
          <w:color w:val="2B477B"/>
        </w:rPr>
        <w:t>,</w:t>
      </w:r>
      <w:r>
        <w:rPr>
          <w:color w:val="2B477B"/>
        </w:rPr>
        <w:t xml:space="preserve"> 21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p>
  </w:footnote>
  <w:footnote w:id="301">
    <w:p w14:paraId="1D88F79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Pandemia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w:t>
      </w:r>
      <w:hyperlink r:id="rId527" w:history="1">
        <w:r>
          <w:rPr>
            <w:rFonts w:ascii="Arial Unicode MS" w:eastAsia="Arial Unicode MS" w:hAnsi="Arial Unicode MS" w:cs="Arial Unicode MS"/>
            <w:color w:val="2B477B"/>
          </w:rPr>
          <w:t>Resolución</w:t>
        </w:r>
        <w:r>
          <w:rPr>
            <w:color w:val="2B477B"/>
          </w:rPr>
          <w:t xml:space="preserve"> 1 </w:t>
        </w:r>
        <w:r>
          <w:rPr>
            <w:rFonts w:ascii="Arial Unicode MS" w:eastAsia="Arial Unicode MS" w:hAnsi="Arial Unicode MS" w:cs="Arial Unicode MS"/>
            <w:color w:val="2B477B"/>
          </w:rPr>
          <w:t>de</w:t>
        </w:r>
        <w:r>
          <w:rPr>
            <w:color w:val="2B477B"/>
          </w:rPr>
          <w:t xml:space="preserve"> 2020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disposición</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COVID-</w:t>
      </w:r>
      <w:r>
        <w:rPr>
          <w:color w:val="2B477B"/>
        </w:rPr>
        <w:t>19</w:t>
      </w:r>
      <w:r>
        <w:rPr>
          <w:rFonts w:ascii="Arial Unicode MS" w:eastAsia="Arial Unicode MS" w:hAnsi="Arial Unicode MS" w:cs="Arial Unicode MS"/>
          <w:color w:val="2B477B"/>
        </w:rPr>
        <w:t>,</w:t>
      </w:r>
      <w:r>
        <w:rPr>
          <w:color w:val="2B477B"/>
        </w:rPr>
        <w:t xml:space="preserve"> </w:t>
      </w:r>
      <w:hyperlink r:id="rId528" w:history="1">
        <w:r>
          <w:rPr>
            <w:rFonts w:ascii="Arial Unicode MS" w:eastAsia="Arial Unicode MS" w:hAnsi="Arial Unicode MS" w:cs="Arial Unicode MS"/>
            <w:color w:val="2B477B"/>
          </w:rPr>
          <w:t>Resolución</w:t>
        </w:r>
        <w:r>
          <w:rPr>
            <w:color w:val="2B477B"/>
          </w:rPr>
          <w:t xml:space="preserve"> 4 </w:t>
        </w:r>
        <w:r>
          <w:rPr>
            <w:rFonts w:ascii="Arial Unicode MS" w:eastAsia="Arial Unicode MS" w:hAnsi="Arial Unicode MS" w:cs="Arial Unicode MS"/>
            <w:color w:val="2B477B"/>
          </w:rPr>
          <w:t>de</w:t>
        </w:r>
        <w:r>
          <w:rPr>
            <w:color w:val="2B477B"/>
          </w:rPr>
          <w:t xml:space="preserve"> 2020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disposición</w:t>
      </w:r>
      <w:r>
        <w:rPr>
          <w:color w:val="2B477B"/>
        </w:rPr>
        <w:t xml:space="preserve"> 23</w:t>
      </w:r>
      <w:r>
        <w:rPr>
          <w:rFonts w:ascii="Arial Unicode MS" w:eastAsia="Arial Unicode MS" w:hAnsi="Arial Unicode MS" w:cs="Arial Unicode MS"/>
          <w:color w:val="2B477B"/>
        </w:rPr>
        <w:t>.</w:t>
      </w:r>
    </w:p>
  </w:footnote>
  <w:footnote w:id="302">
    <w:p w14:paraId="2A8E47C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ejemplo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esto</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denunciado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O'Neill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trato</w:t>
      </w:r>
      <w:r>
        <w:rPr>
          <w:color w:val="2B477B"/>
        </w:rPr>
        <w:t xml:space="preserve"> </w:t>
      </w:r>
      <w:r>
        <w:rPr>
          <w:rFonts w:ascii="Arial Unicode MS" w:eastAsia="Arial Unicode MS" w:hAnsi="Arial Unicode MS" w:cs="Arial Unicode MS"/>
          <w:color w:val="2B477B"/>
        </w:rPr>
        <w:t>recibido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Oscar</w:t>
      </w:r>
      <w:r>
        <w:rPr>
          <w:color w:val="2B477B"/>
        </w:rPr>
        <w:t xml:space="preserve"> </w:t>
      </w:r>
      <w:r>
        <w:rPr>
          <w:rFonts w:ascii="Arial Unicode MS" w:eastAsia="Arial Unicode MS" w:hAnsi="Arial Unicode MS" w:cs="Arial Unicode MS"/>
          <w:color w:val="2B477B"/>
        </w:rPr>
        <w:t>Walter,</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chileno</w:t>
      </w:r>
      <w:r>
        <w:rPr>
          <w:color w:val="2B477B"/>
        </w:rPr>
        <w:t xml:space="preserve"> </w:t>
      </w:r>
      <w:r>
        <w:rPr>
          <w:rFonts w:ascii="Arial Unicode MS" w:eastAsia="Arial Unicode MS" w:hAnsi="Arial Unicode MS" w:cs="Arial Unicode MS"/>
          <w:color w:val="2B477B"/>
        </w:rPr>
        <w:t>de</w:t>
      </w:r>
      <w:r>
        <w:rPr>
          <w:color w:val="2B477B"/>
        </w:rPr>
        <w:t xml:space="preserve"> 38 </w:t>
      </w:r>
      <w:r>
        <w:rPr>
          <w:rFonts w:ascii="Arial Unicode MS" w:eastAsia="Arial Unicode MS" w:hAnsi="Arial Unicode MS" w:cs="Arial Unicode MS"/>
          <w:color w:val="2B477B"/>
        </w:rPr>
        <w:t>años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Síndrome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Down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proveniente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familia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escasos</w:t>
      </w:r>
      <w:r>
        <w:rPr>
          <w:color w:val="2B477B"/>
        </w:rPr>
        <w:t xml:space="preserve"> </w:t>
      </w:r>
      <w:r>
        <w:rPr>
          <w:rFonts w:ascii="Arial Unicode MS" w:eastAsia="Arial Unicode MS" w:hAnsi="Arial Unicode MS" w:cs="Arial Unicode MS"/>
          <w:color w:val="2B477B"/>
        </w:rPr>
        <w:t>recursos,</w:t>
      </w:r>
      <w:r>
        <w:rPr>
          <w:color w:val="2B477B"/>
        </w:rPr>
        <w:t xml:space="preserve"> </w:t>
      </w:r>
      <w:r>
        <w:rPr>
          <w:rFonts w:ascii="Arial Unicode MS" w:eastAsia="Arial Unicode MS" w:hAnsi="Arial Unicode MS" w:cs="Arial Unicode MS"/>
          <w:color w:val="2B477B"/>
        </w:rPr>
        <w:t>quién</w:t>
      </w:r>
      <w:r>
        <w:rPr>
          <w:color w:val="2B477B"/>
        </w:rPr>
        <w:t xml:space="preserve"> </w:t>
      </w:r>
      <w:r>
        <w:rPr>
          <w:rFonts w:ascii="Arial Unicode MS" w:eastAsia="Arial Unicode MS" w:hAnsi="Arial Unicode MS" w:cs="Arial Unicode MS"/>
          <w:color w:val="2B477B"/>
        </w:rPr>
        <w:t>fue</w:t>
      </w:r>
      <w:r>
        <w:rPr>
          <w:color w:val="2B477B"/>
        </w:rPr>
        <w:t xml:space="preserve"> </w:t>
      </w:r>
      <w:r>
        <w:rPr>
          <w:rFonts w:ascii="Arial Unicode MS" w:eastAsia="Arial Unicode MS" w:hAnsi="Arial Unicode MS" w:cs="Arial Unicode MS"/>
          <w:color w:val="2B477B"/>
        </w:rPr>
        <w:t>tratado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Covid-</w:t>
      </w:r>
      <w:r>
        <w:rPr>
          <w:color w:val="2B477B"/>
        </w:rPr>
        <w:t xml:space="preserve">19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Hospital</w:t>
      </w:r>
      <w:r>
        <w:rPr>
          <w:color w:val="2B477B"/>
        </w:rPr>
        <w:t xml:space="preserve"> </w:t>
      </w:r>
      <w:r>
        <w:rPr>
          <w:rFonts w:ascii="Arial Unicode MS" w:eastAsia="Arial Unicode MS" w:hAnsi="Arial Unicode MS" w:cs="Arial Unicode MS"/>
          <w:color w:val="2B477B"/>
        </w:rPr>
        <w:t>Clínico</w:t>
      </w:r>
      <w:r>
        <w:rPr>
          <w:color w:val="2B477B"/>
        </w:rPr>
        <w:t xml:space="preserve"> </w:t>
      </w:r>
      <w:r>
        <w:rPr>
          <w:rFonts w:ascii="Arial Unicode MS" w:eastAsia="Arial Unicode MS" w:hAnsi="Arial Unicode MS" w:cs="Arial Unicode MS"/>
          <w:color w:val="2B477B"/>
        </w:rPr>
        <w:t>Félix</w:t>
      </w:r>
      <w:r>
        <w:rPr>
          <w:color w:val="2B477B"/>
        </w:rPr>
        <w:t xml:space="preserve"> </w:t>
      </w:r>
      <w:r>
        <w:rPr>
          <w:rFonts w:ascii="Arial Unicode MS" w:eastAsia="Arial Unicode MS" w:hAnsi="Arial Unicode MS" w:cs="Arial Unicode MS"/>
          <w:color w:val="2B477B"/>
        </w:rPr>
        <w:t>Bulnes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familia</w:t>
      </w:r>
      <w:r>
        <w:rPr>
          <w:color w:val="2B477B"/>
        </w:rPr>
        <w:t xml:space="preserve"> </w:t>
      </w:r>
      <w:r>
        <w:rPr>
          <w:rFonts w:ascii="Arial Unicode MS" w:eastAsia="Arial Unicode MS" w:hAnsi="Arial Unicode MS" w:cs="Arial Unicode MS"/>
          <w:color w:val="2B477B"/>
        </w:rPr>
        <w:t>denunció,</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cuestiones,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éste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fue</w:t>
      </w:r>
      <w:r>
        <w:rPr>
          <w:color w:val="2B477B"/>
        </w:rPr>
        <w:t xml:space="preserve"> </w:t>
      </w:r>
      <w:r>
        <w:rPr>
          <w:rFonts w:ascii="Arial Unicode MS" w:eastAsia="Arial Unicode MS" w:hAnsi="Arial Unicode MS" w:cs="Arial Unicode MS"/>
          <w:color w:val="2B477B"/>
        </w:rPr>
        <w:t>priorizado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acceder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crítica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motivo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dio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resultado</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fallecimiento.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aportada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Instituto</w:t>
      </w:r>
      <w:r>
        <w:rPr>
          <w:color w:val="2B477B"/>
        </w:rPr>
        <w:t xml:space="preserve"> </w:t>
      </w:r>
      <w:r>
        <w:rPr>
          <w:rFonts w:ascii="Arial Unicode MS" w:eastAsia="Arial Unicode MS" w:hAnsi="Arial Unicode MS" w:cs="Arial Unicode MS"/>
          <w:color w:val="2B477B"/>
        </w:rPr>
        <w:t>O'Neill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Global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Georgetown,</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p>
  </w:footnote>
  <w:footnote w:id="303">
    <w:p w14:paraId="2F6539F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Informe</w:t>
      </w:r>
      <w:r>
        <w:rPr>
          <w:color w:val="2B477B"/>
        </w:rPr>
        <w:t xml:space="preserve"> </w:t>
      </w:r>
      <w:hyperlink r:id="rId529" w:history="1">
        <w:r>
          <w:rPr>
            <w:rFonts w:ascii="Arial Unicode MS" w:eastAsia="Arial Unicode MS" w:hAnsi="Arial Unicode MS" w:cs="Arial Unicode MS"/>
            <w:color w:val="2B477B"/>
          </w:rPr>
          <w:t>Pandemia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Washington,</w:t>
      </w:r>
      <w:r>
        <w:rPr>
          <w:color w:val="2B477B"/>
        </w:rPr>
        <w:t xml:space="preserve"> </w:t>
      </w:r>
      <w:r>
        <w:rPr>
          <w:rFonts w:ascii="Arial Unicode MS" w:eastAsia="Arial Unicode MS" w:hAnsi="Arial Unicode MS" w:cs="Arial Unicode MS"/>
          <w:color w:val="2B477B"/>
        </w:rPr>
        <w:t>D.C.,</w:t>
      </w:r>
      <w:r>
        <w:rPr>
          <w:color w:val="2B477B"/>
        </w:rPr>
        <w:t xml:space="preserve"> </w:t>
      </w:r>
      <w:r>
        <w:rPr>
          <w:rFonts w:ascii="Arial Unicode MS" w:eastAsia="Arial Unicode MS" w:hAnsi="Arial Unicode MS" w:cs="Arial Unicode MS"/>
          <w:color w:val="2B477B"/>
        </w:rPr>
        <w:t>septiembre</w:t>
      </w:r>
      <w:r>
        <w:rPr>
          <w:color w:val="2B477B"/>
        </w:rPr>
        <w:t xml:space="preserve"> 9</w:t>
      </w:r>
      <w:r>
        <w:rPr>
          <w:rFonts w:ascii="Arial Unicode MS" w:eastAsia="Arial Unicode MS" w:hAnsi="Arial Unicode MS" w:cs="Arial Unicode MS"/>
          <w:color w:val="2B477B"/>
        </w:rPr>
        <w:t>,</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147 </w:t>
      </w:r>
      <w:r>
        <w:rPr>
          <w:rFonts w:ascii="Arial Unicode MS" w:eastAsia="Arial Unicode MS" w:hAnsi="Arial Unicode MS" w:cs="Arial Unicode MS"/>
          <w:color w:val="2B477B"/>
        </w:rPr>
        <w:t>a</w:t>
      </w:r>
      <w:r>
        <w:rPr>
          <w:color w:val="2B477B"/>
        </w:rPr>
        <w:t xml:space="preserve"> 149</w:t>
      </w:r>
      <w:r>
        <w:rPr>
          <w:rFonts w:ascii="Arial Unicode MS" w:eastAsia="Arial Unicode MS" w:hAnsi="Arial Unicode MS" w:cs="Arial Unicode MS"/>
          <w:color w:val="2B477B"/>
        </w:rPr>
        <w:t>.</w:t>
      </w:r>
    </w:p>
  </w:footnote>
  <w:footnote w:id="304">
    <w:p w14:paraId="596CD4C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hyperlink r:id="rId530"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Americana</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Humanos</w:t>
        </w:r>
      </w:hyperlink>
      <w:r>
        <w:rPr>
          <w:rFonts w:ascii="Arial Unicode MS" w:eastAsia="Arial Unicode MS" w:hAnsi="Arial Unicode MS" w:cs="Arial Unicode MS"/>
          <w:color w:val="2B477B"/>
        </w:rPr>
        <w:t>,</w:t>
      </w:r>
      <w:r>
        <w:rPr>
          <w:color w:val="2B477B"/>
        </w:rPr>
        <w:t xml:space="preserve"> 1969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5</w:t>
      </w:r>
      <w:r>
        <w:rPr>
          <w:rFonts w:ascii="Arial Unicode MS" w:eastAsia="Arial Unicode MS" w:hAnsi="Arial Unicode MS" w:cs="Arial Unicode MS"/>
          <w:color w:val="2B477B"/>
        </w:rPr>
        <w:t>.</w:t>
      </w:r>
      <w:r>
        <w:rPr>
          <w:color w:val="2B477B"/>
        </w:rPr>
        <w:t xml:space="preserve"> </w:t>
      </w:r>
    </w:p>
  </w:footnote>
  <w:footnote w:id="305">
    <w:p w14:paraId="3F2BA44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531"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artículos.</w:t>
      </w:r>
      <w:r>
        <w:rPr>
          <w:color w:val="2B477B"/>
        </w:rPr>
        <w:t xml:space="preserve"> 15</w:t>
      </w:r>
      <w:r>
        <w:rPr>
          <w:rFonts w:ascii="Arial Unicode MS" w:eastAsia="Arial Unicode MS" w:hAnsi="Arial Unicode MS" w:cs="Arial Unicode MS"/>
          <w:color w:val="2B477B"/>
        </w:rPr>
        <w:t>,</w:t>
      </w:r>
      <w:r>
        <w:rPr>
          <w:color w:val="2B477B"/>
        </w:rPr>
        <w:t xml:space="preserve"> 16 </w:t>
      </w:r>
      <w:r>
        <w:rPr>
          <w:rFonts w:ascii="Arial Unicode MS" w:eastAsia="Arial Unicode MS" w:hAnsi="Arial Unicode MS" w:cs="Arial Unicode MS"/>
          <w:color w:val="2B477B"/>
        </w:rPr>
        <w:t>y</w:t>
      </w:r>
      <w:r>
        <w:rPr>
          <w:color w:val="2B477B"/>
        </w:rPr>
        <w:t xml:space="preserve"> 17</w:t>
      </w:r>
      <w:r>
        <w:rPr>
          <w:rFonts w:ascii="Arial Unicode MS" w:eastAsia="Arial Unicode MS" w:hAnsi="Arial Unicode MS" w:cs="Arial Unicode MS"/>
          <w:color w:val="2B477B"/>
        </w:rPr>
        <w:t>.</w:t>
      </w:r>
    </w:p>
  </w:footnote>
  <w:footnote w:id="306">
    <w:p w14:paraId="084AAE7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532"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25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42</w:t>
      </w:r>
      <w:r>
        <w:rPr>
          <w:rFonts w:ascii="Arial Unicode MS" w:eastAsia="Arial Unicode MS" w:hAnsi="Arial Unicode MS" w:cs="Arial Unicode MS"/>
          <w:color w:val="2B477B"/>
        </w:rPr>
        <w:t>.</w:t>
      </w:r>
    </w:p>
  </w:footnote>
  <w:footnote w:id="307">
    <w:p w14:paraId="341396D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r>
        <w:rPr>
          <w:rFonts w:ascii="Arial Unicode MS" w:eastAsia="Arial Unicode MS" w:hAnsi="Arial Unicode MS" w:cs="Arial Unicode MS"/>
          <w:color w:val="2B477B"/>
        </w:rPr>
        <w:t>OEA,</w:t>
      </w:r>
      <w:r>
        <w:rPr>
          <w:color w:val="2B477B"/>
        </w:rPr>
        <w:t xml:space="preserve"> </w:t>
      </w:r>
      <w:hyperlink r:id="rId533" w:history="1">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Práctica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Establecimiento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24</w:t>
      </w:r>
      <w:r>
        <w:rPr>
          <w:rFonts w:ascii="Arial Unicode MS" w:eastAsia="Arial Unicode MS" w:hAnsi="Arial Unicode MS" w:cs="Arial Unicode MS"/>
          <w:color w:val="2B477B"/>
        </w:rPr>
        <w:t>.</w:t>
      </w:r>
    </w:p>
  </w:footnote>
  <w:footnote w:id="308">
    <w:p w14:paraId="6E8EBC3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34"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Guachalá</w:t>
        </w:r>
        <w:r>
          <w:rPr>
            <w:rStyle w:val="Hyperlink1"/>
            <w:u w:val="single"/>
          </w:rPr>
          <w:t xml:space="preserve"> </w:t>
        </w:r>
        <w:r>
          <w:rPr>
            <w:rStyle w:val="Hyperlink1"/>
            <w:rFonts w:ascii="Arial Unicode MS" w:eastAsia="Arial Unicode MS" w:hAnsi="Arial Unicode MS" w:cs="Arial Unicode MS"/>
            <w:u w:val="single"/>
          </w:rPr>
          <w:t>Chimbó</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otros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Ecuador.</w:t>
        </w:r>
        <w:r>
          <w:rPr>
            <w:rStyle w:val="Hyperlink1"/>
            <w:u w:val="single"/>
          </w:rPr>
          <w:t xml:space="preserve"> </w:t>
        </w:r>
        <w:r>
          <w:rPr>
            <w:rStyle w:val="Hyperlink1"/>
            <w:rFonts w:ascii="Arial Unicode MS" w:eastAsia="Arial Unicode MS" w:hAnsi="Arial Unicode MS" w:cs="Arial Unicode MS"/>
            <w:u w:val="single"/>
          </w:rPr>
          <w:t>Fondo,</w:t>
        </w:r>
        <w:r>
          <w:rPr>
            <w:rStyle w:val="Hyperlink1"/>
            <w:u w:val="single"/>
          </w:rPr>
          <w:t xml:space="preserve"> </w:t>
        </w:r>
        <w:r>
          <w:rPr>
            <w:rStyle w:val="Hyperlink1"/>
            <w:rFonts w:ascii="Arial Unicode MS" w:eastAsia="Arial Unicode MS" w:hAnsi="Arial Unicode MS" w:cs="Arial Unicode MS"/>
            <w:u w:val="single"/>
          </w:rPr>
          <w:t>Reparaciones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Costas.</w:t>
        </w:r>
        <w:r>
          <w:rPr>
            <w:rStyle w:val="Hyperlink1"/>
            <w:u w:val="single"/>
          </w:rPr>
          <w:t xml:space="preserve"> </w:t>
        </w:r>
        <w:r>
          <w:rPr>
            <w:rStyle w:val="Hyperlink1"/>
            <w:rFonts w:ascii="Arial Unicode MS" w:eastAsia="Arial Unicode MS" w:hAnsi="Arial Unicode MS" w:cs="Arial Unicode MS"/>
            <w:u w:val="single"/>
          </w:rPr>
          <w:t>Sentencia</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26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marzo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2021</w:t>
        </w:r>
        <w:r>
          <w:rPr>
            <w:rStyle w:val="Hyperlink1"/>
            <w:rFonts w:ascii="Arial Unicode MS" w:eastAsia="Arial Unicode MS" w:hAnsi="Arial Unicode MS" w:cs="Arial Unicode MS"/>
            <w:u w:val="single"/>
          </w:rPr>
          <w:t>.Serie</w:t>
        </w:r>
        <w:r>
          <w:rPr>
            <w:rStyle w:val="Hyperlink1"/>
            <w:u w:val="single"/>
          </w:rPr>
          <w:t xml:space="preserve"> </w:t>
        </w:r>
        <w:r>
          <w:rPr>
            <w:rStyle w:val="Hyperlink1"/>
            <w:rFonts w:ascii="Arial Unicode MS" w:eastAsia="Arial Unicode MS" w:hAnsi="Arial Unicode MS" w:cs="Arial Unicode MS"/>
            <w:u w:val="single"/>
          </w:rPr>
          <w:t>C</w:t>
        </w:r>
        <w:r>
          <w:rPr>
            <w:rStyle w:val="Hyperlink1"/>
            <w:u w:val="single"/>
          </w:rPr>
          <w:t xml:space="preserve"> </w:t>
        </w:r>
        <w:r>
          <w:rPr>
            <w:rStyle w:val="Hyperlink1"/>
            <w:rFonts w:ascii="Arial Unicode MS" w:eastAsia="Arial Unicode MS" w:hAnsi="Arial Unicode MS" w:cs="Arial Unicode MS"/>
            <w:u w:val="single"/>
          </w:rPr>
          <w:t>No.</w:t>
        </w:r>
        <w:r>
          <w:rPr>
            <w:rStyle w:val="Hyperlink1"/>
            <w:u w:val="single"/>
          </w:rPr>
          <w:t xml:space="preserve"> 423</w:t>
        </w:r>
        <w:r>
          <w:rPr>
            <w:rStyle w:val="Hyperlink1"/>
            <w:rFonts w:ascii="Arial Unicode MS" w:eastAsia="Arial Unicode MS" w:hAnsi="Arial Unicode MS" w:cs="Arial Unicode MS"/>
            <w:u w:val="single"/>
          </w:rPr>
          <w:t>,</w:t>
        </w:r>
      </w:hyperlink>
      <w:r>
        <w:rPr>
          <w:color w:val="2B477B"/>
        </w:rPr>
        <w:t xml:space="preserve"> </w:t>
      </w:r>
      <w:r>
        <w:rPr>
          <w:rFonts w:ascii="Arial Unicode MS" w:eastAsia="Arial Unicode MS" w:hAnsi="Arial Unicode MS" w:cs="Arial Unicode MS"/>
          <w:color w:val="2B477B"/>
        </w:rPr>
        <w:t>párrs.</w:t>
      </w:r>
      <w:r>
        <w:rPr>
          <w:color w:val="2B477B"/>
        </w:rPr>
        <w:t xml:space="preserve"> 80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p>
  </w:footnote>
  <w:footnote w:id="309">
    <w:p w14:paraId="74D7DC2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35"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Guachalá</w:t>
        </w:r>
        <w:r>
          <w:rPr>
            <w:color w:val="2B477B"/>
          </w:rPr>
          <w:t xml:space="preserve"> </w:t>
        </w:r>
        <w:r>
          <w:rPr>
            <w:rFonts w:ascii="Arial Unicode MS" w:eastAsia="Arial Unicode MS" w:hAnsi="Arial Unicode MS" w:cs="Arial Unicode MS"/>
            <w:color w:val="2B477B"/>
          </w:rPr>
          <w:t>Chimbó</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90</w:t>
      </w:r>
      <w:r>
        <w:rPr>
          <w:rFonts w:ascii="Arial Unicode MS" w:eastAsia="Arial Unicode MS" w:hAnsi="Arial Unicode MS" w:cs="Arial Unicode MS"/>
          <w:color w:val="2B477B"/>
        </w:rPr>
        <w:t>;</w:t>
      </w:r>
      <w:r>
        <w:rPr>
          <w:color w:val="2B477B"/>
        </w:rPr>
        <w:t xml:space="preserve"> </w:t>
      </w:r>
      <w:hyperlink r:id="rId536"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Ximenes</w:t>
        </w:r>
        <w:r>
          <w:rPr>
            <w:color w:val="2B477B"/>
          </w:rPr>
          <w:t xml:space="preserve"> </w:t>
        </w:r>
        <w:r>
          <w:rPr>
            <w:rFonts w:ascii="Arial Unicode MS" w:eastAsia="Arial Unicode MS" w:hAnsi="Arial Unicode MS" w:cs="Arial Unicode MS"/>
            <w:color w:val="2B477B"/>
          </w:rPr>
          <w:t>Lopes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149</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106 </w:t>
      </w:r>
      <w:r>
        <w:rPr>
          <w:rFonts w:ascii="Arial Unicode MS" w:eastAsia="Arial Unicode MS" w:hAnsi="Arial Unicode MS" w:cs="Arial Unicode MS"/>
          <w:color w:val="2B477B"/>
        </w:rPr>
        <w:t>a</w:t>
      </w:r>
      <w:r>
        <w:rPr>
          <w:color w:val="2B477B"/>
        </w:rPr>
        <w:t xml:space="preserve"> 108</w:t>
      </w:r>
      <w:r>
        <w:rPr>
          <w:rFonts w:ascii="Arial Unicode MS" w:eastAsia="Arial Unicode MS" w:hAnsi="Arial Unicode MS" w:cs="Arial Unicode MS"/>
          <w:color w:val="2B477B"/>
        </w:rPr>
        <w:t>.</w:t>
      </w:r>
    </w:p>
  </w:footnote>
  <w:footnote w:id="310">
    <w:p w14:paraId="1825B15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37"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Guachalá</w:t>
        </w:r>
        <w:r>
          <w:rPr>
            <w:color w:val="2B477B"/>
          </w:rPr>
          <w:t xml:space="preserve"> </w:t>
        </w:r>
        <w:r>
          <w:rPr>
            <w:rFonts w:ascii="Arial Unicode MS" w:eastAsia="Arial Unicode MS" w:hAnsi="Arial Unicode MS" w:cs="Arial Unicode MS"/>
            <w:color w:val="2B477B"/>
          </w:rPr>
          <w:t>Chimbó</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26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423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114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ss.</w:t>
      </w:r>
    </w:p>
  </w:footnote>
  <w:footnote w:id="311">
    <w:p w14:paraId="7911231B" w14:textId="77777777" w:rsidR="001A105D" w:rsidRDefault="00000000">
      <w:pPr>
        <w:pStyle w:val="Body"/>
        <w:jc w:val="left"/>
      </w:pPr>
      <w:r>
        <w:rPr>
          <w:rStyle w:val="None"/>
          <w:color w:val="2B477B"/>
          <w:vertAlign w:val="superscript"/>
        </w:rPr>
        <w:footnoteRef/>
      </w:r>
      <w:r>
        <w:rPr>
          <w:color w:val="2B477B"/>
        </w:rPr>
        <w:t xml:space="preserve"> </w:t>
      </w:r>
      <w:hyperlink r:id="rId538"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Ximenes</w:t>
        </w:r>
        <w:r>
          <w:rPr>
            <w:color w:val="2B477B"/>
          </w:rPr>
          <w:t xml:space="preserve"> </w:t>
        </w:r>
        <w:r>
          <w:rPr>
            <w:rFonts w:ascii="Arial Unicode MS" w:eastAsia="Arial Unicode MS" w:hAnsi="Arial Unicode MS" w:cs="Arial Unicode MS"/>
            <w:color w:val="2B477B"/>
          </w:rPr>
          <w:t>Lopes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149</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106 </w:t>
      </w:r>
      <w:r>
        <w:rPr>
          <w:rFonts w:ascii="Arial Unicode MS" w:eastAsia="Arial Unicode MS" w:hAnsi="Arial Unicode MS" w:cs="Arial Unicode MS"/>
          <w:color w:val="2B477B"/>
        </w:rPr>
        <w:t>a</w:t>
      </w:r>
      <w:r>
        <w:rPr>
          <w:color w:val="2B477B"/>
        </w:rPr>
        <w:t xml:space="preserve"> 108</w:t>
      </w:r>
      <w:r>
        <w:rPr>
          <w:rFonts w:ascii="Arial Unicode MS" w:eastAsia="Arial Unicode MS" w:hAnsi="Arial Unicode MS" w:cs="Arial Unicode MS"/>
          <w:color w:val="2B477B"/>
        </w:rPr>
        <w:t>.</w:t>
      </w:r>
      <w:r>
        <w:rPr>
          <w:color w:val="2B477B"/>
        </w:rPr>
        <w:t xml:space="preserve"> </w:t>
      </w:r>
    </w:p>
  </w:footnote>
  <w:footnote w:id="312">
    <w:p w14:paraId="217CAE1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Ximenes</w:t>
      </w:r>
      <w:r>
        <w:rPr>
          <w:color w:val="2B477B"/>
        </w:rPr>
        <w:t xml:space="preserve"> </w:t>
      </w:r>
      <w:r>
        <w:rPr>
          <w:rFonts w:ascii="Arial Unicode MS" w:eastAsia="Arial Unicode MS" w:hAnsi="Arial Unicode MS" w:cs="Arial Unicode MS"/>
          <w:color w:val="2B477B"/>
        </w:rPr>
        <w:t>Lopes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hyperlink r:id="rId539" w:history="1">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párr.</w:t>
      </w:r>
      <w:r>
        <w:rPr>
          <w:color w:val="2B477B"/>
        </w:rPr>
        <w:t xml:space="preserve"> 130</w:t>
      </w:r>
      <w:r>
        <w:rPr>
          <w:rFonts w:ascii="Arial Unicode MS" w:eastAsia="Arial Unicode MS" w:hAnsi="Arial Unicode MS" w:cs="Arial Unicode MS"/>
          <w:color w:val="2B477B"/>
        </w:rPr>
        <w:t>.</w:t>
      </w:r>
      <w:r>
        <w:rPr>
          <w:color w:val="2B477B"/>
        </w:rPr>
        <w:t xml:space="preserve"> </w:t>
      </w:r>
    </w:p>
  </w:footnote>
  <w:footnote w:id="313">
    <w:p w14:paraId="47301FD8" w14:textId="77777777" w:rsidR="001A105D" w:rsidRDefault="00000000">
      <w:pPr>
        <w:pStyle w:val="Body"/>
        <w:jc w:val="left"/>
      </w:pPr>
      <w:r>
        <w:rPr>
          <w:rStyle w:val="None"/>
          <w:color w:val="2B477B"/>
          <w:vertAlign w:val="superscript"/>
        </w:rPr>
        <w:footnoteRef/>
      </w:r>
      <w:r>
        <w:rPr>
          <w:color w:val="2B477B"/>
        </w:rPr>
        <w:t xml:space="preserve"> </w:t>
      </w:r>
      <w:hyperlink r:id="rId540"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Ximenes</w:t>
        </w:r>
        <w:r>
          <w:rPr>
            <w:color w:val="2B477B"/>
          </w:rPr>
          <w:t xml:space="preserve"> </w:t>
        </w:r>
        <w:r>
          <w:rPr>
            <w:rFonts w:ascii="Arial Unicode MS" w:eastAsia="Arial Unicode MS" w:hAnsi="Arial Unicode MS" w:cs="Arial Unicode MS"/>
            <w:color w:val="2B477B"/>
          </w:rPr>
          <w:t>Lopes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137 </w:t>
      </w:r>
      <w:r>
        <w:rPr>
          <w:rFonts w:ascii="Arial Unicode MS" w:eastAsia="Arial Unicode MS" w:hAnsi="Arial Unicode MS" w:cs="Arial Unicode MS"/>
          <w:color w:val="2B477B"/>
        </w:rPr>
        <w:t>y</w:t>
      </w:r>
      <w:r>
        <w:rPr>
          <w:color w:val="2B477B"/>
        </w:rPr>
        <w:t xml:space="preserve"> 140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99 </w:t>
      </w:r>
      <w:r>
        <w:rPr>
          <w:rFonts w:ascii="Arial Unicode MS" w:eastAsia="Arial Unicode MS" w:hAnsi="Arial Unicode MS" w:cs="Arial Unicode MS"/>
          <w:color w:val="2B477B"/>
        </w:rPr>
        <w:t>y</w:t>
      </w:r>
      <w:r>
        <w:rPr>
          <w:color w:val="2B477B"/>
        </w:rPr>
        <w:t xml:space="preserve"> 108</w:t>
      </w:r>
      <w:r>
        <w:rPr>
          <w:rFonts w:ascii="Arial Unicode MS" w:eastAsia="Arial Unicode MS" w:hAnsi="Arial Unicode MS" w:cs="Arial Unicode MS"/>
          <w:color w:val="2B477B"/>
        </w:rPr>
        <w:t>.</w:t>
      </w:r>
      <w:r>
        <w:rPr>
          <w:color w:val="2B477B"/>
        </w:rPr>
        <w:t xml:space="preserve"> </w:t>
      </w:r>
    </w:p>
  </w:footnote>
  <w:footnote w:id="314">
    <w:p w14:paraId="1C4279B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son</w:t>
      </w:r>
      <w:r>
        <w:rPr>
          <w:color w:val="2B477B"/>
        </w:rPr>
        <w:t xml:space="preserve"> </w:t>
      </w:r>
      <w:r>
        <w:rPr>
          <w:rFonts w:ascii="Arial Unicode MS" w:eastAsia="Arial Unicode MS" w:hAnsi="Arial Unicode MS" w:cs="Arial Unicode MS"/>
          <w:color w:val="2B477B"/>
        </w:rPr>
        <w:t>dos</w:t>
      </w:r>
      <w:r>
        <w:rPr>
          <w:color w:val="2B477B"/>
        </w:rPr>
        <w:t xml:space="preserve"> </w:t>
      </w:r>
      <w:r>
        <w:rPr>
          <w:rFonts w:ascii="Arial Unicode MS" w:eastAsia="Arial Unicode MS" w:hAnsi="Arial Unicode MS" w:cs="Arial Unicode MS"/>
          <w:color w:val="2B477B"/>
        </w:rPr>
        <w:t>conceptos</w:t>
      </w:r>
      <w:r>
        <w:rPr>
          <w:color w:val="2B477B"/>
        </w:rPr>
        <w:t xml:space="preserve"> </w:t>
      </w:r>
      <w:r>
        <w:rPr>
          <w:rFonts w:ascii="Arial Unicode MS" w:eastAsia="Arial Unicode MS" w:hAnsi="Arial Unicode MS" w:cs="Arial Unicode MS"/>
          <w:color w:val="2B477B"/>
        </w:rPr>
        <w:t>distintos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deben</w:t>
      </w:r>
      <w:r>
        <w:rPr>
          <w:color w:val="2B477B"/>
        </w:rPr>
        <w:t xml:space="preserve"> </w:t>
      </w:r>
      <w:r>
        <w:rPr>
          <w:rFonts w:ascii="Arial Unicode MS" w:eastAsia="Arial Unicode MS" w:hAnsi="Arial Unicode MS" w:cs="Arial Unicode MS"/>
          <w:color w:val="2B477B"/>
        </w:rPr>
        <w:t>confundirse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capítulo</w:t>
      </w:r>
      <w:r>
        <w:rPr>
          <w:color w:val="2B477B"/>
        </w:rPr>
        <w:t xml:space="preserve"> </w:t>
      </w:r>
      <w:r>
        <w:rPr>
          <w:rFonts w:ascii="Arial Unicode MS" w:eastAsia="Arial Unicode MS" w:hAnsi="Arial Unicode MS" w:cs="Arial Unicode MS"/>
          <w:color w:val="2B477B"/>
        </w:rPr>
        <w:t>cuarto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presente</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expone</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profundidad</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contenido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alcance,</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región.</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estableció</w:t>
      </w:r>
      <w:r>
        <w:rPr>
          <w:color w:val="2B477B"/>
        </w:rPr>
        <w:t xml:space="preserve"> </w:t>
      </w:r>
      <w:r>
        <w:rPr>
          <w:rFonts w:ascii="Arial Unicode MS" w:eastAsia="Arial Unicode MS" w:hAnsi="Arial Unicode MS" w:cs="Arial Unicode MS"/>
          <w:color w:val="2B477B"/>
        </w:rPr>
        <w:t>estándares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tema</w:t>
      </w:r>
      <w:r>
        <w:rPr>
          <w:color w:val="2B477B"/>
        </w:rPr>
        <w:t xml:space="preserve"> </w:t>
      </w:r>
      <w:r>
        <w:rPr>
          <w:rFonts w:ascii="Arial Unicode MS" w:eastAsia="Arial Unicode MS" w:hAnsi="Arial Unicode MS" w:cs="Arial Unicode MS"/>
          <w:color w:val="2B477B"/>
        </w:rPr>
        <w:t>antes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entrada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ella,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legitimación,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internacional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p>
  </w:footnote>
  <w:footnote w:id="315">
    <w:p w14:paraId="3D44FA1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541" w:history="1">
        <w:r>
          <w:rPr>
            <w:rStyle w:val="Hyperlink1"/>
            <w:rFonts w:ascii="Arial Unicode MS" w:eastAsia="Arial Unicode MS" w:hAnsi="Arial Unicode MS" w:cs="Arial Unicode MS"/>
            <w:u w:val="single"/>
          </w:rPr>
          <w:t>Informe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Relatora</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/37/56</w:t>
      </w:r>
      <w:r>
        <w:rPr>
          <w:rFonts w:ascii="Arial Unicode MS" w:eastAsia="Arial Unicode MS" w:hAnsi="Arial Unicode MS" w:cs="Arial Unicode MS"/>
          <w:color w:val="2B477B"/>
        </w:rPr>
        <w:t>,</w:t>
      </w:r>
      <w:r>
        <w:rPr>
          <w:color w:val="2B477B"/>
        </w:rPr>
        <w:t xml:space="preserve"> 12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52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 </w:t>
      </w:r>
      <w:r>
        <w:rPr>
          <w:rFonts w:ascii="Arial Unicode MS" w:eastAsia="Arial Unicode MS" w:hAnsi="Arial Unicode MS" w:cs="Arial Unicode MS"/>
          <w:color w:val="2B477B"/>
        </w:rPr>
        <w:t>y</w:t>
      </w:r>
      <w:r>
        <w:rPr>
          <w:color w:val="2B477B"/>
        </w:rPr>
        <w:t xml:space="preserve"> 14</w:t>
      </w:r>
      <w:r>
        <w:rPr>
          <w:rFonts w:ascii="Arial Unicode MS" w:eastAsia="Arial Unicode MS" w:hAnsi="Arial Unicode MS" w:cs="Arial Unicode MS"/>
          <w:color w:val="2B477B"/>
        </w:rPr>
        <w:t>.</w:t>
      </w:r>
      <w:r>
        <w:rPr>
          <w:color w:val="2B477B"/>
        </w:rPr>
        <w:t xml:space="preserve"> </w:t>
      </w:r>
    </w:p>
  </w:footnote>
  <w:footnote w:id="316">
    <w:p w14:paraId="1A3B013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542"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Mendoza</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otros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Argentina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260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200 </w:t>
      </w:r>
      <w:r>
        <w:rPr>
          <w:rFonts w:ascii="Arial Unicode MS" w:eastAsia="Arial Unicode MS" w:hAnsi="Arial Unicode MS" w:cs="Arial Unicode MS"/>
          <w:color w:val="2B477B"/>
        </w:rPr>
        <w:t>y</w:t>
      </w:r>
      <w:r>
        <w:rPr>
          <w:color w:val="2B477B"/>
        </w:rPr>
        <w:t xml:space="preserve"> 201</w:t>
      </w:r>
      <w:r>
        <w:rPr>
          <w:rFonts w:ascii="Arial Unicode MS" w:eastAsia="Arial Unicode MS" w:hAnsi="Arial Unicode MS" w:cs="Arial Unicode MS"/>
          <w:color w:val="2B477B"/>
        </w:rPr>
        <w:t>.</w:t>
      </w:r>
    </w:p>
  </w:footnote>
  <w:footnote w:id="317">
    <w:p w14:paraId="64A9C7E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hyperlink r:id="rId543"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Interamericana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Eliminación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todas</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formas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contra</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artículos</w:t>
      </w:r>
      <w:r>
        <w:rPr>
          <w:color w:val="2B477B"/>
        </w:rPr>
        <w:t xml:space="preserve"> </w:t>
      </w:r>
      <w:r>
        <w:rPr>
          <w:rFonts w:ascii="Arial Unicode MS" w:eastAsia="Arial Unicode MS" w:hAnsi="Arial Unicode MS" w:cs="Arial Unicode MS"/>
          <w:color w:val="2B477B"/>
        </w:rPr>
        <w:t>III.</w:t>
      </w:r>
      <w:r>
        <w:rPr>
          <w:color w:val="2B477B"/>
        </w:rPr>
        <w:t>1</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y</w:t>
      </w:r>
      <w:r>
        <w:rPr>
          <w:color w:val="2B477B"/>
        </w:rPr>
        <w:t xml:space="preserve"> 2</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ONU,</w:t>
      </w:r>
      <w:r>
        <w:rPr>
          <w:color w:val="2B477B"/>
        </w:rPr>
        <w:t xml:space="preserve"> </w:t>
      </w:r>
      <w:hyperlink r:id="rId544"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Style w:val="Hyperlink1"/>
          <w:u w:val="single"/>
        </w:rPr>
        <w:t xml:space="preserve"> </w:t>
      </w:r>
      <w:r>
        <w:rPr>
          <w:rStyle w:val="Hyperlink1"/>
          <w:rFonts w:ascii="Arial Unicode MS" w:eastAsia="Arial Unicode MS" w:hAnsi="Arial Unicode MS" w:cs="Arial Unicode MS"/>
          <w:u w:val="single"/>
        </w:rPr>
        <w:t>(CDPD)</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24</w:t>
      </w:r>
      <w:r>
        <w:rPr>
          <w:rFonts w:ascii="Arial Unicode MS" w:eastAsia="Arial Unicode MS" w:hAnsi="Arial Unicode MS" w:cs="Arial Unicode MS"/>
          <w:color w:val="2B477B"/>
        </w:rPr>
        <w:t>.</w:t>
      </w:r>
    </w:p>
  </w:footnote>
  <w:footnote w:id="318">
    <w:p w14:paraId="6066187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545" w:history="1">
        <w:r>
          <w:rPr>
            <w:rFonts w:ascii="Arial Unicode MS" w:eastAsia="Arial Unicode MS" w:hAnsi="Arial Unicode MS" w:cs="Arial Unicode MS"/>
            <w:color w:val="2B477B"/>
          </w:rPr>
          <w:t>CDPD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1</w:t>
      </w:r>
      <w:r>
        <w:rPr>
          <w:rFonts w:ascii="Arial Unicode MS" w:eastAsia="Arial Unicode MS" w:hAnsi="Arial Unicode MS" w:cs="Arial Unicode MS"/>
          <w:color w:val="2B477B"/>
        </w:rPr>
        <w:t>.</w:t>
      </w:r>
      <w:r>
        <w:rPr>
          <w:color w:val="2B477B"/>
        </w:rPr>
        <w:t xml:space="preserve"> </w:t>
      </w:r>
    </w:p>
  </w:footnote>
  <w:footnote w:id="319">
    <w:p w14:paraId="47C4A41B" w14:textId="77777777" w:rsidR="001A105D" w:rsidRDefault="00000000">
      <w:pPr>
        <w:pStyle w:val="FootnoteText"/>
        <w:jc w:val="left"/>
      </w:pPr>
      <w:r>
        <w:rPr>
          <w:rStyle w:val="None"/>
          <w:vertAlign w:val="superscript"/>
        </w:rPr>
        <w:footnoteRef/>
      </w:r>
      <w:r>
        <w:t xml:space="preserve"> </w:t>
      </w:r>
      <w:r>
        <w:rPr>
          <w:rFonts w:ascii="Arial Unicode MS" w:eastAsia="Arial Unicode MS" w:hAnsi="Arial Unicode MS" w:cs="Arial Unicode MS"/>
        </w:rPr>
        <w:t>ONU,</w:t>
      </w:r>
      <w:r>
        <w:t xml:space="preserve"> </w:t>
      </w:r>
      <w:hyperlink r:id="rId546" w:history="1">
        <w:r>
          <w:rPr>
            <w:rFonts w:ascii="Arial Unicode MS" w:eastAsia="Arial Unicode MS" w:hAnsi="Arial Unicode MS" w:cs="Arial Unicode MS"/>
          </w:rPr>
          <w:t>CDPD</w:t>
        </w:r>
      </w:hyperlink>
      <w:r>
        <w:rPr>
          <w:rFonts w:ascii="Arial Unicode MS" w:eastAsia="Arial Unicode MS" w:hAnsi="Arial Unicode MS" w:cs="Arial Unicode MS"/>
        </w:rPr>
        <w:t>,</w:t>
      </w:r>
      <w:r>
        <w:t xml:space="preserve"> </w:t>
      </w:r>
      <w:r>
        <w:rPr>
          <w:rFonts w:ascii="Arial Unicode MS" w:eastAsia="Arial Unicode MS" w:hAnsi="Arial Unicode MS" w:cs="Arial Unicode MS"/>
        </w:rPr>
        <w:t>art.</w:t>
      </w:r>
      <w:r>
        <w:t xml:space="preserve"> 24</w:t>
      </w:r>
      <w:r>
        <w:rPr>
          <w:rFonts w:ascii="Arial Unicode MS" w:eastAsia="Arial Unicode MS" w:hAnsi="Arial Unicode MS" w:cs="Arial Unicode MS"/>
        </w:rPr>
        <w:t>,</w:t>
      </w:r>
      <w:r>
        <w:t xml:space="preserve"> </w:t>
      </w:r>
      <w:r>
        <w:rPr>
          <w:rFonts w:ascii="Arial Unicode MS" w:eastAsia="Arial Unicode MS" w:hAnsi="Arial Unicode MS" w:cs="Arial Unicode MS"/>
        </w:rPr>
        <w:t>párrs.</w:t>
      </w:r>
      <w:r>
        <w:t xml:space="preserve"> 2</w:t>
      </w:r>
      <w:r>
        <w:rPr>
          <w:rFonts w:ascii="Arial Unicode MS" w:eastAsia="Arial Unicode MS" w:hAnsi="Arial Unicode MS" w:cs="Arial Unicode MS"/>
        </w:rPr>
        <w:t>,</w:t>
      </w:r>
      <w:r>
        <w:t xml:space="preserve"> 3 </w:t>
      </w:r>
      <w:r>
        <w:rPr>
          <w:rFonts w:ascii="Arial Unicode MS" w:eastAsia="Arial Unicode MS" w:hAnsi="Arial Unicode MS" w:cs="Arial Unicode MS"/>
        </w:rPr>
        <w:t>y</w:t>
      </w:r>
      <w:r>
        <w:t xml:space="preserve"> 4</w:t>
      </w:r>
      <w:r>
        <w:rPr>
          <w:rFonts w:ascii="Arial Unicode MS" w:eastAsia="Arial Unicode MS" w:hAnsi="Arial Unicode MS" w:cs="Arial Unicode MS"/>
        </w:rPr>
        <w:t>.</w:t>
      </w:r>
      <w:r>
        <w:t xml:space="preserve"> </w:t>
      </w:r>
    </w:p>
  </w:footnote>
  <w:footnote w:id="320">
    <w:p w14:paraId="5DD87FB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Bregaglio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hyperlink r:id="rId547" w:history="1">
        <w:r>
          <w:rPr>
            <w:rStyle w:val="Hyperlink0"/>
            <w:rFonts w:ascii="Arial Unicode MS" w:eastAsia="Arial Unicode MS" w:hAnsi="Arial Unicode MS" w:cs="Arial Unicode MS"/>
          </w:rPr>
          <w:t>Marco</w:t>
        </w:r>
        <w:r>
          <w:rPr>
            <w:rStyle w:val="Hyperlink0"/>
          </w:rPr>
          <w:t xml:space="preserve"> </w:t>
        </w:r>
        <w:r>
          <w:rPr>
            <w:rStyle w:val="Hyperlink0"/>
            <w:rFonts w:ascii="Arial Unicode MS" w:eastAsia="Arial Unicode MS" w:hAnsi="Arial Unicode MS" w:cs="Arial Unicode MS"/>
          </w:rPr>
          <w:t>Legal</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r>
          <w:rPr>
            <w:rStyle w:val="Hyperlink0"/>
          </w:rPr>
          <w:t xml:space="preserve"> </w:t>
        </w:r>
        <w:r>
          <w:rPr>
            <w:rStyle w:val="Hyperlink0"/>
            <w:rFonts w:ascii="Arial Unicode MS" w:eastAsia="Arial Unicode MS" w:hAnsi="Arial Unicode MS" w:cs="Arial Unicode MS"/>
          </w:rPr>
          <w:t>América</w:t>
        </w:r>
        <w:r>
          <w:rPr>
            <w:rStyle w:val="Hyperlink0"/>
          </w:rPr>
          <w:t xml:space="preserve"> </w:t>
        </w:r>
        <w:r>
          <w:rPr>
            <w:rStyle w:val="Hyperlink0"/>
            <w:rFonts w:ascii="Arial Unicode MS" w:eastAsia="Arial Unicode MS" w:hAnsi="Arial Unicode MS" w:cs="Arial Unicode MS"/>
          </w:rPr>
          <w:t>Latina</w:t>
        </w:r>
        <w:r>
          <w:rPr>
            <w:rStyle w:val="Hyperlink0"/>
          </w:rPr>
          <w:t xml:space="preserve"> </w:t>
        </w:r>
        <w:r>
          <w:rPr>
            <w:rStyle w:val="Hyperlink0"/>
            <w:rFonts w:ascii="Arial Unicode MS" w:eastAsia="Arial Unicode MS" w:hAnsi="Arial Unicode MS" w:cs="Arial Unicode MS"/>
          </w:rPr>
          <w:t>y</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Caribe</w:t>
        </w:r>
      </w:hyperlink>
      <w:r>
        <w:rPr>
          <w:rStyle w:val="Hyperlink0"/>
          <w:rFonts w:ascii="Arial Unicode MS" w:eastAsia="Arial Unicode MS" w:hAnsi="Arial Unicode MS" w:cs="Arial Unicode MS"/>
        </w:rPr>
        <w:t>,</w:t>
      </w:r>
      <w:r>
        <w:rPr>
          <w:color w:val="2B477B"/>
        </w:rPr>
        <w:t xml:space="preserve"> </w:t>
      </w:r>
      <w:r>
        <w:rPr>
          <w:rFonts w:ascii="Arial Unicode MS" w:eastAsia="Arial Unicode MS" w:hAnsi="Arial Unicode MS" w:cs="Arial Unicode MS"/>
          <w:color w:val="2B477B"/>
        </w:rPr>
        <w:t>BID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OEA,</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80 </w:t>
      </w:r>
      <w:r>
        <w:rPr>
          <w:rFonts w:ascii="Arial Unicode MS" w:eastAsia="Arial Unicode MS" w:hAnsi="Arial Unicode MS" w:cs="Arial Unicode MS"/>
          <w:color w:val="2B477B"/>
        </w:rPr>
        <w:t>a</w:t>
      </w:r>
      <w:r>
        <w:rPr>
          <w:color w:val="2B477B"/>
        </w:rPr>
        <w:t xml:space="preserve"> 111</w:t>
      </w:r>
      <w:r>
        <w:rPr>
          <w:rFonts w:ascii="Arial Unicode MS" w:eastAsia="Arial Unicode MS" w:hAnsi="Arial Unicode MS" w:cs="Arial Unicode MS"/>
          <w:color w:val="2B477B"/>
        </w:rPr>
        <w:t>.</w:t>
      </w:r>
    </w:p>
  </w:footnote>
  <w:footnote w:id="321">
    <w:p w14:paraId="55A87C8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hyperlink r:id="rId548"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w:t>
        </w:r>
        <w:r>
          <w:rPr>
            <w:color w:val="2B477B"/>
          </w:rPr>
          <w:t xml:space="preserve"> 26</w:t>
        </w:r>
        <w:r>
          <w:rPr>
            <w:rFonts w:ascii="Arial Unicode MS" w:eastAsia="Arial Unicode MS" w:hAnsi="Arial Unicode MS" w:cs="Arial Unicode MS"/>
            <w:color w:val="2B477B"/>
          </w:rPr>
          <w:t>.</w:t>
        </w:r>
        <w:r>
          <w:rPr>
            <w:color w:val="2B477B"/>
          </w:rPr>
          <w:t>206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Nacional,</w:t>
        </w:r>
      </w:hyperlink>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42</w:t>
      </w:r>
      <w:r>
        <w:rPr>
          <w:rFonts w:ascii="Arial Unicode MS" w:eastAsia="Arial Unicode MS" w:hAnsi="Arial Unicode MS" w:cs="Arial Unicode MS"/>
          <w:color w:val="2B477B"/>
        </w:rPr>
        <w:t>-</w:t>
      </w:r>
      <w:r>
        <w:rPr>
          <w:color w:val="2B477B"/>
        </w:rPr>
        <w:t>45</w:t>
      </w:r>
      <w:r>
        <w:rPr>
          <w:rFonts w:ascii="Arial Unicode MS" w:eastAsia="Arial Unicode MS" w:hAnsi="Arial Unicode MS" w:cs="Arial Unicode MS"/>
          <w:color w:val="2B477B"/>
        </w:rPr>
        <w:t>.</w:t>
      </w:r>
      <w:r>
        <w:rPr>
          <w:color w:val="2B477B"/>
        </w:rPr>
        <w:t xml:space="preserve">  </w:t>
      </w:r>
    </w:p>
  </w:footnote>
  <w:footnote w:id="322">
    <w:p w14:paraId="3BBD1F5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hyperlink r:id="rId549" w:history="1">
        <w:r>
          <w:rPr>
            <w:rFonts w:ascii="Arial Unicode MS" w:eastAsia="Arial Unicode MS" w:hAnsi="Arial Unicode MS" w:cs="Arial Unicode MS"/>
            <w:color w:val="2B477B"/>
          </w:rPr>
          <w:t>Decreto</w:t>
        </w:r>
        <w:r>
          <w:rPr>
            <w:color w:val="2B477B"/>
          </w:rPr>
          <w:t xml:space="preserve"> 311/16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acreditación,</w:t>
      </w:r>
      <w:r>
        <w:rPr>
          <w:color w:val="2B477B"/>
        </w:rPr>
        <w:t xml:space="preserve"> </w:t>
      </w:r>
      <w:r>
        <w:rPr>
          <w:rFonts w:ascii="Arial Unicode MS" w:eastAsia="Arial Unicode MS" w:hAnsi="Arial Unicode MS" w:cs="Arial Unicode MS"/>
          <w:color w:val="2B477B"/>
        </w:rPr>
        <w:t>certificación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titulación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estudiantes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del</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del</w:t>
      </w:r>
      <w:r>
        <w:rPr>
          <w:color w:val="2B477B"/>
        </w:rPr>
        <w:t xml:space="preserve"> 2016</w:t>
      </w:r>
      <w:r>
        <w:rPr>
          <w:rFonts w:ascii="Arial Unicode MS" w:eastAsia="Arial Unicode MS" w:hAnsi="Arial Unicode MS" w:cs="Arial Unicode MS"/>
          <w:color w:val="2B477B"/>
        </w:rPr>
        <w:t>.</w:t>
      </w:r>
    </w:p>
  </w:footnote>
  <w:footnote w:id="323">
    <w:p w14:paraId="6168AC4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formuló</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reserva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artículo</w:t>
      </w:r>
      <w:r>
        <w:rPr>
          <w:color w:val="2B477B"/>
        </w:rPr>
        <w:t xml:space="preserve"> 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párrafo</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virtud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conforme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características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educativo,</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podría</w:t>
      </w:r>
      <w:r>
        <w:rPr>
          <w:color w:val="2B477B"/>
        </w:rPr>
        <w:t xml:space="preserve"> </w:t>
      </w:r>
      <w:r>
        <w:rPr>
          <w:rFonts w:ascii="Arial Unicode MS" w:eastAsia="Arial Unicode MS" w:hAnsi="Arial Unicode MS" w:cs="Arial Unicode MS"/>
          <w:color w:val="2B477B"/>
        </w:rPr>
        <w:t>garantizar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inclusiva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manera</w:t>
      </w:r>
      <w:r>
        <w:rPr>
          <w:color w:val="2B477B"/>
        </w:rPr>
        <w:t xml:space="preserve"> </w:t>
      </w:r>
      <w:r>
        <w:rPr>
          <w:rFonts w:ascii="Arial Unicode MS" w:eastAsia="Arial Unicode MS" w:hAnsi="Arial Unicode MS" w:cs="Arial Unicode MS"/>
          <w:color w:val="2B477B"/>
        </w:rPr>
        <w:t>inmediata.</w:t>
      </w:r>
    </w:p>
  </w:footnote>
  <w:footnote w:id="324">
    <w:p w14:paraId="07A58E1D" w14:textId="77777777" w:rsidR="001A105D" w:rsidRDefault="00000000">
      <w:pPr>
        <w:pStyle w:val="Body"/>
        <w:jc w:val="left"/>
      </w:pPr>
      <w:r>
        <w:rPr>
          <w:rStyle w:val="None"/>
          <w:color w:val="2B477B"/>
          <w:vertAlign w:val="superscript"/>
        </w:rPr>
        <w:footnoteRef/>
      </w:r>
      <w:r>
        <w:rPr>
          <w:color w:val="2B477B"/>
        </w:rPr>
        <w:t xml:space="preserve"> </w:t>
      </w:r>
      <w:hyperlink r:id="rId550" w:history="1">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Act</w:t>
        </w:r>
        <w:r>
          <w:rPr>
            <w:color w:val="2B477B"/>
          </w:rPr>
          <w:t xml:space="preserve"> </w:t>
        </w:r>
      </w:hyperlink>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31 </w:t>
      </w:r>
      <w:r>
        <w:rPr>
          <w:rFonts w:ascii="Arial Unicode MS" w:eastAsia="Arial Unicode MS" w:hAnsi="Arial Unicode MS" w:cs="Arial Unicode MS"/>
          <w:color w:val="2B477B"/>
        </w:rPr>
        <w:t>a</w:t>
      </w:r>
      <w:r>
        <w:rPr>
          <w:color w:val="2B477B"/>
        </w:rPr>
        <w:t xml:space="preserve"> 33</w:t>
      </w:r>
      <w:r>
        <w:rPr>
          <w:rFonts w:ascii="Arial Unicode MS" w:eastAsia="Arial Unicode MS" w:hAnsi="Arial Unicode MS" w:cs="Arial Unicode MS"/>
          <w:color w:val="2B477B"/>
        </w:rPr>
        <w:t>.</w:t>
      </w:r>
    </w:p>
  </w:footnote>
  <w:footnote w:id="325">
    <w:p w14:paraId="7549A71A" w14:textId="77777777" w:rsidR="001A105D" w:rsidRDefault="00000000">
      <w:pPr>
        <w:pStyle w:val="Body"/>
        <w:jc w:val="left"/>
      </w:pPr>
      <w:r>
        <w:rPr>
          <w:rStyle w:val="None"/>
          <w:color w:val="2B477B"/>
          <w:vertAlign w:val="superscript"/>
        </w:rPr>
        <w:footnoteRef/>
      </w:r>
      <w:r>
        <w:rPr>
          <w:color w:val="2B477B"/>
        </w:rPr>
        <w:t xml:space="preserve"> </w:t>
      </w:r>
      <w:hyperlink r:id="rId551" w:history="1">
        <w:r>
          <w:rPr>
            <w:rFonts w:ascii="Arial Unicode MS" w:eastAsia="Arial Unicode MS" w:hAnsi="Arial Unicode MS" w:cs="Arial Unicode MS"/>
            <w:color w:val="2B477B"/>
          </w:rPr>
          <w:t>Education</w:t>
        </w:r>
        <w:r>
          <w:rPr>
            <w:color w:val="2B477B"/>
          </w:rPr>
          <w:t xml:space="preserve"> </w:t>
        </w:r>
        <w:r>
          <w:rPr>
            <w:rFonts w:ascii="Arial Unicode MS" w:eastAsia="Arial Unicode MS" w:hAnsi="Arial Unicode MS" w:cs="Arial Unicode MS"/>
            <w:color w:val="2B477B"/>
          </w:rPr>
          <w:t>Act</w:t>
        </w:r>
      </w:hyperlink>
      <w:hyperlink r:id="rId552" w:history="1">
        <w:r>
          <w:rPr>
            <w:color w:val="2B477B"/>
          </w:rPr>
          <w:t xml:space="preserve"> </w:t>
        </w:r>
      </w:hyperlink>
      <w:r>
        <w:rPr>
          <w:rFonts w:ascii="Arial Unicode MS" w:eastAsia="Arial Unicode MS" w:hAnsi="Arial Unicode MS" w:cs="Arial Unicode MS"/>
          <w:color w:val="2B477B"/>
        </w:rPr>
        <w:t>de</w:t>
      </w:r>
      <w:r>
        <w:rPr>
          <w:color w:val="2B477B"/>
        </w:rPr>
        <w:t xml:space="preserve"> 1962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20 </w:t>
      </w:r>
      <w:r>
        <w:rPr>
          <w:rFonts w:ascii="Arial Unicode MS" w:eastAsia="Arial Unicode MS" w:hAnsi="Arial Unicode MS" w:cs="Arial Unicode MS"/>
          <w:color w:val="2B477B"/>
        </w:rPr>
        <w:t>y</w:t>
      </w:r>
      <w:r>
        <w:rPr>
          <w:color w:val="2B477B"/>
        </w:rPr>
        <w:t xml:space="preserve"> 21</w:t>
      </w:r>
      <w:r>
        <w:rPr>
          <w:rFonts w:ascii="Arial Unicode MS" w:eastAsia="Arial Unicode MS" w:hAnsi="Arial Unicode MS" w:cs="Arial Unicode MS"/>
          <w:color w:val="2B477B"/>
        </w:rPr>
        <w:t>.</w:t>
      </w:r>
    </w:p>
  </w:footnote>
  <w:footnote w:id="326">
    <w:p w14:paraId="259C95F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proofErr w:type="gramStart"/>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w:t>
      </w:r>
      <w:proofErr w:type="gramEnd"/>
      <w:r>
        <w:rPr>
          <w:rFonts w:ascii="Arial Unicode MS" w:eastAsia="Arial Unicode MS" w:hAnsi="Arial Unicode MS" w:cs="Arial Unicode MS"/>
          <w:color w:val="2B477B"/>
        </w:rPr>
        <w:t>págs.</w:t>
      </w:r>
      <w:r>
        <w:rPr>
          <w:color w:val="2B477B"/>
        </w:rPr>
        <w:t xml:space="preserve"> 66</w:t>
      </w:r>
      <w:r>
        <w:rPr>
          <w:rFonts w:ascii="Arial Unicode MS" w:eastAsia="Arial Unicode MS" w:hAnsi="Arial Unicode MS" w:cs="Arial Unicode MS"/>
          <w:color w:val="2B477B"/>
        </w:rPr>
        <w:t>-</w:t>
      </w:r>
      <w:r>
        <w:rPr>
          <w:color w:val="2B477B"/>
        </w:rPr>
        <w:t xml:space="preserve">69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30</w:t>
      </w:r>
      <w:r>
        <w:rPr>
          <w:rFonts w:ascii="Arial Unicode MS" w:eastAsia="Arial Unicode MS" w:hAnsi="Arial Unicode MS" w:cs="Arial Unicode MS"/>
          <w:color w:val="2B477B"/>
        </w:rPr>
        <w:t>-</w:t>
      </w:r>
      <w:r>
        <w:rPr>
          <w:color w:val="2B477B"/>
        </w:rPr>
        <w:t>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53"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 xml:space="preserve">422 </w:t>
        </w:r>
        <w:r>
          <w:rPr>
            <w:rFonts w:ascii="Arial Unicode MS" w:eastAsia="Arial Unicode MS" w:hAnsi="Arial Unicode MS" w:cs="Arial Unicode MS"/>
            <w:color w:val="2B477B"/>
          </w:rPr>
          <w:t>de</w:t>
        </w:r>
        <w:r>
          <w:rPr>
            <w:color w:val="2B477B"/>
          </w:rPr>
          <w:t xml:space="preserve"> 2010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34</w:t>
      </w:r>
      <w:r>
        <w:rPr>
          <w:rFonts w:ascii="Arial Unicode MS" w:eastAsia="Arial Unicode MS" w:hAnsi="Arial Unicode MS" w:cs="Arial Unicode MS"/>
          <w:color w:val="2B477B"/>
        </w:rPr>
        <w:t>.</w:t>
      </w:r>
    </w:p>
  </w:footnote>
  <w:footnote w:id="327">
    <w:p w14:paraId="033218F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págs.</w:t>
      </w:r>
      <w:r>
        <w:rPr>
          <w:color w:val="2B477B"/>
        </w:rPr>
        <w:t xml:space="preserve"> 66</w:t>
      </w:r>
      <w:r>
        <w:rPr>
          <w:rFonts w:ascii="Arial Unicode MS" w:eastAsia="Arial Unicode MS" w:hAnsi="Arial Unicode MS" w:cs="Arial Unicode MS"/>
          <w:color w:val="2B477B"/>
        </w:rPr>
        <w:t>-</w:t>
      </w:r>
      <w:r>
        <w:rPr>
          <w:color w:val="2B477B"/>
        </w:rPr>
        <w:t xml:space="preserve">69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30</w:t>
      </w:r>
      <w:r>
        <w:rPr>
          <w:rFonts w:ascii="Arial Unicode MS" w:eastAsia="Arial Unicode MS" w:hAnsi="Arial Unicode MS" w:cs="Arial Unicode MS"/>
          <w:color w:val="2B477B"/>
        </w:rPr>
        <w:t>-</w:t>
      </w:r>
      <w:r>
        <w:rPr>
          <w:color w:val="2B477B"/>
        </w:rPr>
        <w:t>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criterios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adecuación</w:t>
      </w:r>
      <w:r>
        <w:rPr>
          <w:color w:val="2B477B"/>
        </w:rPr>
        <w:t xml:space="preserve"> </w:t>
      </w:r>
      <w:r>
        <w:rPr>
          <w:rFonts w:ascii="Arial Unicode MS" w:eastAsia="Arial Unicode MS" w:hAnsi="Arial Unicode MS" w:cs="Arial Unicode MS"/>
          <w:color w:val="2B477B"/>
        </w:rPr>
        <w:t>curricular</w:t>
      </w:r>
      <w:r>
        <w:rPr>
          <w:color w:val="2B477B"/>
        </w:rPr>
        <w:t xml:space="preserve"> </w:t>
      </w:r>
      <w:r>
        <w:rPr>
          <w:rFonts w:ascii="Arial Unicode MS" w:eastAsia="Arial Unicode MS" w:hAnsi="Arial Unicode MS" w:cs="Arial Unicode MS"/>
          <w:color w:val="2B477B"/>
        </w:rPr>
        <w:t>están</w:t>
      </w:r>
      <w:r>
        <w:rPr>
          <w:color w:val="2B477B"/>
        </w:rPr>
        <w:t xml:space="preserve"> </w:t>
      </w:r>
      <w:r>
        <w:rPr>
          <w:rFonts w:ascii="Arial Unicode MS" w:eastAsia="Arial Unicode MS" w:hAnsi="Arial Unicode MS" w:cs="Arial Unicode MS"/>
          <w:color w:val="2B477B"/>
        </w:rPr>
        <w:t>regulados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hyperlink r:id="rId554" w:history="1">
        <w:r>
          <w:rPr>
            <w:rFonts w:ascii="Arial Unicode MS" w:eastAsia="Arial Unicode MS" w:hAnsi="Arial Unicode MS" w:cs="Arial Unicode MS"/>
            <w:color w:val="2B477B"/>
          </w:rPr>
          <w:t>Decreto</w:t>
        </w:r>
        <w:r>
          <w:rPr>
            <w:color w:val="2B477B"/>
          </w:rPr>
          <w:t xml:space="preserve"> 83 </w:t>
        </w:r>
        <w:r>
          <w:rPr>
            <w:rFonts w:ascii="Arial Unicode MS" w:eastAsia="Arial Unicode MS" w:hAnsi="Arial Unicode MS" w:cs="Arial Unicode MS"/>
            <w:color w:val="2B477B"/>
          </w:rPr>
          <w:t>Exento</w:t>
        </w:r>
        <w:r>
          <w:rPr>
            <w:color w:val="2B477B"/>
          </w:rPr>
          <w:t xml:space="preserve"> </w:t>
        </w:r>
      </w:hyperlink>
      <w:r>
        <w:rPr>
          <w:rFonts w:ascii="Arial Unicode MS" w:eastAsia="Arial Unicode MS" w:hAnsi="Arial Unicode MS" w:cs="Arial Unicode MS"/>
          <w:color w:val="2B477B"/>
        </w:rPr>
        <w:t>emitido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2015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p>
  </w:footnote>
  <w:footnote w:id="328">
    <w:p w14:paraId="33F3CB3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pág.</w:t>
      </w:r>
      <w:r>
        <w:rPr>
          <w:color w:val="2B477B"/>
        </w:rPr>
        <w:t xml:space="preserve"> 160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126</w:t>
      </w:r>
      <w:r>
        <w:rPr>
          <w:rFonts w:ascii="Arial Unicode MS" w:eastAsia="Arial Unicode MS" w:hAnsi="Arial Unicode MS" w:cs="Arial Unicode MS"/>
          <w:color w:val="2B477B"/>
        </w:rPr>
        <w:t>-</w:t>
      </w:r>
      <w:r>
        <w:rPr>
          <w:color w:val="2B477B"/>
        </w:rPr>
        <w:t>127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Inclusiva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hizo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Décimo</w:t>
      </w:r>
      <w:r>
        <w:rPr>
          <w:color w:val="2B477B"/>
        </w:rPr>
        <w:t xml:space="preserve"> </w:t>
      </w:r>
      <w:r>
        <w:rPr>
          <w:rFonts w:ascii="Arial Unicode MS" w:eastAsia="Arial Unicode MS" w:hAnsi="Arial Unicode MS" w:cs="Arial Unicode MS"/>
          <w:color w:val="2B477B"/>
        </w:rPr>
        <w:t>Octavo</w:t>
      </w:r>
      <w:r>
        <w:rPr>
          <w:color w:val="2B477B"/>
        </w:rPr>
        <w:t xml:space="preserve"> </w:t>
      </w:r>
      <w:r>
        <w:rPr>
          <w:rFonts w:ascii="Arial Unicode MS" w:eastAsia="Arial Unicode MS" w:hAnsi="Arial Unicode MS" w:cs="Arial Unicode MS"/>
          <w:color w:val="2B477B"/>
        </w:rPr>
        <w:t>del</w:t>
      </w:r>
      <w:r>
        <w:rPr>
          <w:color w:val="2B477B"/>
        </w:rPr>
        <w:t xml:space="preserve"> </w:t>
      </w:r>
      <w:hyperlink r:id="rId555"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reforman,</w:t>
        </w:r>
        <w:r>
          <w:rPr>
            <w:color w:val="2B477B"/>
          </w:rPr>
          <w:t xml:space="preserve"> </w:t>
        </w:r>
        <w:r>
          <w:rPr>
            <w:rFonts w:ascii="Arial Unicode MS" w:eastAsia="Arial Unicode MS" w:hAnsi="Arial Unicode MS" w:cs="Arial Unicode MS"/>
            <w:color w:val="2B477B"/>
          </w:rPr>
          <w:t>adicionan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derogan</w:t>
        </w:r>
      </w:hyperlink>
      <w:hyperlink r:id="rId556" w:history="1">
        <w:r>
          <w:rPr>
            <w:color w:val="2B477B"/>
          </w:rPr>
          <w:t xml:space="preserve"> </w:t>
        </w:r>
      </w:hyperlink>
      <w:hyperlink r:id="rId557" w:history="1">
        <w:r>
          <w:rPr>
            <w:rFonts w:ascii="Arial Unicode MS" w:eastAsia="Arial Unicode MS" w:hAnsi="Arial Unicode MS" w:cs="Arial Unicode MS"/>
            <w:color w:val="2B477B"/>
          </w:rPr>
          <w:t>diversas</w:t>
        </w:r>
        <w:r>
          <w:rPr>
            <w:color w:val="2B477B"/>
          </w:rPr>
          <w:t xml:space="preserve"> </w:t>
        </w:r>
        <w:r>
          <w:rPr>
            <w:rFonts w:ascii="Arial Unicode MS" w:eastAsia="Arial Unicode MS" w:hAnsi="Arial Unicode MS" w:cs="Arial Unicode MS"/>
            <w:color w:val="2B477B"/>
          </w:rPr>
          <w:t>disposiciones</w:t>
        </w:r>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artículos</w:t>
      </w:r>
      <w:r>
        <w:rPr>
          <w:color w:val="2B477B"/>
        </w:rPr>
        <w:t xml:space="preserve"> 3</w:t>
      </w:r>
      <w:r>
        <w:rPr>
          <w:rFonts w:ascii="Arial Unicode MS" w:eastAsia="Arial Unicode MS" w:hAnsi="Arial Unicode MS" w:cs="Arial Unicode MS"/>
          <w:color w:val="2B477B"/>
        </w:rPr>
        <w:t>,</w:t>
      </w:r>
      <w:r>
        <w:rPr>
          <w:color w:val="2B477B"/>
        </w:rPr>
        <w:t xml:space="preserve"> 31 </w:t>
      </w:r>
      <w:r>
        <w:rPr>
          <w:rFonts w:ascii="Arial Unicode MS" w:eastAsia="Arial Unicode MS" w:hAnsi="Arial Unicode MS" w:cs="Arial Unicode MS"/>
          <w:color w:val="2B477B"/>
        </w:rPr>
        <w:t>y</w:t>
      </w:r>
      <w:r>
        <w:rPr>
          <w:color w:val="2B477B"/>
        </w:rPr>
        <w:t xml:space="preserve"> 73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558"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Política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hyperlink>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educativa,</w:t>
      </w:r>
      <w:r>
        <w:rPr>
          <w:color w:val="2B477B"/>
        </w:rPr>
        <w:t xml:space="preserve"> </w:t>
      </w:r>
      <w:r>
        <w:rPr>
          <w:rFonts w:ascii="Arial Unicode MS" w:eastAsia="Arial Unicode MS" w:hAnsi="Arial Unicode MS" w:cs="Arial Unicode MS"/>
          <w:color w:val="2B477B"/>
        </w:rPr>
        <w:t>publicado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el</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p>
  </w:footnote>
  <w:footnote w:id="329">
    <w:p w14:paraId="2AC6D10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pág.</w:t>
      </w:r>
      <w:r>
        <w:rPr>
          <w:color w:val="2B477B"/>
        </w:rPr>
        <w:t xml:space="preserve"> 160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126</w:t>
      </w:r>
      <w:r>
        <w:rPr>
          <w:rFonts w:ascii="Arial Unicode MS" w:eastAsia="Arial Unicode MS" w:hAnsi="Arial Unicode MS" w:cs="Arial Unicode MS"/>
          <w:color w:val="2B477B"/>
        </w:rPr>
        <w:t>-</w:t>
      </w:r>
      <w:r>
        <w:rPr>
          <w:color w:val="2B477B"/>
        </w:rPr>
        <w:t>127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Segunda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Suprema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272/2019</w:t>
      </w:r>
      <w:r>
        <w:rPr>
          <w:rFonts w:ascii="Arial Unicode MS" w:eastAsia="Arial Unicode MS" w:hAnsi="Arial Unicode MS" w:cs="Arial Unicode MS"/>
          <w:color w:val="2B477B"/>
        </w:rPr>
        <w:t>.</w:t>
      </w:r>
    </w:p>
  </w:footnote>
  <w:footnote w:id="330">
    <w:p w14:paraId="284DA2D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pág.</w:t>
      </w:r>
      <w:r>
        <w:rPr>
          <w:color w:val="2B477B"/>
        </w:rPr>
        <w:t xml:space="preserve"> 160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126</w:t>
      </w:r>
      <w:r>
        <w:rPr>
          <w:rFonts w:ascii="Arial Unicode MS" w:eastAsia="Arial Unicode MS" w:hAnsi="Arial Unicode MS" w:cs="Arial Unicode MS"/>
          <w:color w:val="2B477B"/>
        </w:rPr>
        <w:t>-</w:t>
      </w:r>
      <w:r>
        <w:rPr>
          <w:color w:val="2B477B"/>
        </w:rPr>
        <w:t>127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5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arts.</w:t>
        </w:r>
        <w:r>
          <w:rPr>
            <w:color w:val="2B477B"/>
          </w:rPr>
          <w:t xml:space="preserve"> 2</w:t>
        </w:r>
        <w:r>
          <w:rPr>
            <w:rFonts w:ascii="Arial Unicode MS" w:eastAsia="Arial Unicode MS" w:hAnsi="Arial Unicode MS" w:cs="Arial Unicode MS"/>
            <w:color w:val="2B477B"/>
          </w:rPr>
          <w: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w:t>
        </w:r>
        <w:r>
          <w:rPr>
            <w:color w:val="2B477B"/>
          </w:rPr>
          <w:t xml:space="preserve"> 15</w:t>
        </w:r>
        <w:r>
          <w:rPr>
            <w:rFonts w:ascii="Arial Unicode MS" w:eastAsia="Arial Unicode MS" w:hAnsi="Arial Unicode MS" w:cs="Arial Unicode MS"/>
            <w:color w:val="2B477B"/>
          </w:rPr>
          <w:t>.</w:t>
        </w:r>
      </w:hyperlink>
    </w:p>
  </w:footnote>
  <w:footnote w:id="331">
    <w:p w14:paraId="456C7C1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pág.</w:t>
      </w:r>
      <w:r>
        <w:rPr>
          <w:color w:val="2B477B"/>
        </w:rPr>
        <w:t xml:space="preserve"> 160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126</w:t>
      </w:r>
      <w:r>
        <w:rPr>
          <w:rFonts w:ascii="Arial Unicode MS" w:eastAsia="Arial Unicode MS" w:hAnsi="Arial Unicode MS" w:cs="Arial Unicode MS"/>
          <w:color w:val="2B477B"/>
        </w:rPr>
        <w:t>-</w:t>
      </w:r>
      <w:r>
        <w:rPr>
          <w:color w:val="2B477B"/>
        </w:rPr>
        <w:t>127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artículo</w:t>
      </w:r>
      <w:r>
        <w:rPr>
          <w:color w:val="2B477B"/>
        </w:rPr>
        <w:t xml:space="preserve"> 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hyperlink r:id="rId560" w:history="1">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hyperlink>
      <w:r>
        <w:rPr>
          <w:rFonts w:ascii="Arial Unicode MS" w:eastAsia="Arial Unicode MS" w:hAnsi="Arial Unicode MS" w:cs="Arial Unicode MS"/>
          <w:color w:val="2B477B"/>
        </w:rPr>
        <w:t>.</w:t>
      </w:r>
    </w:p>
  </w:footnote>
  <w:footnote w:id="332">
    <w:p w14:paraId="6DE0D5A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126</w:t>
      </w:r>
      <w:r>
        <w:rPr>
          <w:rFonts w:ascii="Arial Unicode MS" w:eastAsia="Arial Unicode MS" w:hAnsi="Arial Unicode MS" w:cs="Arial Unicode MS"/>
          <w:color w:val="2B477B"/>
        </w:rPr>
        <w:t>.</w:t>
      </w:r>
    </w:p>
  </w:footnote>
  <w:footnote w:id="333">
    <w:p w14:paraId="6571E91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31</w:t>
      </w:r>
      <w:r>
        <w:rPr>
          <w:rFonts w:ascii="Arial Unicode MS" w:eastAsia="Arial Unicode MS" w:hAnsi="Arial Unicode MS" w:cs="Arial Unicode MS"/>
          <w:color w:val="2B477B"/>
        </w:rPr>
        <w:t>-</w:t>
      </w:r>
      <w:r>
        <w:rPr>
          <w:color w:val="2B477B"/>
        </w:rPr>
        <w:t>34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hyperlink r:id="rId561" w:history="1">
        <w:r>
          <w:rPr>
            <w:rStyle w:val="Hyperlink1"/>
            <w:rFonts w:ascii="Arial Unicode MS" w:eastAsia="Arial Unicode MS" w:hAnsi="Arial Unicode MS" w:cs="Arial Unicode MS"/>
            <w:u w:val="single"/>
          </w:rPr>
          <w:t>Constitución</w:t>
        </w:r>
        <w:r>
          <w:rPr>
            <w:rStyle w:val="Hyperlink1"/>
            <w:u w:val="single"/>
          </w:rPr>
          <w:t xml:space="preserve"> </w:t>
        </w:r>
        <w:r>
          <w:rPr>
            <w:rStyle w:val="Hyperlink1"/>
            <w:rFonts w:ascii="Arial Unicode MS" w:eastAsia="Arial Unicode MS" w:hAnsi="Arial Unicode MS" w:cs="Arial Unicode MS"/>
            <w:u w:val="single"/>
          </w:rPr>
          <w:t>Polític</w:t>
        </w:r>
      </w:hyperlink>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arts.</w:t>
      </w:r>
      <w:r>
        <w:rPr>
          <w:color w:val="2B477B"/>
        </w:rPr>
        <w:t xml:space="preserve"> 17</w:t>
      </w:r>
      <w:r>
        <w:rPr>
          <w:rFonts w:ascii="Arial Unicode MS" w:eastAsia="Arial Unicode MS" w:hAnsi="Arial Unicode MS" w:cs="Arial Unicode MS"/>
          <w:color w:val="2B477B"/>
        </w:rPr>
        <w:t>,</w:t>
      </w:r>
      <w:r>
        <w:rPr>
          <w:color w:val="2B477B"/>
        </w:rPr>
        <w:t xml:space="preserve"> 30 </w:t>
      </w:r>
      <w:r>
        <w:rPr>
          <w:rFonts w:ascii="Arial Unicode MS" w:eastAsia="Arial Unicode MS" w:hAnsi="Arial Unicode MS" w:cs="Arial Unicode MS"/>
          <w:color w:val="2B477B"/>
        </w:rPr>
        <w:t>y</w:t>
      </w:r>
      <w:r>
        <w:rPr>
          <w:color w:val="2B477B"/>
        </w:rPr>
        <w:t xml:space="preserve"> 77 </w:t>
      </w:r>
      <w:r>
        <w:rPr>
          <w:rFonts w:ascii="Arial Unicode MS" w:eastAsia="Arial Unicode MS" w:hAnsi="Arial Unicode MS" w:cs="Arial Unicode MS"/>
          <w:color w:val="2B477B"/>
        </w:rPr>
        <w:t>y</w:t>
      </w:r>
      <w:r>
        <w:rPr>
          <w:color w:val="2B477B"/>
        </w:rPr>
        <w:t xml:space="preserve"> </w:t>
      </w:r>
      <w:hyperlink r:id="rId56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10</w:t>
      </w:r>
      <w:r>
        <w:rPr>
          <w:rFonts w:ascii="Arial Unicode MS" w:eastAsia="Arial Unicode MS" w:hAnsi="Arial Unicode MS" w:cs="Arial Unicode MS"/>
          <w:color w:val="2B477B"/>
        </w:rPr>
        <w:t>.</w:t>
      </w:r>
    </w:p>
  </w:footnote>
  <w:footnote w:id="334">
    <w:p w14:paraId="5E09289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31</w:t>
      </w:r>
      <w:r>
        <w:rPr>
          <w:rFonts w:ascii="Arial Unicode MS" w:eastAsia="Arial Unicode MS" w:hAnsi="Arial Unicode MS" w:cs="Arial Unicode MS"/>
          <w:color w:val="2B477B"/>
        </w:rPr>
        <w:t>-</w:t>
      </w:r>
      <w:r>
        <w:rPr>
          <w:color w:val="2B477B"/>
        </w:rPr>
        <w:t>34</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63"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Política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564" w:history="1">
        <w:r>
          <w:rPr>
            <w:rFonts w:ascii="Arial Unicode MS" w:eastAsia="Arial Unicode MS" w:hAnsi="Arial Unicode MS" w:cs="Arial Unicode MS"/>
            <w:color w:val="2B477B"/>
          </w:rPr>
          <w:t>Ley</w:t>
        </w:r>
        <w:r>
          <w:rPr>
            <w:color w:val="2B477B"/>
          </w:rPr>
          <w:t xml:space="preserve"> 70 </w:t>
        </w:r>
        <w:r>
          <w:rPr>
            <w:rFonts w:ascii="Arial Unicode MS" w:eastAsia="Arial Unicode MS" w:hAnsi="Arial Unicode MS" w:cs="Arial Unicode MS"/>
            <w:color w:val="2B477B"/>
          </w:rPr>
          <w:t>(</w:t>
        </w:r>
        <w:r>
          <w:rPr>
            <w:color w:val="2B477B"/>
          </w:rPr>
          <w:t>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16 </w:t>
        </w:r>
        <w:r>
          <w:rPr>
            <w:rFonts w:ascii="Arial Unicode MS" w:eastAsia="Arial Unicode MS" w:hAnsi="Arial Unicode MS" w:cs="Arial Unicode MS"/>
            <w:color w:val="2B477B"/>
          </w:rPr>
          <w:t>y</w:t>
        </w:r>
        <w:r>
          <w:rPr>
            <w:color w:val="2B477B"/>
          </w:rPr>
          <w:t xml:space="preserve"> 25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hyperlink>
    </w:p>
  </w:footnote>
  <w:footnote w:id="335">
    <w:p w14:paraId="2067435C" w14:textId="77777777" w:rsidR="001A105D" w:rsidRDefault="00000000">
      <w:pPr>
        <w:pStyle w:val="Body"/>
        <w:jc w:val="left"/>
      </w:pPr>
      <w:r>
        <w:rPr>
          <w:rStyle w:val="None"/>
          <w:color w:val="2B477B"/>
          <w:vertAlign w:val="superscript"/>
        </w:rPr>
        <w:footnoteRef/>
      </w:r>
      <w:r>
        <w:rPr>
          <w:color w:val="2B477B"/>
        </w:rPr>
        <w:t xml:space="preserve"> </w:t>
      </w:r>
      <w:hyperlink r:id="rId565" w:history="1">
        <w:r>
          <w:rPr>
            <w:rFonts w:ascii="Arial Unicode MS" w:eastAsia="Arial Unicode MS" w:hAnsi="Arial Unicode MS" w:cs="Arial Unicode MS"/>
            <w:color w:val="2B477B"/>
          </w:rPr>
          <w:t>Ley</w:t>
        </w:r>
        <w:r>
          <w:rPr>
            <w:color w:val="2B477B"/>
          </w:rPr>
          <w:t xml:space="preserve"> 13</w:t>
        </w:r>
        <w:r>
          <w:rPr>
            <w:rFonts w:ascii="Arial Unicode MS" w:eastAsia="Arial Unicode MS" w:hAnsi="Arial Unicode MS" w:cs="Arial Unicode MS"/>
            <w:color w:val="2B477B"/>
          </w:rPr>
          <w:t>.</w:t>
        </w:r>
        <w:r>
          <w:rPr>
            <w:color w:val="2B477B"/>
          </w:rPr>
          <w:t xml:space="preserve">146 </w:t>
        </w:r>
        <w:r>
          <w:rPr>
            <w:rFonts w:ascii="Arial Unicode MS" w:eastAsia="Arial Unicode MS" w:hAnsi="Arial Unicode MS" w:cs="Arial Unicode MS"/>
            <w:color w:val="2B477B"/>
          </w:rPr>
          <w:t>de</w:t>
        </w:r>
        <w:r>
          <w:rPr>
            <w:color w:val="2B477B"/>
          </w:rPr>
          <w:t xml:space="preserve"> 2015</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p>
  </w:footnote>
  <w:footnote w:id="336">
    <w:p w14:paraId="348FE8BB" w14:textId="77777777" w:rsidR="001A105D" w:rsidRDefault="00000000">
      <w:pPr>
        <w:pStyle w:val="Body"/>
        <w:jc w:val="left"/>
      </w:pPr>
      <w:r>
        <w:rPr>
          <w:rStyle w:val="None"/>
          <w:color w:val="2B477B"/>
          <w:vertAlign w:val="superscript"/>
        </w:rPr>
        <w:footnoteRef/>
      </w:r>
      <w:r>
        <w:rPr>
          <w:color w:val="2B477B"/>
        </w:rPr>
        <w:t xml:space="preserve"> </w:t>
      </w:r>
      <w:hyperlink r:id="rId566" w:history="1">
        <w:r>
          <w:rPr>
            <w:rFonts w:ascii="Arial Unicode MS" w:eastAsia="Arial Unicode MS" w:hAnsi="Arial Unicode MS" w:cs="Arial Unicode MS"/>
            <w:color w:val="2B477B"/>
          </w:rPr>
          <w:t>Ley</w:t>
        </w:r>
        <w:r>
          <w:rPr>
            <w:color w:val="2B477B"/>
          </w:rPr>
          <w:t xml:space="preserve"> 9394 </w:t>
        </w:r>
        <w:r>
          <w:rPr>
            <w:rFonts w:ascii="Arial Unicode MS" w:eastAsia="Arial Unicode MS" w:hAnsi="Arial Unicode MS" w:cs="Arial Unicode MS"/>
            <w:color w:val="2B477B"/>
          </w:rPr>
          <w:t>de</w:t>
        </w:r>
        <w:r>
          <w:rPr>
            <w:color w:val="2B477B"/>
          </w:rPr>
          <w:t xml:space="preserve"> 1996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58</w:t>
      </w:r>
      <w:r>
        <w:rPr>
          <w:rFonts w:ascii="Arial Unicode MS" w:eastAsia="Arial Unicode MS" w:hAnsi="Arial Unicode MS" w:cs="Arial Unicode MS"/>
          <w:color w:val="2B477B"/>
        </w:rPr>
        <w:t>,</w:t>
      </w:r>
      <w:r>
        <w:rPr>
          <w:color w:val="2B477B"/>
        </w:rPr>
        <w:t xml:space="preserve"> 59 </w:t>
      </w:r>
      <w:r>
        <w:rPr>
          <w:rFonts w:ascii="Arial Unicode MS" w:eastAsia="Arial Unicode MS" w:hAnsi="Arial Unicode MS" w:cs="Arial Unicode MS"/>
          <w:color w:val="2B477B"/>
        </w:rPr>
        <w:t>y</w:t>
      </w:r>
      <w:r>
        <w:rPr>
          <w:color w:val="2B477B"/>
        </w:rPr>
        <w:t xml:space="preserve"> 60</w:t>
      </w:r>
      <w:r>
        <w:rPr>
          <w:rFonts w:ascii="Arial Unicode MS" w:eastAsia="Arial Unicode MS" w:hAnsi="Arial Unicode MS" w:cs="Arial Unicode MS"/>
          <w:color w:val="2B477B"/>
        </w:rPr>
        <w:t>.</w:t>
      </w:r>
    </w:p>
  </w:footnote>
  <w:footnote w:id="337">
    <w:p w14:paraId="0FE00C4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90</w:t>
      </w:r>
      <w:r>
        <w:rPr>
          <w:rFonts w:ascii="Arial Unicode MS" w:eastAsia="Arial Unicode MS" w:hAnsi="Arial Unicode MS" w:cs="Arial Unicode MS"/>
          <w:color w:val="2B477B"/>
        </w:rPr>
        <w:t>-</w:t>
      </w:r>
      <w:r>
        <w:rPr>
          <w:color w:val="2B477B"/>
        </w:rPr>
        <w:t xml:space="preserve">91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55</w:t>
      </w:r>
      <w:r>
        <w:rPr>
          <w:rFonts w:ascii="Arial Unicode MS" w:eastAsia="Arial Unicode MS" w:hAnsi="Arial Unicode MS" w:cs="Arial Unicode MS"/>
          <w:color w:val="2B477B"/>
        </w:rPr>
        <w:t>-</w:t>
      </w:r>
      <w:r>
        <w:rPr>
          <w:color w:val="2B477B"/>
        </w:rPr>
        <w:t>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67" w:history="1">
        <w:r>
          <w:rPr>
            <w:rFonts w:ascii="Arial Unicode MS" w:eastAsia="Arial Unicode MS" w:hAnsi="Arial Unicode MS" w:cs="Arial Unicode MS"/>
            <w:color w:val="2B477B"/>
          </w:rPr>
          <w:t>Ley</w:t>
        </w:r>
        <w:r>
          <w:rPr>
            <w:color w:val="2B477B"/>
          </w:rPr>
          <w:t xml:space="preserve"> 1618 </w:t>
        </w:r>
        <w:r>
          <w:rPr>
            <w:rFonts w:ascii="Arial Unicode MS" w:eastAsia="Arial Unicode MS" w:hAnsi="Arial Unicode MS" w:cs="Arial Unicode MS"/>
            <w:color w:val="2B477B"/>
          </w:rPr>
          <w:t>de</w:t>
        </w:r>
        <w:r>
          <w:rPr>
            <w:color w:val="2B477B"/>
          </w:rPr>
          <w:t xml:space="preserve"> 2013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11</w:t>
      </w:r>
      <w:r>
        <w:rPr>
          <w:rFonts w:ascii="Arial Unicode MS" w:eastAsia="Arial Unicode MS" w:hAnsi="Arial Unicode MS" w:cs="Arial Unicode MS"/>
          <w:color w:val="2B477B"/>
        </w:rPr>
        <w:t>.</w:t>
      </w:r>
    </w:p>
  </w:footnote>
  <w:footnote w:id="338">
    <w:p w14:paraId="2143B81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90</w:t>
      </w:r>
      <w:r>
        <w:rPr>
          <w:rFonts w:ascii="Arial Unicode MS" w:eastAsia="Arial Unicode MS" w:hAnsi="Arial Unicode MS" w:cs="Arial Unicode MS"/>
          <w:color w:val="2B477B"/>
        </w:rPr>
        <w:t>-</w:t>
      </w:r>
      <w:r>
        <w:rPr>
          <w:color w:val="2B477B"/>
        </w:rPr>
        <w:t xml:space="preserve">91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55</w:t>
      </w:r>
      <w:r>
        <w:rPr>
          <w:rFonts w:ascii="Arial Unicode MS" w:eastAsia="Arial Unicode MS" w:hAnsi="Arial Unicode MS" w:cs="Arial Unicode MS"/>
          <w:color w:val="2B477B"/>
        </w:rPr>
        <w:t>-</w:t>
      </w:r>
      <w:r>
        <w:rPr>
          <w:color w:val="2B477B"/>
        </w:rPr>
        <w:t>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Estos</w:t>
      </w:r>
      <w:r>
        <w:rPr>
          <w:color w:val="2B477B"/>
        </w:rPr>
        <w:t xml:space="preserve"> </w:t>
      </w:r>
      <w:r>
        <w:rPr>
          <w:rFonts w:ascii="Arial Unicode MS" w:eastAsia="Arial Unicode MS" w:hAnsi="Arial Unicode MS" w:cs="Arial Unicode MS"/>
          <w:color w:val="2B477B"/>
        </w:rPr>
        <w:t>requerimientos</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encuentran</w:t>
      </w:r>
      <w:r>
        <w:rPr>
          <w:color w:val="2B477B"/>
        </w:rPr>
        <w:t xml:space="preserve"> </w:t>
      </w:r>
      <w:r>
        <w:rPr>
          <w:rFonts w:ascii="Arial Unicode MS" w:eastAsia="Arial Unicode MS" w:hAnsi="Arial Unicode MS" w:cs="Arial Unicode MS"/>
          <w:color w:val="2B477B"/>
        </w:rPr>
        <w:t>referidos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hyperlink r:id="rId568" w:history="1">
        <w:r>
          <w:rPr>
            <w:rFonts w:ascii="Arial Unicode MS" w:eastAsia="Arial Unicode MS" w:hAnsi="Arial Unicode MS" w:cs="Arial Unicode MS"/>
            <w:color w:val="2B477B"/>
          </w:rPr>
          <w:t>Decreto</w:t>
        </w:r>
        <w:r>
          <w:rPr>
            <w:color w:val="2B477B"/>
          </w:rPr>
          <w:t xml:space="preserve"> 366</w:t>
        </w:r>
      </w:hyperlink>
      <w:r>
        <w:rPr>
          <w:color w:val="2B477B"/>
        </w:rPr>
        <w:t xml:space="preserve"> </w:t>
      </w:r>
      <w:r>
        <w:rPr>
          <w:rFonts w:ascii="Arial Unicode MS" w:eastAsia="Arial Unicode MS" w:hAnsi="Arial Unicode MS" w:cs="Arial Unicode MS"/>
          <w:color w:val="2B477B"/>
        </w:rPr>
        <w:t>de</w:t>
      </w:r>
      <w:r>
        <w:rPr>
          <w:color w:val="2B477B"/>
        </w:rPr>
        <w:t xml:space="preserve"> 2009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hyperlink r:id="rId569" w:history="1">
        <w:r>
          <w:rPr>
            <w:rFonts w:ascii="Arial Unicode MS" w:eastAsia="Arial Unicode MS" w:hAnsi="Arial Unicode MS" w:cs="Arial Unicode MS"/>
            <w:color w:val="2B477B"/>
          </w:rPr>
          <w:t>Decreto</w:t>
        </w:r>
        <w:r>
          <w:rPr>
            <w:color w:val="2B477B"/>
          </w:rPr>
          <w:t xml:space="preserve"> 1421 </w:t>
        </w:r>
      </w:hyperlink>
      <w:r>
        <w:rPr>
          <w:rFonts w:ascii="Arial Unicode MS" w:eastAsia="Arial Unicode MS" w:hAnsi="Arial Unicode MS" w:cs="Arial Unicode MS"/>
          <w:color w:val="2B477B"/>
        </w:rPr>
        <w:t>del</w:t>
      </w:r>
      <w:r>
        <w:rPr>
          <w:color w:val="2B477B"/>
        </w:rPr>
        <w:t xml:space="preserve"> 2017</w:t>
      </w:r>
      <w:r>
        <w:rPr>
          <w:rFonts w:ascii="Arial Unicode MS" w:eastAsia="Arial Unicode MS" w:hAnsi="Arial Unicode MS" w:cs="Arial Unicode MS"/>
          <w:color w:val="2B477B"/>
        </w:rPr>
        <w:t>..</w:t>
      </w:r>
    </w:p>
  </w:footnote>
  <w:footnote w:id="339">
    <w:p w14:paraId="3DF9277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90</w:t>
      </w:r>
      <w:r>
        <w:rPr>
          <w:rFonts w:ascii="Arial Unicode MS" w:eastAsia="Arial Unicode MS" w:hAnsi="Arial Unicode MS" w:cs="Arial Unicode MS"/>
          <w:color w:val="2B477B"/>
        </w:rPr>
        <w:t>-</w:t>
      </w:r>
      <w:r>
        <w:rPr>
          <w:color w:val="2B477B"/>
        </w:rPr>
        <w:t xml:space="preserve">91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55</w:t>
      </w:r>
      <w:r>
        <w:rPr>
          <w:rFonts w:ascii="Arial Unicode MS" w:eastAsia="Arial Unicode MS" w:hAnsi="Arial Unicode MS" w:cs="Arial Unicode MS"/>
          <w:color w:val="2B477B"/>
        </w:rPr>
        <w:t>-</w:t>
      </w:r>
      <w:r>
        <w:rPr>
          <w:color w:val="2B477B"/>
        </w:rPr>
        <w:t>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70" w:history="1">
        <w:r>
          <w:rPr>
            <w:rFonts w:ascii="Arial Unicode MS" w:eastAsia="Arial Unicode MS" w:hAnsi="Arial Unicode MS" w:cs="Arial Unicode MS"/>
            <w:color w:val="2B477B"/>
          </w:rPr>
          <w:t>Ley</w:t>
        </w:r>
        <w:r>
          <w:rPr>
            <w:color w:val="2B477B"/>
          </w:rPr>
          <w:t xml:space="preserve"> 1618 </w:t>
        </w:r>
        <w:r>
          <w:rPr>
            <w:rFonts w:ascii="Arial Unicode MS" w:eastAsia="Arial Unicode MS" w:hAnsi="Arial Unicode MS" w:cs="Arial Unicode MS"/>
            <w:color w:val="2B477B"/>
          </w:rPr>
          <w:t>de</w:t>
        </w:r>
        <w:r>
          <w:rPr>
            <w:color w:val="2B477B"/>
          </w:rPr>
          <w:t xml:space="preserve"> 2013</w:t>
        </w:r>
      </w:hyperlink>
      <w:r>
        <w:rPr>
          <w:rFonts w:ascii="Arial Unicode MS" w:eastAsia="Arial Unicode MS" w:hAnsi="Arial Unicode MS" w:cs="Arial Unicode MS"/>
          <w:color w:val="2B477B"/>
        </w:rPr>
        <w:t>;</w:t>
      </w:r>
      <w:r>
        <w:rPr>
          <w:color w:val="2B477B"/>
        </w:rPr>
        <w:t xml:space="preserve"> </w:t>
      </w:r>
      <w:hyperlink r:id="rId571" w:history="1">
        <w:r>
          <w:rPr>
            <w:rFonts w:ascii="Arial Unicode MS" w:eastAsia="Arial Unicode MS" w:hAnsi="Arial Unicode MS" w:cs="Arial Unicode MS"/>
            <w:color w:val="2B477B"/>
          </w:rPr>
          <w:t>Decreto</w:t>
        </w:r>
        <w:r>
          <w:rPr>
            <w:color w:val="2B477B"/>
          </w:rPr>
          <w:t xml:space="preserve"> 366 </w:t>
        </w:r>
        <w:r>
          <w:rPr>
            <w:rFonts w:ascii="Arial Unicode MS" w:eastAsia="Arial Unicode MS" w:hAnsi="Arial Unicode MS" w:cs="Arial Unicode MS"/>
            <w:color w:val="2B477B"/>
          </w:rPr>
          <w:t>de</w:t>
        </w:r>
        <w:r>
          <w:rPr>
            <w:color w:val="2B477B"/>
          </w:rPr>
          <w:t xml:space="preserve"> 2009</w:t>
        </w:r>
      </w:hyperlink>
      <w:r>
        <w:rPr>
          <w:rFonts w:ascii="Arial Unicode MS" w:eastAsia="Arial Unicode MS" w:hAnsi="Arial Unicode MS" w:cs="Arial Unicode MS"/>
          <w:color w:val="2B477B"/>
        </w:rPr>
        <w:t>;</w:t>
      </w:r>
      <w:r>
        <w:rPr>
          <w:color w:val="2B477B"/>
        </w:rPr>
        <w:t xml:space="preserve"> </w:t>
      </w:r>
      <w:hyperlink r:id="rId572" w:history="1">
        <w:r>
          <w:rPr>
            <w:rFonts w:ascii="Arial Unicode MS" w:eastAsia="Arial Unicode MS" w:hAnsi="Arial Unicode MS" w:cs="Arial Unicode MS"/>
            <w:color w:val="2B477B"/>
          </w:rPr>
          <w:t>Decreto</w:t>
        </w:r>
        <w:r>
          <w:rPr>
            <w:color w:val="2B477B"/>
          </w:rPr>
          <w:t xml:space="preserve">1421 </w:t>
        </w:r>
        <w:r>
          <w:rPr>
            <w:rFonts w:ascii="Arial Unicode MS" w:eastAsia="Arial Unicode MS" w:hAnsi="Arial Unicode MS" w:cs="Arial Unicode MS"/>
            <w:color w:val="2B477B"/>
          </w:rPr>
          <w:t>del</w:t>
        </w:r>
        <w:r>
          <w:rPr>
            <w:color w:val="2B477B"/>
          </w:rPr>
          <w:t xml:space="preserve"> 2017</w:t>
        </w:r>
      </w:hyperlink>
      <w:r>
        <w:rPr>
          <w:rFonts w:ascii="Arial Unicode MS" w:eastAsia="Arial Unicode MS" w:hAnsi="Arial Unicode MS" w:cs="Arial Unicode MS"/>
          <w:color w:val="2B477B"/>
        </w:rPr>
        <w:t>.</w:t>
      </w:r>
      <w:r>
        <w:rPr>
          <w:color w:val="2B477B"/>
        </w:rPr>
        <w:t xml:space="preserve"> </w:t>
      </w:r>
    </w:p>
  </w:footnote>
  <w:footnote w:id="340">
    <w:p w14:paraId="1A6BB80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73" w:history="1">
        <w:r>
          <w:rPr>
            <w:rFonts w:ascii="Arial Unicode MS" w:eastAsia="Arial Unicode MS" w:hAnsi="Arial Unicode MS" w:cs="Arial Unicode MS"/>
            <w:color w:val="2B477B"/>
          </w:rPr>
          <w:t>Ley</w:t>
        </w:r>
        <w:r>
          <w:rPr>
            <w:color w:val="2B477B"/>
          </w:rPr>
          <w:t xml:space="preserve"> 25573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 </w:t>
        </w:r>
        <w:r>
          <w:rPr>
            <w:rFonts w:ascii="Arial Unicode MS" w:eastAsia="Arial Unicode MS" w:hAnsi="Arial Unicode MS" w:cs="Arial Unicode MS"/>
            <w:color w:val="2B477B"/>
          </w:rPr>
          <w:t>y</w:t>
        </w:r>
        <w:r>
          <w:rPr>
            <w:color w:val="2B477B"/>
          </w:rPr>
          <w:t xml:space="preserve"> </w:t>
        </w:r>
        <w:proofErr w:type="gramStart"/>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proofErr w:type="gramEnd"/>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Superior</w:t>
        </w:r>
      </w:hyperlink>
      <w:r>
        <w:rPr>
          <w:color w:val="2B477B"/>
        </w:rPr>
        <w:t xml:space="preserve"> </w:t>
      </w:r>
      <w:r>
        <w:rPr>
          <w:rFonts w:ascii="Arial Unicode MS" w:eastAsia="Arial Unicode MS" w:hAnsi="Arial Unicode MS" w:cs="Arial Unicode MS"/>
          <w:color w:val="2B477B"/>
        </w:rPr>
        <w:t>de</w:t>
      </w:r>
      <w:r>
        <w:rPr>
          <w:color w:val="2B477B"/>
        </w:rPr>
        <w:t xml:space="preserve"> 2002</w:t>
      </w:r>
      <w:r>
        <w:rPr>
          <w:rFonts w:ascii="Arial Unicode MS" w:eastAsia="Arial Unicode MS" w:hAnsi="Arial Unicode MS" w:cs="Arial Unicode MS"/>
          <w:color w:val="2B477B"/>
        </w:rPr>
        <w:t>.</w:t>
      </w:r>
      <w:r>
        <w:rPr>
          <w:color w:val="2B477B"/>
        </w:rPr>
        <w:t xml:space="preserve"> </w:t>
      </w:r>
    </w:p>
  </w:footnote>
  <w:footnote w:id="341">
    <w:p w14:paraId="3180B0E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90</w:t>
      </w:r>
      <w:r>
        <w:rPr>
          <w:rFonts w:ascii="Arial Unicode MS" w:eastAsia="Arial Unicode MS" w:hAnsi="Arial Unicode MS" w:cs="Arial Unicode MS"/>
          <w:color w:val="2B477B"/>
        </w:rPr>
        <w:t>-</w:t>
      </w:r>
      <w:r>
        <w:rPr>
          <w:color w:val="2B477B"/>
        </w:rPr>
        <w:t>91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574" w:history="1">
        <w:r>
          <w:rPr>
            <w:rFonts w:ascii="Arial Unicode MS" w:eastAsia="Arial Unicode MS" w:hAnsi="Arial Unicode MS" w:cs="Arial Unicode MS"/>
            <w:color w:val="2B477B"/>
          </w:rPr>
          <w:t>Orientaciones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promover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trayectoria</w:t>
        </w:r>
        <w:r>
          <w:rPr>
            <w:color w:val="2B477B"/>
          </w:rPr>
          <w:t xml:space="preserve"> </w:t>
        </w:r>
        <w:r>
          <w:rPr>
            <w:rFonts w:ascii="Arial Unicode MS" w:eastAsia="Arial Unicode MS" w:hAnsi="Arial Unicode MS" w:cs="Arial Unicode MS"/>
            <w:color w:val="2B477B"/>
          </w:rPr>
          <w:t>educativa</w:t>
        </w:r>
        <w:r>
          <w:rPr>
            <w:color w:val="2B477B"/>
          </w:rPr>
          <w:t xml:space="preserve"> </w:t>
        </w:r>
        <w:r>
          <w:rPr>
            <w:rFonts w:ascii="Arial Unicode MS" w:eastAsia="Arial Unicode MS" w:hAnsi="Arial Unicode MS" w:cs="Arial Unicode MS"/>
            <w:color w:val="2B477B"/>
          </w:rPr>
          <w:t>desde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media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superior,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inclusiva</w:t>
        </w:r>
      </w:hyperlink>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342">
    <w:p w14:paraId="311044A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119</w:t>
      </w:r>
      <w:r>
        <w:rPr>
          <w:rFonts w:ascii="Arial Unicode MS" w:eastAsia="Arial Unicode MS" w:hAnsi="Arial Unicode MS" w:cs="Arial Unicode MS"/>
          <w:color w:val="2B477B"/>
        </w:rPr>
        <w:t>-</w:t>
      </w:r>
      <w:r>
        <w:rPr>
          <w:color w:val="2B477B"/>
        </w:rPr>
        <w:t>121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art.</w:t>
      </w:r>
      <w:r>
        <w:rPr>
          <w:color w:val="2B477B"/>
        </w:rPr>
        <w:t xml:space="preserve"> 86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575"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Superior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última</w:t>
      </w:r>
      <w:r>
        <w:rPr>
          <w:color w:val="2B477B"/>
        </w:rPr>
        <w:t xml:space="preserve"> </w:t>
      </w:r>
      <w:r>
        <w:rPr>
          <w:rFonts w:ascii="Arial Unicode MS" w:eastAsia="Arial Unicode MS" w:hAnsi="Arial Unicode MS" w:cs="Arial Unicode MS"/>
          <w:color w:val="2B477B"/>
        </w:rPr>
        <w:t>modificación,</w:t>
      </w:r>
      <w:r>
        <w:rPr>
          <w:color w:val="2B477B"/>
        </w:rPr>
        <w:t xml:space="preserve"> 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p>
  </w:footnote>
  <w:footnote w:id="343">
    <w:p w14:paraId="582651E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160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Cámara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Diputados,</w:t>
      </w:r>
      <w:r>
        <w:rPr>
          <w:color w:val="2B477B"/>
        </w:rPr>
        <w:t xml:space="preserve"> </w:t>
      </w:r>
      <w:r>
        <w:rPr>
          <w:rFonts w:ascii="Arial Unicode MS" w:eastAsia="Arial Unicode MS" w:hAnsi="Arial Unicode MS" w:cs="Arial Unicode MS"/>
          <w:color w:val="2B477B"/>
        </w:rPr>
        <w:t>Honorable</w:t>
      </w:r>
      <w:r>
        <w:rPr>
          <w:color w:val="2B477B"/>
        </w:rPr>
        <w:t xml:space="preserve"> </w:t>
      </w:r>
      <w:r>
        <w:rPr>
          <w:rFonts w:ascii="Arial Unicode MS" w:eastAsia="Arial Unicode MS" w:hAnsi="Arial Unicode MS" w:cs="Arial Unicode MS"/>
          <w:color w:val="2B477B"/>
        </w:rPr>
        <w:t>Congreso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Unión,</w:t>
      </w:r>
      <w:r>
        <w:rPr>
          <w:color w:val="2B477B"/>
        </w:rPr>
        <w:t xml:space="preserve"> </w:t>
      </w:r>
      <w:r>
        <w:rPr>
          <w:rFonts w:ascii="Arial Unicode MS" w:eastAsia="Arial Unicode MS" w:hAnsi="Arial Unicode MS" w:cs="Arial Unicode MS"/>
          <w:color w:val="2B477B"/>
        </w:rPr>
        <w:t>México,</w:t>
      </w:r>
      <w:r>
        <w:rPr>
          <w:color w:val="2B477B"/>
        </w:rPr>
        <w:t xml:space="preserve"> </w:t>
      </w:r>
      <w:hyperlink r:id="rId576"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Superior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w:t>
      </w:r>
      <w:r>
        <w:rPr>
          <w:color w:val="2B477B"/>
        </w:rPr>
        <w:t xml:space="preserve"> </w:t>
      </w:r>
      <w:r>
        <w:rPr>
          <w:rFonts w:ascii="Arial Unicode MS" w:eastAsia="Arial Unicode MS" w:hAnsi="Arial Unicode MS" w:cs="Arial Unicode MS"/>
          <w:color w:val="2B477B"/>
        </w:rPr>
        <w:t>y</w:t>
      </w:r>
      <w:r>
        <w:rPr>
          <w:color w:val="2B477B"/>
        </w:rPr>
        <w:t xml:space="preserve"> 37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III,</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p>
  </w:footnote>
  <w:footnote w:id="344">
    <w:p w14:paraId="5120A3D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189 </w:t>
      </w:r>
      <w:r>
        <w:rPr>
          <w:rFonts w:ascii="Arial Unicode MS" w:eastAsia="Arial Unicode MS" w:hAnsi="Arial Unicode MS" w:cs="Arial Unicode MS"/>
          <w:color w:val="2B477B"/>
        </w:rPr>
        <w:t>y</w:t>
      </w:r>
      <w:r>
        <w:rPr>
          <w:color w:val="2B477B"/>
        </w:rPr>
        <w:t xml:space="preserve"> 190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Biblioteca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Archivo</w:t>
      </w:r>
      <w:r>
        <w:rPr>
          <w:color w:val="2B477B"/>
        </w:rPr>
        <w:t xml:space="preserve"> </w:t>
      </w:r>
      <w:r>
        <w:rPr>
          <w:rFonts w:ascii="Arial Unicode MS" w:eastAsia="Arial Unicode MS" w:hAnsi="Arial Unicode MS" w:cs="Arial Unicode MS"/>
          <w:color w:val="2B477B"/>
        </w:rPr>
        <w:t>Central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Congreso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hyperlink r:id="rId577" w:history="1">
        <w:r>
          <w:rPr>
            <w:rFonts w:ascii="Arial Unicode MS" w:eastAsia="Arial Unicode MS" w:hAnsi="Arial Unicode MS" w:cs="Arial Unicode MS"/>
            <w:color w:val="2B477B"/>
          </w:rPr>
          <w:t>Ley</w:t>
        </w:r>
        <w:r>
          <w:rPr>
            <w:color w:val="2B477B"/>
          </w:rPr>
          <w:t xml:space="preserve"> 5136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Inclusiva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578" w:history="1">
        <w:r>
          <w:rPr>
            <w:rFonts w:ascii="Arial Unicode MS" w:eastAsia="Arial Unicode MS" w:hAnsi="Arial Unicode MS" w:cs="Arial Unicode MS"/>
            <w:color w:val="2B477B"/>
          </w:rPr>
          <w:t>Decreto</w:t>
        </w:r>
        <w:r>
          <w:rPr>
            <w:color w:val="2B477B"/>
          </w:rPr>
          <w:t xml:space="preserve"> 2837 </w:t>
        </w:r>
        <w:r>
          <w:rPr>
            <w:rFonts w:ascii="Arial Unicode MS" w:eastAsia="Arial Unicode MS" w:hAnsi="Arial Unicode MS" w:cs="Arial Unicode MS"/>
            <w:color w:val="2B477B"/>
          </w:rPr>
          <w:t>del</w:t>
        </w:r>
        <w:r>
          <w:rPr>
            <w:color w:val="2B477B"/>
          </w:rPr>
          <w:t xml:space="preserve"> 2014</w:t>
        </w:r>
      </w:hyperlink>
      <w:r>
        <w:rPr>
          <w:rFonts w:ascii="Arial Unicode MS" w:eastAsia="Arial Unicode MS" w:hAnsi="Arial Unicode MS" w:cs="Arial Unicode MS"/>
          <w:color w:val="2B477B"/>
        </w:rPr>
        <w:t>.</w:t>
      </w:r>
    </w:p>
  </w:footnote>
  <w:footnote w:id="345">
    <w:p w14:paraId="6C3B682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189 </w:t>
      </w:r>
      <w:r>
        <w:rPr>
          <w:rFonts w:ascii="Arial Unicode MS" w:eastAsia="Arial Unicode MS" w:hAnsi="Arial Unicode MS" w:cs="Arial Unicode MS"/>
          <w:color w:val="2B477B"/>
        </w:rPr>
        <w:t>y</w:t>
      </w:r>
      <w:r>
        <w:rPr>
          <w:color w:val="2B477B"/>
        </w:rPr>
        <w:t xml:space="preserve"> 190</w:t>
      </w:r>
      <w:r>
        <w:rPr>
          <w:rFonts w:ascii="Arial Unicode MS" w:eastAsia="Arial Unicode MS" w:hAnsi="Arial Unicode MS" w:cs="Arial Unicode MS"/>
          <w:color w:val="2B477B"/>
        </w:rPr>
        <w:t>,ver,</w:t>
      </w:r>
      <w:r>
        <w:rPr>
          <w:color w:val="2B477B"/>
        </w:rPr>
        <w:t xml:space="preserve"> </w:t>
      </w:r>
      <w:hyperlink r:id="rId579" w:history="1">
        <w:r>
          <w:rPr>
            <w:rFonts w:ascii="Arial Unicode MS" w:eastAsia="Arial Unicode MS" w:hAnsi="Arial Unicode MS" w:cs="Arial Unicode MS"/>
            <w:color w:val="2B477B"/>
          </w:rPr>
          <w:t>Ley</w:t>
        </w:r>
        <w:r>
          <w:rPr>
            <w:color w:val="2B477B"/>
          </w:rPr>
          <w:t xml:space="preserve"> 5421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Oportunidades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Formación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p>
  </w:footnote>
  <w:footnote w:id="346">
    <w:p w14:paraId="3E172DE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Anual</w:t>
      </w:r>
      <w:r>
        <w:rPr>
          <w:rStyle w:val="Hyperlink0"/>
        </w:rPr>
        <w:t xml:space="preserve"> 2023 </w:t>
      </w:r>
      <w:r>
        <w:rPr>
          <w:rStyle w:val="Hyperlink0"/>
          <w:rFonts w:ascii="Arial Unicode MS" w:eastAsia="Arial Unicode MS" w:hAnsi="Arial Unicode MS" w:cs="Arial Unicode MS"/>
        </w:rPr>
        <w:t>Capítulo</w:t>
      </w:r>
      <w:r>
        <w:rPr>
          <w:rStyle w:val="Hyperlink0"/>
        </w:rPr>
        <w:t xml:space="preserve"> </w:t>
      </w:r>
      <w:r>
        <w:rPr>
          <w:rStyle w:val="Hyperlink0"/>
          <w:rFonts w:ascii="Arial Unicode MS" w:eastAsia="Arial Unicode MS" w:hAnsi="Arial Unicode MS" w:cs="Arial Unicode MS"/>
        </w:rPr>
        <w:t>IV.A</w:t>
      </w:r>
      <w:r>
        <w:rPr>
          <w:rStyle w:val="Hyperlink0"/>
        </w:rPr>
        <w:t xml:space="preserve"> </w:t>
      </w:r>
      <w:r>
        <w:rPr>
          <w:rStyle w:val="Hyperlink0"/>
          <w:rFonts w:ascii="Arial Unicode MS" w:eastAsia="Arial Unicode MS" w:hAnsi="Arial Unicode MS" w:cs="Arial Unicode MS"/>
        </w:rPr>
        <w:t>“Saint</w:t>
      </w:r>
      <w:r>
        <w:rPr>
          <w:rStyle w:val="Hyperlink0"/>
        </w:rPr>
        <w:t xml:space="preserve"> </w:t>
      </w:r>
      <w:r>
        <w:rPr>
          <w:rStyle w:val="Hyperlink0"/>
          <w:rFonts w:ascii="Arial Unicode MS" w:eastAsia="Arial Unicode MS" w:hAnsi="Arial Unicode MS" w:cs="Arial Unicode MS"/>
        </w:rPr>
        <w:t>Vincent</w:t>
      </w:r>
      <w:r>
        <w:rPr>
          <w:rStyle w:val="Hyperlink0"/>
        </w:rPr>
        <w:t xml:space="preserve"> </w:t>
      </w:r>
      <w:r>
        <w:rPr>
          <w:rStyle w:val="Hyperlink0"/>
          <w:rFonts w:ascii="Arial Unicode MS" w:eastAsia="Arial Unicode MS" w:hAnsi="Arial Unicode MS" w:cs="Arial Unicode MS"/>
        </w:rPr>
        <w:t>and</w:t>
      </w:r>
      <w:r>
        <w:rPr>
          <w:rStyle w:val="Hyperlink0"/>
        </w:rPr>
        <w:t xml:space="preserve"> </w:t>
      </w:r>
      <w:r>
        <w:rPr>
          <w:rStyle w:val="Hyperlink0"/>
          <w:rFonts w:ascii="Arial Unicode MS" w:eastAsia="Arial Unicode MS" w:hAnsi="Arial Unicode MS" w:cs="Arial Unicode MS"/>
        </w:rPr>
        <w:t>the</w:t>
      </w:r>
      <w:r>
        <w:rPr>
          <w:rStyle w:val="Hyperlink0"/>
        </w:rPr>
        <w:t xml:space="preserve"> </w:t>
      </w:r>
      <w:r>
        <w:rPr>
          <w:rStyle w:val="Hyperlink0"/>
          <w:rFonts w:ascii="Arial Unicode MS" w:eastAsia="Arial Unicode MS" w:hAnsi="Arial Unicode MS" w:cs="Arial Unicode MS"/>
        </w:rPr>
        <w:t>Grenadines”</w:t>
      </w:r>
      <w:r>
        <w:rPr>
          <w:rFonts w:ascii="Arial Unicode MS" w:eastAsia="Arial Unicode MS" w:hAnsi="Arial Unicode MS" w:cs="Arial Unicode MS"/>
          <w:color w:val="2B477B"/>
        </w:rPr>
        <w:t>,</w:t>
      </w:r>
      <w:r>
        <w:rPr>
          <w:color w:val="2B477B"/>
        </w:rPr>
        <w:t xml:space="preserve"> 25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w:t>
      </w:r>
      <w:proofErr w:type="gramStart"/>
      <w:r>
        <w:rPr>
          <w:color w:val="2B477B"/>
        </w:rPr>
        <w:t>743</w:t>
      </w:r>
      <w:r>
        <w:rPr>
          <w:rFonts w:ascii="Arial Unicode MS" w:eastAsia="Arial Unicode MS" w:hAnsi="Arial Unicode MS" w:cs="Arial Unicode MS"/>
          <w:color w:val="2B477B"/>
        </w:rPr>
        <w:t>;ver</w:t>
      </w:r>
      <w:proofErr w:type="gramEnd"/>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St.</w:t>
      </w:r>
      <w:r>
        <w:rPr>
          <w:color w:val="2B477B"/>
        </w:rPr>
        <w:t xml:space="preserve"> </w:t>
      </w:r>
      <w:r>
        <w:rPr>
          <w:rFonts w:ascii="Arial Unicode MS" w:eastAsia="Arial Unicode MS" w:hAnsi="Arial Unicode MS" w:cs="Arial Unicode MS"/>
          <w:color w:val="2B477B"/>
        </w:rPr>
        <w:t>Vincent</w:t>
      </w:r>
      <w:r>
        <w:rPr>
          <w:color w:val="2B477B"/>
        </w:rPr>
        <w:t xml:space="preserve"> </w:t>
      </w:r>
      <w:r>
        <w:rPr>
          <w:rFonts w:ascii="Arial Unicode MS" w:eastAsia="Arial Unicode MS" w:hAnsi="Arial Unicode MS" w:cs="Arial Unicode MS"/>
          <w:color w:val="2B477B"/>
        </w:rPr>
        <w:t>Times,</w:t>
      </w:r>
      <w:r>
        <w:rPr>
          <w:color w:val="2B477B"/>
        </w:rPr>
        <w:t xml:space="preserve"> </w:t>
      </w:r>
      <w:r>
        <w:rPr>
          <w:rFonts w:ascii="Arial Unicode MS" w:eastAsia="Arial Unicode MS" w:hAnsi="Arial Unicode MS" w:cs="Arial Unicode MS"/>
          <w:color w:val="2B477B"/>
        </w:rPr>
        <w:t>“</w:t>
      </w:r>
      <w:hyperlink r:id="rId580" w:history="1">
        <w:r>
          <w:rPr>
            <w:rStyle w:val="Hyperlink0"/>
            <w:rFonts w:ascii="Arial Unicode MS" w:eastAsia="Arial Unicode MS" w:hAnsi="Arial Unicode MS" w:cs="Arial Unicode MS"/>
          </w:rPr>
          <w:t>St.</w:t>
        </w:r>
        <w:r>
          <w:rPr>
            <w:rStyle w:val="Hyperlink0"/>
          </w:rPr>
          <w:t xml:space="preserve"> </w:t>
        </w:r>
        <w:r>
          <w:rPr>
            <w:rStyle w:val="Hyperlink0"/>
            <w:rFonts w:ascii="Arial Unicode MS" w:eastAsia="Arial Unicode MS" w:hAnsi="Arial Unicode MS" w:cs="Arial Unicode MS"/>
          </w:rPr>
          <w:t>Vincent</w:t>
        </w:r>
        <w:r>
          <w:rPr>
            <w:rStyle w:val="Hyperlink0"/>
          </w:rPr>
          <w:t xml:space="preserve"> </w:t>
        </w:r>
        <w:r>
          <w:rPr>
            <w:rStyle w:val="Hyperlink0"/>
            <w:rFonts w:ascii="Arial Unicode MS" w:eastAsia="Arial Unicode MS" w:hAnsi="Arial Unicode MS" w:cs="Arial Unicode MS"/>
          </w:rPr>
          <w:t>advances</w:t>
        </w:r>
        <w:r>
          <w:rPr>
            <w:rStyle w:val="Hyperlink0"/>
          </w:rPr>
          <w:t xml:space="preserve"> </w:t>
        </w:r>
        <w:r>
          <w:rPr>
            <w:rStyle w:val="Hyperlink0"/>
            <w:rFonts w:ascii="Arial Unicode MS" w:eastAsia="Arial Unicode MS" w:hAnsi="Arial Unicode MS" w:cs="Arial Unicode MS"/>
          </w:rPr>
          <w:t>an</w:t>
        </w:r>
        <w:r>
          <w:rPr>
            <w:rStyle w:val="Hyperlink0"/>
          </w:rPr>
          <w:t xml:space="preserve"> </w:t>
        </w:r>
        <w:r>
          <w:rPr>
            <w:rStyle w:val="Hyperlink0"/>
            <w:rFonts w:ascii="Arial Unicode MS" w:eastAsia="Arial Unicode MS" w:hAnsi="Arial Unicode MS" w:cs="Arial Unicode MS"/>
          </w:rPr>
          <w:t>inclusive</w:t>
        </w:r>
        <w:r>
          <w:rPr>
            <w:rStyle w:val="Hyperlink0"/>
          </w:rPr>
          <w:t xml:space="preserve"> </w:t>
        </w:r>
        <w:r>
          <w:rPr>
            <w:rStyle w:val="Hyperlink0"/>
            <w:rFonts w:ascii="Arial Unicode MS" w:eastAsia="Arial Unicode MS" w:hAnsi="Arial Unicode MS" w:cs="Arial Unicode MS"/>
          </w:rPr>
          <w:t>education</w:t>
        </w:r>
        <w:r>
          <w:rPr>
            <w:rStyle w:val="Hyperlink0"/>
          </w:rPr>
          <w:t xml:space="preserve"> </w:t>
        </w:r>
        <w:r>
          <w:rPr>
            <w:rStyle w:val="Hyperlink0"/>
            <w:rFonts w:ascii="Arial Unicode MS" w:eastAsia="Arial Unicode MS" w:hAnsi="Arial Unicode MS" w:cs="Arial Unicode MS"/>
          </w:rPr>
          <w:t>system</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febrero</w:t>
      </w:r>
      <w:r>
        <w:rPr>
          <w:color w:val="2B477B"/>
        </w:rPr>
        <w:t xml:space="preserve"> 25</w:t>
      </w:r>
      <w:r>
        <w:rPr>
          <w:rFonts w:ascii="Arial Unicode MS" w:eastAsia="Arial Unicode MS" w:hAnsi="Arial Unicode MS" w:cs="Arial Unicode MS"/>
          <w:color w:val="2B477B"/>
        </w:rPr>
        <w:t>,</w:t>
      </w:r>
      <w:r>
        <w:rPr>
          <w:color w:val="2B477B"/>
        </w:rPr>
        <w:t xml:space="preserve"> 2023</w:t>
      </w:r>
      <w:r>
        <w:rPr>
          <w:rFonts w:ascii="Arial Unicode MS" w:eastAsia="Arial Unicode MS" w:hAnsi="Arial Unicode MS" w:cs="Arial Unicode MS"/>
          <w:color w:val="2B477B"/>
        </w:rPr>
        <w:t>.</w:t>
      </w:r>
    </w:p>
  </w:footnote>
  <w:footnote w:id="347">
    <w:p w14:paraId="1A47F3D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basado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ejemplo,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asignación</w:t>
      </w:r>
      <w:r>
        <w:rPr>
          <w:color w:val="2B477B"/>
        </w:rPr>
        <w:t xml:space="preserve"> </w:t>
      </w:r>
      <w:r>
        <w:rPr>
          <w:rFonts w:ascii="Arial Unicode MS" w:eastAsia="Arial Unicode MS" w:hAnsi="Arial Unicode MS" w:cs="Arial Unicode MS"/>
          <w:color w:val="2B477B"/>
        </w:rPr>
        <w:t>anual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recursos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garanticen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necesarios.</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les</w:t>
      </w:r>
      <w:r>
        <w:rPr>
          <w:color w:val="2B477B"/>
        </w:rPr>
        <w:t xml:space="preserve"> </w:t>
      </w:r>
      <w:r>
        <w:rPr>
          <w:rFonts w:ascii="Arial Unicode MS" w:eastAsia="Arial Unicode MS" w:hAnsi="Arial Unicode MS" w:cs="Arial Unicode MS"/>
          <w:color w:val="2B477B"/>
        </w:rPr>
        <w:t>dificulta</w:t>
      </w:r>
      <w:r>
        <w:rPr>
          <w:color w:val="2B477B"/>
        </w:rPr>
        <w:t xml:space="preserve"> </w:t>
      </w:r>
      <w:r>
        <w:rPr>
          <w:rFonts w:ascii="Arial Unicode MS" w:eastAsia="Arial Unicode MS" w:hAnsi="Arial Unicode MS" w:cs="Arial Unicode MS"/>
          <w:color w:val="2B477B"/>
        </w:rPr>
        <w:t>mucho</w:t>
      </w:r>
      <w:r>
        <w:rPr>
          <w:color w:val="2B477B"/>
        </w:rPr>
        <w:t xml:space="preserve"> </w:t>
      </w:r>
      <w:r>
        <w:rPr>
          <w:rFonts w:ascii="Arial Unicode MS" w:eastAsia="Arial Unicode MS" w:hAnsi="Arial Unicode MS" w:cs="Arial Unicode MS"/>
          <w:color w:val="2B477B"/>
        </w:rPr>
        <w:t>hacer</w:t>
      </w:r>
      <w:r>
        <w:rPr>
          <w:color w:val="2B477B"/>
        </w:rPr>
        <w:t xml:space="preserve"> </w:t>
      </w:r>
      <w:r>
        <w:rPr>
          <w:rFonts w:ascii="Arial Unicode MS" w:eastAsia="Arial Unicode MS" w:hAnsi="Arial Unicode MS" w:cs="Arial Unicode MS"/>
          <w:color w:val="2B477B"/>
        </w:rPr>
        <w:t>control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monitoreo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inversión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recursos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asignan.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recursos</w:t>
      </w:r>
      <w:r>
        <w:rPr>
          <w:color w:val="2B477B"/>
        </w:rPr>
        <w:t xml:space="preserve"> </w:t>
      </w:r>
      <w:r>
        <w:rPr>
          <w:rFonts w:ascii="Arial Unicode MS" w:eastAsia="Arial Unicode MS" w:hAnsi="Arial Unicode MS" w:cs="Arial Unicode MS"/>
          <w:color w:val="2B477B"/>
        </w:rPr>
        <w:t>llegan</w:t>
      </w:r>
      <w:r>
        <w:rPr>
          <w:color w:val="2B477B"/>
        </w:rPr>
        <w:t xml:space="preserve"> </w:t>
      </w:r>
      <w:r>
        <w:rPr>
          <w:rFonts w:ascii="Arial Unicode MS" w:eastAsia="Arial Unicode MS" w:hAnsi="Arial Unicode MS" w:cs="Arial Unicode MS"/>
          <w:color w:val="2B477B"/>
        </w:rPr>
        <w:t>vía</w:t>
      </w:r>
      <w:r>
        <w:rPr>
          <w:color w:val="2B477B"/>
        </w:rPr>
        <w:t xml:space="preserve"> </w:t>
      </w:r>
      <w:r>
        <w:rPr>
          <w:rFonts w:ascii="Arial Unicode MS" w:eastAsia="Arial Unicode MS" w:hAnsi="Arial Unicode MS" w:cs="Arial Unicode MS"/>
          <w:color w:val="2B477B"/>
        </w:rPr>
        <w:t>registro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matrícula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esto</w:t>
      </w:r>
      <w:r>
        <w:rPr>
          <w:color w:val="2B477B"/>
        </w:rPr>
        <w:t xml:space="preserve"> </w:t>
      </w:r>
      <w:r>
        <w:rPr>
          <w:rFonts w:ascii="Arial Unicode MS" w:eastAsia="Arial Unicode MS" w:hAnsi="Arial Unicode MS" w:cs="Arial Unicode MS"/>
          <w:color w:val="2B477B"/>
        </w:rPr>
        <w:t>hace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produzca</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afán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etiquetar</w:t>
      </w:r>
      <w:r>
        <w:rPr>
          <w:color w:val="2B477B"/>
        </w:rPr>
        <w:t xml:space="preserve"> </w:t>
      </w:r>
      <w:r>
        <w:rPr>
          <w:rFonts w:ascii="Arial Unicode MS" w:eastAsia="Arial Unicode MS" w:hAnsi="Arial Unicode MS" w:cs="Arial Unicode MS"/>
          <w:color w:val="2B477B"/>
        </w:rPr>
        <w:t>estudiantes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aumentar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matrícula,</w:t>
      </w:r>
      <w:r>
        <w:rPr>
          <w:color w:val="2B477B"/>
        </w:rPr>
        <w:t xml:space="preserve"> </w:t>
      </w:r>
      <w:r>
        <w:rPr>
          <w:rFonts w:ascii="Arial Unicode MS" w:eastAsia="Arial Unicode MS" w:hAnsi="Arial Unicode MS" w:cs="Arial Unicode MS"/>
          <w:color w:val="2B477B"/>
        </w:rPr>
        <w:t>pero</w:t>
      </w:r>
      <w:r>
        <w:rPr>
          <w:color w:val="2B477B"/>
        </w:rPr>
        <w:t xml:space="preserve"> </w:t>
      </w:r>
      <w:r>
        <w:rPr>
          <w:rFonts w:ascii="Arial Unicode MS" w:eastAsia="Arial Unicode MS" w:hAnsi="Arial Unicode MS" w:cs="Arial Unicode MS"/>
          <w:color w:val="2B477B"/>
        </w:rPr>
        <w:t>luego</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hay</w:t>
      </w:r>
      <w:r>
        <w:rPr>
          <w:color w:val="2B477B"/>
        </w:rPr>
        <w:t xml:space="preserve"> </w:t>
      </w:r>
      <w:r>
        <w:rPr>
          <w:rFonts w:ascii="Arial Unicode MS" w:eastAsia="Arial Unicode MS" w:hAnsi="Arial Unicode MS" w:cs="Arial Unicode MS"/>
          <w:color w:val="2B477B"/>
        </w:rPr>
        <w:t>coherencia</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niños</w:t>
      </w:r>
      <w:r>
        <w:rPr>
          <w:color w:val="2B477B"/>
        </w:rPr>
        <w:t xml:space="preserve"> </w:t>
      </w:r>
      <w:r>
        <w:rPr>
          <w:rFonts w:ascii="Arial Unicode MS" w:eastAsia="Arial Unicode MS" w:hAnsi="Arial Unicode MS" w:cs="Arial Unicode MS"/>
          <w:color w:val="2B477B"/>
        </w:rPr>
        <w:t>matriculados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cantidad</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aún</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logra</w:t>
      </w:r>
      <w:r>
        <w:rPr>
          <w:color w:val="2B477B"/>
        </w:rPr>
        <w:t xml:space="preserve"> </w:t>
      </w:r>
      <w:r>
        <w:rPr>
          <w:rFonts w:ascii="Arial Unicode MS" w:eastAsia="Arial Unicode MS" w:hAnsi="Arial Unicode MS" w:cs="Arial Unicode MS"/>
          <w:color w:val="2B477B"/>
        </w:rPr>
        <w:t>acceder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nota</w:t>
      </w:r>
      <w:r>
        <w:rPr>
          <w:color w:val="2B477B"/>
        </w:rPr>
        <w:t xml:space="preserve"> </w:t>
      </w:r>
      <w:r>
        <w:rPr>
          <w:rFonts w:ascii="Arial Unicode MS" w:eastAsia="Arial Unicode MS" w:hAnsi="Arial Unicode MS" w:cs="Arial Unicode MS"/>
          <w:color w:val="2B477B"/>
        </w:rPr>
        <w:t>positiva,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Acción</w:t>
      </w:r>
      <w:r>
        <w:rPr>
          <w:color w:val="2B477B"/>
        </w:rPr>
        <w:t xml:space="preserve"> </w:t>
      </w:r>
      <w:r>
        <w:rPr>
          <w:rFonts w:ascii="Arial Unicode MS" w:eastAsia="Arial Unicode MS" w:hAnsi="Arial Unicode MS" w:cs="Arial Unicode MS"/>
          <w:color w:val="2B477B"/>
        </w:rPr>
        <w:t>adoptó</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“ajuste</w:t>
      </w:r>
      <w:r>
        <w:rPr>
          <w:color w:val="2B477B"/>
        </w:rPr>
        <w:t xml:space="preserve"> </w:t>
      </w:r>
      <w:r>
        <w:rPr>
          <w:rFonts w:ascii="Arial Unicode MS" w:eastAsia="Arial Unicode MS" w:hAnsi="Arial Unicode MS" w:cs="Arial Unicode MS"/>
          <w:color w:val="2B477B"/>
        </w:rPr>
        <w:t>razonable”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incentivo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estudiantes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resultado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proceso,</w:t>
      </w:r>
      <w:r>
        <w:rPr>
          <w:color w:val="2B477B"/>
        </w:rPr>
        <w:t xml:space="preserve"> </w:t>
      </w:r>
      <w:r>
        <w:rPr>
          <w:rFonts w:ascii="Arial Unicode MS" w:eastAsia="Arial Unicode MS" w:hAnsi="Arial Unicode MS" w:cs="Arial Unicode MS"/>
          <w:color w:val="2B477B"/>
        </w:rPr>
        <w:t>solo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vigencia</w:t>
      </w:r>
      <w:r>
        <w:rPr>
          <w:color w:val="2B477B"/>
        </w:rPr>
        <w:t xml:space="preserve"> 2021</w:t>
      </w:r>
      <w:r>
        <w:rPr>
          <w:rFonts w:ascii="Arial Unicode MS" w:eastAsia="Arial Unicode MS" w:hAnsi="Arial Unicode MS" w:cs="Arial Unicode MS"/>
          <w:color w:val="2B477B"/>
        </w:rPr>
        <w:t>,</w:t>
      </w:r>
      <w:r>
        <w:rPr>
          <w:color w:val="2B477B"/>
        </w:rPr>
        <w:t xml:space="preserve"> 33</w:t>
      </w:r>
      <w:r>
        <w:rPr>
          <w:rFonts w:ascii="Arial Unicode MS" w:eastAsia="Arial Unicode MS" w:hAnsi="Arial Unicode MS" w:cs="Arial Unicode MS"/>
          <w:color w:val="2B477B"/>
        </w:rPr>
        <w:t>.</w:t>
      </w:r>
      <w:r>
        <w:rPr>
          <w:color w:val="2B477B"/>
        </w:rPr>
        <w:t xml:space="preserve">530 </w:t>
      </w:r>
      <w:r>
        <w:rPr>
          <w:rFonts w:ascii="Arial Unicode MS" w:eastAsia="Arial Unicode MS" w:hAnsi="Arial Unicode MS" w:cs="Arial Unicode MS"/>
          <w:color w:val="2B477B"/>
        </w:rPr>
        <w:t>niños,</w:t>
      </w:r>
      <w:r>
        <w:rPr>
          <w:color w:val="2B477B"/>
        </w:rPr>
        <w:t xml:space="preserve"> </w:t>
      </w:r>
      <w:r>
        <w:rPr>
          <w:rFonts w:ascii="Arial Unicode MS" w:eastAsia="Arial Unicode MS" w:hAnsi="Arial Unicode MS" w:cs="Arial Unicode MS"/>
          <w:color w:val="2B477B"/>
        </w:rPr>
        <w:t>niñas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adolescentes</w:t>
      </w:r>
      <w:r>
        <w:rPr>
          <w:color w:val="2B477B"/>
        </w:rPr>
        <w:t xml:space="preserve"> </w:t>
      </w:r>
      <w:r>
        <w:rPr>
          <w:rFonts w:ascii="Arial Unicode MS" w:eastAsia="Arial Unicode MS" w:hAnsi="Arial Unicode MS" w:cs="Arial Unicode MS"/>
          <w:color w:val="2B477B"/>
        </w:rPr>
        <w:t>escolarizados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fueron</w:t>
      </w:r>
      <w:r>
        <w:rPr>
          <w:color w:val="2B477B"/>
        </w:rPr>
        <w:t xml:space="preserve"> </w:t>
      </w:r>
      <w:r>
        <w:rPr>
          <w:rFonts w:ascii="Arial Unicode MS" w:eastAsia="Arial Unicode MS" w:hAnsi="Arial Unicode MS" w:cs="Arial Unicode MS"/>
          <w:color w:val="2B477B"/>
        </w:rPr>
        <w:t>atendidos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incentivo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inversión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w:t>
      </w:r>
      <w:r>
        <w:rPr>
          <w:color w:val="2B477B"/>
        </w:rPr>
        <w:t>9</w:t>
      </w:r>
      <w:r>
        <w:rPr>
          <w:rFonts w:ascii="Arial Unicode MS" w:eastAsia="Arial Unicode MS" w:hAnsi="Arial Unicode MS" w:cs="Arial Unicode MS"/>
          <w:color w:val="2B477B"/>
        </w:rPr>
        <w:t>.</w:t>
      </w:r>
      <w:r>
        <w:rPr>
          <w:color w:val="2B477B"/>
        </w:rPr>
        <w:t>878</w:t>
      </w:r>
      <w:r>
        <w:rPr>
          <w:rFonts w:ascii="Arial Unicode MS" w:eastAsia="Arial Unicode MS" w:hAnsi="Arial Unicode MS" w:cs="Arial Unicode MS"/>
          <w:color w:val="2B477B"/>
        </w:rPr>
        <w:t>.</w:t>
      </w:r>
      <w:r>
        <w:rPr>
          <w:color w:val="2B477B"/>
        </w:rPr>
        <w:t>185</w:t>
      </w:r>
      <w:r>
        <w:rPr>
          <w:rFonts w:ascii="Arial Unicode MS" w:eastAsia="Arial Unicode MS" w:hAnsi="Arial Unicode MS" w:cs="Arial Unicode MS"/>
          <w:color w:val="2B477B"/>
        </w:rPr>
        <w:t>.</w:t>
      </w:r>
      <w:r>
        <w:rPr>
          <w:color w:val="2B477B"/>
        </w:rPr>
        <w:t>400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zonas</w:t>
      </w:r>
      <w:r>
        <w:rPr>
          <w:color w:val="2B477B"/>
        </w:rPr>
        <w:t xml:space="preserve"> </w:t>
      </w:r>
      <w:r>
        <w:rPr>
          <w:rFonts w:ascii="Arial Unicode MS" w:eastAsia="Arial Unicode MS" w:hAnsi="Arial Unicode MS" w:cs="Arial Unicode MS"/>
          <w:color w:val="2B477B"/>
        </w:rPr>
        <w:t>alejadas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capital,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reporta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momento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solicitar</w:t>
      </w:r>
      <w:r>
        <w:rPr>
          <w:color w:val="2B477B"/>
        </w:rPr>
        <w:t xml:space="preserve"> </w:t>
      </w:r>
      <w:r>
        <w:rPr>
          <w:rFonts w:ascii="Arial Unicode MS" w:eastAsia="Arial Unicode MS" w:hAnsi="Arial Unicode MS" w:cs="Arial Unicode MS"/>
          <w:color w:val="2B477B"/>
        </w:rPr>
        <w:t>ajustes</w:t>
      </w:r>
      <w:r>
        <w:rPr>
          <w:color w:val="2B477B"/>
        </w:rPr>
        <w:t xml:space="preserve"> </w:t>
      </w:r>
      <w:r>
        <w:rPr>
          <w:rFonts w:ascii="Arial Unicode MS" w:eastAsia="Arial Unicode MS" w:hAnsi="Arial Unicode MS" w:cs="Arial Unicode MS"/>
          <w:color w:val="2B477B"/>
        </w:rPr>
        <w:t>razonables</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autoridades</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niegan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falta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recursos,</w:t>
      </w:r>
      <w:r>
        <w:rPr>
          <w:color w:val="2B477B"/>
        </w:rPr>
        <w:t xml:space="preserve"> </w:t>
      </w:r>
      <w:r>
        <w:rPr>
          <w:rFonts w:ascii="Arial Unicode MS" w:eastAsia="Arial Unicode MS" w:hAnsi="Arial Unicode MS" w:cs="Arial Unicode MS"/>
          <w:color w:val="2B477B"/>
        </w:rPr>
        <w:t>infraestructura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personal</w:t>
      </w:r>
      <w:r>
        <w:rPr>
          <w:color w:val="2B477B"/>
        </w:rPr>
        <w:t xml:space="preserve"> </w:t>
      </w:r>
      <w:r>
        <w:rPr>
          <w:rFonts w:ascii="Arial Unicode MS" w:eastAsia="Arial Unicode MS" w:hAnsi="Arial Unicode MS" w:cs="Arial Unicode MS"/>
          <w:color w:val="2B477B"/>
        </w:rPr>
        <w:t>suficiente,</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denuncia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docencia</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cuenta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herramientas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acompañar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regular,</w:t>
      </w:r>
      <w:r>
        <w:rPr>
          <w:color w:val="2B477B"/>
        </w:rPr>
        <w:t xml:space="preserve"> </w:t>
      </w:r>
      <w:r>
        <w:rPr>
          <w:rFonts w:ascii="Arial Unicode MS" w:eastAsia="Arial Unicode MS" w:hAnsi="Arial Unicode MS" w:cs="Arial Unicode MS"/>
          <w:color w:val="2B477B"/>
        </w:rPr>
        <w:t>incluyendo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ello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nivel</w:t>
      </w:r>
      <w:r>
        <w:rPr>
          <w:color w:val="2B477B"/>
        </w:rPr>
        <w:t xml:space="preserve"> </w:t>
      </w:r>
      <w:r>
        <w:rPr>
          <w:rFonts w:ascii="Arial Unicode MS" w:eastAsia="Arial Unicode MS" w:hAnsi="Arial Unicode MS" w:cs="Arial Unicode MS"/>
          <w:color w:val="2B477B"/>
        </w:rPr>
        <w:t>terciario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superior.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debido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escasez</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docencia</w:t>
      </w:r>
      <w:r>
        <w:rPr>
          <w:color w:val="2B477B"/>
        </w:rPr>
        <w:t xml:space="preserve"> </w:t>
      </w:r>
      <w:r>
        <w:rPr>
          <w:rFonts w:ascii="Arial Unicode MS" w:eastAsia="Arial Unicode MS" w:hAnsi="Arial Unicode MS" w:cs="Arial Unicode MS"/>
          <w:color w:val="2B477B"/>
        </w:rPr>
        <w:t>especializada,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realiza</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itinerante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diferentes</w:t>
      </w:r>
      <w:r>
        <w:rPr>
          <w:color w:val="2B477B"/>
        </w:rPr>
        <w:t xml:space="preserve"> </w:t>
      </w:r>
      <w:r>
        <w:rPr>
          <w:rFonts w:ascii="Arial Unicode MS" w:eastAsia="Arial Unicode MS" w:hAnsi="Arial Unicode MS" w:cs="Arial Unicode MS"/>
          <w:color w:val="2B477B"/>
        </w:rPr>
        <w:t>escuelas,</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impacta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recibida.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ajustes</w:t>
      </w:r>
      <w:r>
        <w:rPr>
          <w:color w:val="2B477B"/>
        </w:rPr>
        <w:t xml:space="preserve"> </w:t>
      </w:r>
      <w:r>
        <w:rPr>
          <w:rFonts w:ascii="Arial Unicode MS" w:eastAsia="Arial Unicode MS" w:hAnsi="Arial Unicode MS" w:cs="Arial Unicode MS"/>
          <w:color w:val="2B477B"/>
        </w:rPr>
        <w:t>razonables</w:t>
      </w:r>
      <w:r>
        <w:rPr>
          <w:color w:val="2B477B"/>
        </w:rPr>
        <w:t xml:space="preserve"> </w:t>
      </w:r>
      <w:r>
        <w:rPr>
          <w:rFonts w:ascii="Arial Unicode MS" w:eastAsia="Arial Unicode MS" w:hAnsi="Arial Unicode MS" w:cs="Arial Unicode MS"/>
          <w:color w:val="2B477B"/>
        </w:rPr>
        <w:t>son</w:t>
      </w:r>
      <w:r>
        <w:rPr>
          <w:color w:val="2B477B"/>
        </w:rPr>
        <w:t xml:space="preserve"> </w:t>
      </w:r>
      <w:r>
        <w:rPr>
          <w:rFonts w:ascii="Arial Unicode MS" w:eastAsia="Arial Unicode MS" w:hAnsi="Arial Unicode MS" w:cs="Arial Unicode MS"/>
          <w:color w:val="2B477B"/>
        </w:rPr>
        <w:t>concursables</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políticas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PIE</w:t>
      </w:r>
      <w:r>
        <w:rPr>
          <w:color w:val="2B477B"/>
        </w:rPr>
        <w:t xml:space="preserve"> </w:t>
      </w:r>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Integración</w:t>
      </w:r>
      <w:r>
        <w:rPr>
          <w:color w:val="2B477B"/>
        </w:rPr>
        <w:t xml:space="preserve"> </w:t>
      </w:r>
      <w:r>
        <w:rPr>
          <w:rFonts w:ascii="Arial Unicode MS" w:eastAsia="Arial Unicode MS" w:hAnsi="Arial Unicode MS" w:cs="Arial Unicode MS"/>
          <w:color w:val="2B477B"/>
        </w:rPr>
        <w:t>Escolar).</w:t>
      </w:r>
    </w:p>
  </w:footnote>
  <w:footnote w:id="348">
    <w:p w14:paraId="5563716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Insumos</w:t>
      </w:r>
      <w:r>
        <w:rPr>
          <w:color w:val="2B477B"/>
        </w:rPr>
        <w:t xml:space="preserve"> </w:t>
      </w:r>
      <w:r>
        <w:rPr>
          <w:rFonts w:ascii="Arial Unicode MS" w:eastAsia="Arial Unicode MS" w:hAnsi="Arial Unicode MS" w:cs="Arial Unicode MS"/>
          <w:color w:val="2B477B"/>
        </w:rPr>
        <w:t>recibidos</w:t>
      </w:r>
      <w:r>
        <w:rPr>
          <w:color w:val="2B477B"/>
        </w:rPr>
        <w:t xml:space="preserve"> </w:t>
      </w:r>
      <w:r>
        <w:rPr>
          <w:rFonts w:ascii="Arial Unicode MS" w:eastAsia="Arial Unicode MS" w:hAnsi="Arial Unicode MS" w:cs="Arial Unicode MS"/>
          <w:color w:val="2B477B"/>
        </w:rPr>
        <w:t>especialmente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informes</w:t>
      </w:r>
      <w:r>
        <w:rPr>
          <w:color w:val="2B477B"/>
        </w:rPr>
        <w:t xml:space="preserve"> </w:t>
      </w:r>
      <w:r>
        <w:rPr>
          <w:rFonts w:ascii="Arial Unicode MS" w:eastAsia="Arial Unicode MS" w:hAnsi="Arial Unicode MS" w:cs="Arial Unicode MS"/>
          <w:color w:val="2B477B"/>
        </w:rPr>
        <w:t>coincidentes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punto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expertas</w:t>
      </w:r>
      <w:r>
        <w:rPr>
          <w:color w:val="2B477B"/>
        </w:rPr>
        <w:t xml:space="preserve"> </w:t>
      </w:r>
      <w:r>
        <w:rPr>
          <w:rFonts w:ascii="Arial Unicode MS" w:eastAsia="Arial Unicode MS" w:hAnsi="Arial Unicode MS" w:cs="Arial Unicode MS"/>
          <w:color w:val="2B477B"/>
        </w:rPr>
        <w:t>independientes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Bolivia.</w:t>
      </w:r>
    </w:p>
  </w:footnote>
  <w:footnote w:id="349">
    <w:p w14:paraId="6302498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581"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4 </w:t>
        </w:r>
        <w:r>
          <w:rPr>
            <w:rFonts w:ascii="Arial Unicode MS" w:eastAsia="Arial Unicode MS" w:hAnsi="Arial Unicode MS" w:cs="Arial Unicode MS"/>
            <w:color w:val="2B477B"/>
          </w:rPr>
          <w:t>(</w:t>
        </w:r>
        <w:r>
          <w:rPr>
            <w:color w:val="2B477B"/>
          </w:rPr>
          <w:t>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educación</w:t>
        </w:r>
        <w:r>
          <w:rPr>
            <w:color w:val="2B477B"/>
          </w:rPr>
          <w:t xml:space="preserve"> </w:t>
        </w:r>
        <w:r>
          <w:rPr>
            <w:rFonts w:ascii="Arial Unicode MS" w:eastAsia="Arial Unicode MS" w:hAnsi="Arial Unicode MS" w:cs="Arial Unicode MS"/>
            <w:color w:val="2B477B"/>
          </w:rPr>
          <w:t>inclusiva</w:t>
        </w:r>
      </w:hyperlink>
      <w:r>
        <w:rPr>
          <w:rFonts w:ascii="Arial Unicode MS" w:eastAsia="Arial Unicode MS" w:hAnsi="Arial Unicode MS" w:cs="Arial Unicode MS"/>
          <w:color w:val="2B477B"/>
        </w:rPr>
        <w:t>,</w:t>
      </w:r>
      <w:r>
        <w:rPr>
          <w:color w:val="2B477B"/>
        </w:rPr>
        <w:t xml:space="preserve"> 25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10 </w:t>
      </w:r>
      <w:r>
        <w:rPr>
          <w:rFonts w:ascii="Arial Unicode MS" w:eastAsia="Arial Unicode MS" w:hAnsi="Arial Unicode MS" w:cs="Arial Unicode MS"/>
          <w:color w:val="2B477B"/>
        </w:rPr>
        <w:t>y</w:t>
      </w:r>
      <w:r>
        <w:rPr>
          <w:color w:val="2B477B"/>
        </w:rPr>
        <w:t xml:space="preserve"> 11</w:t>
      </w:r>
      <w:r>
        <w:rPr>
          <w:rFonts w:ascii="Arial Unicode MS" w:eastAsia="Arial Unicode MS" w:hAnsi="Arial Unicode MS" w:cs="Arial Unicode MS"/>
          <w:color w:val="2B477B"/>
        </w:rPr>
        <w:t>.</w:t>
      </w:r>
    </w:p>
  </w:footnote>
  <w:footnote w:id="350">
    <w:p w14:paraId="69CB49A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582"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4 </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párr.</w:t>
      </w:r>
      <w:r>
        <w:rPr>
          <w:color w:val="2B477B"/>
        </w:rPr>
        <w:t xml:space="preserve"> 31</w:t>
      </w:r>
      <w:r>
        <w:rPr>
          <w:rFonts w:ascii="Arial Unicode MS" w:eastAsia="Arial Unicode MS" w:hAnsi="Arial Unicode MS" w:cs="Arial Unicode MS"/>
          <w:color w:val="2B477B"/>
        </w:rPr>
        <w:t>.</w:t>
      </w:r>
    </w:p>
  </w:footnote>
  <w:footnote w:id="351">
    <w:p w14:paraId="36D4AF4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583"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4 </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párrs.</w:t>
      </w:r>
      <w:r>
        <w:rPr>
          <w:color w:val="2B477B"/>
        </w:rPr>
        <w:t xml:space="preserve"> 10 </w:t>
      </w:r>
      <w:r>
        <w:rPr>
          <w:rFonts w:ascii="Arial Unicode MS" w:eastAsia="Arial Unicode MS" w:hAnsi="Arial Unicode MS" w:cs="Arial Unicode MS"/>
          <w:color w:val="2B477B"/>
        </w:rPr>
        <w:t>y</w:t>
      </w:r>
      <w:r>
        <w:rPr>
          <w:color w:val="2B477B"/>
        </w:rPr>
        <w:t xml:space="preserve"> 11</w:t>
      </w:r>
      <w:r>
        <w:rPr>
          <w:rFonts w:ascii="Arial Unicode MS" w:eastAsia="Arial Unicode MS" w:hAnsi="Arial Unicode MS" w:cs="Arial Unicode MS"/>
          <w:color w:val="2B477B"/>
        </w:rPr>
        <w:t>.</w:t>
      </w:r>
    </w:p>
  </w:footnote>
  <w:footnote w:id="352">
    <w:p w14:paraId="1855386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584"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pár</w:t>
        </w:r>
      </w:hyperlink>
      <w:hyperlink r:id="rId585" w:history="1">
        <w:r>
          <w:rPr>
            <w:rFonts w:ascii="Arial Unicode MS" w:eastAsia="Arial Unicode MS" w:hAnsi="Arial Unicode MS" w:cs="Arial Unicode MS"/>
            <w:color w:val="2B477B"/>
          </w:rPr>
          <w:t>r</w:t>
        </w:r>
      </w:hyperlink>
      <w:hyperlink r:id="rId586" w:history="1">
        <w:r>
          <w:rPr>
            <w:rFonts w:ascii="Arial Unicode MS" w:eastAsia="Arial Unicode MS" w:hAnsi="Arial Unicode MS" w:cs="Arial Unicode MS"/>
            <w:color w:val="2B477B"/>
          </w:rPr>
          <w:t>.</w:t>
        </w:r>
        <w:r>
          <w:rPr>
            <w:color w:val="2B477B"/>
          </w:rPr>
          <w:t xml:space="preserve"> 34</w:t>
        </w:r>
      </w:hyperlink>
    </w:p>
  </w:footnote>
  <w:footnote w:id="353">
    <w:p w14:paraId="186243D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587"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Style w:val="Hyperlink1"/>
          <w:u w:val="single"/>
        </w:rPr>
        <w:t xml:space="preserve"> </w:t>
      </w:r>
      <w:r>
        <w:rPr>
          <w:rStyle w:val="Hyperlink1"/>
          <w:rFonts w:ascii="Arial Unicode MS" w:eastAsia="Arial Unicode MS" w:hAnsi="Arial Unicode MS" w:cs="Arial Unicode MS"/>
          <w:u w:val="single"/>
        </w:rPr>
        <w:t>(CDPD)</w:t>
      </w:r>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p>
  </w:footnote>
  <w:footnote w:id="354">
    <w:p w14:paraId="0CD1DA04" w14:textId="77777777" w:rsidR="001A105D" w:rsidRDefault="00000000">
      <w:pPr>
        <w:pStyle w:val="FootnoteText"/>
        <w:jc w:val="left"/>
      </w:pPr>
      <w:r>
        <w:rPr>
          <w:rStyle w:val="None"/>
          <w:vertAlign w:val="superscript"/>
        </w:rPr>
        <w:footnoteRef/>
      </w:r>
      <w:r>
        <w:t xml:space="preserve"> </w:t>
      </w:r>
      <w:r>
        <w:rPr>
          <w:rFonts w:ascii="Arial Unicode MS" w:eastAsia="Arial Unicode MS" w:hAnsi="Arial Unicode MS" w:cs="Arial Unicode MS"/>
        </w:rPr>
        <w:t>OEA,</w:t>
      </w:r>
      <w:r>
        <w:t xml:space="preserve"> </w:t>
      </w:r>
      <w:hyperlink r:id="rId588" w:history="1">
        <w:r>
          <w:rPr>
            <w:rFonts w:ascii="Arial Unicode MS" w:eastAsia="Arial Unicode MS" w:hAnsi="Arial Unicode MS" w:cs="Arial Unicode MS"/>
          </w:rPr>
          <w:t>Convenci</w:t>
        </w:r>
      </w:hyperlink>
      <w:hyperlink r:id="rId589" w:history="1">
        <w:r>
          <w:rPr>
            <w:rFonts w:ascii="Arial Unicode MS" w:eastAsia="Arial Unicode MS" w:hAnsi="Arial Unicode MS" w:cs="Arial Unicode MS"/>
          </w:rPr>
          <w:t>ón</w:t>
        </w:r>
        <w:r>
          <w:t xml:space="preserve"> </w:t>
        </w:r>
        <w:r>
          <w:rPr>
            <w:rFonts w:ascii="Arial Unicode MS" w:eastAsia="Arial Unicode MS" w:hAnsi="Arial Unicode MS" w:cs="Arial Unicode MS"/>
          </w:rPr>
          <w:t>Interamericana</w:t>
        </w:r>
        <w:r>
          <w:t xml:space="preserve"> </w:t>
        </w:r>
        <w:r>
          <w:rPr>
            <w:rFonts w:ascii="Arial Unicode MS" w:eastAsia="Arial Unicode MS" w:hAnsi="Arial Unicode MS" w:cs="Arial Unicode MS"/>
          </w:rPr>
          <w:t>para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Eliminación</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Todas</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formas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Discriminación</w:t>
        </w:r>
        <w:r>
          <w:t xml:space="preserve"> </w:t>
        </w:r>
        <w:r>
          <w:rPr>
            <w:rFonts w:ascii="Arial Unicode MS" w:eastAsia="Arial Unicode MS" w:hAnsi="Arial Unicode MS" w:cs="Arial Unicode MS"/>
          </w:rPr>
          <w:t>contra</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(CI</w:t>
        </w:r>
      </w:hyperlink>
      <w:hyperlink r:id="rId590" w:history="1">
        <w:r>
          <w:rPr>
            <w:rFonts w:ascii="Arial Unicode MS" w:eastAsia="Arial Unicode MS" w:hAnsi="Arial Unicode MS" w:cs="Arial Unicode MS"/>
          </w:rPr>
          <w:t>ADDIS</w:t>
        </w:r>
      </w:hyperlink>
      <w:r>
        <w:rPr>
          <w:rFonts w:ascii="Arial Unicode MS" w:eastAsia="Arial Unicode MS" w:hAnsi="Arial Unicode MS" w:cs="Arial Unicode MS"/>
        </w:rPr>
        <w:t>),</w:t>
      </w:r>
      <w:r>
        <w:t xml:space="preserve"> 1999</w:t>
      </w:r>
      <w:r>
        <w:rPr>
          <w:rFonts w:ascii="Arial Unicode MS" w:eastAsia="Arial Unicode MS" w:hAnsi="Arial Unicode MS" w:cs="Arial Unicode MS"/>
        </w:rPr>
        <w:t>,</w:t>
      </w:r>
      <w:r>
        <w:t xml:space="preserve"> </w:t>
      </w:r>
      <w:r>
        <w:rPr>
          <w:rFonts w:ascii="Arial Unicode MS" w:eastAsia="Arial Unicode MS" w:hAnsi="Arial Unicode MS" w:cs="Arial Unicode MS"/>
        </w:rPr>
        <w:t>art.</w:t>
      </w:r>
      <w:r>
        <w:t xml:space="preserve"> </w:t>
      </w:r>
      <w:r>
        <w:rPr>
          <w:rFonts w:ascii="Arial Unicode MS" w:eastAsia="Arial Unicode MS" w:hAnsi="Arial Unicode MS" w:cs="Arial Unicode MS"/>
        </w:rPr>
        <w:t>III.</w:t>
      </w:r>
      <w:r>
        <w:t>1</w:t>
      </w:r>
      <w:r>
        <w:rPr>
          <w:rFonts w:ascii="Arial Unicode MS" w:eastAsia="Arial Unicode MS" w:hAnsi="Arial Unicode MS" w:cs="Arial Unicode MS"/>
        </w:rPr>
        <w:t>.a.</w:t>
      </w:r>
    </w:p>
  </w:footnote>
  <w:footnote w:id="355">
    <w:p w14:paraId="69A57A6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Secretaría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Departamento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hyperlink r:id="rId591" w:history="1">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Adicional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Americana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Económicos,</w:t>
        </w:r>
        <w:r>
          <w:rPr>
            <w:color w:val="2B477B"/>
          </w:rPr>
          <w:t xml:space="preserve"> </w:t>
        </w:r>
        <w:r>
          <w:rPr>
            <w:rFonts w:ascii="Arial Unicode MS" w:eastAsia="Arial Unicode MS" w:hAnsi="Arial Unicode MS" w:cs="Arial Unicode MS"/>
            <w:color w:val="2B477B"/>
          </w:rPr>
          <w:t>Sociales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Culturales,</w:t>
        </w:r>
        <w:r>
          <w:rPr>
            <w:color w:val="2B477B"/>
          </w:rPr>
          <w:t xml:space="preserve"> </w:t>
        </w:r>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San</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(PSS)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PSS</w:t>
      </w:r>
      <w:r>
        <w:rPr>
          <w:color w:val="2B477B"/>
        </w:rPr>
        <w:t xml:space="preserve"> </w:t>
      </w:r>
      <w:r>
        <w:rPr>
          <w:rFonts w:ascii="Arial Unicode MS" w:eastAsia="Arial Unicode MS" w:hAnsi="Arial Unicode MS" w:cs="Arial Unicode MS"/>
          <w:color w:val="2B477B"/>
        </w:rPr>
        <w:t>reproduce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enfoque</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tal</w:t>
      </w:r>
      <w:r>
        <w:rPr>
          <w:color w:val="2B477B"/>
        </w:rPr>
        <w:t xml:space="preserve"> </w:t>
      </w:r>
      <w:r>
        <w:rPr>
          <w:rFonts w:ascii="Arial Unicode MS" w:eastAsia="Arial Unicode MS" w:hAnsi="Arial Unicode MS" w:cs="Arial Unicode MS"/>
          <w:color w:val="2B477B"/>
        </w:rPr>
        <w:t>manera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refiere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física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“disminuida”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les</w:t>
      </w:r>
      <w:r>
        <w:rPr>
          <w:color w:val="2B477B"/>
        </w:rPr>
        <w:t xml:space="preserve"> </w:t>
      </w:r>
      <w:r>
        <w:rPr>
          <w:rFonts w:ascii="Arial Unicode MS" w:eastAsia="Arial Unicode MS" w:hAnsi="Arial Unicode MS" w:cs="Arial Unicode MS"/>
          <w:color w:val="2B477B"/>
        </w:rPr>
        <w:t>llama</w:t>
      </w:r>
      <w:r>
        <w:rPr>
          <w:color w:val="2B477B"/>
        </w:rPr>
        <w:t xml:space="preserve"> </w:t>
      </w:r>
      <w:r>
        <w:rPr>
          <w:rFonts w:ascii="Arial Unicode MS" w:eastAsia="Arial Unicode MS" w:hAnsi="Arial Unicode MS" w:cs="Arial Unicode MS"/>
          <w:color w:val="2B477B"/>
        </w:rPr>
        <w:t>“minusválidos”.</w:t>
      </w:r>
      <w:r>
        <w:rPr>
          <w:color w:val="2B477B"/>
        </w:rPr>
        <w:t xml:space="preserve"> </w:t>
      </w:r>
    </w:p>
  </w:footnote>
  <w:footnote w:id="356">
    <w:p w14:paraId="0C56C9E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hyperlink r:id="rId592" w:history="1">
        <w:r>
          <w:rPr>
            <w:color w:val="2B477B"/>
          </w:rPr>
          <w:t xml:space="preserve"> </w:t>
        </w:r>
        <w:r>
          <w:rPr>
            <w:rFonts w:ascii="Arial Unicode MS" w:eastAsia="Arial Unicode MS" w:hAnsi="Arial Unicode MS" w:cs="Arial Unicode MS"/>
            <w:color w:val="2B477B"/>
          </w:rPr>
          <w:t>CDPD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reconocen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trabajar,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demás;</w:t>
      </w:r>
      <w:r>
        <w:rPr>
          <w:color w:val="2B477B"/>
        </w:rPr>
        <w:t xml:space="preserve"> </w:t>
      </w:r>
      <w:r>
        <w:rPr>
          <w:rFonts w:ascii="Arial Unicode MS" w:eastAsia="Arial Unicode MS" w:hAnsi="Arial Unicode MS" w:cs="Arial Unicode MS"/>
          <w:color w:val="2B477B"/>
        </w:rPr>
        <w:t>ello</w:t>
      </w:r>
      <w:r>
        <w:rPr>
          <w:color w:val="2B477B"/>
        </w:rPr>
        <w:t xml:space="preserve"> </w:t>
      </w:r>
      <w:r>
        <w:rPr>
          <w:rFonts w:ascii="Arial Unicode MS" w:eastAsia="Arial Unicode MS" w:hAnsi="Arial Unicode MS" w:cs="Arial Unicode MS"/>
          <w:color w:val="2B477B"/>
        </w:rPr>
        <w:t>incluye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tener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oportunidad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ganarse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libremente</w:t>
      </w:r>
      <w:r>
        <w:rPr>
          <w:color w:val="2B477B"/>
        </w:rPr>
        <w:t xml:space="preserve"> </w:t>
      </w:r>
      <w:r>
        <w:rPr>
          <w:rFonts w:ascii="Arial Unicode MS" w:eastAsia="Arial Unicode MS" w:hAnsi="Arial Unicode MS" w:cs="Arial Unicode MS"/>
          <w:color w:val="2B477B"/>
        </w:rPr>
        <w:t>elegido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aceptado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mercado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entorno</w:t>
      </w:r>
      <w:r>
        <w:rPr>
          <w:color w:val="2B477B"/>
        </w:rPr>
        <w:t xml:space="preserve"> </w:t>
      </w:r>
      <w:r>
        <w:rPr>
          <w:rFonts w:ascii="Arial Unicode MS" w:eastAsia="Arial Unicode MS" w:hAnsi="Arial Unicode MS" w:cs="Arial Unicode MS"/>
          <w:color w:val="2B477B"/>
        </w:rPr>
        <w:t>laborales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sean</w:t>
      </w:r>
      <w:r>
        <w:rPr>
          <w:color w:val="2B477B"/>
        </w:rPr>
        <w:t xml:space="preserve"> </w:t>
      </w:r>
      <w:r>
        <w:rPr>
          <w:rFonts w:ascii="Arial Unicode MS" w:eastAsia="Arial Unicode MS" w:hAnsi="Arial Unicode MS" w:cs="Arial Unicode MS"/>
          <w:color w:val="2B477B"/>
        </w:rPr>
        <w:t>abiertos,</w:t>
      </w:r>
      <w:r>
        <w:rPr>
          <w:color w:val="2B477B"/>
        </w:rPr>
        <w:t xml:space="preserve"> </w:t>
      </w:r>
      <w:r>
        <w:rPr>
          <w:rFonts w:ascii="Arial Unicode MS" w:eastAsia="Arial Unicode MS" w:hAnsi="Arial Unicode MS" w:cs="Arial Unicode MS"/>
          <w:color w:val="2B477B"/>
        </w:rPr>
        <w:t>inclusivos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accesibles”.</w:t>
      </w:r>
      <w:r>
        <w:rPr>
          <w:color w:val="2B477B"/>
        </w:rPr>
        <w:t xml:space="preserve"> </w:t>
      </w:r>
    </w:p>
  </w:footnote>
  <w:footnote w:id="357">
    <w:p w14:paraId="788C1A4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10</w:t>
      </w:r>
      <w:r>
        <w:rPr>
          <w:rFonts w:ascii="Arial Unicode MS" w:eastAsia="Arial Unicode MS" w:hAnsi="Arial Unicode MS" w:cs="Arial Unicode MS"/>
          <w:color w:val="2B477B"/>
        </w:rPr>
        <w:t>-</w:t>
      </w:r>
      <w:r>
        <w:rPr>
          <w:color w:val="2B477B"/>
        </w:rPr>
        <w:t>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93" w:history="1">
        <w:r>
          <w:rPr>
            <w:rFonts w:ascii="Arial Unicode MS" w:eastAsia="Arial Unicode MS" w:hAnsi="Arial Unicode MS" w:cs="Arial Unicode MS"/>
            <w:color w:val="2B477B"/>
          </w:rPr>
          <w:t>Ley</w:t>
        </w:r>
        <w:r>
          <w:rPr>
            <w:color w:val="2B477B"/>
          </w:rPr>
          <w:t xml:space="preserve"> 22</w:t>
        </w:r>
        <w:r>
          <w:rPr>
            <w:rFonts w:ascii="Arial Unicode MS" w:eastAsia="Arial Unicode MS" w:hAnsi="Arial Unicode MS" w:cs="Arial Unicode MS"/>
            <w:color w:val="2B477B"/>
          </w:rPr>
          <w:t>.</w:t>
        </w:r>
        <w:r>
          <w:rPr>
            <w:color w:val="2B477B"/>
          </w:rPr>
          <w:t>431</w:t>
        </w:r>
      </w:hyperlink>
      <w:r>
        <w:rPr>
          <w:color w:val="2B477B"/>
        </w:rPr>
        <w:t xml:space="preserve"> </w:t>
      </w:r>
      <w:r>
        <w:rPr>
          <w:rFonts w:ascii="Arial Unicode MS" w:eastAsia="Arial Unicode MS" w:hAnsi="Arial Unicode MS" w:cs="Arial Unicode MS"/>
          <w:color w:val="2B477B"/>
        </w:rPr>
        <w:t>de</w:t>
      </w:r>
      <w:r>
        <w:rPr>
          <w:color w:val="2B477B"/>
        </w:rPr>
        <w:t xml:space="preserve"> 1981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8</w:t>
      </w:r>
      <w:r>
        <w:rPr>
          <w:rFonts w:ascii="Arial Unicode MS" w:eastAsia="Arial Unicode MS" w:hAnsi="Arial Unicode MS" w:cs="Arial Unicode MS"/>
          <w:color w:val="2B477B"/>
        </w:rPr>
        <w:t>-</w:t>
      </w:r>
      <w:r>
        <w:rPr>
          <w:color w:val="2B477B"/>
        </w:rPr>
        <w:t xml:space="preserve">12 </w:t>
      </w:r>
      <w:r>
        <w:rPr>
          <w:rFonts w:ascii="Arial Unicode MS" w:eastAsia="Arial Unicode MS" w:hAnsi="Arial Unicode MS" w:cs="Arial Unicode MS"/>
          <w:color w:val="2B477B"/>
        </w:rPr>
        <w:t>y</w:t>
      </w:r>
      <w:r>
        <w:rPr>
          <w:color w:val="2B477B"/>
        </w:rPr>
        <w:t xml:space="preserve"> 23</w:t>
      </w:r>
      <w:r>
        <w:rPr>
          <w:rFonts w:ascii="Arial Unicode MS" w:eastAsia="Arial Unicode MS" w:hAnsi="Arial Unicode MS" w:cs="Arial Unicode MS"/>
          <w:color w:val="2B477B"/>
        </w:rPr>
        <w:t>;</w:t>
      </w:r>
      <w:r>
        <w:rPr>
          <w:color w:val="2B477B"/>
        </w:rPr>
        <w:t xml:space="preserve"> </w:t>
      </w:r>
      <w:hyperlink r:id="rId594" w:history="1">
        <w:r>
          <w:rPr>
            <w:rFonts w:ascii="Arial Unicode MS" w:eastAsia="Arial Unicode MS" w:hAnsi="Arial Unicode MS" w:cs="Arial Unicode MS"/>
            <w:color w:val="2B477B"/>
          </w:rPr>
          <w:t>Ley</w:t>
        </w:r>
        <w:r>
          <w:rPr>
            <w:color w:val="2B477B"/>
          </w:rPr>
          <w:t xml:space="preserve"> 25</w:t>
        </w:r>
        <w:r>
          <w:rPr>
            <w:rFonts w:ascii="Arial Unicode MS" w:eastAsia="Arial Unicode MS" w:hAnsi="Arial Unicode MS" w:cs="Arial Unicode MS"/>
            <w:color w:val="2B477B"/>
          </w:rPr>
          <w:t>.</w:t>
        </w:r>
        <w:r>
          <w:rPr>
            <w:color w:val="2B477B"/>
          </w:rPr>
          <w:t>689</w:t>
        </w:r>
      </w:hyperlink>
      <w:r>
        <w:rPr>
          <w:color w:val="2B477B"/>
        </w:rPr>
        <w:t xml:space="preserve"> </w:t>
      </w:r>
      <w:r>
        <w:rPr>
          <w:rFonts w:ascii="Arial Unicode MS" w:eastAsia="Arial Unicode MS" w:hAnsi="Arial Unicode MS" w:cs="Arial Unicode MS"/>
          <w:color w:val="2B477B"/>
        </w:rPr>
        <w:t>del</w:t>
      </w:r>
      <w:r>
        <w:rPr>
          <w:color w:val="2B477B"/>
        </w:rPr>
        <w:t xml:space="preserve"> 2003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complementarias.</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terminología</w:t>
      </w:r>
      <w:r>
        <w:rPr>
          <w:color w:val="2B477B"/>
        </w:rPr>
        <w:t xml:space="preserve"> </w:t>
      </w:r>
      <w:r>
        <w:rPr>
          <w:rFonts w:ascii="Arial Unicode MS" w:eastAsia="Arial Unicode MS" w:hAnsi="Arial Unicode MS" w:cs="Arial Unicode MS"/>
          <w:color w:val="2B477B"/>
        </w:rPr>
        <w:t>usada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estos</w:t>
      </w:r>
      <w:r>
        <w:rPr>
          <w:color w:val="2B477B"/>
        </w:rPr>
        <w:t xml:space="preserve"> </w:t>
      </w:r>
      <w:r>
        <w:rPr>
          <w:rFonts w:ascii="Arial Unicode MS" w:eastAsia="Arial Unicode MS" w:hAnsi="Arial Unicode MS" w:cs="Arial Unicode MS"/>
          <w:color w:val="2B477B"/>
        </w:rPr>
        <w:t>cuerpos</w:t>
      </w:r>
      <w:r>
        <w:rPr>
          <w:color w:val="2B477B"/>
        </w:rPr>
        <w:t xml:space="preserve"> </w:t>
      </w:r>
      <w:r>
        <w:rPr>
          <w:rFonts w:ascii="Arial Unicode MS" w:eastAsia="Arial Unicode MS" w:hAnsi="Arial Unicode MS" w:cs="Arial Unicode MS"/>
          <w:color w:val="2B477B"/>
        </w:rPr>
        <w:t>legales</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anterior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reproduce</w:t>
      </w:r>
      <w:r>
        <w:rPr>
          <w:color w:val="2B477B"/>
        </w:rPr>
        <w:t xml:space="preserve"> </w:t>
      </w:r>
      <w:r>
        <w:rPr>
          <w:rFonts w:ascii="Arial Unicode MS" w:eastAsia="Arial Unicode MS" w:hAnsi="Arial Unicode MS" w:cs="Arial Unicode MS"/>
          <w:color w:val="2B477B"/>
        </w:rPr>
        <w:t>aún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estigmas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médico.</w:t>
      </w:r>
    </w:p>
  </w:footnote>
  <w:footnote w:id="358">
    <w:p w14:paraId="31D9DA15" w14:textId="77777777" w:rsidR="001A105D" w:rsidRDefault="00000000">
      <w:pPr>
        <w:pStyle w:val="Body"/>
        <w:jc w:val="left"/>
      </w:pPr>
      <w:r>
        <w:rPr>
          <w:rStyle w:val="None"/>
          <w:color w:val="2B477B"/>
          <w:vertAlign w:val="superscript"/>
        </w:rPr>
        <w:footnoteRef/>
      </w:r>
      <w:r>
        <w:rPr>
          <w:color w:val="2B477B"/>
        </w:rPr>
        <w:t xml:space="preserve"> </w:t>
      </w:r>
      <w:hyperlink r:id="rId595" w:history="1">
        <w:r>
          <w:rPr>
            <w:rFonts w:ascii="Arial Unicode MS" w:eastAsia="Arial Unicode MS" w:hAnsi="Arial Unicode MS" w:cs="Arial Unicode MS"/>
            <w:color w:val="2B477B"/>
          </w:rPr>
          <w:t>Persons</w:t>
        </w:r>
        <w:r>
          <w:rPr>
            <w:color w:val="2B477B"/>
          </w:rPr>
          <w:t xml:space="preserve"> </w:t>
        </w:r>
        <w:r>
          <w:rPr>
            <w:rFonts w:ascii="Arial Unicode MS" w:eastAsia="Arial Unicode MS" w:hAnsi="Arial Unicode MS" w:cs="Arial Unicode MS"/>
            <w:color w:val="2B477B"/>
          </w:rPr>
          <w:t>with</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(Equal</w:t>
        </w:r>
        <w:r>
          <w:rPr>
            <w:color w:val="2B477B"/>
          </w:rPr>
          <w:t xml:space="preserve"> </w:t>
        </w:r>
        <w:r>
          <w:rPr>
            <w:rFonts w:ascii="Arial Unicode MS" w:eastAsia="Arial Unicode MS" w:hAnsi="Arial Unicode MS" w:cs="Arial Unicode MS"/>
            <w:color w:val="2B477B"/>
          </w:rPr>
          <w:t>Opportunities)</w:t>
        </w:r>
        <w:r>
          <w:rPr>
            <w:color w:val="2B477B"/>
          </w:rPr>
          <w:t xml:space="preserve"> </w:t>
        </w:r>
        <w:r>
          <w:rPr>
            <w:rFonts w:ascii="Arial Unicode MS" w:eastAsia="Arial Unicode MS" w:hAnsi="Arial Unicode MS" w:cs="Arial Unicode MS"/>
            <w:color w:val="2B477B"/>
          </w:rPr>
          <w:t>Bill</w:t>
        </w:r>
      </w:hyperlink>
      <w:r>
        <w:rPr>
          <w:color w:val="2B477B"/>
        </w:rPr>
        <w:t xml:space="preserve"> </w:t>
      </w:r>
      <w:r>
        <w:rPr>
          <w:rFonts w:ascii="Arial Unicode MS" w:eastAsia="Arial Unicode MS" w:hAnsi="Arial Unicode MS" w:cs="Arial Unicode MS"/>
          <w:color w:val="2B477B"/>
        </w:rPr>
        <w:t>of</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14 </w:t>
      </w:r>
      <w:r>
        <w:rPr>
          <w:rFonts w:ascii="Arial Unicode MS" w:eastAsia="Arial Unicode MS" w:hAnsi="Arial Unicode MS" w:cs="Arial Unicode MS"/>
          <w:color w:val="2B477B"/>
        </w:rPr>
        <w:t>y</w:t>
      </w:r>
      <w:r>
        <w:rPr>
          <w:color w:val="2B477B"/>
        </w:rPr>
        <w:t xml:space="preserve"> 16 </w:t>
      </w:r>
      <w:r>
        <w:rPr>
          <w:rFonts w:ascii="Arial Unicode MS" w:eastAsia="Arial Unicode MS" w:hAnsi="Arial Unicode MS" w:cs="Arial Unicode MS"/>
          <w:color w:val="2B477B"/>
        </w:rPr>
        <w:t>y</w:t>
      </w:r>
      <w:r>
        <w:rPr>
          <w:color w:val="2B477B"/>
        </w:rPr>
        <w:t xml:space="preserve"> </w:t>
      </w:r>
      <w:hyperlink r:id="rId596" w:history="1">
        <w:r>
          <w:rPr>
            <w:rFonts w:ascii="Arial Unicode MS" w:eastAsia="Arial Unicode MS" w:hAnsi="Arial Unicode MS" w:cs="Arial Unicode MS"/>
            <w:color w:val="2B477B"/>
          </w:rPr>
          <w:t>Employment</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2001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6 </w:t>
      </w:r>
      <w:r>
        <w:rPr>
          <w:rFonts w:ascii="Arial Unicode MS" w:eastAsia="Arial Unicode MS" w:hAnsi="Arial Unicode MS" w:cs="Arial Unicode MS"/>
          <w:color w:val="2B477B"/>
        </w:rPr>
        <w:t>y</w:t>
      </w:r>
      <w:r>
        <w:rPr>
          <w:color w:val="2B477B"/>
        </w:rPr>
        <w:t xml:space="preserve"> 7</w:t>
      </w:r>
      <w:r>
        <w:rPr>
          <w:rFonts w:ascii="Arial Unicode MS" w:eastAsia="Arial Unicode MS" w:hAnsi="Arial Unicode MS" w:cs="Arial Unicode MS"/>
          <w:color w:val="2B477B"/>
        </w:rPr>
        <w:t>.</w:t>
      </w:r>
    </w:p>
  </w:footnote>
  <w:footnote w:id="359">
    <w:p w14:paraId="0D9036D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97" w:history="1">
        <w:r>
          <w:rPr>
            <w:rFonts w:ascii="Arial Unicode MS" w:eastAsia="Arial Unicode MS" w:hAnsi="Arial Unicode MS" w:cs="Arial Unicode MS"/>
            <w:color w:val="2B477B"/>
          </w:rPr>
          <w:t>Employment</w:t>
        </w:r>
        <w:r>
          <w:rPr>
            <w:color w:val="2B477B"/>
          </w:rPr>
          <w:t xml:space="preserve"> </w:t>
        </w:r>
        <w:r>
          <w:rPr>
            <w:rFonts w:ascii="Arial Unicode MS" w:eastAsia="Arial Unicode MS" w:hAnsi="Arial Unicode MS" w:cs="Arial Unicode MS"/>
            <w:color w:val="2B477B"/>
          </w:rPr>
          <w:t>(Prevention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Discrimination)</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w:t>
      </w:r>
      <w:r>
        <w:rPr>
          <w:rFonts w:ascii="Arial Unicode MS" w:eastAsia="Arial Unicode MS" w:hAnsi="Arial Unicode MS" w:cs="Arial Unicode MS"/>
          <w:color w:val="2B477B"/>
        </w:rPr>
        <w:t>,</w:t>
      </w:r>
      <w:r>
        <w:rPr>
          <w:color w:val="2B477B"/>
        </w:rPr>
        <w:t xml:space="preserve"> 5</w:t>
      </w:r>
      <w:r>
        <w:rPr>
          <w:rFonts w:ascii="Arial Unicode MS" w:eastAsia="Arial Unicode MS" w:hAnsi="Arial Unicode MS" w:cs="Arial Unicode MS"/>
          <w:color w:val="2B477B"/>
        </w:rPr>
        <w:t>,</w:t>
      </w:r>
      <w:r>
        <w:rPr>
          <w:color w:val="2B477B"/>
        </w:rPr>
        <w:t xml:space="preserve"> 6</w:t>
      </w:r>
      <w:r>
        <w:rPr>
          <w:rFonts w:ascii="Arial Unicode MS" w:eastAsia="Arial Unicode MS" w:hAnsi="Arial Unicode MS" w:cs="Arial Unicode MS"/>
          <w:color w:val="2B477B"/>
        </w:rPr>
        <w:t>,</w:t>
      </w:r>
      <w:r>
        <w:rPr>
          <w:color w:val="2B477B"/>
        </w:rPr>
        <w:t xml:space="preserve"> 7 </w:t>
      </w:r>
      <w:r>
        <w:rPr>
          <w:rFonts w:ascii="Arial Unicode MS" w:eastAsia="Arial Unicode MS" w:hAnsi="Arial Unicode MS" w:cs="Arial Unicode MS"/>
          <w:color w:val="2B477B"/>
        </w:rPr>
        <w:t>y</w:t>
      </w:r>
      <w:r>
        <w:rPr>
          <w:color w:val="2B477B"/>
        </w:rPr>
        <w:t xml:space="preserve"> 30</w:t>
      </w:r>
      <w:r>
        <w:rPr>
          <w:rFonts w:ascii="Arial Unicode MS" w:eastAsia="Arial Unicode MS" w:hAnsi="Arial Unicode MS" w:cs="Arial Unicode MS"/>
          <w:color w:val="2B477B"/>
        </w:rPr>
        <w:t>.</w:t>
      </w:r>
    </w:p>
  </w:footnote>
  <w:footnote w:id="360">
    <w:p w14:paraId="709590F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37</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598"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Supremo</w:t>
        </w:r>
        <w:r>
          <w:rPr>
            <w:color w:val="2B477B"/>
          </w:rPr>
          <w:t xml:space="preserve"> </w:t>
        </w:r>
        <w:r>
          <w:rPr>
            <w:rFonts w:ascii="Arial Unicode MS" w:eastAsia="Arial Unicode MS" w:hAnsi="Arial Unicode MS" w:cs="Arial Unicode MS"/>
            <w:color w:val="2B477B"/>
          </w:rPr>
          <w:t>No.</w:t>
        </w:r>
        <w:r>
          <w:rPr>
            <w:color w:val="2B477B"/>
          </w:rPr>
          <w:t xml:space="preserve"> 213</w:t>
        </w:r>
      </w:hyperlink>
      <w:r>
        <w:rPr>
          <w:color w:val="2B477B"/>
        </w:rPr>
        <w:t xml:space="preserve"> </w:t>
      </w:r>
      <w:r>
        <w:rPr>
          <w:rFonts w:ascii="Arial Unicode MS" w:eastAsia="Arial Unicode MS" w:hAnsi="Arial Unicode MS" w:cs="Arial Unicode MS"/>
          <w:color w:val="2B477B"/>
        </w:rPr>
        <w:t>del</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del</w:t>
      </w:r>
      <w:r>
        <w:rPr>
          <w:color w:val="2B477B"/>
        </w:rPr>
        <w:t xml:space="preserve"> 2009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599" w:history="1">
        <w:r>
          <w:rPr>
            <w:rFonts w:ascii="Arial Unicode MS" w:eastAsia="Arial Unicode MS" w:hAnsi="Arial Unicode MS" w:cs="Arial Unicode MS"/>
            <w:color w:val="2B477B"/>
          </w:rPr>
          <w:t>Ley</w:t>
        </w:r>
        <w:r>
          <w:rPr>
            <w:color w:val="2B477B"/>
          </w:rPr>
          <w:t xml:space="preserve"> 977 </w:t>
        </w:r>
      </w:hyperlink>
      <w:r>
        <w:rPr>
          <w:rFonts w:ascii="Arial Unicode MS" w:eastAsia="Arial Unicode MS" w:hAnsi="Arial Unicode MS" w:cs="Arial Unicode MS"/>
          <w:color w:val="2B477B"/>
        </w:rPr>
        <w:t>del</w:t>
      </w:r>
      <w:r>
        <w:rPr>
          <w:color w:val="2B477B"/>
        </w:rPr>
        <w:t xml:space="preserve"> 26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w:t>
      </w:r>
      <w:r>
        <w:rPr>
          <w:rFonts w:ascii="Arial Unicode MS" w:eastAsia="Arial Unicode MS" w:hAnsi="Arial Unicode MS" w:cs="Arial Unicode MS"/>
          <w:color w:val="2B477B"/>
        </w:rPr>
        <w:t>IV</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VI.</w:t>
      </w:r>
    </w:p>
  </w:footnote>
  <w:footnote w:id="361">
    <w:p w14:paraId="34E6C439" w14:textId="77777777" w:rsidR="001A105D" w:rsidRDefault="00000000">
      <w:pPr>
        <w:pStyle w:val="Body"/>
        <w:jc w:val="left"/>
      </w:pPr>
      <w:r>
        <w:rPr>
          <w:rStyle w:val="None"/>
          <w:color w:val="2B477B"/>
          <w:vertAlign w:val="superscript"/>
        </w:rPr>
        <w:footnoteRef/>
      </w:r>
      <w:r>
        <w:rPr>
          <w:color w:val="2B477B"/>
        </w:rPr>
        <w:t xml:space="preserve"> </w:t>
      </w:r>
      <w:hyperlink r:id="rId600" w:history="1">
        <w:r>
          <w:rPr>
            <w:rFonts w:ascii="Arial Unicode MS" w:eastAsia="Arial Unicode MS" w:hAnsi="Arial Unicode MS" w:cs="Arial Unicode MS"/>
            <w:color w:val="2B477B"/>
          </w:rPr>
          <w:t>Ley</w:t>
        </w:r>
        <w:r>
          <w:rPr>
            <w:color w:val="2B477B"/>
          </w:rPr>
          <w:t xml:space="preserve"> 31</w:t>
        </w:r>
        <w:r>
          <w:rPr>
            <w:rFonts w:ascii="Arial Unicode MS" w:eastAsia="Arial Unicode MS" w:hAnsi="Arial Unicode MS" w:cs="Arial Unicode MS"/>
            <w:color w:val="2B477B"/>
          </w:rPr>
          <w:t>.</w:t>
        </w:r>
        <w:r>
          <w:rPr>
            <w:color w:val="2B477B"/>
          </w:rPr>
          <w:t>146</w:t>
        </w:r>
      </w:hyperlink>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34 </w:t>
      </w:r>
      <w:r>
        <w:rPr>
          <w:rFonts w:ascii="Arial Unicode MS" w:eastAsia="Arial Unicode MS" w:hAnsi="Arial Unicode MS" w:cs="Arial Unicode MS"/>
          <w:color w:val="2B477B"/>
        </w:rPr>
        <w:t>y</w:t>
      </w:r>
      <w:r>
        <w:rPr>
          <w:color w:val="2B477B"/>
        </w:rPr>
        <w:t xml:space="preserve"> 35</w:t>
      </w:r>
      <w:r>
        <w:rPr>
          <w:rFonts w:ascii="Arial Unicode MS" w:eastAsia="Arial Unicode MS" w:hAnsi="Arial Unicode MS" w:cs="Arial Unicode MS"/>
          <w:color w:val="2B477B"/>
        </w:rPr>
        <w:t>.</w:t>
      </w:r>
    </w:p>
  </w:footnote>
  <w:footnote w:id="362">
    <w:p w14:paraId="1402819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73</w:t>
      </w:r>
      <w:r>
        <w:rPr>
          <w:rFonts w:ascii="Arial Unicode MS" w:eastAsia="Arial Unicode MS" w:hAnsi="Arial Unicode MS" w:cs="Arial Unicode MS"/>
          <w:color w:val="2B477B"/>
        </w:rPr>
        <w:t>-</w:t>
      </w:r>
      <w:r>
        <w:rPr>
          <w:color w:val="2B477B"/>
        </w:rPr>
        <w:t>77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01"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422</w:t>
        </w:r>
      </w:hyperlink>
      <w:r>
        <w:rPr>
          <w:color w:val="2B477B"/>
        </w:rPr>
        <w:t xml:space="preserve"> </w:t>
      </w:r>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43 </w:t>
      </w:r>
      <w:r>
        <w:rPr>
          <w:rFonts w:ascii="Arial Unicode MS" w:eastAsia="Arial Unicode MS" w:hAnsi="Arial Unicode MS" w:cs="Arial Unicode MS"/>
          <w:color w:val="2B477B"/>
        </w:rPr>
        <w:t>a</w:t>
      </w:r>
      <w:r>
        <w:rPr>
          <w:color w:val="2B477B"/>
        </w:rPr>
        <w:t xml:space="preserve"> 46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obligación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implementar</w:t>
      </w:r>
      <w:r>
        <w:rPr>
          <w:color w:val="2B477B"/>
        </w:rPr>
        <w:t xml:space="preserve"> </w:t>
      </w:r>
      <w:r>
        <w:rPr>
          <w:rFonts w:ascii="Arial Unicode MS" w:eastAsia="Arial Unicode MS" w:hAnsi="Arial Unicode MS" w:cs="Arial Unicode MS"/>
          <w:color w:val="2B477B"/>
        </w:rPr>
        <w:t>ajustes</w:t>
      </w:r>
      <w:r>
        <w:rPr>
          <w:color w:val="2B477B"/>
        </w:rPr>
        <w:t xml:space="preserve"> </w:t>
      </w:r>
      <w:r>
        <w:rPr>
          <w:rFonts w:ascii="Arial Unicode MS" w:eastAsia="Arial Unicode MS" w:hAnsi="Arial Unicode MS" w:cs="Arial Unicode MS"/>
          <w:color w:val="2B477B"/>
        </w:rPr>
        <w:t>razonables,</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w:t>
      </w:r>
      <w:r>
        <w:rPr>
          <w:color w:val="2B477B"/>
        </w:rPr>
        <w:t xml:space="preserve"> </w:t>
      </w:r>
      <w:r>
        <w:rPr>
          <w:rFonts w:ascii="Arial Unicode MS" w:eastAsia="Arial Unicode MS" w:hAnsi="Arial Unicode MS" w:cs="Arial Unicode MS"/>
          <w:color w:val="2B477B"/>
        </w:rPr>
        <w:t>limitada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aquellas</w:t>
      </w:r>
      <w:r>
        <w:rPr>
          <w:color w:val="2B477B"/>
        </w:rPr>
        <w:t xml:space="preserve"> </w:t>
      </w:r>
      <w:r>
        <w:rPr>
          <w:rFonts w:ascii="Arial Unicode MS" w:eastAsia="Arial Unicode MS" w:hAnsi="Arial Unicode MS" w:cs="Arial Unicode MS"/>
          <w:color w:val="2B477B"/>
        </w:rPr>
        <w:t>empresas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tengan</w:t>
      </w:r>
      <w:r>
        <w:rPr>
          <w:color w:val="2B477B"/>
        </w:rPr>
        <w:t xml:space="preserve"> </w:t>
      </w:r>
      <w:r>
        <w:rPr>
          <w:rFonts w:ascii="Arial Unicode MS" w:eastAsia="Arial Unicode MS" w:hAnsi="Arial Unicode MS" w:cs="Arial Unicode MS"/>
          <w:color w:val="2B477B"/>
        </w:rPr>
        <w:t>diez</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permanentes,</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02" w:history="1">
        <w:r>
          <w:rPr>
            <w:rFonts w:ascii="Arial Unicode MS" w:eastAsia="Arial Unicode MS" w:hAnsi="Arial Unicode MS" w:cs="Arial Unicode MS"/>
            <w:color w:val="2B477B"/>
          </w:rPr>
          <w:t>Ley</w:t>
        </w:r>
        <w:r>
          <w:rPr>
            <w:color w:val="2B477B"/>
          </w:rPr>
          <w:t xml:space="preserve"> 21</w:t>
        </w:r>
        <w:r>
          <w:rPr>
            <w:rFonts w:ascii="Arial Unicode MS" w:eastAsia="Arial Unicode MS" w:hAnsi="Arial Unicode MS" w:cs="Arial Unicode MS"/>
            <w:color w:val="2B477B"/>
          </w:rPr>
          <w:t>.</w:t>
        </w:r>
        <w:r>
          <w:rPr>
            <w:color w:val="2B477B"/>
          </w:rPr>
          <w:t>015</w:t>
        </w:r>
      </w:hyperlink>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sus</w:t>
      </w:r>
      <w:hyperlink r:id="rId603" w:history="1">
        <w:r>
          <w:rPr>
            <w:color w:val="2B477B"/>
          </w:rPr>
          <w:t xml:space="preserve"> </w:t>
        </w:r>
        <w:r>
          <w:rPr>
            <w:rFonts w:ascii="Arial Unicode MS" w:eastAsia="Arial Unicode MS" w:hAnsi="Arial Unicode MS" w:cs="Arial Unicode MS"/>
            <w:color w:val="2B477B"/>
          </w:rPr>
          <w:t>Reglamentos</w:t>
        </w:r>
      </w:hyperlink>
      <w:r>
        <w:rPr>
          <w:rFonts w:ascii="Arial Unicode MS" w:eastAsia="Arial Unicode MS" w:hAnsi="Arial Unicode MS" w:cs="Arial Unicode MS"/>
          <w:color w:val="2B477B"/>
        </w:rPr>
        <w:t>;</w:t>
      </w:r>
      <w:r>
        <w:rPr>
          <w:color w:val="2B477B"/>
        </w:rPr>
        <w:t xml:space="preserve"> </w:t>
      </w:r>
      <w:hyperlink r:id="rId604" w:history="1">
        <w:r>
          <w:rPr>
            <w:rFonts w:ascii="Arial Unicode MS" w:eastAsia="Arial Unicode MS" w:hAnsi="Arial Unicode MS" w:cs="Arial Unicode MS"/>
            <w:color w:val="2B477B"/>
          </w:rPr>
          <w:t>Decreto</w:t>
        </w:r>
        <w:r>
          <w:rPr>
            <w:color w:val="2B477B"/>
          </w:rPr>
          <w:t xml:space="preserve"> 65 </w:t>
        </w:r>
      </w:hyperlink>
      <w:r>
        <w:rPr>
          <w:rFonts w:ascii="Arial Unicode MS" w:eastAsia="Arial Unicode MS" w:hAnsi="Arial Unicode MS" w:cs="Arial Unicode MS"/>
          <w:color w:val="2B477B"/>
        </w:rPr>
        <w:t>del</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del</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w:t>
      </w:r>
      <w:r>
        <w:rPr>
          <w:rFonts w:ascii="Arial Unicode MS" w:eastAsia="Arial Unicode MS" w:hAnsi="Arial Unicode MS" w:cs="Arial Unicode MS"/>
          <w:color w:val="2B477B"/>
        </w:rPr>
        <w:t>;</w:t>
      </w:r>
      <w:r>
        <w:rPr>
          <w:color w:val="2B477B"/>
        </w:rPr>
        <w:t xml:space="preserve"> </w:t>
      </w:r>
      <w:hyperlink r:id="rId605"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Trabajo</w:t>
        </w:r>
      </w:hyperlink>
      <w:r>
        <w:rPr>
          <w:color w:val="2B477B"/>
        </w:rPr>
        <w:t xml:space="preserve"> </w:t>
      </w:r>
      <w:r>
        <w:rPr>
          <w:rFonts w:ascii="Arial Unicode MS" w:eastAsia="Arial Unicode MS" w:hAnsi="Arial Unicode MS" w:cs="Arial Unicode MS"/>
          <w:color w:val="2B477B"/>
        </w:rPr>
        <w:t>(</w:t>
      </w:r>
      <w:r>
        <w:rPr>
          <w:color w:val="2B477B"/>
        </w:rPr>
        <w:t xml:space="preserve">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enero</w:t>
      </w:r>
      <w:r>
        <w:rPr>
          <w:color w:val="2B477B"/>
        </w:rPr>
        <w:t xml:space="preserve"> </w:t>
      </w:r>
      <w:r>
        <w:rPr>
          <w:rFonts w:ascii="Arial Unicode MS" w:eastAsia="Arial Unicode MS" w:hAnsi="Arial Unicode MS" w:cs="Arial Unicode MS"/>
          <w:color w:val="2B477B"/>
        </w:rPr>
        <w:t>del</w:t>
      </w:r>
      <w:r>
        <w:rPr>
          <w:color w:val="2B477B"/>
        </w:rPr>
        <w:t xml:space="preserve"> 2003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485</w:t>
      </w:r>
      <w:r>
        <w:rPr>
          <w:rFonts w:ascii="Arial Unicode MS" w:eastAsia="Arial Unicode MS" w:hAnsi="Arial Unicode MS" w:cs="Arial Unicode MS"/>
          <w:color w:val="2B477B"/>
        </w:rPr>
        <w:t>;</w:t>
      </w:r>
      <w:r>
        <w:rPr>
          <w:color w:val="2B477B"/>
        </w:rPr>
        <w:t xml:space="preserve"> </w:t>
      </w:r>
      <w:hyperlink r:id="rId606"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 xml:space="preserve">609 </w:t>
        </w:r>
        <w:r>
          <w:rPr>
            <w:rFonts w:ascii="Arial Unicode MS" w:eastAsia="Arial Unicode MS" w:hAnsi="Arial Unicode MS" w:cs="Arial Unicode MS"/>
            <w:color w:val="2B477B"/>
          </w:rPr>
          <w:t>del</w:t>
        </w:r>
        <w:r>
          <w:rPr>
            <w:color w:val="2B477B"/>
          </w:rPr>
          <w:t xml:space="preserve"> 24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 </w:t>
        </w:r>
        <w:r>
          <w:rPr>
            <w:rFonts w:ascii="Arial Unicode MS" w:eastAsia="Arial Unicode MS" w:hAnsi="Arial Unicode MS" w:cs="Arial Unicode MS"/>
            <w:color w:val="2B477B"/>
          </w:rPr>
          <w:t>y</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nota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última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equipara</w:t>
      </w:r>
      <w:r>
        <w:rPr>
          <w:color w:val="2B477B"/>
        </w:rPr>
        <w:t xml:space="preserve"> </w:t>
      </w:r>
      <w:r>
        <w:rPr>
          <w:rFonts w:ascii="Arial Unicode MS" w:eastAsia="Arial Unicode MS" w:hAnsi="Arial Unicode MS" w:cs="Arial Unicode MS"/>
          <w:color w:val="2B477B"/>
        </w:rPr>
        <w:t>enfermedad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aun</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cantidad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procesos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judicialización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han</w:t>
      </w:r>
      <w:r>
        <w:rPr>
          <w:color w:val="2B477B"/>
        </w:rPr>
        <w:t xml:space="preserve"> </w:t>
      </w:r>
      <w:r>
        <w:rPr>
          <w:rFonts w:ascii="Arial Unicode MS" w:eastAsia="Arial Unicode MS" w:hAnsi="Arial Unicode MS" w:cs="Arial Unicode MS"/>
          <w:color w:val="2B477B"/>
        </w:rPr>
        <w:t>hecho</w:t>
      </w:r>
      <w:r>
        <w:rPr>
          <w:color w:val="2B477B"/>
        </w:rPr>
        <w:t xml:space="preserve"> </w:t>
      </w:r>
      <w:r>
        <w:rPr>
          <w:rFonts w:ascii="Arial Unicode MS" w:eastAsia="Arial Unicode MS" w:hAnsi="Arial Unicode MS" w:cs="Arial Unicode MS"/>
          <w:color w:val="2B477B"/>
        </w:rPr>
        <w:t>bajo</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Ley.</w:t>
      </w:r>
    </w:p>
  </w:footnote>
  <w:footnote w:id="363">
    <w:p w14:paraId="3F336C1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94</w:t>
      </w:r>
      <w:r>
        <w:rPr>
          <w:rFonts w:ascii="Arial Unicode MS" w:eastAsia="Arial Unicode MS" w:hAnsi="Arial Unicode MS" w:cs="Arial Unicode MS"/>
          <w:color w:val="2B477B"/>
        </w:rPr>
        <w:t>-</w:t>
      </w:r>
      <w:r>
        <w:rPr>
          <w:color w:val="2B477B"/>
        </w:rPr>
        <w:t>96</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07" w:history="1">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Estatutaria</w:t>
        </w:r>
        <w:r>
          <w:rPr>
            <w:color w:val="2B477B"/>
          </w:rPr>
          <w:t xml:space="preserve"> 1618 </w:t>
        </w:r>
      </w:hyperlink>
      <w:r>
        <w:rPr>
          <w:rFonts w:ascii="Arial Unicode MS" w:eastAsia="Arial Unicode MS" w:hAnsi="Arial Unicode MS" w:cs="Arial Unicode MS"/>
          <w:color w:val="2B477B"/>
        </w:rPr>
        <w:t>de</w:t>
      </w:r>
      <w:r>
        <w:rPr>
          <w:color w:val="2B477B"/>
        </w:rPr>
        <w:t xml:space="preserve"> 2013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13 </w:t>
      </w:r>
      <w:r>
        <w:rPr>
          <w:rFonts w:ascii="Arial Unicode MS" w:eastAsia="Arial Unicode MS" w:hAnsi="Arial Unicode MS" w:cs="Arial Unicode MS"/>
          <w:color w:val="2B477B"/>
        </w:rPr>
        <w:t>y</w:t>
      </w:r>
      <w:r>
        <w:rPr>
          <w:color w:val="2B477B"/>
        </w:rPr>
        <w:t xml:space="preserve"> </w:t>
      </w:r>
      <w:hyperlink r:id="rId608" w:history="1">
        <w:r>
          <w:rPr>
            <w:rFonts w:ascii="Arial Unicode MS" w:eastAsia="Arial Unicode MS" w:hAnsi="Arial Unicode MS" w:cs="Arial Unicode MS"/>
            <w:color w:val="2B477B"/>
          </w:rPr>
          <w:t>Ley</w:t>
        </w:r>
        <w:r>
          <w:rPr>
            <w:color w:val="2B477B"/>
          </w:rPr>
          <w:t xml:space="preserve"> 361</w:t>
        </w:r>
      </w:hyperlink>
      <w:r>
        <w:rPr>
          <w:color w:val="2B477B"/>
        </w:rPr>
        <w:t xml:space="preserve"> </w:t>
      </w:r>
      <w:r>
        <w:rPr>
          <w:rFonts w:ascii="Arial Unicode MS" w:eastAsia="Arial Unicode MS" w:hAnsi="Arial Unicode MS" w:cs="Arial Unicode MS"/>
          <w:color w:val="2B477B"/>
        </w:rPr>
        <w:t>de</w:t>
      </w:r>
      <w:r>
        <w:rPr>
          <w:color w:val="2B477B"/>
        </w:rPr>
        <w:t xml:space="preserve"> 1997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26</w:t>
      </w:r>
      <w:r>
        <w:rPr>
          <w:rFonts w:ascii="Arial Unicode MS" w:eastAsia="Arial Unicode MS" w:hAnsi="Arial Unicode MS" w:cs="Arial Unicode MS"/>
          <w:color w:val="2B477B"/>
        </w:rPr>
        <w:t>.</w:t>
      </w:r>
      <w:r>
        <w:rPr>
          <w:color w:val="2B477B"/>
        </w:rPr>
        <w:t xml:space="preserve"> </w:t>
      </w:r>
    </w:p>
  </w:footnote>
  <w:footnote w:id="364">
    <w:p w14:paraId="32C71C4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101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72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09" w:history="1">
        <w:r>
          <w:rPr>
            <w:rFonts w:ascii="Arial Unicode MS" w:eastAsia="Arial Unicode MS" w:hAnsi="Arial Unicode MS" w:cs="Arial Unicode MS"/>
            <w:color w:val="2B477B"/>
          </w:rPr>
          <w:t>Ley</w:t>
        </w:r>
        <w:r>
          <w:rPr>
            <w:color w:val="2B477B"/>
          </w:rPr>
          <w:t xml:space="preserve"> 7600 </w:t>
        </w:r>
      </w:hyperlink>
      <w:r>
        <w:rPr>
          <w:rFonts w:ascii="Arial Unicode MS" w:eastAsia="Arial Unicode MS" w:hAnsi="Arial Unicode MS" w:cs="Arial Unicode MS"/>
          <w:color w:val="2B477B"/>
        </w:rPr>
        <w:t>de</w:t>
      </w:r>
      <w:r>
        <w:rPr>
          <w:color w:val="2B477B"/>
        </w:rPr>
        <w:t xml:space="preserve"> 1996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23 </w:t>
      </w:r>
      <w:r>
        <w:rPr>
          <w:rFonts w:ascii="Arial Unicode MS" w:eastAsia="Arial Unicode MS" w:hAnsi="Arial Unicode MS" w:cs="Arial Unicode MS"/>
          <w:color w:val="2B477B"/>
        </w:rPr>
        <w:t>y</w:t>
      </w:r>
      <w:r>
        <w:rPr>
          <w:color w:val="2B477B"/>
        </w:rPr>
        <w:t xml:space="preserve"> 24</w:t>
      </w:r>
      <w:r>
        <w:rPr>
          <w:rFonts w:ascii="Arial Unicode MS" w:eastAsia="Arial Unicode MS" w:hAnsi="Arial Unicode MS" w:cs="Arial Unicode MS"/>
          <w:color w:val="2B477B"/>
        </w:rPr>
        <w:t>,</w:t>
      </w:r>
      <w:r>
        <w:rPr>
          <w:color w:val="2B477B"/>
        </w:rPr>
        <w:t xml:space="preserve"> 25</w:t>
      </w:r>
      <w:r>
        <w:rPr>
          <w:rFonts w:ascii="Arial Unicode MS" w:eastAsia="Arial Unicode MS" w:hAnsi="Arial Unicode MS" w:cs="Arial Unicode MS"/>
          <w:color w:val="2B477B"/>
        </w:rPr>
        <w:t>,</w:t>
      </w:r>
      <w:r>
        <w:rPr>
          <w:color w:val="2B477B"/>
        </w:rPr>
        <w:t xml:space="preserve"> 27 </w:t>
      </w:r>
      <w:r>
        <w:rPr>
          <w:rFonts w:ascii="Arial Unicode MS" w:eastAsia="Arial Unicode MS" w:hAnsi="Arial Unicode MS" w:cs="Arial Unicode MS"/>
          <w:color w:val="2B477B"/>
        </w:rPr>
        <w:t>y</w:t>
      </w:r>
      <w:r>
        <w:rPr>
          <w:color w:val="2B477B"/>
        </w:rPr>
        <w:t xml:space="preserve"> 30</w:t>
      </w:r>
      <w:r>
        <w:rPr>
          <w:rFonts w:ascii="Arial Unicode MS" w:eastAsia="Arial Unicode MS" w:hAnsi="Arial Unicode MS" w:cs="Arial Unicode MS"/>
          <w:color w:val="2B477B"/>
        </w:rPr>
        <w:t>;</w:t>
      </w:r>
      <w:r>
        <w:rPr>
          <w:color w:val="2B477B"/>
        </w:rPr>
        <w:t xml:space="preserve"> </w:t>
      </w:r>
      <w:hyperlink r:id="rId610"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w:t>
        </w:r>
        <w:r>
          <w:rPr>
            <w:color w:val="2B477B"/>
          </w:rPr>
          <w:t xml:space="preserve"> 8862 </w:t>
        </w:r>
      </w:hyperlink>
      <w:r>
        <w:rPr>
          <w:rFonts w:ascii="Arial Unicode MS" w:eastAsia="Arial Unicode MS" w:hAnsi="Arial Unicode MS" w:cs="Arial Unicode MS"/>
          <w:color w:val="2B477B"/>
        </w:rPr>
        <w:t>del</w:t>
      </w:r>
      <w:r>
        <w:rPr>
          <w:color w:val="2B477B"/>
        </w:rPr>
        <w:t xml:space="preserve"> 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Ley</w:t>
      </w:r>
      <w:r>
        <w:rPr>
          <w:color w:val="2B477B"/>
        </w:rPr>
        <w:t xml:space="preserve"> </w:t>
      </w:r>
      <w:hyperlink r:id="rId611" w:history="1">
        <w:r>
          <w:rPr>
            <w:rFonts w:ascii="Arial Unicode MS" w:eastAsia="Arial Unicode MS" w:hAnsi="Arial Unicode MS" w:cs="Arial Unicode MS"/>
            <w:color w:val="2B477B"/>
          </w:rPr>
          <w:t>N.º</w:t>
        </w:r>
        <w:r>
          <w:rPr>
            <w:color w:val="2B477B"/>
          </w:rPr>
          <w:t xml:space="preserve"> 36462</w:t>
        </w:r>
        <w:r>
          <w:rPr>
            <w:rFonts w:ascii="Arial Unicode MS" w:eastAsia="Arial Unicode MS" w:hAnsi="Arial Unicode MS" w:cs="Arial Unicode MS"/>
            <w:color w:val="2B477B"/>
          </w:rPr>
          <w:t>-MP-MTSS</w:t>
        </w:r>
      </w:hyperlink>
      <w:r>
        <w:rPr>
          <w:color w:val="2B477B"/>
        </w:rPr>
        <w:t xml:space="preserve"> </w:t>
      </w:r>
      <w:r>
        <w:rPr>
          <w:rFonts w:ascii="Arial Unicode MS" w:eastAsia="Arial Unicode MS" w:hAnsi="Arial Unicode MS" w:cs="Arial Unicode MS"/>
          <w:color w:val="2B477B"/>
        </w:rPr>
        <w:t>del</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dicta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Reglamento.</w:t>
      </w:r>
      <w:r>
        <w:rPr>
          <w:color w:val="2B477B"/>
        </w:rPr>
        <w:t xml:space="preserve"> </w:t>
      </w:r>
    </w:p>
  </w:footnote>
  <w:footnote w:id="365">
    <w:p w14:paraId="1B93B84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123</w:t>
      </w:r>
      <w:r>
        <w:rPr>
          <w:rFonts w:ascii="Arial Unicode MS" w:eastAsia="Arial Unicode MS" w:hAnsi="Arial Unicode MS" w:cs="Arial Unicode MS"/>
          <w:color w:val="2B477B"/>
        </w:rPr>
        <w:t>-</w:t>
      </w:r>
      <w:r>
        <w:rPr>
          <w:color w:val="2B477B"/>
        </w:rPr>
        <w:t>128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12" w:history="1">
        <w:r>
          <w:rPr>
            <w:rFonts w:ascii="Arial Unicode MS" w:eastAsia="Arial Unicode MS" w:hAnsi="Arial Unicode MS" w:cs="Arial Unicode MS"/>
            <w:color w:val="2B477B"/>
          </w:rPr>
          <w:t>Constitución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hyperlink>
      <w:r>
        <w:rPr>
          <w:color w:val="2B477B"/>
        </w:rPr>
        <w:t xml:space="preserve"> </w:t>
      </w:r>
      <w:r>
        <w:rPr>
          <w:rFonts w:ascii="Arial Unicode MS" w:eastAsia="Arial Unicode MS" w:hAnsi="Arial Unicode MS" w:cs="Arial Unicode MS"/>
          <w:color w:val="2B477B"/>
        </w:rPr>
        <w:t>de</w:t>
      </w:r>
      <w:r>
        <w:rPr>
          <w:color w:val="2B477B"/>
        </w:rPr>
        <w:t xml:space="preserve"> 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11 </w:t>
      </w:r>
      <w:r>
        <w:rPr>
          <w:rFonts w:ascii="Arial Unicode MS" w:eastAsia="Arial Unicode MS" w:hAnsi="Arial Unicode MS" w:cs="Arial Unicode MS"/>
          <w:color w:val="2B477B"/>
        </w:rPr>
        <w:t>núm.</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48 </w:t>
      </w:r>
      <w:r>
        <w:rPr>
          <w:rFonts w:ascii="Arial Unicode MS" w:eastAsia="Arial Unicode MS" w:hAnsi="Arial Unicode MS" w:cs="Arial Unicode MS"/>
          <w:color w:val="2B477B"/>
        </w:rPr>
        <w:t>núm.</w:t>
      </w:r>
      <w:r>
        <w:rPr>
          <w:color w:val="2B477B"/>
        </w:rPr>
        <w:t xml:space="preserve"> 7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w:t>
      </w:r>
      <w:r>
        <w:rPr>
          <w:color w:val="2B477B"/>
        </w:rPr>
        <w:t xml:space="preserve"> 341</w:t>
      </w:r>
      <w:r>
        <w:rPr>
          <w:rFonts w:ascii="Arial Unicode MS" w:eastAsia="Arial Unicode MS" w:hAnsi="Arial Unicode MS" w:cs="Arial Unicode MS"/>
          <w:color w:val="2B477B"/>
        </w:rPr>
        <w:t>;</w:t>
      </w:r>
      <w:r>
        <w:rPr>
          <w:color w:val="2B477B"/>
        </w:rPr>
        <w:t xml:space="preserve"> </w:t>
      </w:r>
      <w:hyperlink r:id="rId61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hyperlink>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 </w:t>
      </w:r>
      <w:r>
        <w:rPr>
          <w:rFonts w:ascii="Arial Unicode MS" w:eastAsia="Arial Unicode MS" w:hAnsi="Arial Unicode MS" w:cs="Arial Unicode MS"/>
          <w:color w:val="2B477B"/>
        </w:rPr>
        <w:t>núm.</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3 </w:t>
      </w:r>
      <w:r>
        <w:rPr>
          <w:rFonts w:ascii="Arial Unicode MS" w:eastAsia="Arial Unicode MS" w:hAnsi="Arial Unicode MS" w:cs="Arial Unicode MS"/>
          <w:color w:val="2B477B"/>
        </w:rPr>
        <w:t>y</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arts.</w:t>
      </w:r>
      <w:r>
        <w:rPr>
          <w:color w:val="2B477B"/>
        </w:rPr>
        <w:t xml:space="preserve"> 45</w:t>
      </w:r>
      <w:r>
        <w:rPr>
          <w:rFonts w:ascii="Arial Unicode MS" w:eastAsia="Arial Unicode MS" w:hAnsi="Arial Unicode MS" w:cs="Arial Unicode MS"/>
          <w:color w:val="2B477B"/>
        </w:rPr>
        <w:t>,</w:t>
      </w:r>
      <w:r>
        <w:rPr>
          <w:color w:val="2B477B"/>
        </w:rPr>
        <w:t xml:space="preserve"> 47</w:t>
      </w:r>
      <w:r>
        <w:rPr>
          <w:rFonts w:ascii="Arial Unicode MS" w:eastAsia="Arial Unicode MS" w:hAnsi="Arial Unicode MS" w:cs="Arial Unicode MS"/>
          <w:color w:val="2B477B"/>
        </w:rPr>
        <w:t>,</w:t>
      </w:r>
      <w:r>
        <w:rPr>
          <w:color w:val="2B477B"/>
        </w:rPr>
        <w:t xml:space="preserve"> 51 </w:t>
      </w:r>
      <w:r>
        <w:rPr>
          <w:rFonts w:ascii="Arial Unicode MS" w:eastAsia="Arial Unicode MS" w:hAnsi="Arial Unicode MS" w:cs="Arial Unicode MS"/>
          <w:color w:val="2B477B"/>
        </w:rPr>
        <w:t>y</w:t>
      </w:r>
      <w:r>
        <w:rPr>
          <w:color w:val="2B477B"/>
        </w:rPr>
        <w:t xml:space="preserve"> 116</w:t>
      </w:r>
      <w:r>
        <w:rPr>
          <w:rFonts w:ascii="Arial Unicode MS" w:eastAsia="Arial Unicode MS" w:hAnsi="Arial Unicode MS" w:cs="Arial Unicode MS"/>
          <w:color w:val="2B477B"/>
        </w:rPr>
        <w:t>.</w:t>
      </w:r>
      <w:r>
        <w:rPr>
          <w:color w:val="2B477B"/>
        </w:rPr>
        <w:t xml:space="preserve"> </w:t>
      </w:r>
    </w:p>
  </w:footnote>
  <w:footnote w:id="366">
    <w:p w14:paraId="0D11BE1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93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la</w:t>
      </w:r>
      <w:r>
        <w:rPr>
          <w:color w:val="2B477B"/>
        </w:rPr>
        <w:t xml:space="preserve"> </w:t>
      </w:r>
      <w:hyperlink r:id="rId614"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hyperlink>
      <w:r>
        <w:rPr>
          <w:color w:val="2B477B"/>
        </w:rPr>
        <w:t xml:space="preserve"> </w:t>
      </w:r>
      <w:r>
        <w:rPr>
          <w:rFonts w:ascii="Arial Unicode MS" w:eastAsia="Arial Unicode MS" w:hAnsi="Arial Unicode MS" w:cs="Arial Unicode MS"/>
          <w:color w:val="2B477B"/>
        </w:rPr>
        <w:t>del</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63</w:t>
      </w:r>
      <w:r>
        <w:rPr>
          <w:rFonts w:ascii="Arial Unicode MS" w:eastAsia="Arial Unicode MS" w:hAnsi="Arial Unicode MS" w:cs="Arial Unicode MS"/>
          <w:color w:val="2B477B"/>
        </w:rPr>
        <w:t>,</w:t>
      </w:r>
      <w:r>
        <w:rPr>
          <w:color w:val="2B477B"/>
        </w:rPr>
        <w:t xml:space="preserve"> 66 </w:t>
      </w:r>
      <w:r>
        <w:rPr>
          <w:rFonts w:ascii="Arial Unicode MS" w:eastAsia="Arial Unicode MS" w:hAnsi="Arial Unicode MS" w:cs="Arial Unicode MS"/>
          <w:color w:val="2B477B"/>
        </w:rPr>
        <w:t>-</w:t>
      </w:r>
      <w:r>
        <w:rPr>
          <w:color w:val="2B477B"/>
        </w:rPr>
        <w:t>70</w:t>
      </w:r>
      <w:r>
        <w:rPr>
          <w:rFonts w:ascii="Arial Unicode MS" w:eastAsia="Arial Unicode MS" w:hAnsi="Arial Unicode MS" w:cs="Arial Unicode MS"/>
          <w:color w:val="2B477B"/>
        </w:rPr>
        <w:t>.</w:t>
      </w:r>
      <w:r>
        <w:rPr>
          <w:color w:val="2B477B"/>
        </w:rPr>
        <w:t xml:space="preserve"> </w:t>
      </w:r>
    </w:p>
  </w:footnote>
  <w:footnote w:id="367">
    <w:p w14:paraId="7CB6053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137</w:t>
      </w:r>
      <w:r>
        <w:rPr>
          <w:rFonts w:ascii="Arial Unicode MS" w:eastAsia="Arial Unicode MS" w:hAnsi="Arial Unicode MS" w:cs="Arial Unicode MS"/>
          <w:color w:val="2B477B"/>
        </w:rPr>
        <w:t>-</w:t>
      </w:r>
      <w:r>
        <w:rPr>
          <w:color w:val="2B477B"/>
        </w:rPr>
        <w:t>139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15" w:history="1">
        <w:r>
          <w:rPr>
            <w:rStyle w:val="Hyperlink0"/>
            <w:rFonts w:ascii="Arial Unicode MS" w:eastAsia="Arial Unicode MS" w:hAnsi="Arial Unicode MS" w:cs="Arial Unicode MS"/>
          </w:rPr>
          <w:t>Ley</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Atención</w:t>
        </w:r>
        <w:r>
          <w:rPr>
            <w:rStyle w:val="Hyperlink0"/>
          </w:rPr>
          <w:t xml:space="preserve"> </w:t>
        </w:r>
        <w:r>
          <w:rPr>
            <w:rStyle w:val="Hyperlink0"/>
            <w:rFonts w:ascii="Arial Unicode MS" w:eastAsia="Arial Unicode MS" w:hAnsi="Arial Unicode MS" w:cs="Arial Unicode MS"/>
          </w:rPr>
          <w:t>a</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Decreto</w:t>
      </w:r>
      <w:r>
        <w:rPr>
          <w:color w:val="2B477B"/>
        </w:rPr>
        <w:t xml:space="preserve"> 135</w:t>
      </w:r>
      <w:hyperlink r:id="rId616" w:history="1">
        <w:r>
          <w:rPr>
            <w:rFonts w:ascii="Arial Unicode MS" w:eastAsia="Arial Unicode MS" w:hAnsi="Arial Unicode MS" w:cs="Arial Unicode MS"/>
            <w:color w:val="2B477B"/>
          </w:rPr>
          <w:t>-</w:t>
        </w:r>
      </w:hyperlink>
      <w:hyperlink r:id="rId617" w:history="1">
        <w:r>
          <w:rPr>
            <w:color w:val="2B477B"/>
          </w:rPr>
          <w:t>96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34 </w:t>
      </w:r>
      <w:r>
        <w:rPr>
          <w:rFonts w:ascii="Arial Unicode MS" w:eastAsia="Arial Unicode MS" w:hAnsi="Arial Unicode MS" w:cs="Arial Unicode MS"/>
          <w:color w:val="2B477B"/>
        </w:rPr>
        <w:t>a</w:t>
      </w:r>
      <w:r>
        <w:rPr>
          <w:color w:val="2B477B"/>
        </w:rPr>
        <w:t xml:space="preserve"> 43</w:t>
      </w:r>
      <w:r>
        <w:rPr>
          <w:rFonts w:ascii="Arial Unicode MS" w:eastAsia="Arial Unicode MS" w:hAnsi="Arial Unicode MS" w:cs="Arial Unicode MS"/>
          <w:color w:val="2B477B"/>
        </w:rPr>
        <w:t>;</w:t>
      </w:r>
      <w:r>
        <w:rPr>
          <w:color w:val="2B477B"/>
        </w:rPr>
        <w:t xml:space="preserve"> </w:t>
      </w:r>
      <w:hyperlink r:id="rId618" w:history="1">
        <w:r>
          <w:rPr>
            <w:rStyle w:val="Hyperlink0"/>
            <w:rFonts w:ascii="Arial Unicode MS" w:eastAsia="Arial Unicode MS" w:hAnsi="Arial Unicode MS" w:cs="Arial Unicode MS"/>
          </w:rPr>
          <w:t>https:</w:t>
        </w:r>
        <w:r>
          <w:rPr>
            <w:rStyle w:val="Hyperlink0"/>
          </w:rPr>
          <w:t>//</w:t>
        </w:r>
        <w:r>
          <w:rPr>
            <w:rStyle w:val="Hyperlink0"/>
            <w:rFonts w:ascii="Arial Unicode MS" w:eastAsia="Arial Unicode MS" w:hAnsi="Arial Unicode MS" w:cs="Arial Unicode MS"/>
          </w:rPr>
          <w:t>www.ilo.org</w:t>
        </w:r>
        <w:r>
          <w:rPr>
            <w:rStyle w:val="Hyperlink0"/>
          </w:rPr>
          <w:t>/</w:t>
        </w:r>
        <w:r>
          <w:rPr>
            <w:rStyle w:val="Hyperlink0"/>
            <w:rFonts w:ascii="Arial Unicode MS" w:eastAsia="Arial Unicode MS" w:hAnsi="Arial Unicode MS" w:cs="Arial Unicode MS"/>
          </w:rPr>
          <w:t>dyn</w:t>
        </w:r>
        <w:r>
          <w:rPr>
            <w:rStyle w:val="Hyperlink0"/>
          </w:rPr>
          <w:t>/</w:t>
        </w:r>
        <w:r>
          <w:rPr>
            <w:rStyle w:val="Hyperlink0"/>
            <w:rFonts w:ascii="Arial Unicode MS" w:eastAsia="Arial Unicode MS" w:hAnsi="Arial Unicode MS" w:cs="Arial Unicode MS"/>
          </w:rPr>
          <w:t>natlex</w:t>
        </w:r>
        <w:r>
          <w:rPr>
            <w:rStyle w:val="Hyperlink0"/>
          </w:rPr>
          <w:t>/</w:t>
        </w:r>
        <w:r>
          <w:rPr>
            <w:rStyle w:val="Hyperlink0"/>
            <w:rFonts w:ascii="Arial Unicode MS" w:eastAsia="Arial Unicode MS" w:hAnsi="Arial Unicode MS" w:cs="Arial Unicode MS"/>
          </w:rPr>
          <w:t>docs</w:t>
        </w:r>
        <w:r>
          <w:rPr>
            <w:rStyle w:val="Hyperlink0"/>
          </w:rPr>
          <w:t>/</w:t>
        </w:r>
        <w:r>
          <w:rPr>
            <w:rStyle w:val="Hyperlink0"/>
            <w:rFonts w:ascii="Arial Unicode MS" w:eastAsia="Arial Unicode MS" w:hAnsi="Arial Unicode MS" w:cs="Arial Unicode MS"/>
          </w:rPr>
          <w:t>ELECTRONIC</w:t>
        </w:r>
        <w:r>
          <w:rPr>
            <w:rStyle w:val="Hyperlink0"/>
          </w:rPr>
          <w:t>/86697/98271/</w:t>
        </w:r>
        <w:r>
          <w:rPr>
            <w:rStyle w:val="Hyperlink0"/>
            <w:rFonts w:ascii="Arial Unicode MS" w:eastAsia="Arial Unicode MS" w:hAnsi="Arial Unicode MS" w:cs="Arial Unicode MS"/>
          </w:rPr>
          <w:t>F</w:t>
        </w:r>
        <w:r>
          <w:rPr>
            <w:rStyle w:val="Hyperlink0"/>
          </w:rPr>
          <w:t>1787421735/</w:t>
        </w:r>
        <w:r>
          <w:rPr>
            <w:rStyle w:val="Hyperlink0"/>
            <w:rFonts w:ascii="Arial Unicode MS" w:eastAsia="Arial Unicode MS" w:hAnsi="Arial Unicode MS" w:cs="Arial Unicode MS"/>
          </w:rPr>
          <w:t>GTM</w:t>
        </w:r>
        <w:r>
          <w:rPr>
            <w:rStyle w:val="Hyperlink0"/>
          </w:rPr>
          <w:t>86697</w:t>
        </w:r>
        <w:r>
          <w:rPr>
            <w:rStyle w:val="Hyperlink0"/>
            <w:rFonts w:ascii="Arial Unicode MS" w:eastAsia="Arial Unicode MS" w:hAnsi="Arial Unicode MS" w:cs="Arial Unicode MS"/>
          </w:rPr>
          <w:t>.pdf</w:t>
        </w:r>
      </w:hyperlink>
      <w:r>
        <w:rPr>
          <w:rFonts w:ascii="Arial Unicode MS" w:eastAsia="Arial Unicode MS" w:hAnsi="Arial Unicode MS" w:cs="Arial Unicode MS"/>
          <w:color w:val="2B477B"/>
        </w:rPr>
        <w:t>.</w:t>
      </w:r>
      <w:r>
        <w:rPr>
          <w:color w:val="2B477B"/>
        </w:rPr>
        <w:t xml:space="preserve"> </w:t>
      </w:r>
    </w:p>
  </w:footnote>
  <w:footnote w:id="368">
    <w:p w14:paraId="6DF3FEA7" w14:textId="77777777" w:rsidR="001A105D" w:rsidRDefault="00000000">
      <w:pPr>
        <w:pStyle w:val="Body"/>
        <w:jc w:val="left"/>
      </w:pPr>
      <w:r>
        <w:rPr>
          <w:rStyle w:val="None"/>
          <w:color w:val="2B477B"/>
          <w:vertAlign w:val="superscript"/>
        </w:rPr>
        <w:footnoteRef/>
      </w:r>
      <w:r>
        <w:rPr>
          <w:color w:val="2B477B"/>
        </w:rPr>
        <w:t xml:space="preserve"> </w:t>
      </w:r>
      <w:hyperlink r:id="rId619" w:history="1">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Act</w:t>
        </w:r>
      </w:hyperlink>
      <w:hyperlink r:id="rId620" w:history="1">
        <w:r>
          <w:rPr>
            <w:color w:val="2B477B"/>
          </w:rPr>
          <w:t xml:space="preserve"> </w:t>
        </w:r>
        <w:r>
          <w:rPr>
            <w:rFonts w:ascii="Arial Unicode MS" w:eastAsia="Arial Unicode MS" w:hAnsi="Arial Unicode MS" w:cs="Arial Unicode MS"/>
            <w:color w:val="2B477B"/>
          </w:rPr>
          <w:t>de</w:t>
        </w:r>
        <w:r>
          <w:rPr>
            <w:color w:val="2B477B"/>
          </w:rPr>
          <w:t xml:space="preserve"> 2010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8</w:t>
      </w:r>
      <w:r>
        <w:rPr>
          <w:rFonts w:ascii="Arial Unicode MS" w:eastAsia="Arial Unicode MS" w:hAnsi="Arial Unicode MS" w:cs="Arial Unicode MS"/>
          <w:color w:val="2B477B"/>
        </w:rPr>
        <w:t>;</w:t>
      </w:r>
      <w:r>
        <w:rPr>
          <w:color w:val="2B477B"/>
        </w:rPr>
        <w:t xml:space="preserve"> </w:t>
      </w:r>
      <w:hyperlink r:id="rId621" w:history="1">
        <w:r>
          <w:rPr>
            <w:rFonts w:ascii="Arial Unicode MS" w:eastAsia="Arial Unicode MS" w:hAnsi="Arial Unicode MS" w:cs="Arial Unicode MS"/>
            <w:color w:val="2B477B"/>
          </w:rPr>
          <w:t>Prevention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Discrimination</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1997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 </w:t>
      </w:r>
      <w:r>
        <w:rPr>
          <w:rFonts w:ascii="Arial Unicode MS" w:eastAsia="Arial Unicode MS" w:hAnsi="Arial Unicode MS" w:cs="Arial Unicode MS"/>
          <w:color w:val="2B477B"/>
        </w:rPr>
        <w:t>a</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622" w:history="1">
        <w:r>
          <w:rPr>
            <w:rFonts w:ascii="Arial Unicode MS" w:eastAsia="Arial Unicode MS" w:hAnsi="Arial Unicode MS" w:cs="Arial Unicode MS"/>
            <w:color w:val="2B477B"/>
          </w:rPr>
          <w:t>Termination</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Employment</w:t>
        </w:r>
        <w:r>
          <w:rPr>
            <w:color w:val="2B477B"/>
          </w:rPr>
          <w:t xml:space="preserve"> </w:t>
        </w:r>
        <w:r>
          <w:rPr>
            <w:rFonts w:ascii="Arial Unicode MS" w:eastAsia="Arial Unicode MS" w:hAnsi="Arial Unicode MS" w:cs="Arial Unicode MS"/>
            <w:color w:val="2B477B"/>
          </w:rPr>
          <w:t>and</w:t>
        </w:r>
        <w:r>
          <w:rPr>
            <w:color w:val="2B477B"/>
          </w:rPr>
          <w:t xml:space="preserve"> </w:t>
        </w:r>
        <w:r>
          <w:rPr>
            <w:rFonts w:ascii="Arial Unicode MS" w:eastAsia="Arial Unicode MS" w:hAnsi="Arial Unicode MS" w:cs="Arial Unicode MS"/>
            <w:color w:val="2B477B"/>
          </w:rPr>
          <w:t>Severance</w:t>
        </w:r>
        <w:r>
          <w:rPr>
            <w:color w:val="2B477B"/>
          </w:rPr>
          <w:t xml:space="preserve"> </w:t>
        </w:r>
        <w:r>
          <w:rPr>
            <w:rFonts w:ascii="Arial Unicode MS" w:eastAsia="Arial Unicode MS" w:hAnsi="Arial Unicode MS" w:cs="Arial Unicode MS"/>
            <w:color w:val="2B477B"/>
          </w:rPr>
          <w:t>Pay</w:t>
        </w:r>
        <w:r>
          <w:rPr>
            <w:color w:val="2B477B"/>
          </w:rPr>
          <w:t xml:space="preserve"> </w:t>
        </w:r>
        <w:r>
          <w:rPr>
            <w:rFonts w:ascii="Arial Unicode MS" w:eastAsia="Arial Unicode MS" w:hAnsi="Arial Unicode MS" w:cs="Arial Unicode MS"/>
            <w:color w:val="2B477B"/>
          </w:rPr>
          <w:t>Act</w:t>
        </w:r>
      </w:hyperlink>
      <w:hyperlink r:id="rId623" w:history="1">
        <w:r>
          <w:rPr>
            <w:color w:val="2B477B"/>
          </w:rPr>
          <w:t xml:space="preserve"> </w:t>
        </w:r>
      </w:hyperlink>
      <w:r>
        <w:rPr>
          <w:rFonts w:ascii="Arial Unicode MS" w:eastAsia="Arial Unicode MS" w:hAnsi="Arial Unicode MS" w:cs="Arial Unicode MS"/>
          <w:color w:val="2B477B"/>
        </w:rPr>
        <w:t>de</w:t>
      </w:r>
      <w:r>
        <w:rPr>
          <w:color w:val="2B477B"/>
        </w:rPr>
        <w:t xml:space="preserve"> 1997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w:t>
      </w:r>
      <w:r>
        <w:rPr>
          <w:rFonts w:ascii="Arial Unicode MS" w:eastAsia="Arial Unicode MS" w:hAnsi="Arial Unicode MS" w:cs="Arial Unicode MS"/>
          <w:color w:val="2B477B"/>
        </w:rPr>
        <w:t>.</w:t>
      </w:r>
      <w:r>
        <w:rPr>
          <w:color w:val="2B477B"/>
        </w:rPr>
        <w:t xml:space="preserve"> </w:t>
      </w:r>
    </w:p>
  </w:footnote>
  <w:footnote w:id="369">
    <w:p w14:paraId="447D327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146</w:t>
      </w:r>
      <w:r>
        <w:rPr>
          <w:rFonts w:ascii="Arial Unicode MS" w:eastAsia="Arial Unicode MS" w:hAnsi="Arial Unicode MS" w:cs="Arial Unicode MS"/>
          <w:color w:val="2B477B"/>
        </w:rPr>
        <w:t>-</w:t>
      </w:r>
      <w:r>
        <w:rPr>
          <w:color w:val="2B477B"/>
        </w:rPr>
        <w:t>148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24" w:history="1">
        <w:r>
          <w:rPr>
            <w:rFonts w:ascii="Arial Unicode MS" w:eastAsia="Arial Unicode MS" w:hAnsi="Arial Unicode MS" w:cs="Arial Unicode MS"/>
            <w:color w:val="2B477B"/>
          </w:rPr>
          <w:t>Decreto</w:t>
        </w:r>
        <w:r>
          <w:rPr>
            <w:color w:val="2B477B"/>
          </w:rPr>
          <w:t xml:space="preserve"> 160</w:t>
        </w:r>
        <w:r>
          <w:rPr>
            <w:rFonts w:ascii="Arial Unicode MS" w:eastAsia="Arial Unicode MS" w:hAnsi="Arial Unicode MS" w:cs="Arial Unicode MS"/>
            <w:color w:val="2B477B"/>
          </w:rPr>
          <w:t>-</w:t>
        </w:r>
        <w:r>
          <w:rPr>
            <w:color w:val="2B477B"/>
          </w:rPr>
          <w:t>2005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Integral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2005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31</w:t>
      </w:r>
      <w:r>
        <w:rPr>
          <w:rFonts w:ascii="Arial Unicode MS" w:eastAsia="Arial Unicode MS" w:hAnsi="Arial Unicode MS" w:cs="Arial Unicode MS"/>
          <w:color w:val="2B477B"/>
        </w:rPr>
        <w:t>-</w:t>
      </w:r>
      <w:r>
        <w:rPr>
          <w:color w:val="2B477B"/>
        </w:rPr>
        <w:t>36</w:t>
      </w:r>
      <w:r>
        <w:rPr>
          <w:rFonts w:ascii="Arial Unicode MS" w:eastAsia="Arial Unicode MS" w:hAnsi="Arial Unicode MS" w:cs="Arial Unicode MS"/>
          <w:color w:val="2B477B"/>
        </w:rPr>
        <w:t>.</w:t>
      </w:r>
      <w:r>
        <w:rPr>
          <w:color w:val="2B477B"/>
        </w:rPr>
        <w:t xml:space="preserve"> </w:t>
      </w:r>
    </w:p>
  </w:footnote>
  <w:footnote w:id="370">
    <w:p w14:paraId="1207064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164</w:t>
      </w:r>
      <w:r>
        <w:rPr>
          <w:rFonts w:ascii="Arial Unicode MS" w:eastAsia="Arial Unicode MS" w:hAnsi="Arial Unicode MS" w:cs="Arial Unicode MS"/>
          <w:color w:val="2B477B"/>
        </w:rPr>
        <w:t>-</w:t>
      </w:r>
      <w:r>
        <w:rPr>
          <w:color w:val="2B477B"/>
        </w:rPr>
        <w:t xml:space="preserve">167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130</w:t>
      </w:r>
      <w:r>
        <w:rPr>
          <w:rFonts w:ascii="Arial Unicode MS" w:eastAsia="Arial Unicode MS" w:hAnsi="Arial Unicode MS" w:cs="Arial Unicode MS"/>
          <w:color w:val="2B477B"/>
        </w:rPr>
        <w:t>-</w:t>
      </w:r>
      <w:r>
        <w:rPr>
          <w:color w:val="2B477B"/>
        </w:rPr>
        <w:t>132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25"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626"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Trabajo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 </w:t>
      </w:r>
      <w:r>
        <w:rPr>
          <w:rFonts w:ascii="Arial Unicode MS" w:eastAsia="Arial Unicode MS" w:hAnsi="Arial Unicode MS" w:cs="Arial Unicode MS"/>
          <w:color w:val="2B477B"/>
        </w:rPr>
        <w:t>y</w:t>
      </w:r>
      <w:r>
        <w:rPr>
          <w:color w:val="2B477B"/>
        </w:rPr>
        <w:t xml:space="preserve"> 13</w:t>
      </w:r>
      <w:r>
        <w:rPr>
          <w:rFonts w:ascii="Arial Unicode MS" w:eastAsia="Arial Unicode MS" w:hAnsi="Arial Unicode MS" w:cs="Arial Unicode MS"/>
          <w:color w:val="2B477B"/>
        </w:rPr>
        <w:t>;</w:t>
      </w:r>
      <w:r>
        <w:rPr>
          <w:color w:val="2B477B"/>
        </w:rPr>
        <w:t xml:space="preserve"> </w:t>
      </w:r>
      <w:hyperlink r:id="rId627" w:history="1">
        <w:r>
          <w:rPr>
            <w:rFonts w:ascii="Arial Unicode MS" w:eastAsia="Arial Unicode MS" w:hAnsi="Arial Unicode MS" w:cs="Arial Unicode MS"/>
            <w:color w:val="2B477B"/>
          </w:rPr>
          <w:t>Norma</w:t>
        </w:r>
        <w:r>
          <w:rPr>
            <w:color w:val="2B477B"/>
          </w:rPr>
          <w:t xml:space="preserve"> </w:t>
        </w:r>
      </w:hyperlink>
      <w:hyperlink r:id="rId628" w:history="1">
        <w:r>
          <w:rPr>
            <w:rFonts w:ascii="Arial Unicode MS" w:eastAsia="Arial Unicode MS" w:hAnsi="Arial Unicode MS" w:cs="Arial Unicode MS"/>
            <w:color w:val="2B477B"/>
          </w:rPr>
          <w:t>NOM-</w:t>
        </w:r>
        <w:r>
          <w:rPr>
            <w:color w:val="2B477B"/>
          </w:rPr>
          <w:t>034</w:t>
        </w:r>
        <w:r>
          <w:rPr>
            <w:rFonts w:ascii="Arial Unicode MS" w:eastAsia="Arial Unicode MS" w:hAnsi="Arial Unicode MS" w:cs="Arial Unicode MS"/>
            <w:color w:val="2B477B"/>
          </w:rPr>
          <w:t>-STPS-</w:t>
        </w:r>
      </w:hyperlink>
      <w:r>
        <w:rPr>
          <w:color w:val="2B477B"/>
        </w:rPr>
        <w:t>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seguridad</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actividades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629" w:history="1">
        <w:r>
          <w:rPr>
            <w:rFonts w:ascii="Arial Unicode MS" w:eastAsia="Arial Unicode MS" w:hAnsi="Arial Unicode MS" w:cs="Arial Unicode MS"/>
            <w:color w:val="2B477B"/>
          </w:rPr>
          <w:t>Norma</w:t>
        </w:r>
        <w:r>
          <w:rPr>
            <w:color w:val="2B477B"/>
          </w:rPr>
          <w:t xml:space="preserve"> </w:t>
        </w:r>
        <w:r>
          <w:rPr>
            <w:rFonts w:ascii="Arial Unicode MS" w:eastAsia="Arial Unicode MS" w:hAnsi="Arial Unicode MS" w:cs="Arial Unicode MS"/>
            <w:color w:val="2B477B"/>
          </w:rPr>
          <w:t>NMX-R-</w:t>
        </w:r>
        <w:r>
          <w:rPr>
            <w:color w:val="2B477B"/>
          </w:rPr>
          <w:t>025</w:t>
        </w:r>
        <w:r>
          <w:rPr>
            <w:rFonts w:ascii="Arial Unicode MS" w:eastAsia="Arial Unicode MS" w:hAnsi="Arial Unicode MS" w:cs="Arial Unicode MS"/>
            <w:color w:val="2B477B"/>
          </w:rPr>
          <w:t>-SCFI-</w:t>
        </w:r>
        <w:r>
          <w:rPr>
            <w:color w:val="2B477B"/>
          </w:rPr>
          <w:t>2015</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Laboral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Discriminación,</w:t>
      </w:r>
      <w:r>
        <w:rPr>
          <w:color w:val="2B477B"/>
        </w:rPr>
        <w:t xml:space="preserve"> 2015</w:t>
      </w:r>
      <w:r>
        <w:rPr>
          <w:rFonts w:ascii="Arial Unicode MS" w:eastAsia="Arial Unicode MS" w:hAnsi="Arial Unicode MS" w:cs="Arial Unicode MS"/>
          <w:color w:val="2B477B"/>
        </w:rPr>
        <w:t>.</w:t>
      </w:r>
      <w:r>
        <w:rPr>
          <w:color w:val="2B477B"/>
        </w:rPr>
        <w:t xml:space="preserve"> </w:t>
      </w:r>
    </w:p>
  </w:footnote>
  <w:footnote w:id="371">
    <w:p w14:paraId="3288D15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178</w:t>
      </w:r>
      <w:r>
        <w:rPr>
          <w:rFonts w:ascii="Arial Unicode MS" w:eastAsia="Arial Unicode MS" w:hAnsi="Arial Unicode MS" w:cs="Arial Unicode MS"/>
          <w:color w:val="2B477B"/>
        </w:rPr>
        <w:t>-</w:t>
      </w:r>
      <w:r>
        <w:rPr>
          <w:color w:val="2B477B"/>
        </w:rPr>
        <w:t>180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arts.</w:t>
      </w:r>
      <w:r>
        <w:rPr>
          <w:color w:val="2B477B"/>
        </w:rPr>
        <w:t xml:space="preserve"> 41</w:t>
      </w:r>
      <w:r>
        <w:rPr>
          <w:rFonts w:ascii="Arial Unicode MS" w:eastAsia="Arial Unicode MS" w:hAnsi="Arial Unicode MS" w:cs="Arial Unicode MS"/>
          <w:color w:val="2B477B"/>
        </w:rPr>
        <w:t>-</w:t>
      </w:r>
      <w:r>
        <w:rPr>
          <w:color w:val="2B477B"/>
        </w:rPr>
        <w:t xml:space="preserve">47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30" w:history="1">
        <w:r>
          <w:rPr>
            <w:rFonts w:ascii="Arial Unicode MS" w:eastAsia="Arial Unicode MS" w:hAnsi="Arial Unicode MS" w:cs="Arial Unicode MS"/>
            <w:color w:val="2B477B"/>
          </w:rPr>
          <w:t>Ley</w:t>
        </w:r>
        <w:r>
          <w:rPr>
            <w:color w:val="2B477B"/>
          </w:rPr>
          <w:t xml:space="preserve"> 42</w:t>
        </w:r>
      </w:hyperlink>
      <w:r>
        <w:rPr>
          <w:color w:val="2B477B"/>
        </w:rPr>
        <w:t xml:space="preserve"> </w:t>
      </w:r>
      <w:r>
        <w:rPr>
          <w:rFonts w:ascii="Arial Unicode MS" w:eastAsia="Arial Unicode MS" w:hAnsi="Arial Unicode MS" w:cs="Arial Unicode MS"/>
          <w:color w:val="2B477B"/>
        </w:rPr>
        <w:t>de</w:t>
      </w:r>
      <w:r>
        <w:rPr>
          <w:color w:val="2B477B"/>
        </w:rPr>
        <w:t xml:space="preserve"> 1999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arts.</w:t>
      </w:r>
      <w:r>
        <w:rPr>
          <w:color w:val="2B477B"/>
        </w:rPr>
        <w:t xml:space="preserve"> 44</w:t>
      </w:r>
      <w:r>
        <w:rPr>
          <w:rFonts w:ascii="Arial Unicode MS" w:eastAsia="Arial Unicode MS" w:hAnsi="Arial Unicode MS" w:cs="Arial Unicode MS"/>
          <w:color w:val="2B477B"/>
        </w:rPr>
        <w:t>,</w:t>
      </w:r>
      <w:r>
        <w:rPr>
          <w:color w:val="2B477B"/>
        </w:rPr>
        <w:t xml:space="preserve"> 49</w:t>
      </w:r>
      <w:r>
        <w:rPr>
          <w:rFonts w:ascii="Arial Unicode MS" w:eastAsia="Arial Unicode MS" w:hAnsi="Arial Unicode MS" w:cs="Arial Unicode MS"/>
          <w:color w:val="2B477B"/>
        </w:rPr>
        <w:t>-</w:t>
      </w:r>
      <w:r>
        <w:rPr>
          <w:color w:val="2B477B"/>
        </w:rPr>
        <w:t xml:space="preserve">57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hyperlink r:id="rId631" w:history="1">
        <w:r>
          <w:rPr>
            <w:color w:val="2B477B"/>
          </w:rPr>
          <w:t xml:space="preserve"> </w:t>
        </w:r>
        <w:r>
          <w:rPr>
            <w:rFonts w:ascii="Arial Unicode MS" w:eastAsia="Arial Unicode MS" w:hAnsi="Arial Unicode MS" w:cs="Arial Unicode MS"/>
            <w:color w:val="2B477B"/>
          </w:rPr>
          <w:t>Ley</w:t>
        </w:r>
        <w:r>
          <w:rPr>
            <w:color w:val="2B477B"/>
          </w:rPr>
          <w:t xml:space="preserve"> 15</w:t>
        </w:r>
      </w:hyperlink>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p>
  </w:footnote>
  <w:footnote w:id="372">
    <w:p w14:paraId="45D3167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191 </w:t>
      </w:r>
      <w:r>
        <w:rPr>
          <w:rFonts w:ascii="Arial Unicode MS" w:eastAsia="Arial Unicode MS" w:hAnsi="Arial Unicode MS" w:cs="Arial Unicode MS"/>
          <w:color w:val="2B477B"/>
        </w:rPr>
        <w:t>y</w:t>
      </w:r>
      <w:r>
        <w:rPr>
          <w:color w:val="2B477B"/>
        </w:rPr>
        <w:t xml:space="preserve"> 192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32" w:history="1">
        <w:r>
          <w:rPr>
            <w:rFonts w:ascii="Arial Unicode MS" w:eastAsia="Arial Unicode MS" w:hAnsi="Arial Unicode MS" w:cs="Arial Unicode MS"/>
            <w:color w:val="2B477B"/>
          </w:rPr>
          <w:t>Ley</w:t>
        </w:r>
        <w:r>
          <w:rPr>
            <w:color w:val="2B477B"/>
          </w:rPr>
          <w:t xml:space="preserve"> 4720</w:t>
        </w:r>
      </w:hyperlink>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21</w:t>
      </w:r>
      <w:r>
        <w:rPr>
          <w:rFonts w:ascii="Arial Unicode MS" w:eastAsia="Arial Unicode MS" w:hAnsi="Arial Unicode MS" w:cs="Arial Unicode MS"/>
          <w:color w:val="2B477B"/>
        </w:rPr>
        <w:t>;</w:t>
      </w:r>
      <w:r>
        <w:rPr>
          <w:color w:val="2B477B"/>
        </w:rPr>
        <w:t xml:space="preserve"> </w:t>
      </w:r>
      <w:hyperlink r:id="rId63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2479</w:t>
        </w:r>
        <w:r>
          <w:rPr>
            <w:rFonts w:ascii="Arial Unicode MS" w:eastAsia="Arial Unicode MS" w:hAnsi="Arial Unicode MS" w:cs="Arial Unicode MS"/>
            <w:color w:val="2B477B"/>
          </w:rPr>
          <w:t>de</w:t>
        </w:r>
        <w:r>
          <w:rPr>
            <w:color w:val="2B477B"/>
          </w:rPr>
          <w:t xml:space="preserve"> 2004</w:t>
        </w:r>
      </w:hyperlink>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modificatoria</w:t>
      </w:r>
      <w:r>
        <w:rPr>
          <w:color w:val="2B477B"/>
        </w:rPr>
        <w:t xml:space="preserve"> </w:t>
      </w:r>
      <w:hyperlink r:id="rId634"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3585</w:t>
        </w:r>
        <w:r>
          <w:rPr>
            <w:rFonts w:ascii="Arial Unicode MS" w:eastAsia="Arial Unicode MS" w:hAnsi="Arial Unicode MS" w:cs="Arial Unicode MS"/>
            <w:color w:val="2B477B"/>
          </w:rPr>
          <w:t>de</w:t>
        </w:r>
        <w:r>
          <w:rPr>
            <w:color w:val="2B477B"/>
          </w:rPr>
          <w:t xml:space="preserve"> 2008</w:t>
        </w:r>
      </w:hyperlink>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w:t>
      </w:r>
      <w:r>
        <w:rPr>
          <w:color w:val="2B477B"/>
        </w:rPr>
        <w:t xml:space="preserve"> </w:t>
      </w:r>
      <w:hyperlink r:id="rId635"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Reglamentario</w:t>
        </w:r>
        <w:r>
          <w:rPr>
            <w:color w:val="2B477B"/>
          </w:rPr>
          <w:t xml:space="preserve"> </w:t>
        </w:r>
        <w:r>
          <w:rPr>
            <w:rFonts w:ascii="Arial Unicode MS" w:eastAsia="Arial Unicode MS" w:hAnsi="Arial Unicode MS" w:cs="Arial Unicode MS"/>
            <w:color w:val="2B477B"/>
          </w:rPr>
          <w:t>No.</w:t>
        </w:r>
        <w:r>
          <w:rPr>
            <w:color w:val="2B477B"/>
          </w:rPr>
          <w:t xml:space="preserve"> 6369 </w:t>
        </w:r>
        <w:r>
          <w:rPr>
            <w:rFonts w:ascii="Arial Unicode MS" w:eastAsia="Arial Unicode MS" w:hAnsi="Arial Unicode MS" w:cs="Arial Unicode MS"/>
            <w:color w:val="2B477B"/>
          </w:rPr>
          <w:t>de</w:t>
        </w:r>
        <w:r>
          <w:rPr>
            <w:color w:val="2B477B"/>
          </w:rPr>
          <w:t xml:space="preserve"> 2011</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4963 </w:t>
      </w:r>
      <w:r>
        <w:rPr>
          <w:rFonts w:ascii="Arial Unicode MS" w:eastAsia="Arial Unicode MS" w:hAnsi="Arial Unicode MS" w:cs="Arial Unicode MS"/>
          <w:color w:val="2B477B"/>
        </w:rPr>
        <w:t>de</w:t>
      </w:r>
      <w:r>
        <w:rPr>
          <w:color w:val="2B477B"/>
        </w:rPr>
        <w:t xml:space="preserve"> 2013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w:t>
      </w:r>
      <w:r>
        <w:rPr>
          <w:color w:val="2B477B"/>
        </w:rPr>
        <w:t xml:space="preserve"> </w:t>
      </w:r>
      <w:hyperlink r:id="rId636"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Reglamentario</w:t>
        </w:r>
        <w:r>
          <w:rPr>
            <w:color w:val="2B477B"/>
          </w:rPr>
          <w:t xml:space="preserve"> </w:t>
        </w:r>
        <w:r>
          <w:rPr>
            <w:rFonts w:ascii="Arial Unicode MS" w:eastAsia="Arial Unicode MS" w:hAnsi="Arial Unicode MS" w:cs="Arial Unicode MS"/>
            <w:color w:val="2B477B"/>
          </w:rPr>
          <w:t>No.</w:t>
        </w:r>
        <w:r>
          <w:rPr>
            <w:color w:val="2B477B"/>
          </w:rPr>
          <w:t xml:space="preserve"> 3379</w:t>
        </w:r>
      </w:hyperlink>
      <w:r>
        <w:rPr>
          <w:color w:val="2B477B"/>
        </w:rPr>
        <w:t xml:space="preserve"> </w:t>
      </w:r>
      <w:r>
        <w:rPr>
          <w:rFonts w:ascii="Arial Unicode MS" w:eastAsia="Arial Unicode MS" w:hAnsi="Arial Unicode MS" w:cs="Arial Unicode MS"/>
          <w:color w:val="2B477B"/>
        </w:rPr>
        <w:t>del</w:t>
      </w:r>
      <w:r>
        <w:rPr>
          <w:color w:val="2B477B"/>
        </w:rPr>
        <w:t xml:space="preserve"> 2020</w:t>
      </w:r>
      <w:r>
        <w:rPr>
          <w:rFonts w:ascii="Arial Unicode MS" w:eastAsia="Arial Unicode MS" w:hAnsi="Arial Unicode MS" w:cs="Arial Unicode MS"/>
          <w:color w:val="2B477B"/>
        </w:rPr>
        <w:t>.</w:t>
      </w:r>
    </w:p>
  </w:footnote>
  <w:footnote w:id="373">
    <w:p w14:paraId="4E11F81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140</w:t>
      </w:r>
      <w:r>
        <w:rPr>
          <w:rFonts w:ascii="Arial Unicode MS" w:eastAsia="Arial Unicode MS" w:hAnsi="Arial Unicode MS" w:cs="Arial Unicode MS"/>
          <w:color w:val="2B477B"/>
        </w:rPr>
        <w:t>-</w:t>
      </w:r>
      <w:r>
        <w:rPr>
          <w:color w:val="2B477B"/>
        </w:rPr>
        <w:t>141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3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45</w:t>
      </w:r>
      <w:r>
        <w:rPr>
          <w:rFonts w:ascii="Arial Unicode MS" w:eastAsia="Arial Unicode MS" w:hAnsi="Arial Unicode MS" w:cs="Arial Unicode MS"/>
          <w:color w:val="2B477B"/>
        </w:rPr>
        <w:t>.</w:t>
      </w:r>
      <w:r>
        <w:rPr>
          <w:color w:val="2B477B"/>
        </w:rPr>
        <w:t xml:space="preserve">1 </w:t>
      </w:r>
      <w:r>
        <w:rPr>
          <w:rFonts w:ascii="Arial Unicode MS" w:eastAsia="Arial Unicode MS" w:hAnsi="Arial Unicode MS" w:cs="Arial Unicode MS"/>
          <w:color w:val="2B477B"/>
        </w:rPr>
        <w:t>y</w:t>
      </w:r>
      <w:r>
        <w:rPr>
          <w:color w:val="2B477B"/>
        </w:rPr>
        <w:t xml:space="preserve"> 81</w:t>
      </w:r>
      <w:r>
        <w:rPr>
          <w:rFonts w:ascii="Arial Unicode MS" w:eastAsia="Arial Unicode MS" w:hAnsi="Arial Unicode MS" w:cs="Arial Unicode MS"/>
          <w:color w:val="2B477B"/>
        </w:rPr>
        <w:t>.</w:t>
      </w:r>
      <w:r>
        <w:rPr>
          <w:color w:val="2B477B"/>
        </w:rPr>
        <w:t>4</w:t>
      </w:r>
      <w:r>
        <w:rPr>
          <w:rFonts w:ascii="Arial Unicode MS" w:eastAsia="Arial Unicode MS" w:hAnsi="Arial Unicode MS" w:cs="Arial Unicode MS"/>
          <w:color w:val="2B477B"/>
        </w:rPr>
        <w:t>;</w:t>
      </w:r>
      <w:r>
        <w:rPr>
          <w:color w:val="2B477B"/>
        </w:rPr>
        <w:t xml:space="preserve"> </w:t>
      </w:r>
      <w:hyperlink r:id="rId638"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Productividad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Competitividad</w:t>
        </w:r>
        <w:r>
          <w:rPr>
            <w:color w:val="2B477B"/>
          </w:rPr>
          <w:t xml:space="preserve"> </w:t>
        </w:r>
        <w:r>
          <w:rPr>
            <w:rFonts w:ascii="Arial Unicode MS" w:eastAsia="Arial Unicode MS" w:hAnsi="Arial Unicode MS" w:cs="Arial Unicode MS"/>
            <w:color w:val="2B477B"/>
          </w:rPr>
          <w:t>Laboral</w:t>
        </w:r>
      </w:hyperlink>
      <w:r>
        <w:rPr>
          <w:color w:val="2B477B"/>
        </w:rPr>
        <w:t xml:space="preserve"> </w:t>
      </w:r>
      <w:r>
        <w:rPr>
          <w:rFonts w:ascii="Arial Unicode MS" w:eastAsia="Arial Unicode MS" w:hAnsi="Arial Unicode MS" w:cs="Arial Unicode MS"/>
          <w:color w:val="2B477B"/>
        </w:rPr>
        <w:t>de</w:t>
      </w:r>
      <w:r>
        <w:rPr>
          <w:color w:val="2B477B"/>
        </w:rPr>
        <w:t xml:space="preserve"> 1997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d.</w:t>
      </w:r>
    </w:p>
  </w:footnote>
  <w:footnote w:id="374">
    <w:p w14:paraId="2266BBC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153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63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N.º</w:t>
        </w:r>
        <w:r>
          <w:rPr>
            <w:color w:val="2B477B"/>
          </w:rPr>
          <w:t xml:space="preserve"> 38</w:t>
        </w:r>
        <w:r>
          <w:rPr>
            <w:rFonts w:ascii="Arial Unicode MS" w:eastAsia="Arial Unicode MS" w:hAnsi="Arial Unicode MS" w:cs="Arial Unicode MS"/>
            <w:color w:val="2B477B"/>
          </w:rPr>
          <w:t>.</w:t>
        </w:r>
        <w:r>
          <w:rPr>
            <w:color w:val="2B477B"/>
          </w:rPr>
          <w:t xml:space="preserve">598 </w:t>
        </w:r>
        <w:r>
          <w:rPr>
            <w:rFonts w:ascii="Arial Unicode MS" w:eastAsia="Arial Unicode MS" w:hAnsi="Arial Unicode MS" w:cs="Arial Unicode MS"/>
            <w:color w:val="2B477B"/>
          </w:rPr>
          <w:t>de</w:t>
        </w:r>
        <w:r>
          <w:rPr>
            <w:color w:val="2B477B"/>
          </w:rPr>
          <w:t xml:space="preserve"> 2007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arts.</w:t>
        </w:r>
        <w:r>
          <w:rPr>
            <w:color w:val="2B477B"/>
          </w:rPr>
          <w:t xml:space="preserve"> 26</w:t>
        </w:r>
        <w:r>
          <w:rPr>
            <w:rFonts w:ascii="Arial Unicode MS" w:eastAsia="Arial Unicode MS" w:hAnsi="Arial Unicode MS" w:cs="Arial Unicode MS"/>
            <w:color w:val="2B477B"/>
          </w:rPr>
          <w:t>-</w:t>
        </w:r>
        <w:r>
          <w:rPr>
            <w:color w:val="2B477B"/>
          </w:rPr>
          <w:t>30</w:t>
        </w:r>
        <w:r>
          <w:rPr>
            <w:rFonts w:ascii="Arial Unicode MS" w:eastAsia="Arial Unicode MS" w:hAnsi="Arial Unicode MS" w:cs="Arial Unicode MS"/>
            <w:color w:val="2B477B"/>
          </w:rPr>
          <w:t>.</w:t>
        </w:r>
        <w:r>
          <w:rPr>
            <w:color w:val="2B477B"/>
          </w:rPr>
          <w:t xml:space="preserve"> </w:t>
        </w:r>
      </w:hyperlink>
      <w:r>
        <w:rPr>
          <w:color w:val="2B477B"/>
        </w:rPr>
        <w:t xml:space="preserve"> </w:t>
      </w:r>
    </w:p>
  </w:footnote>
  <w:footnote w:id="375">
    <w:p w14:paraId="5A3DC68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ejemplo,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40" w:history="1">
        <w:r>
          <w:rPr>
            <w:rFonts w:ascii="Arial Unicode MS" w:eastAsia="Arial Unicode MS" w:hAnsi="Arial Unicode MS" w:cs="Arial Unicode MS"/>
            <w:color w:val="2B477B"/>
          </w:rPr>
          <w:t>Ley</w:t>
        </w:r>
        <w:r>
          <w:rPr>
            <w:color w:val="2B477B"/>
          </w:rPr>
          <w:t xml:space="preserve"> 22</w:t>
        </w:r>
        <w:r>
          <w:rPr>
            <w:rFonts w:ascii="Arial Unicode MS" w:eastAsia="Arial Unicode MS" w:hAnsi="Arial Unicode MS" w:cs="Arial Unicode MS"/>
            <w:color w:val="2B477B"/>
          </w:rPr>
          <w:t>.</w:t>
        </w:r>
        <w:r>
          <w:rPr>
            <w:color w:val="2B477B"/>
          </w:rPr>
          <w:t>431</w:t>
        </w:r>
      </w:hyperlink>
      <w:r>
        <w:rPr>
          <w:color w:val="2B477B"/>
        </w:rPr>
        <w:t xml:space="preserve"> </w:t>
      </w:r>
      <w:r>
        <w:rPr>
          <w:rFonts w:ascii="Arial Unicode MS" w:eastAsia="Arial Unicode MS" w:hAnsi="Arial Unicode MS" w:cs="Arial Unicode MS"/>
          <w:color w:val="2B477B"/>
        </w:rPr>
        <w:t>de</w:t>
      </w:r>
      <w:r>
        <w:rPr>
          <w:color w:val="2B477B"/>
        </w:rPr>
        <w:t xml:space="preserve"> 1981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nivel</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inferior</w:t>
      </w:r>
      <w:r>
        <w:rPr>
          <w:color w:val="2B477B"/>
        </w:rPr>
        <w:t xml:space="preserve"> </w:t>
      </w:r>
      <w:r>
        <w:rPr>
          <w:rFonts w:ascii="Arial Unicode MS" w:eastAsia="Arial Unicode MS" w:hAnsi="Arial Unicode MS" w:cs="Arial Unicode MS"/>
          <w:color w:val="2B477B"/>
        </w:rPr>
        <w:t>del</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totalidad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personal;</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14 </w:t>
      </w:r>
      <w:r>
        <w:rPr>
          <w:rFonts w:ascii="Arial Unicode MS" w:eastAsia="Arial Unicode MS" w:hAnsi="Arial Unicode MS" w:cs="Arial Unicode MS"/>
          <w:color w:val="2B477B"/>
        </w:rPr>
        <w:t>del</w:t>
      </w:r>
      <w:r>
        <w:rPr>
          <w:color w:val="2B477B"/>
        </w:rPr>
        <w:t xml:space="preserve"> </w:t>
      </w:r>
      <w:hyperlink r:id="rId641" w:history="1">
        <w:r>
          <w:rPr>
            <w:rFonts w:ascii="Arial Unicode MS" w:eastAsia="Arial Unicode MS" w:hAnsi="Arial Unicode MS" w:cs="Arial Unicode MS"/>
            <w:color w:val="2B477B"/>
          </w:rPr>
          <w:t>Persons</w:t>
        </w:r>
        <w:r>
          <w:rPr>
            <w:color w:val="2B477B"/>
          </w:rPr>
          <w:t xml:space="preserve"> </w:t>
        </w:r>
        <w:r>
          <w:rPr>
            <w:rFonts w:ascii="Arial Unicode MS" w:eastAsia="Arial Unicode MS" w:hAnsi="Arial Unicode MS" w:cs="Arial Unicode MS"/>
            <w:color w:val="2B477B"/>
          </w:rPr>
          <w:t>with</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(Equal</w:t>
        </w:r>
        <w:r>
          <w:rPr>
            <w:color w:val="2B477B"/>
          </w:rPr>
          <w:t xml:space="preserve"> </w:t>
        </w:r>
        <w:r>
          <w:rPr>
            <w:rFonts w:ascii="Arial Unicode MS" w:eastAsia="Arial Unicode MS" w:hAnsi="Arial Unicode MS" w:cs="Arial Unicode MS"/>
            <w:color w:val="2B477B"/>
          </w:rPr>
          <w:t>Opportunities)</w:t>
        </w:r>
        <w:r>
          <w:rPr>
            <w:color w:val="2B477B"/>
          </w:rPr>
          <w:t xml:space="preserve"> </w:t>
        </w:r>
        <w:r>
          <w:rPr>
            <w:rFonts w:ascii="Arial Unicode MS" w:eastAsia="Arial Unicode MS" w:hAnsi="Arial Unicode MS" w:cs="Arial Unicode MS"/>
            <w:color w:val="2B477B"/>
          </w:rPr>
          <w:t>Bill</w:t>
        </w:r>
      </w:hyperlink>
      <w:hyperlink r:id="rId642" w:history="1">
        <w:r>
          <w:rPr>
            <w:color w:val="2B477B"/>
          </w:rPr>
          <w:t xml:space="preserve"> </w:t>
        </w:r>
      </w:hyperlink>
      <w:r>
        <w:rPr>
          <w:rFonts w:ascii="Arial Unicode MS" w:eastAsia="Arial Unicode MS" w:hAnsi="Arial Unicode MS" w:cs="Arial Unicode MS"/>
          <w:color w:val="2B477B"/>
        </w:rPr>
        <w:t>de</w:t>
      </w:r>
      <w:r>
        <w:rPr>
          <w:color w:val="2B477B"/>
        </w:rPr>
        <w:t xml:space="preserve"> 2014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empresas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de</w:t>
      </w:r>
      <w:r>
        <w:rPr>
          <w:color w:val="2B477B"/>
        </w:rPr>
        <w:t xml:space="preserve"> 100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del</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del</w:t>
      </w:r>
      <w:r>
        <w:rPr>
          <w:color w:val="2B477B"/>
        </w:rPr>
        <w:t xml:space="preserve"> </w:t>
      </w:r>
      <w:hyperlink r:id="rId643" w:history="1">
        <w:r>
          <w:rPr>
            <w:rFonts w:ascii="Arial Unicode MS" w:eastAsia="Arial Unicode MS" w:hAnsi="Arial Unicode MS" w:cs="Arial Unicode MS"/>
            <w:color w:val="2B477B"/>
          </w:rPr>
          <w:t>Decreto</w:t>
        </w:r>
        <w:r>
          <w:rPr>
            <w:color w:val="2B477B"/>
          </w:rPr>
          <w:t xml:space="preserve"> 9</w:t>
        </w:r>
        <w:r>
          <w:rPr>
            <w:rFonts w:ascii="Arial Unicode MS" w:eastAsia="Arial Unicode MS" w:hAnsi="Arial Unicode MS" w:cs="Arial Unicode MS"/>
            <w:color w:val="2B477B"/>
          </w:rPr>
          <w:t>.</w:t>
        </w:r>
        <w:r>
          <w:rPr>
            <w:color w:val="2B477B"/>
          </w:rPr>
          <w:t>508</w:t>
        </w:r>
      </w:hyperlink>
      <w:r>
        <w:rPr>
          <w:color w:val="2B477B"/>
        </w:rPr>
        <w:t xml:space="preserve"> </w:t>
      </w:r>
      <w:r>
        <w:rPr>
          <w:rFonts w:ascii="Arial Unicode MS" w:eastAsia="Arial Unicode MS" w:hAnsi="Arial Unicode MS" w:cs="Arial Unicode MS"/>
          <w:color w:val="2B477B"/>
        </w:rPr>
        <w:t>determina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públicas</w:t>
      </w:r>
      <w:r>
        <w:rPr>
          <w:color w:val="2B477B"/>
        </w:rPr>
        <w:t xml:space="preserve"> </w:t>
      </w:r>
      <w:r>
        <w:rPr>
          <w:rFonts w:ascii="Arial Unicode MS" w:eastAsia="Arial Unicode MS" w:hAnsi="Arial Unicode MS" w:cs="Arial Unicode MS"/>
          <w:color w:val="2B477B"/>
        </w:rPr>
        <w:t>deberán</w:t>
      </w:r>
      <w:r>
        <w:rPr>
          <w:color w:val="2B477B"/>
        </w:rPr>
        <w:t xml:space="preserve"> </w:t>
      </w:r>
      <w:r>
        <w:rPr>
          <w:rFonts w:ascii="Arial Unicode MS" w:eastAsia="Arial Unicode MS" w:hAnsi="Arial Unicode MS" w:cs="Arial Unicode MS"/>
          <w:color w:val="2B477B"/>
        </w:rPr>
        <w:t>reservar</w:t>
      </w:r>
      <w:r>
        <w:rPr>
          <w:color w:val="2B477B"/>
        </w:rPr>
        <w:t xml:space="preserve"> </w:t>
      </w:r>
      <w:r>
        <w:rPr>
          <w:rFonts w:ascii="Arial Unicode MS" w:eastAsia="Arial Unicode MS" w:hAnsi="Arial Unicode MS" w:cs="Arial Unicode MS"/>
          <w:color w:val="2B477B"/>
        </w:rPr>
        <w:t>un</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plazas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sean</w:t>
      </w:r>
      <w:r>
        <w:rPr>
          <w:color w:val="2B477B"/>
        </w:rPr>
        <w:t xml:space="preserve"> </w:t>
      </w:r>
      <w:r>
        <w:rPr>
          <w:rFonts w:ascii="Arial Unicode MS" w:eastAsia="Arial Unicode MS" w:hAnsi="Arial Unicode MS" w:cs="Arial Unicode MS"/>
          <w:color w:val="2B477B"/>
        </w:rPr>
        <w:t>designadas</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concursos</w:t>
      </w:r>
      <w:r>
        <w:rPr>
          <w:color w:val="2B477B"/>
        </w:rPr>
        <w:t xml:space="preserve"> </w:t>
      </w:r>
      <w:r>
        <w:rPr>
          <w:rFonts w:ascii="Arial Unicode MS" w:eastAsia="Arial Unicode MS" w:hAnsi="Arial Unicode MS" w:cs="Arial Unicode MS"/>
          <w:color w:val="2B477B"/>
        </w:rPr>
        <w:t>públicos,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93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44" w:history="1">
        <w:r>
          <w:rPr>
            <w:rFonts w:ascii="Arial Unicode MS" w:eastAsia="Arial Unicode MS" w:hAnsi="Arial Unicode MS" w:cs="Arial Unicode MS"/>
            <w:color w:val="2B477B"/>
          </w:rPr>
          <w:t>Ley</w:t>
        </w:r>
        <w:r>
          <w:rPr>
            <w:color w:val="2B477B"/>
          </w:rPr>
          <w:t xml:space="preserve"> 8213 </w:t>
        </w:r>
      </w:hyperlink>
      <w:r>
        <w:rPr>
          <w:rFonts w:ascii="Arial Unicode MS" w:eastAsia="Arial Unicode MS" w:hAnsi="Arial Unicode MS" w:cs="Arial Unicode MS"/>
          <w:color w:val="2B477B"/>
        </w:rPr>
        <w:t>de</w:t>
      </w:r>
      <w:r>
        <w:rPr>
          <w:color w:val="2B477B"/>
        </w:rPr>
        <w:t xml:space="preserve"> 1991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determina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empresas</w:t>
      </w:r>
      <w:r>
        <w:rPr>
          <w:color w:val="2B477B"/>
        </w:rPr>
        <w:t xml:space="preserve"> </w:t>
      </w:r>
      <w:r>
        <w:rPr>
          <w:rFonts w:ascii="Arial Unicode MS" w:eastAsia="Arial Unicode MS" w:hAnsi="Arial Unicode MS" w:cs="Arial Unicode MS"/>
          <w:color w:val="2B477B"/>
        </w:rPr>
        <w:t>deberán</w:t>
      </w:r>
      <w:r>
        <w:rPr>
          <w:color w:val="2B477B"/>
        </w:rPr>
        <w:t xml:space="preserve"> </w:t>
      </w:r>
      <w:r>
        <w:rPr>
          <w:rFonts w:ascii="Arial Unicode MS" w:eastAsia="Arial Unicode MS" w:hAnsi="Arial Unicode MS" w:cs="Arial Unicode MS"/>
          <w:color w:val="2B477B"/>
        </w:rPr>
        <w:t>satisfacer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cuotas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contratación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función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cantidad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empleados;</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45" w:history="1">
        <w:r>
          <w:rPr>
            <w:rFonts w:ascii="Arial Unicode MS" w:eastAsia="Arial Unicode MS" w:hAnsi="Arial Unicode MS" w:cs="Arial Unicode MS"/>
            <w:color w:val="2B477B"/>
          </w:rPr>
          <w:t>Ley</w:t>
        </w:r>
        <w:r>
          <w:rPr>
            <w:color w:val="2B477B"/>
          </w:rPr>
          <w:t xml:space="preserve"> 977</w:t>
        </w:r>
      </w:hyperlink>
      <w:r>
        <w:rPr>
          <w:color w:val="2B477B"/>
        </w:rPr>
        <w:t xml:space="preserve"> </w:t>
      </w:r>
      <w:r>
        <w:rPr>
          <w:rFonts w:ascii="Arial Unicode MS" w:eastAsia="Arial Unicode MS" w:hAnsi="Arial Unicode MS" w:cs="Arial Unicode MS"/>
          <w:color w:val="2B477B"/>
        </w:rPr>
        <w:t>de</w:t>
      </w:r>
      <w:r>
        <w:rPr>
          <w:color w:val="2B477B"/>
        </w:rPr>
        <w:t xml:space="preserve"> 2017 </w:t>
      </w:r>
      <w:r>
        <w:rPr>
          <w:rFonts w:ascii="Arial Unicode MS" w:eastAsia="Arial Unicode MS" w:hAnsi="Arial Unicode MS" w:cs="Arial Unicode MS"/>
          <w:color w:val="2B477B"/>
        </w:rPr>
        <w:t>contempla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contratación</w:t>
      </w:r>
      <w:r>
        <w:rPr>
          <w:color w:val="2B477B"/>
        </w:rPr>
        <w:t xml:space="preserve"> </w:t>
      </w:r>
      <w:r>
        <w:rPr>
          <w:rFonts w:ascii="Arial Unicode MS" w:eastAsia="Arial Unicode MS" w:hAnsi="Arial Unicode MS" w:cs="Arial Unicode MS"/>
          <w:color w:val="2B477B"/>
        </w:rPr>
        <w:t>preferente</w:t>
      </w:r>
      <w:r>
        <w:rPr>
          <w:color w:val="2B477B"/>
        </w:rPr>
        <w:t xml:space="preserve"> </w:t>
      </w:r>
      <w:r>
        <w:rPr>
          <w:rFonts w:ascii="Arial Unicode MS" w:eastAsia="Arial Unicode MS" w:hAnsi="Arial Unicode MS" w:cs="Arial Unicode MS"/>
          <w:color w:val="2B477B"/>
        </w:rPr>
        <w:t>del</w:t>
      </w:r>
      <w:r>
        <w:rPr>
          <w:color w:val="2B477B"/>
        </w:rPr>
        <w:t xml:space="preserve"> 4%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instituciones</w:t>
      </w:r>
      <w:r>
        <w:rPr>
          <w:color w:val="2B477B"/>
        </w:rPr>
        <w:t xml:space="preserve"> </w:t>
      </w:r>
      <w:r>
        <w:rPr>
          <w:rFonts w:ascii="Arial Unicode MS" w:eastAsia="Arial Unicode MS" w:hAnsi="Arial Unicode MS" w:cs="Arial Unicode MS"/>
          <w:color w:val="2B477B"/>
        </w:rPr>
        <w:t>públicas,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favor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tutores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grave</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muy</w:t>
      </w:r>
      <w:r>
        <w:rPr>
          <w:color w:val="2B477B"/>
        </w:rPr>
        <w:t xml:space="preserve"> </w:t>
      </w:r>
      <w:r>
        <w:rPr>
          <w:rFonts w:ascii="Arial Unicode MS" w:eastAsia="Arial Unicode MS" w:hAnsi="Arial Unicode MS" w:cs="Arial Unicode MS"/>
          <w:color w:val="2B477B"/>
        </w:rPr>
        <w:t>grave“,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del</w:t>
      </w:r>
      <w:r>
        <w:rPr>
          <w:color w:val="2B477B"/>
        </w:rPr>
        <w:t xml:space="preserve"> 2%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privado;</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45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46"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 xml:space="preserve">422 </w:t>
        </w:r>
      </w:hyperlink>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cuando</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institución</w:t>
      </w:r>
      <w:r>
        <w:rPr>
          <w:color w:val="2B477B"/>
        </w:rPr>
        <w:t xml:space="preserve"> </w:t>
      </w:r>
      <w:r>
        <w:rPr>
          <w:rFonts w:ascii="Arial Unicode MS" w:eastAsia="Arial Unicode MS" w:hAnsi="Arial Unicode MS" w:cs="Arial Unicode MS"/>
          <w:color w:val="2B477B"/>
        </w:rPr>
        <w:t>tenga</w:t>
      </w:r>
      <w:r>
        <w:rPr>
          <w:color w:val="2B477B"/>
        </w:rPr>
        <w:t xml:space="preserve"> 100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funcionarios</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menos</w:t>
      </w:r>
      <w:r>
        <w:rPr>
          <w:color w:val="2B477B"/>
        </w:rPr>
        <w:t xml:space="preserve"> </w:t>
      </w:r>
      <w:r>
        <w:rPr>
          <w:rFonts w:ascii="Arial Unicode MS" w:eastAsia="Arial Unicode MS" w:hAnsi="Arial Unicode MS" w:cs="Arial Unicode MS"/>
          <w:color w:val="2B477B"/>
        </w:rPr>
        <w:t>el</w:t>
      </w:r>
      <w:r>
        <w:rPr>
          <w:color w:val="2B477B"/>
        </w:rPr>
        <w:t xml:space="preserve"> 1% </w:t>
      </w:r>
      <w:r>
        <w:rPr>
          <w:rFonts w:ascii="Arial Unicode MS" w:eastAsia="Arial Unicode MS" w:hAnsi="Arial Unicode MS" w:cs="Arial Unicode MS"/>
          <w:color w:val="2B477B"/>
        </w:rPr>
        <w:t>deben</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(calificada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certificada),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beneficiarias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pensión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invalidez;</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contempla</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regla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preferencia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concursos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público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empate,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preferirá</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el</w:t>
      </w:r>
      <w:r>
        <w:rPr>
          <w:color w:val="2B477B"/>
        </w:rPr>
        <w:t xml:space="preserve"> </w:t>
      </w:r>
      <w:hyperlink r:id="rId647" w:history="1">
        <w:r>
          <w:rPr>
            <w:rFonts w:ascii="Arial Unicode MS" w:eastAsia="Arial Unicode MS" w:hAnsi="Arial Unicode MS" w:cs="Arial Unicode MS"/>
            <w:color w:val="2B477B"/>
          </w:rPr>
          <w:t>Decreto</w:t>
        </w:r>
        <w:r>
          <w:rPr>
            <w:color w:val="2B477B"/>
          </w:rPr>
          <w:t xml:space="preserve"> 2011</w:t>
        </w:r>
      </w:hyperlink>
      <w:r>
        <w:rPr>
          <w:color w:val="2B477B"/>
        </w:rPr>
        <w:t xml:space="preserve"> </w:t>
      </w:r>
      <w:r>
        <w:rPr>
          <w:rFonts w:ascii="Arial Unicode MS" w:eastAsia="Arial Unicode MS" w:hAnsi="Arial Unicode MS" w:cs="Arial Unicode MS"/>
          <w:color w:val="2B477B"/>
        </w:rPr>
        <w:t>de</w:t>
      </w:r>
      <w:r>
        <w:rPr>
          <w:color w:val="2B477B"/>
        </w:rPr>
        <w:t xml:space="preserve"> 2017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determinado</w:t>
      </w:r>
      <w:r>
        <w:rPr>
          <w:color w:val="2B477B"/>
        </w:rPr>
        <w:t xml:space="preserve"> </w:t>
      </w:r>
      <w:r>
        <w:rPr>
          <w:rFonts w:ascii="Arial Unicode MS" w:eastAsia="Arial Unicode MS" w:hAnsi="Arial Unicode MS" w:cs="Arial Unicode MS"/>
          <w:color w:val="2B477B"/>
        </w:rPr>
        <w:t>porcentaje</w:t>
      </w:r>
      <w:r>
        <w:rPr>
          <w:color w:val="2B477B"/>
        </w:rPr>
        <w:t xml:space="preserve"> </w:t>
      </w:r>
      <w:r>
        <w:rPr>
          <w:rFonts w:ascii="Arial Unicode MS" w:eastAsia="Arial Unicode MS" w:hAnsi="Arial Unicode MS" w:cs="Arial Unicode MS"/>
          <w:color w:val="2B477B"/>
        </w:rPr>
        <w:t>mínimo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público;</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único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48"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Protección</w:t>
        </w:r>
        <w:r>
          <w:rPr>
            <w:color w:val="2B477B"/>
          </w:rPr>
          <w:t xml:space="preserve"> </w:t>
        </w:r>
        <w:r>
          <w:rPr>
            <w:rFonts w:ascii="Arial Unicode MS" w:eastAsia="Arial Unicode MS" w:hAnsi="Arial Unicode MS" w:cs="Arial Unicode MS"/>
            <w:color w:val="2B477B"/>
          </w:rPr>
          <w:t>Laboral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Público</w:t>
        </w:r>
        <w:r>
          <w:rPr>
            <w:color w:val="2B477B"/>
          </w:rPr>
          <w:t xml:space="preserve"> </w:t>
        </w:r>
      </w:hyperlink>
      <w:r>
        <w:rPr>
          <w:rFonts w:ascii="Arial Unicode MS" w:eastAsia="Arial Unicode MS" w:hAnsi="Arial Unicode MS" w:cs="Arial Unicode MS"/>
          <w:color w:val="2B477B"/>
        </w:rPr>
        <w:t>de</w:t>
      </w:r>
      <w:r>
        <w:rPr>
          <w:color w:val="2B477B"/>
        </w:rPr>
        <w:t xml:space="preserve"> 2010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reserva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menos</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vacantes;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el</w:t>
      </w:r>
      <w:r>
        <w:rPr>
          <w:color w:val="2B477B"/>
        </w:rPr>
        <w:t xml:space="preserve"> </w:t>
      </w:r>
      <w:hyperlink r:id="rId649" w:history="1">
        <w:r>
          <w:rPr>
            <w:rFonts w:ascii="Arial Unicode MS" w:eastAsia="Arial Unicode MS" w:hAnsi="Arial Unicode MS" w:cs="Arial Unicode MS"/>
            <w:color w:val="2B477B"/>
          </w:rPr>
          <w:t>Decreto</w:t>
        </w:r>
        <w:r>
          <w:rPr>
            <w:color w:val="2B477B"/>
          </w:rPr>
          <w:t xml:space="preserve"> 672</w:t>
        </w:r>
      </w:hyperlink>
      <w:r>
        <w:rPr>
          <w:color w:val="2B477B"/>
        </w:rPr>
        <w:t xml:space="preserve"> </w:t>
      </w:r>
      <w:r>
        <w:rPr>
          <w:rFonts w:ascii="Arial Unicode MS" w:eastAsia="Arial Unicode MS" w:hAnsi="Arial Unicode MS" w:cs="Arial Unicode MS"/>
          <w:color w:val="2B477B"/>
        </w:rPr>
        <w:t>estableció</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regla</w:t>
      </w:r>
      <w:r>
        <w:rPr>
          <w:color w:val="2B477B"/>
        </w:rPr>
        <w:t xml:space="preserve"> </w:t>
      </w:r>
      <w:r>
        <w:rPr>
          <w:rFonts w:ascii="Arial Unicode MS" w:eastAsia="Arial Unicode MS" w:hAnsi="Arial Unicode MS" w:cs="Arial Unicode MS"/>
          <w:color w:val="2B477B"/>
        </w:rPr>
        <w:t>mínima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contratación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cada</w:t>
      </w:r>
      <w:r>
        <w:rPr>
          <w:color w:val="2B477B"/>
        </w:rPr>
        <w:t xml:space="preserve"> 20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tanto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público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privado;</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contempla</w:t>
      </w:r>
      <w:r>
        <w:rPr>
          <w:color w:val="2B477B"/>
        </w:rPr>
        <w:t xml:space="preserve"> </w:t>
      </w:r>
      <w:r>
        <w:rPr>
          <w:rFonts w:ascii="Arial Unicode MS" w:eastAsia="Arial Unicode MS" w:hAnsi="Arial Unicode MS" w:cs="Arial Unicode MS"/>
          <w:color w:val="2B477B"/>
        </w:rPr>
        <w:t>diversas</w:t>
      </w:r>
      <w:r>
        <w:rPr>
          <w:color w:val="2B477B"/>
        </w:rPr>
        <w:t xml:space="preserve"> </w:t>
      </w:r>
      <w:r>
        <w:rPr>
          <w:rFonts w:ascii="Arial Unicode MS" w:eastAsia="Arial Unicode MS" w:hAnsi="Arial Unicode MS" w:cs="Arial Unicode MS"/>
          <w:color w:val="2B477B"/>
        </w:rPr>
        <w:t>reglas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proporcionalidad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número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44 </w:t>
      </w:r>
      <w:r>
        <w:rPr>
          <w:rFonts w:ascii="Arial Unicode MS" w:eastAsia="Arial Unicode MS" w:hAnsi="Arial Unicode MS" w:cs="Arial Unicode MS"/>
          <w:color w:val="2B477B"/>
        </w:rPr>
        <w:t>del</w:t>
      </w:r>
      <w:r>
        <w:rPr>
          <w:color w:val="2B477B"/>
        </w:rPr>
        <w:t xml:space="preserve"> </w:t>
      </w:r>
      <w:hyperlink r:id="rId650" w:history="1">
        <w:r>
          <w:rPr>
            <w:rFonts w:ascii="Arial Unicode MS" w:eastAsia="Arial Unicode MS" w:hAnsi="Arial Unicode MS" w:cs="Arial Unicode MS"/>
            <w:color w:val="2B477B"/>
          </w:rPr>
          <w:t>Loi</w:t>
        </w:r>
        <w:r>
          <w:rPr>
            <w:color w:val="2B477B"/>
          </w:rPr>
          <w:t xml:space="preserve"> </w:t>
        </w:r>
        <w:r>
          <w:rPr>
            <w:rFonts w:ascii="Arial Unicode MS" w:eastAsia="Arial Unicode MS" w:hAnsi="Arial Unicode MS" w:cs="Arial Unicode MS"/>
            <w:color w:val="2B477B"/>
          </w:rPr>
          <w:t>portant</w:t>
        </w:r>
        <w:r>
          <w:rPr>
            <w:color w:val="2B477B"/>
          </w:rPr>
          <w:t xml:space="preserve"> </w:t>
        </w:r>
        <w:r>
          <w:rPr>
            <w:rFonts w:ascii="Arial Unicode MS" w:eastAsia="Arial Unicode MS" w:hAnsi="Arial Unicode MS" w:cs="Arial Unicode MS"/>
            <w:color w:val="2B477B"/>
          </w:rPr>
          <w:t>sur</w:t>
        </w:r>
        <w:r>
          <w:rPr>
            <w:color w:val="2B477B"/>
          </w:rPr>
          <w:t xml:space="preserve"> </w:t>
        </w:r>
        <w:r>
          <w:rPr>
            <w:rFonts w:ascii="Arial Unicode MS" w:eastAsia="Arial Unicode MS" w:hAnsi="Arial Unicode MS" w:cs="Arial Unicode MS"/>
            <w:color w:val="2B477B"/>
          </w:rPr>
          <w:t>l’integration</w:t>
        </w:r>
        <w:r>
          <w:rPr>
            <w:color w:val="2B477B"/>
          </w:rPr>
          <w:t xml:space="preserve"> </w:t>
        </w:r>
        <w:r>
          <w:rPr>
            <w:rFonts w:ascii="Arial Unicode MS" w:eastAsia="Arial Unicode MS" w:hAnsi="Arial Unicode MS" w:cs="Arial Unicode MS"/>
            <w:color w:val="2B477B"/>
          </w:rPr>
          <w:t>des</w:t>
        </w:r>
        <w:r>
          <w:rPr>
            <w:color w:val="2B477B"/>
          </w:rPr>
          <w:t xml:space="preserve"> </w:t>
        </w:r>
        <w:r>
          <w:rPr>
            <w:rFonts w:ascii="Arial Unicode MS" w:eastAsia="Arial Unicode MS" w:hAnsi="Arial Unicode MS" w:cs="Arial Unicode MS"/>
            <w:color w:val="2B477B"/>
          </w:rPr>
          <w:t>personnes</w:t>
        </w:r>
        <w:r>
          <w:rPr>
            <w:color w:val="2B477B"/>
          </w:rPr>
          <w:t xml:space="preserve"> </w:t>
        </w:r>
        <w:r>
          <w:rPr>
            <w:rFonts w:ascii="Arial Unicode MS" w:eastAsia="Arial Unicode MS" w:hAnsi="Arial Unicode MS" w:cs="Arial Unicode MS"/>
            <w:color w:val="2B477B"/>
          </w:rPr>
          <w:t>handicapee</w:t>
        </w:r>
      </w:hyperlink>
      <w:r>
        <w:rPr>
          <w:rFonts w:ascii="Arial Unicode MS" w:eastAsia="Arial Unicode MS" w:hAnsi="Arial Unicode MS" w:cs="Arial Unicode MS"/>
          <w:color w:val="2B477B"/>
        </w:rPr>
        <w:t>s</w:t>
      </w:r>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contempla</w:t>
      </w:r>
      <w:r>
        <w:rPr>
          <w:color w:val="2B477B"/>
        </w:rPr>
        <w:t xml:space="preserve"> </w:t>
      </w:r>
      <w:r>
        <w:rPr>
          <w:rFonts w:ascii="Arial Unicode MS" w:eastAsia="Arial Unicode MS" w:hAnsi="Arial Unicode MS" w:cs="Arial Unicode MS"/>
          <w:color w:val="2B477B"/>
        </w:rPr>
        <w:t>distintas</w:t>
      </w:r>
      <w:r>
        <w:rPr>
          <w:color w:val="2B477B"/>
        </w:rPr>
        <w:t xml:space="preserve"> </w:t>
      </w:r>
      <w:r>
        <w:rPr>
          <w:rFonts w:ascii="Arial Unicode MS" w:eastAsia="Arial Unicode MS" w:hAnsi="Arial Unicode MS" w:cs="Arial Unicode MS"/>
          <w:color w:val="2B477B"/>
        </w:rPr>
        <w:t>reglas</w:t>
      </w:r>
      <w:r>
        <w:rPr>
          <w:color w:val="2B477B"/>
        </w:rPr>
        <w:t xml:space="preserve"> </w:t>
      </w:r>
      <w:r>
        <w:rPr>
          <w:rFonts w:ascii="Arial Unicode MS" w:eastAsia="Arial Unicode MS" w:hAnsi="Arial Unicode MS" w:cs="Arial Unicode MS"/>
          <w:color w:val="2B477B"/>
        </w:rPr>
        <w:t>proporcionales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cantidad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empleados,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públicas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privadas,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cumplir</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laboral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35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Equidad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Integral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2005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49</w:t>
      </w:r>
      <w:r>
        <w:rPr>
          <w:rFonts w:ascii="Arial Unicode MS" w:eastAsia="Arial Unicode MS" w:hAnsi="Arial Unicode MS" w:cs="Arial Unicode MS"/>
          <w:color w:val="2B477B"/>
        </w:rPr>
        <w:t>.</w:t>
      </w:r>
      <w:r>
        <w:rPr>
          <w:color w:val="2B477B"/>
        </w:rPr>
        <w:t xml:space="preserve">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laboral</w:t>
      </w:r>
      <w:r>
        <w:rPr>
          <w:color w:val="2B477B"/>
        </w:rPr>
        <w:t xml:space="preserve"> </w:t>
      </w:r>
      <w:r>
        <w:rPr>
          <w:rFonts w:ascii="Arial Unicode MS" w:eastAsia="Arial Unicode MS" w:hAnsi="Arial Unicode MS" w:cs="Arial Unicode MS"/>
          <w:color w:val="2B477B"/>
        </w:rPr>
        <w:t>del</w:t>
      </w:r>
      <w:r>
        <w:rPr>
          <w:color w:val="2B477B"/>
        </w:rPr>
        <w:t xml:space="preserve"> 5%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públicas,</w:t>
      </w:r>
      <w:r>
        <w:rPr>
          <w:color w:val="2B477B"/>
        </w:rPr>
        <w:t xml:space="preserve"> </w:t>
      </w:r>
      <w:r>
        <w:rPr>
          <w:rFonts w:ascii="Arial Unicode MS" w:eastAsia="Arial Unicode MS" w:hAnsi="Arial Unicode MS" w:cs="Arial Unicode MS"/>
          <w:color w:val="2B477B"/>
        </w:rPr>
        <w:t>mientras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empleadores</w:t>
      </w:r>
      <w:r>
        <w:rPr>
          <w:color w:val="2B477B"/>
        </w:rPr>
        <w:t xml:space="preserve"> </w:t>
      </w:r>
      <w:r>
        <w:rPr>
          <w:rFonts w:ascii="Arial Unicode MS" w:eastAsia="Arial Unicode MS" w:hAnsi="Arial Unicode MS" w:cs="Arial Unicode MS"/>
          <w:color w:val="2B477B"/>
        </w:rPr>
        <w:t>privados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de</w:t>
      </w:r>
      <w:r>
        <w:rPr>
          <w:color w:val="2B477B"/>
        </w:rPr>
        <w:t xml:space="preserve"> 50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deberán</w:t>
      </w:r>
      <w:r>
        <w:rPr>
          <w:color w:val="2B477B"/>
        </w:rPr>
        <w:t xml:space="preserve"> </w:t>
      </w:r>
      <w:r>
        <w:rPr>
          <w:rFonts w:ascii="Arial Unicode MS" w:eastAsia="Arial Unicode MS" w:hAnsi="Arial Unicode MS" w:cs="Arial Unicode MS"/>
          <w:color w:val="2B477B"/>
        </w:rPr>
        <w:t>cubrir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contratación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proporción</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inferior</w:t>
      </w:r>
      <w:r>
        <w:rPr>
          <w:color w:val="2B477B"/>
        </w:rPr>
        <w:t xml:space="preserve"> </w:t>
      </w:r>
      <w:r>
        <w:rPr>
          <w:rFonts w:ascii="Arial Unicode MS" w:eastAsia="Arial Unicode MS" w:hAnsi="Arial Unicode MS" w:cs="Arial Unicode MS"/>
          <w:color w:val="2B477B"/>
        </w:rPr>
        <w:t>al</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51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3" w:history="1">
        <w:r>
          <w:rPr>
            <w:rFonts w:ascii="Arial Unicode MS" w:eastAsia="Arial Unicode MS" w:hAnsi="Arial Unicode MS" w:cs="Arial Unicode MS"/>
            <w:color w:val="2B477B"/>
          </w:rPr>
          <w:t>Ley</w:t>
        </w:r>
        <w:r>
          <w:rPr>
            <w:color w:val="2B477B"/>
          </w:rPr>
          <w:t xml:space="preserve"> 53</w:t>
        </w:r>
      </w:hyperlink>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empresas</w:t>
      </w:r>
      <w:r>
        <w:rPr>
          <w:color w:val="2B477B"/>
        </w:rPr>
        <w:t xml:space="preserve"> </w:t>
      </w:r>
      <w:r>
        <w:rPr>
          <w:rFonts w:ascii="Arial Unicode MS" w:eastAsia="Arial Unicode MS" w:hAnsi="Arial Unicode MS" w:cs="Arial Unicode MS"/>
          <w:color w:val="2B477B"/>
        </w:rPr>
        <w:t>privadas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tengan</w:t>
      </w:r>
      <w:r>
        <w:rPr>
          <w:color w:val="2B477B"/>
        </w:rPr>
        <w:t xml:space="preserve"> </w:t>
      </w:r>
      <w:r>
        <w:rPr>
          <w:rFonts w:ascii="Arial Unicode MS" w:eastAsia="Arial Unicode MS" w:hAnsi="Arial Unicode MS" w:cs="Arial Unicode MS"/>
          <w:color w:val="2B477B"/>
        </w:rPr>
        <w:t>entre</w:t>
      </w:r>
      <w:r>
        <w:rPr>
          <w:color w:val="2B477B"/>
        </w:rPr>
        <w:t xml:space="preserve"> 25 </w:t>
      </w:r>
      <w:r>
        <w:rPr>
          <w:rFonts w:ascii="Arial Unicode MS" w:eastAsia="Arial Unicode MS" w:hAnsi="Arial Unicode MS" w:cs="Arial Unicode MS"/>
          <w:color w:val="2B477B"/>
        </w:rPr>
        <w:t>y</w:t>
      </w:r>
      <w:r>
        <w:rPr>
          <w:color w:val="2B477B"/>
        </w:rPr>
        <w:t xml:space="preserve"> 50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deberán</w:t>
      </w:r>
      <w:r>
        <w:rPr>
          <w:color w:val="2B477B"/>
        </w:rPr>
        <w:t xml:space="preserve"> </w:t>
      </w:r>
      <w:r>
        <w:rPr>
          <w:rFonts w:ascii="Arial Unicode MS" w:eastAsia="Arial Unicode MS" w:hAnsi="Arial Unicode MS" w:cs="Arial Unicode MS"/>
          <w:color w:val="2B477B"/>
        </w:rPr>
        <w:t>tener,</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menos</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Si</w:t>
      </w:r>
      <w:r>
        <w:rPr>
          <w:color w:val="2B477B"/>
        </w:rPr>
        <w:t xml:space="preserve"> </w:t>
      </w:r>
      <w:r>
        <w:rPr>
          <w:rFonts w:ascii="Arial Unicode MS" w:eastAsia="Arial Unicode MS" w:hAnsi="Arial Unicode MS" w:cs="Arial Unicode MS"/>
          <w:color w:val="2B477B"/>
        </w:rPr>
        <w:t>tiene</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de</w:t>
      </w:r>
      <w:r>
        <w:rPr>
          <w:color w:val="2B477B"/>
        </w:rPr>
        <w:t xml:space="preserve"> 50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deberá</w:t>
      </w:r>
      <w:r>
        <w:rPr>
          <w:color w:val="2B477B"/>
        </w:rPr>
        <w:t xml:space="preserve"> </w:t>
      </w:r>
      <w:r>
        <w:rPr>
          <w:rFonts w:ascii="Arial Unicode MS" w:eastAsia="Arial Unicode MS" w:hAnsi="Arial Unicode MS" w:cs="Arial Unicode MS"/>
          <w:color w:val="2B477B"/>
        </w:rPr>
        <w:t>tener,</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mínimo,</w:t>
      </w:r>
      <w:r>
        <w:rPr>
          <w:color w:val="2B477B"/>
        </w:rPr>
        <w:t xml:space="preserve"> </w:t>
      </w:r>
      <w:r>
        <w:rPr>
          <w:rFonts w:ascii="Arial Unicode MS" w:eastAsia="Arial Unicode MS" w:hAnsi="Arial Unicode MS" w:cs="Arial Unicode MS"/>
          <w:color w:val="2B477B"/>
        </w:rPr>
        <w:t>un</w:t>
      </w:r>
      <w:r>
        <w:rPr>
          <w:color w:val="2B477B"/>
        </w:rPr>
        <w:t xml:space="preserve"> 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4" w:history="1">
        <w:r>
          <w:rPr>
            <w:rFonts w:ascii="Arial Unicode MS" w:eastAsia="Arial Unicode MS" w:hAnsi="Arial Unicode MS" w:cs="Arial Unicode MS"/>
            <w:color w:val="2B477B"/>
          </w:rPr>
          <w:t>Ley</w:t>
        </w:r>
        <w:r>
          <w:rPr>
            <w:color w:val="2B477B"/>
          </w:rPr>
          <w:t xml:space="preserve"> 2479</w:t>
        </w:r>
      </w:hyperlink>
      <w:r>
        <w:rPr>
          <w:color w:val="2B477B"/>
        </w:rPr>
        <w:t xml:space="preserve"> </w:t>
      </w:r>
      <w:r>
        <w:rPr>
          <w:rFonts w:ascii="Arial Unicode MS" w:eastAsia="Arial Unicode MS" w:hAnsi="Arial Unicode MS" w:cs="Arial Unicode MS"/>
          <w:color w:val="2B477B"/>
        </w:rPr>
        <w:t>de</w:t>
      </w:r>
      <w:r>
        <w:rPr>
          <w:color w:val="2B477B"/>
        </w:rPr>
        <w:t xml:space="preserve"> 2004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públicas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privadas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mayoría</w:t>
      </w:r>
      <w:r>
        <w:rPr>
          <w:color w:val="2B477B"/>
        </w:rPr>
        <w:t xml:space="preserve"> </w:t>
      </w:r>
      <w:r>
        <w:rPr>
          <w:rFonts w:ascii="Arial Unicode MS" w:eastAsia="Arial Unicode MS" w:hAnsi="Arial Unicode MS" w:cs="Arial Unicode MS"/>
          <w:color w:val="2B477B"/>
        </w:rPr>
        <w:t>accionaria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deberán</w:t>
      </w:r>
      <w:r>
        <w:rPr>
          <w:color w:val="2B477B"/>
        </w:rPr>
        <w:t xml:space="preserve"> </w:t>
      </w:r>
      <w:r>
        <w:rPr>
          <w:rFonts w:ascii="Arial Unicode MS" w:eastAsia="Arial Unicode MS" w:hAnsi="Arial Unicode MS" w:cs="Arial Unicode MS"/>
          <w:color w:val="2B477B"/>
        </w:rPr>
        <w:t>tener</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del</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certificado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tengan</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mayor</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al</w:t>
      </w:r>
      <w:r>
        <w:rPr>
          <w:color w:val="2B477B"/>
        </w:rPr>
        <w:t xml:space="preserve"> 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5" w:history="1">
        <w:r>
          <w:rPr>
            <w:rFonts w:ascii="Arial Unicode MS" w:eastAsia="Arial Unicode MS" w:hAnsi="Arial Unicode MS" w:cs="Arial Unicode MS"/>
            <w:color w:val="2B477B"/>
          </w:rPr>
          <w:t>Ley</w:t>
        </w:r>
        <w:r>
          <w:rPr>
            <w:color w:val="2B477B"/>
          </w:rPr>
          <w:t xml:space="preserve"> 5</w:t>
        </w:r>
        <w:r>
          <w:rPr>
            <w:rFonts w:ascii="Arial Unicode MS" w:eastAsia="Arial Unicode MS" w:hAnsi="Arial Unicode MS" w:cs="Arial Unicode MS"/>
            <w:color w:val="2B477B"/>
          </w:rPr>
          <w:t>-</w:t>
        </w:r>
        <w:r>
          <w:rPr>
            <w:color w:val="2B477B"/>
          </w:rPr>
          <w:t>13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determina</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contratación</w:t>
      </w:r>
      <w:r>
        <w:rPr>
          <w:color w:val="2B477B"/>
        </w:rPr>
        <w:t xml:space="preserve"> </w:t>
      </w:r>
      <w:r>
        <w:rPr>
          <w:rFonts w:ascii="Arial Unicode MS" w:eastAsia="Arial Unicode MS" w:hAnsi="Arial Unicode MS" w:cs="Arial Unicode MS"/>
          <w:color w:val="2B477B"/>
        </w:rPr>
        <w:t>del</w:t>
      </w:r>
      <w:r>
        <w:rPr>
          <w:color w:val="2B477B"/>
        </w:rPr>
        <w:t xml:space="preserve"> 5%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instituciones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público,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2%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empresas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privado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tengan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menos</w:t>
      </w:r>
      <w:r>
        <w:rPr>
          <w:color w:val="2B477B"/>
        </w:rPr>
        <w:t xml:space="preserve"> 25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23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6" w:history="1">
        <w:r>
          <w:rPr>
            <w:rFonts w:ascii="Arial Unicode MS" w:eastAsia="Arial Unicode MS" w:hAnsi="Arial Unicode MS" w:cs="Arial Unicode MS"/>
            <w:color w:val="2B477B"/>
          </w:rPr>
          <w:t>Ley</w:t>
        </w:r>
        <w:r>
          <w:rPr>
            <w:color w:val="2B477B"/>
          </w:rPr>
          <w:t xml:space="preserve"> 19</w:t>
        </w:r>
        <w:r>
          <w:rPr>
            <w:rFonts w:ascii="Arial Unicode MS" w:eastAsia="Arial Unicode MS" w:hAnsi="Arial Unicode MS" w:cs="Arial Unicode MS"/>
            <w:color w:val="2B477B"/>
          </w:rPr>
          <w:t>.</w:t>
        </w:r>
        <w:r>
          <w:rPr>
            <w:color w:val="2B477B"/>
          </w:rPr>
          <w:t xml:space="preserve">133 </w:t>
        </w:r>
      </w:hyperlink>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estatales</w:t>
      </w:r>
      <w:r>
        <w:rPr>
          <w:color w:val="2B477B"/>
        </w:rPr>
        <w:t xml:space="preserve"> </w:t>
      </w:r>
      <w:r>
        <w:rPr>
          <w:rFonts w:ascii="Arial Unicode MS" w:eastAsia="Arial Unicode MS" w:hAnsi="Arial Unicode MS" w:cs="Arial Unicode MS"/>
          <w:color w:val="2B477B"/>
        </w:rPr>
        <w:t>deben</w:t>
      </w:r>
      <w:r>
        <w:rPr>
          <w:color w:val="2B477B"/>
        </w:rPr>
        <w:t xml:space="preserve"> </w:t>
      </w:r>
      <w:r>
        <w:rPr>
          <w:rFonts w:ascii="Arial Unicode MS" w:eastAsia="Arial Unicode MS" w:hAnsi="Arial Unicode MS" w:cs="Arial Unicode MS"/>
          <w:color w:val="2B477B"/>
        </w:rPr>
        <w:t>cubrir</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del</w:t>
      </w:r>
      <w:r>
        <w:rPr>
          <w:color w:val="2B477B"/>
        </w:rPr>
        <w:t xml:space="preserve"> 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finalmente,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contempla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290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Trabajadores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Trabajadoras</w:t>
        </w:r>
        <w:r>
          <w:rPr>
            <w:color w:val="2B477B"/>
          </w:rPr>
          <w:t xml:space="preserve"> </w:t>
        </w:r>
      </w:hyperlink>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cuota</w:t>
      </w:r>
      <w:r>
        <w:rPr>
          <w:color w:val="2B477B"/>
        </w:rPr>
        <w:t xml:space="preserve"> </w:t>
      </w:r>
      <w:r>
        <w:rPr>
          <w:rFonts w:ascii="Arial Unicode MS" w:eastAsia="Arial Unicode MS" w:hAnsi="Arial Unicode MS" w:cs="Arial Unicode MS"/>
          <w:color w:val="2B477B"/>
        </w:rPr>
        <w:t>del</w:t>
      </w:r>
      <w:r>
        <w:rPr>
          <w:color w:val="2B477B"/>
        </w:rPr>
        <w:t xml:space="preserve"> 5%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estatales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privadas.</w:t>
      </w:r>
      <w:r>
        <w:rPr>
          <w:color w:val="2B477B"/>
        </w:rPr>
        <w:t xml:space="preserve">           </w:t>
      </w:r>
      <w:r>
        <w:rPr>
          <w:rFonts w:ascii="Arial Unicode MS" w:eastAsia="Arial Unicode MS" w:hAnsi="Arial Unicode MS" w:cs="Arial Unicode MS"/>
          <w:color w:val="2B477B"/>
        </w:rPr>
        <w:t>.</w:t>
      </w:r>
    </w:p>
  </w:footnote>
  <w:footnote w:id="376">
    <w:p w14:paraId="0EF747E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10</w:t>
      </w:r>
      <w:r>
        <w:rPr>
          <w:rFonts w:ascii="Arial Unicode MS" w:eastAsia="Arial Unicode MS" w:hAnsi="Arial Unicode MS" w:cs="Arial Unicode MS"/>
          <w:color w:val="2B477B"/>
        </w:rPr>
        <w:t>-</w:t>
      </w:r>
      <w:r>
        <w:rPr>
          <w:color w:val="2B477B"/>
        </w:rPr>
        <w:t>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la</w:t>
      </w:r>
      <w:r>
        <w:rPr>
          <w:color w:val="2B477B"/>
        </w:rPr>
        <w:t xml:space="preserve"> </w:t>
      </w:r>
      <w:hyperlink r:id="rId658" w:history="1">
        <w:r>
          <w:rPr>
            <w:rFonts w:ascii="Arial Unicode MS" w:eastAsia="Arial Unicode MS" w:hAnsi="Arial Unicode MS" w:cs="Arial Unicode MS"/>
            <w:color w:val="2B477B"/>
          </w:rPr>
          <w:t>Ley</w:t>
        </w:r>
        <w:r>
          <w:rPr>
            <w:color w:val="2B477B"/>
          </w:rPr>
          <w:t xml:space="preserve"> 24</w:t>
        </w:r>
        <w:r>
          <w:rPr>
            <w:rFonts w:ascii="Arial Unicode MS" w:eastAsia="Arial Unicode MS" w:hAnsi="Arial Unicode MS" w:cs="Arial Unicode MS"/>
            <w:color w:val="2B477B"/>
          </w:rPr>
          <w:t>.</w:t>
        </w:r>
        <w:r>
          <w:rPr>
            <w:color w:val="2B477B"/>
          </w:rPr>
          <w:t>013</w:t>
        </w:r>
      </w:hyperlink>
      <w:r>
        <w:rPr>
          <w:color w:val="2B477B"/>
        </w:rPr>
        <w:t xml:space="preserve"> </w:t>
      </w:r>
      <w:r>
        <w:rPr>
          <w:rFonts w:ascii="Arial Unicode MS" w:eastAsia="Arial Unicode MS" w:hAnsi="Arial Unicode MS" w:cs="Arial Unicode MS"/>
          <w:color w:val="2B477B"/>
        </w:rPr>
        <w:t>de</w:t>
      </w:r>
      <w:r>
        <w:rPr>
          <w:color w:val="2B477B"/>
        </w:rPr>
        <w:t xml:space="preserve"> 1991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88</w:t>
      </w:r>
      <w:r>
        <w:rPr>
          <w:rFonts w:ascii="Arial Unicode MS" w:eastAsia="Arial Unicode MS" w:hAnsi="Arial Unicode MS" w:cs="Arial Unicode MS"/>
          <w:color w:val="2B477B"/>
        </w:rPr>
        <w:t>.</w:t>
      </w:r>
      <w:r>
        <w:rPr>
          <w:color w:val="2B477B"/>
        </w:rPr>
        <w:t xml:space="preserve"> </w:t>
      </w:r>
    </w:p>
  </w:footnote>
  <w:footnote w:id="377">
    <w:p w14:paraId="3F8EF8C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73</w:t>
      </w:r>
      <w:r>
        <w:rPr>
          <w:rFonts w:ascii="Arial Unicode MS" w:eastAsia="Arial Unicode MS" w:hAnsi="Arial Unicode MS" w:cs="Arial Unicode MS"/>
          <w:color w:val="2B477B"/>
        </w:rPr>
        <w:t>-</w:t>
      </w:r>
      <w:r>
        <w:rPr>
          <w:color w:val="2B477B"/>
        </w:rPr>
        <w:t>77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informaciónver,Servicio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659" w:history="1">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Laboral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2021</w:t>
        </w:r>
        <w:r>
          <w:rPr>
            <w:rFonts w:ascii="Arial Unicode MS" w:eastAsia="Arial Unicode MS" w:hAnsi="Arial Unicode MS" w:cs="Arial Unicode MS"/>
            <w:color w:val="2B477B"/>
          </w:rPr>
          <w:t>.</w:t>
        </w:r>
        <w:r>
          <w:rPr>
            <w:color w:val="2B477B"/>
          </w:rPr>
          <w:t xml:space="preserve"> </w:t>
        </w:r>
      </w:hyperlink>
    </w:p>
  </w:footnote>
  <w:footnote w:id="378">
    <w:p w14:paraId="6AEA040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94</w:t>
      </w:r>
      <w:r>
        <w:rPr>
          <w:rFonts w:ascii="Arial Unicode MS" w:eastAsia="Arial Unicode MS" w:hAnsi="Arial Unicode MS" w:cs="Arial Unicode MS"/>
          <w:color w:val="2B477B"/>
        </w:rPr>
        <w:t>-</w:t>
      </w:r>
      <w:r>
        <w:rPr>
          <w:color w:val="2B477B"/>
        </w:rPr>
        <w:t>96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Trabajo,</w:t>
      </w:r>
      <w:r>
        <w:rPr>
          <w:color w:val="2B477B"/>
        </w:rPr>
        <w:t xml:space="preserve"> </w:t>
      </w:r>
      <w:hyperlink r:id="rId660" w:history="1">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Laboral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p>
  </w:footnote>
  <w:footnote w:id="379">
    <w:p w14:paraId="2EA8E99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Anual</w:t>
      </w:r>
      <w:r>
        <w:rPr>
          <w:rStyle w:val="Hyperlink0"/>
        </w:rPr>
        <w:t xml:space="preserve"> 2022 </w:t>
      </w:r>
      <w:r>
        <w:rPr>
          <w:rStyle w:val="Hyperlink0"/>
          <w:rFonts w:ascii="Arial Unicode MS" w:eastAsia="Arial Unicode MS" w:hAnsi="Arial Unicode MS" w:cs="Arial Unicode MS"/>
        </w:rPr>
        <w:t>Capítulo</w:t>
      </w:r>
      <w:r>
        <w:rPr>
          <w:rStyle w:val="Hyperlink0"/>
        </w:rPr>
        <w:t xml:space="preserve"> </w:t>
      </w:r>
      <w:r>
        <w:rPr>
          <w:rStyle w:val="Hyperlink0"/>
          <w:rFonts w:ascii="Arial Unicode MS" w:eastAsia="Arial Unicode MS" w:hAnsi="Arial Unicode MS" w:cs="Arial Unicode MS"/>
        </w:rPr>
        <w:t>IV.A</w:t>
      </w:r>
      <w:r>
        <w:rPr>
          <w:rStyle w:val="Hyperlink0"/>
        </w:rPr>
        <w:t xml:space="preserve"> </w:t>
      </w:r>
      <w:r>
        <w:rPr>
          <w:rStyle w:val="Hyperlink0"/>
          <w:rFonts w:ascii="Arial Unicode MS" w:eastAsia="Arial Unicode MS" w:hAnsi="Arial Unicode MS" w:cs="Arial Unicode MS"/>
        </w:rPr>
        <w:t>“Grenada”</w:t>
      </w:r>
      <w:r>
        <w:rPr>
          <w:rFonts w:ascii="Arial Unicode MS" w:eastAsia="Arial Unicode MS" w:hAnsi="Arial Unicode MS" w:cs="Arial Unicode MS"/>
          <w:color w:val="2B477B"/>
        </w:rPr>
        <w:t>,</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453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EnGenDER</w:t>
      </w:r>
      <w:r>
        <w:rPr>
          <w:color w:val="2B477B"/>
        </w:rPr>
        <w:t xml:space="preserve"> </w:t>
      </w:r>
      <w:r>
        <w:rPr>
          <w:rFonts w:ascii="Arial Unicode MS" w:eastAsia="Arial Unicode MS" w:hAnsi="Arial Unicode MS" w:cs="Arial Unicode MS"/>
          <w:color w:val="2B477B"/>
        </w:rPr>
        <w:t>Climate</w:t>
      </w:r>
      <w:r>
        <w:rPr>
          <w:color w:val="2B477B"/>
        </w:rPr>
        <w:t xml:space="preserve"> </w:t>
      </w:r>
      <w:r>
        <w:rPr>
          <w:rFonts w:ascii="Arial Unicode MS" w:eastAsia="Arial Unicode MS" w:hAnsi="Arial Unicode MS" w:cs="Arial Unicode MS"/>
          <w:color w:val="2B477B"/>
        </w:rPr>
        <w:t>Resilience</w:t>
      </w:r>
      <w:r>
        <w:rPr>
          <w:color w:val="2B477B"/>
        </w:rPr>
        <w:t xml:space="preserve"> </w:t>
      </w:r>
      <w:r>
        <w:rPr>
          <w:rFonts w:ascii="Arial Unicode MS" w:eastAsia="Arial Unicode MS" w:hAnsi="Arial Unicode MS" w:cs="Arial Unicode MS"/>
          <w:color w:val="2B477B"/>
        </w:rPr>
        <w:t>Analysis,</w:t>
      </w:r>
      <w:r>
        <w:rPr>
          <w:color w:val="2B477B"/>
        </w:rPr>
        <w:t xml:space="preserve"> </w:t>
      </w:r>
      <w:r>
        <w:rPr>
          <w:rFonts w:ascii="Arial Unicode MS" w:eastAsia="Arial Unicode MS" w:hAnsi="Arial Unicode MS" w:cs="Arial Unicode MS"/>
          <w:color w:val="2B477B"/>
        </w:rPr>
        <w:t>Grenada,</w:t>
      </w:r>
      <w:r>
        <w:rPr>
          <w:color w:val="2B477B"/>
        </w:rPr>
        <w:t xml:space="preserve"> 2023</w:t>
      </w:r>
      <w:r>
        <w:rPr>
          <w:rFonts w:ascii="Arial Unicode MS" w:eastAsia="Arial Unicode MS" w:hAnsi="Arial Unicode MS" w:cs="Arial Unicode MS"/>
          <w:color w:val="2B477B"/>
        </w:rPr>
        <w:t>.</w:t>
      </w:r>
    </w:p>
  </w:footnote>
  <w:footnote w:id="380">
    <w:p w14:paraId="2117161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hyperlink r:id="rId661" w:history="1">
        <w:r>
          <w:rPr>
            <w:color w:val="2B477B"/>
          </w:rPr>
          <w:t xml:space="preserve"> </w:t>
        </w:r>
        <w:r>
          <w:rPr>
            <w:rStyle w:val="Hyperlink0"/>
            <w:rFonts w:ascii="Arial Unicode MS" w:eastAsia="Arial Unicode MS" w:hAnsi="Arial Unicode MS" w:cs="Arial Unicode MS"/>
          </w:rPr>
          <w:t>Informe</w:t>
        </w:r>
        <w:r>
          <w:rPr>
            <w:rStyle w:val="Hyperlink0"/>
          </w:rPr>
          <w:t xml:space="preserve"> </w:t>
        </w:r>
        <w:r>
          <w:rPr>
            <w:rStyle w:val="Hyperlink0"/>
            <w:rFonts w:ascii="Arial Unicode MS" w:eastAsia="Arial Unicode MS" w:hAnsi="Arial Unicode MS" w:cs="Arial Unicode MS"/>
          </w:rPr>
          <w:t>Anual</w:t>
        </w:r>
        <w:r>
          <w:rPr>
            <w:rStyle w:val="Hyperlink0"/>
          </w:rPr>
          <w:t xml:space="preserve"> 2022 </w:t>
        </w:r>
        <w:r>
          <w:rPr>
            <w:rStyle w:val="Hyperlink0"/>
            <w:rFonts w:ascii="Arial Unicode MS" w:eastAsia="Arial Unicode MS" w:hAnsi="Arial Unicode MS" w:cs="Arial Unicode MS"/>
          </w:rPr>
          <w:t>Capítulo</w:t>
        </w:r>
        <w:r>
          <w:rPr>
            <w:rStyle w:val="Hyperlink0"/>
          </w:rPr>
          <w:t xml:space="preserve"> </w:t>
        </w:r>
        <w:r>
          <w:rPr>
            <w:rStyle w:val="Hyperlink0"/>
            <w:rFonts w:ascii="Arial Unicode MS" w:eastAsia="Arial Unicode MS" w:hAnsi="Arial Unicode MS" w:cs="Arial Unicode MS"/>
          </w:rPr>
          <w:t>IV.A</w:t>
        </w:r>
        <w:r>
          <w:rPr>
            <w:rStyle w:val="Hyperlink0"/>
          </w:rPr>
          <w:t xml:space="preserve"> </w:t>
        </w:r>
        <w:r>
          <w:rPr>
            <w:rStyle w:val="Hyperlink0"/>
            <w:rFonts w:ascii="Arial Unicode MS" w:eastAsia="Arial Unicode MS" w:hAnsi="Arial Unicode MS" w:cs="Arial Unicode MS"/>
          </w:rPr>
          <w:t>“Grenada”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453</w:t>
      </w:r>
      <w:r>
        <w:rPr>
          <w:rFonts w:ascii="Arial Unicode MS" w:eastAsia="Arial Unicode MS" w:hAnsi="Arial Unicode MS" w:cs="Arial Unicode MS"/>
          <w:color w:val="2B477B"/>
        </w:rPr>
        <w:t>.</w:t>
      </w:r>
    </w:p>
  </w:footnote>
  <w:footnote w:id="381">
    <w:p w14:paraId="0DB6181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163</w:t>
      </w:r>
      <w:r>
        <w:rPr>
          <w:rFonts w:ascii="Arial Unicode MS" w:eastAsia="Arial Unicode MS" w:hAnsi="Arial Unicode MS" w:cs="Arial Unicode MS"/>
          <w:color w:val="2B477B"/>
        </w:rPr>
        <w:t>-</w:t>
      </w:r>
      <w:r>
        <w:rPr>
          <w:color w:val="2B477B"/>
        </w:rPr>
        <w:t>167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662" w:history="1">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Empleo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p>
  </w:footnote>
  <w:footnote w:id="382">
    <w:p w14:paraId="1DC7E22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140</w:t>
      </w:r>
      <w:r>
        <w:rPr>
          <w:rFonts w:ascii="Arial Unicode MS" w:eastAsia="Arial Unicode MS" w:hAnsi="Arial Unicode MS" w:cs="Arial Unicode MS"/>
          <w:color w:val="2B477B"/>
        </w:rPr>
        <w:t>-</w:t>
      </w:r>
      <w:r>
        <w:rPr>
          <w:color w:val="2B477B"/>
        </w:rPr>
        <w:t>141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Empleo,</w:t>
      </w:r>
      <w:r>
        <w:rPr>
          <w:color w:val="2B477B"/>
        </w:rPr>
        <w:t xml:space="preserve"> </w:t>
      </w:r>
      <w:hyperlink r:id="rId663" w:history="1">
        <w:r>
          <w:rPr>
            <w:rFonts w:ascii="Arial Unicode MS" w:eastAsia="Arial Unicode MS" w:hAnsi="Arial Unicode MS" w:cs="Arial Unicode MS"/>
            <w:color w:val="2B477B"/>
          </w:rPr>
          <w:t>Norma</w:t>
        </w:r>
        <w:r>
          <w:rPr>
            <w:color w:val="2B477B"/>
          </w:rPr>
          <w:t xml:space="preserve"> </w:t>
        </w:r>
        <w:r>
          <w:rPr>
            <w:rFonts w:ascii="Arial Unicode MS" w:eastAsia="Arial Unicode MS" w:hAnsi="Arial Unicode MS" w:cs="Arial Unicode MS"/>
            <w:color w:val="2B477B"/>
          </w:rPr>
          <w:t>Técnica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diseño,</w:t>
        </w:r>
        <w:r>
          <w:rPr>
            <w:color w:val="2B477B"/>
          </w:rPr>
          <w:t xml:space="preserve"> </w:t>
        </w:r>
        <w:r>
          <w:rPr>
            <w:rFonts w:ascii="Arial Unicode MS" w:eastAsia="Arial Unicode MS" w:hAnsi="Arial Unicode MS" w:cs="Arial Unicode MS"/>
            <w:color w:val="2B477B"/>
          </w:rPr>
          <w:t>implementación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ejecución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ajustes</w:t>
        </w:r>
        <w:r>
          <w:rPr>
            <w:color w:val="2B477B"/>
          </w:rPr>
          <w:t xml:space="preserve"> </w:t>
        </w:r>
        <w:r>
          <w:rPr>
            <w:rFonts w:ascii="Arial Unicode MS" w:eastAsia="Arial Unicode MS" w:hAnsi="Arial Unicode MS" w:cs="Arial Unicode MS"/>
            <w:color w:val="2B477B"/>
          </w:rPr>
          <w:t>razonables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empleo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sector</w:t>
        </w:r>
        <w:r>
          <w:rPr>
            <w:color w:val="2B477B"/>
          </w:rPr>
          <w:t xml:space="preserve"> </w:t>
        </w:r>
        <w:r>
          <w:rPr>
            <w:rFonts w:ascii="Arial Unicode MS" w:eastAsia="Arial Unicode MS" w:hAnsi="Arial Unicode MS" w:cs="Arial Unicode MS"/>
            <w:color w:val="2B477B"/>
          </w:rPr>
          <w:t>privado</w:t>
        </w:r>
      </w:hyperlink>
      <w:r>
        <w:rPr>
          <w:rFonts w:ascii="Arial Unicode MS" w:eastAsia="Arial Unicode MS" w:hAnsi="Arial Unicode MS" w:cs="Arial Unicode MS"/>
          <w:color w:val="2B477B"/>
        </w:rPr>
        <w:t>,</w:t>
      </w:r>
      <w:r>
        <w:rPr>
          <w:color w:val="2B477B"/>
        </w:rPr>
        <w:t xml:space="preserve"> </w:t>
      </w:r>
      <w:hyperlink r:id="rId664" w:history="1">
        <w:r>
          <w:rPr>
            <w:rFonts w:ascii="Arial Unicode MS" w:eastAsia="Arial Unicode MS" w:hAnsi="Arial Unicode MS" w:cs="Arial Unicode MS"/>
            <w:color w:val="2B477B"/>
          </w:rPr>
          <w:t>Resolución</w:t>
        </w:r>
        <w:r>
          <w:rPr>
            <w:color w:val="2B477B"/>
          </w:rPr>
          <w:t xml:space="preserve"> </w:t>
        </w:r>
        <w:r>
          <w:rPr>
            <w:rFonts w:ascii="Arial Unicode MS" w:eastAsia="Arial Unicode MS" w:hAnsi="Arial Unicode MS" w:cs="Arial Unicode MS"/>
            <w:color w:val="2B477B"/>
          </w:rPr>
          <w:t>Ministerial</w:t>
        </w:r>
        <w:r>
          <w:rPr>
            <w:color w:val="2B477B"/>
          </w:rPr>
          <w:t xml:space="preserve"> 127</w:t>
        </w:r>
        <w:r>
          <w:rPr>
            <w:rFonts w:ascii="Arial Unicode MS" w:eastAsia="Arial Unicode MS" w:hAnsi="Arial Unicode MS" w:cs="Arial Unicode MS"/>
            <w:color w:val="2B477B"/>
          </w:rPr>
          <w:t>-</w:t>
        </w:r>
        <w:r>
          <w:rPr>
            <w:color w:val="2B477B"/>
          </w:rPr>
          <w:t>2016</w:t>
        </w:r>
        <w:r>
          <w:rPr>
            <w:rFonts w:ascii="Arial Unicode MS" w:eastAsia="Arial Unicode MS" w:hAnsi="Arial Unicode MS" w:cs="Arial Unicode MS"/>
            <w:color w:val="2B477B"/>
          </w:rPr>
          <w:t>-TR</w:t>
        </w:r>
        <w:r>
          <w:rPr>
            <w:color w:val="2B477B"/>
          </w:rPr>
          <w:t xml:space="preserve"> </w:t>
        </w:r>
        <w:r>
          <w:rPr>
            <w:rFonts w:ascii="Arial Unicode MS" w:eastAsia="Arial Unicode MS" w:hAnsi="Arial Unicode MS" w:cs="Arial Unicode MS"/>
            <w:color w:val="2B477B"/>
          </w:rPr>
          <w:t>G</w:t>
        </w:r>
      </w:hyperlink>
      <w:hyperlink r:id="rId665" w:history="1">
        <w:r>
          <w:rPr>
            <w:rFonts w:ascii="Arial Unicode MS" w:eastAsia="Arial Unicode MS" w:hAnsi="Arial Unicode MS" w:cs="Arial Unicode MS"/>
            <w:color w:val="2B477B"/>
          </w:rPr>
          <w:t>,</w:t>
        </w:r>
        <w:r>
          <w:rPr>
            <w:color w:val="2B477B"/>
          </w:rPr>
          <w:t xml:space="preserve"> 2016</w:t>
        </w:r>
        <w:r>
          <w:rPr>
            <w:rFonts w:ascii="Arial Unicode MS" w:eastAsia="Arial Unicode MS" w:hAnsi="Arial Unicode MS" w:cs="Arial Unicode MS"/>
            <w:color w:val="2B477B"/>
          </w:rPr>
          <w:t>.</w:t>
        </w:r>
        <w:r>
          <w:rPr>
            <w:color w:val="2B477B"/>
          </w:rPr>
          <w:t xml:space="preserve"> </w:t>
        </w:r>
      </w:hyperlink>
    </w:p>
  </w:footnote>
  <w:footnote w:id="383">
    <w:p w14:paraId="183B04C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666" w:history="1">
        <w:r>
          <w:rPr>
            <w:rFonts w:ascii="Arial Unicode MS" w:eastAsia="Arial Unicode MS" w:hAnsi="Arial Unicode MS" w:cs="Arial Unicode MS"/>
            <w:color w:val="2B477B"/>
          </w:rPr>
          <w:t>Ley</w:t>
        </w:r>
        <w:r>
          <w:rPr>
            <w:color w:val="2B477B"/>
          </w:rPr>
          <w:t xml:space="preserve"> 18</w:t>
        </w:r>
        <w:r>
          <w:rPr>
            <w:rFonts w:ascii="Arial Unicode MS" w:eastAsia="Arial Unicode MS" w:hAnsi="Arial Unicode MS" w:cs="Arial Unicode MS"/>
            <w:color w:val="2B477B"/>
          </w:rPr>
          <w:t>.</w:t>
        </w:r>
        <w:r>
          <w:rPr>
            <w:color w:val="2B477B"/>
          </w:rPr>
          <w:t>651</w:t>
        </w:r>
      </w:hyperlink>
      <w:r>
        <w:rPr>
          <w:color w:val="2B477B"/>
        </w:rPr>
        <w:t xml:space="preserve"> </w:t>
      </w:r>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53 </w:t>
      </w:r>
      <w:r>
        <w:rPr>
          <w:rFonts w:ascii="Arial Unicode MS" w:eastAsia="Arial Unicode MS" w:hAnsi="Arial Unicode MS" w:cs="Arial Unicode MS"/>
          <w:color w:val="2B477B"/>
        </w:rPr>
        <w:t>y</w:t>
      </w:r>
      <w:r>
        <w:rPr>
          <w:color w:val="2B477B"/>
        </w:rPr>
        <w:t xml:space="preserve"> 54</w:t>
      </w:r>
      <w:r>
        <w:rPr>
          <w:rFonts w:ascii="Arial Unicode MS" w:eastAsia="Arial Unicode MS" w:hAnsi="Arial Unicode MS" w:cs="Arial Unicode MS"/>
          <w:color w:val="2B477B"/>
        </w:rPr>
        <w:t>.</w:t>
      </w:r>
    </w:p>
  </w:footnote>
  <w:footnote w:id="384">
    <w:p w14:paraId="2B32F24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región,</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p>
  </w:footnote>
  <w:footnote w:id="385">
    <w:p w14:paraId="5C85592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región,</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p>
  </w:footnote>
  <w:footnote w:id="386">
    <w:p w14:paraId="02BABC7D" w14:textId="77777777" w:rsidR="001A105D" w:rsidRDefault="00000000">
      <w:pPr>
        <w:pStyle w:val="Body"/>
        <w:jc w:val="left"/>
      </w:pPr>
      <w:r>
        <w:rPr>
          <w:rStyle w:val="None"/>
          <w:color w:val="2B477B"/>
          <w:vertAlign w:val="superscript"/>
        </w:rPr>
        <w:footnoteRef/>
      </w:r>
      <w:r>
        <w:rPr>
          <w:rStyle w:val="None"/>
          <w:color w:val="2B477B"/>
          <w:vertAlign w:val="superscript"/>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realizado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base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ONU,</w:t>
      </w:r>
      <w:r>
        <w:rPr>
          <w:color w:val="2B477B"/>
        </w:rPr>
        <w:t xml:space="preserve"> </w:t>
      </w:r>
      <w:hyperlink r:id="rId667" w:history="1">
        <w:r>
          <w:rPr>
            <w:rStyle w:val="Hyperlink0"/>
            <w:rFonts w:ascii="Arial Unicode MS" w:eastAsia="Arial Unicode MS" w:hAnsi="Arial Unicode MS" w:cs="Arial Unicode MS"/>
          </w:rPr>
          <w:t>Convención</w:t>
        </w:r>
        <w:r>
          <w:rPr>
            <w:rStyle w:val="Hyperlink0"/>
          </w:rPr>
          <w:t xml:space="preserve"> </w:t>
        </w:r>
        <w:r>
          <w:rPr>
            <w:rStyle w:val="Hyperlink0"/>
            <w:rFonts w:ascii="Arial Unicode MS" w:eastAsia="Arial Unicode MS" w:hAnsi="Arial Unicode MS" w:cs="Arial Unicode MS"/>
          </w:rPr>
          <w:t>sobre</w:t>
        </w:r>
        <w:r>
          <w:rPr>
            <w:rStyle w:val="Hyperlink0"/>
          </w:rPr>
          <w:t xml:space="preserve"> </w:t>
        </w:r>
        <w:r>
          <w:rPr>
            <w:rStyle w:val="Hyperlink0"/>
            <w:rFonts w:ascii="Arial Unicode MS" w:eastAsia="Arial Unicode MS" w:hAnsi="Arial Unicode MS" w:cs="Arial Unicode MS"/>
          </w:rPr>
          <w:t>los</w:t>
        </w:r>
        <w:r>
          <w:rPr>
            <w:rStyle w:val="Hyperlink0"/>
          </w:rPr>
          <w:t xml:space="preserve"> </w:t>
        </w:r>
        <w:r>
          <w:rPr>
            <w:rStyle w:val="Hyperlink0"/>
            <w:rFonts w:ascii="Arial Unicode MS" w:eastAsia="Arial Unicode MS" w:hAnsi="Arial Unicode MS" w:cs="Arial Unicode MS"/>
          </w:rPr>
          <w:t>Derechos</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las</w:t>
        </w:r>
        <w:r>
          <w:rPr>
            <w:rStyle w:val="Hyperlink0"/>
          </w:rPr>
          <w:t xml:space="preserve"> </w:t>
        </w:r>
        <w:r>
          <w:rPr>
            <w:rStyle w:val="Hyperlink0"/>
            <w:rFonts w:ascii="Arial Unicode MS" w:eastAsia="Arial Unicode MS" w:hAnsi="Arial Unicode MS" w:cs="Arial Unicode MS"/>
          </w:rPr>
          <w:t>Personas</w:t>
        </w:r>
        <w:r>
          <w:rPr>
            <w:rStyle w:val="Hyperlink0"/>
          </w:rPr>
          <w:t xml:space="preserve"> </w:t>
        </w:r>
        <w:r>
          <w:rPr>
            <w:rStyle w:val="Hyperlink0"/>
            <w:rFonts w:ascii="Arial Unicode MS" w:eastAsia="Arial Unicode MS" w:hAnsi="Arial Unicode MS" w:cs="Arial Unicode MS"/>
          </w:rPr>
          <w:t>con</w:t>
        </w:r>
        <w:r>
          <w:rPr>
            <w:rStyle w:val="Hyperlink0"/>
          </w:rPr>
          <w:t xml:space="preserve"> </w:t>
        </w:r>
        <w:r>
          <w:rPr>
            <w:rStyle w:val="Hyperlink0"/>
            <w:rFonts w:ascii="Arial Unicode MS" w:eastAsia="Arial Unicode MS" w:hAnsi="Arial Unicode MS" w:cs="Arial Unicode MS"/>
          </w:rPr>
          <w:t>Discapacidad</w:t>
        </w:r>
      </w:hyperlink>
      <w:r>
        <w:rPr>
          <w:rStyle w:val="Hyperlink0"/>
        </w:rPr>
        <w:t xml:space="preserve"> </w:t>
      </w:r>
      <w:r>
        <w:rPr>
          <w:rStyle w:val="Hyperlink0"/>
          <w:rFonts w:ascii="Arial Unicode MS" w:eastAsia="Arial Unicode MS" w:hAnsi="Arial Unicode MS" w:cs="Arial Unicode MS"/>
        </w:rPr>
        <w:t>(CDPD)</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r>
        <w:rPr>
          <w:color w:val="2B477B"/>
        </w:rPr>
        <w:t xml:space="preserve"> </w:t>
      </w:r>
    </w:p>
  </w:footnote>
  <w:footnote w:id="387">
    <w:p w14:paraId="50DDB02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668" w:history="1">
        <w:r>
          <w:rPr>
            <w:rStyle w:val="Hyperlink1"/>
            <w:rFonts w:ascii="Arial Unicode MS" w:eastAsia="Arial Unicode MS" w:hAnsi="Arial Unicode MS" w:cs="Arial Unicode MS"/>
            <w:u w:val="single"/>
          </w:rPr>
          <w:t>CDPD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p>
  </w:footnote>
  <w:footnote w:id="388">
    <w:p w14:paraId="63BC5AA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669" w:history="1">
        <w:r>
          <w:rPr>
            <w:rStyle w:val="Hyperlink1"/>
            <w:rFonts w:ascii="Arial Unicode MS" w:eastAsia="Arial Unicode MS" w:hAnsi="Arial Unicode MS" w:cs="Arial Unicode MS"/>
            <w:u w:val="single"/>
          </w:rPr>
          <w:t>CDPD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p>
  </w:footnote>
  <w:footnote w:id="389">
    <w:p w14:paraId="4BEDD0B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670"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Muelle</w:t>
        </w:r>
        <w:r>
          <w:rPr>
            <w:rStyle w:val="Hyperlink1"/>
            <w:u w:val="single"/>
          </w:rPr>
          <w:t xml:space="preserve"> </w:t>
        </w:r>
        <w:r>
          <w:rPr>
            <w:rStyle w:val="Hyperlink1"/>
            <w:rFonts w:ascii="Arial Unicode MS" w:eastAsia="Arial Unicode MS" w:hAnsi="Arial Unicode MS" w:cs="Arial Unicode MS"/>
            <w:u w:val="single"/>
          </w:rPr>
          <w:t>Flores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Peru</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375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40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147 </w:t>
      </w:r>
      <w:r>
        <w:rPr>
          <w:rFonts w:ascii="Arial Unicode MS" w:eastAsia="Arial Unicode MS" w:hAnsi="Arial Unicode MS" w:cs="Arial Unicode MS"/>
          <w:color w:val="2B477B"/>
        </w:rPr>
        <w:t>y</w:t>
      </w:r>
      <w:r>
        <w:rPr>
          <w:color w:val="2B477B"/>
        </w:rPr>
        <w:t xml:space="preserve"> 148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adoptando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opinión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perito</w:t>
      </w:r>
      <w:r>
        <w:rPr>
          <w:color w:val="2B477B"/>
        </w:rPr>
        <w:t xml:space="preserve"> </w:t>
      </w:r>
      <w:r>
        <w:rPr>
          <w:rFonts w:ascii="Arial Unicode MS" w:eastAsia="Arial Unicode MS" w:hAnsi="Arial Unicode MS" w:cs="Arial Unicode MS"/>
          <w:color w:val="2B477B"/>
        </w:rPr>
        <w:t>Christian</w:t>
      </w:r>
      <w:r>
        <w:rPr>
          <w:color w:val="2B477B"/>
        </w:rPr>
        <w:t xml:space="preserve"> </w:t>
      </w:r>
      <w:r>
        <w:rPr>
          <w:rFonts w:ascii="Arial Unicode MS" w:eastAsia="Arial Unicode MS" w:hAnsi="Arial Unicode MS" w:cs="Arial Unicode MS"/>
          <w:color w:val="2B477B"/>
        </w:rPr>
        <w:t>Courtis.</w:t>
      </w:r>
      <w:r>
        <w:rPr>
          <w:color w:val="2B477B"/>
        </w:rPr>
        <w:t xml:space="preserve"> </w:t>
      </w:r>
    </w:p>
  </w:footnote>
  <w:footnote w:id="390">
    <w:p w14:paraId="7D6DE55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671"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Guevara</w:t>
        </w:r>
        <w:r>
          <w:rPr>
            <w:color w:val="2B477B"/>
          </w:rPr>
          <w:t xml:space="preserve"> </w:t>
        </w:r>
        <w:r>
          <w:rPr>
            <w:rFonts w:ascii="Arial Unicode MS" w:eastAsia="Arial Unicode MS" w:hAnsi="Arial Unicode MS" w:cs="Arial Unicode MS"/>
            <w:color w:val="2B477B"/>
          </w:rPr>
          <w:t>Díaz</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hyperlink>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22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453</w:t>
      </w:r>
      <w:r>
        <w:rPr>
          <w:rFonts w:ascii="Arial Unicode MS" w:eastAsia="Arial Unicode MS" w:hAnsi="Arial Unicode MS" w:cs="Arial Unicode MS"/>
          <w:color w:val="2B477B"/>
        </w:rPr>
        <w:t>.</w:t>
      </w:r>
      <w:r>
        <w:rPr>
          <w:color w:val="2B477B"/>
        </w:rPr>
        <w:t xml:space="preserve"> </w:t>
      </w:r>
    </w:p>
  </w:footnote>
  <w:footnote w:id="391">
    <w:p w14:paraId="7C03E5B0" w14:textId="77777777" w:rsidR="001A105D" w:rsidRDefault="00000000">
      <w:pPr>
        <w:pStyle w:val="Body"/>
        <w:jc w:val="left"/>
        <w:rPr>
          <w:color w:val="2B477B"/>
        </w:rPr>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672" w:history="1">
        <w:r>
          <w:rPr>
            <w:rStyle w:val="Hyperlink1"/>
            <w:rFonts w:ascii="Arial Unicode MS" w:eastAsia="Arial Unicode MS" w:hAnsi="Arial Unicode MS" w:cs="Arial Unicode MS"/>
            <w:u w:val="single"/>
          </w:rPr>
          <w:t>Observación</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w:t>
        </w:r>
        <w:r>
          <w:rPr>
            <w:rStyle w:val="Hyperlink1"/>
            <w:rFonts w:ascii="Arial Unicode MS" w:eastAsia="Arial Unicode MS" w:hAnsi="Arial Unicode MS" w:cs="Arial Unicode MS"/>
            <w:u w:val="single"/>
          </w:rPr>
          <w:t>Comité</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Eliminación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Todas</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formas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contra</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necesidad</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interpretar</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artículo</w:t>
        </w:r>
        <w:r>
          <w:rPr>
            <w:rStyle w:val="Hyperlink1"/>
            <w:u w:val="single"/>
          </w:rPr>
          <w:t xml:space="preserve"> </w:t>
        </w:r>
        <w:r>
          <w:rPr>
            <w:rStyle w:val="Hyperlink1"/>
            <w:rFonts w:ascii="Arial Unicode MS" w:eastAsia="Arial Unicode MS" w:hAnsi="Arial Unicode MS" w:cs="Arial Unicode MS"/>
            <w:u w:val="single"/>
          </w:rPr>
          <w:t>I.</w:t>
        </w:r>
        <w:r>
          <w:rPr>
            <w:rStyle w:val="Hyperlink1"/>
            <w:u w:val="single"/>
          </w:rPr>
          <w:t>2</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Inciso</w:t>
        </w:r>
        <w:r>
          <w:rPr>
            <w:rStyle w:val="Hyperlink1"/>
            <w:u w:val="single"/>
          </w:rPr>
          <w:t xml:space="preserve"> </w:t>
        </w:r>
        <w:r>
          <w:rPr>
            <w:rStyle w:val="Hyperlink1"/>
            <w:rFonts w:ascii="Arial Unicode MS" w:eastAsia="Arial Unicode MS" w:hAnsi="Arial Unicode MS" w:cs="Arial Unicode MS"/>
            <w:u w:val="single"/>
          </w:rPr>
          <w:t>B)</w:t>
        </w:r>
        <w:r>
          <w:rPr>
            <w:rStyle w:val="Hyperlink1"/>
            <w:u w:val="single"/>
          </w:rPr>
          <w:t xml:space="preserve"> </w:t>
        </w:r>
        <w:r>
          <w:rPr>
            <w:rStyle w:val="Hyperlink1"/>
            <w:rFonts w:ascii="Arial Unicode MS" w:eastAsia="Arial Unicode MS" w:hAnsi="Arial Unicode MS" w:cs="Arial Unicode MS"/>
            <w:u w:val="single"/>
          </w:rPr>
          <w:t>In</w:t>
        </w:r>
        <w:r>
          <w:rPr>
            <w:rStyle w:val="Hyperlink1"/>
            <w:u w:val="single"/>
          </w:rPr>
          <w:t xml:space="preserve"> </w:t>
        </w:r>
        <w:r>
          <w:rPr>
            <w:rStyle w:val="Hyperlink1"/>
            <w:rFonts w:ascii="Arial Unicode MS" w:eastAsia="Arial Unicode MS" w:hAnsi="Arial Unicode MS" w:cs="Arial Unicode MS"/>
            <w:u w:val="single"/>
          </w:rPr>
          <w:t>fine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Interamericana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Eliminación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Todas</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formas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Discriminación</w:t>
        </w:r>
        <w:r>
          <w:rPr>
            <w:rStyle w:val="Hyperlink1"/>
            <w:u w:val="single"/>
          </w:rPr>
          <w:t xml:space="preserve"> </w:t>
        </w:r>
        <w:r>
          <w:rPr>
            <w:rStyle w:val="Hyperlink1"/>
            <w:rFonts w:ascii="Arial Unicode MS" w:eastAsia="Arial Unicode MS" w:hAnsi="Arial Unicode MS" w:cs="Arial Unicode MS"/>
            <w:u w:val="single"/>
          </w:rPr>
          <w:t>contra</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en</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marco</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w:t>
        </w:r>
        <w:r>
          <w:rPr>
            <w:rStyle w:val="Hyperlink1"/>
            <w:rFonts w:ascii="Arial Unicode MS" w:eastAsia="Arial Unicode MS" w:hAnsi="Arial Unicode MS" w:cs="Arial Unicode MS"/>
            <w:u w:val="single"/>
          </w:rPr>
          <w:t>artículo</w:t>
        </w:r>
        <w:r>
          <w:rPr>
            <w:rStyle w:val="Hyperlink1"/>
            <w:u w:val="single"/>
          </w:rPr>
          <w:t xml:space="preserve"> 12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2011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ONU,</w:t>
      </w:r>
      <w:r>
        <w:rPr>
          <w:color w:val="2B477B"/>
        </w:rPr>
        <w:t xml:space="preserve"> </w:t>
      </w:r>
      <w:hyperlink r:id="rId673" w:history="1">
        <w:r>
          <w:rPr>
            <w:rStyle w:val="Hyperlink1"/>
            <w:rFonts w:ascii="Arial Unicode MS" w:eastAsia="Arial Unicode MS" w:hAnsi="Arial Unicode MS" w:cs="Arial Unicode MS"/>
            <w:u w:val="single"/>
          </w:rPr>
          <w:t>CDPD,</w:t>
        </w:r>
      </w:hyperlink>
      <w:r>
        <w:rPr>
          <w:color w:val="2B477B"/>
        </w:rPr>
        <w:t xml:space="preserve"> </w:t>
      </w:r>
      <w:r>
        <w:rPr>
          <w:rFonts w:ascii="Arial Unicode MS" w:eastAsia="Arial Unicode MS" w:hAnsi="Arial Unicode MS" w:cs="Arial Unicode MS"/>
          <w:color w:val="2B477B"/>
        </w:rPr>
        <w:t>arts.</w:t>
      </w:r>
      <w:r>
        <w:rPr>
          <w:color w:val="2B477B"/>
        </w:rPr>
        <w:t xml:space="preserve"> 2 </w:t>
      </w:r>
      <w:r>
        <w:rPr>
          <w:rFonts w:ascii="Arial Unicode MS" w:eastAsia="Arial Unicode MS" w:hAnsi="Arial Unicode MS" w:cs="Arial Unicode MS"/>
          <w:color w:val="2B477B"/>
        </w:rPr>
        <w:t>y</w:t>
      </w:r>
      <w:r>
        <w:rPr>
          <w:color w:val="2B477B"/>
        </w:rPr>
        <w:t xml:space="preserve"> 12</w:t>
      </w:r>
      <w:r>
        <w:rPr>
          <w:rFonts w:ascii="Arial Unicode MS" w:eastAsia="Arial Unicode MS" w:hAnsi="Arial Unicode MS" w:cs="Arial Unicode MS"/>
          <w:color w:val="2B477B"/>
        </w:rPr>
        <w:t>.</w:t>
      </w:r>
      <w:r>
        <w:rPr>
          <w:color w:val="2B477B"/>
        </w:rPr>
        <w:t xml:space="preserve"> </w:t>
      </w:r>
    </w:p>
    <w:p w14:paraId="3C8F7BDC" w14:textId="77777777" w:rsidR="001A105D" w:rsidRDefault="001A105D">
      <w:pPr>
        <w:pStyle w:val="Body"/>
        <w:jc w:val="left"/>
      </w:pPr>
    </w:p>
  </w:footnote>
  <w:footnote w:id="392">
    <w:p w14:paraId="678F888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Véase,</w:t>
      </w:r>
      <w:r>
        <w:rPr>
          <w:color w:val="2B477B"/>
        </w:rPr>
        <w:t xml:space="preserve"> </w:t>
      </w:r>
      <w:hyperlink r:id="rId674" w:history="1">
        <w:r>
          <w:rPr>
            <w:rFonts w:ascii="Arial Unicode MS" w:eastAsia="Arial Unicode MS" w:hAnsi="Arial Unicode MS" w:cs="Arial Unicode MS"/>
            <w:color w:val="2B477B"/>
          </w:rPr>
          <w:t>Carta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OEA</w:t>
        </w:r>
      </w:hyperlink>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.l;</w:t>
      </w:r>
      <w:r>
        <w:rPr>
          <w:color w:val="2B477B"/>
        </w:rPr>
        <w:t xml:space="preserve"> </w:t>
      </w:r>
      <w:hyperlink r:id="rId675"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Americana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 </w:t>
      </w:r>
      <w:r>
        <w:rPr>
          <w:rFonts w:ascii="Arial Unicode MS" w:eastAsia="Arial Unicode MS" w:hAnsi="Arial Unicode MS" w:cs="Arial Unicode MS"/>
          <w:color w:val="2B477B"/>
        </w:rPr>
        <w:t>y</w:t>
      </w:r>
      <w:r>
        <w:rPr>
          <w:color w:val="2B477B"/>
        </w:rPr>
        <w:t xml:space="preserve"> 24</w:t>
      </w:r>
      <w:r>
        <w:rPr>
          <w:rFonts w:ascii="Arial Unicode MS" w:eastAsia="Arial Unicode MS" w:hAnsi="Arial Unicode MS" w:cs="Arial Unicode MS"/>
          <w:color w:val="2B477B"/>
        </w:rPr>
        <w:t>;</w:t>
      </w:r>
      <w:r>
        <w:rPr>
          <w:color w:val="2B477B"/>
        </w:rPr>
        <w:t xml:space="preserve"> </w:t>
      </w:r>
      <w:hyperlink r:id="rId676" w:history="1">
        <w:r>
          <w:rPr>
            <w:rFonts w:ascii="Arial Unicode MS" w:eastAsia="Arial Unicode MS" w:hAnsi="Arial Unicode MS" w:cs="Arial Unicode MS"/>
            <w:color w:val="2B477B"/>
          </w:rPr>
          <w:t>Declaración</w:t>
        </w:r>
        <w:r>
          <w:rPr>
            <w:color w:val="2B477B"/>
          </w:rPr>
          <w:t xml:space="preserve"> </w:t>
        </w:r>
        <w:r>
          <w:rPr>
            <w:rFonts w:ascii="Arial Unicode MS" w:eastAsia="Arial Unicode MS" w:hAnsi="Arial Unicode MS" w:cs="Arial Unicode MS"/>
            <w:color w:val="2B477B"/>
          </w:rPr>
          <w:t>Americana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Deberes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Hombre</w:t>
        </w:r>
      </w:hyperlink>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II;</w:t>
      </w:r>
      <w:r>
        <w:rPr>
          <w:color w:val="2B477B"/>
        </w:rPr>
        <w:t xml:space="preserve"> </w:t>
      </w:r>
      <w:hyperlink r:id="rId677" w:history="1">
        <w:r>
          <w:rPr>
            <w:rStyle w:val="Hyperlink1"/>
            <w:rFonts w:ascii="Arial Unicode MS" w:eastAsia="Arial Unicode MS" w:hAnsi="Arial Unicode MS" w:cs="Arial Unicode MS"/>
            <w:u w:val="single"/>
          </w:rPr>
          <w:t>Protocolo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San</w:t>
        </w:r>
        <w:r>
          <w:rPr>
            <w:rStyle w:val="Hyperlink1"/>
            <w:u w:val="single"/>
          </w:rPr>
          <w:t xml:space="preserve"> </w:t>
        </w:r>
        <w:r>
          <w:rPr>
            <w:rStyle w:val="Hyperlink1"/>
            <w:rFonts w:ascii="Arial Unicode MS" w:eastAsia="Arial Unicode MS" w:hAnsi="Arial Unicode MS" w:cs="Arial Unicode MS"/>
            <w:u w:val="single"/>
          </w:rPr>
          <w:t>Salvador</w:t>
        </w:r>
      </w:hyperlink>
      <w:r>
        <w:rPr>
          <w:rFonts w:ascii="Arial Unicode MS" w:eastAsia="Arial Unicode MS" w:hAnsi="Arial Unicode MS" w:cs="Arial Unicode MS"/>
          <w:color w:val="2B477B"/>
        </w:rPr>
        <w:t>,art.</w:t>
      </w:r>
      <w:r>
        <w:rPr>
          <w:color w:val="2B477B"/>
        </w:rPr>
        <w:t xml:space="preserve"> 3</w:t>
      </w:r>
      <w:r>
        <w:rPr>
          <w:rFonts w:ascii="Arial Unicode MS" w:eastAsia="Arial Unicode MS" w:hAnsi="Arial Unicode MS" w:cs="Arial Unicode MS"/>
          <w:color w:val="2B477B"/>
        </w:rPr>
        <w:t>;</w:t>
      </w:r>
      <w:r>
        <w:rPr>
          <w:color w:val="2B477B"/>
        </w:rPr>
        <w:t xml:space="preserve"> </w:t>
      </w:r>
      <w:hyperlink r:id="rId678"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Prevenir,</w:t>
        </w:r>
        <w:r>
          <w:rPr>
            <w:color w:val="2B477B"/>
          </w:rPr>
          <w:t xml:space="preserve"> </w:t>
        </w:r>
        <w:r>
          <w:rPr>
            <w:rFonts w:ascii="Arial Unicode MS" w:eastAsia="Arial Unicode MS" w:hAnsi="Arial Unicode MS" w:cs="Arial Unicode MS"/>
            <w:color w:val="2B477B"/>
          </w:rPr>
          <w:t>Sancionar</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Erradicar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Violencia</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Mujer</w:t>
        </w:r>
      </w:hyperlink>
      <w:r>
        <w:rPr>
          <w:rFonts w:ascii="Arial Unicode MS" w:eastAsia="Arial Unicode MS" w:hAnsi="Arial Unicode MS" w:cs="Arial Unicode MS"/>
          <w:color w:val="2B477B"/>
        </w:rPr>
        <w:t>,arts.</w:t>
      </w:r>
      <w:r>
        <w:rPr>
          <w:color w:val="2B477B"/>
        </w:rPr>
        <w:t xml:space="preserve"> 4</w:t>
      </w:r>
      <w:r>
        <w:rPr>
          <w:rFonts w:ascii="Arial Unicode MS" w:eastAsia="Arial Unicode MS" w:hAnsi="Arial Unicode MS" w:cs="Arial Unicode MS"/>
          <w:color w:val="2B477B"/>
        </w:rPr>
        <w:t>.f,</w:t>
      </w:r>
      <w:r>
        <w:rPr>
          <w:color w:val="2B477B"/>
        </w:rPr>
        <w:t xml:space="preserve"> 6 </w:t>
      </w:r>
      <w:r>
        <w:rPr>
          <w:rFonts w:ascii="Arial Unicode MS" w:eastAsia="Arial Unicode MS" w:hAnsi="Arial Unicode MS" w:cs="Arial Unicode MS"/>
          <w:color w:val="2B477B"/>
        </w:rPr>
        <w:t>y</w:t>
      </w:r>
      <w:r>
        <w:rPr>
          <w:color w:val="2B477B"/>
        </w:rPr>
        <w:t xml:space="preserve"> 9</w:t>
      </w:r>
      <w:r>
        <w:rPr>
          <w:rFonts w:ascii="Arial Unicode MS" w:eastAsia="Arial Unicode MS" w:hAnsi="Arial Unicode MS" w:cs="Arial Unicode MS"/>
          <w:color w:val="2B477B"/>
        </w:rPr>
        <w:t>;</w:t>
      </w:r>
      <w:r>
        <w:rPr>
          <w:color w:val="2B477B"/>
        </w:rPr>
        <w:t xml:space="preserve"> </w:t>
      </w:r>
      <w:hyperlink r:id="rId679"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,arts.</w:t>
      </w:r>
      <w:r>
        <w:rPr>
          <w:color w:val="2B477B"/>
        </w:rPr>
        <w:t xml:space="preserve"> </w:t>
      </w:r>
      <w:r>
        <w:rPr>
          <w:rFonts w:ascii="Arial Unicode MS" w:eastAsia="Arial Unicode MS" w:hAnsi="Arial Unicode MS" w:cs="Arial Unicode MS"/>
          <w:color w:val="2B477B"/>
        </w:rPr>
        <w:t>I.</w:t>
      </w:r>
      <w:r>
        <w:rPr>
          <w:color w:val="2B477B"/>
        </w:rPr>
        <w:t>2</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IV.</w:t>
      </w:r>
    </w:p>
  </w:footnote>
  <w:footnote w:id="393">
    <w:p w14:paraId="08767D1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CIDH,</w:t>
      </w:r>
      <w:r>
        <w:rPr>
          <w:color w:val="2B477B"/>
        </w:rPr>
        <w:t xml:space="preserve"> </w:t>
      </w:r>
      <w:hyperlink r:id="rId680"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No.</w:t>
        </w:r>
        <w:r>
          <w:rPr>
            <w:color w:val="2B477B"/>
          </w:rPr>
          <w:t xml:space="preserve"> 176/10</w:t>
        </w:r>
      </w:hyperlink>
      <w:hyperlink r:id="rId681" w:history="1">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Casos</w:t>
        </w:r>
        <w:r>
          <w:rPr>
            <w:color w:val="2B477B"/>
          </w:rPr>
          <w:t xml:space="preserve"> 12</w:t>
        </w:r>
        <w:r>
          <w:rPr>
            <w:rFonts w:ascii="Arial Unicode MS" w:eastAsia="Arial Unicode MS" w:hAnsi="Arial Unicode MS" w:cs="Arial Unicode MS"/>
            <w:color w:val="2B477B"/>
          </w:rPr>
          <w:t>.</w:t>
        </w:r>
        <w:r>
          <w:rPr>
            <w:color w:val="2B477B"/>
          </w:rPr>
          <w:t>576</w:t>
        </w:r>
        <w:r>
          <w:rPr>
            <w:rFonts w:ascii="Arial Unicode MS" w:eastAsia="Arial Unicode MS" w:hAnsi="Arial Unicode MS" w:cs="Arial Unicode MS"/>
            <w:color w:val="2B477B"/>
          </w:rPr>
          <w:t>,</w:t>
        </w:r>
        <w:r>
          <w:rPr>
            <w:color w:val="2B477B"/>
          </w:rPr>
          <w:t xml:space="preserve"> 12</w:t>
        </w:r>
        <w:r>
          <w:rPr>
            <w:rFonts w:ascii="Arial Unicode MS" w:eastAsia="Arial Unicode MS" w:hAnsi="Arial Unicode MS" w:cs="Arial Unicode MS"/>
            <w:color w:val="2B477B"/>
          </w:rPr>
          <w:t>.</w:t>
        </w:r>
        <w:r>
          <w:rPr>
            <w:color w:val="2B477B"/>
          </w:rPr>
          <w:t xml:space="preserve">611 </w:t>
        </w:r>
        <w:r>
          <w:rPr>
            <w:rFonts w:ascii="Arial Unicode MS" w:eastAsia="Arial Unicode MS" w:hAnsi="Arial Unicode MS" w:cs="Arial Unicode MS"/>
            <w:color w:val="2B477B"/>
          </w:rPr>
          <w:t>y</w:t>
        </w:r>
        <w:r>
          <w:rPr>
            <w:color w:val="2B477B"/>
          </w:rPr>
          <w:t xml:space="preserve"> 12</w:t>
        </w:r>
        <w:r>
          <w:rPr>
            <w:rFonts w:ascii="Arial Unicode MS" w:eastAsia="Arial Unicode MS" w:hAnsi="Arial Unicode MS" w:cs="Arial Unicode MS"/>
            <w:color w:val="2B477B"/>
          </w:rPr>
          <w:t>.</w:t>
        </w:r>
        <w:r>
          <w:rPr>
            <w:color w:val="2B477B"/>
          </w:rPr>
          <w:t>612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Segundo</w:t>
        </w:r>
        <w:r>
          <w:rPr>
            <w:color w:val="2B477B"/>
          </w:rPr>
          <w:t xml:space="preserve"> </w:t>
        </w:r>
        <w:r>
          <w:rPr>
            <w:rFonts w:ascii="Arial Unicode MS" w:eastAsia="Arial Unicode MS" w:hAnsi="Arial Unicode MS" w:cs="Arial Unicode MS"/>
            <w:color w:val="2B477B"/>
          </w:rPr>
          <w:t>Aniceto</w:t>
        </w:r>
        <w:r>
          <w:rPr>
            <w:color w:val="2B477B"/>
          </w:rPr>
          <w:t xml:space="preserve"> </w:t>
        </w:r>
        <w:r>
          <w:rPr>
            <w:rFonts w:ascii="Arial Unicode MS" w:eastAsia="Arial Unicode MS" w:hAnsi="Arial Unicode MS" w:cs="Arial Unicode MS"/>
            <w:color w:val="2B477B"/>
          </w:rPr>
          <w:t>Norin</w:t>
        </w:r>
        <w:r>
          <w:rPr>
            <w:color w:val="2B477B"/>
          </w:rPr>
          <w:t xml:space="preserve"> </w:t>
        </w:r>
        <w:r>
          <w:rPr>
            <w:rFonts w:ascii="Arial Unicode MS" w:eastAsia="Arial Unicode MS" w:hAnsi="Arial Unicode MS" w:cs="Arial Unicode MS"/>
            <w:color w:val="2B477B"/>
          </w:rPr>
          <w:t>Catriman,</w:t>
        </w:r>
        <w:r>
          <w:rPr>
            <w:color w:val="2B477B"/>
          </w:rPr>
          <w:t xml:space="preserve"> </w:t>
        </w:r>
        <w:r>
          <w:rPr>
            <w:rFonts w:ascii="Arial Unicode MS" w:eastAsia="Arial Unicode MS" w:hAnsi="Arial Unicode MS" w:cs="Arial Unicode MS"/>
            <w:color w:val="2B477B"/>
          </w:rPr>
          <w:t>Juan</w:t>
        </w:r>
        <w:r>
          <w:rPr>
            <w:color w:val="2B477B"/>
          </w:rPr>
          <w:t xml:space="preserve"> </w:t>
        </w:r>
        <w:r>
          <w:rPr>
            <w:rFonts w:ascii="Arial Unicode MS" w:eastAsia="Arial Unicode MS" w:hAnsi="Arial Unicode MS" w:cs="Arial Unicode MS"/>
            <w:color w:val="2B477B"/>
          </w:rPr>
          <w:t>Patricio</w:t>
        </w:r>
        <w:r>
          <w:rPr>
            <w:color w:val="2B477B"/>
          </w:rPr>
          <w:t xml:space="preserve"> </w:t>
        </w:r>
        <w:r>
          <w:rPr>
            <w:rFonts w:ascii="Arial Unicode MS" w:eastAsia="Arial Unicode MS" w:hAnsi="Arial Unicode MS" w:cs="Arial Unicode MS"/>
            <w:color w:val="2B477B"/>
          </w:rPr>
          <w:t>Marileo</w:t>
        </w:r>
        <w:r>
          <w:rPr>
            <w:color w:val="2B477B"/>
          </w:rPr>
          <w:t xml:space="preserve"> </w:t>
        </w:r>
        <w:r>
          <w:rPr>
            <w:rFonts w:ascii="Arial Unicode MS" w:eastAsia="Arial Unicode MS" w:hAnsi="Arial Unicode MS" w:cs="Arial Unicode MS"/>
            <w:color w:val="2B477B"/>
          </w:rPr>
          <w:t>Saravia,</w:t>
        </w:r>
        <w:r>
          <w:rPr>
            <w:color w:val="2B477B"/>
          </w:rPr>
          <w:t xml:space="preserve"> </w:t>
        </w:r>
        <w:r>
          <w:rPr>
            <w:rFonts w:ascii="Arial Unicode MS" w:eastAsia="Arial Unicode MS" w:hAnsi="Arial Unicode MS" w:cs="Arial Unicode MS"/>
            <w:color w:val="2B477B"/>
          </w:rPr>
          <w:t>Victor</w:t>
        </w:r>
        <w:r>
          <w:rPr>
            <w:color w:val="2B477B"/>
          </w:rPr>
          <w:t xml:space="preserve"> </w:t>
        </w:r>
        <w:r>
          <w:rPr>
            <w:rFonts w:ascii="Arial Unicode MS" w:eastAsia="Arial Unicode MS" w:hAnsi="Arial Unicode MS" w:cs="Arial Unicode MS"/>
            <w:color w:val="2B477B"/>
          </w:rPr>
          <w:t>Ancalaf</w:t>
        </w:r>
        <w:r>
          <w:rPr>
            <w:color w:val="2B477B"/>
          </w:rPr>
          <w:t xml:space="preserve"> </w:t>
        </w:r>
        <w:r>
          <w:rPr>
            <w:rFonts w:ascii="Arial Unicode MS" w:eastAsia="Arial Unicode MS" w:hAnsi="Arial Unicode MS" w:cs="Arial Unicode MS"/>
            <w:color w:val="2B477B"/>
          </w:rPr>
          <w:t>Llaupe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(Chile),</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160</w:t>
      </w:r>
      <w:r>
        <w:rPr>
          <w:rFonts w:ascii="Arial Unicode MS" w:eastAsia="Arial Unicode MS" w:hAnsi="Arial Unicode MS" w:cs="Arial Unicode MS"/>
          <w:color w:val="2B477B"/>
        </w:rPr>
        <w:t>.</w:t>
      </w:r>
    </w:p>
  </w:footnote>
  <w:footnote w:id="394">
    <w:p w14:paraId="44A8A19C" w14:textId="77777777" w:rsidR="001A105D" w:rsidRDefault="00000000">
      <w:pPr>
        <w:pStyle w:val="Body"/>
        <w:jc w:val="left"/>
      </w:pPr>
      <w:r>
        <w:rPr>
          <w:rStyle w:val="None"/>
          <w:color w:val="2B477B"/>
          <w:vertAlign w:val="superscript"/>
        </w:rPr>
        <w:footnoteRef/>
      </w:r>
      <w:r>
        <w:rPr>
          <w:color w:val="2B477B"/>
        </w:rPr>
        <w:t xml:space="preserve"> </w:t>
      </w:r>
      <w:hyperlink r:id="rId682" w:history="1">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w:hyperlink r:id="rId683" w:history="1">
        <w:r>
          <w:rPr>
            <w:rFonts w:ascii="Arial Unicode MS" w:eastAsia="Arial Unicode MS" w:hAnsi="Arial Unicode MS" w:cs="Arial Unicode MS"/>
            <w:color w:val="2B477B"/>
          </w:rPr>
          <w:t>Condición</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migrantes</w:t>
        </w:r>
        <w:r>
          <w:rPr>
            <w:color w:val="2B477B"/>
          </w:rPr>
          <w:t xml:space="preserve"> </w:t>
        </w:r>
        <w:r>
          <w:rPr>
            <w:rFonts w:ascii="Arial Unicode MS" w:eastAsia="Arial Unicode MS" w:hAnsi="Arial Unicode MS" w:cs="Arial Unicode MS"/>
            <w:color w:val="2B477B"/>
          </w:rPr>
          <w:t>indocumentados.</w:t>
        </w:r>
        <w:r>
          <w:rPr>
            <w:color w:val="2B477B"/>
          </w:rPr>
          <w:t xml:space="preserve"> </w:t>
        </w:r>
        <w:r>
          <w:rPr>
            <w:rFonts w:ascii="Arial Unicode MS" w:eastAsia="Arial Unicode MS" w:hAnsi="Arial Unicode MS" w:cs="Arial Unicode MS"/>
            <w:color w:val="2B477B"/>
          </w:rPr>
          <w:t>Opinión</w:t>
        </w:r>
        <w:r>
          <w:rPr>
            <w:color w:val="2B477B"/>
          </w:rPr>
          <w:t xml:space="preserve"> </w:t>
        </w:r>
        <w:r>
          <w:rPr>
            <w:rFonts w:ascii="Arial Unicode MS" w:eastAsia="Arial Unicode MS" w:hAnsi="Arial Unicode MS" w:cs="Arial Unicode MS"/>
            <w:color w:val="2B477B"/>
          </w:rPr>
          <w:t>Consultiva</w:t>
        </w:r>
      </w:hyperlink>
      <w:hyperlink r:id="rId684" w:history="1">
        <w:r>
          <w:rPr>
            <w:color w:val="2B477B"/>
          </w:rPr>
          <w:t xml:space="preserve"> </w:t>
        </w:r>
        <w:r>
          <w:rPr>
            <w:rFonts w:ascii="Arial Unicode MS" w:eastAsia="Arial Unicode MS" w:hAnsi="Arial Unicode MS" w:cs="Arial Unicode MS"/>
            <w:color w:val="2B477B"/>
          </w:rPr>
          <w:t>OC-</w:t>
        </w:r>
        <w:r>
          <w:rPr>
            <w:color w:val="2B477B"/>
          </w:rPr>
          <w:t xml:space="preserve">18/03 </w:t>
        </w:r>
        <w:r>
          <w:rPr>
            <w:rFonts w:ascii="Arial Unicode MS" w:eastAsia="Arial Unicode MS" w:hAnsi="Arial Unicode MS" w:cs="Arial Unicode MS"/>
            <w:color w:val="2B477B"/>
          </w:rPr>
          <w:t>de</w:t>
        </w:r>
        <w:r>
          <w:rPr>
            <w:color w:val="2B477B"/>
          </w:rPr>
          <w:t xml:space="preserve"> 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2003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No.</w:t>
        </w:r>
        <w:r>
          <w:rPr>
            <w:color w:val="2B477B"/>
          </w:rPr>
          <w:t xml:space="preserve"> 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83</w:t>
      </w:r>
      <w:r>
        <w:rPr>
          <w:rFonts w:ascii="Arial Unicode MS" w:eastAsia="Arial Unicode MS" w:hAnsi="Arial Unicode MS" w:cs="Arial Unicode MS"/>
          <w:color w:val="2B477B"/>
        </w:rPr>
        <w:t>.</w:t>
      </w:r>
    </w:p>
  </w:footnote>
  <w:footnote w:id="395">
    <w:p w14:paraId="144CAC80" w14:textId="77777777" w:rsidR="001A105D" w:rsidRDefault="00000000">
      <w:pPr>
        <w:pStyle w:val="Body"/>
        <w:jc w:val="left"/>
      </w:pPr>
      <w:r>
        <w:rPr>
          <w:rStyle w:val="None"/>
          <w:color w:val="2B477B"/>
          <w:vertAlign w:val="superscript"/>
        </w:rPr>
        <w:footnoteRef/>
      </w:r>
      <w:r>
        <w:rPr>
          <w:color w:val="2B477B"/>
        </w:rPr>
        <w:t xml:space="preserve"> </w:t>
      </w:r>
      <w:hyperlink r:id="rId685" w:history="1">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w:hyperlink r:id="rId686"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Yatama</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Nicaragua.</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hyperlink r:id="rId687" w:history="1">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2005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127</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185</w:t>
      </w:r>
      <w:r>
        <w:rPr>
          <w:rFonts w:ascii="Arial Unicode MS" w:eastAsia="Arial Unicode MS" w:hAnsi="Arial Unicode MS" w:cs="Arial Unicode MS"/>
          <w:color w:val="2B477B"/>
        </w:rPr>
        <w:t>.</w:t>
      </w:r>
    </w:p>
  </w:footnote>
  <w:footnote w:id="396">
    <w:p w14:paraId="5C826145" w14:textId="77777777" w:rsidR="001A105D" w:rsidRDefault="00000000">
      <w:pPr>
        <w:pStyle w:val="Body"/>
        <w:jc w:val="left"/>
      </w:pPr>
      <w:r>
        <w:rPr>
          <w:rStyle w:val="None"/>
          <w:color w:val="2B477B"/>
          <w:vertAlign w:val="superscript"/>
        </w:rPr>
        <w:footnoteRef/>
      </w:r>
      <w:r>
        <w:rPr>
          <w:color w:val="2B477B"/>
        </w:rPr>
        <w:t xml:space="preserve"> </w:t>
      </w:r>
      <w:hyperlink r:id="rId688"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(CIADDIS),</w:t>
      </w:r>
      <w:r>
        <w:rPr>
          <w:color w:val="2B477B"/>
        </w:rPr>
        <w:t xml:space="preserve"> </w:t>
      </w:r>
      <w:r>
        <w:rPr>
          <w:rFonts w:ascii="Arial Unicode MS" w:eastAsia="Arial Unicode MS" w:hAnsi="Arial Unicode MS" w:cs="Arial Unicode MS"/>
          <w:color w:val="2B477B"/>
        </w:rPr>
        <w:t>art.</w:t>
      </w:r>
      <w:r>
        <w:rPr>
          <w:color w:val="2B477B"/>
        </w:rPr>
        <w:t xml:space="preserve"> </w:t>
      </w:r>
      <w:r>
        <w:rPr>
          <w:rFonts w:ascii="Arial Unicode MS" w:eastAsia="Arial Unicode MS" w:hAnsi="Arial Unicode MS" w:cs="Arial Unicode MS"/>
          <w:color w:val="2B477B"/>
        </w:rPr>
        <w:t>VII;</w:t>
      </w:r>
      <w:r>
        <w:rPr>
          <w:color w:val="2B477B"/>
        </w:rPr>
        <w:t xml:space="preserve"> </w:t>
      </w:r>
      <w:hyperlink r:id="rId689"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Americana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hyperlink>
      <w:r>
        <w:rPr>
          <w:color w:val="2B477B"/>
        </w:rPr>
        <w:t xml:space="preserve"> </w:t>
      </w:r>
      <w:r>
        <w:rPr>
          <w:rFonts w:ascii="Arial Unicode MS" w:eastAsia="Arial Unicode MS" w:hAnsi="Arial Unicode MS" w:cs="Arial Unicode MS"/>
          <w:color w:val="2B477B"/>
        </w:rPr>
        <w:t>(CADH),</w:t>
      </w:r>
      <w:r>
        <w:rPr>
          <w:color w:val="2B477B"/>
        </w:rPr>
        <w:t xml:space="preserve"> </w:t>
      </w:r>
      <w:r>
        <w:rPr>
          <w:rFonts w:ascii="Arial Unicode MS" w:eastAsia="Arial Unicode MS" w:hAnsi="Arial Unicode MS" w:cs="Arial Unicode MS"/>
          <w:color w:val="2B477B"/>
        </w:rPr>
        <w:t>art.</w:t>
      </w:r>
      <w:r>
        <w:rPr>
          <w:color w:val="2B477B"/>
        </w:rPr>
        <w:t xml:space="preserve"> 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690"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Viena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Tratados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CONF.</w:t>
      </w:r>
      <w:r>
        <w:rPr>
          <w:color w:val="2B477B"/>
        </w:rPr>
        <w:t xml:space="preserve">39/27 </w:t>
      </w:r>
      <w:r>
        <w:rPr>
          <w:rFonts w:ascii="Arial Unicode MS" w:eastAsia="Arial Unicode MS" w:hAnsi="Arial Unicode MS" w:cs="Arial Unicode MS"/>
          <w:color w:val="2B477B"/>
        </w:rPr>
        <w:t>(</w:t>
      </w:r>
      <w:r>
        <w:rPr>
          <w:color w:val="2B477B"/>
        </w:rPr>
        <w:t>1969</w:t>
      </w:r>
      <w:r>
        <w:rPr>
          <w:rFonts w:ascii="Arial Unicode MS" w:eastAsia="Arial Unicode MS" w:hAnsi="Arial Unicode MS" w:cs="Arial Unicode MS"/>
          <w:color w:val="2B477B"/>
        </w:rPr>
        <w:t>),</w:t>
      </w:r>
      <w:r>
        <w:rPr>
          <w:color w:val="2B477B"/>
        </w:rPr>
        <w:t xml:space="preserve"> 1155 </w:t>
      </w:r>
      <w:r>
        <w:rPr>
          <w:rFonts w:ascii="Arial Unicode MS" w:eastAsia="Arial Unicode MS" w:hAnsi="Arial Unicode MS" w:cs="Arial Unicode MS"/>
          <w:color w:val="2B477B"/>
        </w:rPr>
        <w:t>U.N.T.S.</w:t>
      </w:r>
      <w:r>
        <w:rPr>
          <w:color w:val="2B477B"/>
        </w:rPr>
        <w:t xml:space="preserve"> 331</w:t>
      </w:r>
      <w:r>
        <w:rPr>
          <w:rFonts w:ascii="Arial Unicode MS" w:eastAsia="Arial Unicode MS" w:hAnsi="Arial Unicode MS" w:cs="Arial Unicode MS"/>
          <w:color w:val="2B477B"/>
        </w:rPr>
        <w:t>,</w:t>
      </w:r>
      <w:r>
        <w:rPr>
          <w:color w:val="2B477B"/>
        </w:rPr>
        <w:t xml:space="preserve"> 23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1969</w:t>
      </w:r>
      <w:r>
        <w:rPr>
          <w:rFonts w:ascii="Arial Unicode MS" w:eastAsia="Arial Unicode MS" w:hAnsi="Arial Unicode MS" w:cs="Arial Unicode MS"/>
          <w:color w:val="2B477B"/>
        </w:rPr>
        <w:t>.</w:t>
      </w:r>
      <w:r>
        <w:rPr>
          <w:color w:val="2B477B"/>
        </w:rPr>
        <w:t xml:space="preserve"> </w:t>
      </w:r>
    </w:p>
  </w:footnote>
  <w:footnote w:id="397">
    <w:p w14:paraId="10DA8BCE" w14:textId="77777777" w:rsidR="001A105D" w:rsidRDefault="00000000">
      <w:pPr>
        <w:pStyle w:val="Body"/>
        <w:jc w:val="left"/>
      </w:pPr>
      <w:r>
        <w:rPr>
          <w:rStyle w:val="None"/>
          <w:color w:val="2B477B"/>
          <w:vertAlign w:val="superscript"/>
        </w:rPr>
        <w:footnoteRef/>
      </w:r>
      <w:r>
        <w:rPr>
          <w:color w:val="2B477B"/>
        </w:rPr>
        <w:t xml:space="preserve"> </w:t>
      </w:r>
      <w:hyperlink r:id="rId691" w:history="1">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motivos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“cualquier</w:t>
      </w:r>
      <w:r>
        <w:rPr>
          <w:color w:val="2B477B"/>
        </w:rPr>
        <w:t xml:space="preserve"> </w:t>
      </w:r>
      <w:r>
        <w:rPr>
          <w:rFonts w:ascii="Arial Unicode MS" w:eastAsia="Arial Unicode MS" w:hAnsi="Arial Unicode MS" w:cs="Arial Unicode MS"/>
          <w:color w:val="2B477B"/>
        </w:rPr>
        <w:t>distinción,</w:t>
      </w:r>
      <w:r>
        <w:rPr>
          <w:color w:val="2B477B"/>
        </w:rPr>
        <w:t xml:space="preserve"> </w:t>
      </w:r>
      <w:r>
        <w:rPr>
          <w:rFonts w:ascii="Arial Unicode MS" w:eastAsia="Arial Unicode MS" w:hAnsi="Arial Unicode MS" w:cs="Arial Unicode MS"/>
          <w:color w:val="2B477B"/>
        </w:rPr>
        <w:t>exclusión</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restricción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motivos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tenga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propósito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efecto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obstaculizar</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dejar</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efecto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goce</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libertades</w:t>
      </w:r>
      <w:r>
        <w:rPr>
          <w:color w:val="2B477B"/>
        </w:rPr>
        <w:t xml:space="preserve"> </w:t>
      </w:r>
      <w:r>
        <w:rPr>
          <w:rFonts w:ascii="Arial Unicode MS" w:eastAsia="Arial Unicode MS" w:hAnsi="Arial Unicode MS" w:cs="Arial Unicode MS"/>
          <w:color w:val="2B477B"/>
        </w:rPr>
        <w:t>fundamentales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ámbitos</w:t>
      </w:r>
      <w:r>
        <w:rPr>
          <w:color w:val="2B477B"/>
        </w:rPr>
        <w:t xml:space="preserve"> </w:t>
      </w:r>
      <w:r>
        <w:rPr>
          <w:rFonts w:ascii="Arial Unicode MS" w:eastAsia="Arial Unicode MS" w:hAnsi="Arial Unicode MS" w:cs="Arial Unicode MS"/>
          <w:color w:val="2B477B"/>
        </w:rPr>
        <w:t>político,</w:t>
      </w:r>
      <w:r>
        <w:rPr>
          <w:color w:val="2B477B"/>
        </w:rPr>
        <w:t xml:space="preserve"> </w:t>
      </w:r>
      <w:r>
        <w:rPr>
          <w:rFonts w:ascii="Arial Unicode MS" w:eastAsia="Arial Unicode MS" w:hAnsi="Arial Unicode MS" w:cs="Arial Unicode MS"/>
          <w:color w:val="2B477B"/>
        </w:rPr>
        <w:t>económico,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cultural,</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otro</w:t>
      </w:r>
      <w:r>
        <w:rPr>
          <w:color w:val="2B477B"/>
        </w:rPr>
        <w:t xml:space="preserve"> </w:t>
      </w:r>
      <w:r>
        <w:rPr>
          <w:rFonts w:ascii="Arial Unicode MS" w:eastAsia="Arial Unicode MS" w:hAnsi="Arial Unicode MS" w:cs="Arial Unicode MS"/>
          <w:color w:val="2B477B"/>
        </w:rPr>
        <w:t>tipo”.</w:t>
      </w:r>
    </w:p>
  </w:footnote>
  <w:footnote w:id="398">
    <w:p w14:paraId="2B321B5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incisos</w:t>
      </w:r>
      <w:r>
        <w:rPr>
          <w:color w:val="2B477B"/>
        </w:rPr>
        <w:t xml:space="preserve"> 2 </w:t>
      </w:r>
      <w:r>
        <w:rPr>
          <w:rFonts w:ascii="Arial Unicode MS" w:eastAsia="Arial Unicode MS" w:hAnsi="Arial Unicode MS" w:cs="Arial Unicode MS"/>
          <w:color w:val="2B477B"/>
        </w:rPr>
        <w:t>y</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reconocerán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tienen</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demás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todos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aspectos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vida.</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adoptarán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pertinentes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proporcionar</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puedan</w:t>
      </w:r>
      <w:r>
        <w:rPr>
          <w:color w:val="2B477B"/>
        </w:rPr>
        <w:t xml:space="preserve"> </w:t>
      </w:r>
      <w:r>
        <w:rPr>
          <w:rFonts w:ascii="Arial Unicode MS" w:eastAsia="Arial Unicode MS" w:hAnsi="Arial Unicode MS" w:cs="Arial Unicode MS"/>
          <w:color w:val="2B477B"/>
        </w:rPr>
        <w:t>necesitar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p>
  </w:footnote>
  <w:footnote w:id="399">
    <w:p w14:paraId="3C502A6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CEDDIS-OEA,</w:t>
      </w:r>
      <w:r>
        <w:rPr>
          <w:color w:val="2B477B"/>
        </w:rPr>
        <w:t xml:space="preserve"> </w:t>
      </w:r>
      <w:hyperlink r:id="rId692"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(CEDDIS),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necesidad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interpretar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w:t>
        </w:r>
        <w:r>
          <w:rPr>
            <w:rFonts w:ascii="Arial Unicode MS" w:eastAsia="Arial Unicode MS" w:hAnsi="Arial Unicode MS" w:cs="Arial Unicode MS"/>
            <w:color w:val="2B477B"/>
          </w:rPr>
          <w:t>I.</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Inciso</w:t>
        </w:r>
        <w:r>
          <w:rPr>
            <w:color w:val="2B477B"/>
          </w:rPr>
          <w:t xml:space="preserve"> </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In</w:t>
        </w:r>
        <w:r>
          <w:rPr>
            <w:color w:val="2B477B"/>
          </w:rPr>
          <w:t xml:space="preserve"> </w:t>
        </w:r>
        <w:r>
          <w:rPr>
            <w:rFonts w:ascii="Arial Unicode MS" w:eastAsia="Arial Unicode MS" w:hAnsi="Arial Unicode MS" w:cs="Arial Unicode MS"/>
            <w:color w:val="2B477B"/>
          </w:rPr>
          <w:t>fine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Interamericana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Discriminación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artículo</w:t>
        </w:r>
        <w:r>
          <w:rPr>
            <w:color w:val="2B477B"/>
          </w:rPr>
          <w:t xml:space="preserve"> 12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emitida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reunión</w:t>
      </w:r>
      <w:r>
        <w:rPr>
          <w:color w:val="2B477B"/>
        </w:rPr>
        <w:t xml:space="preserve"> </w:t>
      </w:r>
      <w:r>
        <w:rPr>
          <w:rFonts w:ascii="Arial Unicode MS" w:eastAsia="Arial Unicode MS" w:hAnsi="Arial Unicode MS" w:cs="Arial Unicode MS"/>
          <w:color w:val="2B477B"/>
        </w:rPr>
        <w:t>extraordinaria</w:t>
      </w:r>
      <w:r>
        <w:rPr>
          <w:color w:val="2B477B"/>
        </w:rPr>
        <w:t xml:space="preserve"> </w:t>
      </w:r>
      <w:r>
        <w:rPr>
          <w:rFonts w:ascii="Arial Unicode MS" w:eastAsia="Arial Unicode MS" w:hAnsi="Arial Unicode MS" w:cs="Arial Unicode MS"/>
          <w:color w:val="2B477B"/>
        </w:rPr>
        <w:t>del</w:t>
      </w:r>
      <w:r>
        <w:rPr>
          <w:color w:val="2B477B"/>
        </w:rPr>
        <w:t xml:space="preserve"> 28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2011</w:t>
      </w:r>
      <w:r>
        <w:rPr>
          <w:rFonts w:ascii="Arial Unicode MS" w:eastAsia="Arial Unicode MS" w:hAnsi="Arial Unicode MS" w:cs="Arial Unicode MS"/>
          <w:color w:val="2B477B"/>
        </w:rPr>
        <w:t>.</w:t>
      </w:r>
      <w:r>
        <w:rPr>
          <w:color w:val="2B477B"/>
        </w:rPr>
        <w:t xml:space="preserve"> </w:t>
      </w:r>
    </w:p>
  </w:footnote>
  <w:footnote w:id="400">
    <w:p w14:paraId="6A77A20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Complementando</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aquí</w:t>
      </w:r>
      <w:r>
        <w:rPr>
          <w:color w:val="2B477B"/>
        </w:rPr>
        <w:t xml:space="preserve"> </w:t>
      </w:r>
      <w:r>
        <w:rPr>
          <w:rFonts w:ascii="Arial Unicode MS" w:eastAsia="Arial Unicode MS" w:hAnsi="Arial Unicode MS" w:cs="Arial Unicode MS"/>
          <w:color w:val="2B477B"/>
        </w:rPr>
        <w:t>expuesto,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desarrolló</w:t>
      </w:r>
      <w:r>
        <w:rPr>
          <w:color w:val="2B477B"/>
        </w:rPr>
        <w:t xml:space="preserve"> </w:t>
      </w:r>
      <w:r>
        <w:rPr>
          <w:rFonts w:ascii="Arial Unicode MS" w:eastAsia="Arial Unicode MS" w:hAnsi="Arial Unicode MS" w:cs="Arial Unicode MS"/>
          <w:color w:val="2B477B"/>
        </w:rPr>
        <w:t>consideraciones</w:t>
      </w:r>
      <w:r>
        <w:rPr>
          <w:color w:val="2B477B"/>
        </w:rPr>
        <w:t xml:space="preserve"> </w:t>
      </w:r>
      <w:r>
        <w:rPr>
          <w:rFonts w:ascii="Arial Unicode MS" w:eastAsia="Arial Unicode MS" w:hAnsi="Arial Unicode MS" w:cs="Arial Unicode MS"/>
          <w:color w:val="2B477B"/>
        </w:rPr>
        <w:t>similares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hyperlink r:id="rId693"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relativo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tema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hyperlink r:id="rId694" w:history="1">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/37/56</w:t>
        </w:r>
      </w:hyperlink>
      <w:r>
        <w:rPr>
          <w:rFonts w:ascii="Arial Unicode MS" w:eastAsia="Arial Unicode MS" w:hAnsi="Arial Unicode MS" w:cs="Arial Unicode MS"/>
          <w:color w:val="2B477B"/>
        </w:rPr>
        <w:t>,</w:t>
      </w:r>
      <w:r>
        <w:rPr>
          <w:color w:val="2B477B"/>
        </w:rPr>
        <w:t xml:space="preserve"> 12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16</w:t>
      </w:r>
      <w:r>
        <w:rPr>
          <w:rFonts w:ascii="Arial Unicode MS" w:eastAsia="Arial Unicode MS" w:hAnsi="Arial Unicode MS" w:cs="Arial Unicode MS"/>
          <w:color w:val="2B477B"/>
        </w:rPr>
        <w:t>.</w:t>
      </w:r>
    </w:p>
  </w:footnote>
  <w:footnote w:id="401">
    <w:p w14:paraId="0A900D5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695"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Bámaca</w:t>
        </w:r>
        <w:r>
          <w:rPr>
            <w:color w:val="2B477B"/>
          </w:rPr>
          <w:t xml:space="preserve"> </w:t>
        </w:r>
        <w:r>
          <w:rPr>
            <w:rFonts w:ascii="Arial Unicode MS" w:eastAsia="Arial Unicode MS" w:hAnsi="Arial Unicode MS" w:cs="Arial Unicode MS"/>
            <w:color w:val="2B477B"/>
          </w:rPr>
          <w:t>Velásquez</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2000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70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179</w:t>
      </w:r>
      <w:r>
        <w:rPr>
          <w:rFonts w:ascii="Arial Unicode MS" w:eastAsia="Arial Unicode MS" w:hAnsi="Arial Unicode MS" w:cs="Arial Unicode MS"/>
          <w:color w:val="2B477B"/>
        </w:rPr>
        <w:t>;</w:t>
      </w:r>
      <w:r>
        <w:rPr>
          <w:color w:val="2B477B"/>
        </w:rPr>
        <w:t xml:space="preserve"> </w:t>
      </w:r>
      <w:hyperlink r:id="rId696"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Vásquez</w:t>
        </w:r>
        <w:r>
          <w:rPr>
            <w:color w:val="2B477B"/>
          </w:rPr>
          <w:t xml:space="preserve"> </w:t>
        </w:r>
        <w:r>
          <w:rPr>
            <w:rFonts w:ascii="Arial Unicode MS" w:eastAsia="Arial Unicode MS" w:hAnsi="Arial Unicode MS" w:cs="Arial Unicode MS"/>
            <w:color w:val="2B477B"/>
          </w:rPr>
          <w:t>Durand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332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138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697"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Guachalá</w:t>
        </w:r>
        <w:r>
          <w:rPr>
            <w:rStyle w:val="Hyperlink1"/>
            <w:u w:val="single"/>
          </w:rPr>
          <w:t xml:space="preserve"> </w:t>
        </w:r>
        <w:r>
          <w:rPr>
            <w:rStyle w:val="Hyperlink1"/>
            <w:rFonts w:ascii="Arial Unicode MS" w:eastAsia="Arial Unicode MS" w:hAnsi="Arial Unicode MS" w:cs="Arial Unicode MS"/>
            <w:u w:val="single"/>
          </w:rPr>
          <w:t>Chimbo</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Otros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Ecuador.</w:t>
        </w:r>
        <w:r>
          <w:rPr>
            <w:rStyle w:val="Hyperlink1"/>
            <w:u w:val="single"/>
          </w:rPr>
          <w:t xml:space="preserve"> </w:t>
        </w:r>
        <w:r>
          <w:rPr>
            <w:rStyle w:val="Hyperlink1"/>
            <w:rFonts w:ascii="Arial Unicode MS" w:eastAsia="Arial Unicode MS" w:hAnsi="Arial Unicode MS" w:cs="Arial Unicode MS"/>
            <w:u w:val="single"/>
          </w:rPr>
          <w:t>Fondo,</w:t>
        </w:r>
        <w:r>
          <w:rPr>
            <w:rStyle w:val="Hyperlink1"/>
            <w:u w:val="single"/>
          </w:rPr>
          <w:t xml:space="preserve"> </w:t>
        </w:r>
        <w:r>
          <w:rPr>
            <w:rStyle w:val="Hyperlink1"/>
            <w:rFonts w:ascii="Arial Unicode MS" w:eastAsia="Arial Unicode MS" w:hAnsi="Arial Unicode MS" w:cs="Arial Unicode MS"/>
            <w:u w:val="single"/>
          </w:rPr>
          <w:t>Reparaciones</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Costas.</w:t>
        </w:r>
        <w:r>
          <w:rPr>
            <w:rStyle w:val="Hyperlink1"/>
            <w:u w:val="single"/>
          </w:rPr>
          <w:t xml:space="preserve"> </w:t>
        </w:r>
        <w:r>
          <w:rPr>
            <w:rStyle w:val="Hyperlink1"/>
            <w:rFonts w:ascii="Arial Unicode MS" w:eastAsia="Arial Unicode MS" w:hAnsi="Arial Unicode MS" w:cs="Arial Unicode MS"/>
            <w:u w:val="single"/>
          </w:rPr>
          <w:t>Sentencia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26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marzo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2001</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Serie</w:t>
        </w:r>
        <w:r>
          <w:rPr>
            <w:rStyle w:val="Hyperlink1"/>
            <w:u w:val="single"/>
          </w:rPr>
          <w:t xml:space="preserve"> </w:t>
        </w:r>
        <w:r>
          <w:rPr>
            <w:rStyle w:val="Hyperlink1"/>
            <w:rFonts w:ascii="Arial Unicode MS" w:eastAsia="Arial Unicode MS" w:hAnsi="Arial Unicode MS" w:cs="Arial Unicode MS"/>
            <w:u w:val="single"/>
          </w:rPr>
          <w:t>C</w:t>
        </w:r>
      </w:hyperlink>
      <w:r>
        <w:rPr>
          <w:color w:val="2B477B"/>
        </w:rPr>
        <w:t xml:space="preserve"> </w:t>
      </w:r>
      <w:r>
        <w:rPr>
          <w:rFonts w:ascii="Arial Unicode MS" w:eastAsia="Arial Unicode MS" w:hAnsi="Arial Unicode MS" w:cs="Arial Unicode MS"/>
          <w:color w:val="2B477B"/>
        </w:rPr>
        <w:t>No.</w:t>
      </w:r>
      <w:r>
        <w:rPr>
          <w:color w:val="2B477B"/>
        </w:rPr>
        <w:t xml:space="preserve"> 423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111</w:t>
      </w:r>
      <w:r>
        <w:rPr>
          <w:rFonts w:ascii="Arial Unicode MS" w:eastAsia="Arial Unicode MS" w:hAnsi="Arial Unicode MS" w:cs="Arial Unicode MS"/>
          <w:color w:val="2B477B"/>
        </w:rPr>
        <w:t>.</w:t>
      </w:r>
    </w:p>
  </w:footnote>
  <w:footnote w:id="402">
    <w:p w14:paraId="535C5C7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698"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Indígena</w:t>
        </w:r>
        <w:r>
          <w:rPr>
            <w:color w:val="2B477B"/>
          </w:rPr>
          <w:t xml:space="preserve"> </w:t>
        </w:r>
        <w:r>
          <w:rPr>
            <w:rFonts w:ascii="Arial Unicode MS" w:eastAsia="Arial Unicode MS" w:hAnsi="Arial Unicode MS" w:cs="Arial Unicode MS"/>
            <w:color w:val="2B477B"/>
          </w:rPr>
          <w:t>Sawhoyamaxa</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146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188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González</w:t>
      </w:r>
      <w:r>
        <w:rPr>
          <w:rStyle w:val="Hyperlink1"/>
          <w:u w:val="single"/>
        </w:rPr>
        <w:t xml:space="preserve"> </w:t>
      </w:r>
      <w:r>
        <w:rPr>
          <w:rStyle w:val="Hyperlink1"/>
          <w:rFonts w:ascii="Arial Unicode MS" w:eastAsia="Arial Unicode MS" w:hAnsi="Arial Unicode MS" w:cs="Arial Unicode MS"/>
          <w:u w:val="single"/>
        </w:rPr>
        <w:t>Medina</w:t>
      </w:r>
      <w:r>
        <w:rPr>
          <w:rStyle w:val="Hyperlink1"/>
          <w:u w:val="single"/>
        </w:rPr>
        <w:t xml:space="preserve"> </w:t>
      </w:r>
      <w:r>
        <w:rPr>
          <w:rStyle w:val="Hyperlink1"/>
          <w:rFonts w:ascii="Arial Unicode MS" w:eastAsia="Arial Unicode MS" w:hAnsi="Arial Unicode MS" w:cs="Arial Unicode MS"/>
          <w:u w:val="single"/>
        </w:rPr>
        <w:t>y</w:t>
      </w:r>
      <w:r>
        <w:rPr>
          <w:rStyle w:val="Hyperlink1"/>
          <w:u w:val="single"/>
        </w:rPr>
        <w:t xml:space="preserve"> </w:t>
      </w:r>
      <w:r>
        <w:rPr>
          <w:rStyle w:val="Hyperlink1"/>
          <w:rFonts w:ascii="Arial Unicode MS" w:eastAsia="Arial Unicode MS" w:hAnsi="Arial Unicode MS" w:cs="Arial Unicode MS"/>
          <w:u w:val="single"/>
        </w:rPr>
        <w:t>familiares</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República</w:t>
      </w:r>
      <w:r>
        <w:rPr>
          <w:rStyle w:val="Hyperlink1"/>
          <w:u w:val="single"/>
        </w:rPr>
        <w:t xml:space="preserve"> </w:t>
      </w:r>
      <w:r>
        <w:rPr>
          <w:rStyle w:val="Hyperlink1"/>
          <w:rFonts w:ascii="Arial Unicode MS" w:eastAsia="Arial Unicode MS" w:hAnsi="Arial Unicode MS" w:cs="Arial Unicode MS"/>
          <w:u w:val="single"/>
        </w:rPr>
        <w:t>Dominicana</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240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188</w:t>
      </w:r>
      <w:r>
        <w:rPr>
          <w:rFonts w:ascii="Arial Unicode MS" w:eastAsia="Arial Unicode MS" w:hAnsi="Arial Unicode MS" w:cs="Arial Unicode MS"/>
          <w:color w:val="2B477B"/>
        </w:rPr>
        <w:t>.</w:t>
      </w:r>
    </w:p>
  </w:footnote>
  <w:footnote w:id="403">
    <w:p w14:paraId="1953C18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699"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Guachalá</w:t>
        </w:r>
        <w:r>
          <w:rPr>
            <w:color w:val="2B477B"/>
          </w:rPr>
          <w:t xml:space="preserve"> </w:t>
        </w:r>
        <w:r>
          <w:rPr>
            <w:rFonts w:ascii="Arial Unicode MS" w:eastAsia="Arial Unicode MS" w:hAnsi="Arial Unicode MS" w:cs="Arial Unicode MS"/>
            <w:color w:val="2B477B"/>
          </w:rPr>
          <w:t>Chimbo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2001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hyperlink>
      <w:r>
        <w:rPr>
          <w:color w:val="2B477B"/>
        </w:rPr>
        <w:t xml:space="preserve"> </w:t>
      </w:r>
      <w:r>
        <w:rPr>
          <w:rFonts w:ascii="Arial Unicode MS" w:eastAsia="Arial Unicode MS" w:hAnsi="Arial Unicode MS" w:cs="Arial Unicode MS"/>
          <w:color w:val="2B477B"/>
        </w:rPr>
        <w:t>No.</w:t>
      </w:r>
      <w:r>
        <w:rPr>
          <w:color w:val="2B477B"/>
        </w:rPr>
        <w:t xml:space="preserve"> 423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111 </w:t>
      </w:r>
      <w:r>
        <w:rPr>
          <w:rFonts w:ascii="Arial Unicode MS" w:eastAsia="Arial Unicode MS" w:hAnsi="Arial Unicode MS" w:cs="Arial Unicode MS"/>
          <w:color w:val="2B477B"/>
        </w:rPr>
        <w:t>y</w:t>
      </w:r>
      <w:r>
        <w:rPr>
          <w:color w:val="2B477B"/>
        </w:rPr>
        <w:t xml:space="preserve"> 112</w:t>
      </w:r>
      <w:r>
        <w:rPr>
          <w:rFonts w:ascii="Arial Unicode MS" w:eastAsia="Arial Unicode MS" w:hAnsi="Arial Unicode MS" w:cs="Arial Unicode MS"/>
          <w:color w:val="2B477B"/>
        </w:rPr>
        <w:t>.</w:t>
      </w:r>
    </w:p>
  </w:footnote>
  <w:footnote w:id="404">
    <w:p w14:paraId="3D344DC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700"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11</w:t>
      </w:r>
      <w:r>
        <w:rPr>
          <w:rFonts w:ascii="Arial Unicode MS" w:eastAsia="Arial Unicode MS" w:hAnsi="Arial Unicode MS" w:cs="Arial Unicode MS"/>
          <w:color w:val="2B477B"/>
        </w:rPr>
        <w:t>.</w:t>
      </w:r>
    </w:p>
  </w:footnote>
  <w:footnote w:id="405">
    <w:p w14:paraId="1A97CCA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01"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12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/37/56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14</w:t>
      </w:r>
      <w:r>
        <w:rPr>
          <w:rFonts w:ascii="Arial Unicode MS" w:eastAsia="Arial Unicode MS" w:hAnsi="Arial Unicode MS" w:cs="Arial Unicode MS"/>
          <w:color w:val="2B477B"/>
        </w:rPr>
        <w:t>.</w:t>
      </w:r>
    </w:p>
  </w:footnote>
  <w:footnote w:id="406">
    <w:p w14:paraId="4C9370A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702" w:history="1">
        <w:r>
          <w:rPr>
            <w:rStyle w:val="Hyperlink1"/>
            <w:rFonts w:ascii="Arial Unicode MS" w:eastAsia="Arial Unicode MS" w:hAnsi="Arial Unicode MS" w:cs="Arial Unicode MS"/>
            <w:u w:val="single"/>
          </w:rPr>
          <w:t>Caso</w:t>
        </w:r>
        <w:r>
          <w:rPr>
            <w:rStyle w:val="Hyperlink1"/>
            <w:u w:val="single"/>
          </w:rPr>
          <w:t xml:space="preserve"> </w:t>
        </w:r>
        <w:r>
          <w:rPr>
            <w:rStyle w:val="Hyperlink1"/>
            <w:rFonts w:ascii="Arial Unicode MS" w:eastAsia="Arial Unicode MS" w:hAnsi="Arial Unicode MS" w:cs="Arial Unicode MS"/>
            <w:u w:val="single"/>
          </w:rPr>
          <w:t>Bámaca</w:t>
        </w:r>
        <w:r>
          <w:rPr>
            <w:rStyle w:val="Hyperlink1"/>
            <w:u w:val="single"/>
          </w:rPr>
          <w:t xml:space="preserve"> </w:t>
        </w:r>
        <w:r>
          <w:rPr>
            <w:rStyle w:val="Hyperlink1"/>
            <w:rFonts w:ascii="Arial Unicode MS" w:eastAsia="Arial Unicode MS" w:hAnsi="Arial Unicode MS" w:cs="Arial Unicode MS"/>
            <w:u w:val="single"/>
          </w:rPr>
          <w:t>Velásquez</w:t>
        </w:r>
        <w:r>
          <w:rPr>
            <w:rStyle w:val="Hyperlink1"/>
            <w:u w:val="single"/>
          </w:rPr>
          <w:t xml:space="preserve"> </w:t>
        </w:r>
        <w:r>
          <w:rPr>
            <w:rStyle w:val="Hyperlink1"/>
            <w:rFonts w:ascii="Arial Unicode MS" w:eastAsia="Arial Unicode MS" w:hAnsi="Arial Unicode MS" w:cs="Arial Unicode MS"/>
            <w:u w:val="single"/>
          </w:rPr>
          <w:t>Vs.</w:t>
        </w:r>
        <w:r>
          <w:rPr>
            <w:rStyle w:val="Hyperlink1"/>
            <w:u w:val="single"/>
          </w:rPr>
          <w:t xml:space="preserve"> </w:t>
        </w:r>
        <w:r>
          <w:rPr>
            <w:rStyle w:val="Hyperlink1"/>
            <w:rFonts w:ascii="Arial Unicode MS" w:eastAsia="Arial Unicode MS" w:hAnsi="Arial Unicode MS" w:cs="Arial Unicode MS"/>
            <w:u w:val="single"/>
          </w:rPr>
          <w:t>Guatemala.</w:t>
        </w:r>
        <w:r>
          <w:rPr>
            <w:rStyle w:val="Hyperlink1"/>
            <w:u w:val="single"/>
          </w:rPr>
          <w:t xml:space="preserve"> </w:t>
        </w:r>
        <w:r>
          <w:rPr>
            <w:rStyle w:val="Hyperlink1"/>
            <w:rFonts w:ascii="Arial Unicode MS" w:eastAsia="Arial Unicode MS" w:hAnsi="Arial Unicode MS" w:cs="Arial Unicode MS"/>
            <w:u w:val="single"/>
          </w:rPr>
          <w:t>Fondo.</w:t>
        </w:r>
        <w:r>
          <w:rPr>
            <w:rStyle w:val="Hyperlink1"/>
            <w:u w:val="single"/>
          </w:rPr>
          <w:t xml:space="preserve"> </w:t>
        </w:r>
        <w:r>
          <w:rPr>
            <w:rStyle w:val="Hyperlink1"/>
            <w:rFonts w:ascii="Arial Unicode MS" w:eastAsia="Arial Unicode MS" w:hAnsi="Arial Unicode MS" w:cs="Arial Unicode MS"/>
            <w:u w:val="single"/>
          </w:rPr>
          <w:t>Sentencia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25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noviembre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2000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70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179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703"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Vásquez</w:t>
        </w:r>
        <w:r>
          <w:rPr>
            <w:color w:val="2B477B"/>
          </w:rPr>
          <w:t xml:space="preserve"> </w:t>
        </w:r>
        <w:r>
          <w:rPr>
            <w:rFonts w:ascii="Arial Unicode MS" w:eastAsia="Arial Unicode MS" w:hAnsi="Arial Unicode MS" w:cs="Arial Unicode MS"/>
            <w:color w:val="2B477B"/>
          </w:rPr>
          <w:t>Durand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332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138</w:t>
      </w:r>
      <w:r>
        <w:rPr>
          <w:rFonts w:ascii="Arial Unicode MS" w:eastAsia="Arial Unicode MS" w:hAnsi="Arial Unicode MS" w:cs="Arial Unicode MS"/>
          <w:color w:val="2B477B"/>
        </w:rPr>
        <w:t>.</w:t>
      </w:r>
    </w:p>
  </w:footnote>
  <w:footnote w:id="407">
    <w:p w14:paraId="4F55507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04" w:history="1">
        <w:r>
          <w:rPr>
            <w:rFonts w:ascii="Arial Unicode MS" w:eastAsia="Arial Unicode MS" w:hAnsi="Arial Unicode MS" w:cs="Arial Unicode MS"/>
            <w:color w:val="2B477B"/>
          </w:rPr>
          <w:t>I</w:t>
        </w:r>
      </w:hyperlink>
      <w:hyperlink r:id="rId705" w:history="1">
        <w:r>
          <w:rPr>
            <w:rFonts w:ascii="Arial Unicode MS" w:eastAsia="Arial Unicode MS" w:hAnsi="Arial Unicode MS" w:cs="Arial Unicode MS"/>
            <w:color w:val="2B477B"/>
          </w:rPr>
          <w:t>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12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2017</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/37/56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14</w:t>
      </w:r>
      <w:r>
        <w:rPr>
          <w:rFonts w:ascii="Arial Unicode MS" w:eastAsia="Arial Unicode MS" w:hAnsi="Arial Unicode MS" w:cs="Arial Unicode MS"/>
          <w:color w:val="2B477B"/>
        </w:rPr>
        <w:t>.</w:t>
      </w:r>
    </w:p>
  </w:footnote>
  <w:footnote w:id="408">
    <w:p w14:paraId="16FBEB7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06" w:history="1">
        <w:r>
          <w:rPr>
            <w:rStyle w:val="Hyperlink1"/>
            <w:rFonts w:ascii="Arial Unicode MS" w:eastAsia="Arial Unicode MS" w:hAnsi="Arial Unicode MS" w:cs="Arial Unicode MS"/>
            <w:u w:val="single"/>
          </w:rPr>
          <w:t>Informe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Relatora</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07"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12</w:t>
      </w:r>
      <w:r>
        <w:rPr>
          <w:rFonts w:ascii="Arial Unicode MS" w:eastAsia="Arial Unicode MS" w:hAnsi="Arial Unicode MS" w:cs="Arial Unicode MS"/>
          <w:color w:val="2B477B"/>
        </w:rPr>
        <w:t>.</w:t>
      </w:r>
    </w:p>
  </w:footnote>
  <w:footnote w:id="409">
    <w:p w14:paraId="5985546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13</w:t>
      </w:r>
      <w:r>
        <w:rPr>
          <w:rFonts w:ascii="Arial Unicode MS" w:eastAsia="Arial Unicode MS" w:hAnsi="Arial Unicode MS" w:cs="Arial Unicode MS"/>
          <w:color w:val="2B477B"/>
        </w:rPr>
        <w:t>.</w:t>
      </w:r>
    </w:p>
  </w:footnote>
  <w:footnote w:id="410">
    <w:p w14:paraId="6B04C0C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08" w:history="1">
        <w:r>
          <w:rPr>
            <w:rStyle w:val="Hyperlink1"/>
            <w:rFonts w:ascii="Arial Unicode MS" w:eastAsia="Arial Unicode MS" w:hAnsi="Arial Unicode MS" w:cs="Arial Unicode MS"/>
            <w:u w:val="single"/>
          </w:rPr>
          <w:t>Observación</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núm.</w:t>
        </w:r>
        <w:r>
          <w:rPr>
            <w:rStyle w:val="Hyperlink1"/>
            <w:u w:val="single"/>
          </w:rPr>
          <w:t xml:space="preserve"> 1</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ya</w:t>
        </w:r>
        <w:r>
          <w:rPr>
            <w:rStyle w:val="Hyperlink1"/>
            <w:u w:val="single"/>
          </w:rPr>
          <w:t xml:space="preserve"> </w:t>
        </w:r>
        <w:r>
          <w:rPr>
            <w:rStyle w:val="Hyperlink1"/>
            <w:rFonts w:ascii="Arial Unicode MS" w:eastAsia="Arial Unicode MS" w:hAnsi="Arial Unicode MS" w:cs="Arial Unicode MS"/>
            <w:u w:val="single"/>
          </w:rPr>
          <w:t>citada,</w:t>
        </w:r>
        <w:r>
          <w:rPr>
            <w:rStyle w:val="Hyperlink1"/>
            <w:u w:val="single"/>
          </w:rPr>
          <w:t xml:space="preserve"> </w:t>
        </w:r>
        <w:r>
          <w:rPr>
            <w:rStyle w:val="Hyperlink1"/>
            <w:rFonts w:ascii="Arial Unicode MS" w:eastAsia="Arial Unicode MS" w:hAnsi="Arial Unicode MS" w:cs="Arial Unicode MS"/>
            <w:u w:val="single"/>
          </w:rPr>
          <w:t>art.</w:t>
        </w:r>
        <w:r>
          <w:rPr>
            <w:rStyle w:val="Hyperlink1"/>
            <w:u w:val="single"/>
          </w:rPr>
          <w:t xml:space="preserve"> 12</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13</w:t>
      </w:r>
      <w:r>
        <w:rPr>
          <w:rFonts w:ascii="Arial Unicode MS" w:eastAsia="Arial Unicode MS" w:hAnsi="Arial Unicode MS" w:cs="Arial Unicode MS"/>
          <w:color w:val="2B477B"/>
        </w:rPr>
        <w:t>.</w:t>
      </w:r>
    </w:p>
  </w:footnote>
  <w:footnote w:id="411">
    <w:p w14:paraId="30644A5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09" w:history="1">
        <w:r>
          <w:rPr>
            <w:rStyle w:val="Hyperlink1"/>
            <w:rFonts w:ascii="Arial Unicode MS" w:eastAsia="Arial Unicode MS" w:hAnsi="Arial Unicode MS" w:cs="Arial Unicode MS"/>
            <w:u w:val="single"/>
          </w:rPr>
          <w:t>Observación</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núm.</w:t>
        </w:r>
        <w:r>
          <w:rPr>
            <w:rStyle w:val="Hyperlink1"/>
            <w:u w:val="single"/>
          </w:rPr>
          <w:t xml:space="preserve"> 1</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ya</w:t>
        </w:r>
        <w:r>
          <w:rPr>
            <w:rStyle w:val="Hyperlink1"/>
            <w:u w:val="single"/>
          </w:rPr>
          <w:t xml:space="preserve"> </w:t>
        </w:r>
        <w:proofErr w:type="gramStart"/>
        <w:r>
          <w:rPr>
            <w:rStyle w:val="Hyperlink1"/>
            <w:rFonts w:ascii="Arial Unicode MS" w:eastAsia="Arial Unicode MS" w:hAnsi="Arial Unicode MS" w:cs="Arial Unicode MS"/>
            <w:u w:val="single"/>
          </w:rPr>
          <w:t>citada,</w:t>
        </w:r>
        <w:r>
          <w:rPr>
            <w:rStyle w:val="Hyperlink1"/>
            <w:u w:val="single"/>
          </w:rPr>
          <w:t xml:space="preserve">  </w:t>
        </w:r>
        <w:r>
          <w:rPr>
            <w:rStyle w:val="Hyperlink1"/>
            <w:rFonts w:ascii="Arial Unicode MS" w:eastAsia="Arial Unicode MS" w:hAnsi="Arial Unicode MS" w:cs="Arial Unicode MS"/>
            <w:u w:val="single"/>
          </w:rPr>
          <w:t>art</w:t>
        </w:r>
        <w:proofErr w:type="gramEnd"/>
        <w:r>
          <w:rPr>
            <w:rStyle w:val="Hyperlink1"/>
            <w:rFonts w:ascii="Arial Unicode MS" w:eastAsia="Arial Unicode MS" w:hAnsi="Arial Unicode MS" w:cs="Arial Unicode MS"/>
            <w:u w:val="single"/>
          </w:rPr>
          <w:t>,</w:t>
        </w:r>
        <w:r>
          <w:rPr>
            <w:rStyle w:val="Hyperlink1"/>
            <w:u w:val="single"/>
          </w:rPr>
          <w:t xml:space="preserve"> 12</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14</w:t>
      </w:r>
      <w:r>
        <w:rPr>
          <w:rFonts w:ascii="Arial Unicode MS" w:eastAsia="Arial Unicode MS" w:hAnsi="Arial Unicode MS" w:cs="Arial Unicode MS"/>
          <w:color w:val="2B477B"/>
        </w:rPr>
        <w:t>.</w:t>
      </w:r>
    </w:p>
  </w:footnote>
  <w:footnote w:id="412">
    <w:p w14:paraId="1284C05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10"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12</w:t>
        </w:r>
      </w:hyperlink>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27</w:t>
      </w:r>
      <w:r>
        <w:rPr>
          <w:rFonts w:ascii="Arial Unicode MS" w:eastAsia="Arial Unicode MS" w:hAnsi="Arial Unicode MS" w:cs="Arial Unicode MS"/>
          <w:color w:val="2B477B"/>
        </w:rPr>
        <w:t>.</w:t>
      </w:r>
    </w:p>
  </w:footnote>
  <w:footnote w:id="413">
    <w:p w14:paraId="09D400E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11"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12 </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13</w:t>
      </w:r>
      <w:r>
        <w:rPr>
          <w:rFonts w:ascii="Arial Unicode MS" w:eastAsia="Arial Unicode MS" w:hAnsi="Arial Unicode MS" w:cs="Arial Unicode MS"/>
          <w:color w:val="2B477B"/>
        </w:rPr>
        <w:t>.</w:t>
      </w:r>
    </w:p>
  </w:footnote>
  <w:footnote w:id="414">
    <w:p w14:paraId="25329CD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hyperlink r:id="rId712" w:history="1">
        <w:r>
          <w:rPr>
            <w:color w:val="2B477B"/>
          </w:rPr>
          <w:t xml:space="preserve"> </w:t>
        </w:r>
      </w:hyperlink>
      <w:hyperlink r:id="rId713"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/34/58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14</w:t>
      </w:r>
      <w:r>
        <w:rPr>
          <w:rFonts w:ascii="Arial Unicode MS" w:eastAsia="Arial Unicode MS" w:hAnsi="Arial Unicode MS" w:cs="Arial Unicode MS"/>
          <w:color w:val="2B477B"/>
        </w:rPr>
        <w:t>.</w:t>
      </w:r>
    </w:p>
  </w:footnote>
  <w:footnote w:id="415">
    <w:p w14:paraId="21B6D90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14"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17</w:t>
      </w:r>
      <w:r>
        <w:rPr>
          <w:rFonts w:ascii="Arial Unicode MS" w:eastAsia="Arial Unicode MS" w:hAnsi="Arial Unicode MS" w:cs="Arial Unicode MS"/>
          <w:color w:val="2B477B"/>
        </w:rPr>
        <w:t>.</w:t>
      </w:r>
    </w:p>
  </w:footnote>
  <w:footnote w:id="416">
    <w:p w14:paraId="7EB129A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715" w:history="1">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Práctica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Establecimiento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w:t>
      </w:r>
      <w:r>
        <w:rPr>
          <w:rFonts w:ascii="Arial Unicode MS" w:eastAsia="Arial Unicode MS" w:hAnsi="Arial Unicode MS" w:cs="Arial Unicode MS"/>
          <w:color w:val="2B477B"/>
        </w:rPr>
        <w:t>XI</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XII.</w:t>
      </w:r>
    </w:p>
  </w:footnote>
  <w:footnote w:id="417">
    <w:p w14:paraId="6D98B1E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16"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/34/58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48 </w:t>
      </w:r>
      <w:r>
        <w:rPr>
          <w:rFonts w:ascii="Arial Unicode MS" w:eastAsia="Arial Unicode MS" w:hAnsi="Arial Unicode MS" w:cs="Arial Unicode MS"/>
          <w:color w:val="2B477B"/>
        </w:rPr>
        <w:t>a</w:t>
      </w:r>
      <w:r>
        <w:rPr>
          <w:color w:val="2B477B"/>
        </w:rPr>
        <w:t xml:space="preserve"> 56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CDerechosPD,</w:t>
      </w:r>
      <w:r>
        <w:rPr>
          <w:color w:val="2B477B"/>
        </w:rPr>
        <w:t xml:space="preserve"> </w:t>
      </w:r>
      <w:hyperlink r:id="rId717"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17 </w:t>
      </w:r>
      <w:r>
        <w:rPr>
          <w:rFonts w:ascii="Arial Unicode MS" w:eastAsia="Arial Unicode MS" w:hAnsi="Arial Unicode MS" w:cs="Arial Unicode MS"/>
          <w:color w:val="2B477B"/>
        </w:rPr>
        <w:t>a</w:t>
      </w:r>
      <w:r>
        <w:rPr>
          <w:color w:val="2B477B"/>
        </w:rPr>
        <w:t xml:space="preserve"> 19</w:t>
      </w:r>
      <w:r>
        <w:rPr>
          <w:rFonts w:ascii="Arial Unicode MS" w:eastAsia="Arial Unicode MS" w:hAnsi="Arial Unicode MS" w:cs="Arial Unicode MS"/>
          <w:color w:val="2B477B"/>
        </w:rPr>
        <w:t>.</w:t>
      </w:r>
    </w:p>
  </w:footnote>
  <w:footnote w:id="418">
    <w:p w14:paraId="15EDE60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18" w:history="1">
        <w:r>
          <w:rPr>
            <w:rStyle w:val="Hyperlink1"/>
            <w:rFonts w:ascii="Arial Unicode MS" w:eastAsia="Arial Unicode MS" w:hAnsi="Arial Unicode MS" w:cs="Arial Unicode MS"/>
            <w:u w:val="single"/>
          </w:rPr>
          <w:t>Informe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Relatora</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párrs.</w:t>
      </w:r>
      <w:r>
        <w:rPr>
          <w:color w:val="2B477B"/>
        </w:rPr>
        <w:t xml:space="preserve"> 49 </w:t>
      </w:r>
      <w:r>
        <w:rPr>
          <w:rFonts w:ascii="Arial Unicode MS" w:eastAsia="Arial Unicode MS" w:hAnsi="Arial Unicode MS" w:cs="Arial Unicode MS"/>
          <w:color w:val="2B477B"/>
        </w:rPr>
        <w:t>y</w:t>
      </w:r>
      <w:r>
        <w:rPr>
          <w:color w:val="2B477B"/>
        </w:rPr>
        <w:t xml:space="preserve"> 50</w:t>
      </w:r>
      <w:r>
        <w:rPr>
          <w:rFonts w:ascii="Arial Unicode MS" w:eastAsia="Arial Unicode MS" w:hAnsi="Arial Unicode MS" w:cs="Arial Unicode MS"/>
          <w:color w:val="2B477B"/>
        </w:rPr>
        <w:t>.</w:t>
      </w:r>
    </w:p>
  </w:footnote>
  <w:footnote w:id="419">
    <w:p w14:paraId="629E5EC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19" w:history="1">
        <w:r>
          <w:rPr>
            <w:rStyle w:val="Hyperlink1"/>
            <w:rFonts w:ascii="Arial Unicode MS" w:eastAsia="Arial Unicode MS" w:hAnsi="Arial Unicode MS" w:cs="Arial Unicode MS"/>
            <w:u w:val="single"/>
          </w:rPr>
          <w:t>Informe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Relatora</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51</w:t>
      </w:r>
      <w:r>
        <w:rPr>
          <w:rFonts w:ascii="Arial Unicode MS" w:eastAsia="Arial Unicode MS" w:hAnsi="Arial Unicode MS" w:cs="Arial Unicode MS"/>
          <w:color w:val="2B477B"/>
        </w:rPr>
        <w:t>.</w:t>
      </w:r>
    </w:p>
  </w:footnote>
  <w:footnote w:id="420">
    <w:p w14:paraId="70A7CA8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20" w:history="1">
        <w:r>
          <w:rPr>
            <w:rStyle w:val="Hyperlink1"/>
            <w:rFonts w:ascii="Arial Unicode MS" w:eastAsia="Arial Unicode MS" w:hAnsi="Arial Unicode MS" w:cs="Arial Unicode MS"/>
            <w:u w:val="single"/>
          </w:rPr>
          <w:t>Informe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Relatora</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52</w:t>
      </w:r>
      <w:r>
        <w:rPr>
          <w:rFonts w:ascii="Arial Unicode MS" w:eastAsia="Arial Unicode MS" w:hAnsi="Arial Unicode MS" w:cs="Arial Unicode MS"/>
          <w:color w:val="2B477B"/>
        </w:rPr>
        <w:t>.</w:t>
      </w:r>
    </w:p>
  </w:footnote>
  <w:footnote w:id="421">
    <w:p w14:paraId="7011274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21" w:history="1">
        <w:r>
          <w:rPr>
            <w:rStyle w:val="Hyperlink1"/>
            <w:rFonts w:ascii="Arial Unicode MS" w:eastAsia="Arial Unicode MS" w:hAnsi="Arial Unicode MS" w:cs="Arial Unicode MS"/>
            <w:u w:val="single"/>
          </w:rPr>
          <w:t>Informe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Relatora</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Naciones</w:t>
        </w:r>
        <w:r>
          <w:rPr>
            <w:rStyle w:val="Hyperlink1"/>
            <w:u w:val="single"/>
          </w:rPr>
          <w:t xml:space="preserve"> </w:t>
        </w:r>
        <w:r>
          <w:rPr>
            <w:rStyle w:val="Hyperlink1"/>
            <w:rFonts w:ascii="Arial Unicode MS" w:eastAsia="Arial Unicode MS" w:hAnsi="Arial Unicode MS" w:cs="Arial Unicode MS"/>
            <w:u w:val="single"/>
          </w:rPr>
          <w:t>Unidas</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párrs.</w:t>
      </w:r>
      <w:r>
        <w:rPr>
          <w:color w:val="2B477B"/>
        </w:rPr>
        <w:t xml:space="preserve"> 53</w:t>
      </w:r>
      <w:r>
        <w:rPr>
          <w:rFonts w:ascii="Arial Unicode MS" w:eastAsia="Arial Unicode MS" w:hAnsi="Arial Unicode MS" w:cs="Arial Unicode MS"/>
          <w:color w:val="2B477B"/>
        </w:rPr>
        <w:t>-</w:t>
      </w:r>
      <w:r>
        <w:rPr>
          <w:color w:val="2B477B"/>
        </w:rPr>
        <w:t>56</w:t>
      </w:r>
      <w:r>
        <w:rPr>
          <w:rFonts w:ascii="Arial Unicode MS" w:eastAsia="Arial Unicode MS" w:hAnsi="Arial Unicode MS" w:cs="Arial Unicode MS"/>
          <w:color w:val="2B477B"/>
        </w:rPr>
        <w:t>.</w:t>
      </w:r>
    </w:p>
  </w:footnote>
  <w:footnote w:id="422">
    <w:p w14:paraId="5D1DD73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22"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21</w:t>
      </w:r>
      <w:r>
        <w:rPr>
          <w:rFonts w:ascii="Arial Unicode MS" w:eastAsia="Arial Unicode MS" w:hAnsi="Arial Unicode MS" w:cs="Arial Unicode MS"/>
          <w:color w:val="2B477B"/>
        </w:rPr>
        <w:t>.</w:t>
      </w:r>
    </w:p>
  </w:footnote>
  <w:footnote w:id="423">
    <w:p w14:paraId="5CD5566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723" w:history="1">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Práctica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Establecimiento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32 </w:t>
      </w:r>
      <w:r>
        <w:rPr>
          <w:rFonts w:ascii="Arial Unicode MS" w:eastAsia="Arial Unicode MS" w:hAnsi="Arial Unicode MS" w:cs="Arial Unicode MS"/>
          <w:color w:val="2B477B"/>
        </w:rPr>
        <w:t>y</w:t>
      </w:r>
      <w:r>
        <w:rPr>
          <w:color w:val="2B477B"/>
        </w:rPr>
        <w:t xml:space="preserve"> 33</w:t>
      </w:r>
      <w:r>
        <w:rPr>
          <w:rFonts w:ascii="Arial Unicode MS" w:eastAsia="Arial Unicode MS" w:hAnsi="Arial Unicode MS" w:cs="Arial Unicode MS"/>
          <w:color w:val="2B477B"/>
        </w:rPr>
        <w:t>.</w:t>
      </w:r>
    </w:p>
  </w:footnote>
  <w:footnote w:id="424">
    <w:p w14:paraId="7F5FB06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hyperlink r:id="rId724"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Relatora</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A</w:t>
      </w:r>
      <w:r>
        <w:rPr>
          <w:color w:val="2B477B"/>
        </w:rPr>
        <w:t>/</w:t>
      </w:r>
      <w:r>
        <w:rPr>
          <w:rFonts w:ascii="Arial Unicode MS" w:eastAsia="Arial Unicode MS" w:hAnsi="Arial Unicode MS" w:cs="Arial Unicode MS"/>
          <w:color w:val="2B477B"/>
        </w:rPr>
        <w:t>HRC</w:t>
      </w:r>
      <w:r>
        <w:rPr>
          <w:color w:val="2B477B"/>
        </w:rPr>
        <w:t>/34/58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27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25"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17</w:t>
      </w:r>
      <w:r>
        <w:rPr>
          <w:rFonts w:ascii="Arial Unicode MS" w:eastAsia="Arial Unicode MS" w:hAnsi="Arial Unicode MS" w:cs="Arial Unicode MS"/>
          <w:color w:val="2B477B"/>
        </w:rPr>
        <w:t>.</w:t>
      </w:r>
    </w:p>
  </w:footnote>
  <w:footnote w:id="425">
    <w:p w14:paraId="1500936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726"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33</w:t>
      </w:r>
      <w:r>
        <w:rPr>
          <w:rFonts w:ascii="Arial Unicode MS" w:eastAsia="Arial Unicode MS" w:hAnsi="Arial Unicode MS" w:cs="Arial Unicode MS"/>
          <w:color w:val="2B477B"/>
        </w:rPr>
        <w:t>.</w:t>
      </w:r>
    </w:p>
  </w:footnote>
  <w:footnote w:id="426">
    <w:p w14:paraId="5224953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27" w:history="1">
        <w:r>
          <w:rPr>
            <w:rStyle w:val="Hyperlink1"/>
            <w:rFonts w:ascii="Arial Unicode MS" w:eastAsia="Arial Unicode MS" w:hAnsi="Arial Unicode MS" w:cs="Arial Unicode MS"/>
            <w:u w:val="single"/>
          </w:rPr>
          <w:t>Observación</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núm.</w:t>
        </w:r>
        <w:r>
          <w:rPr>
            <w:rStyle w:val="Hyperlink1"/>
            <w:u w:val="single"/>
          </w:rPr>
          <w:t xml:space="preserve"> 1</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art.</w:t>
        </w:r>
        <w:r>
          <w:rPr>
            <w:rStyle w:val="Hyperlink1"/>
            <w:u w:val="single"/>
          </w:rPr>
          <w:t xml:space="preserve"> 12</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Igual</w:t>
        </w:r>
        <w:r>
          <w:rPr>
            <w:rStyle w:val="Hyperlink1"/>
            <w:u w:val="single"/>
          </w:rPr>
          <w:t xml:space="preserve"> </w:t>
        </w:r>
        <w:r>
          <w:rPr>
            <w:rStyle w:val="Hyperlink1"/>
            <w:rFonts w:ascii="Arial Unicode MS" w:eastAsia="Arial Unicode MS" w:hAnsi="Arial Unicode MS" w:cs="Arial Unicode MS"/>
            <w:u w:val="single"/>
          </w:rPr>
          <w:t>reconocimiento</w:t>
        </w:r>
        <w:r>
          <w:rPr>
            <w:rStyle w:val="Hyperlink1"/>
            <w:u w:val="single"/>
          </w:rPr>
          <w:t xml:space="preserve"> </w:t>
        </w:r>
        <w:r>
          <w:rPr>
            <w:rStyle w:val="Hyperlink1"/>
            <w:rFonts w:ascii="Arial Unicode MS" w:eastAsia="Arial Unicode MS" w:hAnsi="Arial Unicode MS" w:cs="Arial Unicode MS"/>
            <w:u w:val="single"/>
          </w:rPr>
          <w:t>como</w:t>
        </w:r>
        <w:r>
          <w:rPr>
            <w:rStyle w:val="Hyperlink1"/>
            <w:u w:val="single"/>
          </w:rPr>
          <w:t xml:space="preserve"> </w:t>
        </w:r>
        <w:r>
          <w:rPr>
            <w:rStyle w:val="Hyperlink1"/>
            <w:rFonts w:ascii="Arial Unicode MS" w:eastAsia="Arial Unicode MS" w:hAnsi="Arial Unicode MS" w:cs="Arial Unicode MS"/>
            <w:u w:val="single"/>
          </w:rPr>
          <w:t>persona</w:t>
        </w:r>
        <w:r>
          <w:rPr>
            <w:rStyle w:val="Hyperlink1"/>
            <w:u w:val="single"/>
          </w:rPr>
          <w:t xml:space="preserve"> </w:t>
        </w:r>
        <w:r>
          <w:rPr>
            <w:rStyle w:val="Hyperlink1"/>
            <w:rFonts w:ascii="Arial Unicode MS" w:eastAsia="Arial Unicode MS" w:hAnsi="Arial Unicode MS" w:cs="Arial Unicode MS"/>
            <w:u w:val="single"/>
          </w:rPr>
          <w:t>ante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728"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págs.</w:t>
      </w:r>
      <w:r>
        <w:rPr>
          <w:color w:val="2B477B"/>
        </w:rPr>
        <w:t xml:space="preserve"> </w:t>
      </w:r>
      <w:r>
        <w:rPr>
          <w:rFonts w:ascii="Arial Unicode MS" w:eastAsia="Arial Unicode MS" w:hAnsi="Arial Unicode MS" w:cs="Arial Unicode MS"/>
          <w:color w:val="2B477B"/>
        </w:rPr>
        <w:t>XI,</w:t>
      </w:r>
      <w:r>
        <w:rPr>
          <w:color w:val="2B477B"/>
        </w:rPr>
        <w:t xml:space="preserve"> </w:t>
      </w:r>
      <w:r>
        <w:rPr>
          <w:rFonts w:ascii="Arial Unicode MS" w:eastAsia="Arial Unicode MS" w:hAnsi="Arial Unicode MS" w:cs="Arial Unicode MS"/>
          <w:color w:val="2B477B"/>
        </w:rPr>
        <w:t>XII,</w:t>
      </w:r>
      <w:r>
        <w:rPr>
          <w:color w:val="2B477B"/>
        </w:rPr>
        <w:t xml:space="preserve"> 27</w:t>
      </w:r>
      <w:r>
        <w:rPr>
          <w:rFonts w:ascii="Arial Unicode MS" w:eastAsia="Arial Unicode MS" w:hAnsi="Arial Unicode MS" w:cs="Arial Unicode MS"/>
          <w:color w:val="2B477B"/>
        </w:rPr>
        <w:t>,</w:t>
      </w:r>
      <w:r>
        <w:rPr>
          <w:color w:val="2B477B"/>
        </w:rPr>
        <w:t xml:space="preserve"> 31</w:t>
      </w:r>
      <w:r>
        <w:rPr>
          <w:rFonts w:ascii="Arial Unicode MS" w:eastAsia="Arial Unicode MS" w:hAnsi="Arial Unicode MS" w:cs="Arial Unicode MS"/>
          <w:color w:val="2B477B"/>
        </w:rPr>
        <w:t>-</w:t>
      </w:r>
      <w:r>
        <w:rPr>
          <w:color w:val="2B477B"/>
        </w:rPr>
        <w:t>35</w:t>
      </w:r>
      <w:r>
        <w:rPr>
          <w:rFonts w:ascii="Arial Unicode MS" w:eastAsia="Arial Unicode MS" w:hAnsi="Arial Unicode MS" w:cs="Arial Unicode MS"/>
          <w:color w:val="2B477B"/>
        </w:rPr>
        <w:t>.</w:t>
      </w:r>
    </w:p>
  </w:footnote>
  <w:footnote w:id="427">
    <w:p w14:paraId="607E1A6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729"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34</w:t>
      </w:r>
      <w:r>
        <w:rPr>
          <w:rFonts w:ascii="Arial Unicode MS" w:eastAsia="Arial Unicode MS" w:hAnsi="Arial Unicode MS" w:cs="Arial Unicode MS"/>
          <w:color w:val="2B477B"/>
        </w:rPr>
        <w:t>.</w:t>
      </w:r>
    </w:p>
  </w:footnote>
  <w:footnote w:id="428">
    <w:p w14:paraId="60C8BC8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730"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34</w:t>
      </w:r>
      <w:r>
        <w:rPr>
          <w:rFonts w:ascii="Arial Unicode MS" w:eastAsia="Arial Unicode MS" w:hAnsi="Arial Unicode MS" w:cs="Arial Unicode MS"/>
          <w:color w:val="2B477B"/>
        </w:rPr>
        <w:t>.</w:t>
      </w:r>
      <w:r>
        <w:rPr>
          <w:color w:val="2B477B"/>
        </w:rPr>
        <w:t xml:space="preserve"> </w:t>
      </w:r>
    </w:p>
  </w:footnote>
  <w:footnote w:id="429">
    <w:p w14:paraId="0FF6A88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31"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20</w:t>
      </w:r>
      <w:r>
        <w:rPr>
          <w:rFonts w:ascii="Arial Unicode MS" w:eastAsia="Arial Unicode MS" w:hAnsi="Arial Unicode MS" w:cs="Arial Unicode MS"/>
          <w:color w:val="2B477B"/>
        </w:rPr>
        <w:t>-</w:t>
      </w:r>
      <w:r>
        <w:rPr>
          <w:color w:val="2B477B"/>
        </w:rPr>
        <w:t>22</w:t>
      </w:r>
    </w:p>
  </w:footnote>
  <w:footnote w:id="430">
    <w:p w14:paraId="04ACBA3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732"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hyperlink>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20</w:t>
      </w:r>
      <w:r>
        <w:rPr>
          <w:rFonts w:ascii="Arial Unicode MS" w:eastAsia="Arial Unicode MS" w:hAnsi="Arial Unicode MS" w:cs="Arial Unicode MS"/>
          <w:color w:val="2B477B"/>
        </w:rPr>
        <w:t>-</w:t>
      </w:r>
      <w:r>
        <w:rPr>
          <w:color w:val="2B477B"/>
        </w:rPr>
        <w:t>22</w:t>
      </w:r>
    </w:p>
  </w:footnote>
  <w:footnote w:id="431">
    <w:p w14:paraId="71714C3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Práctica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Establecimiento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pág.</w:t>
      </w:r>
      <w:r>
        <w:rPr>
          <w:color w:val="2B477B"/>
        </w:rPr>
        <w:t xml:space="preserve"> </w:t>
      </w:r>
      <w:r>
        <w:rPr>
          <w:rFonts w:ascii="Arial Unicode MS" w:eastAsia="Arial Unicode MS" w:hAnsi="Arial Unicode MS" w:cs="Arial Unicode MS"/>
          <w:color w:val="2B477B"/>
        </w:rPr>
        <w:t>XII.</w:t>
      </w:r>
    </w:p>
  </w:footnote>
  <w:footnote w:id="432">
    <w:p w14:paraId="2284B6B7" w14:textId="77777777" w:rsidR="001A105D" w:rsidRDefault="00000000">
      <w:pPr>
        <w:pStyle w:val="Body"/>
        <w:jc w:val="left"/>
      </w:pPr>
      <w:r>
        <w:rPr>
          <w:rStyle w:val="None"/>
          <w:color w:val="2B477B"/>
          <w:vertAlign w:val="superscript"/>
        </w:rPr>
        <w:footnoteRef/>
      </w:r>
      <w:r>
        <w:rPr>
          <w:rFonts w:ascii="Arial Unicode MS" w:eastAsia="Arial Unicode MS" w:hAnsi="Arial Unicode MS" w:cs="Arial Unicode MS"/>
          <w:color w:val="2B477B"/>
        </w:rPr>
        <w:t>CEDDIS,</w:t>
      </w:r>
      <w:r>
        <w:rPr>
          <w:color w:val="2B477B"/>
        </w:rPr>
        <w:t xml:space="preserve"> </w:t>
      </w:r>
      <w:hyperlink r:id="rId733"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w:t>
      </w:r>
      <w:r>
        <w:rPr>
          <w:rFonts w:ascii="Arial Unicode MS" w:eastAsia="Arial Unicode MS" w:hAnsi="Arial Unicode MS" w:cs="Arial Unicode MS"/>
          <w:color w:val="2B477B"/>
        </w:rPr>
        <w:t>XII.</w:t>
      </w:r>
    </w:p>
  </w:footnote>
  <w:footnote w:id="433">
    <w:p w14:paraId="586245E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734"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w:t>
      </w:r>
      <w:r>
        <w:rPr>
          <w:rFonts w:ascii="Arial Unicode MS" w:eastAsia="Arial Unicode MS" w:hAnsi="Arial Unicode MS" w:cs="Arial Unicode MS"/>
          <w:color w:val="2B477B"/>
        </w:rPr>
        <w:t>XII.</w:t>
      </w:r>
    </w:p>
  </w:footnote>
  <w:footnote w:id="434">
    <w:p w14:paraId="4D2063F7" w14:textId="77777777" w:rsidR="001A105D" w:rsidRDefault="00000000">
      <w:pPr>
        <w:pStyle w:val="Body"/>
        <w:jc w:val="left"/>
      </w:pPr>
      <w:r>
        <w:rPr>
          <w:rStyle w:val="None"/>
          <w:color w:val="2B477B"/>
          <w:vertAlign w:val="superscript"/>
        </w:rPr>
        <w:footnoteRef/>
      </w:r>
      <w:r>
        <w:rPr>
          <w:rFonts w:ascii="Arial Unicode MS" w:eastAsia="Arial Unicode MS" w:hAnsi="Arial Unicode MS" w:cs="Arial Unicode MS"/>
          <w:color w:val="2B477B"/>
        </w:rPr>
        <w:t>CEDDIS,</w:t>
      </w:r>
      <w:r>
        <w:rPr>
          <w:color w:val="2B477B"/>
        </w:rPr>
        <w:t xml:space="preserve"> </w:t>
      </w:r>
      <w:hyperlink r:id="rId735"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w:t>
      </w:r>
      <w:r>
        <w:rPr>
          <w:rFonts w:ascii="Arial Unicode MS" w:eastAsia="Arial Unicode MS" w:hAnsi="Arial Unicode MS" w:cs="Arial Unicode MS"/>
          <w:color w:val="2B477B"/>
        </w:rPr>
        <w:t>XII.</w:t>
      </w:r>
    </w:p>
  </w:footnote>
  <w:footnote w:id="435">
    <w:p w14:paraId="6EA7EBA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sentido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expresado</w:t>
      </w:r>
      <w:r>
        <w:rPr>
          <w:color w:val="2B477B"/>
        </w:rPr>
        <w:t xml:space="preserve"> </w:t>
      </w:r>
      <w:r>
        <w:rPr>
          <w:rFonts w:ascii="Arial Unicode MS" w:eastAsia="Arial Unicode MS" w:hAnsi="Arial Unicode MS" w:cs="Arial Unicode MS"/>
          <w:color w:val="2B477B"/>
        </w:rPr>
        <w:t>recientemente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(BID)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Americanos</w:t>
      </w:r>
      <w:r>
        <w:rPr>
          <w:color w:val="2B477B"/>
        </w:rPr>
        <w:t xml:space="preserve"> </w:t>
      </w:r>
      <w:r>
        <w:rPr>
          <w:rFonts w:ascii="Arial Unicode MS" w:eastAsia="Arial Unicode MS" w:hAnsi="Arial Unicode MS" w:cs="Arial Unicode MS"/>
          <w:color w:val="2B477B"/>
        </w:rPr>
        <w:t>(OEA),</w:t>
      </w:r>
      <w:hyperlink r:id="rId736" w:history="1">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diciembre</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151 </w:t>
      </w:r>
      <w:r>
        <w:rPr>
          <w:rFonts w:ascii="Arial Unicode MS" w:eastAsia="Arial Unicode MS" w:hAnsi="Arial Unicode MS" w:cs="Arial Unicode MS"/>
          <w:color w:val="2B477B"/>
        </w:rPr>
        <w:t>a</w:t>
      </w:r>
      <w:r>
        <w:rPr>
          <w:color w:val="2B477B"/>
        </w:rPr>
        <w:t xml:space="preserve"> 194</w:t>
      </w:r>
      <w:r>
        <w:rPr>
          <w:rFonts w:ascii="Arial Unicode MS" w:eastAsia="Arial Unicode MS" w:hAnsi="Arial Unicode MS" w:cs="Arial Unicode MS"/>
          <w:color w:val="2B477B"/>
        </w:rPr>
        <w:t>.</w:t>
      </w:r>
    </w:p>
  </w:footnote>
  <w:footnote w:id="436">
    <w:p w14:paraId="3B080EE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37"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Comercial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994</w:t>
        </w:r>
      </w:hyperlink>
      <w:r>
        <w:rPr>
          <w:rFonts w:ascii="Arial Unicode MS" w:eastAsia="Arial Unicode MS" w:hAnsi="Arial Unicode MS" w:cs="Arial Unicode MS"/>
          <w:color w:val="2B477B"/>
        </w:rPr>
        <w:t>,</w:t>
      </w:r>
      <w:r>
        <w:rPr>
          <w:color w:val="2B477B"/>
        </w:rPr>
        <w:t xml:space="preserve"> 2015</w:t>
      </w:r>
      <w:r>
        <w:rPr>
          <w:rFonts w:ascii="Arial Unicode MS" w:eastAsia="Arial Unicode MS" w:hAnsi="Arial Unicode MS" w:cs="Arial Unicode MS"/>
          <w:color w:val="2B477B"/>
        </w:rPr>
        <w:t>.</w:t>
      </w:r>
      <w:r>
        <w:rPr>
          <w:color w:val="2B477B"/>
        </w:rPr>
        <w:t xml:space="preserve"> </w:t>
      </w:r>
    </w:p>
  </w:footnote>
  <w:footnote w:id="437">
    <w:p w14:paraId="3F2FA3F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w:t>
      </w:r>
      <w:r>
        <w:rPr>
          <w:rFonts w:ascii="Arial Unicode MS" w:eastAsia="Arial Unicode MS" w:hAnsi="Arial Unicode MS" w:cs="Arial Unicode MS"/>
          <w:color w:val="2B477B"/>
        </w:rPr>
        <w:t>-</w:t>
      </w:r>
      <w:r>
        <w:rPr>
          <w:color w:val="2B477B"/>
        </w:rPr>
        <w:t>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hyperlink r:id="rId738" w:history="1">
        <w:r>
          <w:rPr>
            <w:color w:val="2B477B"/>
          </w:rPr>
          <w:t xml:space="preserve"> </w:t>
        </w:r>
        <w:r>
          <w:rPr>
            <w:rFonts w:ascii="Arial Unicode MS" w:eastAsia="Arial Unicode MS" w:hAnsi="Arial Unicode MS" w:cs="Arial Unicode MS"/>
            <w:color w:val="2B477B"/>
          </w:rPr>
          <w:t>Ley</w:t>
        </w:r>
        <w:r>
          <w:rPr>
            <w:color w:val="2B477B"/>
          </w:rPr>
          <w:t xml:space="preserve"> 13</w:t>
        </w:r>
        <w:r>
          <w:rPr>
            <w:rFonts w:ascii="Arial Unicode MS" w:eastAsia="Arial Unicode MS" w:hAnsi="Arial Unicode MS" w:cs="Arial Unicode MS"/>
            <w:color w:val="2B477B"/>
          </w:rPr>
          <w:t>.</w:t>
        </w:r>
        <w:r>
          <w:rPr>
            <w:color w:val="2B477B"/>
          </w:rPr>
          <w:t>146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del</w:t>
      </w:r>
      <w:r>
        <w:rPr>
          <w:color w:val="2B477B"/>
        </w:rPr>
        <w:t xml:space="preserve"> 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p>
  </w:footnote>
  <w:footnote w:id="438">
    <w:p w14:paraId="21B2B0A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16</w:t>
      </w:r>
      <w:r>
        <w:rPr>
          <w:rFonts w:ascii="Arial Unicode MS" w:eastAsia="Arial Unicode MS" w:hAnsi="Arial Unicode MS" w:cs="Arial Unicode MS"/>
          <w:color w:val="2B477B"/>
        </w:rPr>
        <w:t>-</w:t>
      </w:r>
      <w:r>
        <w:rPr>
          <w:color w:val="2B477B"/>
        </w:rPr>
        <w:t>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3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Autonomía</w:t>
        </w:r>
        <w:r>
          <w:rPr>
            <w:color w:val="2B477B"/>
          </w:rPr>
          <w:t xml:space="preserve"> </w:t>
        </w:r>
        <w:r>
          <w:rPr>
            <w:rFonts w:ascii="Arial Unicode MS" w:eastAsia="Arial Unicode MS" w:hAnsi="Arial Unicode MS" w:cs="Arial Unicode MS"/>
            <w:color w:val="2B477B"/>
          </w:rPr>
          <w:t>Personal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9</w:t>
      </w:r>
      <w:r>
        <w:rPr>
          <w:rFonts w:ascii="Arial Unicode MS" w:eastAsia="Arial Unicode MS" w:hAnsi="Arial Unicode MS" w:cs="Arial Unicode MS"/>
          <w:color w:val="2B477B"/>
        </w:rPr>
        <w:t>,</w:t>
      </w:r>
      <w:r>
        <w:rPr>
          <w:color w:val="2B477B"/>
        </w:rPr>
        <w:t>379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del</w:t>
      </w:r>
      <w:r>
        <w:rPr>
          <w:color w:val="2B477B"/>
        </w:rPr>
        <w:t xml:space="preserve"> 18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p>
  </w:footnote>
  <w:footnote w:id="439">
    <w:p w14:paraId="5F2F895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37</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er,</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Bicentenario,</w:t>
      </w:r>
      <w:r>
        <w:rPr>
          <w:color w:val="2B477B"/>
        </w:rPr>
        <w:t xml:space="preserve"> </w:t>
      </w:r>
      <w:hyperlink r:id="rId740"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Regula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Condiciones</w:t>
        </w:r>
      </w:hyperlink>
      <w:r>
        <w:rPr>
          <w:rFonts w:ascii="Arial Unicode MS" w:eastAsia="Arial Unicode MS" w:hAnsi="Arial Unicode MS" w:cs="Arial Unicode MS"/>
          <w:color w:val="2B477B"/>
        </w:rPr>
        <w:t>,</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p>
  </w:footnote>
  <w:footnote w:id="440">
    <w:p w14:paraId="3DB417C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w:t>
      </w:r>
      <w:r>
        <w:rPr>
          <w:rFonts w:ascii="Arial Unicode MS" w:eastAsia="Arial Unicode MS" w:hAnsi="Arial Unicode MS" w:cs="Arial Unicode MS"/>
          <w:color w:val="2B477B"/>
        </w:rPr>
        <w:t>-</w:t>
      </w:r>
      <w:r>
        <w:rPr>
          <w:color w:val="2B477B"/>
        </w:rPr>
        <w:t>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Ley</w:t>
      </w:r>
      <w:r>
        <w:rPr>
          <w:color w:val="2B477B"/>
        </w:rPr>
        <w:t xml:space="preserve"> 1996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medio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régimen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edad",</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p>
  </w:footnote>
  <w:footnote w:id="441">
    <w:p w14:paraId="410048D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32</w:t>
      </w:r>
      <w:r>
        <w:rPr>
          <w:rFonts w:ascii="Arial Unicode MS" w:eastAsia="Arial Unicode MS" w:hAnsi="Arial Unicode MS" w:cs="Arial Unicode MS"/>
          <w:color w:val="2B477B"/>
        </w:rPr>
        <w:t>-</w:t>
      </w:r>
      <w:r>
        <w:rPr>
          <w:color w:val="2B477B"/>
        </w:rPr>
        <w:t>36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41"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Procedimientos</w:t>
        </w:r>
        <w:r>
          <w:rPr>
            <w:color w:val="2B477B"/>
          </w:rPr>
          <w:t xml:space="preserve"> </w:t>
        </w:r>
        <w:r>
          <w:rPr>
            <w:rFonts w:ascii="Arial Unicode MS" w:eastAsia="Arial Unicode MS" w:hAnsi="Arial Unicode MS" w:cs="Arial Unicode MS"/>
            <w:color w:val="2B477B"/>
          </w:rPr>
          <w:t>Civiles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publicado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el</w:t>
      </w:r>
      <w:r>
        <w:rPr>
          <w:color w:val="2B477B"/>
        </w:rPr>
        <w:t xml:space="preserve"> 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nuevo</w:t>
      </w:r>
      <w:r>
        <w:rPr>
          <w:color w:val="2B477B"/>
        </w:rPr>
        <w:t xml:space="preserve"> </w:t>
      </w:r>
      <w:r>
        <w:rPr>
          <w:rFonts w:ascii="Arial Unicode MS" w:eastAsia="Arial Unicode MS" w:hAnsi="Arial Unicode MS" w:cs="Arial Unicode MS"/>
          <w:color w:val="2B477B"/>
        </w:rPr>
        <w:t>cuerpo</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entrará</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vigor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año</w:t>
      </w:r>
      <w:r>
        <w:rPr>
          <w:color w:val="2B477B"/>
        </w:rPr>
        <w:t xml:space="preserve"> 2027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artículo</w:t>
      </w:r>
      <w:r>
        <w:rPr>
          <w:color w:val="2B477B"/>
        </w:rPr>
        <w:t xml:space="preserve"> 19 </w:t>
      </w:r>
      <w:r>
        <w:rPr>
          <w:rFonts w:ascii="Arial Unicode MS" w:eastAsia="Arial Unicode MS" w:hAnsi="Arial Unicode MS" w:cs="Arial Unicode MS"/>
          <w:color w:val="2B477B"/>
        </w:rPr>
        <w:t>transitorio,</w:t>
      </w:r>
      <w:r>
        <w:rPr>
          <w:color w:val="2B477B"/>
        </w:rPr>
        <w:t xml:space="preserve"> </w:t>
      </w:r>
      <w:r>
        <w:rPr>
          <w:rFonts w:ascii="Arial Unicode MS" w:eastAsia="Arial Unicode MS" w:hAnsi="Arial Unicode MS" w:cs="Arial Unicode MS"/>
          <w:color w:val="2B477B"/>
        </w:rPr>
        <w:t>expresa: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derogan</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aquellas</w:t>
      </w:r>
      <w:r>
        <w:rPr>
          <w:color w:val="2B477B"/>
        </w:rPr>
        <w:t xml:space="preserve"> </w:t>
      </w:r>
      <w:r>
        <w:rPr>
          <w:rFonts w:ascii="Arial Unicode MS" w:eastAsia="Arial Unicode MS" w:hAnsi="Arial Unicode MS" w:cs="Arial Unicode MS"/>
          <w:color w:val="2B477B"/>
        </w:rPr>
        <w:t>disposiciones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establezcan</w:t>
      </w:r>
      <w:r>
        <w:rPr>
          <w:color w:val="2B477B"/>
        </w:rPr>
        <w:t xml:space="preserve"> </w:t>
      </w:r>
      <w:r>
        <w:rPr>
          <w:rFonts w:ascii="Arial Unicode MS" w:eastAsia="Arial Unicode MS" w:hAnsi="Arial Unicode MS" w:cs="Arial Unicode MS"/>
          <w:color w:val="2B477B"/>
        </w:rPr>
        <w:t>procedimientos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interdicción,</w:t>
      </w:r>
      <w:r>
        <w:rPr>
          <w:color w:val="2B477B"/>
        </w:rPr>
        <w:t xml:space="preserve"> </w:t>
      </w:r>
      <w:r>
        <w:rPr>
          <w:rFonts w:ascii="Arial Unicode MS" w:eastAsia="Arial Unicode MS" w:hAnsi="Arial Unicode MS" w:cs="Arial Unicode MS"/>
          <w:color w:val="2B477B"/>
        </w:rPr>
        <w:t>cuyo</w:t>
      </w:r>
      <w:r>
        <w:rPr>
          <w:color w:val="2B477B"/>
        </w:rPr>
        <w:t xml:space="preserve"> </w:t>
      </w:r>
      <w:r>
        <w:rPr>
          <w:rFonts w:ascii="Arial Unicode MS" w:eastAsia="Arial Unicode MS" w:hAnsi="Arial Unicode MS" w:cs="Arial Unicode MS"/>
          <w:color w:val="2B477B"/>
        </w:rPr>
        <w:t>efecto</w:t>
      </w:r>
      <w:r>
        <w:rPr>
          <w:color w:val="2B477B"/>
        </w:rPr>
        <w:t xml:space="preserve"> </w:t>
      </w:r>
      <w:r>
        <w:rPr>
          <w:rFonts w:ascii="Arial Unicode MS" w:eastAsia="Arial Unicode MS" w:hAnsi="Arial Unicode MS" w:cs="Arial Unicode MS"/>
          <w:color w:val="2B477B"/>
        </w:rPr>
        <w:t>sea</w:t>
      </w:r>
      <w:r>
        <w:rPr>
          <w:color w:val="2B477B"/>
        </w:rPr>
        <w:t xml:space="preserve"> </w:t>
      </w:r>
      <w:r>
        <w:rPr>
          <w:rFonts w:ascii="Arial Unicode MS" w:eastAsia="Arial Unicode MS" w:hAnsi="Arial Unicode MS" w:cs="Arial Unicode MS"/>
          <w:color w:val="2B477B"/>
        </w:rPr>
        <w:t>restringir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w:t>
      </w:r>
      <w:r>
        <w:rPr>
          <w:color w:val="2B477B"/>
        </w:rPr>
        <w:t xml:space="preserve"> 18 </w:t>
      </w:r>
      <w:r>
        <w:rPr>
          <w:rFonts w:ascii="Arial Unicode MS" w:eastAsia="Arial Unicode MS" w:hAnsi="Arial Unicode MS" w:cs="Arial Unicode MS"/>
          <w:color w:val="2B477B"/>
        </w:rPr>
        <w:t>años,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conformidad</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previsto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Disposiciones</w:t>
      </w:r>
      <w:r>
        <w:rPr>
          <w:color w:val="2B477B"/>
        </w:rPr>
        <w:t xml:space="preserve"> </w:t>
      </w:r>
      <w:r>
        <w:rPr>
          <w:rFonts w:ascii="Arial Unicode MS" w:eastAsia="Arial Unicode MS" w:hAnsi="Arial Unicode MS" w:cs="Arial Unicode MS"/>
          <w:color w:val="2B477B"/>
        </w:rPr>
        <w:t>Transitorias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presente</w:t>
      </w:r>
      <w:r>
        <w:rPr>
          <w:color w:val="2B477B"/>
        </w:rPr>
        <w:t xml:space="preserve"> </w:t>
      </w:r>
      <w:r>
        <w:rPr>
          <w:rFonts w:ascii="Arial Unicode MS" w:eastAsia="Arial Unicode MS" w:hAnsi="Arial Unicode MS" w:cs="Arial Unicode MS"/>
          <w:color w:val="2B477B"/>
        </w:rPr>
        <w:t>Decreto”.</w:t>
      </w:r>
      <w:r>
        <w:rPr>
          <w:color w:val="2B477B"/>
        </w:rPr>
        <w:t xml:space="preserve"> </w:t>
      </w:r>
    </w:p>
  </w:footnote>
  <w:footnote w:id="442">
    <w:p w14:paraId="42F63D8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21 </w:t>
      </w:r>
      <w:r>
        <w:rPr>
          <w:rFonts w:ascii="Arial Unicode MS" w:eastAsia="Arial Unicode MS" w:hAnsi="Arial Unicode MS" w:cs="Arial Unicode MS"/>
          <w:color w:val="2B477B"/>
        </w:rPr>
        <w:t>y</w:t>
      </w:r>
      <w:r>
        <w:rPr>
          <w:color w:val="2B477B"/>
        </w:rPr>
        <w:t xml:space="preserve"> 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4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7</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y</w:t>
      </w:r>
      <w:r>
        <w:rPr>
          <w:color w:val="2B477B"/>
        </w:rPr>
        <w:t xml:space="preserve"> 29</w:t>
      </w:r>
      <w:r>
        <w:rPr>
          <w:rFonts w:ascii="Arial Unicode MS" w:eastAsia="Arial Unicode MS" w:hAnsi="Arial Unicode MS" w:cs="Arial Unicode MS"/>
          <w:color w:val="2B477B"/>
        </w:rPr>
        <w:t>.</w:t>
      </w:r>
    </w:p>
  </w:footnote>
  <w:footnote w:id="443">
    <w:p w14:paraId="7BA29E48" w14:textId="77777777" w:rsidR="001A105D" w:rsidRDefault="00000000">
      <w:pPr>
        <w:pStyle w:val="Body"/>
        <w:jc w:val="left"/>
      </w:pPr>
      <w:r>
        <w:rPr>
          <w:rStyle w:val="None"/>
          <w:color w:val="2B477B"/>
          <w:vertAlign w:val="superscript"/>
        </w:rPr>
        <w:footnoteRef/>
      </w:r>
      <w:r>
        <w:rPr>
          <w:color w:val="2B477B"/>
        </w:rPr>
        <w:t xml:space="preserve"> </w:t>
      </w:r>
      <w:hyperlink r:id="rId74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24 </w:t>
      </w:r>
    </w:p>
  </w:footnote>
  <w:footnote w:id="444">
    <w:p w14:paraId="289F2C3D" w14:textId="77777777" w:rsidR="001A105D" w:rsidRDefault="00000000">
      <w:pPr>
        <w:pStyle w:val="Body"/>
        <w:jc w:val="left"/>
      </w:pPr>
      <w:r>
        <w:rPr>
          <w:rStyle w:val="None"/>
          <w:color w:val="2B477B"/>
          <w:vertAlign w:val="superscript"/>
        </w:rPr>
        <w:footnoteRef/>
      </w:r>
      <w:r>
        <w:rPr>
          <w:color w:val="2B477B"/>
        </w:rPr>
        <w:t xml:space="preserve"> </w:t>
      </w:r>
      <w:hyperlink r:id="rId744" w:history="1">
        <w:r>
          <w:rPr>
            <w:rFonts w:ascii="Arial Unicode MS" w:eastAsia="Arial Unicode MS" w:hAnsi="Arial Unicode MS" w:cs="Arial Unicode MS"/>
            <w:color w:val="2B477B"/>
          </w:rPr>
          <w:t>Ley</w:t>
        </w:r>
        <w:r>
          <w:rPr>
            <w:color w:val="2B477B"/>
          </w:rPr>
          <w:t xml:space="preserve"> 5</w:t>
        </w:r>
        <w:r>
          <w:rPr>
            <w:rFonts w:ascii="Arial Unicode MS" w:eastAsia="Arial Unicode MS" w:hAnsi="Arial Unicode MS" w:cs="Arial Unicode MS"/>
            <w:color w:val="2B477B"/>
          </w:rPr>
          <w:t>-</w:t>
        </w:r>
        <w:r>
          <w:rPr>
            <w:color w:val="2B477B"/>
          </w:rPr>
          <w:t>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enero</w:t>
      </w:r>
      <w:r>
        <w:rPr>
          <w:color w:val="2B477B"/>
        </w:rPr>
        <w:t xml:space="preserve"> </w:t>
      </w:r>
      <w:r>
        <w:rPr>
          <w:rFonts w:ascii="Arial Unicode MS" w:eastAsia="Arial Unicode MS" w:hAnsi="Arial Unicode MS" w:cs="Arial Unicode MS"/>
          <w:color w:val="2B477B"/>
        </w:rPr>
        <w:t>de</w:t>
      </w:r>
      <w:r>
        <w:rPr>
          <w:color w:val="2B477B"/>
        </w:rPr>
        <w:t xml:space="preserve"> 2013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23</w:t>
      </w:r>
      <w:r>
        <w:rPr>
          <w:rFonts w:ascii="Arial Unicode MS" w:eastAsia="Arial Unicode MS" w:hAnsi="Arial Unicode MS" w:cs="Arial Unicode MS"/>
          <w:color w:val="2B477B"/>
        </w:rPr>
        <w:t>.</w:t>
      </w:r>
      <w:r>
        <w:rPr>
          <w:color w:val="2B477B"/>
        </w:rPr>
        <w:t xml:space="preserve"> </w:t>
      </w:r>
    </w:p>
  </w:footnote>
  <w:footnote w:id="445">
    <w:p w14:paraId="7D70F23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w:t>
      </w:r>
      <w:r>
        <w:rPr>
          <w:rFonts w:ascii="Arial Unicode MS" w:eastAsia="Arial Unicode MS" w:hAnsi="Arial Unicode MS" w:cs="Arial Unicode MS"/>
          <w:color w:val="2B477B"/>
        </w:rPr>
        <w:t>-</w:t>
      </w:r>
      <w:r>
        <w:rPr>
          <w:color w:val="2B477B"/>
        </w:rPr>
        <w:t xml:space="preserve">8 </w:t>
      </w:r>
      <w:r>
        <w:rPr>
          <w:rFonts w:ascii="Arial Unicode MS" w:eastAsia="Arial Unicode MS" w:hAnsi="Arial Unicode MS" w:cs="Arial Unicode MS"/>
          <w:color w:val="2B477B"/>
        </w:rPr>
        <w:t>(Bolivia);</w:t>
      </w:r>
      <w:r>
        <w:rPr>
          <w:color w:val="2B477B"/>
        </w:rPr>
        <w:t xml:space="preserve"> 12</w:t>
      </w:r>
      <w:r>
        <w:rPr>
          <w:rFonts w:ascii="Arial Unicode MS" w:eastAsia="Arial Unicode MS" w:hAnsi="Arial Unicode MS" w:cs="Arial Unicode MS"/>
          <w:color w:val="2B477B"/>
        </w:rPr>
        <w:t>-</w:t>
      </w:r>
      <w:r>
        <w:rPr>
          <w:color w:val="2B477B"/>
        </w:rPr>
        <w:t xml:space="preserve">17 </w:t>
      </w:r>
      <w:r>
        <w:rPr>
          <w:rFonts w:ascii="Arial Unicode MS" w:eastAsia="Arial Unicode MS" w:hAnsi="Arial Unicode MS" w:cs="Arial Unicode MS"/>
          <w:color w:val="2B477B"/>
        </w:rPr>
        <w:t>(Chile);</w:t>
      </w:r>
      <w:r>
        <w:rPr>
          <w:color w:val="2B477B"/>
        </w:rPr>
        <w:t xml:space="preserve"> 25</w:t>
      </w:r>
      <w:r>
        <w:rPr>
          <w:rFonts w:ascii="Arial Unicode MS" w:eastAsia="Arial Unicode MS" w:hAnsi="Arial Unicode MS" w:cs="Arial Unicode MS"/>
          <w:color w:val="2B477B"/>
        </w:rPr>
        <w:t>-</w:t>
      </w:r>
      <w:r>
        <w:rPr>
          <w:color w:val="2B477B"/>
        </w:rPr>
        <w:t xml:space="preserve">27 </w:t>
      </w:r>
      <w:r>
        <w:rPr>
          <w:rFonts w:ascii="Arial Unicode MS" w:eastAsia="Arial Unicode MS" w:hAnsi="Arial Unicode MS" w:cs="Arial Unicode MS"/>
          <w:color w:val="2B477B"/>
        </w:rPr>
        <w:t>(Ecuador);</w:t>
      </w:r>
      <w:r>
        <w:rPr>
          <w:color w:val="2B477B"/>
        </w:rPr>
        <w:t xml:space="preserve"> 28</w:t>
      </w:r>
      <w:r>
        <w:rPr>
          <w:rFonts w:ascii="Arial Unicode MS" w:eastAsia="Arial Unicode MS" w:hAnsi="Arial Unicode MS" w:cs="Arial Unicode MS"/>
          <w:color w:val="2B477B"/>
        </w:rPr>
        <w:t>-</w:t>
      </w:r>
      <w:r>
        <w:rPr>
          <w:color w:val="2B477B"/>
        </w:rPr>
        <w:t xml:space="preserve">29 </w:t>
      </w:r>
      <w:r>
        <w:rPr>
          <w:rFonts w:ascii="Arial Unicode MS" w:eastAsia="Arial Unicode MS" w:hAnsi="Arial Unicode MS" w:cs="Arial Unicode MS"/>
          <w:color w:val="2B477B"/>
        </w:rPr>
        <w:t>(Guatemala);</w:t>
      </w:r>
      <w:r>
        <w:rPr>
          <w:color w:val="2B477B"/>
        </w:rPr>
        <w:t xml:space="preserve"> 32</w:t>
      </w:r>
      <w:r>
        <w:rPr>
          <w:rFonts w:ascii="Arial Unicode MS" w:eastAsia="Arial Unicode MS" w:hAnsi="Arial Unicode MS" w:cs="Arial Unicode MS"/>
          <w:color w:val="2B477B"/>
        </w:rPr>
        <w:t>-</w:t>
      </w:r>
      <w:r>
        <w:rPr>
          <w:color w:val="2B477B"/>
        </w:rPr>
        <w:t xml:space="preserve">36 </w:t>
      </w:r>
      <w:r>
        <w:rPr>
          <w:rFonts w:ascii="Arial Unicode MS" w:eastAsia="Arial Unicode MS" w:hAnsi="Arial Unicode MS" w:cs="Arial Unicode MS"/>
          <w:color w:val="2B477B"/>
        </w:rPr>
        <w:t>(México);</w:t>
      </w:r>
      <w:r>
        <w:rPr>
          <w:color w:val="2B477B"/>
        </w:rPr>
        <w:t xml:space="preserve"> 40</w:t>
      </w:r>
      <w:r>
        <w:rPr>
          <w:rFonts w:ascii="Arial Unicode MS" w:eastAsia="Arial Unicode MS" w:hAnsi="Arial Unicode MS" w:cs="Arial Unicode MS"/>
          <w:color w:val="2B477B"/>
        </w:rPr>
        <w:t>-</w:t>
      </w:r>
      <w:r>
        <w:rPr>
          <w:color w:val="2B477B"/>
        </w:rPr>
        <w:t xml:space="preserve">42 </w:t>
      </w:r>
      <w:r>
        <w:rPr>
          <w:rFonts w:ascii="Arial Unicode MS" w:eastAsia="Arial Unicode MS" w:hAnsi="Arial Unicode MS" w:cs="Arial Unicode MS"/>
          <w:color w:val="2B477B"/>
        </w:rPr>
        <w:t>(Paraguay).</w:t>
      </w:r>
      <w:r>
        <w:rPr>
          <w:color w:val="2B477B"/>
        </w:rPr>
        <w:t xml:space="preserve"> </w:t>
      </w:r>
    </w:p>
  </w:footnote>
  <w:footnote w:id="446">
    <w:p w14:paraId="7108B11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adelante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sección</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analizarán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más</w:t>
      </w:r>
      <w:r>
        <w:rPr>
          <w:color w:val="2B477B"/>
        </w:rPr>
        <w:t xml:space="preserve"> </w:t>
      </w:r>
      <w:r>
        <w:rPr>
          <w:rFonts w:ascii="Arial Unicode MS" w:eastAsia="Arial Unicode MS" w:hAnsi="Arial Unicode MS" w:cs="Arial Unicode MS"/>
          <w:color w:val="2B477B"/>
        </w:rPr>
        <w:t>detalle</w:t>
      </w:r>
      <w:r>
        <w:rPr>
          <w:color w:val="2B477B"/>
        </w:rPr>
        <w:t xml:space="preserve"> </w:t>
      </w:r>
      <w:r>
        <w:rPr>
          <w:rFonts w:ascii="Arial Unicode MS" w:eastAsia="Arial Unicode MS" w:hAnsi="Arial Unicode MS" w:cs="Arial Unicode MS"/>
          <w:color w:val="2B477B"/>
        </w:rPr>
        <w:t>estos</w:t>
      </w:r>
      <w:r>
        <w:rPr>
          <w:color w:val="2B477B"/>
        </w:rPr>
        <w:t xml:space="preserve"> </w:t>
      </w:r>
      <w:r>
        <w:rPr>
          <w:rFonts w:ascii="Arial Unicode MS" w:eastAsia="Arial Unicode MS" w:hAnsi="Arial Unicode MS" w:cs="Arial Unicode MS"/>
          <w:color w:val="2B477B"/>
        </w:rPr>
        <w:t>avances.</w:t>
      </w:r>
      <w:r>
        <w:rPr>
          <w:color w:val="2B477B"/>
        </w:rPr>
        <w:t xml:space="preserve"> </w:t>
      </w:r>
    </w:p>
  </w:footnote>
  <w:footnote w:id="447">
    <w:p w14:paraId="757FD264" w14:textId="77777777" w:rsidR="001A105D" w:rsidRDefault="00000000">
      <w:pPr>
        <w:pStyle w:val="Body"/>
        <w:jc w:val="left"/>
      </w:pPr>
      <w:r>
        <w:rPr>
          <w:rStyle w:val="None"/>
          <w:color w:val="2B477B"/>
          <w:u w:color="333333"/>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hyperlink r:id="rId745"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Procedimientos</w:t>
        </w:r>
        <w:r>
          <w:rPr>
            <w:color w:val="2B477B"/>
          </w:rPr>
          <w:t xml:space="preserve"> </w:t>
        </w:r>
        <w:r>
          <w:rPr>
            <w:rFonts w:ascii="Arial Unicode MS" w:eastAsia="Arial Unicode MS" w:hAnsi="Arial Unicode MS" w:cs="Arial Unicode MS"/>
            <w:color w:val="2B477B"/>
          </w:rPr>
          <w:t>Civiles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publicado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el</w:t>
      </w:r>
      <w:r>
        <w:rPr>
          <w:color w:val="2B477B"/>
        </w:rPr>
        <w:t xml:space="preserve"> 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p>
  </w:footnote>
  <w:footnote w:id="448">
    <w:p w14:paraId="43B7485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746"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1860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hyperlink>
      <w:r>
        <w:rPr>
          <w:color w:val="2B477B"/>
        </w:rPr>
        <w:t xml:space="preserve"> </w:t>
      </w:r>
      <w:r>
        <w:rPr>
          <w:rFonts w:ascii="Arial Unicode MS" w:eastAsia="Arial Unicode MS" w:hAnsi="Arial Unicode MS" w:cs="Arial Unicode MS"/>
          <w:color w:val="2B477B"/>
        </w:rPr>
        <w:t>arts.</w:t>
      </w:r>
      <w:r>
        <w:rPr>
          <w:color w:val="2B477B"/>
        </w:rPr>
        <w:t xml:space="preserve"> 1318</w:t>
      </w:r>
      <w:r>
        <w:rPr>
          <w:rFonts w:ascii="Arial Unicode MS" w:eastAsia="Arial Unicode MS" w:hAnsi="Arial Unicode MS" w:cs="Arial Unicode MS"/>
          <w:color w:val="2B477B"/>
        </w:rPr>
        <w:t>,</w:t>
      </w:r>
      <w:r>
        <w:rPr>
          <w:color w:val="2B477B"/>
        </w:rPr>
        <w:t xml:space="preserve"> 1341</w:t>
      </w:r>
      <w:r>
        <w:rPr>
          <w:rFonts w:ascii="Arial Unicode MS" w:eastAsia="Arial Unicode MS" w:hAnsi="Arial Unicode MS" w:cs="Arial Unicode MS"/>
          <w:color w:val="2B477B"/>
        </w:rPr>
        <w:t>,</w:t>
      </w:r>
      <w:r>
        <w:rPr>
          <w:color w:val="2B477B"/>
        </w:rPr>
        <w:t xml:space="preserve"> 1555 </w:t>
      </w:r>
      <w:r>
        <w:rPr>
          <w:rFonts w:ascii="Arial Unicode MS" w:eastAsia="Arial Unicode MS" w:hAnsi="Arial Unicode MS" w:cs="Arial Unicode MS"/>
          <w:color w:val="2B477B"/>
        </w:rPr>
        <w:t>y</w:t>
      </w:r>
      <w:r>
        <w:rPr>
          <w:color w:val="2B477B"/>
        </w:rPr>
        <w:t xml:space="preserve"> 762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747" w:history="1">
        <w:r>
          <w:rPr>
            <w:rFonts w:ascii="Arial Unicode MS" w:eastAsia="Arial Unicode MS" w:hAnsi="Arial Unicode MS" w:cs="Arial Unicode MS"/>
            <w:color w:val="2B477B"/>
          </w:rPr>
          <w:t>Decreto</w:t>
        </w:r>
        <w:r>
          <w:rPr>
            <w:color w:val="2B477B"/>
          </w:rPr>
          <w:t xml:space="preserve"> 677</w:t>
        </w:r>
      </w:hyperlink>
      <w:r>
        <w:rPr>
          <w:color w:val="2B477B"/>
        </w:rPr>
        <w:t xml:space="preserve"> </w:t>
      </w:r>
      <w:r>
        <w:rPr>
          <w:rFonts w:ascii="Arial Unicode MS" w:eastAsia="Arial Unicode MS" w:hAnsi="Arial Unicode MS" w:cs="Arial Unicode MS"/>
          <w:color w:val="2B477B"/>
        </w:rPr>
        <w:t>de</w:t>
      </w:r>
      <w:r>
        <w:rPr>
          <w:color w:val="2B477B"/>
        </w:rPr>
        <w:t xml:space="preserve"> 1993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Familia,</w:t>
      </w:r>
      <w:r>
        <w:rPr>
          <w:color w:val="2B477B"/>
        </w:rPr>
        <w:t xml:space="preserve"> </w:t>
      </w:r>
      <w:r>
        <w:rPr>
          <w:rFonts w:ascii="Arial Unicode MS" w:eastAsia="Arial Unicode MS" w:hAnsi="Arial Unicode MS" w:cs="Arial Unicode MS"/>
          <w:color w:val="2B477B"/>
        </w:rPr>
        <w:t>arts.</w:t>
      </w:r>
      <w:r>
        <w:rPr>
          <w:color w:val="2B477B"/>
        </w:rPr>
        <w:t xml:space="preserve"> 291 </w:t>
      </w:r>
      <w:r>
        <w:rPr>
          <w:rFonts w:ascii="Arial Unicode MS" w:eastAsia="Arial Unicode MS" w:hAnsi="Arial Unicode MS" w:cs="Arial Unicode MS"/>
          <w:color w:val="2B477B"/>
        </w:rPr>
        <w:t>a</w:t>
      </w:r>
      <w:r>
        <w:rPr>
          <w:color w:val="2B477B"/>
        </w:rPr>
        <w:t xml:space="preserve"> 293 </w:t>
      </w:r>
      <w:r>
        <w:rPr>
          <w:rFonts w:ascii="Arial Unicode MS" w:eastAsia="Arial Unicode MS" w:hAnsi="Arial Unicode MS" w:cs="Arial Unicode MS"/>
          <w:color w:val="2B477B"/>
        </w:rPr>
        <w:t>;</w:t>
      </w:r>
      <w:r>
        <w:rPr>
          <w:color w:val="2B477B"/>
        </w:rPr>
        <w:t xml:space="preserve"> </w:t>
      </w:r>
      <w:hyperlink r:id="rId748"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Nicaragua,</w:t>
      </w:r>
      <w:r>
        <w:rPr>
          <w:color w:val="2B477B"/>
        </w:rPr>
        <w:t xml:space="preserve"> </w:t>
      </w:r>
      <w:r>
        <w:rPr>
          <w:rFonts w:ascii="Arial Unicode MS" w:eastAsia="Arial Unicode MS" w:hAnsi="Arial Unicode MS" w:cs="Arial Unicode MS"/>
          <w:color w:val="2B477B"/>
        </w:rPr>
        <w:t>arts.</w:t>
      </w:r>
      <w:r>
        <w:rPr>
          <w:color w:val="2B477B"/>
        </w:rPr>
        <w:t xml:space="preserve"> 7 </w:t>
      </w:r>
      <w:r>
        <w:rPr>
          <w:rFonts w:ascii="Arial Unicode MS" w:eastAsia="Arial Unicode MS" w:hAnsi="Arial Unicode MS" w:cs="Arial Unicode MS"/>
          <w:color w:val="2B477B"/>
        </w:rPr>
        <w:t>y</w:t>
      </w:r>
      <w:r>
        <w:rPr>
          <w:color w:val="2B477B"/>
        </w:rPr>
        <w:t xml:space="preserve"> 298</w:t>
      </w:r>
      <w:r>
        <w:rPr>
          <w:rFonts w:ascii="Arial Unicode MS" w:eastAsia="Arial Unicode MS" w:hAnsi="Arial Unicode MS" w:cs="Arial Unicode MS"/>
          <w:color w:val="2B477B"/>
        </w:rPr>
        <w:t>;</w:t>
      </w:r>
      <w:r>
        <w:rPr>
          <w:color w:val="2B477B"/>
        </w:rPr>
        <w:t xml:space="preserve"> </w:t>
      </w:r>
      <w:hyperlink r:id="rId749"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artículo</w:t>
      </w:r>
      <w:r>
        <w:rPr>
          <w:color w:val="2B477B"/>
        </w:rPr>
        <w:t xml:space="preserve"> 489</w:t>
      </w:r>
      <w:r>
        <w:rPr>
          <w:rFonts w:ascii="Arial Unicode MS" w:eastAsia="Arial Unicode MS" w:hAnsi="Arial Unicode MS" w:cs="Arial Unicode MS"/>
          <w:color w:val="2B477B"/>
        </w:rPr>
        <w:t>.</w:t>
      </w:r>
    </w:p>
  </w:footnote>
  <w:footnote w:id="449">
    <w:p w14:paraId="695E9E0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del</w:t>
      </w:r>
      <w:r>
        <w:rPr>
          <w:color w:val="2B477B"/>
        </w:rPr>
        <w:t xml:space="preserve"> </w:t>
      </w:r>
      <w:hyperlink r:id="rId750"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1969</w:t>
      </w:r>
      <w:r>
        <w:rPr>
          <w:rFonts w:ascii="Arial Unicode MS" w:eastAsia="Arial Unicode MS" w:hAnsi="Arial Unicode MS" w:cs="Arial Unicode MS"/>
          <w:color w:val="2B477B"/>
        </w:rPr>
        <w:t>.</w:t>
      </w:r>
    </w:p>
  </w:footnote>
  <w:footnote w:id="450">
    <w:p w14:paraId="6DE222E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w:t>
      </w:r>
      <w:r>
        <w:rPr>
          <w:rFonts w:ascii="Arial Unicode MS" w:eastAsia="Arial Unicode MS" w:hAnsi="Arial Unicode MS" w:cs="Arial Unicode MS"/>
          <w:color w:val="2B477B"/>
        </w:rPr>
        <w:t>-</w:t>
      </w:r>
      <w:r>
        <w:rPr>
          <w:color w:val="2B477B"/>
        </w:rPr>
        <w:t>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51"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1980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21 </w:t>
      </w:r>
      <w:r>
        <w:rPr>
          <w:rFonts w:ascii="Arial Unicode MS" w:eastAsia="Arial Unicode MS" w:hAnsi="Arial Unicode MS" w:cs="Arial Unicode MS"/>
          <w:color w:val="2B477B"/>
        </w:rPr>
        <w:t>a</w:t>
      </w:r>
      <w:r>
        <w:rPr>
          <w:color w:val="2B477B"/>
        </w:rPr>
        <w:t xml:space="preserve"> 24</w:t>
      </w:r>
      <w:r>
        <w:rPr>
          <w:rFonts w:ascii="Arial Unicode MS" w:eastAsia="Arial Unicode MS" w:hAnsi="Arial Unicode MS" w:cs="Arial Unicode MS"/>
          <w:color w:val="2B477B"/>
        </w:rPr>
        <w:t>.</w:t>
      </w:r>
      <w:r>
        <w:rPr>
          <w:color w:val="2B477B"/>
        </w:rPr>
        <w:t xml:space="preserve"> </w:t>
      </w:r>
    </w:p>
  </w:footnote>
  <w:footnote w:id="451">
    <w:p w14:paraId="1761CB0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752" w:history="1">
        <w:r>
          <w:rPr>
            <w:rFonts w:ascii="Arial Unicode MS" w:eastAsia="Arial Unicode MS" w:hAnsi="Arial Unicode MS" w:cs="Arial Unicode MS"/>
            <w:color w:val="2B477B"/>
          </w:rPr>
          <w:t>Unsoundness</w:t>
        </w:r>
        <w:r>
          <w:rPr>
            <w:color w:val="2B477B"/>
          </w:rPr>
          <w:t xml:space="preserve"> </w:t>
        </w:r>
        <w:r>
          <w:rPr>
            <w:rFonts w:ascii="Arial Unicode MS" w:eastAsia="Arial Unicode MS" w:hAnsi="Arial Unicode MS" w:cs="Arial Unicode MS"/>
            <w:color w:val="2B477B"/>
          </w:rPr>
          <w:t>of</w:t>
        </w:r>
        <w:r>
          <w:rPr>
            <w:color w:val="2B477B"/>
          </w:rPr>
          <w:t xml:space="preserve"> </w:t>
        </w:r>
        <w:r>
          <w:rPr>
            <w:rFonts w:ascii="Arial Unicode MS" w:eastAsia="Arial Unicode MS" w:hAnsi="Arial Unicode MS" w:cs="Arial Unicode MS"/>
            <w:color w:val="2B477B"/>
          </w:rPr>
          <w:t>Mind</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1953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capítulo</w:t>
      </w:r>
      <w:r>
        <w:rPr>
          <w:color w:val="2B477B"/>
        </w:rPr>
        <w:t xml:space="preserve"> 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última</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2000</w:t>
      </w:r>
      <w:r>
        <w:rPr>
          <w:rFonts w:ascii="Arial Unicode MS" w:eastAsia="Arial Unicode MS" w:hAnsi="Arial Unicode MS" w:cs="Arial Unicode MS"/>
          <w:color w:val="2B477B"/>
        </w:rPr>
        <w:t>.</w:t>
      </w:r>
    </w:p>
  </w:footnote>
  <w:footnote w:id="452">
    <w:p w14:paraId="1DB61CD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w:t>
      </w:r>
      <w:r>
        <w:rPr>
          <w:rFonts w:ascii="Arial Unicode MS" w:eastAsia="Arial Unicode MS" w:hAnsi="Arial Unicode MS" w:cs="Arial Unicode MS"/>
          <w:color w:val="2B477B"/>
        </w:rPr>
        <w:t>-</w:t>
      </w:r>
      <w:r>
        <w:rPr>
          <w:color w:val="2B477B"/>
        </w:rPr>
        <w:t>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53" w:history="1">
        <w:r>
          <w:rPr>
            <w:rFonts w:ascii="Arial Unicode MS" w:eastAsia="Arial Unicode MS" w:hAnsi="Arial Unicode MS" w:cs="Arial Unicode MS"/>
            <w:color w:val="2B477B"/>
          </w:rPr>
          <w:t>Ley</w:t>
        </w:r>
        <w:r>
          <w:rPr>
            <w:color w:val="2B477B"/>
          </w:rPr>
          <w:t xml:space="preserve"> 223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20</w:t>
      </w:r>
      <w:r>
        <w:rPr>
          <w:rFonts w:ascii="Arial Unicode MS" w:eastAsia="Arial Unicode MS" w:hAnsi="Arial Unicode MS" w:cs="Arial Unicode MS"/>
          <w:color w:val="2B477B"/>
        </w:rPr>
        <w:t>;</w:t>
      </w:r>
      <w:hyperlink r:id="rId754"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Proceso</w:t>
        </w:r>
        <w:r>
          <w:rPr>
            <w:color w:val="2B477B"/>
          </w:rPr>
          <w:t xml:space="preserve"> </w:t>
        </w:r>
        <w:r>
          <w:rPr>
            <w:rFonts w:ascii="Arial Unicode MS" w:eastAsia="Arial Unicode MS" w:hAnsi="Arial Unicode MS" w:cs="Arial Unicode MS"/>
            <w:color w:val="2B477B"/>
          </w:rPr>
          <w:t>Familiar</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59</w:t>
      </w:r>
      <w:r>
        <w:rPr>
          <w:rFonts w:ascii="Arial Unicode MS" w:eastAsia="Arial Unicode MS" w:hAnsi="Arial Unicode MS" w:cs="Arial Unicode MS"/>
          <w:color w:val="2B477B"/>
        </w:rPr>
        <w:t>.</w:t>
      </w:r>
      <w:r>
        <w:rPr>
          <w:color w:val="2B477B"/>
        </w:rPr>
        <w:t xml:space="preserve"> </w:t>
      </w:r>
    </w:p>
  </w:footnote>
  <w:footnote w:id="453">
    <w:p w14:paraId="6E7E1DE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w:t>
      </w:r>
      <w:r>
        <w:rPr>
          <w:rFonts w:ascii="Arial Unicode MS" w:eastAsia="Arial Unicode MS" w:hAnsi="Arial Unicode MS" w:cs="Arial Unicode MS"/>
          <w:color w:val="2B477B"/>
        </w:rPr>
        <w:t>-</w:t>
      </w:r>
      <w:r>
        <w:rPr>
          <w:color w:val="2B477B"/>
        </w:rPr>
        <w:t>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55" w:history="1">
        <w:r>
          <w:rPr>
            <w:rFonts w:ascii="Arial Unicode MS" w:eastAsia="Arial Unicode MS" w:hAnsi="Arial Unicode MS" w:cs="Arial Unicode MS"/>
            <w:color w:val="2B477B"/>
          </w:rPr>
          <w:t>DFL</w:t>
        </w:r>
        <w:r>
          <w:rPr>
            <w:color w:val="2B477B"/>
          </w:rPr>
          <w:t>1</w:t>
        </w:r>
      </w:hyperlink>
      <w:hyperlink r:id="rId756" w:history="1">
        <w:r>
          <w:rPr>
            <w:color w:val="2B477B"/>
          </w:rPr>
          <w:t xml:space="preserve"> </w:t>
        </w:r>
        <w:r>
          <w:rPr>
            <w:rFonts w:ascii="Arial Unicode MS" w:eastAsia="Arial Unicode MS" w:hAnsi="Arial Unicode MS" w:cs="Arial Unicode MS"/>
            <w:color w:val="2B477B"/>
          </w:rPr>
          <w:t>de</w:t>
        </w:r>
        <w:r>
          <w:rPr>
            <w:color w:val="2B477B"/>
          </w:rPr>
          <w:t xml:space="preserve"> 2003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fija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texto</w:t>
        </w:r>
        <w:r>
          <w:rPr>
            <w:color w:val="2B477B"/>
          </w:rPr>
          <w:t xml:space="preserve"> </w:t>
        </w:r>
        <w:r>
          <w:rPr>
            <w:rFonts w:ascii="Arial Unicode MS" w:eastAsia="Arial Unicode MS" w:hAnsi="Arial Unicode MS" w:cs="Arial Unicode MS"/>
            <w:color w:val="2B477B"/>
          </w:rPr>
          <w:t>refundido,</w:t>
        </w:r>
        <w:r>
          <w:rPr>
            <w:color w:val="2B477B"/>
          </w:rPr>
          <w:t xml:space="preserve"> </w:t>
        </w:r>
        <w:r>
          <w:rPr>
            <w:rFonts w:ascii="Arial Unicode MS" w:eastAsia="Arial Unicode MS" w:hAnsi="Arial Unicode MS" w:cs="Arial Unicode MS"/>
            <w:color w:val="2B477B"/>
          </w:rPr>
          <w:t>coordinado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sistematizado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arts.</w:t>
        </w:r>
        <w:r>
          <w:rPr>
            <w:color w:val="2B477B"/>
          </w:rPr>
          <w:t xml:space="preserve"> 1447</w:t>
        </w:r>
        <w:r>
          <w:rPr>
            <w:rFonts w:ascii="Arial Unicode MS" w:eastAsia="Arial Unicode MS" w:hAnsi="Arial Unicode MS" w:cs="Arial Unicode MS"/>
            <w:color w:val="2B477B"/>
          </w:rPr>
          <w:t>,</w:t>
        </w:r>
        <w:r>
          <w:rPr>
            <w:color w:val="2B477B"/>
          </w:rPr>
          <w:t xml:space="preserve"> 1470</w:t>
        </w:r>
        <w:r>
          <w:rPr>
            <w:rFonts w:ascii="Arial Unicode MS" w:eastAsia="Arial Unicode MS" w:hAnsi="Arial Unicode MS" w:cs="Arial Unicode MS"/>
            <w:color w:val="2B477B"/>
          </w:rPr>
          <w:t>,</w:t>
        </w:r>
        <w:r>
          <w:rPr>
            <w:color w:val="2B477B"/>
          </w:rPr>
          <w:t xml:space="preserve"> 1685</w:t>
        </w:r>
        <w:r>
          <w:rPr>
            <w:rFonts w:ascii="Arial Unicode MS" w:eastAsia="Arial Unicode MS" w:hAnsi="Arial Unicode MS" w:cs="Arial Unicode MS"/>
            <w:color w:val="2B477B"/>
          </w:rPr>
          <w:t>,</w:t>
        </w:r>
        <w:r>
          <w:rPr>
            <w:color w:val="2B477B"/>
          </w:rPr>
          <w:t xml:space="preserve"> 1686</w:t>
        </w:r>
        <w:r>
          <w:rPr>
            <w:rFonts w:ascii="Arial Unicode MS" w:eastAsia="Arial Unicode MS" w:hAnsi="Arial Unicode MS" w:cs="Arial Unicode MS"/>
            <w:color w:val="2B477B"/>
          </w:rPr>
          <w:t>,</w:t>
        </w:r>
        <w:r>
          <w:rPr>
            <w:color w:val="2B477B"/>
          </w:rPr>
          <w:t xml:space="preserve"> 723</w:t>
        </w:r>
        <w:r>
          <w:rPr>
            <w:rFonts w:ascii="Arial Unicode MS" w:eastAsia="Arial Unicode MS" w:hAnsi="Arial Unicode MS" w:cs="Arial Unicode MS"/>
            <w:color w:val="2B477B"/>
          </w:rPr>
          <w:t>,</w:t>
        </w:r>
        <w:r>
          <w:rPr>
            <w:color w:val="2B477B"/>
          </w:rPr>
          <w:t xml:space="preserve"> 972</w:t>
        </w:r>
        <w:r>
          <w:rPr>
            <w:rFonts w:ascii="Arial Unicode MS" w:eastAsia="Arial Unicode MS" w:hAnsi="Arial Unicode MS" w:cs="Arial Unicode MS"/>
            <w:color w:val="2B477B"/>
          </w:rPr>
          <w:t>,</w:t>
        </w:r>
        <w:r>
          <w:rPr>
            <w:color w:val="2B477B"/>
          </w:rPr>
          <w:t xml:space="preserve"> 1200</w:t>
        </w:r>
        <w:r>
          <w:rPr>
            <w:rFonts w:ascii="Arial Unicode MS" w:eastAsia="Arial Unicode MS" w:hAnsi="Arial Unicode MS" w:cs="Arial Unicode MS"/>
            <w:color w:val="2B477B"/>
          </w:rPr>
          <w:t>,</w:t>
        </w:r>
        <w:r>
          <w:rPr>
            <w:color w:val="2B477B"/>
          </w:rPr>
          <w:t xml:space="preserve"> 1201 </w:t>
        </w:r>
        <w:r>
          <w:rPr>
            <w:rFonts w:ascii="Arial Unicode MS" w:eastAsia="Arial Unicode MS" w:hAnsi="Arial Unicode MS" w:cs="Arial Unicode MS"/>
            <w:color w:val="2B477B"/>
          </w:rPr>
          <w:t>y</w:t>
        </w:r>
        <w:r>
          <w:rPr>
            <w:color w:val="2B477B"/>
          </w:rPr>
          <w:t xml:space="preserve"> 1391</w:t>
        </w:r>
        <w:r>
          <w:rPr>
            <w:rFonts w:ascii="Arial Unicode MS" w:eastAsia="Arial Unicode MS" w:hAnsi="Arial Unicode MS" w:cs="Arial Unicode MS"/>
            <w:color w:val="2B477B"/>
          </w:rPr>
          <w:t>.</w:t>
        </w:r>
      </w:hyperlink>
    </w:p>
  </w:footnote>
  <w:footnote w:id="454">
    <w:p w14:paraId="774E1C0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26</w:t>
      </w:r>
      <w:r>
        <w:rPr>
          <w:rFonts w:ascii="Arial Unicode MS" w:eastAsia="Arial Unicode MS" w:hAnsi="Arial Unicode MS" w:cs="Arial Unicode MS"/>
          <w:color w:val="2B477B"/>
        </w:rPr>
        <w:t>-</w:t>
      </w:r>
      <w:r>
        <w:rPr>
          <w:color w:val="2B477B"/>
        </w:rPr>
        <w:t>28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57" w:history="1">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arts.</w:t>
        </w:r>
        <w:r>
          <w:rPr>
            <w:color w:val="2B477B"/>
          </w:rPr>
          <w:t xml:space="preserve"> 478 </w:t>
        </w:r>
        <w:r>
          <w:rPr>
            <w:rFonts w:ascii="Arial Unicode MS" w:eastAsia="Arial Unicode MS" w:hAnsi="Arial Unicode MS" w:cs="Arial Unicode MS"/>
            <w:color w:val="2B477B"/>
          </w:rPr>
          <w:t>y</w:t>
        </w:r>
        <w:r>
          <w:rPr>
            <w:color w:val="2B477B"/>
          </w:rPr>
          <w:t xml:space="preserve"> 1463</w:t>
        </w:r>
        <w:r>
          <w:rPr>
            <w:rFonts w:ascii="Arial Unicode MS" w:eastAsia="Arial Unicode MS" w:hAnsi="Arial Unicode MS" w:cs="Arial Unicode MS"/>
            <w:color w:val="2B477B"/>
          </w:rPr>
          <w:t>.</w:t>
        </w:r>
        <w:r>
          <w:rPr>
            <w:color w:val="2B477B"/>
          </w:rPr>
          <w:t xml:space="preserve"> </w:t>
        </w:r>
      </w:hyperlink>
    </w:p>
  </w:footnote>
  <w:footnote w:id="455">
    <w:p w14:paraId="0A96352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22</w:t>
      </w:r>
      <w:r>
        <w:rPr>
          <w:rFonts w:ascii="Arial Unicode MS" w:eastAsia="Arial Unicode MS" w:hAnsi="Arial Unicode MS" w:cs="Arial Unicode MS"/>
          <w:color w:val="2B477B"/>
        </w:rPr>
        <w:t>-</w:t>
      </w:r>
      <w:r>
        <w:rPr>
          <w:color w:val="2B477B"/>
        </w:rPr>
        <w:t>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58"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Ley</w:t>
        </w:r>
        <w:r>
          <w:rPr>
            <w:color w:val="2B477B"/>
          </w:rPr>
          <w:t xml:space="preserve"> 106 </w:t>
        </w:r>
      </w:hyperlink>
      <w:r>
        <w:rPr>
          <w:rFonts w:ascii="Arial Unicode MS" w:eastAsia="Arial Unicode MS" w:hAnsi="Arial Unicode MS" w:cs="Arial Unicode MS"/>
          <w:color w:val="2B477B"/>
        </w:rPr>
        <w:t>de</w:t>
      </w:r>
      <w:r>
        <w:rPr>
          <w:color w:val="2B477B"/>
        </w:rPr>
        <w:t xml:space="preserve"> 1963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arts.</w:t>
      </w:r>
      <w:r>
        <w:rPr>
          <w:color w:val="2B477B"/>
        </w:rPr>
        <w:t xml:space="preserve"> 9</w:t>
      </w:r>
      <w:r>
        <w:rPr>
          <w:rFonts w:ascii="Arial Unicode MS" w:eastAsia="Arial Unicode MS" w:hAnsi="Arial Unicode MS" w:cs="Arial Unicode MS"/>
          <w:color w:val="2B477B"/>
        </w:rPr>
        <w:t>,</w:t>
      </w:r>
      <w:r>
        <w:rPr>
          <w:color w:val="2B477B"/>
        </w:rPr>
        <w:t xml:space="preserve"> 145</w:t>
      </w:r>
      <w:r>
        <w:rPr>
          <w:rFonts w:ascii="Arial Unicode MS" w:eastAsia="Arial Unicode MS" w:hAnsi="Arial Unicode MS" w:cs="Arial Unicode MS"/>
          <w:color w:val="2B477B"/>
        </w:rPr>
        <w:t>,</w:t>
      </w:r>
      <w:r>
        <w:rPr>
          <w:color w:val="2B477B"/>
        </w:rPr>
        <w:t xml:space="preserve"> 273</w:t>
      </w:r>
      <w:r>
        <w:rPr>
          <w:rFonts w:ascii="Arial Unicode MS" w:eastAsia="Arial Unicode MS" w:hAnsi="Arial Unicode MS" w:cs="Arial Unicode MS"/>
          <w:color w:val="2B477B"/>
        </w:rPr>
        <w:t>,</w:t>
      </w:r>
      <w:r>
        <w:rPr>
          <w:color w:val="2B477B"/>
        </w:rPr>
        <w:t xml:space="preserve"> 301</w:t>
      </w:r>
      <w:r>
        <w:rPr>
          <w:rFonts w:ascii="Arial Unicode MS" w:eastAsia="Arial Unicode MS" w:hAnsi="Arial Unicode MS" w:cs="Arial Unicode MS"/>
          <w:color w:val="2B477B"/>
        </w:rPr>
        <w:t>,</w:t>
      </w:r>
      <w:r>
        <w:rPr>
          <w:color w:val="2B477B"/>
        </w:rPr>
        <w:t xml:space="preserve"> 945 </w:t>
      </w:r>
      <w:r>
        <w:rPr>
          <w:rFonts w:ascii="Arial Unicode MS" w:eastAsia="Arial Unicode MS" w:hAnsi="Arial Unicode MS" w:cs="Arial Unicode MS"/>
          <w:color w:val="2B477B"/>
        </w:rPr>
        <w:t>y</w:t>
      </w:r>
      <w:r>
        <w:rPr>
          <w:color w:val="2B477B"/>
        </w:rPr>
        <w:t xml:space="preserve"> 1303</w:t>
      </w:r>
      <w:r>
        <w:rPr>
          <w:rFonts w:ascii="Arial Unicode MS" w:eastAsia="Arial Unicode MS" w:hAnsi="Arial Unicode MS" w:cs="Arial Unicode MS"/>
          <w:color w:val="2B477B"/>
        </w:rPr>
        <w:t>.</w:t>
      </w:r>
    </w:p>
  </w:footnote>
  <w:footnote w:id="456">
    <w:p w14:paraId="3F81CF5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759" w:history="1">
        <w:r>
          <w:rPr>
            <w:rFonts w:ascii="Arial Unicode MS" w:eastAsia="Arial Unicode MS" w:hAnsi="Arial Unicode MS" w:cs="Arial Unicode MS"/>
            <w:color w:val="2B477B"/>
          </w:rPr>
          <w:t>Custody</w:t>
        </w:r>
        <w:r>
          <w:rPr>
            <w:color w:val="2B477B"/>
          </w:rPr>
          <w:t xml:space="preserve"> </w:t>
        </w:r>
        <w:r>
          <w:rPr>
            <w:rFonts w:ascii="Arial Unicode MS" w:eastAsia="Arial Unicode MS" w:hAnsi="Arial Unicode MS" w:cs="Arial Unicode MS"/>
            <w:color w:val="2B477B"/>
          </w:rPr>
          <w:t>Act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Act</w:t>
      </w:r>
      <w:r>
        <w:rPr>
          <w:color w:val="2B477B"/>
        </w:rPr>
        <w:t xml:space="preserve"> 5 </w:t>
      </w:r>
      <w:r>
        <w:rPr>
          <w:rFonts w:ascii="Arial Unicode MS" w:eastAsia="Arial Unicode MS" w:hAnsi="Arial Unicode MS" w:cs="Arial Unicode MS"/>
          <w:color w:val="2B477B"/>
        </w:rPr>
        <w:t>de</w:t>
      </w:r>
      <w:r>
        <w:rPr>
          <w:color w:val="2B477B"/>
        </w:rPr>
        <w:t xml:space="preserve"> 2011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9 </w:t>
      </w:r>
      <w:r>
        <w:rPr>
          <w:rFonts w:ascii="Arial Unicode MS" w:eastAsia="Arial Unicode MS" w:hAnsi="Arial Unicode MS" w:cs="Arial Unicode MS"/>
          <w:color w:val="2B477B"/>
        </w:rPr>
        <w:t>y</w:t>
      </w:r>
      <w:r>
        <w:rPr>
          <w:color w:val="2B477B"/>
        </w:rPr>
        <w:t xml:space="preserve"> 33</w:t>
      </w:r>
      <w:r>
        <w:rPr>
          <w:rFonts w:ascii="Arial Unicode MS" w:eastAsia="Arial Unicode MS" w:hAnsi="Arial Unicode MS" w:cs="Arial Unicode MS"/>
          <w:color w:val="2B477B"/>
        </w:rPr>
        <w:t>.</w:t>
      </w:r>
    </w:p>
  </w:footnote>
  <w:footnote w:id="457">
    <w:p w14:paraId="71FC22F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760"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color w:val="2B477B"/>
        </w:rPr>
        <w:t xml:space="preserve"> </w:t>
      </w:r>
      <w:r>
        <w:rPr>
          <w:rFonts w:ascii="Arial Unicode MS" w:eastAsia="Arial Unicode MS" w:hAnsi="Arial Unicode MS" w:cs="Arial Unicode MS"/>
          <w:color w:val="2B477B"/>
        </w:rPr>
        <w:t>arts.</w:t>
      </w:r>
      <w:r>
        <w:rPr>
          <w:color w:val="2B477B"/>
        </w:rPr>
        <w:t xml:space="preserve"> 309 </w:t>
      </w:r>
      <w:r>
        <w:rPr>
          <w:rFonts w:ascii="Arial Unicode MS" w:eastAsia="Arial Unicode MS" w:hAnsi="Arial Unicode MS" w:cs="Arial Unicode MS"/>
          <w:color w:val="2B477B"/>
        </w:rPr>
        <w:t>a</w:t>
      </w:r>
      <w:r>
        <w:rPr>
          <w:color w:val="2B477B"/>
        </w:rPr>
        <w:t xml:space="preserve"> 401</w:t>
      </w:r>
      <w:r>
        <w:rPr>
          <w:rFonts w:ascii="Arial Unicode MS" w:eastAsia="Arial Unicode MS" w:hAnsi="Arial Unicode MS" w:cs="Arial Unicode MS"/>
          <w:color w:val="2B477B"/>
        </w:rPr>
        <w:t>.</w:t>
      </w:r>
    </w:p>
  </w:footnote>
  <w:footnote w:id="458">
    <w:p w14:paraId="70D5EF7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30</w:t>
      </w:r>
      <w:r>
        <w:rPr>
          <w:rFonts w:ascii="Arial Unicode MS" w:eastAsia="Arial Unicode MS" w:hAnsi="Arial Unicode MS" w:cs="Arial Unicode MS"/>
          <w:color w:val="2B477B"/>
        </w:rPr>
        <w:t>-</w:t>
      </w:r>
      <w:r>
        <w:rPr>
          <w:color w:val="2B477B"/>
        </w:rPr>
        <w:t>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61"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413</w:t>
      </w:r>
      <w:r>
        <w:rPr>
          <w:rFonts w:ascii="Arial Unicode MS" w:eastAsia="Arial Unicode MS" w:hAnsi="Arial Unicode MS" w:cs="Arial Unicode MS"/>
          <w:color w:val="2B477B"/>
        </w:rPr>
        <w:t>.</w:t>
      </w:r>
      <w:r>
        <w:rPr>
          <w:color w:val="2B477B"/>
        </w:rPr>
        <w:t xml:space="preserve"> </w:t>
      </w:r>
    </w:p>
  </w:footnote>
  <w:footnote w:id="459">
    <w:p w14:paraId="5A516A3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762"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29</w:t>
      </w:r>
      <w:r>
        <w:rPr>
          <w:rFonts w:ascii="Arial Unicode MS" w:eastAsia="Arial Unicode MS" w:hAnsi="Arial Unicode MS" w:cs="Arial Unicode MS"/>
          <w:color w:val="2B477B"/>
        </w:rPr>
        <w:t>.</w:t>
      </w:r>
      <w:r>
        <w:rPr>
          <w:color w:val="2B477B"/>
        </w:rPr>
        <w:t xml:space="preserve">1 </w:t>
      </w:r>
      <w:r>
        <w:rPr>
          <w:rFonts w:ascii="Arial Unicode MS" w:eastAsia="Arial Unicode MS" w:hAnsi="Arial Unicode MS" w:cs="Arial Unicode MS"/>
          <w:color w:val="2B477B"/>
        </w:rPr>
        <w:t>a</w:t>
      </w:r>
      <w:r>
        <w:rPr>
          <w:color w:val="2B477B"/>
        </w:rPr>
        <w:t xml:space="preserve"> 29</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p>
  </w:footnote>
  <w:footnote w:id="460">
    <w:p w14:paraId="0063EDA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32</w:t>
      </w:r>
      <w:r>
        <w:rPr>
          <w:rFonts w:ascii="Arial Unicode MS" w:eastAsia="Arial Unicode MS" w:hAnsi="Arial Unicode MS" w:cs="Arial Unicode MS"/>
          <w:color w:val="2B477B"/>
        </w:rPr>
        <w:t>-</w:t>
      </w:r>
      <w:r>
        <w:rPr>
          <w:color w:val="2B477B"/>
        </w:rPr>
        <w:t>36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63"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Federal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arts.</w:t>
      </w:r>
      <w:r>
        <w:rPr>
          <w:color w:val="2B477B"/>
        </w:rPr>
        <w:t xml:space="preserve"> 23 </w:t>
      </w:r>
      <w:r>
        <w:rPr>
          <w:rFonts w:ascii="Arial Unicode MS" w:eastAsia="Arial Unicode MS" w:hAnsi="Arial Unicode MS" w:cs="Arial Unicode MS"/>
          <w:color w:val="2B477B"/>
        </w:rPr>
        <w:t>y</w:t>
      </w:r>
      <w:r>
        <w:rPr>
          <w:color w:val="2B477B"/>
        </w:rPr>
        <w:t xml:space="preserve"> 450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Nótese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partir</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año</w:t>
      </w:r>
      <w:r>
        <w:rPr>
          <w:color w:val="2B477B"/>
        </w:rPr>
        <w:t xml:space="preserve"> 2027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articulado</w:t>
      </w:r>
      <w:r>
        <w:rPr>
          <w:color w:val="2B477B"/>
        </w:rPr>
        <w:t xml:space="preserve"> </w:t>
      </w:r>
      <w:r>
        <w:rPr>
          <w:rFonts w:ascii="Arial Unicode MS" w:eastAsia="Arial Unicode MS" w:hAnsi="Arial Unicode MS" w:cs="Arial Unicode MS"/>
          <w:color w:val="2B477B"/>
        </w:rPr>
        <w:t>restrictivo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w:t>
      </w:r>
      <w:r>
        <w:rPr>
          <w:color w:val="2B477B"/>
        </w:rPr>
        <w:t xml:space="preserve"> 18 </w:t>
      </w:r>
      <w:r>
        <w:rPr>
          <w:rFonts w:ascii="Arial Unicode MS" w:eastAsia="Arial Unicode MS" w:hAnsi="Arial Unicode MS" w:cs="Arial Unicode MS"/>
          <w:color w:val="2B477B"/>
        </w:rPr>
        <w:t>años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contiene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quedaría</w:t>
      </w:r>
      <w:r>
        <w:rPr>
          <w:color w:val="2B477B"/>
        </w:rPr>
        <w:t xml:space="preserve"> </w:t>
      </w:r>
      <w:r>
        <w:rPr>
          <w:rFonts w:ascii="Arial Unicode MS" w:eastAsia="Arial Unicode MS" w:hAnsi="Arial Unicode MS" w:cs="Arial Unicode MS"/>
          <w:color w:val="2B477B"/>
        </w:rPr>
        <w:t>derogado.</w:t>
      </w:r>
      <w:r>
        <w:rPr>
          <w:color w:val="2B477B"/>
        </w:rPr>
        <w:t xml:space="preserve"> </w:t>
      </w:r>
    </w:p>
  </w:footnote>
  <w:footnote w:id="461">
    <w:p w14:paraId="14A0482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38</w:t>
      </w:r>
      <w:r>
        <w:rPr>
          <w:rFonts w:ascii="Arial Unicode MS" w:eastAsia="Arial Unicode MS" w:hAnsi="Arial Unicode MS" w:cs="Arial Unicode MS"/>
          <w:color w:val="2B477B"/>
        </w:rPr>
        <w:t>-</w:t>
      </w:r>
      <w:r>
        <w:rPr>
          <w:color w:val="2B477B"/>
        </w:rPr>
        <w:t>40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64" w:history="1">
        <w:r>
          <w:rPr>
            <w:rFonts w:ascii="Arial Unicode MS" w:eastAsia="Arial Unicode MS" w:hAnsi="Arial Unicode MS" w:cs="Arial Unicode MS"/>
            <w:color w:val="2B477B"/>
          </w:rPr>
          <w:t>Ley</w:t>
        </w:r>
        <w:r>
          <w:rPr>
            <w:color w:val="2B477B"/>
          </w:rPr>
          <w:t xml:space="preserve"> 2 </w:t>
        </w:r>
        <w:r>
          <w:rPr>
            <w:rFonts w:ascii="Arial Unicode MS" w:eastAsia="Arial Unicode MS" w:hAnsi="Arial Unicode MS" w:cs="Arial Unicode MS"/>
            <w:color w:val="2B477B"/>
          </w:rPr>
          <w:t>de</w:t>
        </w:r>
        <w:r>
          <w:rPr>
            <w:color w:val="2B477B"/>
          </w:rPr>
          <w:t xml:space="preserve"> 1916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404 </w:t>
      </w:r>
      <w:r>
        <w:rPr>
          <w:rFonts w:ascii="Arial Unicode MS" w:eastAsia="Arial Unicode MS" w:hAnsi="Arial Unicode MS" w:cs="Arial Unicode MS"/>
          <w:color w:val="2B477B"/>
        </w:rPr>
        <w:t>y</w:t>
      </w:r>
      <w:r>
        <w:rPr>
          <w:color w:val="2B477B"/>
        </w:rPr>
        <w:t xml:space="preserve"> 1114</w:t>
      </w:r>
      <w:r>
        <w:rPr>
          <w:rFonts w:ascii="Arial Unicode MS" w:eastAsia="Arial Unicode MS" w:hAnsi="Arial Unicode MS" w:cs="Arial Unicode MS"/>
          <w:color w:val="2B477B"/>
        </w:rPr>
        <w:t>.</w:t>
      </w:r>
      <w:r>
        <w:rPr>
          <w:color w:val="2B477B"/>
        </w:rPr>
        <w:t xml:space="preserve"> </w:t>
      </w:r>
    </w:p>
  </w:footnote>
  <w:footnote w:id="462">
    <w:p w14:paraId="63FCD40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40</w:t>
      </w:r>
      <w:r>
        <w:rPr>
          <w:rFonts w:ascii="Arial Unicode MS" w:eastAsia="Arial Unicode MS" w:hAnsi="Arial Unicode MS" w:cs="Arial Unicode MS"/>
          <w:color w:val="2B477B"/>
        </w:rPr>
        <w:t>-</w:t>
      </w:r>
      <w:r>
        <w:rPr>
          <w:color w:val="2B477B"/>
        </w:rPr>
        <w:t>43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65"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arts.</w:t>
        </w:r>
        <w:r>
          <w:rPr>
            <w:color w:val="2B477B"/>
          </w:rPr>
          <w:t xml:space="preserve"> 37</w:t>
        </w:r>
        <w:r>
          <w:rPr>
            <w:rFonts w:ascii="Arial Unicode MS" w:eastAsia="Arial Unicode MS" w:hAnsi="Arial Unicode MS" w:cs="Arial Unicode MS"/>
            <w:color w:val="2B477B"/>
          </w:rPr>
          <w:t>,</w:t>
        </w:r>
        <w:r>
          <w:rPr>
            <w:color w:val="2B477B"/>
          </w:rPr>
          <w:t xml:space="preserve"> 40 </w:t>
        </w:r>
        <w:r>
          <w:rPr>
            <w:rFonts w:ascii="Arial Unicode MS" w:eastAsia="Arial Unicode MS" w:hAnsi="Arial Unicode MS" w:cs="Arial Unicode MS"/>
            <w:color w:val="2B477B"/>
          </w:rPr>
          <w:t>y</w:t>
        </w:r>
        <w:r>
          <w:rPr>
            <w:color w:val="2B477B"/>
          </w:rPr>
          <w:t xml:space="preserve"> 73</w:t>
        </w:r>
        <w:r>
          <w:rPr>
            <w:rFonts w:ascii="Arial Unicode MS" w:eastAsia="Arial Unicode MS" w:hAnsi="Arial Unicode MS" w:cs="Arial Unicode MS"/>
            <w:color w:val="2B477B"/>
          </w:rPr>
          <w:t>.</w:t>
        </w:r>
      </w:hyperlink>
    </w:p>
  </w:footnote>
  <w:footnote w:id="463">
    <w:p w14:paraId="755E691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766" w:history="1">
        <w:r>
          <w:rPr>
            <w:rFonts w:ascii="Arial Unicode MS" w:eastAsia="Arial Unicode MS" w:hAnsi="Arial Unicode MS" w:cs="Arial Unicode MS"/>
            <w:color w:val="2B477B"/>
          </w:rPr>
          <w:t>Burgerlijk</w:t>
        </w:r>
        <w:r>
          <w:rPr>
            <w:color w:val="2B477B"/>
          </w:rPr>
          <w:t xml:space="preserve"> </w:t>
        </w:r>
        <w:r>
          <w:rPr>
            <w:rFonts w:ascii="Arial Unicode MS" w:eastAsia="Arial Unicode MS" w:hAnsi="Arial Unicode MS" w:cs="Arial Unicode MS"/>
            <w:color w:val="2B477B"/>
          </w:rPr>
          <w:t>Wetboek</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hyperlink>
      <w:r>
        <w:rPr>
          <w:rFonts w:ascii="Arial Unicode MS" w:eastAsia="Arial Unicode MS" w:hAnsi="Arial Unicode MS" w:cs="Arial Unicode MS"/>
          <w:color w:val="2B477B"/>
        </w:rPr>
        <w:t>de</w:t>
      </w:r>
      <w:r>
        <w:rPr>
          <w:color w:val="2B477B"/>
        </w:rPr>
        <w:t xml:space="preserve"> 1859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71</w:t>
      </w:r>
      <w:r>
        <w:rPr>
          <w:rFonts w:ascii="Arial Unicode MS" w:eastAsia="Arial Unicode MS" w:hAnsi="Arial Unicode MS" w:cs="Arial Unicode MS"/>
          <w:color w:val="2B477B"/>
        </w:rPr>
        <w:t>y</w:t>
      </w:r>
      <w:r>
        <w:rPr>
          <w:color w:val="2B477B"/>
        </w:rPr>
        <w:t xml:space="preserve"> 486 </w:t>
      </w:r>
      <w:r>
        <w:rPr>
          <w:rFonts w:ascii="Arial Unicode MS" w:eastAsia="Arial Unicode MS" w:hAnsi="Arial Unicode MS" w:cs="Arial Unicode MS"/>
          <w:color w:val="2B477B"/>
        </w:rPr>
        <w:t>a</w:t>
      </w:r>
      <w:r>
        <w:rPr>
          <w:color w:val="2B477B"/>
        </w:rPr>
        <w:t xml:space="preserve"> 488</w:t>
      </w:r>
      <w:r>
        <w:rPr>
          <w:rFonts w:ascii="Arial Unicode MS" w:eastAsia="Arial Unicode MS" w:hAnsi="Arial Unicode MS" w:cs="Arial Unicode MS"/>
          <w:color w:val="2B477B"/>
        </w:rPr>
        <w:t>,</w:t>
      </w:r>
      <w:r>
        <w:rPr>
          <w:color w:val="2B477B"/>
        </w:rPr>
        <w:t xml:space="preserve"> 493 </w:t>
      </w:r>
      <w:r>
        <w:rPr>
          <w:rFonts w:ascii="Arial Unicode MS" w:eastAsia="Arial Unicode MS" w:hAnsi="Arial Unicode MS" w:cs="Arial Unicode MS"/>
          <w:color w:val="2B477B"/>
        </w:rPr>
        <w:t>y</w:t>
      </w:r>
      <w:r>
        <w:rPr>
          <w:color w:val="2B477B"/>
        </w:rPr>
        <w:t xml:space="preserve"> 503</w:t>
      </w:r>
      <w:r>
        <w:rPr>
          <w:rFonts w:ascii="Arial Unicode MS" w:eastAsia="Arial Unicode MS" w:hAnsi="Arial Unicode MS" w:cs="Arial Unicode MS"/>
          <w:color w:val="2B477B"/>
        </w:rPr>
        <w:t>.</w:t>
      </w:r>
    </w:p>
  </w:footnote>
  <w:footnote w:id="464">
    <w:p w14:paraId="41F34A6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Act</w:t>
      </w:r>
      <w:r>
        <w:rPr>
          <w:color w:val="2B477B"/>
        </w:rPr>
        <w:t xml:space="preserve"> 30 </w:t>
      </w:r>
      <w:r>
        <w:rPr>
          <w:rFonts w:ascii="Arial Unicode MS" w:eastAsia="Arial Unicode MS" w:hAnsi="Arial Unicode MS" w:cs="Arial Unicode MS"/>
          <w:color w:val="2B477B"/>
        </w:rPr>
        <w:t>de</w:t>
      </w:r>
      <w:r>
        <w:rPr>
          <w:color w:val="2B477B"/>
        </w:rPr>
        <w:t xml:space="preserve"> 1975</w:t>
      </w:r>
      <w:r>
        <w:rPr>
          <w:rFonts w:ascii="Arial Unicode MS" w:eastAsia="Arial Unicode MS" w:hAnsi="Arial Unicode MS" w:cs="Arial Unicode MS"/>
          <w:color w:val="2B477B"/>
        </w:rPr>
        <w:t>,</w:t>
      </w:r>
      <w:r>
        <w:rPr>
          <w:color w:val="2B477B"/>
        </w:rPr>
        <w:t xml:space="preserve"> </w:t>
      </w:r>
      <w:hyperlink r:id="rId767"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1975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36 </w:t>
      </w:r>
      <w:r>
        <w:rPr>
          <w:rFonts w:ascii="Arial Unicode MS" w:eastAsia="Arial Unicode MS" w:hAnsi="Arial Unicode MS" w:cs="Arial Unicode MS"/>
          <w:color w:val="2B477B"/>
        </w:rPr>
        <w:t>a</w:t>
      </w:r>
      <w:r>
        <w:rPr>
          <w:color w:val="2B477B"/>
        </w:rPr>
        <w:t xml:space="preserve"> 41</w:t>
      </w:r>
      <w:r>
        <w:rPr>
          <w:rFonts w:ascii="Arial Unicode MS" w:eastAsia="Arial Unicode MS" w:hAnsi="Arial Unicode MS" w:cs="Arial Unicode MS"/>
          <w:color w:val="2B477B"/>
        </w:rPr>
        <w:t>.</w:t>
      </w:r>
    </w:p>
  </w:footnote>
  <w:footnote w:id="465">
    <w:p w14:paraId="2D7A861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hyperlink r:id="rId768" w:history="1">
        <w:r>
          <w:rPr>
            <w:rFonts w:ascii="Arial Unicode MS" w:eastAsia="Arial Unicode MS" w:hAnsi="Arial Unicode MS" w:cs="Arial Unicode MS"/>
            <w:color w:val="2B477B"/>
          </w:rPr>
          <w:t>Ley</w:t>
        </w:r>
        <w:r>
          <w:rPr>
            <w:color w:val="2B477B"/>
          </w:rPr>
          <w:t xml:space="preserve"> 16</w:t>
        </w:r>
        <w:r>
          <w:rPr>
            <w:rFonts w:ascii="Arial Unicode MS" w:eastAsia="Arial Unicode MS" w:hAnsi="Arial Unicode MS" w:cs="Arial Unicode MS"/>
            <w:color w:val="2B477B"/>
          </w:rPr>
          <w:t>.</w:t>
        </w:r>
        <w:r>
          <w:rPr>
            <w:color w:val="2B477B"/>
          </w:rPr>
          <w:t xml:space="preserve">603 </w:t>
        </w:r>
        <w:r>
          <w:rPr>
            <w:rFonts w:ascii="Arial Unicode MS" w:eastAsia="Arial Unicode MS" w:hAnsi="Arial Unicode MS" w:cs="Arial Unicode MS"/>
            <w:color w:val="2B477B"/>
          </w:rPr>
          <w:t>de</w:t>
        </w:r>
        <w:r>
          <w:rPr>
            <w:color w:val="2B477B"/>
          </w:rPr>
          <w:t xml:space="preserve"> 1994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91</w:t>
      </w:r>
      <w:r>
        <w:rPr>
          <w:rFonts w:ascii="Arial Unicode MS" w:eastAsia="Arial Unicode MS" w:hAnsi="Arial Unicode MS" w:cs="Arial Unicode MS"/>
          <w:color w:val="2B477B"/>
        </w:rPr>
        <w:t>,</w:t>
      </w:r>
      <w:r>
        <w:rPr>
          <w:color w:val="2B477B"/>
        </w:rPr>
        <w:t xml:space="preserve"> 295</w:t>
      </w:r>
      <w:r>
        <w:rPr>
          <w:rFonts w:ascii="Arial Unicode MS" w:eastAsia="Arial Unicode MS" w:hAnsi="Arial Unicode MS" w:cs="Arial Unicode MS"/>
          <w:color w:val="2B477B"/>
        </w:rPr>
        <w:t>,</w:t>
      </w:r>
      <w:r>
        <w:rPr>
          <w:color w:val="2B477B"/>
        </w:rPr>
        <w:t xml:space="preserve"> 433</w:t>
      </w:r>
      <w:r>
        <w:rPr>
          <w:rFonts w:ascii="Arial Unicode MS" w:eastAsia="Arial Unicode MS" w:hAnsi="Arial Unicode MS" w:cs="Arial Unicode MS"/>
          <w:color w:val="2B477B"/>
        </w:rPr>
        <w:t>,</w:t>
      </w:r>
      <w:r>
        <w:rPr>
          <w:color w:val="2B477B"/>
        </w:rPr>
        <w:t xml:space="preserve"> 441 </w:t>
      </w:r>
      <w:r>
        <w:rPr>
          <w:rFonts w:ascii="Arial Unicode MS" w:eastAsia="Arial Unicode MS" w:hAnsi="Arial Unicode MS" w:cs="Arial Unicode MS"/>
          <w:color w:val="2B477B"/>
        </w:rPr>
        <w:t>a</w:t>
      </w:r>
      <w:r>
        <w:rPr>
          <w:color w:val="2B477B"/>
        </w:rPr>
        <w:t xml:space="preserve"> 443</w:t>
      </w:r>
      <w:r>
        <w:rPr>
          <w:rFonts w:ascii="Arial Unicode MS" w:eastAsia="Arial Unicode MS" w:hAnsi="Arial Unicode MS" w:cs="Arial Unicode MS"/>
          <w:color w:val="2B477B"/>
        </w:rPr>
        <w:t>,</w:t>
      </w:r>
      <w:r>
        <w:rPr>
          <w:color w:val="2B477B"/>
        </w:rPr>
        <w:t xml:space="preserve"> 438</w:t>
      </w:r>
      <w:r>
        <w:rPr>
          <w:rFonts w:ascii="Arial Unicode MS" w:eastAsia="Arial Unicode MS" w:hAnsi="Arial Unicode MS" w:cs="Arial Unicode MS"/>
          <w:color w:val="2B477B"/>
        </w:rPr>
        <w:t>,</w:t>
      </w:r>
      <w:r>
        <w:rPr>
          <w:color w:val="2B477B"/>
        </w:rPr>
        <w:t xml:space="preserve"> 831</w:t>
      </w:r>
      <w:r>
        <w:rPr>
          <w:rFonts w:ascii="Arial Unicode MS" w:eastAsia="Arial Unicode MS" w:hAnsi="Arial Unicode MS" w:cs="Arial Unicode MS"/>
          <w:color w:val="2B477B"/>
        </w:rPr>
        <w:t>,</w:t>
      </w:r>
      <w:r>
        <w:rPr>
          <w:color w:val="2B477B"/>
        </w:rPr>
        <w:t xml:space="preserve"> 1279</w:t>
      </w:r>
      <w:r>
        <w:rPr>
          <w:rFonts w:ascii="Arial Unicode MS" w:eastAsia="Arial Unicode MS" w:hAnsi="Arial Unicode MS" w:cs="Arial Unicode MS"/>
          <w:color w:val="2B477B"/>
        </w:rPr>
        <w:t>,</w:t>
      </w:r>
      <w:r>
        <w:rPr>
          <w:color w:val="2B477B"/>
        </w:rPr>
        <w:t xml:space="preserve"> 1442 </w:t>
      </w:r>
      <w:r>
        <w:rPr>
          <w:rFonts w:ascii="Arial Unicode MS" w:eastAsia="Arial Unicode MS" w:hAnsi="Arial Unicode MS" w:cs="Arial Unicode MS"/>
          <w:color w:val="2B477B"/>
        </w:rPr>
        <w:t>y</w:t>
      </w:r>
      <w:r>
        <w:rPr>
          <w:color w:val="2B477B"/>
        </w:rPr>
        <w:t xml:space="preserve"> 1564</w:t>
      </w:r>
      <w:r>
        <w:rPr>
          <w:rFonts w:ascii="Arial Unicode MS" w:eastAsia="Arial Unicode MS" w:hAnsi="Arial Unicode MS" w:cs="Arial Unicode MS"/>
          <w:color w:val="2B477B"/>
        </w:rPr>
        <w:t>.</w:t>
      </w:r>
    </w:p>
  </w:footnote>
  <w:footnote w:id="466">
    <w:p w14:paraId="507637E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40 </w:t>
      </w:r>
      <w:r>
        <w:rPr>
          <w:rFonts w:ascii="Arial Unicode MS" w:eastAsia="Arial Unicode MS" w:hAnsi="Arial Unicode MS" w:cs="Arial Unicode MS"/>
          <w:color w:val="2B477B"/>
        </w:rPr>
        <w:t>y</w:t>
      </w:r>
      <w:r>
        <w:rPr>
          <w:color w:val="2B477B"/>
        </w:rPr>
        <w:t xml:space="preserve"> </w:t>
      </w:r>
      <w:proofErr w:type="gramStart"/>
      <w:r>
        <w:rPr>
          <w:color w:val="2B477B"/>
        </w:rPr>
        <w:t>41</w:t>
      </w:r>
      <w:r>
        <w:rPr>
          <w:rFonts w:ascii="Arial Unicode MS" w:eastAsia="Arial Unicode MS" w:hAnsi="Arial Unicode MS" w:cs="Arial Unicode MS"/>
          <w:color w:val="2B477B"/>
        </w:rPr>
        <w:t>,al</w:t>
      </w:r>
      <w:proofErr w:type="gramEnd"/>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69"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hyperlink>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Venezuela,</w:t>
      </w:r>
      <w:r>
        <w:rPr>
          <w:color w:val="2B477B"/>
        </w:rPr>
        <w:t xml:space="preserve"> 26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1982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48</w:t>
      </w:r>
      <w:r>
        <w:rPr>
          <w:rFonts w:ascii="Arial Unicode MS" w:eastAsia="Arial Unicode MS" w:hAnsi="Arial Unicode MS" w:cs="Arial Unicode MS"/>
          <w:color w:val="2B477B"/>
        </w:rPr>
        <w:t>,</w:t>
      </w:r>
      <w:r>
        <w:rPr>
          <w:color w:val="2B477B"/>
        </w:rPr>
        <w:t>185</w:t>
      </w:r>
      <w:r>
        <w:rPr>
          <w:rFonts w:ascii="Arial Unicode MS" w:eastAsia="Arial Unicode MS" w:hAnsi="Arial Unicode MS" w:cs="Arial Unicode MS"/>
          <w:color w:val="2B477B"/>
        </w:rPr>
        <w:t>,</w:t>
      </w:r>
      <w:r>
        <w:rPr>
          <w:color w:val="2B477B"/>
        </w:rPr>
        <w:t xml:space="preserve">251 </w:t>
      </w:r>
      <w:r>
        <w:rPr>
          <w:rFonts w:ascii="Arial Unicode MS" w:eastAsia="Arial Unicode MS" w:hAnsi="Arial Unicode MS" w:cs="Arial Unicode MS"/>
          <w:color w:val="2B477B"/>
        </w:rPr>
        <w:t>y</w:t>
      </w:r>
      <w:r>
        <w:rPr>
          <w:color w:val="2B477B"/>
        </w:rPr>
        <w:t xml:space="preserve"> 393</w:t>
      </w:r>
      <w:r>
        <w:rPr>
          <w:rFonts w:ascii="Arial Unicode MS" w:eastAsia="Arial Unicode MS" w:hAnsi="Arial Unicode MS" w:cs="Arial Unicode MS"/>
          <w:color w:val="2B477B"/>
        </w:rPr>
        <w:t>-</w:t>
      </w:r>
      <w:r>
        <w:rPr>
          <w:color w:val="2B477B"/>
        </w:rPr>
        <w:t>415</w:t>
      </w:r>
      <w:r>
        <w:rPr>
          <w:rFonts w:ascii="Arial Unicode MS" w:eastAsia="Arial Unicode MS" w:hAnsi="Arial Unicode MS" w:cs="Arial Unicode MS"/>
          <w:color w:val="2B477B"/>
        </w:rPr>
        <w:t>.</w:t>
      </w:r>
      <w:r>
        <w:rPr>
          <w:color w:val="2B477B"/>
        </w:rPr>
        <w:t xml:space="preserve"> </w:t>
      </w:r>
    </w:p>
  </w:footnote>
  <w:footnote w:id="467">
    <w:p w14:paraId="624B912D" w14:textId="77777777" w:rsidR="001A105D" w:rsidRDefault="00000000">
      <w:pPr>
        <w:pStyle w:val="Body"/>
        <w:tabs>
          <w:tab w:val="left" w:pos="840"/>
        </w:tabs>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manifestado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“uno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primeros</w:t>
      </w:r>
      <w:r>
        <w:rPr>
          <w:color w:val="2B477B"/>
        </w:rPr>
        <w:t xml:space="preserve"> </w:t>
      </w:r>
      <w:r>
        <w:rPr>
          <w:rFonts w:ascii="Arial Unicode MS" w:eastAsia="Arial Unicode MS" w:hAnsi="Arial Unicode MS" w:cs="Arial Unicode MS"/>
          <w:color w:val="2B477B"/>
        </w:rPr>
        <w:t>obstáculos</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derogación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interdicción,</w:t>
      </w:r>
      <w:r>
        <w:rPr>
          <w:color w:val="2B477B"/>
        </w:rPr>
        <w:t xml:space="preserve"> </w:t>
      </w:r>
      <w:r>
        <w:rPr>
          <w:rFonts w:ascii="Arial Unicode MS" w:eastAsia="Arial Unicode MS" w:hAnsi="Arial Unicode MS" w:cs="Arial Unicode MS"/>
          <w:color w:val="2B477B"/>
        </w:rPr>
        <w:t>establecidas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chileno.</w:t>
      </w:r>
      <w:r>
        <w:rPr>
          <w:color w:val="2B477B"/>
        </w:rPr>
        <w:t xml:space="preserve"> </w:t>
      </w:r>
      <w:r>
        <w:rPr>
          <w:rFonts w:ascii="Arial Unicode MS" w:eastAsia="Arial Unicode MS" w:hAnsi="Arial Unicode MS" w:cs="Arial Unicode MS"/>
          <w:color w:val="2B477B"/>
        </w:rPr>
        <w:t>Junto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ello,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haría</w:t>
      </w:r>
      <w:r>
        <w:rPr>
          <w:color w:val="2B477B"/>
        </w:rPr>
        <w:t xml:space="preserve"> </w:t>
      </w:r>
      <w:r>
        <w:rPr>
          <w:rFonts w:ascii="Arial Unicode MS" w:eastAsia="Arial Unicode MS" w:hAnsi="Arial Unicode MS" w:cs="Arial Unicode MS"/>
          <w:color w:val="2B477B"/>
        </w:rPr>
        <w:t>necesario</w:t>
      </w:r>
      <w:r>
        <w:rPr>
          <w:color w:val="2B477B"/>
        </w:rPr>
        <w:t xml:space="preserve"> </w:t>
      </w:r>
      <w:r>
        <w:rPr>
          <w:rFonts w:ascii="Arial Unicode MS" w:eastAsia="Arial Unicode MS" w:hAnsi="Arial Unicode MS" w:cs="Arial Unicode MS"/>
          <w:color w:val="2B477B"/>
        </w:rPr>
        <w:t>generar</w:t>
      </w:r>
      <w:r>
        <w:rPr>
          <w:color w:val="2B477B"/>
        </w:rPr>
        <w:t xml:space="preserve"> </w:t>
      </w:r>
      <w:r>
        <w:rPr>
          <w:rFonts w:ascii="Arial Unicode MS" w:eastAsia="Arial Unicode MS" w:hAnsi="Arial Unicode MS" w:cs="Arial Unicode MS"/>
          <w:color w:val="2B477B"/>
        </w:rPr>
        <w:t>adecuación</w:t>
      </w:r>
      <w:r>
        <w:rPr>
          <w:color w:val="2B477B"/>
        </w:rPr>
        <w:t xml:space="preserve"> </w:t>
      </w:r>
      <w:r>
        <w:rPr>
          <w:rFonts w:ascii="Arial Unicode MS" w:eastAsia="Arial Unicode MS" w:hAnsi="Arial Unicode MS" w:cs="Arial Unicode MS"/>
          <w:color w:val="2B477B"/>
        </w:rPr>
        <w:t>normativa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demás</w:t>
      </w:r>
      <w:r>
        <w:rPr>
          <w:color w:val="2B477B"/>
        </w:rPr>
        <w:t xml:space="preserve"> </w:t>
      </w:r>
      <w:r>
        <w:rPr>
          <w:rFonts w:ascii="Arial Unicode MS" w:eastAsia="Arial Unicode MS" w:hAnsi="Arial Unicode MS" w:cs="Arial Unicode MS"/>
          <w:color w:val="2B477B"/>
        </w:rPr>
        <w:t>cuerpos</w:t>
      </w:r>
      <w:r>
        <w:rPr>
          <w:color w:val="2B477B"/>
        </w:rPr>
        <w:t xml:space="preserve"> </w:t>
      </w:r>
      <w:r>
        <w:rPr>
          <w:rFonts w:ascii="Arial Unicode MS" w:eastAsia="Arial Unicode MS" w:hAnsi="Arial Unicode MS" w:cs="Arial Unicode MS"/>
          <w:color w:val="2B477B"/>
        </w:rPr>
        <w:t>legales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refieren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interdicción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incapacidad.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anterior,</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sumaría</w:t>
      </w:r>
      <w:r>
        <w:rPr>
          <w:color w:val="2B477B"/>
        </w:rPr>
        <w:t xml:space="preserve"> </w:t>
      </w:r>
      <w:r>
        <w:rPr>
          <w:rFonts w:ascii="Arial Unicode MS" w:eastAsia="Arial Unicode MS" w:hAnsi="Arial Unicode MS" w:cs="Arial Unicode MS"/>
          <w:color w:val="2B477B"/>
        </w:rPr>
        <w:t>necesariamente,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modificación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internación,</w:t>
      </w:r>
      <w:r>
        <w:rPr>
          <w:color w:val="2B477B"/>
        </w:rPr>
        <w:t xml:space="preserve"> </w:t>
      </w:r>
      <w:r>
        <w:rPr>
          <w:rFonts w:ascii="Arial Unicode MS" w:eastAsia="Arial Unicode MS" w:hAnsi="Arial Unicode MS" w:cs="Arial Unicode MS"/>
          <w:color w:val="2B477B"/>
        </w:rPr>
        <w:t>implementación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sistemas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vivienda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impliquen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hospitalización”,</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w:t>
      </w:r>
      <w:r>
        <w:rPr>
          <w:rFonts w:ascii="Arial Unicode MS" w:eastAsia="Arial Unicode MS" w:hAnsi="Arial Unicode MS" w:cs="Arial Unicode MS"/>
          <w:color w:val="2B477B"/>
        </w:rPr>
        <w:t>-</w:t>
      </w:r>
      <w:r>
        <w:rPr>
          <w:color w:val="2B477B"/>
        </w:rPr>
        <w:t>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vez,</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Ecuatoriano</w:t>
      </w:r>
      <w:r>
        <w:rPr>
          <w:color w:val="2B477B"/>
        </w:rPr>
        <w:t xml:space="preserve"> </w:t>
      </w:r>
      <w:r>
        <w:rPr>
          <w:rFonts w:ascii="Arial Unicode MS" w:eastAsia="Arial Unicode MS" w:hAnsi="Arial Unicode MS" w:cs="Arial Unicode MS"/>
          <w:color w:val="2B477B"/>
        </w:rPr>
        <w:t>señaló</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r>
        <w:rPr>
          <w:color w:val="2B477B"/>
        </w:rPr>
        <w:t xml:space="preserve"> </w:t>
      </w:r>
      <w:r>
        <w:rPr>
          <w:rFonts w:ascii="Arial Unicode MS" w:eastAsia="Arial Unicode MS" w:hAnsi="Arial Unicode MS" w:cs="Arial Unicode MS"/>
          <w:color w:val="2B477B"/>
        </w:rPr>
        <w:t>(CONADIS)</w:t>
      </w:r>
      <w:r>
        <w:rPr>
          <w:color w:val="2B477B"/>
        </w:rPr>
        <w:t xml:space="preserve"> </w:t>
      </w:r>
      <w:r>
        <w:rPr>
          <w:rFonts w:ascii="Arial Unicode MS" w:eastAsia="Arial Unicode MS" w:hAnsi="Arial Unicode MS" w:cs="Arial Unicode MS"/>
          <w:color w:val="2B477B"/>
        </w:rPr>
        <w:t>debe</w:t>
      </w:r>
      <w:r>
        <w:rPr>
          <w:color w:val="2B477B"/>
        </w:rPr>
        <w:t xml:space="preserve"> </w:t>
      </w:r>
      <w:r>
        <w:rPr>
          <w:rFonts w:ascii="Arial Unicode MS" w:eastAsia="Arial Unicode MS" w:hAnsi="Arial Unicode MS" w:cs="Arial Unicode MS"/>
          <w:color w:val="2B477B"/>
        </w:rPr>
        <w:t>realizar</w:t>
      </w:r>
      <w:r>
        <w:rPr>
          <w:color w:val="2B477B"/>
        </w:rPr>
        <w:t xml:space="preserve"> </w:t>
      </w:r>
      <w:r>
        <w:rPr>
          <w:rFonts w:ascii="Arial Unicode MS" w:eastAsia="Arial Unicode MS" w:hAnsi="Arial Unicode MS" w:cs="Arial Unicode MS"/>
          <w:color w:val="2B477B"/>
        </w:rPr>
        <w:t>mesas</w:t>
      </w:r>
      <w:r>
        <w:rPr>
          <w:color w:val="2B477B"/>
        </w:rPr>
        <w:t xml:space="preserve"> </w:t>
      </w:r>
      <w:r>
        <w:rPr>
          <w:rFonts w:ascii="Arial Unicode MS" w:eastAsia="Arial Unicode MS" w:hAnsi="Arial Unicode MS" w:cs="Arial Unicode MS"/>
          <w:color w:val="2B477B"/>
        </w:rPr>
        <w:t>técnicas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exista</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proceso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normativa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índole,</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25</w:t>
      </w:r>
      <w:r>
        <w:rPr>
          <w:rFonts w:ascii="Arial Unicode MS" w:eastAsia="Arial Unicode MS" w:hAnsi="Arial Unicode MS" w:cs="Arial Unicode MS"/>
          <w:color w:val="2B477B"/>
        </w:rPr>
        <w:t>.</w:t>
      </w:r>
      <w:r>
        <w:rPr>
          <w:color w:val="2B477B"/>
        </w:rPr>
        <w:t xml:space="preserve"> </w:t>
      </w:r>
    </w:p>
  </w:footnote>
  <w:footnote w:id="468">
    <w:p w14:paraId="080D59A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manifiesta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costo</w:t>
      </w:r>
      <w:r>
        <w:rPr>
          <w:color w:val="2B477B"/>
        </w:rPr>
        <w:t xml:space="preserve"> </w:t>
      </w:r>
      <w:r>
        <w:rPr>
          <w:rFonts w:ascii="Arial Unicode MS" w:eastAsia="Arial Unicode MS" w:hAnsi="Arial Unicode MS" w:cs="Arial Unicode MS"/>
          <w:color w:val="2B477B"/>
        </w:rPr>
        <w:t>presupuestario</w:t>
      </w:r>
      <w:r>
        <w:rPr>
          <w:color w:val="2B477B"/>
        </w:rPr>
        <w:t xml:space="preserve"> </w:t>
      </w:r>
      <w:r>
        <w:rPr>
          <w:rFonts w:ascii="Arial Unicode MS" w:eastAsia="Arial Unicode MS" w:hAnsi="Arial Unicode MS" w:cs="Arial Unicode MS"/>
          <w:color w:val="2B477B"/>
        </w:rPr>
        <w:t>podría</w:t>
      </w:r>
      <w:r>
        <w:rPr>
          <w:color w:val="2B477B"/>
        </w:rPr>
        <w:t xml:space="preserve"> </w:t>
      </w:r>
      <w:r>
        <w:rPr>
          <w:rFonts w:ascii="Arial Unicode MS" w:eastAsia="Arial Unicode MS" w:hAnsi="Arial Unicode MS" w:cs="Arial Unicode MS"/>
          <w:color w:val="2B477B"/>
        </w:rPr>
        <w:t>estar</w:t>
      </w:r>
      <w:r>
        <w:rPr>
          <w:color w:val="2B477B"/>
        </w:rPr>
        <w:t xml:space="preserve"> </w:t>
      </w:r>
      <w:r>
        <w:rPr>
          <w:rFonts w:ascii="Arial Unicode MS" w:eastAsia="Arial Unicode MS" w:hAnsi="Arial Unicode MS" w:cs="Arial Unicode MS"/>
          <w:color w:val="2B477B"/>
        </w:rPr>
        <w:t>dado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implementación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eventual</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salvaguardias,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estar</w:t>
      </w:r>
      <w:r>
        <w:rPr>
          <w:color w:val="2B477B"/>
        </w:rPr>
        <w:t xml:space="preserve"> </w:t>
      </w:r>
      <w:r>
        <w:rPr>
          <w:rFonts w:ascii="Arial Unicode MS" w:eastAsia="Arial Unicode MS" w:hAnsi="Arial Unicode MS" w:cs="Arial Unicode MS"/>
          <w:color w:val="2B477B"/>
        </w:rPr>
        <w:t>constituido</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sólo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elegidos</w:t>
      </w:r>
      <w:r>
        <w:rPr>
          <w:color w:val="2B477B"/>
        </w:rPr>
        <w:t xml:space="preserve"> </w:t>
      </w:r>
      <w:r>
        <w:rPr>
          <w:rFonts w:ascii="Arial Unicode MS" w:eastAsia="Arial Unicode MS" w:hAnsi="Arial Unicode MS" w:cs="Arial Unicode MS"/>
          <w:color w:val="2B477B"/>
        </w:rPr>
        <w:t>directamente</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sino</w:t>
      </w:r>
      <w:r>
        <w:rPr>
          <w:color w:val="2B477B"/>
        </w:rPr>
        <w:t xml:space="preserve"> </w:t>
      </w:r>
      <w:r>
        <w:rPr>
          <w:rFonts w:ascii="Arial Unicode MS" w:eastAsia="Arial Unicode MS" w:hAnsi="Arial Unicode MS" w:cs="Arial Unicode MS"/>
          <w:color w:val="2B477B"/>
        </w:rPr>
        <w:t>referido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aquellos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debería</w:t>
      </w:r>
      <w:r>
        <w:rPr>
          <w:color w:val="2B477B"/>
        </w:rPr>
        <w:t xml:space="preserve"> </w:t>
      </w:r>
      <w:r>
        <w:rPr>
          <w:rFonts w:ascii="Arial Unicode MS" w:eastAsia="Arial Unicode MS" w:hAnsi="Arial Unicode MS" w:cs="Arial Unicode MS"/>
          <w:color w:val="2B477B"/>
        </w:rPr>
        <w:t>proporcionar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tuviera.</w:t>
      </w:r>
      <w:r>
        <w:rPr>
          <w:color w:val="2B477B"/>
        </w:rPr>
        <w:t xml:space="preserve"> </w:t>
      </w:r>
      <w:r>
        <w:rPr>
          <w:rFonts w:ascii="Arial Unicode MS" w:eastAsia="Arial Unicode MS" w:hAnsi="Arial Unicode MS" w:cs="Arial Unicode MS"/>
          <w:color w:val="2B477B"/>
        </w:rPr>
        <w:t>Si</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estableciera</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pleno,</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implicaría</w:t>
      </w:r>
      <w:r>
        <w:rPr>
          <w:color w:val="2B477B"/>
        </w:rPr>
        <w:t xml:space="preserve"> </w:t>
      </w:r>
      <w:r>
        <w:rPr>
          <w:rFonts w:ascii="Arial Unicode MS" w:eastAsia="Arial Unicode MS" w:hAnsi="Arial Unicode MS" w:cs="Arial Unicode MS"/>
          <w:color w:val="2B477B"/>
        </w:rPr>
        <w:t>generar</w:t>
      </w:r>
      <w:r>
        <w:rPr>
          <w:color w:val="2B477B"/>
        </w:rPr>
        <w:t xml:space="preserve"> </w:t>
      </w:r>
      <w:r>
        <w:rPr>
          <w:rFonts w:ascii="Arial Unicode MS" w:eastAsia="Arial Unicode MS" w:hAnsi="Arial Unicode MS" w:cs="Arial Unicode MS"/>
          <w:color w:val="2B477B"/>
        </w:rPr>
        <w:t>instancias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capacitación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diversos</w:t>
      </w:r>
      <w:r>
        <w:rPr>
          <w:color w:val="2B477B"/>
        </w:rPr>
        <w:t xml:space="preserve"> </w:t>
      </w:r>
      <w:r>
        <w:rPr>
          <w:rFonts w:ascii="Arial Unicode MS" w:eastAsia="Arial Unicode MS" w:hAnsi="Arial Unicode MS" w:cs="Arial Unicode MS"/>
          <w:color w:val="2B477B"/>
        </w:rPr>
        <w:t>actores</w:t>
      </w:r>
      <w:r>
        <w:rPr>
          <w:color w:val="2B477B"/>
        </w:rPr>
        <w:t xml:space="preserve"> </w:t>
      </w:r>
      <w:r>
        <w:rPr>
          <w:rFonts w:ascii="Arial Unicode MS" w:eastAsia="Arial Unicode MS" w:hAnsi="Arial Unicode MS" w:cs="Arial Unicode MS"/>
          <w:color w:val="2B477B"/>
        </w:rPr>
        <w:t>públicos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privados,</w:t>
      </w:r>
      <w:r>
        <w:rPr>
          <w:color w:val="2B477B"/>
        </w:rPr>
        <w:t xml:space="preserve"> </w:t>
      </w:r>
      <w:r>
        <w:rPr>
          <w:rFonts w:ascii="Arial Unicode MS" w:eastAsia="Arial Unicode MS" w:hAnsi="Arial Unicode MS" w:cs="Arial Unicode MS"/>
          <w:color w:val="2B477B"/>
        </w:rPr>
        <w:t>especialmente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operadores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auxiliares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administración,</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Notarios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Conservadores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Bienes</w:t>
      </w:r>
      <w:r>
        <w:rPr>
          <w:color w:val="2B477B"/>
        </w:rPr>
        <w:t xml:space="preserve"> </w:t>
      </w:r>
      <w:r>
        <w:rPr>
          <w:rFonts w:ascii="Arial Unicode MS" w:eastAsia="Arial Unicode MS" w:hAnsi="Arial Unicode MS" w:cs="Arial Unicode MS"/>
          <w:color w:val="2B477B"/>
        </w:rPr>
        <w:t>Raíces,</w:t>
      </w:r>
      <w:r>
        <w:rPr>
          <w:color w:val="2B477B"/>
        </w:rPr>
        <w:t xml:space="preserve"> </w:t>
      </w:r>
      <w:r>
        <w:rPr>
          <w:rFonts w:ascii="Arial Unicode MS" w:eastAsia="Arial Unicode MS" w:hAnsi="Arial Unicode MS" w:cs="Arial Unicode MS"/>
          <w:color w:val="2B477B"/>
        </w:rPr>
        <w:t>entre</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w:t>
      </w:r>
      <w:r>
        <w:rPr>
          <w:rFonts w:ascii="Arial Unicode MS" w:eastAsia="Arial Unicode MS" w:hAnsi="Arial Unicode MS" w:cs="Arial Unicode MS"/>
          <w:color w:val="2B477B"/>
        </w:rPr>
        <w:t>-</w:t>
      </w:r>
      <w:r>
        <w:rPr>
          <w:color w:val="2B477B"/>
        </w:rPr>
        <w:t>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falta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asignación</w:t>
      </w:r>
      <w:r>
        <w:rPr>
          <w:color w:val="2B477B"/>
        </w:rPr>
        <w:t xml:space="preserve"> </w:t>
      </w:r>
      <w:r>
        <w:rPr>
          <w:rFonts w:ascii="Arial Unicode MS" w:eastAsia="Arial Unicode MS" w:hAnsi="Arial Unicode MS" w:cs="Arial Unicode MS"/>
          <w:color w:val="2B477B"/>
        </w:rPr>
        <w:t>presupuestaria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siguientes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región:</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Angelitos;</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Red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Sobrevivientes;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proporcionada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21 </w:t>
      </w:r>
      <w:r>
        <w:rPr>
          <w:rFonts w:ascii="Arial Unicode MS" w:eastAsia="Arial Unicode MS" w:hAnsi="Arial Unicode MS" w:cs="Arial Unicode MS"/>
          <w:color w:val="2B477B"/>
        </w:rPr>
        <w:t>y</w:t>
      </w:r>
      <w:r>
        <w:rPr>
          <w:color w:val="2B477B"/>
        </w:rPr>
        <w:t xml:space="preserve"> 22</w:t>
      </w:r>
      <w:r>
        <w:rPr>
          <w:rFonts w:ascii="Arial Unicode MS" w:eastAsia="Arial Unicode MS" w:hAnsi="Arial Unicode MS" w:cs="Arial Unicode MS"/>
          <w:color w:val="2B477B"/>
        </w:rPr>
        <w:t>.</w:t>
      </w:r>
      <w:r>
        <w:rPr>
          <w:color w:val="2B477B"/>
        </w:rPr>
        <w:t xml:space="preserve"> </w:t>
      </w:r>
    </w:p>
  </w:footnote>
  <w:footnote w:id="469">
    <w:p w14:paraId="0334D0C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punto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coincide</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jurídico</w:t>
      </w:r>
      <w:r>
        <w:rPr>
          <w:color w:val="2B477B"/>
        </w:rPr>
        <w:t xml:space="preserve"> </w:t>
      </w:r>
      <w:r>
        <w:rPr>
          <w:rFonts w:ascii="Arial Unicode MS" w:eastAsia="Arial Unicode MS" w:hAnsi="Arial Unicode MS" w:cs="Arial Unicode MS"/>
          <w:color w:val="2B477B"/>
        </w:rPr>
        <w:t>regional</w:t>
      </w:r>
      <w:r>
        <w:rPr>
          <w:color w:val="2B477B"/>
        </w:rPr>
        <w:t xml:space="preserve"> </w:t>
      </w:r>
      <w:r>
        <w:rPr>
          <w:rFonts w:ascii="Arial Unicode MS" w:eastAsia="Arial Unicode MS" w:hAnsi="Arial Unicode MS" w:cs="Arial Unicode MS"/>
          <w:color w:val="2B477B"/>
        </w:rPr>
        <w:t>desarrollado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División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Bregaglio,</w:t>
      </w:r>
      <w:r>
        <w:rPr>
          <w:color w:val="2B477B"/>
        </w:rPr>
        <w:t xml:space="preserve"> </w:t>
      </w:r>
      <w:r>
        <w:rPr>
          <w:rFonts w:ascii="Arial Unicode MS" w:eastAsia="Arial Unicode MS" w:hAnsi="Arial Unicode MS" w:cs="Arial Unicode MS"/>
          <w:color w:val="2B477B"/>
        </w:rPr>
        <w:t>Renata,</w:t>
      </w:r>
      <w:r>
        <w:rPr>
          <w:color w:val="2B477B"/>
        </w:rPr>
        <w:t xml:space="preserve"> </w:t>
      </w:r>
      <w:hyperlink r:id="rId770" w:history="1">
        <w:r>
          <w:rPr>
            <w:rStyle w:val="Hyperlink1"/>
            <w:rFonts w:ascii="Arial Unicode MS" w:eastAsia="Arial Unicode MS" w:hAnsi="Arial Unicode MS" w:cs="Arial Unicode MS"/>
            <w:u w:val="single"/>
          </w:rPr>
          <w:t>Marco</w:t>
        </w:r>
        <w:r>
          <w:rPr>
            <w:rStyle w:val="Hyperlink1"/>
            <w:u w:val="single"/>
          </w:rPr>
          <w:t xml:space="preserve"> </w:t>
        </w:r>
        <w:r>
          <w:rPr>
            <w:rStyle w:val="Hyperlink1"/>
            <w:rFonts w:ascii="Arial Unicode MS" w:eastAsia="Arial Unicode MS" w:hAnsi="Arial Unicode MS" w:cs="Arial Unicode MS"/>
            <w:u w:val="single"/>
          </w:rPr>
          <w:t>Legal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América</w:t>
      </w:r>
      <w:r>
        <w:rPr>
          <w:color w:val="2B477B"/>
        </w:rPr>
        <w:t xml:space="preserve"> </w:t>
      </w:r>
      <w:r>
        <w:rPr>
          <w:rFonts w:ascii="Arial Unicode MS" w:eastAsia="Arial Unicode MS" w:hAnsi="Arial Unicode MS" w:cs="Arial Unicode MS"/>
          <w:color w:val="2B477B"/>
        </w:rPr>
        <w:t>Latina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Caribe,</w:t>
      </w:r>
      <w:r>
        <w:rPr>
          <w:color w:val="2B477B"/>
        </w:rPr>
        <w:t xml:space="preserve"> </w:t>
      </w:r>
      <w:r>
        <w:rPr>
          <w:rFonts w:ascii="Arial Unicode MS" w:eastAsia="Arial Unicode MS" w:hAnsi="Arial Unicode MS" w:cs="Arial Unicode MS"/>
          <w:color w:val="2B477B"/>
        </w:rPr>
        <w:t>BID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156</w:t>
      </w:r>
      <w:r>
        <w:rPr>
          <w:rFonts w:ascii="Arial Unicode MS" w:eastAsia="Arial Unicode MS" w:hAnsi="Arial Unicode MS" w:cs="Arial Unicode MS"/>
          <w:color w:val="2B477B"/>
        </w:rPr>
        <w:t>,</w:t>
      </w:r>
      <w:r>
        <w:rPr>
          <w:color w:val="2B477B"/>
        </w:rPr>
        <w:t xml:space="preserve"> 157</w:t>
      </w:r>
      <w:r>
        <w:rPr>
          <w:rFonts w:ascii="Arial Unicode MS" w:eastAsia="Arial Unicode MS" w:hAnsi="Arial Unicode MS" w:cs="Arial Unicode MS"/>
          <w:color w:val="2B477B"/>
        </w:rPr>
        <w:t>,</w:t>
      </w:r>
      <w:r>
        <w:rPr>
          <w:color w:val="2B477B"/>
        </w:rPr>
        <w:t xml:space="preserve"> 163</w:t>
      </w:r>
      <w:r>
        <w:rPr>
          <w:rFonts w:ascii="Arial Unicode MS" w:eastAsia="Arial Unicode MS" w:hAnsi="Arial Unicode MS" w:cs="Arial Unicode MS"/>
          <w:color w:val="2B477B"/>
        </w:rPr>
        <w:t>,</w:t>
      </w:r>
      <w:r>
        <w:rPr>
          <w:color w:val="2B477B"/>
        </w:rPr>
        <w:t xml:space="preserve"> 164</w:t>
      </w:r>
      <w:r>
        <w:rPr>
          <w:rFonts w:ascii="Arial Unicode MS" w:eastAsia="Arial Unicode MS" w:hAnsi="Arial Unicode MS" w:cs="Arial Unicode MS"/>
          <w:color w:val="2B477B"/>
        </w:rPr>
        <w:t>,</w:t>
      </w:r>
      <w:r>
        <w:rPr>
          <w:color w:val="2B477B"/>
        </w:rPr>
        <w:t xml:space="preserve"> 169 </w:t>
      </w:r>
      <w:r>
        <w:rPr>
          <w:rFonts w:ascii="Arial Unicode MS" w:eastAsia="Arial Unicode MS" w:hAnsi="Arial Unicode MS" w:cs="Arial Unicode MS"/>
          <w:color w:val="2B477B"/>
        </w:rPr>
        <w:t>y</w:t>
      </w:r>
      <w:r>
        <w:rPr>
          <w:color w:val="2B477B"/>
        </w:rPr>
        <w:t xml:space="preserve"> 170</w:t>
      </w:r>
      <w:r>
        <w:rPr>
          <w:rFonts w:ascii="Arial Unicode MS" w:eastAsia="Arial Unicode MS" w:hAnsi="Arial Unicode MS" w:cs="Arial Unicode MS"/>
          <w:color w:val="2B477B"/>
        </w:rPr>
        <w:t>.</w:t>
      </w:r>
    </w:p>
  </w:footnote>
  <w:footnote w:id="470">
    <w:p w14:paraId="1C3B3BB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71"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Comercial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994</w:t>
        </w:r>
      </w:hyperlink>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p>
  </w:footnote>
  <w:footnote w:id="471">
    <w:p w14:paraId="276E9CE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72"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Comercial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994</w:t>
        </w:r>
      </w:hyperlink>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p>
  </w:footnote>
  <w:footnote w:id="472">
    <w:p w14:paraId="5985DD9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w:t>
      </w:r>
      <w:r>
        <w:rPr>
          <w:rFonts w:ascii="Arial Unicode MS" w:eastAsia="Arial Unicode MS" w:hAnsi="Arial Unicode MS" w:cs="Arial Unicode MS"/>
          <w:color w:val="2B477B"/>
        </w:rPr>
        <w:t>-</w:t>
      </w:r>
      <w:r>
        <w:rPr>
          <w:color w:val="2B477B"/>
        </w:rPr>
        <w:t>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hyperlink r:id="rId773" w:history="1">
        <w:r>
          <w:rPr>
            <w:color w:val="2B477B"/>
          </w:rPr>
          <w:t xml:space="preserve"> </w:t>
        </w:r>
        <w:r>
          <w:rPr>
            <w:rFonts w:ascii="Arial Unicode MS" w:eastAsia="Arial Unicode MS" w:hAnsi="Arial Unicode MS" w:cs="Arial Unicode MS"/>
            <w:color w:val="2B477B"/>
          </w:rPr>
          <w:t>Ley</w:t>
        </w:r>
        <w:r>
          <w:rPr>
            <w:color w:val="2B477B"/>
          </w:rPr>
          <w:t xml:space="preserve"> 13</w:t>
        </w:r>
        <w:r>
          <w:rPr>
            <w:rFonts w:ascii="Arial Unicode MS" w:eastAsia="Arial Unicode MS" w:hAnsi="Arial Unicode MS" w:cs="Arial Unicode MS"/>
            <w:color w:val="2B477B"/>
          </w:rPr>
          <w:t>.</w:t>
        </w:r>
        <w:r>
          <w:rPr>
            <w:color w:val="2B477B"/>
          </w:rPr>
          <w:t>146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del</w:t>
      </w:r>
      <w:r>
        <w:rPr>
          <w:color w:val="2B477B"/>
        </w:rPr>
        <w:t xml:space="preserve"> 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2015</w:t>
      </w:r>
      <w:r>
        <w:rPr>
          <w:rFonts w:ascii="Arial Unicode MS" w:eastAsia="Arial Unicode MS" w:hAnsi="Arial Unicode MS" w:cs="Arial Unicode MS"/>
          <w:color w:val="2B477B"/>
        </w:rPr>
        <w:t>;</w:t>
      </w:r>
      <w:r>
        <w:rPr>
          <w:color w:val="2B477B"/>
        </w:rPr>
        <w:t xml:space="preserve"> </w:t>
      </w:r>
      <w:hyperlink r:id="rId774" w:history="1">
        <w:r>
          <w:rPr>
            <w:rStyle w:val="Hyperlink1"/>
            <w:rFonts w:ascii="Arial Unicode MS" w:eastAsia="Arial Unicode MS" w:hAnsi="Arial Unicode MS" w:cs="Arial Unicode MS"/>
            <w:u w:val="single"/>
          </w:rPr>
          <w:t>Código</w:t>
        </w:r>
        <w:r>
          <w:rPr>
            <w:rStyle w:val="Hyperlink1"/>
            <w:u w:val="single"/>
          </w:rPr>
          <w:t xml:space="preserve"> </w:t>
        </w:r>
        <w:r>
          <w:rPr>
            <w:rStyle w:val="Hyperlink1"/>
            <w:rFonts w:ascii="Arial Unicode MS" w:eastAsia="Arial Unicode MS" w:hAnsi="Arial Unicode MS" w:cs="Arial Unicode MS"/>
            <w:u w:val="single"/>
          </w:rPr>
          <w:t>Civil</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arts.</w:t>
      </w:r>
      <w:r>
        <w:rPr>
          <w:color w:val="2B477B"/>
        </w:rPr>
        <w:t xml:space="preserve"> 4</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y</w:t>
      </w:r>
      <w:r>
        <w:rPr>
          <w:color w:val="2B477B"/>
        </w:rPr>
        <w:t xml:space="preserve"> 1767 </w:t>
      </w:r>
      <w:r>
        <w:rPr>
          <w:rFonts w:ascii="Arial Unicode MS" w:eastAsia="Arial Unicode MS" w:hAnsi="Arial Unicode MS" w:cs="Arial Unicode MS"/>
          <w:color w:val="2B477B"/>
        </w:rPr>
        <w:t>y</w:t>
      </w:r>
      <w:r>
        <w:rPr>
          <w:color w:val="2B477B"/>
        </w:rPr>
        <w:t xml:space="preserve"> 1783</w:t>
      </w:r>
      <w:r>
        <w:rPr>
          <w:rFonts w:ascii="Arial Unicode MS" w:eastAsia="Arial Unicode MS" w:hAnsi="Arial Unicode MS" w:cs="Arial Unicode MS"/>
          <w:color w:val="2B477B"/>
        </w:rPr>
        <w:t>-A.</w:t>
      </w:r>
      <w:r>
        <w:rPr>
          <w:color w:val="2B477B"/>
        </w:rPr>
        <w:t xml:space="preserve"> </w:t>
      </w:r>
    </w:p>
  </w:footnote>
  <w:footnote w:id="473">
    <w:p w14:paraId="7F94143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16</w:t>
      </w:r>
      <w:r>
        <w:rPr>
          <w:rFonts w:ascii="Arial Unicode MS" w:eastAsia="Arial Unicode MS" w:hAnsi="Arial Unicode MS" w:cs="Arial Unicode MS"/>
          <w:color w:val="2B477B"/>
        </w:rPr>
        <w:t>-</w:t>
      </w:r>
      <w:r>
        <w:rPr>
          <w:color w:val="2B477B"/>
        </w:rPr>
        <w:t>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75"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Autonomía</w:t>
        </w:r>
        <w:r>
          <w:rPr>
            <w:color w:val="2B477B"/>
          </w:rPr>
          <w:t xml:space="preserve"> </w:t>
        </w:r>
        <w:r>
          <w:rPr>
            <w:rFonts w:ascii="Arial Unicode MS" w:eastAsia="Arial Unicode MS" w:hAnsi="Arial Unicode MS" w:cs="Arial Unicode MS"/>
            <w:color w:val="2B477B"/>
          </w:rPr>
          <w:t>Personal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 </w:t>
      </w:r>
      <w:r>
        <w:rPr>
          <w:rFonts w:ascii="Arial Unicode MS" w:eastAsia="Arial Unicode MS" w:hAnsi="Arial Unicode MS" w:cs="Arial Unicode MS"/>
          <w:color w:val="2B477B"/>
        </w:rPr>
        <w:t>y</w:t>
      </w:r>
      <w:r>
        <w:rPr>
          <w:color w:val="2B477B"/>
        </w:rPr>
        <w:t xml:space="preserve"> 11</w:t>
      </w:r>
      <w:r>
        <w:rPr>
          <w:rFonts w:ascii="Arial Unicode MS" w:eastAsia="Arial Unicode MS" w:hAnsi="Arial Unicode MS" w:cs="Arial Unicode MS"/>
          <w:color w:val="2B477B"/>
        </w:rPr>
        <w:t>.</w:t>
      </w:r>
      <w:r>
        <w:rPr>
          <w:color w:val="2B477B"/>
        </w:rPr>
        <w:t xml:space="preserve"> </w:t>
      </w:r>
    </w:p>
  </w:footnote>
  <w:footnote w:id="474">
    <w:p w14:paraId="6ED7B08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16</w:t>
      </w:r>
      <w:r>
        <w:rPr>
          <w:rFonts w:ascii="Arial Unicode MS" w:eastAsia="Arial Unicode MS" w:hAnsi="Arial Unicode MS" w:cs="Arial Unicode MS"/>
          <w:color w:val="2B477B"/>
        </w:rPr>
        <w:t>-</w:t>
      </w:r>
      <w:r>
        <w:rPr>
          <w:color w:val="2B477B"/>
        </w:rPr>
        <w:t>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76"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Autonomía</w:t>
        </w:r>
        <w:r>
          <w:rPr>
            <w:color w:val="2B477B"/>
          </w:rPr>
          <w:t xml:space="preserve"> </w:t>
        </w:r>
        <w:r>
          <w:rPr>
            <w:rFonts w:ascii="Arial Unicode MS" w:eastAsia="Arial Unicode MS" w:hAnsi="Arial Unicode MS" w:cs="Arial Unicode MS"/>
            <w:color w:val="2B477B"/>
          </w:rPr>
          <w:t>Personal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w:t>
      </w:r>
      <w:r>
        <w:rPr>
          <w:rFonts w:ascii="Arial Unicode MS" w:eastAsia="Arial Unicode MS" w:hAnsi="Arial Unicode MS" w:cs="Arial Unicode MS"/>
          <w:color w:val="2B477B"/>
        </w:rPr>
        <w:t>,</w:t>
      </w:r>
      <w:r>
        <w:rPr>
          <w:color w:val="2B477B"/>
        </w:rPr>
        <w:t xml:space="preserve"> 5 </w:t>
      </w:r>
      <w:r>
        <w:rPr>
          <w:rFonts w:ascii="Arial Unicode MS" w:eastAsia="Arial Unicode MS" w:hAnsi="Arial Unicode MS" w:cs="Arial Unicode MS"/>
          <w:color w:val="2B477B"/>
        </w:rPr>
        <w:t>y</w:t>
      </w:r>
      <w:r>
        <w:rPr>
          <w:color w:val="2B477B"/>
        </w:rPr>
        <w:t xml:space="preserve"> 11</w:t>
      </w:r>
      <w:r>
        <w:rPr>
          <w:rFonts w:ascii="Arial Unicode MS" w:eastAsia="Arial Unicode MS" w:hAnsi="Arial Unicode MS" w:cs="Arial Unicode MS"/>
          <w:color w:val="2B477B"/>
        </w:rPr>
        <w:t>.</w:t>
      </w:r>
      <w:r>
        <w:rPr>
          <w:color w:val="2B477B"/>
        </w:rPr>
        <w:t xml:space="preserve"> </w:t>
      </w:r>
    </w:p>
  </w:footnote>
  <w:footnote w:id="475">
    <w:p w14:paraId="639C40A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16</w:t>
      </w:r>
      <w:r>
        <w:rPr>
          <w:rFonts w:ascii="Arial Unicode MS" w:eastAsia="Arial Unicode MS" w:hAnsi="Arial Unicode MS" w:cs="Arial Unicode MS"/>
          <w:color w:val="2B477B"/>
        </w:rPr>
        <w:t>-</w:t>
      </w:r>
      <w:r>
        <w:rPr>
          <w:color w:val="2B477B"/>
        </w:rPr>
        <w:t>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7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Autonomía</w:t>
        </w:r>
        <w:r>
          <w:rPr>
            <w:color w:val="2B477B"/>
          </w:rPr>
          <w:t xml:space="preserve"> </w:t>
        </w:r>
        <w:r>
          <w:rPr>
            <w:rFonts w:ascii="Arial Unicode MS" w:eastAsia="Arial Unicode MS" w:hAnsi="Arial Unicode MS" w:cs="Arial Unicode MS"/>
            <w:color w:val="2B477B"/>
          </w:rPr>
          <w:t>Personal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p>
  </w:footnote>
  <w:footnote w:id="476">
    <w:p w14:paraId="7C69FCA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Cuba,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w:t>
      </w:r>
      <w:r>
        <w:rPr>
          <w:rFonts w:ascii="Arial Unicode MS" w:eastAsia="Arial Unicode MS" w:hAnsi="Arial Unicode MS" w:cs="Arial Unicode MS"/>
          <w:color w:val="2B477B"/>
        </w:rPr>
        <w:t>-</w:t>
      </w:r>
      <w:r>
        <w:rPr>
          <w:color w:val="2B477B"/>
        </w:rPr>
        <w:t>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78" w:history="1">
        <w:r>
          <w:rPr>
            <w:rFonts w:ascii="Arial Unicode MS" w:eastAsia="Arial Unicode MS" w:hAnsi="Arial Unicode MS" w:cs="Arial Unicode MS"/>
            <w:color w:val="2B477B"/>
          </w:rPr>
          <w:t>Ley</w:t>
        </w:r>
        <w:r>
          <w:rPr>
            <w:color w:val="2B477B"/>
          </w:rPr>
          <w:t xml:space="preserve"> 156 </w:t>
        </w:r>
        <w:r>
          <w:rPr>
            <w:rFonts w:ascii="Arial Unicode MS" w:eastAsia="Arial Unicode MS" w:hAnsi="Arial Unicode MS" w:cs="Arial Unicode MS"/>
            <w:color w:val="2B477B"/>
          </w:rPr>
          <w:t>de</w:t>
        </w:r>
        <w:r>
          <w:rPr>
            <w:color w:val="2B477B"/>
          </w:rPr>
          <w:t xml:space="preserve"> 2022</w:t>
        </w:r>
      </w:hyperlink>
      <w:r>
        <w:rPr>
          <w:color w:val="2B477B"/>
        </w:rPr>
        <w:t xml:space="preserve"> </w:t>
      </w:r>
      <w:r>
        <w:rPr>
          <w:rFonts w:ascii="Arial Unicode MS" w:eastAsia="Arial Unicode MS" w:hAnsi="Arial Unicode MS" w:cs="Arial Unicode MS"/>
          <w:color w:val="2B477B"/>
        </w:rPr>
        <w:t>arts.</w:t>
      </w:r>
      <w:r>
        <w:rPr>
          <w:color w:val="2B477B"/>
        </w:rPr>
        <w:t xml:space="preserve"> 29</w:t>
      </w:r>
      <w:r>
        <w:rPr>
          <w:rFonts w:ascii="Arial Unicode MS" w:eastAsia="Arial Unicode MS" w:hAnsi="Arial Unicode MS" w:cs="Arial Unicode MS"/>
          <w:color w:val="2B477B"/>
        </w:rPr>
        <w:t>.</w:t>
      </w:r>
      <w:r>
        <w:rPr>
          <w:color w:val="2B477B"/>
        </w:rPr>
        <w:t xml:space="preserve">1 </w:t>
      </w:r>
      <w:r>
        <w:rPr>
          <w:rFonts w:ascii="Arial Unicode MS" w:eastAsia="Arial Unicode MS" w:hAnsi="Arial Unicode MS" w:cs="Arial Unicode MS"/>
          <w:color w:val="2B477B"/>
        </w:rPr>
        <w:t>a</w:t>
      </w:r>
      <w:r>
        <w:rPr>
          <w:color w:val="2B477B"/>
        </w:rPr>
        <w:t xml:space="preserve"> 31</w:t>
      </w:r>
      <w:r>
        <w:rPr>
          <w:rFonts w:ascii="Arial Unicode MS" w:eastAsia="Arial Unicode MS" w:hAnsi="Arial Unicode MS" w:cs="Arial Unicode MS"/>
          <w:color w:val="2B477B"/>
        </w:rPr>
        <w:t>.</w:t>
      </w:r>
      <w:r>
        <w:rPr>
          <w:color w:val="2B477B"/>
        </w:rPr>
        <w:t xml:space="preserve">1 </w:t>
      </w:r>
      <w:r>
        <w:rPr>
          <w:rFonts w:ascii="Arial Unicode MS" w:eastAsia="Arial Unicode MS" w:hAnsi="Arial Unicode MS" w:cs="Arial Unicode MS"/>
          <w:color w:val="2B477B"/>
        </w:rPr>
        <w:t>y</w:t>
      </w:r>
      <w:r>
        <w:rPr>
          <w:color w:val="2B477B"/>
        </w:rPr>
        <w:t xml:space="preserve"> </w:t>
      </w:r>
      <w:hyperlink r:id="rId779"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Familia</w:t>
        </w:r>
      </w:hyperlink>
      <w:r>
        <w:rPr>
          <w:rFonts w:ascii="Arial Unicode MS" w:eastAsia="Arial Unicode MS" w:hAnsi="Arial Unicode MS" w:cs="Arial Unicode MS"/>
          <w:color w:val="2B477B"/>
        </w:rPr>
        <w:t>s</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426 </w:t>
      </w:r>
      <w:r>
        <w:rPr>
          <w:rFonts w:ascii="Arial Unicode MS" w:eastAsia="Arial Unicode MS" w:hAnsi="Arial Unicode MS" w:cs="Arial Unicode MS"/>
          <w:color w:val="2B477B"/>
        </w:rPr>
        <w:t>y</w:t>
      </w:r>
      <w:r>
        <w:rPr>
          <w:color w:val="2B477B"/>
        </w:rPr>
        <w:t xml:space="preserve"> 427</w:t>
      </w:r>
      <w:r>
        <w:rPr>
          <w:rFonts w:ascii="Arial Unicode MS" w:eastAsia="Arial Unicode MS" w:hAnsi="Arial Unicode MS" w:cs="Arial Unicode MS"/>
          <w:color w:val="2B477B"/>
        </w:rPr>
        <w:t>.</w:t>
      </w:r>
    </w:p>
  </w:footnote>
  <w:footnote w:id="477">
    <w:p w14:paraId="090E30F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Cuba,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18</w:t>
      </w:r>
      <w:r>
        <w:rPr>
          <w:rFonts w:ascii="Arial Unicode MS" w:eastAsia="Arial Unicode MS" w:hAnsi="Arial Unicode MS" w:cs="Arial Unicode MS"/>
          <w:color w:val="2B477B"/>
        </w:rPr>
        <w:t>-</w:t>
      </w:r>
      <w:r>
        <w:rPr>
          <w:color w:val="2B477B"/>
        </w:rPr>
        <w:t>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80" w:history="1">
        <w:r>
          <w:rPr>
            <w:rStyle w:val="Hyperlink1"/>
            <w:rFonts w:ascii="Arial Unicode MS" w:eastAsia="Arial Unicode MS" w:hAnsi="Arial Unicode MS" w:cs="Arial Unicode MS"/>
            <w:u w:val="single"/>
          </w:rPr>
          <w:t>Código</w:t>
        </w:r>
        <w:r>
          <w:rPr>
            <w:rStyle w:val="Hyperlink1"/>
            <w:u w:val="single"/>
          </w:rPr>
          <w:t xml:space="preserve"> </w:t>
        </w:r>
        <w:r>
          <w:rPr>
            <w:rStyle w:val="Hyperlink1"/>
            <w:rFonts w:ascii="Arial Unicode MS" w:eastAsia="Arial Unicode MS" w:hAnsi="Arial Unicode MS" w:cs="Arial Unicode MS"/>
            <w:u w:val="single"/>
          </w:rPr>
          <w:t>Civi</w:t>
        </w:r>
      </w:hyperlink>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art.</w:t>
      </w:r>
      <w:r>
        <w:rPr>
          <w:color w:val="2B477B"/>
        </w:rPr>
        <w:t xml:space="preserve"> 31</w:t>
      </w:r>
      <w:r>
        <w:rPr>
          <w:rFonts w:ascii="Arial Unicode MS" w:eastAsia="Arial Unicode MS" w:hAnsi="Arial Unicode MS" w:cs="Arial Unicode MS"/>
          <w:color w:val="2B477B"/>
        </w:rPr>
        <w:t>.</w:t>
      </w:r>
      <w:r>
        <w:rPr>
          <w:color w:val="2B477B"/>
        </w:rPr>
        <w:t>1</w:t>
      </w:r>
      <w:r>
        <w:rPr>
          <w:rFonts w:ascii="Arial Unicode MS" w:eastAsia="Arial Unicode MS" w:hAnsi="Arial Unicode MS" w:cs="Arial Unicode MS"/>
          <w:color w:val="2B477B"/>
        </w:rPr>
        <w:t>.</w:t>
      </w:r>
      <w:r>
        <w:rPr>
          <w:color w:val="2B477B"/>
        </w:rPr>
        <w:t xml:space="preserve"> </w:t>
      </w:r>
    </w:p>
  </w:footnote>
  <w:footnote w:id="478">
    <w:p w14:paraId="00784FB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Cuba,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proofErr w:type="gramStart"/>
      <w:r>
        <w:rPr>
          <w:rFonts w:ascii="Arial Unicode MS" w:eastAsia="Arial Unicode MS" w:hAnsi="Arial Unicode MS" w:cs="Arial Unicode MS"/>
          <w:color w:val="2B477B"/>
        </w:rPr>
        <w:t>Cuestionario,ya</w:t>
      </w:r>
      <w:proofErr w:type="gramEnd"/>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18</w:t>
      </w:r>
      <w:r>
        <w:rPr>
          <w:rFonts w:ascii="Arial Unicode MS" w:eastAsia="Arial Unicode MS" w:hAnsi="Arial Unicode MS" w:cs="Arial Unicode MS"/>
          <w:color w:val="2B477B"/>
        </w:rPr>
        <w:t>-</w:t>
      </w:r>
      <w:r>
        <w:rPr>
          <w:color w:val="2B477B"/>
        </w:rPr>
        <w:t>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81"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Familia</w:t>
        </w:r>
      </w:hyperlink>
      <w:r>
        <w:rPr>
          <w:rFonts w:ascii="Arial Unicode MS" w:eastAsia="Arial Unicode MS" w:hAnsi="Arial Unicode MS" w:cs="Arial Unicode MS"/>
          <w:color w:val="2B477B"/>
        </w:rPr>
        <w:t>s</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205</w:t>
      </w:r>
      <w:r>
        <w:rPr>
          <w:rFonts w:ascii="Arial Unicode MS" w:eastAsia="Arial Unicode MS" w:hAnsi="Arial Unicode MS" w:cs="Arial Unicode MS"/>
          <w:color w:val="2B477B"/>
        </w:rPr>
        <w:t>.</w:t>
      </w:r>
    </w:p>
  </w:footnote>
  <w:footnote w:id="479">
    <w:p w14:paraId="2296E1D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82" w:history="1">
        <w:r>
          <w:rPr>
            <w:rFonts w:ascii="Arial Unicode MS" w:eastAsia="Arial Unicode MS" w:hAnsi="Arial Unicode MS" w:cs="Arial Unicode MS"/>
            <w:color w:val="2B477B"/>
          </w:rPr>
          <w:t>Ley</w:t>
        </w:r>
        <w:r>
          <w:rPr>
            <w:color w:val="2B477B"/>
          </w:rPr>
          <w:t xml:space="preserve"> 1996 </w:t>
        </w:r>
        <w:r>
          <w:rPr>
            <w:rFonts w:ascii="Arial Unicode MS" w:eastAsia="Arial Unicode MS" w:hAnsi="Arial Unicode MS" w:cs="Arial Unicode MS"/>
            <w:color w:val="2B477B"/>
          </w:rPr>
          <w:t>del</w:t>
        </w:r>
        <w:r>
          <w:rPr>
            <w:color w:val="2B477B"/>
          </w:rPr>
          <w:t xml:space="preserve"> 2019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medio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régimen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p>
  </w:footnote>
  <w:footnote w:id="480">
    <w:p w14:paraId="1163D8F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Diario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Bicentenario,</w:t>
      </w:r>
      <w:r>
        <w:rPr>
          <w:color w:val="2B477B"/>
        </w:rPr>
        <w:t xml:space="preserve"> </w:t>
      </w:r>
      <w:hyperlink r:id="rId783"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Regula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Condiciones</w:t>
        </w:r>
      </w:hyperlink>
      <w:r>
        <w:rPr>
          <w:rFonts w:ascii="Arial Unicode MS" w:eastAsia="Arial Unicode MS" w:hAnsi="Arial Unicode MS" w:cs="Arial Unicode MS"/>
          <w:color w:val="2B477B"/>
        </w:rPr>
        <w:t>,</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p>
  </w:footnote>
  <w:footnote w:id="481">
    <w:p w14:paraId="3E866BF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84" w:history="1">
        <w:r>
          <w:rPr>
            <w:rFonts w:ascii="Arial Unicode MS" w:eastAsia="Arial Unicode MS" w:hAnsi="Arial Unicode MS" w:cs="Arial Unicode MS"/>
            <w:color w:val="2B477B"/>
          </w:rPr>
          <w:t>Ley</w:t>
        </w:r>
        <w:r>
          <w:rPr>
            <w:color w:val="2B477B"/>
          </w:rPr>
          <w:t xml:space="preserve"> 1996 </w:t>
        </w:r>
        <w:r>
          <w:rPr>
            <w:rFonts w:ascii="Arial Unicode MS" w:eastAsia="Arial Unicode MS" w:hAnsi="Arial Unicode MS" w:cs="Arial Unicode MS"/>
            <w:color w:val="2B477B"/>
          </w:rPr>
          <w:t>del</w:t>
        </w:r>
        <w:r>
          <w:rPr>
            <w:color w:val="2B477B"/>
          </w:rPr>
          <w:t xml:space="preserve"> 2019</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medio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régimen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mayores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5</w:t>
      </w:r>
      <w:r>
        <w:rPr>
          <w:rFonts w:ascii="Arial Unicode MS" w:eastAsia="Arial Unicode MS" w:hAnsi="Arial Unicode MS" w:cs="Arial Unicode MS"/>
          <w:color w:val="2B477B"/>
        </w:rPr>
        <w:t>,</w:t>
      </w:r>
      <w:r>
        <w:rPr>
          <w:color w:val="2B477B"/>
        </w:rPr>
        <w:t xml:space="preserve"> 16</w:t>
      </w:r>
      <w:r>
        <w:rPr>
          <w:rFonts w:ascii="Arial Unicode MS" w:eastAsia="Arial Unicode MS" w:hAnsi="Arial Unicode MS" w:cs="Arial Unicode MS"/>
          <w:color w:val="2B477B"/>
        </w:rPr>
        <w:t>,</w:t>
      </w:r>
      <w:r>
        <w:rPr>
          <w:color w:val="2B477B"/>
        </w:rPr>
        <w:t xml:space="preserve"> 17</w:t>
      </w:r>
      <w:r>
        <w:rPr>
          <w:rFonts w:ascii="Arial Unicode MS" w:eastAsia="Arial Unicode MS" w:hAnsi="Arial Unicode MS" w:cs="Arial Unicode MS"/>
          <w:color w:val="2B477B"/>
        </w:rPr>
        <w:t>,</w:t>
      </w:r>
      <w:r>
        <w:rPr>
          <w:color w:val="2B477B"/>
        </w:rPr>
        <w:t xml:space="preserve"> 21</w:t>
      </w:r>
      <w:r>
        <w:rPr>
          <w:rFonts w:ascii="Arial Unicode MS" w:eastAsia="Arial Unicode MS" w:hAnsi="Arial Unicode MS" w:cs="Arial Unicode MS"/>
          <w:color w:val="2B477B"/>
        </w:rPr>
        <w:t>,</w:t>
      </w:r>
      <w:r>
        <w:rPr>
          <w:color w:val="2B477B"/>
        </w:rPr>
        <w:t xml:space="preserve"> 32</w:t>
      </w:r>
      <w:r>
        <w:rPr>
          <w:rFonts w:ascii="Arial Unicode MS" w:eastAsia="Arial Unicode MS" w:hAnsi="Arial Unicode MS" w:cs="Arial Unicode MS"/>
          <w:color w:val="2B477B"/>
        </w:rPr>
        <w:t>,</w:t>
      </w:r>
      <w:r>
        <w:rPr>
          <w:color w:val="2B477B"/>
        </w:rPr>
        <w:t xml:space="preserve"> 37 </w:t>
      </w:r>
      <w:r>
        <w:rPr>
          <w:rFonts w:ascii="Arial Unicode MS" w:eastAsia="Arial Unicode MS" w:hAnsi="Arial Unicode MS" w:cs="Arial Unicode MS"/>
          <w:color w:val="2B477B"/>
        </w:rPr>
        <w:t>y</w:t>
      </w:r>
      <w:r>
        <w:rPr>
          <w:color w:val="2B477B"/>
        </w:rPr>
        <w:t xml:space="preserve"> 38</w:t>
      </w:r>
      <w:r>
        <w:rPr>
          <w:rFonts w:ascii="Arial Unicode MS" w:eastAsia="Arial Unicode MS" w:hAnsi="Arial Unicode MS" w:cs="Arial Unicode MS"/>
          <w:color w:val="2B477B"/>
        </w:rPr>
        <w:t>.</w:t>
      </w:r>
      <w:r>
        <w:rPr>
          <w:color w:val="2B477B"/>
        </w:rPr>
        <w:t xml:space="preserve"> </w:t>
      </w:r>
    </w:p>
  </w:footnote>
  <w:footnote w:id="482">
    <w:p w14:paraId="45E956E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85" w:history="1">
        <w:r>
          <w:rPr>
            <w:rFonts w:ascii="Arial Unicode MS" w:eastAsia="Arial Unicode MS" w:hAnsi="Arial Unicode MS" w:cs="Arial Unicode MS"/>
            <w:color w:val="2B477B"/>
          </w:rPr>
          <w:t>Ley</w:t>
        </w:r>
        <w:r>
          <w:rPr>
            <w:color w:val="2B477B"/>
          </w:rPr>
          <w:t xml:space="preserve"> 1996 </w:t>
        </w:r>
        <w:r>
          <w:rPr>
            <w:rFonts w:ascii="Arial Unicode MS" w:eastAsia="Arial Unicode MS" w:hAnsi="Arial Unicode MS" w:cs="Arial Unicode MS"/>
            <w:color w:val="2B477B"/>
          </w:rPr>
          <w:t>del</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arts.</w:t>
        </w:r>
        <w:r>
          <w:rPr>
            <w:color w:val="2B477B"/>
          </w:rPr>
          <w:t xml:space="preserve"> 5</w:t>
        </w:r>
        <w:r>
          <w:rPr>
            <w:rFonts w:ascii="Arial Unicode MS" w:eastAsia="Arial Unicode MS" w:hAnsi="Arial Unicode MS" w:cs="Arial Unicode MS"/>
            <w:color w:val="2B477B"/>
          </w:rPr>
          <w:t>,</w:t>
        </w:r>
        <w:r>
          <w:rPr>
            <w:color w:val="2B477B"/>
          </w:rPr>
          <w:t xml:space="preserve"> 16</w:t>
        </w:r>
        <w:r>
          <w:rPr>
            <w:rFonts w:ascii="Arial Unicode MS" w:eastAsia="Arial Unicode MS" w:hAnsi="Arial Unicode MS" w:cs="Arial Unicode MS"/>
            <w:color w:val="2B477B"/>
          </w:rPr>
          <w:t>,</w:t>
        </w:r>
        <w:r>
          <w:rPr>
            <w:color w:val="2B477B"/>
          </w:rPr>
          <w:t xml:space="preserve"> 17</w:t>
        </w:r>
        <w:r>
          <w:rPr>
            <w:rFonts w:ascii="Arial Unicode MS" w:eastAsia="Arial Unicode MS" w:hAnsi="Arial Unicode MS" w:cs="Arial Unicode MS"/>
            <w:color w:val="2B477B"/>
          </w:rPr>
          <w:t>,</w:t>
        </w:r>
        <w:r>
          <w:rPr>
            <w:color w:val="2B477B"/>
          </w:rPr>
          <w:t xml:space="preserve"> 21</w:t>
        </w:r>
        <w:r>
          <w:rPr>
            <w:rFonts w:ascii="Arial Unicode MS" w:eastAsia="Arial Unicode MS" w:hAnsi="Arial Unicode MS" w:cs="Arial Unicode MS"/>
            <w:color w:val="2B477B"/>
          </w:rPr>
          <w:t>,</w:t>
        </w:r>
        <w:r>
          <w:rPr>
            <w:color w:val="2B477B"/>
          </w:rPr>
          <w:t xml:space="preserve"> 32</w:t>
        </w:r>
        <w:r>
          <w:rPr>
            <w:rFonts w:ascii="Arial Unicode MS" w:eastAsia="Arial Unicode MS" w:hAnsi="Arial Unicode MS" w:cs="Arial Unicode MS"/>
            <w:color w:val="2B477B"/>
          </w:rPr>
          <w:t>,</w:t>
        </w:r>
        <w:r>
          <w:rPr>
            <w:color w:val="2B477B"/>
          </w:rPr>
          <w:t xml:space="preserve"> 37 </w:t>
        </w:r>
        <w:r>
          <w:rPr>
            <w:rFonts w:ascii="Arial Unicode MS" w:eastAsia="Arial Unicode MS" w:hAnsi="Arial Unicode MS" w:cs="Arial Unicode MS"/>
            <w:color w:val="2B477B"/>
          </w:rPr>
          <w:t>y</w:t>
        </w:r>
        <w:r>
          <w:rPr>
            <w:color w:val="2B477B"/>
          </w:rPr>
          <w:t xml:space="preserve"> 38</w:t>
        </w:r>
        <w:r>
          <w:rPr>
            <w:rFonts w:ascii="Arial Unicode MS" w:eastAsia="Arial Unicode MS" w:hAnsi="Arial Unicode MS" w:cs="Arial Unicode MS"/>
            <w:color w:val="2B477B"/>
          </w:rPr>
          <w:t>.</w:t>
        </w:r>
      </w:hyperlink>
    </w:p>
  </w:footnote>
  <w:footnote w:id="483">
    <w:p w14:paraId="23B7046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86" w:history="1">
        <w:r>
          <w:rPr>
            <w:rFonts w:ascii="Arial Unicode MS" w:eastAsia="Arial Unicode MS" w:hAnsi="Arial Unicode MS" w:cs="Arial Unicode MS"/>
            <w:color w:val="2B477B"/>
          </w:rPr>
          <w:t>Decreto</w:t>
        </w:r>
        <w:r>
          <w:rPr>
            <w:color w:val="2B477B"/>
          </w:rPr>
          <w:t xml:space="preserve"> 1429</w:t>
        </w:r>
      </w:hyperlink>
      <w:r>
        <w:rPr>
          <w:color w:val="2B477B"/>
        </w:rPr>
        <w:t xml:space="preserve"> </w:t>
      </w:r>
      <w:r>
        <w:rPr>
          <w:rFonts w:ascii="Arial Unicode MS" w:eastAsia="Arial Unicode MS" w:hAnsi="Arial Unicode MS" w:cs="Arial Unicode MS"/>
          <w:color w:val="2B477B"/>
        </w:rPr>
        <w:t>del</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787" w:history="1">
        <w:r>
          <w:rPr>
            <w:rFonts w:ascii="Arial Unicode MS" w:eastAsia="Arial Unicode MS" w:hAnsi="Arial Unicode MS" w:cs="Arial Unicode MS"/>
            <w:color w:val="2B477B"/>
          </w:rPr>
          <w:t>Decreto</w:t>
        </w:r>
        <w:r>
          <w:rPr>
            <w:color w:val="2B477B"/>
          </w:rPr>
          <w:t xml:space="preserve"> 487</w:t>
        </w:r>
      </w:hyperlink>
      <w:r>
        <w:rPr>
          <w:color w:val="2B477B"/>
        </w:rPr>
        <w:t xml:space="preserve"> </w:t>
      </w:r>
      <w:r>
        <w:rPr>
          <w:rFonts w:ascii="Arial Unicode MS" w:eastAsia="Arial Unicode MS" w:hAnsi="Arial Unicode MS" w:cs="Arial Unicode MS"/>
          <w:color w:val="2B477B"/>
        </w:rPr>
        <w:t>del</w:t>
      </w:r>
      <w:r>
        <w:rPr>
          <w:color w:val="2B477B"/>
        </w:rPr>
        <w:t xml:space="preserve"> 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484">
    <w:p w14:paraId="3F30B74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Consejería</w:t>
      </w:r>
      <w:r>
        <w:rPr>
          <w:color w:val="2B477B"/>
        </w:rPr>
        <w:t xml:space="preserve"> </w:t>
      </w:r>
      <w:r>
        <w:rPr>
          <w:rFonts w:ascii="Arial Unicode MS" w:eastAsia="Arial Unicode MS" w:hAnsi="Arial Unicode MS" w:cs="Arial Unicode MS"/>
          <w:color w:val="2B477B"/>
        </w:rPr>
        <w:t>Presidencial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participación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788" w:history="1">
        <w:r>
          <w:rPr>
            <w:rFonts w:ascii="Arial Unicode MS" w:eastAsia="Arial Unicode MS" w:hAnsi="Arial Unicode MS" w:cs="Arial Unicode MS"/>
            <w:color w:val="2B477B"/>
          </w:rPr>
          <w:t>Lineamientos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Valoración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Bogotá,</w:t>
      </w:r>
      <w:r>
        <w:rPr>
          <w:color w:val="2B477B"/>
        </w:rPr>
        <w:t xml:space="preserve"> 2020</w:t>
      </w:r>
      <w:r>
        <w:rPr>
          <w:rFonts w:ascii="Arial Unicode MS" w:eastAsia="Arial Unicode MS" w:hAnsi="Arial Unicode MS" w:cs="Arial Unicode MS"/>
          <w:color w:val="2B477B"/>
        </w:rPr>
        <w:t>.</w:t>
      </w:r>
    </w:p>
  </w:footnote>
  <w:footnote w:id="485">
    <w:p w14:paraId="4AF368FE" w14:textId="77777777" w:rsidR="001A105D" w:rsidRDefault="00000000">
      <w:pPr>
        <w:pStyle w:val="FootnoteText"/>
        <w:jc w:val="left"/>
      </w:pPr>
      <w:r>
        <w:rPr>
          <w:rStyle w:val="None"/>
          <w:vertAlign w:val="superscript"/>
        </w:rPr>
        <w:footnoteRef/>
      </w:r>
      <w:r>
        <w:t xml:space="preserve"> </w:t>
      </w:r>
      <w:r>
        <w:rPr>
          <w:rFonts w:ascii="Arial Unicode MS" w:eastAsia="Arial Unicode MS" w:hAnsi="Arial Unicode MS" w:cs="Arial Unicode MS"/>
        </w:rPr>
        <w:t>Asdown</w:t>
      </w:r>
      <w:r>
        <w:t xml:space="preserve"> </w:t>
      </w:r>
      <w:r>
        <w:rPr>
          <w:rFonts w:ascii="Arial Unicode MS" w:eastAsia="Arial Unicode MS" w:hAnsi="Arial Unicode MS" w:cs="Arial Unicode MS"/>
        </w:rPr>
        <w:t>Colombia,</w:t>
      </w:r>
      <w:r>
        <w:t xml:space="preserve"> </w:t>
      </w:r>
      <w:r>
        <w:rPr>
          <w:rFonts w:ascii="Arial Unicode MS" w:eastAsia="Arial Unicode MS" w:hAnsi="Arial Unicode MS" w:cs="Arial Unicode MS"/>
        </w:rPr>
        <w:t>Fundación</w:t>
      </w:r>
      <w:r>
        <w:t xml:space="preserve"> </w:t>
      </w:r>
      <w:r>
        <w:rPr>
          <w:rFonts w:ascii="Arial Unicode MS" w:eastAsia="Arial Unicode MS" w:hAnsi="Arial Unicode MS" w:cs="Arial Unicode MS"/>
        </w:rPr>
        <w:t>DRECCA</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miembros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academia,</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enviada</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CIDH</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respuesta</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cuestionario</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situación</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Américas”,</w:t>
      </w:r>
      <w:r>
        <w:t xml:space="preserve"> 15 </w:t>
      </w:r>
      <w:r>
        <w:rPr>
          <w:rFonts w:ascii="Arial Unicode MS" w:eastAsia="Arial Unicode MS" w:hAnsi="Arial Unicode MS" w:cs="Arial Unicode MS"/>
        </w:rPr>
        <w:t>de</w:t>
      </w:r>
      <w:r>
        <w:t xml:space="preserve"> </w:t>
      </w:r>
      <w:r>
        <w:rPr>
          <w:rFonts w:ascii="Arial Unicode MS" w:eastAsia="Arial Unicode MS" w:hAnsi="Arial Unicode MS" w:cs="Arial Unicode MS"/>
        </w:rPr>
        <w:t>septiembre</w:t>
      </w:r>
      <w:r>
        <w:t xml:space="preserve"> </w:t>
      </w:r>
      <w:r>
        <w:rPr>
          <w:rFonts w:ascii="Arial Unicode MS" w:eastAsia="Arial Unicode MS" w:hAnsi="Arial Unicode MS" w:cs="Arial Unicode MS"/>
        </w:rPr>
        <w:t>de</w:t>
      </w:r>
      <w:r>
        <w:t xml:space="preserve"> 2022</w:t>
      </w:r>
      <w:r>
        <w:rPr>
          <w:rFonts w:ascii="Arial Unicode MS" w:eastAsia="Arial Unicode MS" w:hAnsi="Arial Unicode MS" w:cs="Arial Unicode MS"/>
        </w:rPr>
        <w:t>,</w:t>
      </w:r>
      <w:r>
        <w:t xml:space="preserve"> </w:t>
      </w:r>
      <w:r>
        <w:rPr>
          <w:rFonts w:ascii="Arial Unicode MS" w:eastAsia="Arial Unicode MS" w:hAnsi="Arial Unicode MS" w:cs="Arial Unicode MS"/>
        </w:rPr>
        <w:t>págs.</w:t>
      </w:r>
      <w:r>
        <w:t xml:space="preserve"> 4</w:t>
      </w:r>
      <w:r>
        <w:rPr>
          <w:rFonts w:ascii="Arial Unicode MS" w:eastAsia="Arial Unicode MS" w:hAnsi="Arial Unicode MS" w:cs="Arial Unicode MS"/>
        </w:rPr>
        <w:t>-</w:t>
      </w:r>
      <w:r>
        <w:t>16</w:t>
      </w:r>
      <w:r>
        <w:rPr>
          <w:rFonts w:ascii="Arial Unicode MS" w:eastAsia="Arial Unicode MS" w:hAnsi="Arial Unicode MS" w:cs="Arial Unicode MS"/>
        </w:rPr>
        <w:t>.</w:t>
      </w:r>
    </w:p>
  </w:footnote>
  <w:footnote w:id="486">
    <w:p w14:paraId="770FC87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19 </w:t>
      </w:r>
      <w:r>
        <w:rPr>
          <w:rFonts w:ascii="Arial Unicode MS" w:eastAsia="Arial Unicode MS" w:hAnsi="Arial Unicode MS" w:cs="Arial Unicode MS"/>
          <w:color w:val="2B477B"/>
        </w:rPr>
        <w:t>y</w:t>
      </w:r>
      <w:r>
        <w:rPr>
          <w:color w:val="2B477B"/>
        </w:rPr>
        <w:t xml:space="preserve"> 20</w:t>
      </w:r>
      <w:r>
        <w:rPr>
          <w:rFonts w:ascii="Arial Unicode MS" w:eastAsia="Arial Unicode MS" w:hAnsi="Arial Unicode MS" w:cs="Arial Unicode MS"/>
          <w:color w:val="2B477B"/>
        </w:rPr>
        <w:t>.</w:t>
      </w:r>
      <w:r>
        <w:rPr>
          <w:color w:val="2B477B"/>
        </w:rPr>
        <w:t xml:space="preserve">  </w:t>
      </w:r>
    </w:p>
  </w:footnote>
  <w:footnote w:id="487">
    <w:p w14:paraId="33896DAB" w14:textId="77777777" w:rsidR="001A105D" w:rsidRDefault="00000000">
      <w:pPr>
        <w:pStyle w:val="FootnoteText"/>
        <w:jc w:val="left"/>
      </w:pPr>
      <w:r>
        <w:rPr>
          <w:rStyle w:val="None"/>
          <w:vertAlign w:val="superscript"/>
        </w:rPr>
        <w:footnoteRef/>
      </w:r>
      <w:r>
        <w:t xml:space="preserve"> </w:t>
      </w:r>
      <w:r>
        <w:rPr>
          <w:rFonts w:ascii="Arial Unicode MS" w:eastAsia="Arial Unicode MS" w:hAnsi="Arial Unicode MS" w:cs="Arial Unicode MS"/>
        </w:rPr>
        <w:t>Asdown</w:t>
      </w:r>
      <w:r>
        <w:t xml:space="preserve"> </w:t>
      </w:r>
      <w:r>
        <w:rPr>
          <w:rFonts w:ascii="Arial Unicode MS" w:eastAsia="Arial Unicode MS" w:hAnsi="Arial Unicode MS" w:cs="Arial Unicode MS"/>
        </w:rPr>
        <w:t>Colombia,</w:t>
      </w:r>
      <w:r>
        <w:t xml:space="preserve"> </w:t>
      </w:r>
      <w:r>
        <w:rPr>
          <w:rFonts w:ascii="Arial Unicode MS" w:eastAsia="Arial Unicode MS" w:hAnsi="Arial Unicode MS" w:cs="Arial Unicode MS"/>
        </w:rPr>
        <w:t>Fundación</w:t>
      </w:r>
      <w:r>
        <w:t xml:space="preserve"> </w:t>
      </w:r>
      <w:r>
        <w:rPr>
          <w:rFonts w:ascii="Arial Unicode MS" w:eastAsia="Arial Unicode MS" w:hAnsi="Arial Unicode MS" w:cs="Arial Unicode MS"/>
        </w:rPr>
        <w:t>DRECCA</w:t>
      </w:r>
      <w:r>
        <w:t xml:space="preserve"> </w:t>
      </w:r>
      <w:r>
        <w:rPr>
          <w:rFonts w:ascii="Arial Unicode MS" w:eastAsia="Arial Unicode MS" w:hAnsi="Arial Unicode MS" w:cs="Arial Unicode MS"/>
        </w:rPr>
        <w:t>y</w:t>
      </w:r>
      <w:r>
        <w:t xml:space="preserve"> </w:t>
      </w:r>
      <w:r>
        <w:rPr>
          <w:rFonts w:ascii="Arial Unicode MS" w:eastAsia="Arial Unicode MS" w:hAnsi="Arial Unicode MS" w:cs="Arial Unicode MS"/>
        </w:rPr>
        <w:t>miembros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academia,</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enviada</w:t>
      </w:r>
      <w:r>
        <w:t xml:space="preserve"> </w:t>
      </w:r>
      <w:r>
        <w:rPr>
          <w:rFonts w:ascii="Arial Unicode MS" w:eastAsia="Arial Unicode MS" w:hAnsi="Arial Unicode MS" w:cs="Arial Unicode MS"/>
        </w:rPr>
        <w:t>a</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CIDH</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respuesta</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cuestionario</w:t>
      </w:r>
      <w:r>
        <w:t xml:space="preserve"> </w:t>
      </w:r>
      <w:r>
        <w:rPr>
          <w:rFonts w:ascii="Arial Unicode MS" w:eastAsia="Arial Unicode MS" w:hAnsi="Arial Unicode MS" w:cs="Arial Unicode MS"/>
        </w:rPr>
        <w:t>“Información</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la</w:t>
      </w:r>
      <w:r>
        <w:t xml:space="preserve"> </w:t>
      </w:r>
      <w:r>
        <w:rPr>
          <w:rFonts w:ascii="Arial Unicode MS" w:eastAsia="Arial Unicode MS" w:hAnsi="Arial Unicode MS" w:cs="Arial Unicode MS"/>
        </w:rPr>
        <w:t>situación</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humanos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Fonts w:ascii="Arial Unicode MS" w:eastAsia="Arial Unicode MS" w:hAnsi="Arial Unicode MS" w:cs="Arial Unicode MS"/>
        </w:rPr>
        <w:t>en</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Américas”,</w:t>
      </w:r>
      <w:r>
        <w:t xml:space="preserve"> 15 </w:t>
      </w:r>
      <w:r>
        <w:rPr>
          <w:rFonts w:ascii="Arial Unicode MS" w:eastAsia="Arial Unicode MS" w:hAnsi="Arial Unicode MS" w:cs="Arial Unicode MS"/>
        </w:rPr>
        <w:t>de</w:t>
      </w:r>
      <w:r>
        <w:t xml:space="preserve"> </w:t>
      </w:r>
      <w:r>
        <w:rPr>
          <w:rFonts w:ascii="Arial Unicode MS" w:eastAsia="Arial Unicode MS" w:hAnsi="Arial Unicode MS" w:cs="Arial Unicode MS"/>
        </w:rPr>
        <w:t>septiembre</w:t>
      </w:r>
      <w:r>
        <w:t xml:space="preserve"> </w:t>
      </w:r>
      <w:r>
        <w:rPr>
          <w:rFonts w:ascii="Arial Unicode MS" w:eastAsia="Arial Unicode MS" w:hAnsi="Arial Unicode MS" w:cs="Arial Unicode MS"/>
        </w:rPr>
        <w:t>de</w:t>
      </w:r>
      <w:r>
        <w:t xml:space="preserve"> 2022</w:t>
      </w:r>
      <w:r>
        <w:rPr>
          <w:rFonts w:ascii="Arial Unicode MS" w:eastAsia="Arial Unicode MS" w:hAnsi="Arial Unicode MS" w:cs="Arial Unicode MS"/>
        </w:rPr>
        <w:t>,</w:t>
      </w:r>
      <w:r>
        <w:t xml:space="preserve"> </w:t>
      </w:r>
      <w:r>
        <w:rPr>
          <w:rFonts w:ascii="Arial Unicode MS" w:eastAsia="Arial Unicode MS" w:hAnsi="Arial Unicode MS" w:cs="Arial Unicode MS"/>
        </w:rPr>
        <w:t>págs.</w:t>
      </w:r>
      <w:r>
        <w:t xml:space="preserve"> 4</w:t>
      </w:r>
      <w:r>
        <w:rPr>
          <w:rFonts w:ascii="Arial Unicode MS" w:eastAsia="Arial Unicode MS" w:hAnsi="Arial Unicode MS" w:cs="Arial Unicode MS"/>
        </w:rPr>
        <w:t>-</w:t>
      </w:r>
      <w:r>
        <w:t>16</w:t>
      </w:r>
      <w:r>
        <w:rPr>
          <w:rFonts w:ascii="Arial Unicode MS" w:eastAsia="Arial Unicode MS" w:hAnsi="Arial Unicode MS" w:cs="Arial Unicode MS"/>
        </w:rPr>
        <w:t>.</w:t>
      </w:r>
    </w:p>
  </w:footnote>
  <w:footnote w:id="488">
    <w:p w14:paraId="3A41121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Asdown</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Fundación</w:t>
      </w:r>
      <w:r>
        <w:rPr>
          <w:color w:val="2B477B"/>
        </w:rPr>
        <w:t xml:space="preserve"> </w:t>
      </w:r>
      <w:r>
        <w:rPr>
          <w:rFonts w:ascii="Arial Unicode MS" w:eastAsia="Arial Unicode MS" w:hAnsi="Arial Unicode MS" w:cs="Arial Unicode MS"/>
          <w:color w:val="2B477B"/>
        </w:rPr>
        <w:t>DRECCA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miembros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academia,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4</w:t>
      </w:r>
      <w:r>
        <w:rPr>
          <w:rFonts w:ascii="Arial Unicode MS" w:eastAsia="Arial Unicode MS" w:hAnsi="Arial Unicode MS" w:cs="Arial Unicode MS"/>
          <w:color w:val="2B477B"/>
        </w:rPr>
        <w:t>-</w:t>
      </w:r>
      <w:r>
        <w:rPr>
          <w:color w:val="2B477B"/>
        </w:rPr>
        <w:t>16</w:t>
      </w:r>
      <w:r>
        <w:rPr>
          <w:rFonts w:ascii="Arial Unicode MS" w:eastAsia="Arial Unicode MS" w:hAnsi="Arial Unicode MS" w:cs="Arial Unicode MS"/>
          <w:color w:val="2B477B"/>
        </w:rPr>
        <w:t>.</w:t>
      </w:r>
      <w:r>
        <w:rPr>
          <w:color w:val="2B477B"/>
        </w:rPr>
        <w:t xml:space="preserve"> </w:t>
      </w:r>
    </w:p>
  </w:footnote>
  <w:footnote w:id="489">
    <w:p w14:paraId="6D5EBA9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37</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89"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p>
  </w:footnote>
  <w:footnote w:id="490">
    <w:p w14:paraId="6629175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37</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790"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hyperlink r:id="rId791"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color w:val="2B477B"/>
        </w:rPr>
        <w:t xml:space="preserve"> </w:t>
      </w:r>
      <w:r>
        <w:rPr>
          <w:rFonts w:ascii="Arial Unicode MS" w:eastAsia="Arial Unicode MS" w:hAnsi="Arial Unicode MS" w:cs="Arial Unicode MS"/>
          <w:color w:val="2B477B"/>
        </w:rPr>
        <w:t>de</w:t>
      </w:r>
      <w:r>
        <w:rPr>
          <w:color w:val="2B477B"/>
        </w:rPr>
        <w:t xml:space="preserve"> 1984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w:t>
      </w:r>
      <w:r>
        <w:rPr>
          <w:rFonts w:ascii="Arial Unicode MS" w:eastAsia="Arial Unicode MS" w:hAnsi="Arial Unicode MS" w:cs="Arial Unicode MS"/>
          <w:color w:val="2B477B"/>
        </w:rPr>
        <w:t>,</w:t>
      </w:r>
      <w:r>
        <w:rPr>
          <w:color w:val="2B477B"/>
        </w:rPr>
        <w:t xml:space="preserve"> 42</w:t>
      </w:r>
      <w:r>
        <w:rPr>
          <w:rFonts w:ascii="Arial Unicode MS" w:eastAsia="Arial Unicode MS" w:hAnsi="Arial Unicode MS" w:cs="Arial Unicode MS"/>
          <w:color w:val="2B477B"/>
        </w:rPr>
        <w:t>,</w:t>
      </w:r>
      <w:r>
        <w:rPr>
          <w:color w:val="2B477B"/>
        </w:rPr>
        <w:t xml:space="preserve"> 45</w:t>
      </w:r>
      <w:r>
        <w:rPr>
          <w:rFonts w:ascii="Arial Unicode MS" w:eastAsia="Arial Unicode MS" w:hAnsi="Arial Unicode MS" w:cs="Arial Unicode MS"/>
          <w:color w:val="2B477B"/>
        </w:rPr>
        <w:t>-B,</w:t>
      </w:r>
      <w:r>
        <w:rPr>
          <w:color w:val="2B477B"/>
        </w:rPr>
        <w:t xml:space="preserve"> 569</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y</w:t>
      </w:r>
      <w:r>
        <w:rPr>
          <w:color w:val="2B477B"/>
        </w:rPr>
        <w:t xml:space="preserve"> 659</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a</w:t>
      </w:r>
      <w:r>
        <w:rPr>
          <w:color w:val="2B477B"/>
        </w:rPr>
        <w:t xml:space="preserve"> 659</w:t>
      </w:r>
      <w:r>
        <w:rPr>
          <w:rFonts w:ascii="Arial Unicode MS" w:eastAsia="Arial Unicode MS" w:hAnsi="Arial Unicode MS" w:cs="Arial Unicode MS"/>
          <w:color w:val="2B477B"/>
        </w:rPr>
        <w:t>-H.</w:t>
      </w:r>
    </w:p>
  </w:footnote>
  <w:footnote w:id="491">
    <w:p w14:paraId="5171080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Begraglio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r>
        <w:rPr>
          <w:rFonts w:ascii="Arial Unicode MS" w:eastAsia="Arial Unicode MS" w:hAnsi="Arial Unicode MS" w:cs="Arial Unicode MS"/>
          <w:color w:val="2B477B"/>
        </w:rPr>
        <w:t>Constantino</w:t>
      </w:r>
      <w:r>
        <w:rPr>
          <w:color w:val="2B477B"/>
        </w:rPr>
        <w:t xml:space="preserve"> </w:t>
      </w:r>
      <w:r>
        <w:rPr>
          <w:rFonts w:ascii="Arial Unicode MS" w:eastAsia="Arial Unicode MS" w:hAnsi="Arial Unicode MS" w:cs="Arial Unicode MS"/>
          <w:color w:val="2B477B"/>
        </w:rPr>
        <w:t>Caycho,</w:t>
      </w:r>
      <w:r>
        <w:rPr>
          <w:color w:val="2B477B"/>
        </w:rPr>
        <w:t xml:space="preserve"> </w:t>
      </w:r>
      <w:r>
        <w:rPr>
          <w:rFonts w:ascii="Arial Unicode MS" w:eastAsia="Arial Unicode MS" w:hAnsi="Arial Unicode MS" w:cs="Arial Unicode MS"/>
          <w:color w:val="2B477B"/>
        </w:rPr>
        <w:t>Renato:</w:t>
      </w:r>
      <w:r>
        <w:rPr>
          <w:color w:val="2B477B"/>
        </w:rPr>
        <w:t xml:space="preserve"> </w:t>
      </w:r>
      <w:r>
        <w:rPr>
          <w:rFonts w:ascii="Arial Unicode MS" w:eastAsia="Arial Unicode MS" w:hAnsi="Arial Unicode MS" w:cs="Arial Unicode MS"/>
          <w:color w:val="2B477B"/>
        </w:rPr>
        <w:t>“</w:t>
      </w:r>
      <w:hyperlink r:id="rId792" w:history="1">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jurisprudencia</w:t>
        </w:r>
        <w:r>
          <w:rPr>
            <w:color w:val="2B477B"/>
          </w:rPr>
          <w:t xml:space="preserve"> </w:t>
        </w:r>
        <w:r>
          <w:rPr>
            <w:rFonts w:ascii="Arial Unicode MS" w:eastAsia="Arial Unicode MS" w:hAnsi="Arial Unicode MS" w:cs="Arial Unicode MS"/>
            <w:color w:val="2B477B"/>
          </w:rPr>
          <w:t>peruana,</w:t>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cualitativo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judiciales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designaciones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aplicación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r>
          <w:rPr>
            <w:rFonts w:ascii="Arial Unicode MS" w:eastAsia="Arial Unicode MS" w:hAnsi="Arial Unicode MS" w:cs="Arial Unicode MS"/>
            <w:color w:val="2B477B"/>
          </w:rPr>
          <w: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Revista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Privado,</w:t>
      </w:r>
      <w:r>
        <w:rPr>
          <w:color w:val="2B477B"/>
        </w:rPr>
        <w:t xml:space="preserve"> </w:t>
      </w:r>
      <w:r>
        <w:rPr>
          <w:rFonts w:ascii="Arial Unicode MS" w:eastAsia="Arial Unicode MS" w:hAnsi="Arial Unicode MS" w:cs="Arial Unicode MS"/>
          <w:color w:val="2B477B"/>
        </w:rPr>
        <w:t>núm.</w:t>
      </w:r>
      <w:r>
        <w:rPr>
          <w:color w:val="2B477B"/>
        </w:rPr>
        <w:t xml:space="preserve"> 44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Externado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págs.</w:t>
      </w:r>
      <w:r>
        <w:rPr>
          <w:color w:val="2B477B"/>
        </w:rPr>
        <w:t xml:space="preserve"> 15</w:t>
      </w:r>
      <w:r>
        <w:rPr>
          <w:rFonts w:ascii="Arial Unicode MS" w:eastAsia="Arial Unicode MS" w:hAnsi="Arial Unicode MS" w:cs="Arial Unicode MS"/>
          <w:color w:val="2B477B"/>
        </w:rPr>
        <w:t>-</w:t>
      </w:r>
      <w:r>
        <w:rPr>
          <w:color w:val="2B477B"/>
        </w:rPr>
        <w:t>47</w:t>
      </w:r>
      <w:r>
        <w:rPr>
          <w:rFonts w:ascii="Arial Unicode MS" w:eastAsia="Arial Unicode MS" w:hAnsi="Arial Unicode MS" w:cs="Arial Unicode MS"/>
          <w:color w:val="2B477B"/>
        </w:rPr>
        <w:t>.</w:t>
      </w:r>
      <w:r>
        <w:rPr>
          <w:color w:val="2B477B"/>
        </w:rPr>
        <w:t xml:space="preserve"> </w:t>
      </w:r>
    </w:p>
  </w:footnote>
  <w:footnote w:id="492">
    <w:p w14:paraId="784E8AF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37</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aportes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Observatorio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sexuales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ODISEX</w:t>
      </w:r>
      <w:r>
        <w:rPr>
          <w:color w:val="2B477B"/>
        </w:rPr>
        <w:t xml:space="preserve"> </w:t>
      </w:r>
      <w:r>
        <w:rPr>
          <w:rFonts w:ascii="Arial Unicode MS" w:eastAsia="Arial Unicode MS" w:hAnsi="Arial Unicode MS" w:cs="Arial Unicode MS"/>
          <w:color w:val="2B477B"/>
        </w:rPr>
        <w:t>PERU,</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activistas</w:t>
      </w:r>
      <w:r>
        <w:rPr>
          <w:color w:val="2B477B"/>
        </w:rPr>
        <w:t xml:space="preserve"> </w:t>
      </w:r>
      <w:r>
        <w:rPr>
          <w:rFonts w:ascii="Arial Unicode MS" w:eastAsia="Arial Unicode MS" w:hAnsi="Arial Unicode MS" w:cs="Arial Unicode MS"/>
          <w:color w:val="2B477B"/>
        </w:rPr>
        <w:t>independientes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p>
  </w:footnote>
  <w:footnote w:id="493">
    <w:p w14:paraId="783671C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Begraglio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r>
        <w:rPr>
          <w:rFonts w:ascii="Arial Unicode MS" w:eastAsia="Arial Unicode MS" w:hAnsi="Arial Unicode MS" w:cs="Arial Unicode MS"/>
          <w:color w:val="2B477B"/>
        </w:rPr>
        <w:t>Constantino</w:t>
      </w:r>
      <w:r>
        <w:rPr>
          <w:color w:val="2B477B"/>
        </w:rPr>
        <w:t xml:space="preserve"> </w:t>
      </w:r>
      <w:r>
        <w:rPr>
          <w:rFonts w:ascii="Arial Unicode MS" w:eastAsia="Arial Unicode MS" w:hAnsi="Arial Unicode MS" w:cs="Arial Unicode MS"/>
          <w:color w:val="2B477B"/>
        </w:rPr>
        <w:t>Caycho,</w:t>
      </w:r>
      <w:r>
        <w:rPr>
          <w:color w:val="2B477B"/>
        </w:rPr>
        <w:t xml:space="preserve"> </w:t>
      </w:r>
      <w:r>
        <w:rPr>
          <w:rFonts w:ascii="Arial Unicode MS" w:eastAsia="Arial Unicode MS" w:hAnsi="Arial Unicode MS" w:cs="Arial Unicode MS"/>
          <w:color w:val="2B477B"/>
        </w:rPr>
        <w:t>Renato:</w:t>
      </w:r>
      <w:r>
        <w:rPr>
          <w:color w:val="2B477B"/>
        </w:rPr>
        <w:t xml:space="preserve"> </w:t>
      </w:r>
      <w:r>
        <w:rPr>
          <w:rFonts w:ascii="Arial Unicode MS" w:eastAsia="Arial Unicode MS" w:hAnsi="Arial Unicode MS" w:cs="Arial Unicode MS"/>
          <w:color w:val="2B477B"/>
        </w:rPr>
        <w:t>“</w:t>
      </w:r>
      <w:hyperlink r:id="rId793" w:history="1">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jurisprudencia</w:t>
        </w:r>
        <w:r>
          <w:rPr>
            <w:color w:val="2B477B"/>
          </w:rPr>
          <w:t xml:space="preserve"> </w:t>
        </w:r>
        <w:r>
          <w:rPr>
            <w:rFonts w:ascii="Arial Unicode MS" w:eastAsia="Arial Unicode MS" w:hAnsi="Arial Unicode MS" w:cs="Arial Unicode MS"/>
            <w:color w:val="2B477B"/>
          </w:rPr>
          <w:t>peruana,</w:t>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cualitativo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judiciales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designaciones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aplicación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r>
          <w:rPr>
            <w:rFonts w:ascii="Arial Unicode MS" w:eastAsia="Arial Unicode MS" w:hAnsi="Arial Unicode MS" w:cs="Arial Unicode MS"/>
            <w:color w:val="2B477B"/>
          </w:rPr>
          <w:t>”</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Revista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Privado,</w:t>
      </w:r>
      <w:r>
        <w:rPr>
          <w:color w:val="2B477B"/>
        </w:rPr>
        <w:t xml:space="preserve"> </w:t>
      </w:r>
      <w:r>
        <w:rPr>
          <w:rFonts w:ascii="Arial Unicode MS" w:eastAsia="Arial Unicode MS" w:hAnsi="Arial Unicode MS" w:cs="Arial Unicode MS"/>
          <w:color w:val="2B477B"/>
        </w:rPr>
        <w:t>núm.</w:t>
      </w:r>
      <w:r>
        <w:rPr>
          <w:color w:val="2B477B"/>
        </w:rPr>
        <w:t xml:space="preserve"> 44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Externado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págs.</w:t>
      </w:r>
      <w:r>
        <w:rPr>
          <w:color w:val="2B477B"/>
        </w:rPr>
        <w:t xml:space="preserve"> 15</w:t>
      </w:r>
      <w:r>
        <w:rPr>
          <w:rFonts w:ascii="Arial Unicode MS" w:eastAsia="Arial Unicode MS" w:hAnsi="Arial Unicode MS" w:cs="Arial Unicode MS"/>
          <w:color w:val="2B477B"/>
        </w:rPr>
        <w:t>-</w:t>
      </w:r>
      <w:r>
        <w:rPr>
          <w:color w:val="2B477B"/>
        </w:rPr>
        <w:t>47</w:t>
      </w:r>
      <w:r>
        <w:rPr>
          <w:rFonts w:ascii="Arial Unicode MS" w:eastAsia="Arial Unicode MS" w:hAnsi="Arial Unicode MS" w:cs="Arial Unicode MS"/>
          <w:color w:val="2B477B"/>
        </w:rPr>
        <w:t>.</w:t>
      </w:r>
    </w:p>
  </w:footnote>
  <w:footnote w:id="494">
    <w:p w14:paraId="5BB710B1" w14:textId="77777777" w:rsidR="001A105D" w:rsidRDefault="00000000">
      <w:pPr>
        <w:pStyle w:val="FootnoteText"/>
        <w:jc w:val="left"/>
      </w:pPr>
      <w:r>
        <w:rPr>
          <w:rStyle w:val="None"/>
          <w:vertAlign w:val="superscript"/>
        </w:rPr>
        <w:footnoteRef/>
      </w:r>
      <w:r>
        <w:rPr>
          <w:rStyle w:val="Hyperlink3"/>
        </w:rPr>
        <w:t xml:space="preserve">  </w:t>
      </w:r>
      <w:r>
        <w:rPr>
          <w:rFonts w:ascii="Arial Unicode MS" w:eastAsia="Arial Unicode MS" w:hAnsi="Arial Unicode MS" w:cs="Arial Unicode MS"/>
        </w:rPr>
        <w:t>Microjuris</w:t>
      </w:r>
      <w:r>
        <w:t xml:space="preserve"> </w:t>
      </w:r>
      <w:r>
        <w:rPr>
          <w:rFonts w:ascii="Arial Unicode MS" w:eastAsia="Arial Unicode MS" w:hAnsi="Arial Unicode MS" w:cs="Arial Unicode MS"/>
        </w:rPr>
        <w:t>al</w:t>
      </w:r>
      <w:r>
        <w:t xml:space="preserve"> </w:t>
      </w:r>
      <w:r>
        <w:rPr>
          <w:rFonts w:ascii="Arial Unicode MS" w:eastAsia="Arial Unicode MS" w:hAnsi="Arial Unicode MS" w:cs="Arial Unicode MS"/>
        </w:rPr>
        <w:t>día,”</w:t>
      </w:r>
      <w:hyperlink r:id="rId794" w:history="1">
        <w:r>
          <w:rPr>
            <w:rStyle w:val="Hyperlink0"/>
            <w:rFonts w:ascii="Arial Unicode MS" w:eastAsia="Arial Unicode MS" w:hAnsi="Arial Unicode MS" w:cs="Arial Unicode MS"/>
          </w:rPr>
          <w:t>Se</w:t>
        </w:r>
        <w:r>
          <w:rPr>
            <w:rStyle w:val="Hyperlink0"/>
          </w:rPr>
          <w:t xml:space="preserve"> </w:t>
        </w:r>
        <w:r>
          <w:rPr>
            <w:rStyle w:val="Hyperlink0"/>
            <w:rFonts w:ascii="Arial Unicode MS" w:eastAsia="Arial Unicode MS" w:hAnsi="Arial Unicode MS" w:cs="Arial Unicode MS"/>
          </w:rPr>
          <w:t>dispone</w:t>
        </w:r>
        <w:r>
          <w:rPr>
            <w:rStyle w:val="Hyperlink0"/>
          </w:rPr>
          <w:t xml:space="preserve"> </w:t>
        </w:r>
        <w:r>
          <w:rPr>
            <w:rStyle w:val="Hyperlink0"/>
            <w:rFonts w:ascii="Arial Unicode MS" w:eastAsia="Arial Unicode MS" w:hAnsi="Arial Unicode MS" w:cs="Arial Unicode MS"/>
          </w:rPr>
          <w:t>el</w:t>
        </w:r>
        <w:r>
          <w:rPr>
            <w:rStyle w:val="Hyperlink0"/>
          </w:rPr>
          <w:t xml:space="preserve"> </w:t>
        </w:r>
        <w:r>
          <w:rPr>
            <w:rStyle w:val="Hyperlink0"/>
            <w:rFonts w:ascii="Arial Unicode MS" w:eastAsia="Arial Unicode MS" w:hAnsi="Arial Unicode MS" w:cs="Arial Unicode MS"/>
          </w:rPr>
          <w:t>cese</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restricción</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la</w:t>
        </w:r>
        <w:r>
          <w:rPr>
            <w:rStyle w:val="Hyperlink0"/>
          </w:rPr>
          <w:t xml:space="preserve"> </w:t>
        </w:r>
        <w:r>
          <w:rPr>
            <w:rStyle w:val="Hyperlink0"/>
            <w:rFonts w:ascii="Arial Unicode MS" w:eastAsia="Arial Unicode MS" w:hAnsi="Arial Unicode MS" w:cs="Arial Unicode MS"/>
          </w:rPr>
          <w:t>capacidad</w:t>
        </w:r>
        <w:r>
          <w:rPr>
            <w:rStyle w:val="Hyperlink0"/>
          </w:rPr>
          <w:t xml:space="preserve"> </w:t>
        </w:r>
        <w:r>
          <w:rPr>
            <w:rStyle w:val="Hyperlink0"/>
            <w:rFonts w:ascii="Arial Unicode MS" w:eastAsia="Arial Unicode MS" w:hAnsi="Arial Unicode MS" w:cs="Arial Unicode MS"/>
          </w:rPr>
          <w:t>jurídica</w:t>
        </w:r>
        <w:r>
          <w:rPr>
            <w:rStyle w:val="Hyperlink0"/>
          </w:rPr>
          <w:t xml:space="preserve"> </w:t>
        </w:r>
        <w:r>
          <w:rPr>
            <w:rStyle w:val="Hyperlink0"/>
            <w:rFonts w:ascii="Arial Unicode MS" w:eastAsia="Arial Unicode MS" w:hAnsi="Arial Unicode MS" w:cs="Arial Unicode MS"/>
          </w:rPr>
          <w:t>de</w:t>
        </w:r>
        <w:r>
          <w:rPr>
            <w:rStyle w:val="Hyperlink0"/>
          </w:rPr>
          <w:t xml:space="preserve"> </w:t>
        </w:r>
        <w:r>
          <w:rPr>
            <w:rStyle w:val="Hyperlink0"/>
            <w:rFonts w:ascii="Arial Unicode MS" w:eastAsia="Arial Unicode MS" w:hAnsi="Arial Unicode MS" w:cs="Arial Unicode MS"/>
          </w:rPr>
          <w:t>una</w:t>
        </w:r>
        <w:r>
          <w:rPr>
            <w:rStyle w:val="Hyperlink0"/>
          </w:rPr>
          <w:t xml:space="preserve"> </w:t>
        </w:r>
        <w:r>
          <w:rPr>
            <w:rStyle w:val="Hyperlink0"/>
            <w:rFonts w:ascii="Arial Unicode MS" w:eastAsia="Arial Unicode MS" w:hAnsi="Arial Unicode MS" w:cs="Arial Unicode MS"/>
          </w:rPr>
          <w:t>persona</w:t>
        </w:r>
        <w:r>
          <w:rPr>
            <w:rStyle w:val="Hyperlink0"/>
          </w:rPr>
          <w:t xml:space="preserve"> </w:t>
        </w:r>
        <w:r>
          <w:rPr>
            <w:rStyle w:val="Hyperlink0"/>
            <w:rFonts w:ascii="Arial Unicode MS" w:eastAsia="Arial Unicode MS" w:hAnsi="Arial Unicode MS" w:cs="Arial Unicode MS"/>
          </w:rPr>
          <w:t>que</w:t>
        </w:r>
        <w:r>
          <w:rPr>
            <w:rStyle w:val="Hyperlink0"/>
          </w:rPr>
          <w:t xml:space="preserve"> </w:t>
        </w:r>
        <w:r>
          <w:rPr>
            <w:rStyle w:val="Hyperlink0"/>
            <w:rFonts w:ascii="Arial Unicode MS" w:eastAsia="Arial Unicode MS" w:hAnsi="Arial Unicode MS" w:cs="Arial Unicode MS"/>
          </w:rPr>
          <w:t>padece</w:t>
        </w:r>
        <w:r>
          <w:rPr>
            <w:rStyle w:val="Hyperlink0"/>
          </w:rPr>
          <w:t xml:space="preserve"> </w:t>
        </w:r>
        <w:r>
          <w:rPr>
            <w:rStyle w:val="Hyperlink0"/>
            <w:rFonts w:ascii="Arial Unicode MS" w:eastAsia="Arial Unicode MS" w:hAnsi="Arial Unicode MS" w:cs="Arial Unicode MS"/>
          </w:rPr>
          <w:t>esquizofrenia</w:t>
        </w:r>
      </w:hyperlink>
      <w:r>
        <w:rPr>
          <w:rFonts w:ascii="Arial Unicode MS" w:eastAsia="Arial Unicode MS" w:hAnsi="Arial Unicode MS" w:cs="Arial Unicode MS"/>
        </w:rPr>
        <w:t>”,</w:t>
      </w:r>
      <w:r>
        <w:t xml:space="preserve"> 1 </w:t>
      </w:r>
      <w:r>
        <w:rPr>
          <w:rFonts w:ascii="Arial Unicode MS" w:eastAsia="Arial Unicode MS" w:hAnsi="Arial Unicode MS" w:cs="Arial Unicode MS"/>
        </w:rPr>
        <w:t>de</w:t>
      </w:r>
      <w:r>
        <w:t xml:space="preserve"> </w:t>
      </w:r>
      <w:r>
        <w:rPr>
          <w:rFonts w:ascii="Arial Unicode MS" w:eastAsia="Arial Unicode MS" w:hAnsi="Arial Unicode MS" w:cs="Arial Unicode MS"/>
        </w:rPr>
        <w:t>junio</w:t>
      </w:r>
      <w:r>
        <w:t xml:space="preserve"> </w:t>
      </w:r>
      <w:r>
        <w:rPr>
          <w:rFonts w:ascii="Arial Unicode MS" w:eastAsia="Arial Unicode MS" w:hAnsi="Arial Unicode MS" w:cs="Arial Unicode MS"/>
        </w:rPr>
        <w:t>de</w:t>
      </w:r>
      <w:r>
        <w:t xml:space="preserve"> 2023</w:t>
      </w:r>
      <w:r>
        <w:rPr>
          <w:rFonts w:ascii="Arial Unicode MS" w:eastAsia="Arial Unicode MS" w:hAnsi="Arial Unicode MS" w:cs="Arial Unicode MS"/>
        </w:rPr>
        <w:t>.</w:t>
      </w:r>
    </w:p>
  </w:footnote>
  <w:footnote w:id="495">
    <w:p w14:paraId="190841D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6</w:t>
      </w:r>
      <w:r>
        <w:rPr>
          <w:rFonts w:ascii="Arial Unicode MS" w:eastAsia="Arial Unicode MS" w:hAnsi="Arial Unicode MS" w:cs="Arial Unicode MS"/>
          <w:color w:val="2B477B"/>
        </w:rPr>
        <w:t>.</w:t>
      </w:r>
      <w:r>
        <w:rPr>
          <w:color w:val="2B477B"/>
        </w:rPr>
        <w:t xml:space="preserve"> </w:t>
      </w:r>
    </w:p>
  </w:footnote>
  <w:footnote w:id="496">
    <w:p w14:paraId="6CD2083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el</w:t>
      </w:r>
      <w:r>
        <w:rPr>
          <w:color w:val="2B477B"/>
        </w:rPr>
        <w:t xml:space="preserve"> </w:t>
      </w:r>
      <w:hyperlink r:id="rId795" w:history="1">
        <w:r>
          <w:rPr>
            <w:rFonts w:ascii="Arial Unicode MS" w:eastAsia="Arial Unicode MS" w:hAnsi="Arial Unicode MS" w:cs="Arial Unicode MS"/>
            <w:color w:val="2B477B"/>
          </w:rPr>
          <w:t>Boletín</w:t>
        </w:r>
        <w:r>
          <w:rPr>
            <w:color w:val="2B477B"/>
          </w:rPr>
          <w:t xml:space="preserve"> 12441</w:t>
        </w:r>
        <w:r>
          <w:rPr>
            <w:rFonts w:ascii="Arial Unicode MS" w:eastAsia="Arial Unicode MS" w:hAnsi="Arial Unicode MS" w:cs="Arial Unicode MS"/>
            <w:color w:val="2B477B"/>
          </w:rPr>
          <w:t>-</w:t>
        </w:r>
        <w:r>
          <w:rPr>
            <w:color w:val="2B477B"/>
          </w:rPr>
          <w:t>17</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presentado</w:t>
      </w:r>
      <w:r>
        <w:rPr>
          <w:color w:val="2B477B"/>
        </w:rPr>
        <w:t xml:space="preserve"> </w:t>
      </w:r>
      <w:r>
        <w:rPr>
          <w:rFonts w:ascii="Arial Unicode MS" w:eastAsia="Arial Unicode MS" w:hAnsi="Arial Unicode MS" w:cs="Arial Unicode MS"/>
          <w:color w:val="2B477B"/>
        </w:rPr>
        <w:t>el</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 </w:t>
      </w:r>
    </w:p>
  </w:footnote>
  <w:footnote w:id="497">
    <w:p w14:paraId="50928B5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26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Consejo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Discapacidades,</w:t>
      </w:r>
      <w:r>
        <w:rPr>
          <w:color w:val="2B477B"/>
        </w:rPr>
        <w:t xml:space="preserve"> </w:t>
      </w:r>
      <w:hyperlink r:id="rId796" w:history="1">
        <w:r>
          <w:rPr>
            <w:rFonts w:ascii="Arial Unicode MS" w:eastAsia="Arial Unicode MS" w:hAnsi="Arial Unicode MS" w:cs="Arial Unicode MS"/>
            <w:color w:val="2B477B"/>
          </w:rPr>
          <w:t>Resolución</w:t>
        </w:r>
        <w:r>
          <w:rPr>
            <w:color w:val="2B477B"/>
          </w:rPr>
          <w:t xml:space="preserve"> 011</w:t>
        </w:r>
        <w:r>
          <w:rPr>
            <w:rFonts w:ascii="Arial Unicode MS" w:eastAsia="Arial Unicode MS" w:hAnsi="Arial Unicode MS" w:cs="Arial Unicode MS"/>
            <w:color w:val="2B477B"/>
          </w:rPr>
          <w:t>-CONADIS-</w:t>
        </w:r>
        <w:r>
          <w:rPr>
            <w:color w:val="2B477B"/>
          </w:rPr>
          <w:t>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Quito,</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publicada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Registro</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No.</w:t>
      </w:r>
      <w:r>
        <w:rPr>
          <w:color w:val="2B477B"/>
        </w:rPr>
        <w:t xml:space="preserve"> 435 </w:t>
      </w:r>
      <w:r>
        <w:rPr>
          <w:rFonts w:ascii="Arial Unicode MS" w:eastAsia="Arial Unicode MS" w:hAnsi="Arial Unicode MS" w:cs="Arial Unicode MS"/>
          <w:color w:val="2B477B"/>
        </w:rPr>
        <w:t>del</w:t>
      </w:r>
      <w:r>
        <w:rPr>
          <w:color w:val="2B477B"/>
        </w:rPr>
        <w:t xml:space="preserve"> 25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del</w:t>
      </w:r>
      <w:r>
        <w:rPr>
          <w:color w:val="2B477B"/>
        </w:rPr>
        <w:t xml:space="preserve"> 2019</w:t>
      </w:r>
      <w:r>
        <w:rPr>
          <w:rFonts w:ascii="Arial Unicode MS" w:eastAsia="Arial Unicode MS" w:hAnsi="Arial Unicode MS" w:cs="Arial Unicode MS"/>
          <w:color w:val="2B477B"/>
        </w:rPr>
        <w:t>.</w:t>
      </w:r>
      <w:r>
        <w:rPr>
          <w:color w:val="2B477B"/>
        </w:rPr>
        <w:t xml:space="preserve"> </w:t>
      </w:r>
    </w:p>
  </w:footnote>
  <w:footnote w:id="498">
    <w:p w14:paraId="20F83C3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22</w:t>
      </w:r>
      <w:r>
        <w:rPr>
          <w:rFonts w:ascii="Arial Unicode MS" w:eastAsia="Arial Unicode MS" w:hAnsi="Arial Unicode MS" w:cs="Arial Unicode MS"/>
          <w:color w:val="2B477B"/>
        </w:rPr>
        <w:t>-</w:t>
      </w:r>
      <w:r>
        <w:rPr>
          <w:color w:val="2B477B"/>
        </w:rPr>
        <w:t>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la</w:t>
      </w:r>
      <w:r>
        <w:rPr>
          <w:color w:val="2B477B"/>
        </w:rPr>
        <w:t xml:space="preserve"> </w:t>
      </w:r>
      <w:hyperlink r:id="rId797" w:history="1">
        <w:r>
          <w:rPr>
            <w:rFonts w:ascii="Arial Unicode MS" w:eastAsia="Arial Unicode MS" w:hAnsi="Arial Unicode MS" w:cs="Arial Unicode MS"/>
            <w:color w:val="2B477B"/>
          </w:rPr>
          <w:t>Iniciativa</w:t>
        </w:r>
        <w:r>
          <w:rPr>
            <w:color w:val="2B477B"/>
          </w:rPr>
          <w:t xml:space="preserve"> </w:t>
        </w:r>
      </w:hyperlink>
      <w:hyperlink r:id="rId798" w:history="1">
        <w:r>
          <w:rPr>
            <w:color w:val="2B477B"/>
          </w:rPr>
          <w:t>5125</w:t>
        </w:r>
      </w:hyperlink>
      <w:r>
        <w:rPr>
          <w:color w:val="2B477B"/>
        </w:rPr>
        <w:t xml:space="preserve"> </w:t>
      </w:r>
      <w:r>
        <w:rPr>
          <w:rFonts w:ascii="Arial Unicode MS" w:eastAsia="Arial Unicode MS" w:hAnsi="Arial Unicode MS" w:cs="Arial Unicode MS"/>
          <w:color w:val="2B477B"/>
        </w:rPr>
        <w:t>presentada</w:t>
      </w:r>
      <w:r>
        <w:rPr>
          <w:color w:val="2B477B"/>
        </w:rPr>
        <w:t xml:space="preserve"> </w:t>
      </w:r>
      <w:r>
        <w:rPr>
          <w:rFonts w:ascii="Arial Unicode MS" w:eastAsia="Arial Unicode MS" w:hAnsi="Arial Unicode MS" w:cs="Arial Unicode MS"/>
          <w:color w:val="2B477B"/>
        </w:rPr>
        <w:t>el</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p>
  </w:footnote>
  <w:footnote w:id="499">
    <w:p w14:paraId="6E2B830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Señalado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Seminario</w:t>
      </w:r>
      <w:r>
        <w:rPr>
          <w:color w:val="2B477B"/>
        </w:rPr>
        <w:t xml:space="preserve"> </w:t>
      </w:r>
      <w:r>
        <w:rPr>
          <w:rFonts w:ascii="Arial Unicode MS" w:eastAsia="Arial Unicode MS" w:hAnsi="Arial Unicode MS" w:cs="Arial Unicode MS"/>
          <w:color w:val="2B477B"/>
        </w:rPr>
        <w:t>Permanente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Programa</w:t>
      </w:r>
      <w:r>
        <w:rPr>
          <w:color w:val="2B477B"/>
        </w:rPr>
        <w:t xml:space="preserve"> </w:t>
      </w:r>
      <w:r>
        <w:rPr>
          <w:rFonts w:ascii="Arial Unicode MS" w:eastAsia="Arial Unicode MS" w:hAnsi="Arial Unicode MS" w:cs="Arial Unicode MS"/>
          <w:color w:val="2B477B"/>
        </w:rPr>
        <w:t>Universitario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Autónoma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la</w:t>
      </w:r>
      <w:r>
        <w:rPr>
          <w:color w:val="2B477B"/>
        </w:rPr>
        <w:t xml:space="preserve"> </w:t>
      </w:r>
      <w:hyperlink r:id="rId799" w:history="1">
        <w:r>
          <w:rPr>
            <w:rFonts w:ascii="Arial Unicode MS" w:eastAsia="Arial Unicode MS" w:hAnsi="Arial Unicode MS" w:cs="Arial Unicode MS"/>
            <w:color w:val="2B477B"/>
          </w:rPr>
          <w:t>Iniciativa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reforma</w:t>
        </w:r>
        <w:r>
          <w:rPr>
            <w:color w:val="2B477B"/>
          </w:rPr>
          <w:t xml:space="preserve"> </w:t>
        </w:r>
      </w:hyperlink>
      <w:hyperlink r:id="rId800" w:history="1">
        <w:r>
          <w:rPr>
            <w:rFonts w:ascii="Arial Unicode MS" w:eastAsia="Arial Unicode MS" w:hAnsi="Arial Unicode MS" w:cs="Arial Unicode MS"/>
            <w:color w:val="2B477B"/>
          </w:rPr>
          <w:t>a</w:t>
        </w:r>
      </w:hyperlink>
      <w:hyperlink r:id="rId801" w:history="1">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artículo</w:t>
        </w:r>
        <w:r>
          <w:rPr>
            <w:color w:val="2B477B"/>
          </w:rPr>
          <w:t xml:space="preserve"> 23 </w:t>
        </w:r>
        <w:r>
          <w:rPr>
            <w:rFonts w:ascii="Arial Unicode MS" w:eastAsia="Arial Unicode MS" w:hAnsi="Arial Unicode MS" w:cs="Arial Unicode MS"/>
            <w:color w:val="2B477B"/>
          </w:rPr>
          <w:t>del</w:t>
        </w:r>
        <w:r>
          <w:rPr>
            <w:color w:val="2B477B"/>
          </w:rPr>
          <w:t xml:space="preserve"> </w:t>
        </w:r>
      </w:hyperlink>
      <w:hyperlink r:id="rId802"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Federal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presentada</w:t>
      </w:r>
      <w:r>
        <w:rPr>
          <w:color w:val="2B477B"/>
        </w:rPr>
        <w:t xml:space="preserve"> </w:t>
      </w:r>
      <w:r>
        <w:rPr>
          <w:rFonts w:ascii="Arial Unicode MS" w:eastAsia="Arial Unicode MS" w:hAnsi="Arial Unicode MS" w:cs="Arial Unicode MS"/>
          <w:color w:val="2B477B"/>
        </w:rPr>
        <w:t>el</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p>
  </w:footnote>
  <w:footnote w:id="500">
    <w:p w14:paraId="164F0E2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32</w:t>
      </w:r>
      <w:r>
        <w:rPr>
          <w:rFonts w:ascii="Arial Unicode MS" w:eastAsia="Arial Unicode MS" w:hAnsi="Arial Unicode MS" w:cs="Arial Unicode MS"/>
          <w:color w:val="2B477B"/>
        </w:rPr>
        <w:t>-</w:t>
      </w:r>
      <w:r>
        <w:rPr>
          <w:color w:val="2B477B"/>
        </w:rPr>
        <w:t>36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aprobación</w:t>
      </w:r>
      <w:r>
        <w:rPr>
          <w:color w:val="2B477B"/>
        </w:rPr>
        <w:t xml:space="preserve"> </w:t>
      </w:r>
      <w:r>
        <w:rPr>
          <w:rFonts w:ascii="Arial Unicode MS" w:eastAsia="Arial Unicode MS" w:hAnsi="Arial Unicode MS" w:cs="Arial Unicode MS"/>
          <w:color w:val="2B477B"/>
        </w:rPr>
        <w:t>reciente</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Procedimientos</w:t>
      </w:r>
      <w:r>
        <w:rPr>
          <w:color w:val="2B477B"/>
        </w:rPr>
        <w:t xml:space="preserve"> </w:t>
      </w:r>
      <w:r>
        <w:rPr>
          <w:rFonts w:ascii="Arial Unicode MS" w:eastAsia="Arial Unicode MS" w:hAnsi="Arial Unicode MS" w:cs="Arial Unicode MS"/>
          <w:color w:val="2B477B"/>
        </w:rPr>
        <w:t>Civiles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documentada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Red</w:t>
      </w:r>
      <w:r>
        <w:rPr>
          <w:color w:val="2B477B"/>
        </w:rPr>
        <w:t xml:space="preserve"> </w:t>
      </w:r>
      <w:r>
        <w:rPr>
          <w:rFonts w:ascii="Arial Unicode MS" w:eastAsia="Arial Unicode MS" w:hAnsi="Arial Unicode MS" w:cs="Arial Unicode MS"/>
          <w:color w:val="2B477B"/>
        </w:rPr>
        <w:t>Regional</w:t>
      </w:r>
      <w:r>
        <w:rPr>
          <w:color w:val="2B477B"/>
        </w:rPr>
        <w:t xml:space="preserve"> </w:t>
      </w:r>
      <w:r>
        <w:rPr>
          <w:rFonts w:ascii="Arial Unicode MS" w:eastAsia="Arial Unicode MS" w:hAnsi="Arial Unicode MS" w:cs="Arial Unicode MS"/>
          <w:color w:val="2B477B"/>
        </w:rPr>
        <w:t>“Artículo</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integrantes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Mesa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Trabajo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negoció</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colectivo</w:t>
      </w:r>
      <w:r>
        <w:rPr>
          <w:color w:val="2B477B"/>
        </w:rPr>
        <w:t xml:space="preserve"> </w:t>
      </w:r>
      <w:r>
        <w:rPr>
          <w:rFonts w:ascii="Arial Unicode MS" w:eastAsia="Arial Unicode MS" w:hAnsi="Arial Unicode MS" w:cs="Arial Unicode MS"/>
          <w:color w:val="2B477B"/>
        </w:rPr>
        <w:t>“Decidir</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Mi</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texto</w:t>
      </w:r>
      <w:r>
        <w:rPr>
          <w:color w:val="2B477B"/>
        </w:rPr>
        <w:t xml:space="preserve"> </w:t>
      </w:r>
      <w:r>
        <w:rPr>
          <w:rFonts w:ascii="Arial Unicode MS" w:eastAsia="Arial Unicode MS" w:hAnsi="Arial Unicode MS" w:cs="Arial Unicode MS"/>
          <w:color w:val="2B477B"/>
        </w:rPr>
        <w:t>del</w:t>
      </w:r>
      <w:r>
        <w:rPr>
          <w:color w:val="2B477B"/>
        </w:rPr>
        <w:t xml:space="preserve"> </w:t>
      </w:r>
      <w:hyperlink r:id="rId803" w:history="1">
        <w:r>
          <w:rPr>
            <w:rFonts w:ascii="Arial Unicode MS" w:eastAsia="Arial Unicode MS" w:hAnsi="Arial Unicode MS" w:cs="Arial Unicode MS"/>
            <w:color w:val="2B477B"/>
          </w:rPr>
          <w:t>Nuevo</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Procedimientos</w:t>
        </w:r>
        <w:r>
          <w:rPr>
            <w:color w:val="2B477B"/>
          </w:rPr>
          <w:t xml:space="preserve"> </w:t>
        </w:r>
        <w:r>
          <w:rPr>
            <w:rFonts w:ascii="Arial Unicode MS" w:eastAsia="Arial Unicode MS" w:hAnsi="Arial Unicode MS" w:cs="Arial Unicode MS"/>
            <w:color w:val="2B477B"/>
          </w:rPr>
          <w:t>Civiles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aprobado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junio</w:t>
      </w:r>
      <w:r>
        <w:rPr>
          <w:color w:val="2B477B"/>
        </w:rPr>
        <w:t xml:space="preserve"> 2023</w:t>
      </w:r>
      <w:r>
        <w:rPr>
          <w:rFonts w:ascii="Arial Unicode MS" w:eastAsia="Arial Unicode MS" w:hAnsi="Arial Unicode MS" w:cs="Arial Unicode MS"/>
          <w:color w:val="2B477B"/>
        </w:rPr>
        <w:t>.</w:t>
      </w:r>
      <w:r>
        <w:rPr>
          <w:color w:val="2B477B"/>
        </w:rPr>
        <w:t xml:space="preserve"> </w:t>
      </w:r>
    </w:p>
  </w:footnote>
  <w:footnote w:id="501">
    <w:p w14:paraId="71DE707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la</w:t>
      </w:r>
      <w:r>
        <w:rPr>
          <w:color w:val="2B477B"/>
        </w:rPr>
        <w:t xml:space="preserve"> </w:t>
      </w:r>
      <w:hyperlink r:id="rId804" w:history="1">
        <w:r>
          <w:rPr>
            <w:rFonts w:ascii="Arial Unicode MS" w:eastAsia="Arial Unicode MS" w:hAnsi="Arial Unicode MS" w:cs="Arial Unicode MS"/>
            <w:color w:val="2B477B"/>
          </w:rPr>
          <w:t>Propuesta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dictamen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colectivo</w:t>
        </w:r>
        <w:r>
          <w:rPr>
            <w:color w:val="2B477B"/>
          </w:rPr>
          <w:t xml:space="preserve"> </w:t>
        </w:r>
        <w:r>
          <w:rPr>
            <w:rFonts w:ascii="Arial Unicode MS" w:eastAsia="Arial Unicode MS" w:hAnsi="Arial Unicode MS" w:cs="Arial Unicode MS"/>
            <w:color w:val="2B477B"/>
          </w:rPr>
          <w:t>“Decidir</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mi</w:t>
        </w:r>
        <w:r>
          <w:rPr>
            <w:color w:val="2B477B"/>
          </w:rPr>
          <w:t xml:space="preserve"> </w:t>
        </w:r>
        <w:r>
          <w:rPr>
            <w:rFonts w:ascii="Arial Unicode MS" w:eastAsia="Arial Unicode MS" w:hAnsi="Arial Unicode MS" w:cs="Arial Unicode MS"/>
            <w:color w:val="2B477B"/>
          </w:rPr>
          <w:t>derecho”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conformado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expertas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experiencia,</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activistas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academia,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sido</w:t>
      </w:r>
      <w:r>
        <w:rPr>
          <w:color w:val="2B477B"/>
        </w:rPr>
        <w:t xml:space="preserve"> </w:t>
      </w:r>
      <w:r>
        <w:rPr>
          <w:rFonts w:ascii="Arial Unicode MS" w:eastAsia="Arial Unicode MS" w:hAnsi="Arial Unicode MS" w:cs="Arial Unicode MS"/>
          <w:color w:val="2B477B"/>
        </w:rPr>
        <w:t>impulsado</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interior</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Congreso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Unión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p>
  </w:footnote>
  <w:footnote w:id="502">
    <w:p w14:paraId="7D8E5D7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32</w:t>
      </w:r>
      <w:r>
        <w:rPr>
          <w:rFonts w:ascii="Arial Unicode MS" w:eastAsia="Arial Unicode MS" w:hAnsi="Arial Unicode MS" w:cs="Arial Unicode MS"/>
          <w:color w:val="2B477B"/>
        </w:rPr>
        <w:t>-</w:t>
      </w:r>
      <w:r>
        <w:rPr>
          <w:color w:val="2B477B"/>
        </w:rPr>
        <w:t>36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el</w:t>
      </w:r>
      <w:r>
        <w:rPr>
          <w:color w:val="2B477B"/>
        </w:rPr>
        <w:t xml:space="preserve"> </w:t>
      </w:r>
      <w:hyperlink r:id="rId805"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1368/2015</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806"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4/2021</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junio</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807"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356/2020</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emitido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24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808"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Directo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44/2018</w:t>
        </w:r>
      </w:hyperlink>
      <w:hyperlink r:id="rId809" w:history="1">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810"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Directo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hyperlink>
      <w:r>
        <w:rPr>
          <w:color w:val="2B477B"/>
        </w:rPr>
        <w:t xml:space="preserve"> 8389/2018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emitido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8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2019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811"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702/2018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p>
  </w:footnote>
  <w:footnote w:id="503">
    <w:p w14:paraId="59A3F04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Federal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32</w:t>
      </w:r>
      <w:r>
        <w:rPr>
          <w:rFonts w:ascii="Arial Unicode MS" w:eastAsia="Arial Unicode MS" w:hAnsi="Arial Unicode MS" w:cs="Arial Unicode MS"/>
          <w:color w:val="2B477B"/>
        </w:rPr>
        <w:t>-</w:t>
      </w:r>
      <w:r>
        <w:rPr>
          <w:color w:val="2B477B"/>
        </w:rPr>
        <w:t>36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el</w:t>
      </w:r>
      <w:r>
        <w:rPr>
          <w:color w:val="2B477B"/>
        </w:rPr>
        <w:t xml:space="preserve"> </w:t>
      </w:r>
      <w:hyperlink r:id="rId812"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Directo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44/2018</w:t>
        </w:r>
      </w:hyperlink>
      <w:hyperlink r:id="rId813" w:history="1">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el</w:t>
      </w:r>
      <w:r>
        <w:rPr>
          <w:color w:val="2B477B"/>
        </w:rPr>
        <w:t xml:space="preserve"> </w:t>
      </w:r>
      <w:hyperlink r:id="rId814"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Directo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hyperlink>
      <w:r>
        <w:rPr>
          <w:color w:val="2B477B"/>
        </w:rPr>
        <w:t xml:space="preserve"> 8389/2018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815"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702/2018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p>
  </w:footnote>
  <w:footnote w:id="504">
    <w:p w14:paraId="014686A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40</w:t>
      </w:r>
      <w:r>
        <w:rPr>
          <w:rFonts w:ascii="Arial Unicode MS" w:eastAsia="Arial Unicode MS" w:hAnsi="Arial Unicode MS" w:cs="Arial Unicode MS"/>
          <w:color w:val="2B477B"/>
        </w:rPr>
        <w:t>-</w:t>
      </w:r>
      <w:r>
        <w:rPr>
          <w:color w:val="2B477B"/>
        </w:rPr>
        <w:t>42</w:t>
      </w:r>
      <w:r>
        <w:rPr>
          <w:rFonts w:ascii="Arial Unicode MS" w:eastAsia="Arial Unicode MS" w:hAnsi="Arial Unicode MS" w:cs="Arial Unicode MS"/>
          <w:color w:val="2B477B"/>
        </w:rPr>
        <w:t>.</w:t>
      </w:r>
      <w:r>
        <w:rPr>
          <w:color w:val="2B477B"/>
        </w:rPr>
        <w:t xml:space="preserve"> </w:t>
      </w:r>
    </w:p>
  </w:footnote>
  <w:footnote w:id="505">
    <w:p w14:paraId="09A77B0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r:id="rId816" w:history="1">
        <w:r>
          <w:rPr>
            <w:rStyle w:val="Hyperlink1"/>
            <w:rFonts w:ascii="Arial Unicode MS" w:eastAsia="Arial Unicode MS" w:hAnsi="Arial Unicode MS" w:cs="Arial Unicode MS"/>
            <w:u w:val="single"/>
          </w:rPr>
          <w:t>Observación</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núm.</w:t>
        </w:r>
        <w:r>
          <w:rPr>
            <w:rStyle w:val="Hyperlink1"/>
            <w:u w:val="single"/>
          </w:rPr>
          <w:t xml:space="preserve"> 1</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art</w:t>
        </w:r>
        <w:r>
          <w:rPr>
            <w:rStyle w:val="Hyperlink1"/>
            <w:u w:val="single"/>
          </w:rPr>
          <w:t xml:space="preserve"> 12</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Igual</w:t>
        </w:r>
        <w:r>
          <w:rPr>
            <w:rStyle w:val="Hyperlink1"/>
            <w:u w:val="single"/>
          </w:rPr>
          <w:t xml:space="preserve"> </w:t>
        </w:r>
        <w:r>
          <w:rPr>
            <w:rStyle w:val="Hyperlink1"/>
            <w:rFonts w:ascii="Arial Unicode MS" w:eastAsia="Arial Unicode MS" w:hAnsi="Arial Unicode MS" w:cs="Arial Unicode MS"/>
            <w:u w:val="single"/>
          </w:rPr>
          <w:t>reconocimiento</w:t>
        </w:r>
        <w:r>
          <w:rPr>
            <w:rStyle w:val="Hyperlink1"/>
            <w:u w:val="single"/>
          </w:rPr>
          <w:t xml:space="preserve"> </w:t>
        </w:r>
        <w:r>
          <w:rPr>
            <w:rStyle w:val="Hyperlink1"/>
            <w:rFonts w:ascii="Arial Unicode MS" w:eastAsia="Arial Unicode MS" w:hAnsi="Arial Unicode MS" w:cs="Arial Unicode MS"/>
            <w:u w:val="single"/>
          </w:rPr>
          <w:t>como</w:t>
        </w:r>
        <w:r>
          <w:rPr>
            <w:rStyle w:val="Hyperlink1"/>
            <w:u w:val="single"/>
          </w:rPr>
          <w:t xml:space="preserve"> </w:t>
        </w:r>
        <w:r>
          <w:rPr>
            <w:rStyle w:val="Hyperlink1"/>
            <w:rFonts w:ascii="Arial Unicode MS" w:eastAsia="Arial Unicode MS" w:hAnsi="Arial Unicode MS" w:cs="Arial Unicode MS"/>
            <w:u w:val="single"/>
          </w:rPr>
          <w:t>persona</w:t>
        </w:r>
        <w:r>
          <w:rPr>
            <w:rStyle w:val="Hyperlink1"/>
            <w:u w:val="single"/>
          </w:rPr>
          <w:t xml:space="preserve"> </w:t>
        </w:r>
        <w:r>
          <w:rPr>
            <w:rStyle w:val="Hyperlink1"/>
            <w:rFonts w:ascii="Arial Unicode MS" w:eastAsia="Arial Unicode MS" w:hAnsi="Arial Unicode MS" w:cs="Arial Unicode MS"/>
            <w:u w:val="single"/>
          </w:rPr>
          <w:t>ante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ley</w:t>
        </w:r>
      </w:hyperlink>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38 </w:t>
      </w:r>
      <w:r>
        <w:rPr>
          <w:rFonts w:ascii="Arial Unicode MS" w:eastAsia="Arial Unicode MS" w:hAnsi="Arial Unicode MS" w:cs="Arial Unicode MS"/>
          <w:color w:val="2B477B"/>
        </w:rPr>
        <w:t>y</w:t>
      </w:r>
      <w:r>
        <w:rPr>
          <w:color w:val="2B477B"/>
        </w:rPr>
        <w:t xml:space="preserve"> 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817"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53 </w:t>
      </w:r>
      <w:r>
        <w:rPr>
          <w:rFonts w:ascii="Arial Unicode MS" w:eastAsia="Arial Unicode MS" w:hAnsi="Arial Unicode MS" w:cs="Arial Unicode MS"/>
          <w:color w:val="2B477B"/>
        </w:rPr>
        <w:t>y</w:t>
      </w:r>
      <w:r>
        <w:rPr>
          <w:color w:val="2B477B"/>
        </w:rPr>
        <w:t xml:space="preserve"> 54</w:t>
      </w:r>
      <w:r>
        <w:rPr>
          <w:rFonts w:ascii="Arial Unicode MS" w:eastAsia="Arial Unicode MS" w:hAnsi="Arial Unicode MS" w:cs="Arial Unicode MS"/>
          <w:color w:val="2B477B"/>
        </w:rPr>
        <w:t>.</w:t>
      </w:r>
      <w:r>
        <w:rPr>
          <w:color w:val="2B477B"/>
        </w:rPr>
        <w:t xml:space="preserve"> </w:t>
      </w:r>
    </w:p>
  </w:footnote>
  <w:footnote w:id="506">
    <w:p w14:paraId="79265E6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proofErr w:type="gramStart"/>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proofErr w:type="gramEnd"/>
      <w:r>
        <w:rPr>
          <w:rFonts w:ascii="Arial Unicode MS" w:eastAsia="Arial Unicode MS" w:hAnsi="Arial Unicode MS" w:cs="Arial Unicode MS"/>
          <w:color w:val="2B477B"/>
        </w:rPr>
        <w:t>,</w:t>
      </w:r>
      <w:r>
        <w:rPr>
          <w:color w:val="2B477B"/>
        </w:rPr>
        <w:t xml:space="preserve"> </w:t>
      </w:r>
      <w:r>
        <w:rPr>
          <w:rStyle w:val="Hyperlink1"/>
          <w:rFonts w:ascii="Arial Unicode MS" w:eastAsia="Arial Unicode MS" w:hAnsi="Arial Unicode MS" w:cs="Arial Unicode MS"/>
          <w:u w:val="single"/>
        </w:rPr>
        <w:t>Observación</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núm</w:t>
      </w:r>
      <w:r>
        <w:rPr>
          <w:rFonts w:ascii="Arial Unicode MS" w:eastAsia="Arial Unicode MS" w:hAnsi="Arial Unicode MS" w:cs="Arial Unicode MS"/>
          <w:color w:val="2B477B"/>
        </w:rPr>
        <w:t>.</w:t>
      </w:r>
      <w:r>
        <w:rPr>
          <w:color w:val="2B477B"/>
        </w:rPr>
        <w:t xml:space="preserve"> 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art.</w:t>
      </w:r>
      <w:r>
        <w:rPr>
          <w:color w:val="2B477B"/>
        </w:rPr>
        <w:t xml:space="preserve"> </w:t>
      </w:r>
      <w:r>
        <w:rPr>
          <w:rStyle w:val="Hyperlink1"/>
          <w:u w:val="single"/>
        </w:rPr>
        <w:t>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38 </w:t>
      </w:r>
      <w:r>
        <w:rPr>
          <w:rFonts w:ascii="Arial Unicode MS" w:eastAsia="Arial Unicode MS" w:hAnsi="Arial Unicode MS" w:cs="Arial Unicode MS"/>
          <w:color w:val="2B477B"/>
        </w:rPr>
        <w:t>y</w:t>
      </w:r>
      <w:r>
        <w:rPr>
          <w:color w:val="2B477B"/>
        </w:rPr>
        <w:t xml:space="preserve"> 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818"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53 </w:t>
      </w:r>
      <w:r>
        <w:rPr>
          <w:rFonts w:ascii="Arial Unicode MS" w:eastAsia="Arial Unicode MS" w:hAnsi="Arial Unicode MS" w:cs="Arial Unicode MS"/>
          <w:color w:val="2B477B"/>
        </w:rPr>
        <w:t>y</w:t>
      </w:r>
      <w:r>
        <w:rPr>
          <w:color w:val="2B477B"/>
        </w:rPr>
        <w:t xml:space="preserve"> 54</w:t>
      </w:r>
      <w:r>
        <w:rPr>
          <w:rFonts w:ascii="Arial Unicode MS" w:eastAsia="Arial Unicode MS" w:hAnsi="Arial Unicode MS" w:cs="Arial Unicode MS"/>
          <w:color w:val="2B477B"/>
        </w:rPr>
        <w:t>.</w:t>
      </w:r>
    </w:p>
  </w:footnote>
  <w:footnote w:id="507">
    <w:p w14:paraId="5001867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819"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Furlán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31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del</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246</w:t>
      </w:r>
      <w:r>
        <w:rPr>
          <w:rFonts w:ascii="Arial Unicode MS" w:eastAsia="Arial Unicode MS" w:hAnsi="Arial Unicode MS" w:cs="Arial Unicode MS"/>
          <w:color w:val="2B477B"/>
        </w:rPr>
        <w:t>.</w:t>
      </w:r>
    </w:p>
  </w:footnote>
  <w:footnote w:id="508">
    <w:p w14:paraId="6590D6C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820"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Furlán</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preliminares,</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31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del</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246</w:t>
      </w:r>
      <w:r>
        <w:rPr>
          <w:rFonts w:ascii="Arial Unicode MS" w:eastAsia="Arial Unicode MS" w:hAnsi="Arial Unicode MS" w:cs="Arial Unicode MS"/>
          <w:color w:val="2B477B"/>
        </w:rPr>
        <w:t>.</w:t>
      </w:r>
    </w:p>
  </w:footnote>
  <w:footnote w:id="509">
    <w:p w14:paraId="008B7B3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19</w:t>
      </w:r>
      <w:r>
        <w:rPr>
          <w:rFonts w:ascii="Arial Unicode MS" w:eastAsia="Arial Unicode MS" w:hAnsi="Arial Unicode MS" w:cs="Arial Unicode MS"/>
          <w:color w:val="2B477B"/>
        </w:rPr>
        <w:t>-</w:t>
      </w:r>
      <w:r>
        <w:rPr>
          <w:color w:val="2B477B"/>
        </w:rPr>
        <w:t>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expertas</w:t>
      </w:r>
      <w:r>
        <w:rPr>
          <w:color w:val="2B477B"/>
        </w:rPr>
        <w:t xml:space="preserve"> </w:t>
      </w:r>
      <w:r>
        <w:rPr>
          <w:rFonts w:ascii="Arial Unicode MS" w:eastAsia="Arial Unicode MS" w:hAnsi="Arial Unicode MS" w:cs="Arial Unicode MS"/>
          <w:color w:val="2B477B"/>
        </w:rPr>
        <w:t>independientes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w:t>
      </w:r>
      <w:r>
        <w:rPr>
          <w:rFonts w:ascii="Arial Unicode MS" w:eastAsia="Arial Unicode MS" w:hAnsi="Arial Unicode MS" w:cs="Arial Unicode MS"/>
          <w:color w:val="2B477B"/>
        </w:rPr>
        <w:t>,</w:t>
      </w:r>
      <w:r>
        <w:rPr>
          <w:color w:val="2B477B"/>
        </w:rPr>
        <w:t xml:space="preserve"> 7 </w:t>
      </w:r>
      <w:r>
        <w:rPr>
          <w:rFonts w:ascii="Arial Unicode MS" w:eastAsia="Arial Unicode MS" w:hAnsi="Arial Unicode MS" w:cs="Arial Unicode MS"/>
          <w:color w:val="2B477B"/>
        </w:rPr>
        <w:t>y</w:t>
      </w:r>
      <w:r>
        <w:rPr>
          <w:color w:val="2B477B"/>
        </w:rPr>
        <w:t xml:space="preserve"> 8</w:t>
      </w:r>
      <w:r>
        <w:rPr>
          <w:rFonts w:ascii="Arial Unicode MS" w:eastAsia="Arial Unicode MS" w:hAnsi="Arial Unicode MS" w:cs="Arial Unicode MS"/>
          <w:color w:val="2B477B"/>
        </w:rPr>
        <w:t>.</w:t>
      </w:r>
      <w:r>
        <w:rPr>
          <w:color w:val="2B477B"/>
        </w:rPr>
        <w:t xml:space="preserve"> </w:t>
      </w:r>
    </w:p>
  </w:footnote>
  <w:footnote w:id="510">
    <w:p w14:paraId="0201A87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19</w:t>
      </w:r>
      <w:r>
        <w:rPr>
          <w:rFonts w:ascii="Arial Unicode MS" w:eastAsia="Arial Unicode MS" w:hAnsi="Arial Unicode MS" w:cs="Arial Unicode MS"/>
          <w:color w:val="2B477B"/>
        </w:rPr>
        <w:t>-</w:t>
      </w:r>
      <w:r>
        <w:rPr>
          <w:color w:val="2B477B"/>
        </w:rPr>
        <w:t>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expertas</w:t>
      </w:r>
      <w:r>
        <w:rPr>
          <w:color w:val="2B477B"/>
        </w:rPr>
        <w:t xml:space="preserve"> </w:t>
      </w:r>
      <w:r>
        <w:rPr>
          <w:rFonts w:ascii="Arial Unicode MS" w:eastAsia="Arial Unicode MS" w:hAnsi="Arial Unicode MS" w:cs="Arial Unicode MS"/>
          <w:color w:val="2B477B"/>
        </w:rPr>
        <w:t>independientes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w:t>
      </w:r>
      <w:r>
        <w:rPr>
          <w:rFonts w:ascii="Arial Unicode MS" w:eastAsia="Arial Unicode MS" w:hAnsi="Arial Unicode MS" w:cs="Arial Unicode MS"/>
          <w:color w:val="2B477B"/>
        </w:rPr>
        <w:t>,</w:t>
      </w:r>
      <w:r>
        <w:rPr>
          <w:color w:val="2B477B"/>
        </w:rPr>
        <w:t xml:space="preserve"> 7 </w:t>
      </w:r>
      <w:r>
        <w:rPr>
          <w:rFonts w:ascii="Arial Unicode MS" w:eastAsia="Arial Unicode MS" w:hAnsi="Arial Unicode MS" w:cs="Arial Unicode MS"/>
          <w:color w:val="2B477B"/>
        </w:rPr>
        <w:t>y</w:t>
      </w:r>
      <w:r>
        <w:rPr>
          <w:color w:val="2B477B"/>
        </w:rPr>
        <w:t xml:space="preserve"> 8</w:t>
      </w:r>
      <w:r>
        <w:rPr>
          <w:rFonts w:ascii="Arial Unicode MS" w:eastAsia="Arial Unicode MS" w:hAnsi="Arial Unicode MS" w:cs="Arial Unicode MS"/>
          <w:color w:val="2B477B"/>
        </w:rPr>
        <w:t>.</w:t>
      </w:r>
      <w:r>
        <w:rPr>
          <w:color w:val="2B477B"/>
        </w:rPr>
        <w:t xml:space="preserve"> </w:t>
      </w:r>
    </w:p>
  </w:footnote>
  <w:footnote w:id="511">
    <w:p w14:paraId="14A7E64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19</w:t>
      </w:r>
      <w:r>
        <w:rPr>
          <w:rFonts w:ascii="Arial Unicode MS" w:eastAsia="Arial Unicode MS" w:hAnsi="Arial Unicode MS" w:cs="Arial Unicode MS"/>
          <w:color w:val="2B477B"/>
        </w:rPr>
        <w:t>-</w:t>
      </w:r>
      <w:r>
        <w:rPr>
          <w:color w:val="2B477B"/>
        </w:rPr>
        <w:t>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expertas</w:t>
      </w:r>
      <w:r>
        <w:rPr>
          <w:color w:val="2B477B"/>
        </w:rPr>
        <w:t xml:space="preserve"> </w:t>
      </w:r>
      <w:r>
        <w:rPr>
          <w:rFonts w:ascii="Arial Unicode MS" w:eastAsia="Arial Unicode MS" w:hAnsi="Arial Unicode MS" w:cs="Arial Unicode MS"/>
          <w:color w:val="2B477B"/>
        </w:rPr>
        <w:t>independientes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6</w:t>
      </w:r>
      <w:r>
        <w:rPr>
          <w:rFonts w:ascii="Arial Unicode MS" w:eastAsia="Arial Unicode MS" w:hAnsi="Arial Unicode MS" w:cs="Arial Unicode MS"/>
          <w:color w:val="2B477B"/>
        </w:rPr>
        <w:t>,</w:t>
      </w:r>
      <w:r>
        <w:rPr>
          <w:color w:val="2B477B"/>
        </w:rPr>
        <w:t xml:space="preserve"> 7 </w:t>
      </w:r>
      <w:r>
        <w:rPr>
          <w:rFonts w:ascii="Arial Unicode MS" w:eastAsia="Arial Unicode MS" w:hAnsi="Arial Unicode MS" w:cs="Arial Unicode MS"/>
          <w:color w:val="2B477B"/>
        </w:rPr>
        <w:t>y</w:t>
      </w:r>
      <w:r>
        <w:rPr>
          <w:color w:val="2B477B"/>
        </w:rPr>
        <w:t xml:space="preserve"> 8</w:t>
      </w:r>
      <w:r>
        <w:rPr>
          <w:rFonts w:ascii="Arial Unicode MS" w:eastAsia="Arial Unicode MS" w:hAnsi="Arial Unicode MS" w:cs="Arial Unicode MS"/>
          <w:color w:val="2B477B"/>
        </w:rPr>
        <w:t>.</w:t>
      </w:r>
      <w:r>
        <w:rPr>
          <w:color w:val="2B477B"/>
        </w:rPr>
        <w:t xml:space="preserve"> </w:t>
      </w:r>
    </w:p>
  </w:footnote>
  <w:footnote w:id="512">
    <w:p w14:paraId="0838D32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expertas</w:t>
      </w:r>
      <w:r>
        <w:rPr>
          <w:color w:val="2B477B"/>
        </w:rPr>
        <w:t xml:space="preserve"> </w:t>
      </w:r>
      <w:r>
        <w:rPr>
          <w:rFonts w:ascii="Arial Unicode MS" w:eastAsia="Arial Unicode MS" w:hAnsi="Arial Unicode MS" w:cs="Arial Unicode MS"/>
          <w:color w:val="2B477B"/>
        </w:rPr>
        <w:t>independientes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37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Begraglio</w:t>
      </w:r>
      <w:r>
        <w:rPr>
          <w:color w:val="2B477B"/>
        </w:rPr>
        <w:t xml:space="preserve"> </w:t>
      </w:r>
      <w:r>
        <w:rPr>
          <w:rFonts w:ascii="Arial Unicode MS" w:eastAsia="Arial Unicode MS" w:hAnsi="Arial Unicode MS" w:cs="Arial Unicode MS"/>
          <w:color w:val="2B477B"/>
        </w:rPr>
        <w:t>Lazarte,</w:t>
      </w:r>
      <w:r>
        <w:rPr>
          <w:color w:val="2B477B"/>
        </w:rPr>
        <w:t xml:space="preserve"> </w:t>
      </w:r>
      <w:r>
        <w:rPr>
          <w:rFonts w:ascii="Arial Unicode MS" w:eastAsia="Arial Unicode MS" w:hAnsi="Arial Unicode MS" w:cs="Arial Unicode MS"/>
          <w:color w:val="2B477B"/>
        </w:rPr>
        <w:t>Renata;</w:t>
      </w:r>
      <w:r>
        <w:rPr>
          <w:color w:val="2B477B"/>
        </w:rPr>
        <w:t xml:space="preserve"> </w:t>
      </w:r>
      <w:r>
        <w:rPr>
          <w:rFonts w:ascii="Arial Unicode MS" w:eastAsia="Arial Unicode MS" w:hAnsi="Arial Unicode MS" w:cs="Arial Unicode MS"/>
          <w:color w:val="2B477B"/>
        </w:rPr>
        <w:t>Constantino</w:t>
      </w:r>
      <w:r>
        <w:rPr>
          <w:color w:val="2B477B"/>
        </w:rPr>
        <w:t xml:space="preserve"> </w:t>
      </w:r>
      <w:r>
        <w:rPr>
          <w:rFonts w:ascii="Arial Unicode MS" w:eastAsia="Arial Unicode MS" w:hAnsi="Arial Unicode MS" w:cs="Arial Unicode MS"/>
          <w:color w:val="2B477B"/>
        </w:rPr>
        <w:t>Caycho,</w:t>
      </w:r>
      <w:r>
        <w:rPr>
          <w:color w:val="2B477B"/>
        </w:rPr>
        <w:t xml:space="preserve"> </w:t>
      </w:r>
      <w:r>
        <w:rPr>
          <w:rFonts w:ascii="Arial Unicode MS" w:eastAsia="Arial Unicode MS" w:hAnsi="Arial Unicode MS" w:cs="Arial Unicode MS"/>
          <w:color w:val="2B477B"/>
        </w:rPr>
        <w:t>Renato,</w:t>
      </w:r>
      <w:r>
        <w:rPr>
          <w:color w:val="2B477B"/>
        </w:rPr>
        <w:t xml:space="preserve"> </w:t>
      </w:r>
      <w:r>
        <w:rPr>
          <w:rFonts w:ascii="Arial Unicode MS" w:eastAsia="Arial Unicode MS" w:hAnsi="Arial Unicode MS" w:cs="Arial Unicode MS"/>
          <w:color w:val="2B477B"/>
        </w:rPr>
        <w:t>“</w:t>
      </w:r>
      <w:hyperlink r:id="rId821" w:history="1">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jurisprudencia</w:t>
        </w:r>
        <w:r>
          <w:rPr>
            <w:color w:val="2B477B"/>
          </w:rPr>
          <w:t xml:space="preserve"> </w:t>
        </w:r>
        <w:r>
          <w:rPr>
            <w:rFonts w:ascii="Arial Unicode MS" w:eastAsia="Arial Unicode MS" w:hAnsi="Arial Unicode MS" w:cs="Arial Unicode MS"/>
            <w:color w:val="2B477B"/>
          </w:rPr>
          <w:t>peruana,</w:t>
        </w:r>
        <w:r>
          <w:rPr>
            <w:color w:val="2B477B"/>
          </w:rPr>
          <w:t xml:space="preserve"> </w:t>
        </w:r>
        <w:r>
          <w:rPr>
            <w:rFonts w:ascii="Arial Unicode MS" w:eastAsia="Arial Unicode MS" w:hAnsi="Arial Unicode MS" w:cs="Arial Unicode MS"/>
            <w:color w:val="2B477B"/>
          </w:rPr>
          <w:t>Análisis</w:t>
        </w:r>
        <w:r>
          <w:rPr>
            <w:color w:val="2B477B"/>
          </w:rPr>
          <w:t xml:space="preserve"> </w:t>
        </w:r>
        <w:r>
          <w:rPr>
            <w:rFonts w:ascii="Arial Unicode MS" w:eastAsia="Arial Unicode MS" w:hAnsi="Arial Unicode MS" w:cs="Arial Unicode MS"/>
            <w:color w:val="2B477B"/>
          </w:rPr>
          <w:t>cualitativo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judiciales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restitución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designaciones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aplicación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Legislativo</w:t>
        </w:r>
        <w:r>
          <w:rPr>
            <w:color w:val="2B477B"/>
          </w:rPr>
          <w:t xml:space="preserve"> 1384</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Revista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Privado,</w:t>
      </w:r>
      <w:r>
        <w:rPr>
          <w:color w:val="2B477B"/>
        </w:rPr>
        <w:t xml:space="preserve"> </w:t>
      </w:r>
      <w:r>
        <w:rPr>
          <w:rFonts w:ascii="Arial Unicode MS" w:eastAsia="Arial Unicode MS" w:hAnsi="Arial Unicode MS" w:cs="Arial Unicode MS"/>
          <w:color w:val="2B477B"/>
        </w:rPr>
        <w:t>núm.</w:t>
      </w:r>
      <w:r>
        <w:rPr>
          <w:color w:val="2B477B"/>
        </w:rPr>
        <w:t xml:space="preserve"> 44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Universidad</w:t>
      </w:r>
      <w:r>
        <w:rPr>
          <w:color w:val="2B477B"/>
        </w:rPr>
        <w:t xml:space="preserve"> </w:t>
      </w:r>
      <w:r>
        <w:rPr>
          <w:rFonts w:ascii="Arial Unicode MS" w:eastAsia="Arial Unicode MS" w:hAnsi="Arial Unicode MS" w:cs="Arial Unicode MS"/>
          <w:color w:val="2B477B"/>
        </w:rPr>
        <w:t>Externado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pág.</w:t>
      </w:r>
      <w:r>
        <w:rPr>
          <w:color w:val="2B477B"/>
        </w:rPr>
        <w:t xml:space="preserve"> 15</w:t>
      </w:r>
      <w:r>
        <w:rPr>
          <w:rFonts w:ascii="Arial Unicode MS" w:eastAsia="Arial Unicode MS" w:hAnsi="Arial Unicode MS" w:cs="Arial Unicode MS"/>
          <w:color w:val="2B477B"/>
        </w:rPr>
        <w:t>-</w:t>
      </w:r>
      <w:r>
        <w:rPr>
          <w:color w:val="2B477B"/>
        </w:rPr>
        <w:t>47</w:t>
      </w:r>
      <w:r>
        <w:rPr>
          <w:rFonts w:ascii="Arial Unicode MS" w:eastAsia="Arial Unicode MS" w:hAnsi="Arial Unicode MS" w:cs="Arial Unicode MS"/>
          <w:color w:val="2B477B"/>
        </w:rPr>
        <w:t>.</w:t>
      </w:r>
    </w:p>
  </w:footnote>
  <w:footnote w:id="513">
    <w:p w14:paraId="0708EBE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Bolivia,</w:t>
      </w:r>
      <w:r>
        <w:rPr>
          <w:color w:val="2B477B"/>
        </w:rPr>
        <w:t xml:space="preserve"> </w:t>
      </w:r>
      <w:hyperlink r:id="rId822" w:history="1">
        <w:r>
          <w:rPr>
            <w:rFonts w:ascii="Arial Unicode MS" w:eastAsia="Arial Unicode MS" w:hAnsi="Arial Unicode MS" w:cs="Arial Unicode MS"/>
            <w:color w:val="2B477B"/>
          </w:rPr>
          <w:t>Ley</w:t>
        </w:r>
        <w:r>
          <w:rPr>
            <w:color w:val="2B477B"/>
          </w:rPr>
          <w:t xml:space="preserve"> 223/2012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38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Brasil,</w:t>
      </w:r>
      <w:r>
        <w:rPr>
          <w:color w:val="2B477B"/>
        </w:rPr>
        <w:t xml:space="preserve"> </w:t>
      </w:r>
      <w:hyperlink r:id="rId823" w:history="1">
        <w:r>
          <w:rPr>
            <w:rStyle w:val="Hyperlink1"/>
            <w:rFonts w:ascii="Arial Unicode MS" w:eastAsia="Arial Unicode MS" w:hAnsi="Arial Unicode MS" w:cs="Arial Unicode MS"/>
            <w:u w:val="single"/>
          </w:rPr>
          <w:t>Ley</w:t>
        </w:r>
        <w:r>
          <w:rPr>
            <w:rStyle w:val="Hyperlink1"/>
            <w:u w:val="single"/>
          </w:rPr>
          <w:t xml:space="preserve"> 13</w:t>
        </w:r>
        <w:r>
          <w:rPr>
            <w:rStyle w:val="Hyperlink1"/>
            <w:rFonts w:ascii="Arial Unicode MS" w:eastAsia="Arial Unicode MS" w:hAnsi="Arial Unicode MS" w:cs="Arial Unicode MS"/>
            <w:u w:val="single"/>
          </w:rPr>
          <w:t>.</w:t>
        </w:r>
        <w:r>
          <w:rPr>
            <w:rStyle w:val="Hyperlink1"/>
            <w:u w:val="single"/>
          </w:rPr>
          <w:t>146</w:t>
        </w:r>
        <w:r>
          <w:rPr>
            <w:rStyle w:val="Hyperlink1"/>
            <w:rFonts w:ascii="Arial Unicode MS" w:eastAsia="Arial Unicode MS" w:hAnsi="Arial Unicode MS" w:cs="Arial Unicode MS"/>
            <w:u w:val="single"/>
          </w:rPr>
          <w:t>,</w:t>
        </w:r>
        <w:r>
          <w:rPr>
            <w:rStyle w:val="Hyperlink1"/>
            <w:u w:val="single"/>
          </w:rPr>
          <w:t xml:space="preserve"> </w:t>
        </w:r>
        <w:r>
          <w:rPr>
            <w:rFonts w:ascii="Arial Unicode MS" w:eastAsia="Arial Unicode MS" w:hAnsi="Arial Unicode MS" w:cs="Arial Unicode MS"/>
            <w:color w:val="2B477B"/>
          </w:rPr>
          <w:t>arts.</w:t>
        </w:r>
        <w:r>
          <w:rPr>
            <w:color w:val="2B477B"/>
          </w:rPr>
          <w:t xml:space="preserve"> 79 </w:t>
        </w:r>
        <w:r>
          <w:rPr>
            <w:rFonts w:ascii="Arial Unicode MS" w:eastAsia="Arial Unicode MS" w:hAnsi="Arial Unicode MS" w:cs="Arial Unicode MS"/>
            <w:color w:val="2B477B"/>
          </w:rPr>
          <w:t>a</w:t>
        </w:r>
        <w:r>
          <w:rPr>
            <w:color w:val="2B477B"/>
          </w:rPr>
          <w:t xml:space="preserve"> 83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Inclusión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2015</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Chile,</w:t>
      </w:r>
      <w:r>
        <w:rPr>
          <w:color w:val="2B477B"/>
        </w:rPr>
        <w:t xml:space="preserve"> </w:t>
      </w:r>
      <w:hyperlink r:id="rId824"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 xml:space="preserve">422 </w:t>
        </w:r>
      </w:hyperlink>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57 </w:t>
      </w:r>
      <w:r>
        <w:rPr>
          <w:rFonts w:ascii="Arial Unicode MS" w:eastAsia="Arial Unicode MS" w:hAnsi="Arial Unicode MS" w:cs="Arial Unicode MS"/>
          <w:color w:val="2B477B"/>
        </w:rPr>
        <w:t>a</w:t>
      </w:r>
      <w:r>
        <w:rPr>
          <w:color w:val="2B477B"/>
        </w:rPr>
        <w:t xml:space="preserve"> 59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825" w:history="1">
        <w:r>
          <w:rPr>
            <w:rFonts w:ascii="Arial Unicode MS" w:eastAsia="Arial Unicode MS" w:hAnsi="Arial Unicode MS" w:cs="Arial Unicode MS"/>
            <w:color w:val="2B477B"/>
          </w:rPr>
          <w:t>Ley</w:t>
        </w:r>
        <w:r>
          <w:rPr>
            <w:color w:val="2B477B"/>
          </w:rPr>
          <w:t xml:space="preserve"> 1618 </w:t>
        </w:r>
        <w:r>
          <w:rPr>
            <w:rFonts w:ascii="Arial Unicode MS" w:eastAsia="Arial Unicode MS" w:hAnsi="Arial Unicode MS" w:cs="Arial Unicode MS"/>
            <w:color w:val="2B477B"/>
          </w:rPr>
          <w:t>de</w:t>
        </w:r>
        <w:r>
          <w:rPr>
            <w:color w:val="2B477B"/>
          </w:rPr>
          <w:t xml:space="preserve"> 2013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hyperlink r:id="rId826"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Decreto</w:t>
        </w:r>
        <w:r>
          <w:rPr>
            <w:color w:val="2B477B"/>
          </w:rPr>
          <w:t xml:space="preserve"> 672 </w:t>
        </w:r>
        <w:r>
          <w:rPr>
            <w:rFonts w:ascii="Arial Unicode MS" w:eastAsia="Arial Unicode MS" w:hAnsi="Arial Unicode MS" w:cs="Arial Unicode MS"/>
            <w:color w:val="2B477B"/>
          </w:rPr>
          <w:t>de</w:t>
        </w:r>
        <w:r>
          <w:rPr>
            <w:color w:val="2B477B"/>
          </w:rPr>
          <w:t xml:space="preserve"> 2020</w:t>
        </w:r>
      </w:hyperlink>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sanciona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arts.</w:t>
      </w:r>
      <w:r>
        <w:rPr>
          <w:color w:val="2B477B"/>
        </w:rPr>
        <w:t xml:space="preserve"> 33 </w:t>
      </w:r>
      <w:r>
        <w:rPr>
          <w:rFonts w:ascii="Arial Unicode MS" w:eastAsia="Arial Unicode MS" w:hAnsi="Arial Unicode MS" w:cs="Arial Unicode MS"/>
          <w:color w:val="2B477B"/>
        </w:rPr>
        <w:t>y</w:t>
      </w:r>
      <w:r>
        <w:rPr>
          <w:color w:val="2B477B"/>
        </w:rPr>
        <w:t xml:space="preserve"> 34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México,</w:t>
      </w:r>
      <w:r>
        <w:rPr>
          <w:color w:val="2B477B"/>
        </w:rPr>
        <w:t xml:space="preserve"> </w:t>
      </w:r>
      <w:hyperlink r:id="rId82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28 </w:t>
      </w:r>
      <w:r>
        <w:rPr>
          <w:rFonts w:ascii="Arial Unicode MS" w:eastAsia="Arial Unicode MS" w:hAnsi="Arial Unicode MS" w:cs="Arial Unicode MS"/>
          <w:color w:val="2B477B"/>
        </w:rPr>
        <w:t>a</w:t>
      </w:r>
      <w:r>
        <w:rPr>
          <w:color w:val="2B477B"/>
        </w:rPr>
        <w:t xml:space="preserve"> 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Nicaragua,</w:t>
      </w:r>
      <w:r>
        <w:rPr>
          <w:color w:val="2B477B"/>
        </w:rPr>
        <w:t xml:space="preserve"> </w:t>
      </w:r>
      <w:hyperlink r:id="rId828" w:history="1">
        <w:r>
          <w:rPr>
            <w:rFonts w:ascii="Arial Unicode MS" w:eastAsia="Arial Unicode MS" w:hAnsi="Arial Unicode MS" w:cs="Arial Unicode MS"/>
            <w:color w:val="2B477B"/>
          </w:rPr>
          <w:t>Ley</w:t>
        </w:r>
        <w:r>
          <w:rPr>
            <w:color w:val="2B477B"/>
          </w:rPr>
          <w:t xml:space="preserve"> 763 </w:t>
        </w:r>
        <w:r>
          <w:rPr>
            <w:rFonts w:ascii="Arial Unicode MS" w:eastAsia="Arial Unicode MS" w:hAnsi="Arial Unicode MS" w:cs="Arial Unicode MS"/>
            <w:color w:val="2B477B"/>
          </w:rPr>
          <w:t>de</w:t>
        </w:r>
        <w:r>
          <w:rPr>
            <w:color w:val="2B477B"/>
          </w:rPr>
          <w:t xml:space="preserve"> 2011</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 </w:t>
      </w:r>
      <w:r>
        <w:rPr>
          <w:rFonts w:ascii="Arial Unicode MS" w:eastAsia="Arial Unicode MS" w:hAnsi="Arial Unicode MS" w:cs="Arial Unicode MS"/>
          <w:color w:val="2B477B"/>
        </w:rPr>
        <w:t>y</w:t>
      </w:r>
      <w:r>
        <w:rPr>
          <w:color w:val="2B477B"/>
        </w:rPr>
        <w:t xml:space="preserve"> 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Panamá,</w:t>
      </w:r>
      <w:r>
        <w:rPr>
          <w:color w:val="2B477B"/>
        </w:rPr>
        <w:t xml:space="preserve"> </w:t>
      </w:r>
      <w:hyperlink r:id="rId829" w:history="1">
        <w:r>
          <w:rPr>
            <w:rFonts w:ascii="Arial Unicode MS" w:eastAsia="Arial Unicode MS" w:hAnsi="Arial Unicode MS" w:cs="Arial Unicode MS"/>
            <w:color w:val="2B477B"/>
          </w:rPr>
          <w:t>Ley</w:t>
        </w:r>
        <w:r>
          <w:rPr>
            <w:color w:val="2B477B"/>
          </w:rPr>
          <w:t xml:space="preserve"> 42 </w:t>
        </w:r>
        <w:r>
          <w:rPr>
            <w:rFonts w:ascii="Arial Unicode MS" w:eastAsia="Arial Unicode MS" w:hAnsi="Arial Unicode MS" w:cs="Arial Unicode MS"/>
            <w:color w:val="2B477B"/>
          </w:rPr>
          <w:t>de</w:t>
        </w:r>
        <w:r>
          <w:rPr>
            <w:color w:val="2B477B"/>
          </w:rPr>
          <w:t xml:space="preserve"> 1999</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48 </w:t>
      </w:r>
      <w:r>
        <w:rPr>
          <w:rFonts w:ascii="Arial Unicode MS" w:eastAsia="Arial Unicode MS" w:hAnsi="Arial Unicode MS" w:cs="Arial Unicode MS"/>
          <w:color w:val="2B477B"/>
        </w:rPr>
        <w:t>a</w:t>
      </w:r>
      <w:r>
        <w:rPr>
          <w:color w:val="2B477B"/>
        </w:rPr>
        <w:t xml:space="preserve"> 53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modifica</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Procedimiento</w:t>
      </w:r>
      <w:r>
        <w:rPr>
          <w:color w:val="2B477B"/>
        </w:rPr>
        <w:t xml:space="preserve"> </w:t>
      </w:r>
      <w:r>
        <w:rPr>
          <w:rFonts w:ascii="Arial Unicode MS" w:eastAsia="Arial Unicode MS" w:hAnsi="Arial Unicode MS" w:cs="Arial Unicode MS"/>
          <w:color w:val="2B477B"/>
        </w:rPr>
        <w:t>Penal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Judicial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fin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considerar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requeridas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p>
  </w:footnote>
  <w:footnote w:id="514">
    <w:p w14:paraId="7C4DBFC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w:t>
      </w:r>
      <w:r>
        <w:rPr>
          <w:rFonts w:ascii="Arial Unicode MS" w:eastAsia="Arial Unicode MS" w:hAnsi="Arial Unicode MS" w:cs="Arial Unicode MS"/>
          <w:color w:val="2B477B"/>
        </w:rPr>
        <w:t>-</w:t>
      </w:r>
      <w:r>
        <w:rPr>
          <w:color w:val="2B477B"/>
        </w:rPr>
        <w:t>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830" w:history="1">
        <w:r>
          <w:rPr>
            <w:rStyle w:val="Hyperlink1"/>
            <w:rFonts w:ascii="Arial Unicode MS" w:eastAsia="Arial Unicode MS" w:hAnsi="Arial Unicode MS" w:cs="Arial Unicode MS"/>
            <w:u w:val="single"/>
          </w:rPr>
          <w:t>Ley</w:t>
        </w:r>
        <w:r>
          <w:rPr>
            <w:rStyle w:val="Hyperlink1"/>
            <w:u w:val="single"/>
          </w:rPr>
          <w:t xml:space="preserve"> 223/2012</w:t>
        </w:r>
        <w:r>
          <w:rPr>
            <w:rStyle w:val="Hyperlink1"/>
            <w:rFonts w:ascii="Arial Unicode MS" w:eastAsia="Arial Unicode MS" w:hAnsi="Arial Unicode MS" w:cs="Arial Unicode MS"/>
            <w:u w:val="single"/>
          </w:rPr>
          <w:t>,</w:t>
        </w:r>
        <w:r>
          <w:rPr>
            <w:rStyle w:val="Hyperlink1"/>
            <w:u w:val="single"/>
          </w:rPr>
          <w:t xml:space="preserve"> </w:t>
        </w:r>
        <w:r>
          <w:rPr>
            <w:rFonts w:ascii="Arial Unicode MS" w:eastAsia="Arial Unicode MS" w:hAnsi="Arial Unicode MS" w:cs="Arial Unicode MS"/>
            <w:color w:val="2B477B"/>
          </w:rPr>
          <w:t>art.</w:t>
        </w:r>
        <w:r>
          <w:rPr>
            <w:color w:val="2B477B"/>
          </w:rPr>
          <w:t xml:space="preserve"> 38</w:t>
        </w:r>
        <w:r>
          <w:rPr>
            <w:rFonts w:ascii="Arial Unicode MS" w:eastAsia="Arial Unicode MS" w:hAnsi="Arial Unicode MS" w:cs="Arial Unicode MS"/>
            <w:color w:val="2B477B"/>
          </w:rPr>
          <w:t>;</w:t>
        </w:r>
        <w:r>
          <w:rPr>
            <w:color w:val="2B477B"/>
          </w:rPr>
          <w:t xml:space="preserve"> </w:t>
        </w:r>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p>
  </w:footnote>
  <w:footnote w:id="515">
    <w:p w14:paraId="4DC273B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w:t>
      </w:r>
      <w:r>
        <w:rPr>
          <w:rFonts w:ascii="Arial Unicode MS" w:eastAsia="Arial Unicode MS" w:hAnsi="Arial Unicode MS" w:cs="Arial Unicode MS"/>
          <w:color w:val="2B477B"/>
        </w:rPr>
        <w:t>-</w:t>
      </w:r>
      <w:r>
        <w:rPr>
          <w:color w:val="2B477B"/>
        </w:rPr>
        <w:t>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hyperlink r:id="rId831" w:history="1">
        <w:r>
          <w:rPr>
            <w:rStyle w:val="Hyperlink1"/>
            <w:rFonts w:ascii="Arial Unicode MS" w:eastAsia="Arial Unicode MS" w:hAnsi="Arial Unicode MS" w:cs="Arial Unicode MS"/>
            <w:u w:val="single"/>
          </w:rPr>
          <w:t>Ley</w:t>
        </w:r>
        <w:r>
          <w:rPr>
            <w:rStyle w:val="Hyperlink1"/>
            <w:u w:val="single"/>
          </w:rPr>
          <w:t xml:space="preserve"> 13</w:t>
        </w:r>
        <w:r>
          <w:rPr>
            <w:rStyle w:val="Hyperlink1"/>
            <w:rFonts w:ascii="Arial Unicode MS" w:eastAsia="Arial Unicode MS" w:hAnsi="Arial Unicode MS" w:cs="Arial Unicode MS"/>
            <w:u w:val="single"/>
          </w:rPr>
          <w:t>.</w:t>
        </w:r>
        <w:r>
          <w:rPr>
            <w:rStyle w:val="Hyperlink1"/>
            <w:u w:val="single"/>
          </w:rPr>
          <w:t>146</w:t>
        </w:r>
        <w:r>
          <w:rPr>
            <w:rStyle w:val="Hyperlink1"/>
            <w:rFonts w:ascii="Arial Unicode MS" w:eastAsia="Arial Unicode MS" w:hAnsi="Arial Unicode MS" w:cs="Arial Unicode MS"/>
            <w:u w:val="single"/>
          </w:rPr>
          <w:t>,</w:t>
        </w:r>
        <w:r>
          <w:rPr>
            <w:rFonts w:ascii="Arial Unicode MS" w:eastAsia="Arial Unicode MS" w:hAnsi="Arial Unicode MS" w:cs="Arial Unicode MS"/>
            <w:color w:val="2B477B"/>
          </w:rPr>
          <w:t>arts.</w:t>
        </w:r>
        <w:r>
          <w:rPr>
            <w:color w:val="2B477B"/>
          </w:rPr>
          <w:t xml:space="preserve"> 79 </w:t>
        </w:r>
        <w:r>
          <w:rPr>
            <w:rFonts w:ascii="Arial Unicode MS" w:eastAsia="Arial Unicode MS" w:hAnsi="Arial Unicode MS" w:cs="Arial Unicode MS"/>
            <w:color w:val="2B477B"/>
          </w:rPr>
          <w:t>a</w:t>
        </w:r>
        <w:r>
          <w:rPr>
            <w:color w:val="2B477B"/>
          </w:rPr>
          <w:t xml:space="preserve"> 83</w:t>
        </w:r>
        <w:r>
          <w:rPr>
            <w:rFonts w:ascii="Arial Unicode MS" w:eastAsia="Arial Unicode MS" w:hAnsi="Arial Unicode MS" w:cs="Arial Unicode MS"/>
            <w:color w:val="2B477B"/>
          </w:rPr>
          <w:t>;</w:t>
        </w:r>
        <w:r>
          <w:rPr>
            <w:color w:val="2B477B"/>
          </w:rPr>
          <w:t xml:space="preserve"> </w:t>
        </w:r>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Inclusión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2015</w:t>
        </w:r>
        <w:r>
          <w:rPr>
            <w:rStyle w:val="Hyperlink1"/>
            <w:rFonts w:ascii="Arial Unicode MS" w:eastAsia="Arial Unicode MS" w:hAnsi="Arial Unicode MS" w:cs="Arial Unicode MS"/>
            <w:u w:val="single"/>
          </w:rPr>
          <w:t>.</w:t>
        </w:r>
      </w:hyperlink>
      <w:r>
        <w:rPr>
          <w:color w:val="2B477B"/>
        </w:rPr>
        <w:t xml:space="preserve"> </w:t>
      </w:r>
    </w:p>
  </w:footnote>
  <w:footnote w:id="516">
    <w:p w14:paraId="37DD396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Caribeña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hyperlink r:id="rId832" w:history="1">
        <w:r>
          <w:rPr>
            <w:rStyle w:val="Hyperlink0"/>
            <w:rFonts w:ascii="Arial Unicode MS" w:eastAsia="Arial Unicode MS" w:hAnsi="Arial Unicode MS" w:cs="Arial Unicode MS"/>
          </w:rPr>
          <w:t>Disability</w:t>
        </w:r>
        <w:r>
          <w:rPr>
            <w:rStyle w:val="Hyperlink0"/>
          </w:rPr>
          <w:t xml:space="preserve"> </w:t>
        </w:r>
        <w:r>
          <w:rPr>
            <w:rStyle w:val="Hyperlink0"/>
            <w:rFonts w:ascii="Arial Unicode MS" w:eastAsia="Arial Unicode MS" w:hAnsi="Arial Unicode MS" w:cs="Arial Unicode MS"/>
          </w:rPr>
          <w:t>and</w:t>
        </w:r>
        <w:r>
          <w:rPr>
            <w:rStyle w:val="Hyperlink0"/>
          </w:rPr>
          <w:t xml:space="preserve"> </w:t>
        </w:r>
        <w:r>
          <w:rPr>
            <w:rStyle w:val="Hyperlink0"/>
            <w:rFonts w:ascii="Arial Unicode MS" w:eastAsia="Arial Unicode MS" w:hAnsi="Arial Unicode MS" w:cs="Arial Unicode MS"/>
          </w:rPr>
          <w:t>Inclusion</w:t>
        </w:r>
        <w:r>
          <w:rPr>
            <w:rStyle w:val="Hyperlink0"/>
          </w:rPr>
          <w:t xml:space="preserve"> </w:t>
        </w:r>
        <w:r>
          <w:rPr>
            <w:rStyle w:val="Hyperlink0"/>
            <w:rFonts w:ascii="Arial Unicode MS" w:eastAsia="Arial Unicode MS" w:hAnsi="Arial Unicode MS" w:cs="Arial Unicode MS"/>
          </w:rPr>
          <w:t>Awareness</w:t>
        </w:r>
        <w:r>
          <w:rPr>
            <w:rStyle w:val="Hyperlink0"/>
          </w:rPr>
          <w:t xml:space="preserve"> </w:t>
        </w:r>
        <w:r>
          <w:rPr>
            <w:rStyle w:val="Hyperlink0"/>
            <w:rFonts w:ascii="Arial Unicode MS" w:eastAsia="Arial Unicode MS" w:hAnsi="Arial Unicode MS" w:cs="Arial Unicode MS"/>
          </w:rPr>
          <w:t>Guidelines</w:t>
        </w:r>
        <w:r>
          <w:rPr>
            <w:rStyle w:val="Hyperlink0"/>
          </w:rPr>
          <w:t xml:space="preserve"> </w:t>
        </w:r>
        <w:r>
          <w:rPr>
            <w:rStyle w:val="Hyperlink0"/>
            <w:rFonts w:ascii="Arial Unicode MS" w:eastAsia="Arial Unicode MS" w:hAnsi="Arial Unicode MS" w:cs="Arial Unicode MS"/>
          </w:rPr>
          <w:t>for</w:t>
        </w:r>
        <w:r>
          <w:rPr>
            <w:rStyle w:val="Hyperlink0"/>
          </w:rPr>
          <w:t xml:space="preserve"> </w:t>
        </w:r>
        <w:r>
          <w:rPr>
            <w:rStyle w:val="Hyperlink0"/>
            <w:rFonts w:ascii="Arial Unicode MS" w:eastAsia="Arial Unicode MS" w:hAnsi="Arial Unicode MS" w:cs="Arial Unicode MS"/>
          </w:rPr>
          <w:t>Judiciaries</w:t>
        </w:r>
        <w:r>
          <w:rPr>
            <w:rStyle w:val="Hyperlink0"/>
          </w:rPr>
          <w:t xml:space="preserve"> </w:t>
        </w:r>
        <w:r>
          <w:rPr>
            <w:rStyle w:val="Hyperlink0"/>
            <w:rFonts w:ascii="Arial Unicode MS" w:eastAsia="Arial Unicode MS" w:hAnsi="Arial Unicode MS" w:cs="Arial Unicode MS"/>
          </w:rPr>
          <w:t>and</w:t>
        </w:r>
        <w:r>
          <w:rPr>
            <w:rStyle w:val="Hyperlink0"/>
          </w:rPr>
          <w:t xml:space="preserve"> </w:t>
        </w:r>
        <w:r>
          <w:rPr>
            <w:rStyle w:val="Hyperlink0"/>
            <w:rFonts w:ascii="Arial Unicode MS" w:eastAsia="Arial Unicode MS" w:hAnsi="Arial Unicode MS" w:cs="Arial Unicode MS"/>
          </w:rPr>
          <w:t>Judicial</w:t>
        </w:r>
        <w:r>
          <w:rPr>
            <w:rStyle w:val="Hyperlink0"/>
          </w:rPr>
          <w:t xml:space="preserve"> </w:t>
        </w:r>
        <w:r>
          <w:rPr>
            <w:rStyle w:val="Hyperlink0"/>
            <w:rFonts w:ascii="Arial Unicode MS" w:eastAsia="Arial Unicode MS" w:hAnsi="Arial Unicode MS" w:cs="Arial Unicode MS"/>
          </w:rPr>
          <w:t>Officers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p>
  </w:footnote>
  <w:footnote w:id="517">
    <w:p w14:paraId="3CF0C23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12</w:t>
      </w:r>
      <w:r>
        <w:rPr>
          <w:rFonts w:ascii="Arial Unicode MS" w:eastAsia="Arial Unicode MS" w:hAnsi="Arial Unicode MS" w:cs="Arial Unicode MS"/>
          <w:color w:val="2B477B"/>
        </w:rPr>
        <w:t>-</w:t>
      </w:r>
      <w:r>
        <w:rPr>
          <w:color w:val="2B477B"/>
        </w:rPr>
        <w:t>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Biblioteca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Congreso</w:t>
      </w:r>
      <w:r>
        <w:rPr>
          <w:color w:val="2B477B"/>
        </w:rPr>
        <w:t xml:space="preserve"> </w:t>
      </w:r>
      <w:r>
        <w:rPr>
          <w:rFonts w:ascii="Arial Unicode MS" w:eastAsia="Arial Unicode MS" w:hAnsi="Arial Unicode MS" w:cs="Arial Unicode MS"/>
          <w:color w:val="2B477B"/>
        </w:rPr>
        <w:t>Nacional,</w:t>
      </w:r>
      <w:r>
        <w:rPr>
          <w:color w:val="2B477B"/>
        </w:rPr>
        <w:t xml:space="preserve"> </w:t>
      </w:r>
      <w:hyperlink r:id="rId833"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 xml:space="preserve">244 </w:t>
        </w:r>
        <w:r>
          <w:rPr>
            <w:rFonts w:ascii="Arial Unicode MS" w:eastAsia="Arial Unicode MS" w:hAnsi="Arial Unicode MS" w:cs="Arial Unicode MS"/>
            <w:color w:val="2B477B"/>
          </w:rPr>
          <w:t>de</w:t>
        </w:r>
        <w:r>
          <w:rPr>
            <w:color w:val="2B477B"/>
          </w:rPr>
          <w:t xml:space="preserve"> 2010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Igualdad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Oportunidades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59</w:t>
      </w:r>
      <w:r>
        <w:rPr>
          <w:rFonts w:ascii="Arial Unicode MS" w:eastAsia="Arial Unicode MS" w:hAnsi="Arial Unicode MS" w:cs="Arial Unicode MS"/>
          <w:color w:val="2B477B"/>
        </w:rPr>
        <w:t>.</w:t>
      </w:r>
      <w:r>
        <w:rPr>
          <w:color w:val="2B477B"/>
        </w:rPr>
        <w:t xml:space="preserve"> </w:t>
      </w:r>
    </w:p>
  </w:footnote>
  <w:footnote w:id="518">
    <w:p w14:paraId="7B56C97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18</w:t>
      </w:r>
      <w:r>
        <w:rPr>
          <w:rFonts w:ascii="Arial Unicode MS" w:eastAsia="Arial Unicode MS" w:hAnsi="Arial Unicode MS" w:cs="Arial Unicode MS"/>
          <w:color w:val="2B477B"/>
        </w:rPr>
        <w:t>-</w:t>
      </w:r>
      <w:r>
        <w:rPr>
          <w:color w:val="2B477B"/>
        </w:rPr>
        <w:t>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834" w:history="1">
        <w:r>
          <w:rPr>
            <w:rStyle w:val="Hyperlink1"/>
            <w:rFonts w:ascii="Arial Unicode MS" w:eastAsia="Arial Unicode MS" w:hAnsi="Arial Unicode MS" w:cs="Arial Unicode MS"/>
            <w:u w:val="single"/>
          </w:rPr>
          <w:t>Ley</w:t>
        </w:r>
        <w:r>
          <w:rPr>
            <w:rStyle w:val="Hyperlink1"/>
            <w:u w:val="single"/>
          </w:rPr>
          <w:t xml:space="preserve"> 1618 </w:t>
        </w:r>
        <w:r>
          <w:rPr>
            <w:rStyle w:val="Hyperlink1"/>
            <w:rFonts w:ascii="Arial Unicode MS" w:eastAsia="Arial Unicode MS" w:hAnsi="Arial Unicode MS" w:cs="Arial Unicode MS"/>
            <w:u w:val="single"/>
          </w:rPr>
          <w:t>de</w:t>
        </w:r>
        <w:r>
          <w:rPr>
            <w:rStyle w:val="Hyperlink1"/>
            <w:u w:val="single"/>
          </w:rPr>
          <w:t xml:space="preserve"> 2013</w:t>
        </w:r>
        <w:r>
          <w:rPr>
            <w:rStyle w:val="Hyperlink1"/>
            <w:rFonts w:ascii="Arial Unicode MS" w:eastAsia="Arial Unicode MS" w:hAnsi="Arial Unicode MS" w:cs="Arial Unicode MS"/>
            <w:u w:val="single"/>
          </w:rPr>
          <w:t>,</w:t>
        </w:r>
        <w:r>
          <w:rPr>
            <w:rStyle w:val="Hyperlink1"/>
            <w:u w:val="single"/>
          </w:rPr>
          <w:t xml:space="preserve"> </w:t>
        </w:r>
        <w:r>
          <w:rPr>
            <w:rFonts w:ascii="Arial Unicode MS" w:eastAsia="Arial Unicode MS" w:hAnsi="Arial Unicode MS" w:cs="Arial Unicode MS"/>
            <w:color w:val="2B477B"/>
          </w:rPr>
          <w:t>art.</w:t>
        </w:r>
        <w:r>
          <w:rPr>
            <w:color w:val="2B477B"/>
          </w:rPr>
          <w:t xml:space="preserve"> 21</w:t>
        </w:r>
        <w:r>
          <w:rPr>
            <w:rStyle w:val="Hyperlink1"/>
            <w:rFonts w:ascii="Arial Unicode MS" w:eastAsia="Arial Unicode MS" w:hAnsi="Arial Unicode MS" w:cs="Arial Unicode MS"/>
            <w:u w:val="single"/>
          </w:rPr>
          <w:t>.</w:t>
        </w:r>
      </w:hyperlink>
    </w:p>
  </w:footnote>
  <w:footnote w:id="519">
    <w:p w14:paraId="4B7B90C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hyperlink r:id="rId835" w:history="1">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Decreto</w:t>
        </w:r>
        <w:r>
          <w:rPr>
            <w:rStyle w:val="Hyperlink1"/>
            <w:u w:val="single"/>
          </w:rPr>
          <w:t xml:space="preserve"> 672 </w:t>
        </w:r>
        <w:r>
          <w:rPr>
            <w:rStyle w:val="Hyperlink1"/>
            <w:rFonts w:ascii="Arial Unicode MS" w:eastAsia="Arial Unicode MS" w:hAnsi="Arial Unicode MS" w:cs="Arial Unicode MS"/>
            <w:u w:val="single"/>
          </w:rPr>
          <w:t>de</w:t>
        </w:r>
        <w:r>
          <w:rPr>
            <w:rStyle w:val="Hyperlink1"/>
            <w:u w:val="single"/>
          </w:rPr>
          <w:t xml:space="preserve"> 2020</w:t>
        </w:r>
      </w:hyperlink>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sanciona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Especial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arts.</w:t>
      </w:r>
      <w:r>
        <w:rPr>
          <w:color w:val="2B477B"/>
        </w:rPr>
        <w:t xml:space="preserve"> 33 </w:t>
      </w:r>
      <w:r>
        <w:rPr>
          <w:rFonts w:ascii="Arial Unicode MS" w:eastAsia="Arial Unicode MS" w:hAnsi="Arial Unicode MS" w:cs="Arial Unicode MS"/>
          <w:color w:val="2B477B"/>
        </w:rPr>
        <w:t>y</w:t>
      </w:r>
      <w:r>
        <w:rPr>
          <w:color w:val="2B477B"/>
        </w:rPr>
        <w:t xml:space="preserve"> 34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México,</w:t>
      </w:r>
      <w:r>
        <w:rPr>
          <w:color w:val="2B477B"/>
        </w:rPr>
        <w:t xml:space="preserve"> </w:t>
      </w:r>
      <w:hyperlink r:id="rId836" w:history="1">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Inclusión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Style w:val="Hyperlink1"/>
          <w:rFonts w:ascii="Arial Unicode MS" w:eastAsia="Arial Unicode MS" w:hAnsi="Arial Unicode MS" w:cs="Arial Unicode MS"/>
          <w:u w:val="single"/>
        </w:rPr>
        <w:t>,</w:t>
      </w:r>
      <w:r>
        <w:rPr>
          <w:rStyle w:val="Hyperlink1"/>
          <w:u w:val="single"/>
        </w:rPr>
        <w:t xml:space="preserve"> </w:t>
      </w:r>
      <w:r>
        <w:rPr>
          <w:rFonts w:ascii="Arial Unicode MS" w:eastAsia="Arial Unicode MS" w:hAnsi="Arial Unicode MS" w:cs="Arial Unicode MS"/>
          <w:color w:val="2B477B"/>
        </w:rPr>
        <w:t>arts.</w:t>
      </w:r>
      <w:r>
        <w:rPr>
          <w:color w:val="2B477B"/>
        </w:rPr>
        <w:t xml:space="preserve"> 28 </w:t>
      </w:r>
      <w:r>
        <w:rPr>
          <w:rFonts w:ascii="Arial Unicode MS" w:eastAsia="Arial Unicode MS" w:hAnsi="Arial Unicode MS" w:cs="Arial Unicode MS"/>
          <w:color w:val="2B477B"/>
        </w:rPr>
        <w:t>a</w:t>
      </w:r>
      <w:r>
        <w:rPr>
          <w:color w:val="2B477B"/>
        </w:rPr>
        <w:t xml:space="preserve"> 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Nicaragua,</w:t>
      </w:r>
      <w:r>
        <w:rPr>
          <w:color w:val="2B477B"/>
        </w:rPr>
        <w:t xml:space="preserve"> </w:t>
      </w:r>
      <w:hyperlink r:id="rId837" w:history="1">
        <w:r>
          <w:rPr>
            <w:rStyle w:val="Hyperlink1"/>
            <w:rFonts w:ascii="Arial Unicode MS" w:eastAsia="Arial Unicode MS" w:hAnsi="Arial Unicode MS" w:cs="Arial Unicode MS"/>
            <w:u w:val="single"/>
          </w:rPr>
          <w:t>Ley</w:t>
        </w:r>
        <w:r>
          <w:rPr>
            <w:rStyle w:val="Hyperlink1"/>
            <w:u w:val="single"/>
          </w:rPr>
          <w:t xml:space="preserve"> 763 </w:t>
        </w:r>
        <w:r>
          <w:rPr>
            <w:rStyle w:val="Hyperlink1"/>
            <w:rFonts w:ascii="Arial Unicode MS" w:eastAsia="Arial Unicode MS" w:hAnsi="Arial Unicode MS" w:cs="Arial Unicode MS"/>
            <w:u w:val="single"/>
          </w:rPr>
          <w:t>de</w:t>
        </w:r>
        <w:r>
          <w:rPr>
            <w:rStyle w:val="Hyperlink1"/>
            <w:u w:val="single"/>
          </w:rPr>
          <w:t xml:space="preserve"> 2011</w:t>
        </w:r>
        <w:r>
          <w:rPr>
            <w:rStyle w:val="Hyperlink1"/>
            <w:rFonts w:ascii="Arial Unicode MS" w:eastAsia="Arial Unicode MS" w:hAnsi="Arial Unicode MS" w:cs="Arial Unicode MS"/>
            <w:u w:val="single"/>
          </w:rPr>
          <w:t>,</w:t>
        </w:r>
        <w:r>
          <w:rPr>
            <w:rStyle w:val="Hyperlink1"/>
            <w:u w:val="single"/>
          </w:rPr>
          <w:t xml:space="preserve"> </w:t>
        </w:r>
        <w:r>
          <w:rPr>
            <w:rFonts w:ascii="Arial Unicode MS" w:eastAsia="Arial Unicode MS" w:hAnsi="Arial Unicode MS" w:cs="Arial Unicode MS"/>
            <w:color w:val="2B477B"/>
          </w:rPr>
          <w:t>arts.</w:t>
        </w:r>
        <w:r>
          <w:rPr>
            <w:color w:val="2B477B"/>
          </w:rPr>
          <w:t xml:space="preserve"> 4 </w:t>
        </w:r>
        <w:r>
          <w:rPr>
            <w:rFonts w:ascii="Arial Unicode MS" w:eastAsia="Arial Unicode MS" w:hAnsi="Arial Unicode MS" w:cs="Arial Unicode MS"/>
            <w:color w:val="2B477B"/>
          </w:rPr>
          <w:t>y</w:t>
        </w:r>
        <w:r>
          <w:rPr>
            <w:color w:val="2B477B"/>
          </w:rPr>
          <w:t xml:space="preserve"> 33</w:t>
        </w:r>
        <w:r>
          <w:rPr>
            <w:rStyle w:val="Hyperlink1"/>
            <w:rFonts w:ascii="Arial Unicode MS" w:eastAsia="Arial Unicode MS" w:hAnsi="Arial Unicode MS" w:cs="Arial Unicode MS"/>
            <w:u w:val="single"/>
          </w:rPr>
          <w:t>.</w:t>
        </w:r>
      </w:hyperlink>
    </w:p>
  </w:footnote>
  <w:footnote w:id="520">
    <w:p w14:paraId="5E6E051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respectover,</w:t>
      </w:r>
      <w:r>
        <w:rPr>
          <w:color w:val="2B477B"/>
        </w:rPr>
        <w:t xml:space="preserve"> </w:t>
      </w:r>
      <w:hyperlink r:id="rId838" w:history="1">
        <w:r>
          <w:rPr>
            <w:rStyle w:val="Hyperlink1"/>
            <w:rFonts w:ascii="Arial Unicode MS" w:eastAsia="Arial Unicode MS" w:hAnsi="Arial Unicode MS" w:cs="Arial Unicode MS"/>
            <w:u w:val="single"/>
          </w:rPr>
          <w:t>Ley</w:t>
        </w:r>
        <w:r>
          <w:rPr>
            <w:rStyle w:val="Hyperlink1"/>
            <w:u w:val="single"/>
          </w:rPr>
          <w:t xml:space="preserve"> 42 </w:t>
        </w:r>
        <w:r>
          <w:rPr>
            <w:rStyle w:val="Hyperlink1"/>
            <w:rFonts w:ascii="Arial Unicode MS" w:eastAsia="Arial Unicode MS" w:hAnsi="Arial Unicode MS" w:cs="Arial Unicode MS"/>
            <w:u w:val="single"/>
          </w:rPr>
          <w:t>de</w:t>
        </w:r>
        <w:r>
          <w:rPr>
            <w:rStyle w:val="Hyperlink1"/>
            <w:u w:val="single"/>
          </w:rPr>
          <w:t xml:space="preserve"> 1999</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modifica</w:t>
      </w:r>
      <w:r>
        <w:rPr>
          <w:color w:val="2B477B"/>
        </w:rPr>
        <w:t xml:space="preserve"> </w:t>
      </w:r>
      <w:r>
        <w:rPr>
          <w:rFonts w:ascii="Arial Unicode MS" w:eastAsia="Arial Unicode MS" w:hAnsi="Arial Unicode MS" w:cs="Arial Unicode MS"/>
          <w:color w:val="2B477B"/>
        </w:rPr>
        <w:t>Normas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Procedimiento</w:t>
      </w:r>
      <w:r>
        <w:rPr>
          <w:color w:val="2B477B"/>
        </w:rPr>
        <w:t xml:space="preserve"> </w:t>
      </w:r>
      <w:r>
        <w:rPr>
          <w:rFonts w:ascii="Arial Unicode MS" w:eastAsia="Arial Unicode MS" w:hAnsi="Arial Unicode MS" w:cs="Arial Unicode MS"/>
          <w:color w:val="2B477B"/>
        </w:rPr>
        <w:t>Penal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Judicial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fin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considerar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medidas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accesibilidad</w:t>
      </w:r>
      <w:r>
        <w:rPr>
          <w:color w:val="2B477B"/>
        </w:rPr>
        <w:t xml:space="preserve"> </w:t>
      </w:r>
      <w:r>
        <w:rPr>
          <w:rFonts w:ascii="Arial Unicode MS" w:eastAsia="Arial Unicode MS" w:hAnsi="Arial Unicode MS" w:cs="Arial Unicode MS"/>
          <w:color w:val="2B477B"/>
        </w:rPr>
        <w:t>requeridas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arts.</w:t>
      </w:r>
      <w:r>
        <w:rPr>
          <w:color w:val="2B477B"/>
        </w:rPr>
        <w:t xml:space="preserve"> 48 </w:t>
      </w:r>
      <w:r>
        <w:rPr>
          <w:rFonts w:ascii="Arial Unicode MS" w:eastAsia="Arial Unicode MS" w:hAnsi="Arial Unicode MS" w:cs="Arial Unicode MS"/>
          <w:color w:val="2B477B"/>
        </w:rPr>
        <w:t>a</w:t>
      </w:r>
      <w:r>
        <w:rPr>
          <w:color w:val="2B477B"/>
        </w:rPr>
        <w:t xml:space="preserve"> 53</w:t>
      </w:r>
      <w:r>
        <w:rPr>
          <w:rFonts w:ascii="Arial Unicode MS" w:eastAsia="Arial Unicode MS" w:hAnsi="Arial Unicode MS" w:cs="Arial Unicode MS"/>
          <w:color w:val="2B477B"/>
        </w:rPr>
        <w:t>.</w:t>
      </w:r>
      <w:r>
        <w:rPr>
          <w:color w:val="2B477B"/>
        </w:rPr>
        <w:t xml:space="preserve"> </w:t>
      </w:r>
    </w:p>
  </w:footnote>
  <w:footnote w:id="521">
    <w:p w14:paraId="3DC7668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Derecho,</w:t>
      </w:r>
      <w:r>
        <w:rPr>
          <w:color w:val="2B477B"/>
        </w:rPr>
        <w:t xml:space="preserve"> </w:t>
      </w:r>
      <w:hyperlink r:id="rId839" w:history="1">
        <w:r>
          <w:rPr>
            <w:rFonts w:ascii="Arial Unicode MS" w:eastAsia="Arial Unicode MS" w:hAnsi="Arial Unicode MS" w:cs="Arial Unicode MS"/>
            <w:color w:val="2B477B"/>
          </w:rPr>
          <w:t>Protocolo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Inclusiva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2019</w:t>
      </w:r>
      <w:r>
        <w:rPr>
          <w:rFonts w:ascii="Arial Unicode MS" w:eastAsia="Arial Unicode MS" w:hAnsi="Arial Unicode MS" w:cs="Arial Unicode MS"/>
          <w:color w:val="2B477B"/>
        </w:rPr>
        <w:t>.</w:t>
      </w:r>
    </w:p>
  </w:footnote>
  <w:footnote w:id="522">
    <w:p w14:paraId="25B4407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33</w:t>
      </w:r>
      <w:r>
        <w:rPr>
          <w:rFonts w:ascii="Arial Unicode MS" w:eastAsia="Arial Unicode MS" w:hAnsi="Arial Unicode MS" w:cs="Arial Unicode MS"/>
          <w:color w:val="2B477B"/>
        </w:rPr>
        <w:t>-</w:t>
      </w:r>
      <w:r>
        <w:rPr>
          <w:color w:val="2B477B"/>
        </w:rPr>
        <w:t>35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el</w:t>
      </w:r>
      <w:r>
        <w:rPr>
          <w:color w:val="2B477B"/>
        </w:rPr>
        <w:t xml:space="preserve"> </w:t>
      </w:r>
      <w:hyperlink r:id="rId840"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159/2013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841"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1368/2015</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hyperlink r:id="rId842"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Directo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44/2018</w:t>
        </w:r>
      </w:hyperlink>
      <w:hyperlink r:id="rId843" w:history="1">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el</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844"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702/2018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hyperlink r:id="rId845"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Directo</w:t>
        </w:r>
        <w:r>
          <w:rPr>
            <w:color w:val="2B477B"/>
          </w:rPr>
          <w:t xml:space="preserve"> 31/2018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Segunda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2018</w:t>
      </w:r>
      <w:r>
        <w:rPr>
          <w:rFonts w:ascii="Arial Unicode MS" w:eastAsia="Arial Unicode MS" w:hAnsi="Arial Unicode MS" w:cs="Arial Unicode MS"/>
          <w:color w:val="2B477B"/>
        </w:rPr>
        <w:t>.</w:t>
      </w:r>
      <w:r>
        <w:rPr>
          <w:color w:val="2B477B"/>
        </w:rPr>
        <w:t xml:space="preserve"> </w:t>
      </w:r>
    </w:p>
  </w:footnote>
  <w:footnote w:id="523">
    <w:p w14:paraId="0F19509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proofErr w:type="gramStart"/>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proofErr w:type="gramEnd"/>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33</w:t>
      </w:r>
      <w:r>
        <w:rPr>
          <w:rFonts w:ascii="Arial Unicode MS" w:eastAsia="Arial Unicode MS" w:hAnsi="Arial Unicode MS" w:cs="Arial Unicode MS"/>
          <w:color w:val="2B477B"/>
        </w:rPr>
        <w:t>-</w:t>
      </w:r>
      <w:r>
        <w:rPr>
          <w:color w:val="2B477B"/>
        </w:rPr>
        <w:t>35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el</w:t>
      </w:r>
      <w:r>
        <w:rPr>
          <w:color w:val="2B477B"/>
        </w:rPr>
        <w:t xml:space="preserve"> </w:t>
      </w:r>
      <w:hyperlink r:id="rId846" w:history="1">
        <w:r>
          <w:rPr>
            <w:rFonts w:ascii="Arial Unicode MS" w:eastAsia="Arial Unicode MS" w:hAnsi="Arial Unicode MS" w:cs="Arial Unicode MS"/>
            <w:color w:val="2B477B"/>
          </w:rPr>
          <w:t>Amparo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Revisión</w:t>
        </w:r>
        <w:r>
          <w:rPr>
            <w:color w:val="2B477B"/>
          </w:rPr>
          <w:t xml:space="preserve"> 1043/2015</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resuelto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Primera</w:t>
      </w:r>
      <w:r>
        <w:rPr>
          <w:color w:val="2B477B"/>
        </w:rPr>
        <w:t xml:space="preserve"> </w:t>
      </w:r>
      <w:r>
        <w:rPr>
          <w:rFonts w:ascii="Arial Unicode MS" w:eastAsia="Arial Unicode MS" w:hAnsi="Arial Unicode MS" w:cs="Arial Unicode MS"/>
          <w:color w:val="2B477B"/>
        </w:rPr>
        <w:t>Sala</w:t>
      </w:r>
      <w:r>
        <w:rPr>
          <w:color w:val="2B477B"/>
        </w:rPr>
        <w:t xml:space="preserve"> </w:t>
      </w:r>
      <w:r>
        <w:rPr>
          <w:rFonts w:ascii="Arial Unicode MS" w:eastAsia="Arial Unicode MS" w:hAnsi="Arial Unicode MS" w:cs="Arial Unicode MS"/>
          <w:color w:val="2B477B"/>
        </w:rPr>
        <w:t>el</w:t>
      </w:r>
      <w:r>
        <w:rPr>
          <w:color w:val="2B477B"/>
        </w:rPr>
        <w:t xml:space="preserve"> 29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p>
  </w:footnote>
  <w:footnote w:id="524">
    <w:p w14:paraId="5935C8B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Unidos</w:t>
      </w:r>
      <w:r>
        <w:rPr>
          <w:color w:val="2B477B"/>
        </w:rPr>
        <w:t xml:space="preserve"> </w:t>
      </w:r>
      <w:r>
        <w:rPr>
          <w:rFonts w:ascii="Arial Unicode MS" w:eastAsia="Arial Unicode MS" w:hAnsi="Arial Unicode MS" w:cs="Arial Unicode MS"/>
          <w:color w:val="2B477B"/>
        </w:rPr>
        <w:t>Mexicanos,</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págs.</w:t>
      </w:r>
      <w:r>
        <w:rPr>
          <w:color w:val="2B477B"/>
        </w:rPr>
        <w:t xml:space="preserve"> 33</w:t>
      </w:r>
      <w:r>
        <w:rPr>
          <w:rFonts w:ascii="Arial Unicode MS" w:eastAsia="Arial Unicode MS" w:hAnsi="Arial Unicode MS" w:cs="Arial Unicode MS"/>
          <w:color w:val="2B477B"/>
        </w:rPr>
        <w:t>-</w:t>
      </w:r>
      <w:r>
        <w:rPr>
          <w:color w:val="2B477B"/>
        </w:rPr>
        <w:t>35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Suprema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Nación,</w:t>
      </w:r>
      <w:r>
        <w:rPr>
          <w:color w:val="2B477B"/>
        </w:rPr>
        <w:t xml:space="preserve"> </w:t>
      </w:r>
      <w:r>
        <w:rPr>
          <w:rFonts w:ascii="Arial Unicode MS" w:eastAsia="Arial Unicode MS" w:hAnsi="Arial Unicode MS" w:cs="Arial Unicode MS"/>
          <w:color w:val="2B477B"/>
        </w:rPr>
        <w:t>México,</w:t>
      </w:r>
      <w:r>
        <w:rPr>
          <w:color w:val="2B477B"/>
        </w:rPr>
        <w:t xml:space="preserve"> 2021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Manual</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México,</w:t>
      </w:r>
      <w:r>
        <w:rPr>
          <w:color w:val="2B477B"/>
        </w:rPr>
        <w:t xml:space="preserve"> 2021</w:t>
      </w:r>
      <w:r>
        <w:rPr>
          <w:rFonts w:ascii="Arial Unicode MS" w:eastAsia="Arial Unicode MS" w:hAnsi="Arial Unicode MS" w:cs="Arial Unicode MS"/>
          <w:color w:val="2B477B"/>
        </w:rPr>
        <w:t>.</w:t>
      </w:r>
    </w:p>
  </w:footnote>
  <w:footnote w:id="525">
    <w:p w14:paraId="7F62B54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OEA,</w:t>
      </w:r>
      <w:r>
        <w:rPr>
          <w:color w:val="2B477B"/>
        </w:rPr>
        <w:t xml:space="preserve"> </w:t>
      </w:r>
      <w:hyperlink r:id="rId847"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Americana</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Humanos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5 </w:t>
      </w:r>
      <w:r>
        <w:rPr>
          <w:rFonts w:ascii="Arial Unicode MS" w:eastAsia="Arial Unicode MS" w:hAnsi="Arial Unicode MS" w:cs="Arial Unicode MS"/>
          <w:color w:val="2B477B"/>
        </w:rPr>
        <w:t>y</w:t>
      </w:r>
      <w:r>
        <w:rPr>
          <w:color w:val="2B477B"/>
        </w:rPr>
        <w:t xml:space="preserve"> 7</w:t>
      </w:r>
      <w:r>
        <w:rPr>
          <w:rFonts w:ascii="Arial Unicode MS" w:eastAsia="Arial Unicode MS" w:hAnsi="Arial Unicode MS" w:cs="Arial Unicode MS"/>
          <w:color w:val="2B477B"/>
        </w:rPr>
        <w:t>;</w:t>
      </w:r>
      <w:r>
        <w:rPr>
          <w:color w:val="2B477B"/>
        </w:rPr>
        <w:t xml:space="preserve"> </w:t>
      </w:r>
      <w:hyperlink r:id="rId848" w:history="1">
        <w:r>
          <w:rPr>
            <w:rStyle w:val="Hyperlink1"/>
            <w:rFonts w:ascii="Arial Unicode MS" w:eastAsia="Arial Unicode MS" w:hAnsi="Arial Unicode MS" w:cs="Arial Unicode MS"/>
            <w:u w:val="single"/>
          </w:rPr>
          <w:t>Declaración</w:t>
        </w:r>
        <w:r>
          <w:rPr>
            <w:rStyle w:val="Hyperlink1"/>
            <w:u w:val="single"/>
          </w:rPr>
          <w:t xml:space="preserve"> </w:t>
        </w:r>
        <w:r>
          <w:rPr>
            <w:rStyle w:val="Hyperlink1"/>
            <w:rFonts w:ascii="Arial Unicode MS" w:eastAsia="Arial Unicode MS" w:hAnsi="Arial Unicode MS" w:cs="Arial Unicode MS"/>
            <w:u w:val="single"/>
          </w:rPr>
          <w:t>Americana</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w:t>
        </w:r>
        <w:r>
          <w:rPr>
            <w:rStyle w:val="Hyperlink1"/>
            <w:rFonts w:ascii="Arial Unicode MS" w:eastAsia="Arial Unicode MS" w:hAnsi="Arial Unicode MS" w:cs="Arial Unicode MS"/>
            <w:u w:val="single"/>
          </w:rPr>
          <w:t>Hombre</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w:t>
      </w:r>
      <w:r>
        <w:rPr>
          <w:rFonts w:ascii="Arial Unicode MS" w:eastAsia="Arial Unicode MS" w:hAnsi="Arial Unicode MS" w:cs="Arial Unicode MS"/>
          <w:color w:val="2B477B"/>
        </w:rPr>
        <w:t>I</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XXV;</w:t>
      </w:r>
      <w:r>
        <w:rPr>
          <w:color w:val="2B477B"/>
        </w:rPr>
        <w:t xml:space="preserve"> </w:t>
      </w:r>
      <w:r>
        <w:rPr>
          <w:rFonts w:ascii="Arial Unicode MS" w:eastAsia="Arial Unicode MS" w:hAnsi="Arial Unicode MS" w:cs="Arial Unicode MS"/>
          <w:color w:val="2B477B"/>
        </w:rPr>
        <w:t>ONU,</w:t>
      </w:r>
      <w:r>
        <w:rPr>
          <w:color w:val="2B477B"/>
        </w:rPr>
        <w:t xml:space="preserve"> </w:t>
      </w:r>
      <w:hyperlink r:id="rId849" w:history="1">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14</w:t>
      </w:r>
      <w:r>
        <w:rPr>
          <w:rFonts w:ascii="Arial Unicode MS" w:eastAsia="Arial Unicode MS" w:hAnsi="Arial Unicode MS" w:cs="Arial Unicode MS"/>
          <w:color w:val="2B477B"/>
        </w:rPr>
        <w:t>.</w:t>
      </w:r>
      <w:r>
        <w:rPr>
          <w:color w:val="2B477B"/>
        </w:rPr>
        <w:t xml:space="preserve"> </w:t>
      </w:r>
    </w:p>
  </w:footnote>
  <w:footnote w:id="526">
    <w:p w14:paraId="08D05A1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850"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40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851" w:history="1">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vivir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forma</w:t>
        </w:r>
        <w:r>
          <w:rPr>
            <w:color w:val="2B477B"/>
          </w:rPr>
          <w:t xml:space="preserve"> </w:t>
        </w:r>
        <w:r>
          <w:rPr>
            <w:rFonts w:ascii="Arial Unicode MS" w:eastAsia="Arial Unicode MS" w:hAnsi="Arial Unicode MS" w:cs="Arial Unicode MS"/>
            <w:color w:val="2B477B"/>
          </w:rPr>
          <w:t>independiente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incluido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comunidad,</w:t>
        </w:r>
      </w:hyperlink>
      <w:r>
        <w:rPr>
          <w:color w:val="2B477B"/>
        </w:rPr>
        <w:t xml:space="preserve"> 27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82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852"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su</w:t>
        </w:r>
        <w:r>
          <w:rPr>
            <w:color w:val="2B477B"/>
          </w:rPr>
          <w:t xml:space="preserve"> 12</w:t>
        </w:r>
        <w:r>
          <w:rPr>
            <w:rFonts w:ascii="Arial Unicode MS" w:eastAsia="Arial Unicode MS" w:hAnsi="Arial Unicode MS" w:cs="Arial Unicode MS"/>
            <w:color w:val="2B477B"/>
          </w:rPr>
          <w:t>º</w:t>
        </w:r>
        <w:r>
          <w:rPr>
            <w:color w:val="2B477B"/>
          </w:rPr>
          <w:t xml:space="preserve"> </w:t>
        </w:r>
        <w:r>
          <w:rPr>
            <w:rFonts w:ascii="Arial Unicode MS" w:eastAsia="Arial Unicode MS" w:hAnsi="Arial Unicode MS" w:cs="Arial Unicode MS"/>
            <w:color w:val="2B477B"/>
          </w:rPr>
          <w:t>período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sesiones</w:t>
        </w:r>
      </w:hyperlink>
      <w:hyperlink r:id="rId853" w:history="1">
        <w:r>
          <w:rPr>
            <w:rFonts w:ascii="Arial Unicode MS" w:eastAsia="Arial Unicode MS" w:hAnsi="Arial Unicode MS" w:cs="Arial Unicode MS"/>
            <w:color w:val="2B477B"/>
          </w:rPr>
          <w:t>,</w:t>
        </w:r>
        <w:r>
          <w:rPr>
            <w:color w:val="2B477B"/>
          </w:rPr>
          <w:t xml:space="preserve">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a</w:t>
        </w:r>
        <w:r>
          <w:rPr>
            <w:color w:val="2B477B"/>
          </w:rPr>
          <w:t xml:space="preserve"> 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octubre</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Anexo</w:t>
        </w:r>
        <w:r>
          <w:rPr>
            <w:color w:val="2B477B"/>
          </w:rPr>
          <w:t xml:space="preserve"> </w:t>
        </w:r>
        <w:r>
          <w:rPr>
            <w:rFonts w:ascii="Arial Unicode MS" w:eastAsia="Arial Unicode MS" w:hAnsi="Arial Unicode MS" w:cs="Arial Unicode MS"/>
            <w:color w:val="2B477B"/>
          </w:rPr>
          <w:t>IV</w:t>
        </w:r>
        <w:r>
          <w:rPr>
            <w:color w:val="2B477B"/>
          </w:rPr>
          <w:t xml:space="preserve"> </w:t>
        </w:r>
      </w:hyperlink>
      <w:hyperlink r:id="rId854" w:history="1">
        <w:r>
          <w:rPr>
            <w:rFonts w:ascii="Arial Unicode MS" w:eastAsia="Arial Unicode MS" w:hAnsi="Arial Unicode MS" w:cs="Arial Unicode MS"/>
            <w:color w:val="2B477B"/>
          </w:rPr>
          <w:t>“Declaración</w:t>
        </w:r>
        <w:r>
          <w:rPr>
            <w:color w:val="2B477B"/>
          </w:rPr>
          <w:t xml:space="preserve"> </w:t>
        </w:r>
        <w:r>
          <w:rPr>
            <w:rFonts w:ascii="Arial Unicode MS" w:eastAsia="Arial Unicode MS" w:hAnsi="Arial Unicode MS" w:cs="Arial Unicode MS"/>
            <w:color w:val="2B477B"/>
          </w:rPr>
          <w:t>acerca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artículo</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/12/2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Naciones</w:t>
      </w:r>
      <w:r>
        <w:rPr>
          <w:color w:val="2B477B"/>
        </w:rPr>
        <w:t xml:space="preserve"> </w:t>
      </w:r>
      <w:r>
        <w:rPr>
          <w:rFonts w:ascii="Arial Unicode MS" w:eastAsia="Arial Unicode MS" w:hAnsi="Arial Unicode MS" w:cs="Arial Unicode MS"/>
          <w:color w:val="2B477B"/>
        </w:rPr>
        <w:t>Unidas,</w:t>
      </w:r>
      <w:r>
        <w:rPr>
          <w:color w:val="2B477B"/>
        </w:rPr>
        <w:t xml:space="preserve"> </w:t>
      </w:r>
      <w:hyperlink r:id="rId855" w:history="1">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13</w:t>
        </w:r>
        <w:r>
          <w:rPr>
            <w:rFonts w:ascii="Arial Unicode MS" w:eastAsia="Arial Unicode MS" w:hAnsi="Arial Unicode MS" w:cs="Arial Unicode MS"/>
            <w:color w:val="2B477B"/>
          </w:rPr>
          <w:t>er</w:t>
        </w:r>
        <w:r>
          <w:rPr>
            <w:color w:val="2B477B"/>
          </w:rPr>
          <w:t xml:space="preserve"> </w:t>
        </w:r>
        <w:r>
          <w:rPr>
            <w:rFonts w:ascii="Arial Unicode MS" w:eastAsia="Arial Unicode MS" w:hAnsi="Arial Unicode MS" w:cs="Arial Unicode MS"/>
            <w:color w:val="2B477B"/>
          </w:rPr>
          <w:t>período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sesiones,</w:t>
        </w:r>
        <w:r>
          <w:rPr>
            <w:color w:val="2B477B"/>
          </w:rPr>
          <w:t xml:space="preserve">25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a</w:t>
        </w:r>
        <w:r>
          <w:rPr>
            <w:color w:val="2B477B"/>
          </w:rPr>
          <w:t xml:space="preserve"> 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14</w:t>
        </w:r>
        <w:r>
          <w:rPr>
            <w:rFonts w:ascii="Arial Unicode MS" w:eastAsia="Arial Unicode MS" w:hAnsi="Arial Unicode MS" w:cs="Arial Unicode MS"/>
            <w:color w:val="2B477B"/>
          </w:rPr>
          <w:t>º</w:t>
        </w:r>
        <w:r>
          <w:rPr>
            <w:color w:val="2B477B"/>
          </w:rPr>
          <w:t xml:space="preserve"> </w:t>
        </w:r>
        <w:r>
          <w:rPr>
            <w:rFonts w:ascii="Arial Unicode MS" w:eastAsia="Arial Unicode MS" w:hAnsi="Arial Unicode MS" w:cs="Arial Unicode MS"/>
            <w:color w:val="2B477B"/>
          </w:rPr>
          <w:t>período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sesiones,</w:t>
        </w:r>
        <w:r>
          <w:rPr>
            <w:color w:val="2B477B"/>
          </w:rPr>
          <w:t xml:space="preserve">17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a</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2015</w:t>
        </w:r>
        <w:r>
          <w:rPr>
            <w:rFonts w:ascii="Arial Unicode MS" w:eastAsia="Arial Unicode MS" w:hAnsi="Arial Unicode MS" w:cs="Arial Unicode MS"/>
            <w:color w:val="2B477B"/>
          </w:rPr>
          <w:t>,</w:t>
        </w:r>
        <w:r>
          <w:rPr>
            <w:color w:val="2B477B"/>
          </w:rPr>
          <w:t xml:space="preserve"> 15</w:t>
        </w:r>
        <w:r>
          <w:rPr>
            <w:rFonts w:ascii="Arial Unicode MS" w:eastAsia="Arial Unicode MS" w:hAnsi="Arial Unicode MS" w:cs="Arial Unicode MS"/>
            <w:color w:val="2B477B"/>
          </w:rPr>
          <w:t>º</w:t>
        </w:r>
        <w:r>
          <w:rPr>
            <w:color w:val="2B477B"/>
          </w:rPr>
          <w:t xml:space="preserve"> </w:t>
        </w:r>
        <w:r>
          <w:rPr>
            <w:rFonts w:ascii="Arial Unicode MS" w:eastAsia="Arial Unicode MS" w:hAnsi="Arial Unicode MS" w:cs="Arial Unicode MS"/>
            <w:color w:val="2B477B"/>
          </w:rPr>
          <w:t>período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sesiones,</w:t>
        </w:r>
        <w:r>
          <w:rPr>
            <w:color w:val="2B477B"/>
          </w:rPr>
          <w:t xml:space="preserve">29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a</w:t>
        </w:r>
        <w:r>
          <w:rPr>
            <w:color w:val="2B477B"/>
          </w:rPr>
          <w:t xml:space="preserve"> 21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16</w:t>
        </w:r>
        <w:r>
          <w:rPr>
            <w:rFonts w:ascii="Arial Unicode MS" w:eastAsia="Arial Unicode MS" w:hAnsi="Arial Unicode MS" w:cs="Arial Unicode MS"/>
            <w:color w:val="2B477B"/>
          </w:rPr>
          <w:t>º</w:t>
        </w:r>
        <w:r>
          <w:rPr>
            <w:color w:val="2B477B"/>
          </w:rPr>
          <w:t xml:space="preserve"> </w:t>
        </w:r>
        <w:r>
          <w:rPr>
            <w:rFonts w:ascii="Arial Unicode MS" w:eastAsia="Arial Unicode MS" w:hAnsi="Arial Unicode MS" w:cs="Arial Unicode MS"/>
            <w:color w:val="2B477B"/>
          </w:rPr>
          <w:t>período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sesiones,</w:t>
        </w:r>
        <w:r>
          <w:rPr>
            <w:color w:val="2B477B"/>
          </w:rPr>
          <w:t xml:space="preserve">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agosto</w:t>
        </w:r>
        <w:r>
          <w:rPr>
            <w:color w:val="2B477B"/>
          </w:rPr>
          <w:t xml:space="preserve"> </w:t>
        </w:r>
        <w:r>
          <w:rPr>
            <w:rFonts w:ascii="Arial Unicode MS" w:eastAsia="Arial Unicode MS" w:hAnsi="Arial Unicode MS" w:cs="Arial Unicode MS"/>
            <w:color w:val="2B477B"/>
          </w:rPr>
          <w:t>a</w:t>
        </w:r>
        <w:r>
          <w:rPr>
            <w:color w:val="2B477B"/>
          </w:rPr>
          <w:t xml:space="preserve"> 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Anexo</w:t>
        </w:r>
        <w:r>
          <w:rPr>
            <w:color w:val="2B477B"/>
          </w:rPr>
          <w:t xml:space="preserve"> </w:t>
        </w:r>
        <w:r>
          <w:rPr>
            <w:rFonts w:ascii="Arial Unicode MS" w:eastAsia="Arial Unicode MS" w:hAnsi="Arial Unicode MS" w:cs="Arial Unicode MS"/>
            <w:color w:val="2B477B"/>
          </w:rPr>
          <w:t>“</w:t>
        </w:r>
      </w:hyperlink>
      <w:hyperlink r:id="rId856" w:history="1">
        <w:r>
          <w:rPr>
            <w:rFonts w:ascii="Arial Unicode MS" w:eastAsia="Arial Unicode MS" w:hAnsi="Arial Unicode MS" w:cs="Arial Unicode MS"/>
            <w:color w:val="2B477B"/>
          </w:rPr>
          <w:t>Directrices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libertad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seguridad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Suplemento</w:t>
      </w:r>
      <w:r>
        <w:rPr>
          <w:color w:val="2B477B"/>
        </w:rPr>
        <w:t xml:space="preserve"> </w:t>
      </w:r>
      <w:r>
        <w:rPr>
          <w:rFonts w:ascii="Arial Unicode MS" w:eastAsia="Arial Unicode MS" w:hAnsi="Arial Unicode MS" w:cs="Arial Unicode MS"/>
          <w:color w:val="2B477B"/>
        </w:rPr>
        <w:t>núm.</w:t>
      </w:r>
      <w:r>
        <w:rPr>
          <w:color w:val="2B477B"/>
        </w:rPr>
        <w:t xml:space="preserve"> 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/72/55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17 </w:t>
      </w:r>
      <w:r>
        <w:rPr>
          <w:rFonts w:ascii="Arial Unicode MS" w:eastAsia="Arial Unicode MS" w:hAnsi="Arial Unicode MS" w:cs="Arial Unicode MS"/>
          <w:color w:val="2B477B"/>
        </w:rPr>
        <w:t>a</w:t>
      </w:r>
      <w:r>
        <w:rPr>
          <w:color w:val="2B477B"/>
        </w:rPr>
        <w:t xml:space="preserve"> 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hyperlink r:id="rId857" w:history="1">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Guachalá</w:t>
        </w:r>
        <w:r>
          <w:rPr>
            <w:color w:val="2B477B"/>
          </w:rPr>
          <w:t xml:space="preserve"> </w:t>
        </w:r>
        <w:r>
          <w:rPr>
            <w:rFonts w:ascii="Arial Unicode MS" w:eastAsia="Arial Unicode MS" w:hAnsi="Arial Unicode MS" w:cs="Arial Unicode MS"/>
            <w:color w:val="2B477B"/>
          </w:rPr>
          <w:t>Chimbo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Otros</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Fondo,</w:t>
        </w:r>
        <w:r>
          <w:rPr>
            <w:color w:val="2B477B"/>
          </w:rPr>
          <w:t xml:space="preserve"> </w:t>
        </w:r>
        <w:r>
          <w:rPr>
            <w:rFonts w:ascii="Arial Unicode MS" w:eastAsia="Arial Unicode MS" w:hAnsi="Arial Unicode MS" w:cs="Arial Unicode MS"/>
            <w:color w:val="2B477B"/>
          </w:rPr>
          <w:t>Reparaciones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Costas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w:t>
      </w:r>
      <w:r>
        <w:rPr>
          <w:color w:val="2B477B"/>
        </w:rPr>
        <w:t xml:space="preserve"> 26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marzo</w:t>
      </w:r>
      <w:r>
        <w:rPr>
          <w:color w:val="2B477B"/>
        </w:rPr>
        <w:t xml:space="preserve"> </w:t>
      </w:r>
      <w:r>
        <w:rPr>
          <w:rFonts w:ascii="Arial Unicode MS" w:eastAsia="Arial Unicode MS" w:hAnsi="Arial Unicode MS" w:cs="Arial Unicode MS"/>
          <w:color w:val="2B477B"/>
        </w:rPr>
        <w:t>de</w:t>
      </w:r>
      <w:r>
        <w:rPr>
          <w:color w:val="2B477B"/>
        </w:rPr>
        <w:t xml:space="preserve"> 2001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423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111 </w:t>
      </w:r>
      <w:r>
        <w:rPr>
          <w:rFonts w:ascii="Arial Unicode MS" w:eastAsia="Arial Unicode MS" w:hAnsi="Arial Unicode MS" w:cs="Arial Unicode MS"/>
          <w:color w:val="2B477B"/>
        </w:rPr>
        <w:t>y</w:t>
      </w:r>
      <w:r>
        <w:rPr>
          <w:color w:val="2B477B"/>
        </w:rPr>
        <w:t xml:space="preserve"> 112</w:t>
      </w:r>
      <w:r>
        <w:rPr>
          <w:rFonts w:ascii="Arial Unicode MS" w:eastAsia="Arial Unicode MS" w:hAnsi="Arial Unicode MS" w:cs="Arial Unicode MS"/>
          <w:color w:val="2B477B"/>
        </w:rPr>
        <w:t>;</w:t>
      </w:r>
      <w:r>
        <w:rPr>
          <w:color w:val="2B477B"/>
        </w:rPr>
        <w:t xml:space="preserve"> </w:t>
      </w:r>
      <w:hyperlink r:id="rId858" w:history="1">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IDH.</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Ximenes</w:t>
        </w:r>
        <w:r>
          <w:rPr>
            <w:color w:val="2B477B"/>
          </w:rPr>
          <w:t xml:space="preserve"> </w:t>
        </w:r>
        <w:r>
          <w:rPr>
            <w:rFonts w:ascii="Arial Unicode MS" w:eastAsia="Arial Unicode MS" w:hAnsi="Arial Unicode MS" w:cs="Arial Unicode MS"/>
            <w:color w:val="2B477B"/>
          </w:rPr>
          <w:t>López</w:t>
        </w:r>
        <w:r>
          <w:rPr>
            <w:color w:val="2B477B"/>
          </w:rPr>
          <w:t xml:space="preserve"> </w:t>
        </w:r>
        <w:r>
          <w:rPr>
            <w:rFonts w:ascii="Arial Unicode MS" w:eastAsia="Arial Unicode MS" w:hAnsi="Arial Unicode MS" w:cs="Arial Unicode MS"/>
            <w:color w:val="2B477B"/>
          </w:rPr>
          <w:t>Vs</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del</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del</w:t>
        </w:r>
        <w:r>
          <w:rPr>
            <w:color w:val="2B477B"/>
          </w:rPr>
          <w:t xml:space="preserve"> 2006</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Serie</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No.</w:t>
      </w:r>
      <w:r>
        <w:rPr>
          <w:color w:val="2B477B"/>
        </w:rPr>
        <w:t xml:space="preserve"> 149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24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859"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23</w:t>
      </w:r>
      <w:r>
        <w:rPr>
          <w:rFonts w:ascii="Arial Unicode MS" w:eastAsia="Arial Unicode MS" w:hAnsi="Arial Unicode MS" w:cs="Arial Unicode MS"/>
          <w:color w:val="2B477B"/>
        </w:rPr>
        <w:t>-</w:t>
      </w:r>
      <w:r>
        <w:rPr>
          <w:color w:val="2B477B"/>
        </w:rPr>
        <w:t>24</w:t>
      </w:r>
      <w:r>
        <w:rPr>
          <w:rFonts w:ascii="Arial Unicode MS" w:eastAsia="Arial Unicode MS" w:hAnsi="Arial Unicode MS" w:cs="Arial Unicode MS"/>
          <w:color w:val="2B477B"/>
        </w:rPr>
        <w:t>.</w:t>
      </w:r>
    </w:p>
  </w:footnote>
  <w:footnote w:id="527">
    <w:p w14:paraId="3C1D690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860" w:history="1">
        <w:r>
          <w:rPr>
            <w:rStyle w:val="Hyperlink1"/>
            <w:rFonts w:ascii="Arial Unicode MS" w:eastAsia="Arial Unicode MS" w:hAnsi="Arial Unicode MS" w:cs="Arial Unicode MS"/>
            <w:u w:val="single"/>
          </w:rPr>
          <w:t>Informe</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w:t>
        </w:r>
        <w:r>
          <w:rPr>
            <w:rStyle w:val="Hyperlink1"/>
            <w:rFonts w:ascii="Arial Unicode MS" w:eastAsia="Arial Unicode MS" w:hAnsi="Arial Unicode MS" w:cs="Arial Unicode MS"/>
            <w:u w:val="single"/>
          </w:rPr>
          <w:t>Comité</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su</w:t>
        </w:r>
        <w:r>
          <w:rPr>
            <w:rStyle w:val="Hyperlink1"/>
            <w:u w:val="single"/>
          </w:rPr>
          <w:t xml:space="preserve"> 12</w:t>
        </w:r>
        <w:r>
          <w:rPr>
            <w:rStyle w:val="Hyperlink1"/>
            <w:rFonts w:ascii="Arial Unicode MS" w:eastAsia="Arial Unicode MS" w:hAnsi="Arial Unicode MS" w:cs="Arial Unicode MS"/>
            <w:u w:val="single"/>
          </w:rPr>
          <w:t>º</w:t>
        </w:r>
        <w:r>
          <w:rPr>
            <w:rStyle w:val="Hyperlink1"/>
            <w:u w:val="single"/>
          </w:rPr>
          <w:t xml:space="preserve"> </w:t>
        </w:r>
        <w:r>
          <w:rPr>
            <w:rStyle w:val="Hyperlink1"/>
            <w:rFonts w:ascii="Arial Unicode MS" w:eastAsia="Arial Unicode MS" w:hAnsi="Arial Unicode MS" w:cs="Arial Unicode MS"/>
            <w:u w:val="single"/>
          </w:rPr>
          <w:t>período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sesiones,</w:t>
        </w:r>
        <w:r>
          <w:rPr>
            <w:rStyle w:val="Hyperlink1"/>
            <w:u w:val="single"/>
          </w:rPr>
          <w:t xml:space="preserve"> 15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septiembre</w:t>
        </w:r>
        <w:r>
          <w:rPr>
            <w:rStyle w:val="Hyperlink1"/>
            <w:u w:val="single"/>
          </w:rPr>
          <w:t xml:space="preserve"> </w:t>
        </w:r>
        <w:r>
          <w:rPr>
            <w:rStyle w:val="Hyperlink1"/>
            <w:rFonts w:ascii="Arial Unicode MS" w:eastAsia="Arial Unicode MS" w:hAnsi="Arial Unicode MS" w:cs="Arial Unicode MS"/>
            <w:u w:val="single"/>
          </w:rPr>
          <w:t>a</w:t>
        </w:r>
        <w:r>
          <w:rPr>
            <w:rStyle w:val="Hyperlink1"/>
            <w:u w:val="single"/>
          </w:rPr>
          <w:t xml:space="preserve"> 3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octubre</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2014</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Anexo</w:t>
        </w:r>
        <w:r>
          <w:rPr>
            <w:rStyle w:val="Hyperlink1"/>
            <w:u w:val="single"/>
          </w:rPr>
          <w:t xml:space="preserve"> </w:t>
        </w:r>
        <w:r>
          <w:rPr>
            <w:rStyle w:val="Hyperlink1"/>
            <w:rFonts w:ascii="Arial Unicode MS" w:eastAsia="Arial Unicode MS" w:hAnsi="Arial Unicode MS" w:cs="Arial Unicode MS"/>
            <w:u w:val="single"/>
          </w:rPr>
          <w:t>IV</w:t>
        </w:r>
        <w:r>
          <w:rPr>
            <w:rStyle w:val="Hyperlink1"/>
            <w:u w:val="single"/>
          </w:rPr>
          <w:t xml:space="preserve"> </w:t>
        </w:r>
        <w:r>
          <w:rPr>
            <w:rStyle w:val="Hyperlink1"/>
            <w:rFonts w:ascii="Arial Unicode MS" w:eastAsia="Arial Unicode MS" w:hAnsi="Arial Unicode MS" w:cs="Arial Unicode MS"/>
            <w:u w:val="single"/>
          </w:rPr>
          <w:t>“Declaración</w:t>
        </w:r>
        <w:r>
          <w:rPr>
            <w:rStyle w:val="Hyperlink1"/>
            <w:u w:val="single"/>
          </w:rPr>
          <w:t xml:space="preserve"> </w:t>
        </w:r>
        <w:r>
          <w:rPr>
            <w:rStyle w:val="Hyperlink1"/>
            <w:rFonts w:ascii="Arial Unicode MS" w:eastAsia="Arial Unicode MS" w:hAnsi="Arial Unicode MS" w:cs="Arial Unicode MS"/>
            <w:u w:val="single"/>
          </w:rPr>
          <w:t>acerca</w:t>
        </w:r>
        <w:r>
          <w:rPr>
            <w:rStyle w:val="Hyperlink1"/>
            <w:u w:val="single"/>
          </w:rPr>
          <w:t xml:space="preserve"> </w:t>
        </w:r>
        <w:r>
          <w:rPr>
            <w:rStyle w:val="Hyperlink1"/>
            <w:rFonts w:ascii="Arial Unicode MS" w:eastAsia="Arial Unicode MS" w:hAnsi="Arial Unicode MS" w:cs="Arial Unicode MS"/>
            <w:u w:val="single"/>
          </w:rPr>
          <w:t>del</w:t>
        </w:r>
        <w:r>
          <w:rPr>
            <w:rStyle w:val="Hyperlink1"/>
            <w:u w:val="single"/>
          </w:rPr>
          <w:t xml:space="preserve"> </w:t>
        </w:r>
        <w:r>
          <w:rPr>
            <w:rStyle w:val="Hyperlink1"/>
            <w:rFonts w:ascii="Arial Unicode MS" w:eastAsia="Arial Unicode MS" w:hAnsi="Arial Unicode MS" w:cs="Arial Unicode MS"/>
            <w:u w:val="single"/>
          </w:rPr>
          <w:t>artículo</w:t>
        </w:r>
        <w:r>
          <w:rPr>
            <w:rStyle w:val="Hyperlink1"/>
            <w:u w:val="single"/>
          </w:rPr>
          <w:t xml:space="preserve"> 14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Convención</w:t>
        </w:r>
        <w:r>
          <w:rPr>
            <w:rStyle w:val="Hyperlink1"/>
            <w:u w:val="single"/>
          </w:rPr>
          <w:t xml:space="preserve"> </w:t>
        </w:r>
        <w:r>
          <w:rPr>
            <w:rStyle w:val="Hyperlink1"/>
            <w:rFonts w:ascii="Arial Unicode MS" w:eastAsia="Arial Unicode MS" w:hAnsi="Arial Unicode MS" w:cs="Arial Unicode MS"/>
            <w:u w:val="single"/>
          </w:rPr>
          <w:t>sobre</w:t>
        </w:r>
        <w:r>
          <w:rPr>
            <w:rStyle w:val="Hyperlink1"/>
            <w:u w:val="single"/>
          </w:rPr>
          <w:t xml:space="preserve"> </w:t>
        </w:r>
        <w:r>
          <w:rPr>
            <w:rStyle w:val="Hyperlink1"/>
            <w:rFonts w:ascii="Arial Unicode MS" w:eastAsia="Arial Unicode MS" w:hAnsi="Arial Unicode MS" w:cs="Arial Unicode MS"/>
            <w:u w:val="single"/>
          </w:rPr>
          <w:t>los</w:t>
        </w:r>
        <w:r>
          <w:rPr>
            <w:rStyle w:val="Hyperlink1"/>
            <w:u w:val="single"/>
          </w:rPr>
          <w:t xml:space="preserve"> </w:t>
        </w:r>
        <w:r>
          <w:rPr>
            <w:rStyle w:val="Hyperlink1"/>
            <w:rFonts w:ascii="Arial Unicode MS" w:eastAsia="Arial Unicode MS" w:hAnsi="Arial Unicode MS" w:cs="Arial Unicode MS"/>
            <w:u w:val="single"/>
          </w:rPr>
          <w:t>Derechos</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noviembre</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/12/2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16</w:t>
      </w:r>
      <w:r>
        <w:rPr>
          <w:rFonts w:ascii="Arial Unicode MS" w:eastAsia="Arial Unicode MS" w:hAnsi="Arial Unicode MS" w:cs="Arial Unicode MS"/>
          <w:color w:val="2B477B"/>
        </w:rPr>
        <w:t>.</w:t>
      </w:r>
    </w:p>
  </w:footnote>
  <w:footnote w:id="528">
    <w:p w14:paraId="4F539D6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861"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74</w:t>
      </w:r>
      <w:r>
        <w:rPr>
          <w:rFonts w:ascii="Arial Unicode MS" w:eastAsia="Arial Unicode MS" w:hAnsi="Arial Unicode MS" w:cs="Arial Unicode MS"/>
          <w:color w:val="2B477B"/>
        </w:rPr>
        <w:t>.</w:t>
      </w:r>
    </w:p>
  </w:footnote>
  <w:footnote w:id="529">
    <w:p w14:paraId="55CAE43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Todos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reportan</w:t>
      </w:r>
      <w:r>
        <w:rPr>
          <w:color w:val="2B477B"/>
        </w:rPr>
        <w:t xml:space="preserve"> </w:t>
      </w:r>
      <w:r>
        <w:rPr>
          <w:rFonts w:ascii="Arial Unicode MS" w:eastAsia="Arial Unicode MS" w:hAnsi="Arial Unicode MS" w:cs="Arial Unicode MS"/>
          <w:color w:val="2B477B"/>
        </w:rPr>
        <w:t>incorporan</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basadas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“emergencia”,</w:t>
      </w:r>
      <w:r>
        <w:rPr>
          <w:color w:val="2B477B"/>
        </w:rPr>
        <w:t xml:space="preserve"> </w:t>
      </w:r>
      <w:r>
        <w:rPr>
          <w:rFonts w:ascii="Arial Unicode MS" w:eastAsia="Arial Unicode MS" w:hAnsi="Arial Unicode MS" w:cs="Arial Unicode MS"/>
          <w:color w:val="2B477B"/>
        </w:rPr>
        <w:t>“peligro</w:t>
      </w:r>
      <w:r>
        <w:rPr>
          <w:color w:val="2B477B"/>
        </w:rPr>
        <w:t xml:space="preserve"> </w:t>
      </w:r>
      <w:r>
        <w:rPr>
          <w:rFonts w:ascii="Arial Unicode MS" w:eastAsia="Arial Unicode MS" w:hAnsi="Arial Unicode MS" w:cs="Arial Unicode MS"/>
          <w:color w:val="2B477B"/>
        </w:rPr>
        <w:t>inminente”</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“imposibilidad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manifestar</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internamientos</w:t>
      </w:r>
      <w:r>
        <w:rPr>
          <w:color w:val="2B477B"/>
        </w:rPr>
        <w:t xml:space="preserve"> </w:t>
      </w:r>
      <w:r>
        <w:rPr>
          <w:rFonts w:ascii="Arial Unicode MS" w:eastAsia="Arial Unicode MS" w:hAnsi="Arial Unicode MS" w:cs="Arial Unicode MS"/>
          <w:color w:val="2B477B"/>
        </w:rPr>
        <w:t>involuntarios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intervenciones</w:t>
      </w:r>
      <w:r>
        <w:rPr>
          <w:color w:val="2B477B"/>
        </w:rPr>
        <w:t xml:space="preserve"> </w:t>
      </w:r>
      <w:r>
        <w:rPr>
          <w:rFonts w:ascii="Arial Unicode MS" w:eastAsia="Arial Unicode MS" w:hAnsi="Arial Unicode MS" w:cs="Arial Unicode MS"/>
          <w:color w:val="2B477B"/>
        </w:rPr>
        <w:t>médicas</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consentidas.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período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tiempo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autoriza</w:t>
      </w:r>
      <w:r>
        <w:rPr>
          <w:color w:val="2B477B"/>
        </w:rPr>
        <w:t xml:space="preserve"> </w:t>
      </w:r>
      <w:r>
        <w:rPr>
          <w:rFonts w:ascii="Arial Unicode MS" w:eastAsia="Arial Unicode MS" w:hAnsi="Arial Unicode MS" w:cs="Arial Unicode MS"/>
          <w:color w:val="2B477B"/>
        </w:rPr>
        <w:t>dicho</w:t>
      </w:r>
      <w:r>
        <w:rPr>
          <w:color w:val="2B477B"/>
        </w:rPr>
        <w:t xml:space="preserve"> </w:t>
      </w:r>
      <w:r>
        <w:rPr>
          <w:rFonts w:ascii="Arial Unicode MS" w:eastAsia="Arial Unicode MS" w:hAnsi="Arial Unicode MS" w:cs="Arial Unicode MS"/>
          <w:color w:val="2B477B"/>
        </w:rPr>
        <w:t>internamiento</w:t>
      </w:r>
      <w:r>
        <w:rPr>
          <w:color w:val="2B477B"/>
        </w:rPr>
        <w:t xml:space="preserve"> </w:t>
      </w:r>
      <w:r>
        <w:rPr>
          <w:rFonts w:ascii="Arial Unicode MS" w:eastAsia="Arial Unicode MS" w:hAnsi="Arial Unicode MS" w:cs="Arial Unicode MS"/>
          <w:color w:val="2B477B"/>
        </w:rPr>
        <w:t>varía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legislación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otra,</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mayoría,</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contemplan</w:t>
      </w:r>
      <w:r>
        <w:rPr>
          <w:color w:val="2B477B"/>
        </w:rPr>
        <w:t xml:space="preserve"> </w:t>
      </w:r>
      <w:r>
        <w:rPr>
          <w:rFonts w:ascii="Arial Unicode MS" w:eastAsia="Arial Unicode MS" w:hAnsi="Arial Unicode MS" w:cs="Arial Unicode MS"/>
          <w:color w:val="2B477B"/>
        </w:rPr>
        <w:t>periodos</w:t>
      </w:r>
      <w:r>
        <w:rPr>
          <w:color w:val="2B477B"/>
        </w:rPr>
        <w:t xml:space="preserve"> </w:t>
      </w:r>
      <w:r>
        <w:rPr>
          <w:rFonts w:ascii="Arial Unicode MS" w:eastAsia="Arial Unicode MS" w:hAnsi="Arial Unicode MS" w:cs="Arial Unicode MS"/>
          <w:color w:val="2B477B"/>
        </w:rPr>
        <w:t>de</w:t>
      </w:r>
      <w:r>
        <w:rPr>
          <w:color w:val="2B477B"/>
        </w:rPr>
        <w:t xml:space="preserve"> 72 </w:t>
      </w:r>
      <w:r>
        <w:rPr>
          <w:rFonts w:ascii="Arial Unicode MS" w:eastAsia="Arial Unicode MS" w:hAnsi="Arial Unicode MS" w:cs="Arial Unicode MS"/>
          <w:color w:val="2B477B"/>
        </w:rPr>
        <w:t>horas,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cuales</w:t>
      </w:r>
      <w:r>
        <w:rPr>
          <w:color w:val="2B477B"/>
        </w:rPr>
        <w:t xml:space="preserve"> </w:t>
      </w:r>
      <w:r>
        <w:rPr>
          <w:rFonts w:ascii="Arial Unicode MS" w:eastAsia="Arial Unicode MS" w:hAnsi="Arial Unicode MS" w:cs="Arial Unicode MS"/>
          <w:color w:val="2B477B"/>
        </w:rPr>
        <w:t>pueden</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extendidos,</w:t>
      </w:r>
      <w:r>
        <w:rPr>
          <w:color w:val="2B477B"/>
        </w:rPr>
        <w:t xml:space="preserve"> </w:t>
      </w:r>
      <w:r>
        <w:rPr>
          <w:rFonts w:ascii="Arial Unicode MS" w:eastAsia="Arial Unicode MS" w:hAnsi="Arial Unicode MS" w:cs="Arial Unicode MS"/>
          <w:color w:val="2B477B"/>
        </w:rPr>
        <w:t>bajo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autorización</w:t>
      </w:r>
      <w:r>
        <w:rPr>
          <w:color w:val="2B477B"/>
        </w:rPr>
        <w:t xml:space="preserve"> </w:t>
      </w:r>
      <w:r>
        <w:rPr>
          <w:rFonts w:ascii="Arial Unicode MS" w:eastAsia="Arial Unicode MS" w:hAnsi="Arial Unicode MS" w:cs="Arial Unicode MS"/>
          <w:color w:val="2B477B"/>
        </w:rPr>
        <w:t>judicial</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recomendación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cargo,</w:t>
      </w:r>
      <w:r>
        <w:rPr>
          <w:color w:val="2B477B"/>
        </w:rPr>
        <w:t xml:space="preserve"> </w:t>
      </w:r>
      <w:r>
        <w:rPr>
          <w:rFonts w:ascii="Arial Unicode MS" w:eastAsia="Arial Unicode MS" w:hAnsi="Arial Unicode MS" w:cs="Arial Unicode MS"/>
          <w:color w:val="2B477B"/>
        </w:rPr>
        <w:t>hasta</w:t>
      </w:r>
      <w:r>
        <w:rPr>
          <w:color w:val="2B477B"/>
        </w:rPr>
        <w:t xml:space="preserve"> </w:t>
      </w:r>
      <w:r>
        <w:rPr>
          <w:rFonts w:ascii="Arial Unicode MS" w:eastAsia="Arial Unicode MS" w:hAnsi="Arial Unicode MS" w:cs="Arial Unicode MS"/>
          <w:color w:val="2B477B"/>
        </w:rPr>
        <w:t>periodos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ocho</w:t>
      </w:r>
      <w:r>
        <w:rPr>
          <w:color w:val="2B477B"/>
        </w:rPr>
        <w:t xml:space="preserve"> </w:t>
      </w:r>
      <w:r>
        <w:rPr>
          <w:rFonts w:ascii="Arial Unicode MS" w:eastAsia="Arial Unicode MS" w:hAnsi="Arial Unicode MS" w:cs="Arial Unicode MS"/>
          <w:color w:val="2B477B"/>
        </w:rPr>
        <w:t>semanas,</w:t>
      </w:r>
      <w:r>
        <w:rPr>
          <w:color w:val="2B477B"/>
        </w:rPr>
        <w:t xml:space="preserve"> </w:t>
      </w:r>
      <w:r>
        <w:rPr>
          <w:rFonts w:ascii="Arial Unicode MS" w:eastAsia="Arial Unicode MS" w:hAnsi="Arial Unicode MS" w:cs="Arial Unicode MS"/>
          <w:color w:val="2B477B"/>
        </w:rPr>
        <w:t>seis</w:t>
      </w:r>
      <w:r>
        <w:rPr>
          <w:color w:val="2B477B"/>
        </w:rPr>
        <w:t xml:space="preserve"> </w:t>
      </w:r>
      <w:r>
        <w:rPr>
          <w:rFonts w:ascii="Arial Unicode MS" w:eastAsia="Arial Unicode MS" w:hAnsi="Arial Unicode MS" w:cs="Arial Unicode MS"/>
          <w:color w:val="2B477B"/>
        </w:rPr>
        <w:t>meses</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hasta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año,</w:t>
      </w:r>
      <w:r>
        <w:rPr>
          <w:color w:val="2B477B"/>
        </w:rPr>
        <w:t xml:space="preserve"> </w:t>
      </w:r>
      <w:r>
        <w:rPr>
          <w:rFonts w:ascii="Arial Unicode MS" w:eastAsia="Arial Unicode MS" w:hAnsi="Arial Unicode MS" w:cs="Arial Unicode MS"/>
          <w:color w:val="2B477B"/>
        </w:rPr>
        <w:t>pudiendo</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renovado,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estimarse</w:t>
      </w:r>
      <w:r>
        <w:rPr>
          <w:color w:val="2B477B"/>
        </w:rPr>
        <w:t xml:space="preserve"> </w:t>
      </w:r>
      <w:r>
        <w:rPr>
          <w:rFonts w:ascii="Arial Unicode MS" w:eastAsia="Arial Unicode MS" w:hAnsi="Arial Unicode MS" w:cs="Arial Unicode MS"/>
          <w:color w:val="2B477B"/>
        </w:rPr>
        <w:t>necesario,</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consulta</w:t>
      </w:r>
      <w:r>
        <w:rPr>
          <w:color w:val="2B477B"/>
        </w:rPr>
        <w:t xml:space="preserve"> </w:t>
      </w:r>
      <w:r>
        <w:rPr>
          <w:rFonts w:ascii="Arial Unicode MS" w:eastAsia="Arial Unicode MS" w:hAnsi="Arial Unicode MS" w:cs="Arial Unicode MS"/>
          <w:color w:val="2B477B"/>
        </w:rPr>
        <w:t>vinculante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cuestión.</w:t>
      </w:r>
      <w:r>
        <w:rPr>
          <w:color w:val="2B477B"/>
        </w:rPr>
        <w:t xml:space="preserve"> </w:t>
      </w:r>
    </w:p>
  </w:footnote>
  <w:footnote w:id="530">
    <w:p w14:paraId="63A203B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primeros</w:t>
      </w:r>
      <w:r>
        <w:rPr>
          <w:color w:val="2B477B"/>
        </w:rPr>
        <w:t xml:space="preserve"> </w:t>
      </w:r>
      <w:r>
        <w:rPr>
          <w:rFonts w:ascii="Arial Unicode MS" w:eastAsia="Arial Unicode MS" w:hAnsi="Arial Unicode MS" w:cs="Arial Unicode MS"/>
          <w:color w:val="2B477B"/>
        </w:rPr>
        <w:t>dos</w:t>
      </w:r>
      <w:r>
        <w:rPr>
          <w:color w:val="2B477B"/>
        </w:rPr>
        <w:t xml:space="preserve"> </w:t>
      </w:r>
      <w:r>
        <w:rPr>
          <w:rFonts w:ascii="Arial Unicode MS" w:eastAsia="Arial Unicode MS" w:hAnsi="Arial Unicode MS" w:cs="Arial Unicode MS"/>
          <w:color w:val="2B477B"/>
        </w:rPr>
        <w:t>supuestos</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legislación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6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20 </w:t>
      </w:r>
      <w:r>
        <w:rPr>
          <w:rFonts w:ascii="Arial Unicode MS" w:eastAsia="Arial Unicode MS" w:hAnsi="Arial Unicode MS" w:cs="Arial Unicode MS"/>
          <w:color w:val="2B477B"/>
        </w:rPr>
        <w:t>y</w:t>
      </w:r>
      <w:r>
        <w:rPr>
          <w:color w:val="2B477B"/>
        </w:rPr>
        <w:t xml:space="preserve"> 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hyperlink r:id="rId863" w:history="1">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657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20</w:t>
      </w:r>
      <w:r>
        <w:rPr>
          <w:rFonts w:ascii="Arial Unicode MS" w:eastAsia="Arial Unicode MS" w:hAnsi="Arial Unicode MS" w:cs="Arial Unicode MS"/>
          <w:color w:val="2B477B"/>
        </w:rPr>
        <w:t>-</w:t>
      </w:r>
      <w:r>
        <w:rPr>
          <w:color w:val="2B477B"/>
        </w:rPr>
        <w:t>30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del</w:t>
      </w:r>
      <w:r>
        <w:rPr>
          <w:color w:val="2B477B"/>
        </w:rPr>
        <w:t xml:space="preserve"> </w:t>
      </w:r>
      <w:hyperlink r:id="rId864"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r>
          <w:rPr>
            <w:color w:val="2B477B"/>
          </w:rPr>
          <w:t xml:space="preserve"> </w:t>
        </w:r>
      </w:hyperlink>
      <w:r>
        <w:rPr>
          <w:rFonts w:ascii="Arial Unicode MS" w:eastAsia="Arial Unicode MS" w:hAnsi="Arial Unicode MS" w:cs="Arial Unicode MS"/>
          <w:color w:val="2B477B"/>
        </w:rPr>
        <w:t>de</w:t>
      </w:r>
      <w:r>
        <w:rPr>
          <w:color w:val="2B477B"/>
        </w:rPr>
        <w:t xml:space="preserve"> 1969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hyperlink r:id="rId865"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1980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Belice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hyperlink r:id="rId866" w:history="1">
        <w:r>
          <w:rPr>
            <w:rFonts w:ascii="Arial Unicode MS" w:eastAsia="Arial Unicode MS" w:hAnsi="Arial Unicode MS" w:cs="Arial Unicode MS"/>
            <w:color w:val="2B477B"/>
          </w:rPr>
          <w:t>Medical</w:t>
        </w:r>
        <w:r>
          <w:rPr>
            <w:color w:val="2B477B"/>
          </w:rPr>
          <w:t xml:space="preserve"> </w:t>
        </w:r>
        <w:r>
          <w:rPr>
            <w:rFonts w:ascii="Arial Unicode MS" w:eastAsia="Arial Unicode MS" w:hAnsi="Arial Unicode MS" w:cs="Arial Unicode MS"/>
            <w:color w:val="2B477B"/>
          </w:rPr>
          <w:t>Service</w:t>
        </w:r>
        <w:r>
          <w:rPr>
            <w:color w:val="2B477B"/>
          </w:rPr>
          <w:t xml:space="preserve"> </w:t>
        </w:r>
        <w:r>
          <w:rPr>
            <w:rFonts w:ascii="Arial Unicode MS" w:eastAsia="Arial Unicode MS" w:hAnsi="Arial Unicode MS" w:cs="Arial Unicode MS"/>
            <w:color w:val="2B477B"/>
          </w:rPr>
          <w:t>and</w:t>
        </w:r>
        <w:r>
          <w:rPr>
            <w:color w:val="2B477B"/>
          </w:rPr>
          <w:t xml:space="preserve"> </w:t>
        </w:r>
        <w:r>
          <w:rPr>
            <w:rFonts w:ascii="Arial Unicode MS" w:eastAsia="Arial Unicode MS" w:hAnsi="Arial Unicode MS" w:cs="Arial Unicode MS"/>
            <w:color w:val="2B477B"/>
          </w:rPr>
          <w:t>Institutions</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1964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34 </w:t>
      </w:r>
      <w:r>
        <w:rPr>
          <w:rFonts w:ascii="Arial Unicode MS" w:eastAsia="Arial Unicode MS" w:hAnsi="Arial Unicode MS" w:cs="Arial Unicode MS"/>
          <w:color w:val="2B477B"/>
        </w:rPr>
        <w:t>y</w:t>
      </w:r>
      <w:r>
        <w:rPr>
          <w:color w:val="2B477B"/>
        </w:rPr>
        <w:t xml:space="preserve"> 35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67" w:history="1">
        <w:r>
          <w:rPr>
            <w:rFonts w:ascii="Arial Unicode MS" w:eastAsia="Arial Unicode MS" w:hAnsi="Arial Unicode MS" w:cs="Arial Unicode MS"/>
            <w:color w:val="2B477B"/>
          </w:rPr>
          <w:t>Ley</w:t>
        </w:r>
        <w:r>
          <w:rPr>
            <w:color w:val="2B477B"/>
          </w:rPr>
          <w:t xml:space="preserve"> 10</w:t>
        </w:r>
        <w:r>
          <w:rPr>
            <w:rFonts w:ascii="Arial Unicode MS" w:eastAsia="Arial Unicode MS" w:hAnsi="Arial Unicode MS" w:cs="Arial Unicode MS"/>
            <w:color w:val="2B477B"/>
          </w:rPr>
          <w:t>.</w:t>
        </w:r>
        <w:r>
          <w:rPr>
            <w:color w:val="2B477B"/>
          </w:rPr>
          <w:t>216</w:t>
        </w:r>
      </w:hyperlink>
      <w:r>
        <w:rPr>
          <w:color w:val="2B477B"/>
        </w:rPr>
        <w:t xml:space="preserve"> </w:t>
      </w:r>
      <w:r>
        <w:rPr>
          <w:rFonts w:ascii="Arial Unicode MS" w:eastAsia="Arial Unicode MS" w:hAnsi="Arial Unicode MS" w:cs="Arial Unicode MS"/>
          <w:color w:val="2B477B"/>
        </w:rPr>
        <w:t>de</w:t>
      </w:r>
      <w:r>
        <w:rPr>
          <w:color w:val="2B477B"/>
        </w:rPr>
        <w:t xml:space="preserve"> 2001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 </w:t>
      </w:r>
      <w:r>
        <w:rPr>
          <w:rFonts w:ascii="Arial Unicode MS" w:eastAsia="Arial Unicode MS" w:hAnsi="Arial Unicode MS" w:cs="Arial Unicode MS"/>
          <w:color w:val="2B477B"/>
        </w:rPr>
        <w:t>y</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hyperlink r:id="rId868" w:history="1">
        <w:r>
          <w:rPr>
            <w:color w:val="2B477B"/>
          </w:rPr>
          <w:t xml:space="preserve"> </w:t>
        </w:r>
        <w:r>
          <w:rPr>
            <w:rFonts w:ascii="Arial Unicode MS" w:eastAsia="Arial Unicode MS" w:hAnsi="Arial Unicode MS" w:cs="Arial Unicode MS"/>
            <w:color w:val="2B477B"/>
          </w:rPr>
          <w:t>Ley</w:t>
        </w:r>
        <w:r>
          <w:rPr>
            <w:color w:val="2B477B"/>
          </w:rPr>
          <w:t xml:space="preserve"> 9213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Creación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Secretaría</w:t>
        </w:r>
        <w:r>
          <w:rPr>
            <w:color w:val="2B477B"/>
          </w:rPr>
          <w:t xml:space="preserve"> </w:t>
        </w:r>
        <w:r>
          <w:rPr>
            <w:rFonts w:ascii="Arial Unicode MS" w:eastAsia="Arial Unicode MS" w:hAnsi="Arial Unicode MS" w:cs="Arial Unicode MS"/>
            <w:color w:val="2B477B"/>
          </w:rPr>
          <w:t>Técnica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69" w:history="1">
        <w:r>
          <w:rPr>
            <w:rFonts w:ascii="Arial Unicode MS" w:eastAsia="Arial Unicode MS" w:hAnsi="Arial Unicode MS" w:cs="Arial Unicode MS"/>
            <w:color w:val="2B477B"/>
          </w:rPr>
          <w:t>Norma</w:t>
        </w:r>
        <w:r>
          <w:rPr>
            <w:color w:val="2B477B"/>
          </w:rPr>
          <w:t xml:space="preserve"> 65</w:t>
        </w:r>
        <w:r>
          <w:rPr>
            <w:rFonts w:ascii="Arial Unicode MS" w:eastAsia="Arial Unicode MS" w:hAnsi="Arial Unicode MS" w:cs="Arial Unicode MS"/>
            <w:color w:val="2B477B"/>
          </w:rPr>
          <w:t>-</w:t>
        </w:r>
        <w:r>
          <w:rPr>
            <w:color w:val="2B477B"/>
          </w:rPr>
          <w:t>91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hyperlink>
      <w:r>
        <w:rPr>
          <w:color w:val="2B477B"/>
        </w:rPr>
        <w:t xml:space="preserve"> </w:t>
      </w:r>
      <w:r>
        <w:rPr>
          <w:rFonts w:ascii="Arial Unicode MS" w:eastAsia="Arial Unicode MS" w:hAnsi="Arial Unicode MS" w:cs="Arial Unicode MS"/>
          <w:color w:val="2B477B"/>
        </w:rPr>
        <w:t>de</w:t>
      </w:r>
      <w:r>
        <w:rPr>
          <w:color w:val="2B477B"/>
        </w:rPr>
        <w:t xml:space="preserve"> 1991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15 </w:t>
      </w:r>
      <w:r>
        <w:rPr>
          <w:rFonts w:ascii="Arial Unicode MS" w:eastAsia="Arial Unicode MS" w:hAnsi="Arial Unicode MS" w:cs="Arial Unicode MS"/>
          <w:color w:val="2B477B"/>
        </w:rPr>
        <w:t>y</w:t>
      </w:r>
      <w:r>
        <w:rPr>
          <w:color w:val="2B477B"/>
        </w:rPr>
        <w:t xml:space="preserve"> 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Jamaica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hyperlink r:id="rId870" w:history="1">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Nicaragua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71" w:history="1">
        <w:r>
          <w:rPr>
            <w:rFonts w:ascii="Arial Unicode MS" w:eastAsia="Arial Unicode MS" w:hAnsi="Arial Unicode MS" w:cs="Arial Unicode MS"/>
            <w:color w:val="2B477B"/>
          </w:rPr>
          <w:t>Ley</w:t>
        </w:r>
        <w:r>
          <w:rPr>
            <w:color w:val="2B477B"/>
          </w:rPr>
          <w:t xml:space="preserve"> 650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Protección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Enfermedades</w:t>
        </w:r>
        <w:r>
          <w:rPr>
            <w:color w:val="2B477B"/>
          </w:rPr>
          <w:t xml:space="preserve"> </w:t>
        </w:r>
        <w:r>
          <w:rPr>
            <w:rFonts w:ascii="Arial Unicode MS" w:eastAsia="Arial Unicode MS" w:hAnsi="Arial Unicode MS" w:cs="Arial Unicode MS"/>
            <w:color w:val="2B477B"/>
          </w:rPr>
          <w:t>Mentales</w:t>
        </w:r>
      </w:hyperlink>
      <w:r>
        <w:rPr>
          <w:color w:val="2B477B"/>
        </w:rPr>
        <w:t xml:space="preserve"> </w:t>
      </w:r>
      <w:r>
        <w:rPr>
          <w:rFonts w:ascii="Arial Unicode MS" w:eastAsia="Arial Unicode MS" w:hAnsi="Arial Unicode MS" w:cs="Arial Unicode MS"/>
          <w:color w:val="2B477B"/>
        </w:rPr>
        <w:t>de</w:t>
      </w:r>
      <w:r>
        <w:rPr>
          <w:color w:val="2B477B"/>
        </w:rPr>
        <w:t xml:space="preserve"> 2008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72" w:history="1">
        <w:r>
          <w:rPr>
            <w:rFonts w:ascii="Arial Unicode MS" w:eastAsia="Arial Unicode MS" w:hAnsi="Arial Unicode MS" w:cs="Arial Unicode MS"/>
            <w:color w:val="2B477B"/>
          </w:rPr>
          <w:t>Ley</w:t>
        </w:r>
        <w:r>
          <w:rPr>
            <w:color w:val="2B477B"/>
          </w:rPr>
          <w:t xml:space="preserve"> 836/80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Sanitario</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24</w:t>
      </w:r>
      <w:r>
        <w:rPr>
          <w:rFonts w:ascii="Arial Unicode MS" w:eastAsia="Arial Unicode MS" w:hAnsi="Arial Unicode MS" w:cs="Arial Unicode MS"/>
          <w:color w:val="2B477B"/>
        </w:rPr>
        <w:t>,</w:t>
      </w:r>
      <w:r>
        <w:rPr>
          <w:color w:val="2B477B"/>
        </w:rPr>
        <w:t xml:space="preserve"> 44 </w:t>
      </w:r>
      <w:r>
        <w:rPr>
          <w:rFonts w:ascii="Arial Unicode MS" w:eastAsia="Arial Unicode MS" w:hAnsi="Arial Unicode MS" w:cs="Arial Unicode MS"/>
          <w:color w:val="2B477B"/>
        </w:rPr>
        <w:t>y</w:t>
      </w:r>
      <w:r>
        <w:rPr>
          <w:color w:val="2B477B"/>
        </w:rPr>
        <w:t xml:space="preserve"> 45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73" w:history="1">
        <w:r>
          <w:rPr>
            <w:rFonts w:ascii="Arial Unicode MS" w:eastAsia="Arial Unicode MS" w:hAnsi="Arial Unicode MS" w:cs="Arial Unicode MS"/>
            <w:color w:val="2B477B"/>
          </w:rPr>
          <w:t>Ley</w:t>
        </w:r>
        <w:r>
          <w:rPr>
            <w:color w:val="2B477B"/>
          </w:rPr>
          <w:t xml:space="preserve"> 30947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hyperlink>
      <w:r>
        <w:rPr>
          <w:color w:val="2B477B"/>
        </w:rPr>
        <w:t xml:space="preserve"> </w:t>
      </w:r>
      <w:r>
        <w:rPr>
          <w:rFonts w:ascii="Arial Unicode MS" w:eastAsia="Arial Unicode MS" w:hAnsi="Arial Unicode MS" w:cs="Arial Unicode MS"/>
          <w:color w:val="2B477B"/>
        </w:rPr>
        <w:t>de</w:t>
      </w:r>
      <w:r>
        <w:rPr>
          <w:color w:val="2B477B"/>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Republica</w:t>
      </w:r>
      <w:r>
        <w:rPr>
          <w:color w:val="2B477B"/>
        </w:rPr>
        <w:t xml:space="preserve"> </w:t>
      </w:r>
      <w:r>
        <w:rPr>
          <w:rFonts w:ascii="Arial Unicode MS" w:eastAsia="Arial Unicode MS" w:hAnsi="Arial Unicode MS" w:cs="Arial Unicode MS"/>
          <w:color w:val="2B477B"/>
        </w:rPr>
        <w:t>Dominicana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74" w:history="1">
        <w:r>
          <w:rPr>
            <w:rFonts w:ascii="Arial Unicode MS" w:eastAsia="Arial Unicode MS" w:hAnsi="Arial Unicode MS" w:cs="Arial Unicode MS"/>
            <w:color w:val="2B477B"/>
          </w:rPr>
          <w:t>Ley</w:t>
        </w:r>
        <w:r>
          <w:rPr>
            <w:color w:val="2B477B"/>
          </w:rPr>
          <w:t xml:space="preserve"> 12</w:t>
        </w:r>
        <w:r>
          <w:rPr>
            <w:rFonts w:ascii="Arial Unicode MS" w:eastAsia="Arial Unicode MS" w:hAnsi="Arial Unicode MS" w:cs="Arial Unicode MS"/>
            <w:color w:val="2B477B"/>
          </w:rPr>
          <w:t>-</w:t>
        </w:r>
        <w:r>
          <w:rPr>
            <w:color w:val="2B477B"/>
          </w:rPr>
          <w:t>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w:t>
        </w:r>
      </w:hyperlink>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arts.</w:t>
      </w:r>
      <w:r>
        <w:rPr>
          <w:color w:val="2B477B"/>
        </w:rPr>
        <w:t xml:space="preserve"> 53</w:t>
      </w:r>
      <w:r>
        <w:rPr>
          <w:rFonts w:ascii="Arial Unicode MS" w:eastAsia="Arial Unicode MS" w:hAnsi="Arial Unicode MS" w:cs="Arial Unicode MS"/>
          <w:color w:val="2B477B"/>
        </w:rPr>
        <w:t>,</w:t>
      </w:r>
      <w:r>
        <w:rPr>
          <w:color w:val="2B477B"/>
        </w:rPr>
        <w:t xml:space="preserve"> 54 </w:t>
      </w:r>
      <w:r>
        <w:rPr>
          <w:rFonts w:ascii="Arial Unicode MS" w:eastAsia="Arial Unicode MS" w:hAnsi="Arial Unicode MS" w:cs="Arial Unicode MS"/>
          <w:color w:val="2B477B"/>
        </w:rPr>
        <w:t>y</w:t>
      </w:r>
      <w:r>
        <w:rPr>
          <w:color w:val="2B477B"/>
        </w:rPr>
        <w:t xml:space="preserve"> 55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Surinam</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Legislation</w:t>
      </w:r>
      <w:r>
        <w:rPr>
          <w:color w:val="2B477B"/>
        </w:rPr>
        <w:t xml:space="preserve"> </w:t>
      </w:r>
      <w:r>
        <w:rPr>
          <w:rFonts w:ascii="Arial Unicode MS" w:eastAsia="Arial Unicode MS" w:hAnsi="Arial Unicode MS" w:cs="Arial Unicode MS"/>
          <w:color w:val="2B477B"/>
        </w:rPr>
        <w:t>Lunacy</w:t>
      </w:r>
      <w:r>
        <w:rPr>
          <w:color w:val="2B477B"/>
        </w:rPr>
        <w:t xml:space="preserve"> </w:t>
      </w:r>
      <w:r>
        <w:rPr>
          <w:rFonts w:ascii="Arial Unicode MS" w:eastAsia="Arial Unicode MS" w:hAnsi="Arial Unicode MS" w:cs="Arial Unicode MS"/>
          <w:color w:val="2B477B"/>
        </w:rPr>
        <w:t>Act</w:t>
      </w:r>
      <w:r>
        <w:rPr>
          <w:color w:val="2B477B"/>
        </w:rPr>
        <w:t xml:space="preserve"> </w:t>
      </w:r>
      <w:r>
        <w:rPr>
          <w:rFonts w:ascii="Arial Unicode MS" w:eastAsia="Arial Unicode MS" w:hAnsi="Arial Unicode MS" w:cs="Arial Unicode MS"/>
          <w:color w:val="2B477B"/>
        </w:rPr>
        <w:t>de</w:t>
      </w:r>
      <w:r>
        <w:rPr>
          <w:color w:val="2B477B"/>
        </w:rPr>
        <w:t xml:space="preserve"> 1912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hyperlink r:id="rId875"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r>
          <w:rPr>
            <w:color w:val="2B477B"/>
          </w:rPr>
          <w:t xml:space="preserve"> </w:t>
        </w:r>
      </w:hyperlink>
      <w:r>
        <w:rPr>
          <w:rFonts w:ascii="Arial Unicode MS" w:eastAsia="Arial Unicode MS" w:hAnsi="Arial Unicode MS" w:cs="Arial Unicode MS"/>
          <w:color w:val="2B477B"/>
        </w:rPr>
        <w:t>de</w:t>
      </w:r>
      <w:r>
        <w:rPr>
          <w:color w:val="2B477B"/>
        </w:rPr>
        <w:t xml:space="preserve"> 1975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8 </w:t>
      </w:r>
      <w:r>
        <w:rPr>
          <w:rFonts w:ascii="Arial Unicode MS" w:eastAsia="Arial Unicode MS" w:hAnsi="Arial Unicode MS" w:cs="Arial Unicode MS"/>
          <w:color w:val="2B477B"/>
        </w:rPr>
        <w:t>a</w:t>
      </w:r>
      <w:r>
        <w:rPr>
          <w:color w:val="2B477B"/>
        </w:rPr>
        <w:t xml:space="preserve"> 15 </w:t>
      </w:r>
      <w:r>
        <w:rPr>
          <w:rFonts w:ascii="Arial Unicode MS" w:eastAsia="Arial Unicode MS" w:hAnsi="Arial Unicode MS" w:cs="Arial Unicode MS"/>
          <w:color w:val="2B477B"/>
        </w:rPr>
        <w:t>y</w:t>
      </w:r>
      <w:r>
        <w:rPr>
          <w:color w:val="2B477B"/>
        </w:rPr>
        <w:t xml:space="preserve"> 36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76" w:history="1">
        <w:r>
          <w:rPr>
            <w:rFonts w:ascii="Arial Unicode MS" w:eastAsia="Arial Unicode MS" w:hAnsi="Arial Unicode MS" w:cs="Arial Unicode MS"/>
            <w:color w:val="2B477B"/>
          </w:rPr>
          <w:t>Ley</w:t>
        </w:r>
        <w:r>
          <w:rPr>
            <w:color w:val="2B477B"/>
          </w:rPr>
          <w:t xml:space="preserve"> 19</w:t>
        </w:r>
        <w:r>
          <w:rPr>
            <w:rFonts w:ascii="Arial Unicode MS" w:eastAsia="Arial Unicode MS" w:hAnsi="Arial Unicode MS" w:cs="Arial Unicode MS"/>
            <w:color w:val="2B477B"/>
          </w:rPr>
          <w:t>.</w:t>
        </w:r>
        <w:r>
          <w:rPr>
            <w:color w:val="2B477B"/>
          </w:rPr>
          <w:t>529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30 </w:t>
      </w:r>
      <w:r>
        <w:rPr>
          <w:rFonts w:ascii="Arial Unicode MS" w:eastAsia="Arial Unicode MS" w:hAnsi="Arial Unicode MS" w:cs="Arial Unicode MS"/>
          <w:color w:val="2B477B"/>
        </w:rPr>
        <w:t>a</w:t>
      </w:r>
      <w:r>
        <w:rPr>
          <w:color w:val="2B477B"/>
        </w:rPr>
        <w:t xml:space="preserve"> 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77" w:history="1">
        <w:r>
          <w:rPr>
            <w:rFonts w:ascii="Arial Unicode MS" w:eastAsia="Arial Unicode MS" w:hAnsi="Arial Unicode MS" w:cs="Arial Unicode MS"/>
            <w:color w:val="2B477B"/>
          </w:rPr>
          <w:t>Ley</w:t>
        </w:r>
        <w:r>
          <w:rPr>
            <w:color w:val="2B477B"/>
          </w:rPr>
          <w:t xml:space="preserve"> 67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Orgánica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hyperlink>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w:t>
      </w:r>
      <w:r>
        <w:rPr>
          <w:rFonts w:ascii="Arial Unicode MS" w:eastAsia="Arial Unicode MS" w:hAnsi="Arial Unicode MS" w:cs="Arial Unicode MS"/>
          <w:color w:val="2B477B"/>
        </w:rPr>
        <w:t>.</w:t>
      </w:r>
    </w:p>
  </w:footnote>
  <w:footnote w:id="531">
    <w:p w14:paraId="59759FB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hyperlink r:id="rId878" w:history="1">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hyperlink>
      <w:r>
        <w:rPr>
          <w:color w:val="2B477B"/>
        </w:rPr>
        <w:t xml:space="preserve"> </w:t>
      </w:r>
      <w:r>
        <w:rPr>
          <w:rFonts w:ascii="Arial Unicode MS" w:eastAsia="Arial Unicode MS" w:hAnsi="Arial Unicode MS" w:cs="Arial Unicode MS"/>
          <w:color w:val="2B477B"/>
        </w:rPr>
        <w:t>arts.</w:t>
      </w:r>
      <w:r>
        <w:rPr>
          <w:color w:val="2B477B"/>
        </w:rPr>
        <w:t xml:space="preserve"> 299</w:t>
      </w:r>
      <w:r>
        <w:rPr>
          <w:rFonts w:ascii="Arial Unicode MS" w:eastAsia="Arial Unicode MS" w:hAnsi="Arial Unicode MS" w:cs="Arial Unicode MS"/>
          <w:color w:val="2B477B"/>
        </w:rPr>
        <w:t>,</w:t>
      </w:r>
      <w:r>
        <w:rPr>
          <w:color w:val="2B477B"/>
        </w:rPr>
        <w:t xml:space="preserve"> 484</w:t>
      </w:r>
      <w:r>
        <w:rPr>
          <w:rFonts w:ascii="Arial Unicode MS" w:eastAsia="Arial Unicode MS" w:hAnsi="Arial Unicode MS" w:cs="Arial Unicode MS"/>
          <w:color w:val="2B477B"/>
        </w:rPr>
        <w:t>,</w:t>
      </w:r>
      <w:r>
        <w:rPr>
          <w:color w:val="2B477B"/>
        </w:rPr>
        <w:t xml:space="preserve"> 554</w:t>
      </w:r>
      <w:r>
        <w:rPr>
          <w:rFonts w:ascii="Arial Unicode MS" w:eastAsia="Arial Unicode MS" w:hAnsi="Arial Unicode MS" w:cs="Arial Unicode MS"/>
          <w:color w:val="2B477B"/>
        </w:rPr>
        <w:t>,</w:t>
      </w:r>
      <w:r>
        <w:rPr>
          <w:color w:val="2B477B"/>
        </w:rPr>
        <w:t xml:space="preserve"> 558</w:t>
      </w:r>
      <w:r>
        <w:rPr>
          <w:rFonts w:ascii="Arial Unicode MS" w:eastAsia="Arial Unicode MS" w:hAnsi="Arial Unicode MS" w:cs="Arial Unicode MS"/>
          <w:color w:val="2B477B"/>
        </w:rPr>
        <w:t>,</w:t>
      </w:r>
      <w:r>
        <w:rPr>
          <w:color w:val="2B477B"/>
        </w:rPr>
        <w:t xml:space="preserve"> 661</w:t>
      </w:r>
      <w:r>
        <w:rPr>
          <w:rFonts w:ascii="Arial Unicode MS" w:eastAsia="Arial Unicode MS" w:hAnsi="Arial Unicode MS" w:cs="Arial Unicode MS"/>
          <w:color w:val="2B477B"/>
        </w:rPr>
        <w:t>,</w:t>
      </w:r>
      <w:r>
        <w:rPr>
          <w:color w:val="2B477B"/>
        </w:rPr>
        <w:t xml:space="preserve"> 662</w:t>
      </w:r>
      <w:r>
        <w:rPr>
          <w:rFonts w:ascii="Arial Unicode MS" w:eastAsia="Arial Unicode MS" w:hAnsi="Arial Unicode MS" w:cs="Arial Unicode MS"/>
          <w:color w:val="2B477B"/>
        </w:rPr>
        <w:t>,</w:t>
      </w:r>
      <w:r>
        <w:rPr>
          <w:color w:val="2B477B"/>
        </w:rPr>
        <w:t xml:space="preserve"> 729</w:t>
      </w:r>
      <w:r>
        <w:rPr>
          <w:rFonts w:ascii="Arial Unicode MS" w:eastAsia="Arial Unicode MS" w:hAnsi="Arial Unicode MS" w:cs="Arial Unicode MS"/>
          <w:color w:val="2B477B"/>
        </w:rPr>
        <w:t>,</w:t>
      </w:r>
      <w:r>
        <w:rPr>
          <w:color w:val="2B477B"/>
        </w:rPr>
        <w:t xml:space="preserve"> 989</w:t>
      </w:r>
      <w:r>
        <w:rPr>
          <w:rFonts w:ascii="Arial Unicode MS" w:eastAsia="Arial Unicode MS" w:hAnsi="Arial Unicode MS" w:cs="Arial Unicode MS"/>
          <w:color w:val="2B477B"/>
        </w:rPr>
        <w:t>,</w:t>
      </w:r>
      <w:r>
        <w:rPr>
          <w:color w:val="2B477B"/>
        </w:rPr>
        <w:t xml:space="preserve"> 1119</w:t>
      </w:r>
      <w:r>
        <w:rPr>
          <w:rFonts w:ascii="Arial Unicode MS" w:eastAsia="Arial Unicode MS" w:hAnsi="Arial Unicode MS" w:cs="Arial Unicode MS"/>
          <w:color w:val="2B477B"/>
        </w:rPr>
        <w:t>,</w:t>
      </w:r>
      <w:r>
        <w:rPr>
          <w:color w:val="2B477B"/>
        </w:rPr>
        <w:t xml:space="preserve"> 1121</w:t>
      </w:r>
      <w:r>
        <w:rPr>
          <w:rFonts w:ascii="Arial Unicode MS" w:eastAsia="Arial Unicode MS" w:hAnsi="Arial Unicode MS" w:cs="Arial Unicode MS"/>
          <w:color w:val="2B477B"/>
        </w:rPr>
        <w:t>,</w:t>
      </w:r>
      <w:r>
        <w:rPr>
          <w:color w:val="2B477B"/>
        </w:rPr>
        <w:t xml:space="preserve"> 1146 </w:t>
      </w:r>
      <w:r>
        <w:rPr>
          <w:rFonts w:ascii="Arial Unicode MS" w:eastAsia="Arial Unicode MS" w:hAnsi="Arial Unicode MS" w:cs="Arial Unicode MS"/>
          <w:color w:val="2B477B"/>
        </w:rPr>
        <w:t>y</w:t>
      </w:r>
      <w:r>
        <w:rPr>
          <w:color w:val="2B477B"/>
        </w:rPr>
        <w:t xml:space="preserve"> 1184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hyperlink r:id="rId879"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80"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584</w:t>
        </w:r>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art.</w:t>
      </w:r>
      <w:r>
        <w:rPr>
          <w:color w:val="2B477B"/>
        </w:rPr>
        <w:t xml:space="preserve"> 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881" w:history="1">
        <w:r>
          <w:rPr>
            <w:rFonts w:ascii="Arial Unicode MS" w:eastAsia="Arial Unicode MS" w:hAnsi="Arial Unicode MS" w:cs="Arial Unicode MS"/>
            <w:color w:val="2B477B"/>
          </w:rPr>
          <w:t>DFL</w:t>
        </w:r>
        <w:r>
          <w:rPr>
            <w:color w:val="2B477B"/>
          </w:rPr>
          <w:t xml:space="preserve">1 </w:t>
        </w:r>
        <w:r>
          <w:rPr>
            <w:rFonts w:ascii="Arial Unicode MS" w:eastAsia="Arial Unicode MS" w:hAnsi="Arial Unicode MS" w:cs="Arial Unicode MS"/>
            <w:color w:val="2B477B"/>
          </w:rPr>
          <w:t>de</w:t>
        </w:r>
        <w:r>
          <w:rPr>
            <w:color w:val="2B477B"/>
          </w:rPr>
          <w:t xml:space="preserve"> 200</w:t>
        </w:r>
      </w:hyperlink>
      <w:hyperlink r:id="rId882" w:history="1">
        <w:r>
          <w:rPr>
            <w:color w:val="2B477B"/>
          </w:rPr>
          <w:t>0</w:t>
        </w:r>
      </w:hyperlink>
      <w:hyperlink r:id="rId883" w:history="1">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Fija</w:t>
        </w:r>
        <w:r>
          <w:rPr>
            <w:color w:val="2B477B"/>
          </w:rPr>
          <w:t xml:space="preserve"> </w:t>
        </w:r>
        <w:r>
          <w:rPr>
            <w:rFonts w:ascii="Arial Unicode MS" w:eastAsia="Arial Unicode MS" w:hAnsi="Arial Unicode MS" w:cs="Arial Unicode MS"/>
            <w:color w:val="2B477B"/>
          </w:rPr>
          <w:t>texto</w:t>
        </w:r>
        <w:r>
          <w:rPr>
            <w:color w:val="2B477B"/>
          </w:rPr>
          <w:t xml:space="preserve"> </w:t>
        </w:r>
        <w:r>
          <w:rPr>
            <w:rFonts w:ascii="Arial Unicode MS" w:eastAsia="Arial Unicode MS" w:hAnsi="Arial Unicode MS" w:cs="Arial Unicode MS"/>
            <w:color w:val="2B477B"/>
          </w:rPr>
          <w:t>refundido,</w:t>
        </w:r>
        <w:r>
          <w:rPr>
            <w:color w:val="2B477B"/>
          </w:rPr>
          <w:t xml:space="preserve"> </w:t>
        </w:r>
        <w:r>
          <w:rPr>
            <w:rFonts w:ascii="Arial Unicode MS" w:eastAsia="Arial Unicode MS" w:hAnsi="Arial Unicode MS" w:cs="Arial Unicode MS"/>
            <w:color w:val="2B477B"/>
          </w:rPr>
          <w:t>coordinado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sistematizado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1447</w:t>
      </w:r>
      <w:r>
        <w:rPr>
          <w:rFonts w:ascii="Arial Unicode MS" w:eastAsia="Arial Unicode MS" w:hAnsi="Arial Unicode MS" w:cs="Arial Unicode MS"/>
          <w:color w:val="2B477B"/>
        </w:rPr>
        <w:t>,</w:t>
      </w:r>
      <w:r>
        <w:rPr>
          <w:color w:val="2B477B"/>
        </w:rPr>
        <w:t xml:space="preserve"> 1470</w:t>
      </w:r>
      <w:r>
        <w:rPr>
          <w:rFonts w:ascii="Arial Unicode MS" w:eastAsia="Arial Unicode MS" w:hAnsi="Arial Unicode MS" w:cs="Arial Unicode MS"/>
          <w:color w:val="2B477B"/>
        </w:rPr>
        <w:t>,</w:t>
      </w:r>
      <w:r>
        <w:rPr>
          <w:color w:val="2B477B"/>
        </w:rPr>
        <w:t xml:space="preserve"> 1685</w:t>
      </w:r>
      <w:r>
        <w:rPr>
          <w:rFonts w:ascii="Arial Unicode MS" w:eastAsia="Arial Unicode MS" w:hAnsi="Arial Unicode MS" w:cs="Arial Unicode MS"/>
          <w:color w:val="2B477B"/>
        </w:rPr>
        <w:t>,</w:t>
      </w:r>
      <w:r>
        <w:rPr>
          <w:color w:val="2B477B"/>
        </w:rPr>
        <w:t xml:space="preserve"> 1686</w:t>
      </w:r>
      <w:r>
        <w:rPr>
          <w:rFonts w:ascii="Arial Unicode MS" w:eastAsia="Arial Unicode MS" w:hAnsi="Arial Unicode MS" w:cs="Arial Unicode MS"/>
          <w:color w:val="2B477B"/>
        </w:rPr>
        <w:t>,</w:t>
      </w:r>
      <w:r>
        <w:rPr>
          <w:color w:val="2B477B"/>
        </w:rPr>
        <w:t xml:space="preserve"> 723</w:t>
      </w:r>
      <w:r>
        <w:rPr>
          <w:rFonts w:ascii="Arial Unicode MS" w:eastAsia="Arial Unicode MS" w:hAnsi="Arial Unicode MS" w:cs="Arial Unicode MS"/>
          <w:color w:val="2B477B"/>
        </w:rPr>
        <w:t>,</w:t>
      </w:r>
      <w:r>
        <w:rPr>
          <w:color w:val="2B477B"/>
        </w:rPr>
        <w:t xml:space="preserve"> 972</w:t>
      </w:r>
      <w:r>
        <w:rPr>
          <w:rFonts w:ascii="Arial Unicode MS" w:eastAsia="Arial Unicode MS" w:hAnsi="Arial Unicode MS" w:cs="Arial Unicode MS"/>
          <w:color w:val="2B477B"/>
        </w:rPr>
        <w:t>,</w:t>
      </w:r>
      <w:r>
        <w:rPr>
          <w:color w:val="2B477B"/>
        </w:rPr>
        <w:t xml:space="preserve"> 1200</w:t>
      </w:r>
      <w:r>
        <w:rPr>
          <w:rFonts w:ascii="Arial Unicode MS" w:eastAsia="Arial Unicode MS" w:hAnsi="Arial Unicode MS" w:cs="Arial Unicode MS"/>
          <w:color w:val="2B477B"/>
        </w:rPr>
        <w:t>,</w:t>
      </w:r>
      <w:r>
        <w:rPr>
          <w:color w:val="2B477B"/>
        </w:rPr>
        <w:t xml:space="preserve"> 1201 </w:t>
      </w:r>
      <w:r>
        <w:rPr>
          <w:rFonts w:ascii="Arial Unicode MS" w:eastAsia="Arial Unicode MS" w:hAnsi="Arial Unicode MS" w:cs="Arial Unicode MS"/>
          <w:color w:val="2B477B"/>
        </w:rPr>
        <w:t>y</w:t>
      </w:r>
      <w:r>
        <w:rPr>
          <w:color w:val="2B477B"/>
        </w:rPr>
        <w:t xml:space="preserve"> 1391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84" w:history="1">
        <w:r>
          <w:rPr>
            <w:rFonts w:ascii="Arial Unicode MS" w:eastAsia="Arial Unicode MS" w:hAnsi="Arial Unicode MS" w:cs="Arial Unicode MS"/>
            <w:color w:val="2B477B"/>
          </w:rPr>
          <w:t>Ley</w:t>
        </w:r>
        <w:r>
          <w:rPr>
            <w:color w:val="2B477B"/>
          </w:rPr>
          <w:t xml:space="preserve"> 77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Paciente</w:t>
        </w:r>
      </w:hyperlink>
      <w:r>
        <w:rPr>
          <w:color w:val="2B477B"/>
        </w:rPr>
        <w:t xml:space="preserve"> </w:t>
      </w:r>
      <w:r>
        <w:rPr>
          <w:rFonts w:ascii="Arial Unicode MS" w:eastAsia="Arial Unicode MS" w:hAnsi="Arial Unicode MS" w:cs="Arial Unicode MS"/>
          <w:color w:val="2B477B"/>
        </w:rPr>
        <w:t>de</w:t>
      </w:r>
      <w:r>
        <w:rPr>
          <w:color w:val="2B477B"/>
        </w:rPr>
        <w:t xml:space="preserve"> 2006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885"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478</w:t>
      </w:r>
      <w:r>
        <w:rPr>
          <w:rFonts w:ascii="Arial Unicode MS" w:eastAsia="Arial Unicode MS" w:hAnsi="Arial Unicode MS" w:cs="Arial Unicode MS"/>
          <w:color w:val="2B477B"/>
        </w:rPr>
        <w:t>,</w:t>
      </w:r>
      <w:r>
        <w:rPr>
          <w:color w:val="2B477B"/>
        </w:rPr>
        <w:t xml:space="preserve"> 1463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hyperlink r:id="rId886" w:history="1">
        <w:r>
          <w:rPr>
            <w:color w:val="2B477B"/>
          </w:rPr>
          <w:t xml:space="preserve"> </w:t>
        </w:r>
        <w:r>
          <w:rPr>
            <w:rFonts w:ascii="Arial Unicode MS" w:eastAsia="Arial Unicode MS" w:hAnsi="Arial Unicode MS" w:cs="Arial Unicode MS"/>
            <w:color w:val="2B477B"/>
          </w:rPr>
          <w:t>Decreto</w:t>
        </w:r>
        <w:r>
          <w:rPr>
            <w:color w:val="2B477B"/>
          </w:rPr>
          <w:t xml:space="preserve"> 677</w:t>
        </w:r>
      </w:hyperlink>
      <w:r>
        <w:rPr>
          <w:color w:val="2B477B"/>
        </w:rPr>
        <w:t xml:space="preserve"> </w:t>
      </w:r>
      <w:r>
        <w:rPr>
          <w:rFonts w:ascii="Arial Unicode MS" w:eastAsia="Arial Unicode MS" w:hAnsi="Arial Unicode MS" w:cs="Arial Unicode MS"/>
          <w:color w:val="2B477B"/>
        </w:rPr>
        <w:t>de</w:t>
      </w:r>
      <w:r>
        <w:rPr>
          <w:color w:val="2B477B"/>
        </w:rPr>
        <w:t xml:space="preserve"> 1993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Familia,</w:t>
      </w:r>
      <w:r>
        <w:rPr>
          <w:color w:val="2B477B"/>
        </w:rPr>
        <w:t xml:space="preserve"> </w:t>
      </w:r>
      <w:r>
        <w:rPr>
          <w:rFonts w:ascii="Arial Unicode MS" w:eastAsia="Arial Unicode MS" w:hAnsi="Arial Unicode MS" w:cs="Arial Unicode MS"/>
          <w:color w:val="2B477B"/>
        </w:rPr>
        <w:t>art.</w:t>
      </w:r>
      <w:r>
        <w:rPr>
          <w:color w:val="2B477B"/>
        </w:rPr>
        <w:t xml:space="preserve"> 294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hyperlink r:id="rId887"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Ley</w:t>
        </w:r>
        <w:r>
          <w:rPr>
            <w:color w:val="2B477B"/>
          </w:rPr>
          <w:t xml:space="preserve"> 106</w:t>
        </w:r>
      </w:hyperlink>
      <w:r>
        <w:rPr>
          <w:color w:val="2B477B"/>
        </w:rPr>
        <w:t xml:space="preserve"> </w:t>
      </w:r>
      <w:r>
        <w:rPr>
          <w:rFonts w:ascii="Arial Unicode MS" w:eastAsia="Arial Unicode MS" w:hAnsi="Arial Unicode MS" w:cs="Arial Unicode MS"/>
          <w:color w:val="2B477B"/>
        </w:rPr>
        <w:t>de</w:t>
      </w:r>
      <w:r>
        <w:rPr>
          <w:color w:val="2B477B"/>
        </w:rPr>
        <w:t xml:space="preserve"> 1963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arts.</w:t>
      </w:r>
      <w:r>
        <w:rPr>
          <w:color w:val="2B477B"/>
        </w:rPr>
        <w:t xml:space="preserve"> 145</w:t>
      </w:r>
      <w:r>
        <w:rPr>
          <w:rFonts w:ascii="Arial Unicode MS" w:eastAsia="Arial Unicode MS" w:hAnsi="Arial Unicode MS" w:cs="Arial Unicode MS"/>
          <w:color w:val="2B477B"/>
        </w:rPr>
        <w:t>,</w:t>
      </w:r>
      <w:r>
        <w:rPr>
          <w:color w:val="2B477B"/>
        </w:rPr>
        <w:t xml:space="preserve"> 273</w:t>
      </w:r>
      <w:r>
        <w:rPr>
          <w:rFonts w:ascii="Arial Unicode MS" w:eastAsia="Arial Unicode MS" w:hAnsi="Arial Unicode MS" w:cs="Arial Unicode MS"/>
          <w:color w:val="2B477B"/>
        </w:rPr>
        <w:t>,</w:t>
      </w:r>
      <w:r>
        <w:rPr>
          <w:color w:val="2B477B"/>
        </w:rPr>
        <w:t xml:space="preserve"> 308</w:t>
      </w:r>
      <w:r>
        <w:rPr>
          <w:rFonts w:ascii="Arial Unicode MS" w:eastAsia="Arial Unicode MS" w:hAnsi="Arial Unicode MS" w:cs="Arial Unicode MS"/>
          <w:color w:val="2B477B"/>
        </w:rPr>
        <w:t>,</w:t>
      </w:r>
      <w:r>
        <w:rPr>
          <w:color w:val="2B477B"/>
        </w:rPr>
        <w:t xml:space="preserve"> 945</w:t>
      </w:r>
      <w:r>
        <w:rPr>
          <w:rFonts w:ascii="Arial Unicode MS" w:eastAsia="Arial Unicode MS" w:hAnsi="Arial Unicode MS" w:cs="Arial Unicode MS"/>
          <w:color w:val="2B477B"/>
        </w:rPr>
        <w:t>,</w:t>
      </w:r>
      <w:r>
        <w:rPr>
          <w:color w:val="2B477B"/>
        </w:rPr>
        <w:t xml:space="preserve"> 1303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888" w:history="1">
        <w:r>
          <w:rPr>
            <w:rFonts w:ascii="Arial Unicode MS" w:eastAsia="Arial Unicode MS" w:hAnsi="Arial Unicode MS" w:cs="Arial Unicode MS"/>
            <w:color w:val="2B477B"/>
          </w:rPr>
          <w:t>Decreto</w:t>
        </w:r>
        <w:r>
          <w:rPr>
            <w:color w:val="2B477B"/>
          </w:rPr>
          <w:t xml:space="preserve"> </w:t>
        </w:r>
        <w:r>
          <w:rPr>
            <w:rFonts w:ascii="Arial Unicode MS" w:eastAsia="Arial Unicode MS" w:hAnsi="Arial Unicode MS" w:cs="Arial Unicode MS"/>
            <w:color w:val="2B477B"/>
          </w:rPr>
          <w:t>Ley</w:t>
        </w:r>
        <w:r>
          <w:rPr>
            <w:color w:val="2B477B"/>
          </w:rPr>
          <w:t xml:space="preserve"> 107 </w:t>
        </w:r>
        <w:r>
          <w:rPr>
            <w:rFonts w:ascii="Arial Unicode MS" w:eastAsia="Arial Unicode MS" w:hAnsi="Arial Unicode MS" w:cs="Arial Unicode MS"/>
            <w:color w:val="2B477B"/>
          </w:rPr>
          <w:t>de</w:t>
        </w:r>
        <w:r>
          <w:rPr>
            <w:color w:val="2B477B"/>
          </w:rPr>
          <w:t xml:space="preserve"> 1963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Procesal</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Mercantil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520 </w:t>
      </w:r>
      <w:r>
        <w:rPr>
          <w:rFonts w:ascii="Arial Unicode MS" w:eastAsia="Arial Unicode MS" w:hAnsi="Arial Unicode MS" w:cs="Arial Unicode MS"/>
          <w:color w:val="2B477B"/>
        </w:rPr>
        <w:t>y</w:t>
      </w:r>
      <w:r>
        <w:rPr>
          <w:color w:val="2B477B"/>
        </w:rPr>
        <w:t xml:space="preserve"> 522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Guyana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hyperlink r:id="rId889" w:history="1">
        <w:r>
          <w:rPr>
            <w:rFonts w:ascii="Arial Unicode MS" w:eastAsia="Arial Unicode MS" w:hAnsi="Arial Unicode MS" w:cs="Arial Unicode MS"/>
            <w:color w:val="2B477B"/>
          </w:rPr>
          <w:t>Custody</w:t>
        </w:r>
        <w:r>
          <w:rPr>
            <w:color w:val="2B477B"/>
          </w:rPr>
          <w:t xml:space="preserve"> </w:t>
        </w:r>
        <w:r>
          <w:rPr>
            <w:rFonts w:ascii="Arial Unicode MS" w:eastAsia="Arial Unicode MS" w:hAnsi="Arial Unicode MS" w:cs="Arial Unicode MS"/>
            <w:color w:val="2B477B"/>
          </w:rPr>
          <w:t>Act</w:t>
        </w:r>
        <w:r>
          <w:rPr>
            <w:color w:val="2B477B"/>
          </w:rPr>
          <w:t xml:space="preserve"> </w:t>
        </w:r>
      </w:hyperlink>
      <w:r>
        <w:rPr>
          <w:rFonts w:ascii="Arial Unicode MS" w:eastAsia="Arial Unicode MS" w:hAnsi="Arial Unicode MS" w:cs="Arial Unicode MS"/>
          <w:color w:val="2B477B"/>
        </w:rPr>
        <w:t>de</w:t>
      </w:r>
      <w:r>
        <w:rPr>
          <w:color w:val="2B477B"/>
        </w:rPr>
        <w:t xml:space="preserve"> 2011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90"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integración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7 </w:t>
      </w:r>
      <w:r>
        <w:rPr>
          <w:rFonts w:ascii="Arial Unicode MS" w:eastAsia="Arial Unicode MS" w:hAnsi="Arial Unicode MS" w:cs="Arial Unicode MS"/>
          <w:color w:val="2B477B"/>
        </w:rPr>
        <w:t>y</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hyperlink r:id="rId89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75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892" w:history="1">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Federal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II,</w:t>
      </w:r>
      <w:r>
        <w:rPr>
          <w:color w:val="2B477B"/>
        </w:rPr>
        <w:t xml:space="preserve"> </w:t>
      </w:r>
      <w:r>
        <w:rPr>
          <w:rFonts w:ascii="Arial Unicode MS" w:eastAsia="Arial Unicode MS" w:hAnsi="Arial Unicode MS" w:cs="Arial Unicode MS"/>
          <w:color w:val="2B477B"/>
        </w:rPr>
        <w:t>arts.</w:t>
      </w:r>
      <w:r>
        <w:rPr>
          <w:color w:val="2B477B"/>
        </w:rPr>
        <w:t xml:space="preserve"> 23 </w:t>
      </w:r>
      <w:r>
        <w:rPr>
          <w:rFonts w:ascii="Arial Unicode MS" w:eastAsia="Arial Unicode MS" w:hAnsi="Arial Unicode MS" w:cs="Arial Unicode MS"/>
          <w:color w:val="2B477B"/>
        </w:rPr>
        <w:t>y</w:t>
      </w:r>
      <w:r>
        <w:rPr>
          <w:color w:val="2B477B"/>
        </w:rPr>
        <w:t xml:space="preserve"> 450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hyperlink r:id="rId893" w:history="1">
        <w:r>
          <w:rPr>
            <w:color w:val="2B477B"/>
          </w:rPr>
          <w:t xml:space="preserve"> </w:t>
        </w:r>
        <w:r>
          <w:rPr>
            <w:rFonts w:ascii="Arial Unicode MS" w:eastAsia="Arial Unicode MS" w:hAnsi="Arial Unicode MS" w:cs="Arial Unicode MS"/>
            <w:color w:val="2B477B"/>
          </w:rPr>
          <w:t>Ley</w:t>
        </w:r>
        <w:r>
          <w:rPr>
            <w:color w:val="2B477B"/>
          </w:rPr>
          <w:t xml:space="preserve"> 68</w:t>
        </w:r>
      </w:hyperlink>
      <w:r>
        <w:rPr>
          <w:color w:val="2B477B"/>
        </w:rPr>
        <w:t xml:space="preserve"> </w:t>
      </w:r>
      <w:r>
        <w:rPr>
          <w:rFonts w:ascii="Arial Unicode MS" w:eastAsia="Arial Unicode MS" w:hAnsi="Arial Unicode MS" w:cs="Arial Unicode MS"/>
          <w:color w:val="2B477B"/>
        </w:rPr>
        <w:t>de</w:t>
      </w:r>
      <w:r>
        <w:rPr>
          <w:color w:val="2B477B"/>
        </w:rPr>
        <w:t xml:space="preserve"> 2003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10 </w:t>
      </w:r>
      <w:r>
        <w:rPr>
          <w:rFonts w:ascii="Arial Unicode MS" w:eastAsia="Arial Unicode MS" w:hAnsi="Arial Unicode MS" w:cs="Arial Unicode MS"/>
          <w:color w:val="2B477B"/>
        </w:rPr>
        <w:t>y</w:t>
      </w:r>
      <w:r>
        <w:rPr>
          <w:color w:val="2B477B"/>
        </w:rPr>
        <w:t xml:space="preserve"> 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hyperlink r:id="rId894" w:history="1">
        <w:r>
          <w:rPr>
            <w:rFonts w:ascii="Arial Unicode MS" w:eastAsia="Arial Unicode MS" w:hAnsi="Arial Unicode MS" w:cs="Arial Unicode MS"/>
            <w:color w:val="2B477B"/>
          </w:rPr>
          <w:t>Ley</w:t>
        </w:r>
        <w:r>
          <w:rPr>
            <w:color w:val="2B477B"/>
          </w:rPr>
          <w:t xml:space="preserve"> 2 </w:t>
        </w:r>
        <w:r>
          <w:rPr>
            <w:rFonts w:ascii="Arial Unicode MS" w:eastAsia="Arial Unicode MS" w:hAnsi="Arial Unicode MS" w:cs="Arial Unicode MS"/>
            <w:color w:val="2B477B"/>
          </w:rPr>
          <w:t>de</w:t>
        </w:r>
        <w:r>
          <w:rPr>
            <w:color w:val="2B477B"/>
          </w:rPr>
          <w:t xml:space="preserve"> 1926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1114</w:t>
      </w:r>
      <w:r>
        <w:rPr>
          <w:rFonts w:ascii="Arial Unicode MS" w:eastAsia="Arial Unicode MS" w:hAnsi="Arial Unicode MS" w:cs="Arial Unicode MS"/>
          <w:color w:val="2B477B"/>
        </w:rPr>
        <w:t>.</w:t>
      </w:r>
    </w:p>
  </w:footnote>
  <w:footnote w:id="532">
    <w:p w14:paraId="107CB1E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todos</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región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Códigos</w:t>
      </w:r>
      <w:r>
        <w:rPr>
          <w:color w:val="2B477B"/>
        </w:rPr>
        <w:t xml:space="preserve"> </w:t>
      </w:r>
      <w:r>
        <w:rPr>
          <w:rFonts w:ascii="Arial Unicode MS" w:eastAsia="Arial Unicode MS" w:hAnsi="Arial Unicode MS" w:cs="Arial Unicode MS"/>
          <w:color w:val="2B477B"/>
        </w:rPr>
        <w:t>Penales</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leyes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contemplan</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medida.</w:t>
      </w:r>
    </w:p>
  </w:footnote>
  <w:footnote w:id="533">
    <w:p w14:paraId="1AC0D76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p>
  </w:footnote>
  <w:footnote w:id="534">
    <w:p w14:paraId="7313B1D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w:t>
      </w:r>
      <w:r>
        <w:rPr>
          <w:rFonts w:ascii="Arial Unicode MS" w:eastAsia="Arial Unicode MS" w:hAnsi="Arial Unicode MS" w:cs="Arial Unicode MS"/>
          <w:color w:val="2B477B"/>
        </w:rPr>
        <w:t>-</w:t>
      </w:r>
      <w:r>
        <w:rPr>
          <w:color w:val="2B477B"/>
        </w:rPr>
        <w:t>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respectover,</w:t>
      </w:r>
      <w:r>
        <w:rPr>
          <w:color w:val="2B477B"/>
        </w:rPr>
        <w:t xml:space="preserve"> </w:t>
      </w:r>
      <w:hyperlink r:id="rId895"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20 </w:t>
      </w:r>
      <w:r>
        <w:rPr>
          <w:rFonts w:ascii="Arial Unicode MS" w:eastAsia="Arial Unicode MS" w:hAnsi="Arial Unicode MS" w:cs="Arial Unicode MS"/>
          <w:color w:val="2B477B"/>
        </w:rPr>
        <w:t>y</w:t>
      </w:r>
      <w:r>
        <w:rPr>
          <w:color w:val="2B477B"/>
        </w:rPr>
        <w:t xml:space="preserve"> 21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896" w:history="1">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657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r>
          <w:rPr>
            <w:color w:val="2B477B"/>
          </w:rPr>
          <w:t xml:space="preserve"> </w:t>
        </w:r>
        <w:r>
          <w:rPr>
            <w:rFonts w:ascii="Arial Unicode MS" w:eastAsia="Arial Unicode MS" w:hAnsi="Arial Unicode MS" w:cs="Arial Unicode MS"/>
            <w:color w:val="2B477B"/>
          </w:rPr>
          <w:t>arts.</w:t>
        </w:r>
        <w:r>
          <w:rPr>
            <w:color w:val="2B477B"/>
          </w:rPr>
          <w:t xml:space="preserve"> 20</w:t>
        </w:r>
        <w:r>
          <w:rPr>
            <w:rFonts w:ascii="Arial Unicode MS" w:eastAsia="Arial Unicode MS" w:hAnsi="Arial Unicode MS" w:cs="Arial Unicode MS"/>
            <w:color w:val="2B477B"/>
          </w:rPr>
          <w:t>-</w:t>
        </w:r>
        <w:r>
          <w:rPr>
            <w:color w:val="2B477B"/>
          </w:rPr>
          <w:t>30</w:t>
        </w:r>
        <w:r>
          <w:rPr>
            <w:rFonts w:ascii="Arial Unicode MS" w:eastAsia="Arial Unicode MS" w:hAnsi="Arial Unicode MS" w:cs="Arial Unicode MS"/>
            <w:color w:val="2B477B"/>
          </w:rPr>
          <w:t>.</w:t>
        </w:r>
      </w:hyperlink>
    </w:p>
  </w:footnote>
  <w:footnote w:id="535">
    <w:p w14:paraId="559ADD9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897" w:history="1">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Health</w:t>
        </w:r>
        <w:r>
          <w:rPr>
            <w:color w:val="2B477B"/>
          </w:rPr>
          <w:t xml:space="preserve"> </w:t>
        </w:r>
        <w:r>
          <w:rPr>
            <w:rFonts w:ascii="Arial Unicode MS" w:eastAsia="Arial Unicode MS" w:hAnsi="Arial Unicode MS" w:cs="Arial Unicode MS"/>
            <w:color w:val="2B477B"/>
          </w:rPr>
          <w:t>Act</w:t>
        </w:r>
      </w:hyperlink>
      <w:r>
        <w:rPr>
          <w:color w:val="2B477B"/>
        </w:rPr>
        <w:t xml:space="preserve"> </w:t>
      </w:r>
      <w:r>
        <w:rPr>
          <w:rFonts w:ascii="Arial Unicode MS" w:eastAsia="Arial Unicode MS" w:hAnsi="Arial Unicode MS" w:cs="Arial Unicode MS"/>
          <w:color w:val="2B477B"/>
        </w:rPr>
        <w:t>de</w:t>
      </w:r>
      <w:r>
        <w:rPr>
          <w:color w:val="2B477B"/>
        </w:rPr>
        <w:t xml:space="preserve"> 1999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w:t>
      </w:r>
      <w:r>
        <w:rPr>
          <w:color w:val="2B477B"/>
        </w:rPr>
        <w:t xml:space="preserve"> 10</w:t>
      </w:r>
      <w:r>
        <w:rPr>
          <w:rFonts w:ascii="Arial Unicode MS" w:eastAsia="Arial Unicode MS" w:hAnsi="Arial Unicode MS" w:cs="Arial Unicode MS"/>
          <w:color w:val="2B477B"/>
        </w:rPr>
        <w:t>.</w:t>
      </w:r>
    </w:p>
  </w:footnote>
  <w:footnote w:id="536">
    <w:p w14:paraId="3133211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40</w:t>
      </w:r>
      <w:r>
        <w:rPr>
          <w:rFonts w:ascii="Arial Unicode MS" w:eastAsia="Arial Unicode MS" w:hAnsi="Arial Unicode MS" w:cs="Arial Unicode MS"/>
          <w:color w:val="2B477B"/>
        </w:rPr>
        <w:t>-</w:t>
      </w:r>
      <w:r>
        <w:rPr>
          <w:color w:val="2B477B"/>
        </w:rPr>
        <w:t>42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898" w:history="1">
        <w:r>
          <w:rPr>
            <w:rFonts w:ascii="Arial Unicode MS" w:eastAsia="Arial Unicode MS" w:hAnsi="Arial Unicode MS" w:cs="Arial Unicode MS"/>
            <w:color w:val="2B477B"/>
          </w:rPr>
          <w:t>Ley</w:t>
        </w:r>
        <w:r>
          <w:rPr>
            <w:color w:val="2B477B"/>
          </w:rPr>
          <w:t xml:space="preserve"> 836/80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Sanitario,</w:t>
        </w:r>
        <w:r>
          <w:rPr>
            <w:color w:val="2B477B"/>
          </w:rPr>
          <w:t xml:space="preserve"> </w:t>
        </w:r>
        <w:r>
          <w:rPr>
            <w:rFonts w:ascii="Arial Unicode MS" w:eastAsia="Arial Unicode MS" w:hAnsi="Arial Unicode MS" w:cs="Arial Unicode MS"/>
            <w:color w:val="2B477B"/>
          </w:rPr>
          <w:t>arts.</w:t>
        </w:r>
        <w:r>
          <w:rPr>
            <w:color w:val="2B477B"/>
          </w:rPr>
          <w:t xml:space="preserve"> 24</w:t>
        </w:r>
        <w:r>
          <w:rPr>
            <w:rFonts w:ascii="Arial Unicode MS" w:eastAsia="Arial Unicode MS" w:hAnsi="Arial Unicode MS" w:cs="Arial Unicode MS"/>
            <w:color w:val="2B477B"/>
          </w:rPr>
          <w:t>,</w:t>
        </w:r>
        <w:r>
          <w:rPr>
            <w:color w:val="2B477B"/>
          </w:rPr>
          <w:t xml:space="preserve"> 44 </w:t>
        </w:r>
        <w:r>
          <w:rPr>
            <w:rFonts w:ascii="Arial Unicode MS" w:eastAsia="Arial Unicode MS" w:hAnsi="Arial Unicode MS" w:cs="Arial Unicode MS"/>
            <w:color w:val="2B477B"/>
          </w:rPr>
          <w:t>y</w:t>
        </w:r>
        <w:r>
          <w:rPr>
            <w:color w:val="2B477B"/>
          </w:rPr>
          <w:t xml:space="preserve"> 45</w:t>
        </w:r>
        <w:r>
          <w:rPr>
            <w:rFonts w:ascii="Arial Unicode MS" w:eastAsia="Arial Unicode MS" w:hAnsi="Arial Unicode MS" w:cs="Arial Unicode MS"/>
            <w:color w:val="2B477B"/>
          </w:rPr>
          <w:t>.</w:t>
        </w:r>
      </w:hyperlink>
    </w:p>
  </w:footnote>
  <w:footnote w:id="537">
    <w:p w14:paraId="1189ADF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estos</w:t>
      </w:r>
      <w:r>
        <w:rPr>
          <w:color w:val="2B477B"/>
        </w:rPr>
        <w:t xml:space="preserve"> </w:t>
      </w:r>
      <w:r>
        <w:rPr>
          <w:rFonts w:ascii="Arial Unicode MS" w:eastAsia="Arial Unicode MS" w:hAnsi="Arial Unicode MS" w:cs="Arial Unicode MS"/>
          <w:color w:val="2B477B"/>
        </w:rPr>
        <w:t>elementos</w:t>
      </w:r>
      <w:r>
        <w:rPr>
          <w:color w:val="2B477B"/>
        </w:rPr>
        <w:t xml:space="preserve"> </w:t>
      </w:r>
      <w:r>
        <w:rPr>
          <w:rFonts w:ascii="Arial Unicode MS" w:eastAsia="Arial Unicode MS" w:hAnsi="Arial Unicode MS" w:cs="Arial Unicode MS"/>
          <w:color w:val="2B477B"/>
        </w:rPr>
        <w:t>son: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procesos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desinstitucionalización</w:t>
      </w:r>
      <w:r>
        <w:rPr>
          <w:color w:val="2B477B"/>
        </w:rPr>
        <w:t xml:space="preserve"> </w:t>
      </w:r>
      <w:r>
        <w:rPr>
          <w:rFonts w:ascii="Arial Unicode MS" w:eastAsia="Arial Unicode MS" w:hAnsi="Arial Unicode MS" w:cs="Arial Unicode MS"/>
          <w:color w:val="2B477B"/>
        </w:rPr>
        <w:t>deberían</w:t>
      </w:r>
      <w:r>
        <w:rPr>
          <w:color w:val="2B477B"/>
        </w:rPr>
        <w:t xml:space="preserve"> </w:t>
      </w:r>
      <w:r>
        <w:rPr>
          <w:rFonts w:ascii="Arial Unicode MS" w:eastAsia="Arial Unicode MS" w:hAnsi="Arial Unicode MS" w:cs="Arial Unicode MS"/>
          <w:color w:val="2B477B"/>
        </w:rPr>
        <w:t>estar</w:t>
      </w:r>
      <w:r>
        <w:rPr>
          <w:color w:val="2B477B"/>
        </w:rPr>
        <w:t xml:space="preserve"> </w:t>
      </w:r>
      <w:r>
        <w:rPr>
          <w:rFonts w:ascii="Arial Unicode MS" w:eastAsia="Arial Unicode MS" w:hAnsi="Arial Unicode MS" w:cs="Arial Unicode MS"/>
          <w:color w:val="2B477B"/>
        </w:rPr>
        <w:t>dirigidos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incluidas</w:t>
      </w:r>
      <w:r>
        <w:rPr>
          <w:color w:val="2B477B"/>
        </w:rPr>
        <w:t xml:space="preserve"> </w:t>
      </w:r>
      <w:r>
        <w:rPr>
          <w:rFonts w:ascii="Arial Unicode MS" w:eastAsia="Arial Unicode MS" w:hAnsi="Arial Unicode MS" w:cs="Arial Unicode MS"/>
          <w:color w:val="2B477B"/>
        </w:rPr>
        <w:t>aquellas</w:t>
      </w:r>
      <w:r>
        <w:rPr>
          <w:color w:val="2B477B"/>
        </w:rPr>
        <w:t xml:space="preserve"> </w:t>
      </w:r>
      <w:r>
        <w:rPr>
          <w:rFonts w:ascii="Arial Unicode MS" w:eastAsia="Arial Unicode MS" w:hAnsi="Arial Unicode MS" w:cs="Arial Unicode MS"/>
          <w:color w:val="2B477B"/>
        </w:rPr>
        <w:t>afectadas</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institucionalización;</w:t>
      </w:r>
      <w:r>
        <w:rPr>
          <w:color w:val="2B477B"/>
        </w:rPr>
        <w:t xml:space="preserve"> </w:t>
      </w:r>
      <w:r>
        <w:rPr>
          <w:rFonts w:ascii="Arial Unicode MS" w:eastAsia="Arial Unicode MS" w:hAnsi="Arial Unicode MS" w:cs="Arial Unicode MS"/>
          <w:color w:val="2B477B"/>
        </w:rPr>
        <w:t>b)</w:t>
      </w:r>
      <w:r>
        <w:rPr>
          <w:color w:val="2B477B"/>
        </w:rPr>
        <w:t xml:space="preserve"> </w:t>
      </w:r>
      <w:r>
        <w:rPr>
          <w:rFonts w:ascii="Arial Unicode MS" w:eastAsia="Arial Unicode MS" w:hAnsi="Arial Unicode MS" w:cs="Arial Unicode MS"/>
          <w:color w:val="2B477B"/>
        </w:rPr>
        <w:t>tener</w:t>
      </w:r>
      <w:r>
        <w:rPr>
          <w:color w:val="2B477B"/>
        </w:rPr>
        <w:t xml:space="preserve"> </w:t>
      </w:r>
      <w:r>
        <w:rPr>
          <w:rFonts w:ascii="Arial Unicode MS" w:eastAsia="Arial Unicode MS" w:hAnsi="Arial Unicode MS" w:cs="Arial Unicode MS"/>
          <w:color w:val="2B477B"/>
        </w:rPr>
        <w:t>plena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opciones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vivienda,</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sean</w:t>
      </w:r>
      <w:r>
        <w:rPr>
          <w:color w:val="2B477B"/>
        </w:rPr>
        <w:t xml:space="preserve"> </w:t>
      </w:r>
      <w:r>
        <w:rPr>
          <w:rFonts w:ascii="Arial Unicode MS" w:eastAsia="Arial Unicode MS" w:hAnsi="Arial Unicode MS" w:cs="Arial Unicode MS"/>
          <w:color w:val="2B477B"/>
        </w:rPr>
        <w:t>accesibles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les</w:t>
      </w:r>
      <w:r>
        <w:rPr>
          <w:color w:val="2B477B"/>
        </w:rPr>
        <w:t xml:space="preserve"> </w:t>
      </w:r>
      <w:r>
        <w:rPr>
          <w:rFonts w:ascii="Arial Unicode MS" w:eastAsia="Arial Unicode MS" w:hAnsi="Arial Unicode MS" w:cs="Arial Unicode MS"/>
          <w:color w:val="2B477B"/>
        </w:rPr>
        <w:t>permitan</w:t>
      </w:r>
      <w:r>
        <w:rPr>
          <w:color w:val="2B477B"/>
        </w:rPr>
        <w:t xml:space="preserve"> </w:t>
      </w:r>
      <w:r>
        <w:rPr>
          <w:rFonts w:ascii="Arial Unicode MS" w:eastAsia="Arial Unicode MS" w:hAnsi="Arial Unicode MS" w:cs="Arial Unicode MS"/>
          <w:color w:val="2B477B"/>
        </w:rPr>
        <w:t>recuperar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control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c)</w:t>
      </w:r>
      <w:r>
        <w:rPr>
          <w:color w:val="2B477B"/>
        </w:rPr>
        <w:t xml:space="preserve"> </w:t>
      </w:r>
      <w:r>
        <w:rPr>
          <w:rFonts w:ascii="Arial Unicode MS" w:eastAsia="Arial Unicode MS" w:hAnsi="Arial Unicode MS" w:cs="Arial Unicode MS"/>
          <w:color w:val="2B477B"/>
        </w:rPr>
        <w:t>desarrollar</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individualizado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generales</w:t>
      </w:r>
      <w:r>
        <w:rPr>
          <w:color w:val="2B477B"/>
        </w:rPr>
        <w:t xml:space="preserve"> </w:t>
      </w:r>
      <w:r>
        <w:rPr>
          <w:rFonts w:ascii="Arial Unicode MS" w:eastAsia="Arial Unicode MS" w:hAnsi="Arial Unicode MS" w:cs="Arial Unicode MS"/>
          <w:color w:val="2B477B"/>
        </w:rPr>
        <w:t>inclusivos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calidad;</w:t>
      </w:r>
      <w:r>
        <w:rPr>
          <w:color w:val="2B477B"/>
        </w:rPr>
        <w:t xml:space="preserve"> </w:t>
      </w:r>
      <w:r>
        <w:rPr>
          <w:rFonts w:ascii="Arial Unicode MS" w:eastAsia="Arial Unicode MS" w:hAnsi="Arial Unicode MS" w:cs="Arial Unicode MS"/>
          <w:color w:val="2B477B"/>
        </w:rPr>
        <w:t>d)</w:t>
      </w:r>
      <w:r>
        <w:rPr>
          <w:color w:val="2B477B"/>
        </w:rPr>
        <w:t xml:space="preserve"> </w:t>
      </w:r>
      <w:r>
        <w:rPr>
          <w:rFonts w:ascii="Arial Unicode MS" w:eastAsia="Arial Unicode MS" w:hAnsi="Arial Unicode MS" w:cs="Arial Unicode MS"/>
          <w:color w:val="2B477B"/>
        </w:rPr>
        <w:t>invertir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salida</w:t>
      </w:r>
      <w:r>
        <w:rPr>
          <w:color w:val="2B477B"/>
        </w:rPr>
        <w:t xml:space="preserve"> </w:t>
      </w:r>
      <w:r>
        <w:rPr>
          <w:rFonts w:ascii="Arial Unicode MS" w:eastAsia="Arial Unicode MS" w:hAnsi="Arial Unicode MS" w:cs="Arial Unicode MS"/>
          <w:color w:val="2B477B"/>
        </w:rPr>
        <w:t>inmediata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residentes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prestación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todo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necesario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adecuado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puedan</w:t>
      </w:r>
      <w:r>
        <w:rPr>
          <w:color w:val="2B477B"/>
        </w:rPr>
        <w:t xml:space="preserve"> </w:t>
      </w:r>
      <w:r>
        <w:rPr>
          <w:rFonts w:ascii="Arial Unicode MS" w:eastAsia="Arial Unicode MS" w:hAnsi="Arial Unicode MS" w:cs="Arial Unicode MS"/>
          <w:color w:val="2B477B"/>
        </w:rPr>
        <w:t>vivir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forma</w:t>
      </w:r>
      <w:r>
        <w:rPr>
          <w:color w:val="2B477B"/>
        </w:rPr>
        <w:t xml:space="preserve"> </w:t>
      </w:r>
      <w:r>
        <w:rPr>
          <w:rFonts w:ascii="Arial Unicode MS" w:eastAsia="Arial Unicode MS" w:hAnsi="Arial Unicode MS" w:cs="Arial Unicode MS"/>
          <w:color w:val="2B477B"/>
        </w:rPr>
        <w:t>independiente;</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garantizar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disponibilidad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alojamientos</w:t>
      </w:r>
      <w:r>
        <w:rPr>
          <w:color w:val="2B477B"/>
        </w:rPr>
        <w:t xml:space="preserve"> </w:t>
      </w:r>
      <w:r>
        <w:rPr>
          <w:rFonts w:ascii="Arial Unicode MS" w:eastAsia="Arial Unicode MS" w:hAnsi="Arial Unicode MS" w:cs="Arial Unicode MS"/>
          <w:color w:val="2B477B"/>
        </w:rPr>
        <w:t>seguros,</w:t>
      </w:r>
      <w:r>
        <w:rPr>
          <w:color w:val="2B477B"/>
        </w:rPr>
        <w:t xml:space="preserve"> </w:t>
      </w:r>
      <w:r>
        <w:rPr>
          <w:rFonts w:ascii="Arial Unicode MS" w:eastAsia="Arial Unicode MS" w:hAnsi="Arial Unicode MS" w:cs="Arial Unicode MS"/>
          <w:color w:val="2B477B"/>
        </w:rPr>
        <w:t>accesibles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asequibles;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w:t>
      </w:r>
      <w:r>
        <w:rPr>
          <w:color w:val="2B477B"/>
        </w:rPr>
        <w:t xml:space="preserve"> </w:t>
      </w:r>
      <w:r>
        <w:rPr>
          <w:rFonts w:ascii="Arial Unicode MS" w:eastAsia="Arial Unicode MS" w:hAnsi="Arial Unicode MS" w:cs="Arial Unicode MS"/>
          <w:color w:val="2B477B"/>
        </w:rPr>
        <w:t>hacer</w:t>
      </w:r>
      <w:r>
        <w:rPr>
          <w:color w:val="2B477B"/>
        </w:rPr>
        <w:t xml:space="preserve"> </w:t>
      </w:r>
      <w:r>
        <w:rPr>
          <w:rFonts w:ascii="Arial Unicode MS" w:eastAsia="Arial Unicode MS" w:hAnsi="Arial Unicode MS" w:cs="Arial Unicode MS"/>
          <w:color w:val="2B477B"/>
        </w:rPr>
        <w:t>participar</w:t>
      </w:r>
      <w:r>
        <w:rPr>
          <w:color w:val="2B477B"/>
        </w:rPr>
        <w:t xml:space="preserve"> </w:t>
      </w:r>
      <w:r>
        <w:rPr>
          <w:rFonts w:ascii="Arial Unicode MS" w:eastAsia="Arial Unicode MS" w:hAnsi="Arial Unicode MS" w:cs="Arial Unicode MS"/>
          <w:color w:val="2B477B"/>
        </w:rPr>
        <w:t>estrechamente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representan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todas</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etapas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desinstitucionalización.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899" w:history="1">
        <w:r>
          <w:rPr>
            <w:rFonts w:ascii="Arial Unicode MS" w:eastAsia="Arial Unicode MS" w:hAnsi="Arial Unicode MS" w:cs="Arial Unicode MS"/>
            <w:color w:val="2B477B"/>
          </w:rPr>
          <w:t>Directrices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Desinstitucionalización,</w:t>
        </w:r>
        <w:r>
          <w:rPr>
            <w:color w:val="2B477B"/>
          </w:rPr>
          <w:t xml:space="preserve"> </w:t>
        </w:r>
        <w:r>
          <w:rPr>
            <w:rFonts w:ascii="Arial Unicode MS" w:eastAsia="Arial Unicode MS" w:hAnsi="Arial Unicode MS" w:cs="Arial Unicode MS"/>
            <w:color w:val="2B477B"/>
          </w:rPr>
          <w:t>incluso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Situaciones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Emergencia,</w:t>
        </w:r>
      </w:hyperlink>
      <w:r>
        <w:rPr>
          <w:color w:val="2B477B"/>
        </w:rPr>
        <w:t xml:space="preserve"> </w:t>
      </w:r>
      <w:r>
        <w:rPr>
          <w:rFonts w:ascii="Arial Unicode MS" w:eastAsia="Arial Unicode MS" w:hAnsi="Arial Unicode MS" w:cs="Arial Unicode MS"/>
          <w:color w:val="2B477B"/>
        </w:rPr>
        <w:t>Doc.</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/27/3</w:t>
      </w:r>
      <w:r>
        <w:rPr>
          <w:rFonts w:ascii="Arial Unicode MS" w:eastAsia="Arial Unicode MS" w:hAnsi="Arial Unicode MS" w:cs="Arial Unicode MS"/>
          <w:color w:val="2B477B"/>
        </w:rPr>
        <w:t>,</w:t>
      </w:r>
      <w:r>
        <w:rPr>
          <w:color w:val="2B477B"/>
        </w:rPr>
        <w:t xml:space="preserve"> 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14 </w:t>
      </w:r>
      <w:r>
        <w:rPr>
          <w:rFonts w:ascii="Arial Unicode MS" w:eastAsia="Arial Unicode MS" w:hAnsi="Arial Unicode MS" w:cs="Arial Unicode MS"/>
          <w:color w:val="2B477B"/>
        </w:rPr>
        <w:t>-</w:t>
      </w:r>
      <w:r>
        <w:rPr>
          <w:color w:val="2B477B"/>
        </w:rPr>
        <w:t xml:space="preserve"> 36</w:t>
      </w:r>
      <w:r>
        <w:rPr>
          <w:rFonts w:ascii="Arial Unicode MS" w:eastAsia="Arial Unicode MS" w:hAnsi="Arial Unicode MS" w:cs="Arial Unicode MS"/>
          <w:color w:val="2B477B"/>
        </w:rPr>
        <w:t>.</w:t>
      </w:r>
    </w:p>
  </w:footnote>
  <w:footnote w:id="538">
    <w:p w14:paraId="69E406E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r>
        <w:rPr>
          <w:rFonts w:ascii="Arial Unicode MS" w:eastAsia="Arial Unicode MS" w:hAnsi="Arial Unicode MS" w:cs="Arial Unicode MS"/>
          <w:color w:val="2B477B"/>
        </w:rPr>
        <w:t>Directrices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Desinstitucionalización,</w:t>
      </w:r>
      <w:r>
        <w:rPr>
          <w:color w:val="2B477B"/>
        </w:rPr>
        <w:t xml:space="preserve"> </w:t>
      </w:r>
      <w:r>
        <w:rPr>
          <w:rFonts w:ascii="Arial Unicode MS" w:eastAsia="Arial Unicode MS" w:hAnsi="Arial Unicode MS" w:cs="Arial Unicode MS"/>
          <w:color w:val="2B477B"/>
        </w:rPr>
        <w:t>incluso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Situaciones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Emergencia,</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p>
  </w:footnote>
  <w:footnote w:id="539">
    <w:p w14:paraId="6BE9461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DPD,</w:t>
      </w:r>
      <w:r>
        <w:rPr>
          <w:color w:val="2B477B"/>
        </w:rPr>
        <w:t xml:space="preserve"> </w:t>
      </w:r>
      <w:r>
        <w:rPr>
          <w:rFonts w:ascii="Arial Unicode MS" w:eastAsia="Arial Unicode MS" w:hAnsi="Arial Unicode MS" w:cs="Arial Unicode MS"/>
          <w:color w:val="2B477B"/>
        </w:rPr>
        <w:t>Directrices</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Desinstitucionalización,</w:t>
      </w:r>
      <w:r>
        <w:rPr>
          <w:color w:val="2B477B"/>
        </w:rPr>
        <w:t xml:space="preserve"> </w:t>
      </w:r>
      <w:r>
        <w:rPr>
          <w:rFonts w:ascii="Arial Unicode MS" w:eastAsia="Arial Unicode MS" w:hAnsi="Arial Unicode MS" w:cs="Arial Unicode MS"/>
          <w:color w:val="2B477B"/>
        </w:rPr>
        <w:t>incluso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Situaciones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Emergencia,</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párr.</w:t>
      </w:r>
      <w:r>
        <w:rPr>
          <w:color w:val="2B477B"/>
        </w:rPr>
        <w:t xml:space="preserve"> 6</w:t>
      </w:r>
      <w:r>
        <w:rPr>
          <w:rFonts w:ascii="Arial Unicode MS" w:eastAsia="Arial Unicode MS" w:hAnsi="Arial Unicode MS" w:cs="Arial Unicode MS"/>
          <w:color w:val="2B477B"/>
        </w:rPr>
        <w:t>.</w:t>
      </w:r>
      <w:r>
        <w:rPr>
          <w:color w:val="2B477B"/>
        </w:rPr>
        <w:t xml:space="preserve"> </w:t>
      </w:r>
    </w:p>
  </w:footnote>
  <w:footnote w:id="540">
    <w:p w14:paraId="6F321A4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 </w:t>
      </w:r>
      <w:r>
        <w:rPr>
          <w:rFonts w:ascii="Arial Unicode MS" w:eastAsia="Arial Unicode MS" w:hAnsi="Arial Unicode MS" w:cs="Arial Unicode MS"/>
          <w:color w:val="2B477B"/>
        </w:rPr>
        <w:t>y</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900" w:history="1">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657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hyperlink r:id="rId90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27</w:t>
      </w:r>
      <w:r>
        <w:rPr>
          <w:rFonts w:ascii="Arial Unicode MS" w:eastAsia="Arial Unicode MS" w:hAnsi="Arial Unicode MS" w:cs="Arial Unicode MS"/>
          <w:color w:val="2B477B"/>
        </w:rPr>
        <w:t>.</w:t>
      </w:r>
      <w:r>
        <w:rPr>
          <w:color w:val="2B477B"/>
        </w:rPr>
        <w:t xml:space="preserve"> </w:t>
      </w:r>
    </w:p>
  </w:footnote>
  <w:footnote w:id="541">
    <w:p w14:paraId="7027B5E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13</w:t>
      </w:r>
      <w:r>
        <w:rPr>
          <w:rFonts w:ascii="Arial Unicode MS" w:eastAsia="Arial Unicode MS" w:hAnsi="Arial Unicode MS" w:cs="Arial Unicode MS"/>
          <w:color w:val="2B477B"/>
        </w:rPr>
        <w:t>-</w:t>
      </w:r>
      <w:r>
        <w:rPr>
          <w:color w:val="2B477B"/>
        </w:rPr>
        <w:t>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90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Estatutaria</w:t>
        </w:r>
        <w:r>
          <w:rPr>
            <w:color w:val="2B477B"/>
          </w:rPr>
          <w:t xml:space="preserve"> 1618 </w:t>
        </w:r>
        <w:r>
          <w:rPr>
            <w:rFonts w:ascii="Arial Unicode MS" w:eastAsia="Arial Unicode MS" w:hAnsi="Arial Unicode MS" w:cs="Arial Unicode MS"/>
            <w:color w:val="2B477B"/>
          </w:rPr>
          <w:t>de</w:t>
        </w:r>
        <w:r>
          <w:rPr>
            <w:color w:val="2B477B"/>
          </w:rPr>
          <w:t xml:space="preserve"> 2013</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hyperlink r:id="rId903" w:history="1">
        <w:r>
          <w:rPr>
            <w:rFonts w:ascii="Arial Unicode MS" w:eastAsia="Arial Unicode MS" w:hAnsi="Arial Unicode MS" w:cs="Arial Unicode MS"/>
            <w:color w:val="2B477B"/>
          </w:rPr>
          <w:t>Resolución</w:t>
        </w:r>
        <w:r>
          <w:rPr>
            <w:color w:val="2B477B"/>
          </w:rPr>
          <w:t xml:space="preserve"> 4886 </w:t>
        </w:r>
        <w:r>
          <w:rPr>
            <w:rFonts w:ascii="Arial Unicode MS" w:eastAsia="Arial Unicode MS" w:hAnsi="Arial Unicode MS" w:cs="Arial Unicode MS"/>
            <w:color w:val="2B477B"/>
          </w:rPr>
          <w:t>de</w:t>
        </w:r>
        <w:r>
          <w:rPr>
            <w:color w:val="2B477B"/>
          </w:rPr>
          <w:t xml:space="preserve"> 2018</w:t>
        </w:r>
      </w:hyperlink>
      <w:r>
        <w:rPr>
          <w:rFonts w:ascii="Arial Unicode MS" w:eastAsia="Arial Unicode MS" w:hAnsi="Arial Unicode MS" w:cs="Arial Unicode MS"/>
          <w:color w:val="2B477B"/>
        </w:rPr>
        <w:t>.</w:t>
      </w:r>
    </w:p>
  </w:footnote>
  <w:footnote w:id="542">
    <w:p w14:paraId="3E79D567"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del</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33 </w:t>
      </w:r>
      <w:r>
        <w:rPr>
          <w:rFonts w:ascii="Arial Unicode MS" w:eastAsia="Arial Unicode MS" w:hAnsi="Arial Unicode MS" w:cs="Arial Unicode MS"/>
          <w:color w:val="2B477B"/>
        </w:rPr>
        <w:t>y</w:t>
      </w:r>
      <w:r>
        <w:rPr>
          <w:color w:val="2B477B"/>
        </w:rPr>
        <w:t xml:space="preserve"> 34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904"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arts.</w:t>
      </w:r>
      <w:r>
        <w:rPr>
          <w:color w:val="2B477B"/>
        </w:rPr>
        <w:t xml:space="preserve"> 74 </w:t>
      </w:r>
      <w:r>
        <w:rPr>
          <w:rFonts w:ascii="Arial Unicode MS" w:eastAsia="Arial Unicode MS" w:hAnsi="Arial Unicode MS" w:cs="Arial Unicode MS"/>
          <w:color w:val="2B477B"/>
        </w:rPr>
        <w:t>y</w:t>
      </w:r>
      <w:r>
        <w:rPr>
          <w:color w:val="2B477B"/>
        </w:rPr>
        <w:t xml:space="preserve"> 74 </w:t>
      </w:r>
      <w:r>
        <w:rPr>
          <w:rFonts w:ascii="Arial Unicode MS" w:eastAsia="Arial Unicode MS" w:hAnsi="Arial Unicode MS" w:cs="Arial Unicode MS"/>
          <w:color w:val="2B477B"/>
        </w:rPr>
        <w:t>bis,</w:t>
      </w:r>
      <w:r>
        <w:rPr>
          <w:color w:val="2B477B"/>
        </w:rPr>
        <w:t xml:space="preserve"> </w:t>
      </w:r>
      <w:r>
        <w:rPr>
          <w:rFonts w:ascii="Arial Unicode MS" w:eastAsia="Arial Unicode MS" w:hAnsi="Arial Unicode MS" w:cs="Arial Unicode MS"/>
          <w:color w:val="2B477B"/>
        </w:rPr>
        <w:t>última</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del</w:t>
      </w:r>
      <w:r>
        <w:rPr>
          <w:color w:val="2B477B"/>
        </w:rPr>
        <w:t xml:space="preserve"> 29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del</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incluir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eliminación</w:t>
      </w:r>
      <w:r>
        <w:rPr>
          <w:color w:val="2B477B"/>
        </w:rPr>
        <w:t xml:space="preserve"> </w:t>
      </w:r>
      <w:r>
        <w:rPr>
          <w:rFonts w:ascii="Arial Unicode MS" w:eastAsia="Arial Unicode MS" w:hAnsi="Arial Unicode MS" w:cs="Arial Unicode MS"/>
          <w:color w:val="2B477B"/>
        </w:rPr>
        <w:t>progresiva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instituciones</w:t>
      </w:r>
      <w:r>
        <w:rPr>
          <w:color w:val="2B477B"/>
        </w:rPr>
        <w:t xml:space="preserve"> </w:t>
      </w:r>
      <w:r>
        <w:rPr>
          <w:rFonts w:ascii="Arial Unicode MS" w:eastAsia="Arial Unicode MS" w:hAnsi="Arial Unicode MS" w:cs="Arial Unicode MS"/>
          <w:color w:val="2B477B"/>
        </w:rPr>
        <w:t>psiquiátricas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ambulatorio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comunidad,</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incluye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modelos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toma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anticipada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informado.</w:t>
      </w:r>
      <w:r>
        <w:rPr>
          <w:color w:val="2B477B"/>
        </w:rPr>
        <w:t xml:space="preserve"> </w:t>
      </w:r>
    </w:p>
  </w:footnote>
  <w:footnote w:id="543">
    <w:p w14:paraId="62FCA7B5"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37</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(MINSA),</w:t>
      </w:r>
      <w:r>
        <w:rPr>
          <w:color w:val="2B477B"/>
        </w:rPr>
        <w:t xml:space="preserve"> </w:t>
      </w:r>
      <w:hyperlink r:id="rId905" w:history="1">
        <w:r>
          <w:rPr>
            <w:rFonts w:ascii="Arial Unicode MS" w:eastAsia="Arial Unicode MS" w:hAnsi="Arial Unicode MS" w:cs="Arial Unicode MS"/>
            <w:color w:val="2B477B"/>
          </w:rPr>
          <w:t>Norma</w:t>
        </w:r>
        <w:r>
          <w:rPr>
            <w:color w:val="2B477B"/>
          </w:rPr>
          <w:t xml:space="preserve"> </w:t>
        </w:r>
        <w:r>
          <w:rPr>
            <w:rFonts w:ascii="Arial Unicode MS" w:eastAsia="Arial Unicode MS" w:hAnsi="Arial Unicode MS" w:cs="Arial Unicode MS"/>
            <w:color w:val="2B477B"/>
          </w:rPr>
          <w:t>Técnica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138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del</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regula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funcionamiento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Centros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Comunitarios</w:t>
        </w:r>
      </w:hyperlink>
      <w:r>
        <w:rPr>
          <w:rFonts w:ascii="Arial Unicode MS" w:eastAsia="Arial Unicode MS" w:hAnsi="Arial Unicode MS" w:cs="Arial Unicode MS"/>
          <w:color w:val="2B477B"/>
        </w:rPr>
        <w:t>;</w:t>
      </w:r>
      <w:r>
        <w:rPr>
          <w:color w:val="2B477B"/>
        </w:rPr>
        <w:t xml:space="preserve"> </w:t>
      </w:r>
      <w:hyperlink r:id="rId906" w:history="1">
        <w:r>
          <w:rPr>
            <w:rFonts w:ascii="Arial Unicode MS" w:eastAsia="Arial Unicode MS" w:hAnsi="Arial Unicode MS" w:cs="Arial Unicode MS"/>
            <w:color w:val="2B477B"/>
          </w:rPr>
          <w:t>Norma</w:t>
        </w:r>
        <w:r>
          <w:rPr>
            <w:color w:val="2B477B"/>
          </w:rPr>
          <w:t xml:space="preserve"> </w:t>
        </w:r>
        <w:r>
          <w:rPr>
            <w:rFonts w:ascii="Arial Unicode MS" w:eastAsia="Arial Unicode MS" w:hAnsi="Arial Unicode MS" w:cs="Arial Unicode MS"/>
            <w:color w:val="2B477B"/>
          </w:rPr>
          <w:t>Técnica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140</w:t>
        </w:r>
        <w:r>
          <w:rPr>
            <w:rFonts w:ascii="Arial Unicode MS" w:eastAsia="Arial Unicode MS" w:hAnsi="Arial Unicode MS" w:cs="Arial Unicode MS"/>
            <w:color w:val="2B477B"/>
          </w:rPr>
          <w:t>-MINSA,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Hogares</w:t>
        </w:r>
        <w:r>
          <w:rPr>
            <w:color w:val="2B477B"/>
          </w:rPr>
          <w:t xml:space="preserve"> </w:t>
        </w:r>
        <w:r>
          <w:rPr>
            <w:rFonts w:ascii="Arial Unicode MS" w:eastAsia="Arial Unicode MS" w:hAnsi="Arial Unicode MS" w:cs="Arial Unicode MS"/>
            <w:color w:val="2B477B"/>
          </w:rPr>
          <w:t>Protegidos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hyperlink r:id="rId907" w:history="1">
        <w:r>
          <w:rPr>
            <w:rFonts w:ascii="Arial Unicode MS" w:eastAsia="Arial Unicode MS" w:hAnsi="Arial Unicode MS" w:cs="Arial Unicode MS"/>
            <w:color w:val="2B477B"/>
          </w:rPr>
          <w:t>Plan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Fortalecimiento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Comunitaria</w:t>
        </w:r>
        <w:r>
          <w:rPr>
            <w:color w:val="2B477B"/>
          </w:rPr>
          <w:t xml:space="preserve"> 2018</w:t>
        </w:r>
        <w:r>
          <w:rPr>
            <w:rFonts w:ascii="Arial Unicode MS" w:eastAsia="Arial Unicode MS" w:hAnsi="Arial Unicode MS" w:cs="Arial Unicode MS"/>
            <w:color w:val="2B477B"/>
          </w:rPr>
          <w:t>-</w:t>
        </w:r>
        <w:r>
          <w:rPr>
            <w:color w:val="2B477B"/>
          </w:rPr>
          <w:t>2021</w:t>
        </w:r>
      </w:hyperlink>
      <w:r>
        <w:rPr>
          <w:rFonts w:ascii="Arial Unicode MS" w:eastAsia="Arial Unicode MS" w:hAnsi="Arial Unicode MS" w:cs="Arial Unicode MS"/>
          <w:color w:val="2B477B"/>
        </w:rPr>
        <w:t>.</w:t>
      </w:r>
      <w:r>
        <w:rPr>
          <w:color w:val="2B477B"/>
        </w:rPr>
        <w:t xml:space="preserve"> </w:t>
      </w:r>
    </w:p>
  </w:footnote>
  <w:footnote w:id="544">
    <w:p w14:paraId="11BABC0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hyperlink r:id="rId908" w:history="1">
        <w:r>
          <w:rPr>
            <w:rFonts w:ascii="Arial Unicode MS" w:eastAsia="Arial Unicode MS" w:hAnsi="Arial Unicode MS" w:cs="Arial Unicode MS"/>
            <w:color w:val="2B477B"/>
          </w:rPr>
          <w:t>Ley</w:t>
        </w:r>
        <w:r>
          <w:rPr>
            <w:color w:val="2B477B"/>
          </w:rPr>
          <w:t xml:space="preserve"> 19529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w:t>
        </w:r>
      </w:hyperlink>
      <w:r>
        <w:rPr>
          <w:rFonts w:ascii="Arial Unicode MS" w:eastAsia="Arial Unicode MS" w:hAnsi="Arial Unicode MS" w:cs="Arial Unicode MS"/>
          <w:color w:val="2B477B"/>
        </w:rPr>
        <w:t>l,</w:t>
      </w:r>
      <w:r>
        <w:rPr>
          <w:color w:val="2B477B"/>
        </w:rPr>
        <w:t xml:space="preserve"> </w:t>
      </w:r>
      <w:r>
        <w:rPr>
          <w:rFonts w:ascii="Arial Unicode MS" w:eastAsia="Arial Unicode MS" w:hAnsi="Arial Unicode MS" w:cs="Arial Unicode MS"/>
          <w:color w:val="2B477B"/>
        </w:rPr>
        <w:t>art.</w:t>
      </w:r>
      <w:r>
        <w:rPr>
          <w:color w:val="2B477B"/>
        </w:rPr>
        <w:t xml:space="preserve"> 37</w:t>
      </w:r>
      <w:r>
        <w:rPr>
          <w:rFonts w:ascii="Arial Unicode MS" w:eastAsia="Arial Unicode MS" w:hAnsi="Arial Unicode MS" w:cs="Arial Unicode MS"/>
          <w:color w:val="2B477B"/>
        </w:rPr>
        <w:t>,</w:t>
      </w:r>
      <w:r>
        <w:rPr>
          <w:color w:val="2B477B"/>
        </w:rPr>
        <w:t xml:space="preserve"> 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p>
  </w:footnote>
  <w:footnote w:id="545">
    <w:p w14:paraId="43CCE46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909"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69</w:t>
      </w:r>
      <w:r>
        <w:rPr>
          <w:rFonts w:ascii="Arial Unicode MS" w:eastAsia="Arial Unicode MS" w:hAnsi="Arial Unicode MS" w:cs="Arial Unicode MS"/>
          <w:color w:val="2B477B"/>
        </w:rPr>
        <w:t>.</w:t>
      </w:r>
    </w:p>
  </w:footnote>
  <w:footnote w:id="546">
    <w:p w14:paraId="266377F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910" w:history="1">
        <w:r>
          <w:rPr>
            <w:rStyle w:val="Hyperlink1"/>
            <w:rFonts w:ascii="Arial Unicode MS" w:eastAsia="Arial Unicode MS" w:hAnsi="Arial Unicode MS" w:cs="Arial Unicode MS"/>
            <w:u w:val="single"/>
          </w:rPr>
          <w:t>Guía</w:t>
        </w:r>
        <w:r>
          <w:rPr>
            <w:rStyle w:val="Hyperlink1"/>
            <w:u w:val="single"/>
          </w:rPr>
          <w:t xml:space="preserve"> </w:t>
        </w:r>
        <w:r>
          <w:rPr>
            <w:rStyle w:val="Hyperlink1"/>
            <w:rFonts w:ascii="Arial Unicode MS" w:eastAsia="Arial Unicode MS" w:hAnsi="Arial Unicode MS" w:cs="Arial Unicode MS"/>
            <w:u w:val="single"/>
          </w:rPr>
          <w:t>Práctica</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Establecimiento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Apoyos</w:t>
        </w:r>
        <w:r>
          <w:rPr>
            <w:rStyle w:val="Hyperlink1"/>
            <w:u w:val="single"/>
          </w:rPr>
          <w:t xml:space="preserve"> </w:t>
        </w:r>
        <w:r>
          <w:rPr>
            <w:rStyle w:val="Hyperlink1"/>
            <w:rFonts w:ascii="Arial Unicode MS" w:eastAsia="Arial Unicode MS" w:hAnsi="Arial Unicode MS" w:cs="Arial Unicode MS"/>
            <w:u w:val="single"/>
          </w:rPr>
          <w:t>para</w:t>
        </w:r>
        <w:r>
          <w:rPr>
            <w:rStyle w:val="Hyperlink1"/>
            <w:u w:val="single"/>
          </w:rPr>
          <w:t xml:space="preserve"> </w:t>
        </w:r>
        <w:r>
          <w:rPr>
            <w:rStyle w:val="Hyperlink1"/>
            <w:rFonts w:ascii="Arial Unicode MS" w:eastAsia="Arial Unicode MS" w:hAnsi="Arial Unicode MS" w:cs="Arial Unicode MS"/>
            <w:u w:val="single"/>
          </w:rPr>
          <w:t>el</w:t>
        </w:r>
        <w:r>
          <w:rPr>
            <w:rStyle w:val="Hyperlink1"/>
            <w:u w:val="single"/>
          </w:rPr>
          <w:t xml:space="preserve"> </w:t>
        </w:r>
        <w:r>
          <w:rPr>
            <w:rStyle w:val="Hyperlink1"/>
            <w:rFonts w:ascii="Arial Unicode MS" w:eastAsia="Arial Unicode MS" w:hAnsi="Arial Unicode MS" w:cs="Arial Unicode MS"/>
            <w:u w:val="single"/>
          </w:rPr>
          <w:t>Ejercicio</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w:t>
        </w:r>
        <w:r>
          <w:rPr>
            <w:rStyle w:val="Hyperlink1"/>
            <w:u w:val="single"/>
          </w:rPr>
          <w:t xml:space="preserve"> </w:t>
        </w:r>
        <w:r>
          <w:rPr>
            <w:rStyle w:val="Hyperlink1"/>
            <w:rFonts w:ascii="Arial Unicode MS" w:eastAsia="Arial Unicode MS" w:hAnsi="Arial Unicode MS" w:cs="Arial Unicode MS"/>
            <w:u w:val="single"/>
          </w:rPr>
          <w:t>Capacidad</w:t>
        </w:r>
        <w:r>
          <w:rPr>
            <w:rStyle w:val="Hyperlink1"/>
            <w:u w:val="single"/>
          </w:rPr>
          <w:t xml:space="preserve"> </w:t>
        </w:r>
        <w:r>
          <w:rPr>
            <w:rStyle w:val="Hyperlink1"/>
            <w:rFonts w:ascii="Arial Unicode MS" w:eastAsia="Arial Unicode MS" w:hAnsi="Arial Unicode MS" w:cs="Arial Unicode MS"/>
            <w:u w:val="single"/>
          </w:rPr>
          <w:t>Jurídica</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69</w:t>
      </w:r>
      <w:r>
        <w:rPr>
          <w:rFonts w:ascii="Arial Unicode MS" w:eastAsia="Arial Unicode MS" w:hAnsi="Arial Unicode MS" w:cs="Arial Unicode MS"/>
          <w:color w:val="2B477B"/>
        </w:rPr>
        <w:t>.</w:t>
      </w:r>
    </w:p>
  </w:footnote>
  <w:footnote w:id="547">
    <w:p w14:paraId="50FF420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Banco</w:t>
      </w:r>
      <w:r>
        <w:rPr>
          <w:color w:val="2B477B"/>
        </w:rPr>
        <w:t xml:space="preserve"> </w:t>
      </w:r>
      <w:r>
        <w:rPr>
          <w:rFonts w:ascii="Arial Unicode MS" w:eastAsia="Arial Unicode MS" w:hAnsi="Arial Unicode MS" w:cs="Arial Unicode MS"/>
          <w:color w:val="2B477B"/>
        </w:rPr>
        <w:t>Interamericano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Desarrollo</w:t>
      </w:r>
      <w:r>
        <w:rPr>
          <w:color w:val="2B477B"/>
        </w:rPr>
        <w:t xml:space="preserve"> </w:t>
      </w:r>
      <w:r>
        <w:rPr>
          <w:rFonts w:ascii="Arial Unicode MS" w:eastAsia="Arial Unicode MS" w:hAnsi="Arial Unicode MS" w:cs="Arial Unicode MS"/>
          <w:color w:val="2B477B"/>
        </w:rPr>
        <w:t>(BID)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Estados</w:t>
      </w:r>
      <w:r>
        <w:rPr>
          <w:color w:val="2B477B"/>
        </w:rPr>
        <w:t xml:space="preserve"> </w:t>
      </w:r>
      <w:r>
        <w:rPr>
          <w:rFonts w:ascii="Arial Unicode MS" w:eastAsia="Arial Unicode MS" w:hAnsi="Arial Unicode MS" w:cs="Arial Unicode MS"/>
          <w:color w:val="2B477B"/>
        </w:rPr>
        <w:t>Americanos</w:t>
      </w:r>
      <w:r>
        <w:rPr>
          <w:color w:val="2B477B"/>
        </w:rPr>
        <w:t xml:space="preserve"> </w:t>
      </w:r>
      <w:r>
        <w:rPr>
          <w:rFonts w:ascii="Arial Unicode MS" w:eastAsia="Arial Unicode MS" w:hAnsi="Arial Unicode MS" w:cs="Arial Unicode MS"/>
          <w:color w:val="2B477B"/>
        </w:rPr>
        <w:t>(OEA),</w:t>
      </w:r>
      <w:r>
        <w:rPr>
          <w:color w:val="2B477B"/>
        </w:rPr>
        <w:t xml:space="preserve"> </w:t>
      </w:r>
      <w:r>
        <w:rPr>
          <w:rFonts w:ascii="Arial Unicode MS" w:eastAsia="Arial Unicode MS" w:hAnsi="Arial Unicode MS" w:cs="Arial Unicode MS"/>
          <w:color w:val="2B477B"/>
        </w:rPr>
        <w:t>Marco</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págs.</w:t>
      </w:r>
      <w:r>
        <w:rPr>
          <w:color w:val="2B477B"/>
        </w:rPr>
        <w:t xml:space="preserve"> 151 </w:t>
      </w:r>
      <w:r>
        <w:rPr>
          <w:rFonts w:ascii="Arial Unicode MS" w:eastAsia="Arial Unicode MS" w:hAnsi="Arial Unicode MS" w:cs="Arial Unicode MS"/>
          <w:color w:val="2B477B"/>
        </w:rPr>
        <w:t>a</w:t>
      </w:r>
      <w:r>
        <w:rPr>
          <w:color w:val="2B477B"/>
        </w:rPr>
        <w:t xml:space="preserve"> 194</w:t>
      </w:r>
      <w:r>
        <w:rPr>
          <w:rFonts w:ascii="Arial Unicode MS" w:eastAsia="Arial Unicode MS" w:hAnsi="Arial Unicode MS" w:cs="Arial Unicode MS"/>
          <w:color w:val="2B477B"/>
        </w:rPr>
        <w:t>.</w:t>
      </w:r>
    </w:p>
  </w:footnote>
  <w:footnote w:id="548">
    <w:p w14:paraId="6B95294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artículos</w:t>
      </w:r>
      <w:r>
        <w:rPr>
          <w:color w:val="2B477B"/>
        </w:rPr>
        <w:t xml:space="preserve"> 20 </w:t>
      </w:r>
      <w:r>
        <w:rPr>
          <w:rFonts w:ascii="Arial Unicode MS" w:eastAsia="Arial Unicode MS" w:hAnsi="Arial Unicode MS" w:cs="Arial Unicode MS"/>
          <w:color w:val="2B477B"/>
        </w:rPr>
        <w:t>y</w:t>
      </w:r>
      <w:r>
        <w:rPr>
          <w:color w:val="2B477B"/>
        </w:rPr>
        <w:t xml:space="preserve"> 44 </w:t>
      </w:r>
      <w:r>
        <w:rPr>
          <w:rFonts w:ascii="Arial Unicode MS" w:eastAsia="Arial Unicode MS" w:hAnsi="Arial Unicode MS" w:cs="Arial Unicode MS"/>
          <w:color w:val="2B477B"/>
        </w:rPr>
        <w:t>del</w:t>
      </w:r>
      <w:r>
        <w:rPr>
          <w:color w:val="2B477B"/>
        </w:rPr>
        <w:t xml:space="preserve"> </w:t>
      </w:r>
      <w:hyperlink r:id="rId911" w:history="1">
        <w:r>
          <w:rPr>
            <w:rFonts w:ascii="Arial Unicode MS" w:eastAsia="Arial Unicode MS" w:hAnsi="Arial Unicode MS" w:cs="Arial Unicode MS"/>
            <w:color w:val="2B477B"/>
          </w:rPr>
          <w:t>Persons</w:t>
        </w:r>
        <w:r>
          <w:rPr>
            <w:color w:val="2B477B"/>
          </w:rPr>
          <w:t xml:space="preserve"> </w:t>
        </w:r>
        <w:r>
          <w:rPr>
            <w:rFonts w:ascii="Arial Unicode MS" w:eastAsia="Arial Unicode MS" w:hAnsi="Arial Unicode MS" w:cs="Arial Unicode MS"/>
            <w:color w:val="2B477B"/>
          </w:rPr>
          <w:t>with</w:t>
        </w:r>
        <w:r>
          <w:rPr>
            <w:color w:val="2B477B"/>
          </w:rPr>
          <w:t xml:space="preserve"> </w:t>
        </w:r>
        <w:r>
          <w:rPr>
            <w:rFonts w:ascii="Arial Unicode MS" w:eastAsia="Arial Unicode MS" w:hAnsi="Arial Unicode MS" w:cs="Arial Unicode MS"/>
            <w:color w:val="2B477B"/>
          </w:rPr>
          <w:t>disabilities</w:t>
        </w:r>
        <w:r>
          <w:rPr>
            <w:color w:val="2B477B"/>
          </w:rPr>
          <w:t xml:space="preserve"> </w:t>
        </w:r>
        <w:r>
          <w:rPr>
            <w:rFonts w:ascii="Arial Unicode MS" w:eastAsia="Arial Unicode MS" w:hAnsi="Arial Unicode MS" w:cs="Arial Unicode MS"/>
            <w:color w:val="2B477B"/>
          </w:rPr>
          <w:t>(Equal</w:t>
        </w:r>
        <w:r>
          <w:rPr>
            <w:color w:val="2B477B"/>
          </w:rPr>
          <w:t xml:space="preserve"> </w:t>
        </w:r>
        <w:r>
          <w:rPr>
            <w:rFonts w:ascii="Arial Unicode MS" w:eastAsia="Arial Unicode MS" w:hAnsi="Arial Unicode MS" w:cs="Arial Unicode MS"/>
            <w:color w:val="2B477B"/>
          </w:rPr>
          <w:t>Opportunities)</w:t>
        </w:r>
      </w:hyperlink>
      <w:r>
        <w:rPr>
          <w:color w:val="2B477B"/>
        </w:rPr>
        <w:t xml:space="preserve"> </w:t>
      </w:r>
      <w:r>
        <w:rPr>
          <w:rFonts w:ascii="Arial Unicode MS" w:eastAsia="Arial Unicode MS" w:hAnsi="Arial Unicode MS" w:cs="Arial Unicode MS"/>
          <w:color w:val="2B477B"/>
        </w:rPr>
        <w:t>Bill</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señalan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ambientes</w:t>
      </w:r>
      <w:r>
        <w:rPr>
          <w:color w:val="2B477B"/>
        </w:rPr>
        <w:t xml:space="preserve"> </w:t>
      </w:r>
      <w:r>
        <w:rPr>
          <w:rFonts w:ascii="Arial Unicode MS" w:eastAsia="Arial Unicode MS" w:hAnsi="Arial Unicode MS" w:cs="Arial Unicode MS"/>
          <w:color w:val="2B477B"/>
        </w:rPr>
        <w:t>accesibles,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establecen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prohibición</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entidades</w:t>
      </w:r>
      <w:r>
        <w:rPr>
          <w:color w:val="2B477B"/>
        </w:rPr>
        <w:t xml:space="preserve"> </w:t>
      </w:r>
      <w:r>
        <w:rPr>
          <w:rFonts w:ascii="Arial Unicode MS" w:eastAsia="Arial Unicode MS" w:hAnsi="Arial Unicode MS" w:cs="Arial Unicode MS"/>
          <w:color w:val="2B477B"/>
        </w:rPr>
        <w:t>financieras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negar</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motivos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determina</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infracción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incumplimiento.</w:t>
      </w:r>
    </w:p>
  </w:footnote>
  <w:footnote w:id="549">
    <w:p w14:paraId="545DC37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Plurinacional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w:t>
      </w:r>
      <w:r>
        <w:rPr>
          <w:rFonts w:ascii="Arial Unicode MS" w:eastAsia="Arial Unicode MS" w:hAnsi="Arial Unicode MS" w:cs="Arial Unicode MS"/>
          <w:color w:val="2B477B"/>
        </w:rPr>
        <w:t>-</w:t>
      </w:r>
      <w:r>
        <w:rPr>
          <w:color w:val="2B477B"/>
        </w:rPr>
        <w:t>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artículos</w:t>
      </w:r>
      <w:r>
        <w:rPr>
          <w:color w:val="2B477B"/>
        </w:rPr>
        <w:t xml:space="preserve"> 25 </w:t>
      </w:r>
      <w:r>
        <w:rPr>
          <w:rFonts w:ascii="Arial Unicode MS" w:eastAsia="Arial Unicode MS" w:hAnsi="Arial Unicode MS" w:cs="Arial Unicode MS"/>
          <w:color w:val="2B477B"/>
        </w:rPr>
        <w:t>y</w:t>
      </w:r>
      <w:r>
        <w:rPr>
          <w:color w:val="2B477B"/>
        </w:rPr>
        <w:t xml:space="preserve"> 27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12" w:history="1">
        <w:r>
          <w:rPr>
            <w:rFonts w:ascii="Arial Unicode MS" w:eastAsia="Arial Unicode MS" w:hAnsi="Arial Unicode MS" w:cs="Arial Unicode MS"/>
            <w:color w:val="2B477B"/>
          </w:rPr>
          <w:t>Ley</w:t>
        </w:r>
        <w:r>
          <w:rPr>
            <w:color w:val="2B477B"/>
          </w:rPr>
          <w:t xml:space="preserve"> 223 </w:t>
        </w:r>
        <w:r>
          <w:rPr>
            <w:rFonts w:ascii="Arial Unicode MS" w:eastAsia="Arial Unicode MS" w:hAnsi="Arial Unicode MS" w:cs="Arial Unicode MS"/>
            <w:color w:val="2B477B"/>
          </w:rPr>
          <w:t>de</w:t>
        </w:r>
        <w:r>
          <w:rPr>
            <w:color w:val="2B477B"/>
          </w:rPr>
          <w:t xml:space="preserve"> 2012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w:r>
        <w:rPr>
          <w:rFonts w:ascii="Arial Unicode MS" w:eastAsia="Arial Unicode MS" w:hAnsi="Arial Unicode MS" w:cs="Arial Unicode MS"/>
          <w:color w:val="2B477B"/>
        </w:rPr>
        <w:t>establecen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debe</w:t>
      </w:r>
      <w:r>
        <w:rPr>
          <w:color w:val="2B477B"/>
        </w:rPr>
        <w:t xml:space="preserve"> </w:t>
      </w:r>
      <w:r>
        <w:rPr>
          <w:rFonts w:ascii="Arial Unicode MS" w:eastAsia="Arial Unicode MS" w:hAnsi="Arial Unicode MS" w:cs="Arial Unicode MS"/>
          <w:color w:val="2B477B"/>
        </w:rPr>
        <w:t>promover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créditos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financiar</w:t>
      </w:r>
      <w:r>
        <w:rPr>
          <w:color w:val="2B477B"/>
        </w:rPr>
        <w:t xml:space="preserve"> </w:t>
      </w:r>
      <w:r>
        <w:rPr>
          <w:rFonts w:ascii="Arial Unicode MS" w:eastAsia="Arial Unicode MS" w:hAnsi="Arial Unicode MS" w:cs="Arial Unicode MS"/>
          <w:color w:val="2B477B"/>
        </w:rPr>
        <w:t>proyectos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autoempleo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p>
  </w:footnote>
  <w:footnote w:id="550">
    <w:p w14:paraId="2C1F8B83"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r>
        <w:rPr>
          <w:color w:val="2B477B"/>
        </w:rPr>
        <w:t xml:space="preserve"> </w:t>
      </w:r>
      <w:hyperlink r:id="rId913" w:history="1">
        <w:r>
          <w:rPr>
            <w:rStyle w:val="Hyperlink1"/>
            <w:rFonts w:ascii="Arial Unicode MS" w:eastAsia="Arial Unicode MS" w:hAnsi="Arial Unicode MS" w:cs="Arial Unicode MS"/>
            <w:u w:val="single"/>
          </w:rPr>
          <w:t>Observación</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núm.</w:t>
        </w:r>
        <w:r>
          <w:rPr>
            <w:rStyle w:val="Hyperlink1"/>
            <w:u w:val="single"/>
          </w:rPr>
          <w:t xml:space="preserve"> 1 </w:t>
        </w:r>
      </w:hyperlink>
      <w:r>
        <w:rPr>
          <w:rFonts w:ascii="Arial Unicode MS" w:eastAsia="Arial Unicode MS" w:hAnsi="Arial Unicode MS" w:cs="Arial Unicode MS"/>
          <w:color w:val="2B477B"/>
        </w:rPr>
        <w:t>,</w:t>
      </w:r>
      <w:r>
        <w:rPr>
          <w:color w:val="2B477B"/>
        </w:rPr>
        <w:t xml:space="preserve"> </w:t>
      </w:r>
      <w:hyperlink r:id="rId914" w:history="1">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w:t>
      </w:r>
      <w:r>
        <w:rPr>
          <w:color w:val="2B477B"/>
        </w:rPr>
        <w:t xml:space="preserve"> 41</w:t>
      </w:r>
      <w:r>
        <w:rPr>
          <w:rFonts w:ascii="Arial Unicode MS" w:eastAsia="Arial Unicode MS" w:hAnsi="Arial Unicode MS" w:cs="Arial Unicode MS"/>
          <w:color w:val="2B477B"/>
        </w:rPr>
        <w:t>.</w:t>
      </w:r>
    </w:p>
  </w:footnote>
  <w:footnote w:id="551">
    <w:p w14:paraId="5137E2A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Conforme</w:t>
      </w:r>
      <w:r>
        <w:rPr>
          <w:color w:val="2B477B"/>
        </w:rPr>
        <w:t xml:space="preserve"> </w:t>
      </w:r>
      <w:r>
        <w:rPr>
          <w:rFonts w:ascii="Arial Unicode MS" w:eastAsia="Arial Unicode MS" w:hAnsi="Arial Unicode MS" w:cs="Arial Unicode MS"/>
          <w:color w:val="2B477B"/>
        </w:rPr>
        <w:t>la</w:t>
      </w:r>
      <w:r>
        <w:rPr>
          <w:color w:val="2B477B"/>
        </w:rPr>
        <w:t xml:space="preserve"> </w:t>
      </w:r>
      <w:r>
        <w:rPr>
          <w:rStyle w:val="Hyperlink1"/>
          <w:rFonts w:ascii="Arial Unicode MS" w:eastAsia="Arial Unicode MS" w:hAnsi="Arial Unicode MS" w:cs="Arial Unicode MS"/>
          <w:u w:val="single"/>
        </w:rPr>
        <w:t>Ley</w:t>
      </w:r>
      <w:r>
        <w:rPr>
          <w:rStyle w:val="Hyperlink1"/>
          <w:u w:val="single"/>
        </w:rPr>
        <w:t xml:space="preserve"> 1996 </w:t>
      </w:r>
      <w:r>
        <w:rPr>
          <w:rStyle w:val="Hyperlink1"/>
          <w:rFonts w:ascii="Arial Unicode MS" w:eastAsia="Arial Unicode MS" w:hAnsi="Arial Unicode MS" w:cs="Arial Unicode MS"/>
          <w:u w:val="single"/>
        </w:rPr>
        <w:t>de</w:t>
      </w:r>
      <w:r>
        <w:rPr>
          <w:rStyle w:val="Hyperlink1"/>
          <w:u w:val="single"/>
        </w:rPr>
        <w:t xml:space="preserve"> 2019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otorgan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derivado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pleno</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sistema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adopción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decisiones.</w:t>
      </w:r>
      <w:r>
        <w:rPr>
          <w:color w:val="2B477B"/>
        </w:rPr>
        <w:t xml:space="preserve"> </w:t>
      </w:r>
    </w:p>
  </w:footnote>
  <w:footnote w:id="552">
    <w:p w14:paraId="67FFE8A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Perú,</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del</w:t>
      </w:r>
      <w:r>
        <w:rPr>
          <w:color w:val="2B477B"/>
        </w:rPr>
        <w:t xml:space="preserve"> </w:t>
      </w:r>
      <w:hyperlink r:id="rId915" w:history="1">
        <w:r>
          <w:rPr>
            <w:rStyle w:val="Hyperlink1"/>
            <w:rFonts w:ascii="Arial Unicode MS" w:eastAsia="Arial Unicode MS" w:hAnsi="Arial Unicode MS" w:cs="Arial Unicode MS"/>
            <w:u w:val="single"/>
          </w:rPr>
          <w:t>Decreto</w:t>
        </w:r>
        <w:r>
          <w:rPr>
            <w:rStyle w:val="Hyperlink1"/>
            <w:u w:val="single"/>
          </w:rPr>
          <w:t xml:space="preserve"> </w:t>
        </w:r>
        <w:r>
          <w:rPr>
            <w:rStyle w:val="Hyperlink1"/>
            <w:rFonts w:ascii="Arial Unicode MS" w:eastAsia="Arial Unicode MS" w:hAnsi="Arial Unicode MS" w:cs="Arial Unicode MS"/>
            <w:u w:val="single"/>
          </w:rPr>
          <w:t>Legislativo</w:t>
        </w:r>
        <w:r>
          <w:rPr>
            <w:rStyle w:val="Hyperlink1"/>
            <w:u w:val="single"/>
          </w:rPr>
          <w:t xml:space="preserve"> 1368</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tienen</w:t>
      </w:r>
      <w:r>
        <w:rPr>
          <w:color w:val="2B477B"/>
        </w:rPr>
        <w:t xml:space="preserve"> </w:t>
      </w:r>
      <w:r>
        <w:rPr>
          <w:rFonts w:ascii="Arial Unicode MS" w:eastAsia="Arial Unicode MS" w:hAnsi="Arial Unicode MS" w:cs="Arial Unicode MS"/>
          <w:color w:val="2B477B"/>
        </w:rPr>
        <w:t>plena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otorgar</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libre</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puedan</w:t>
      </w:r>
      <w:r>
        <w:rPr>
          <w:color w:val="2B477B"/>
        </w:rPr>
        <w:t xml:space="preserve"> </w:t>
      </w:r>
      <w:r>
        <w:rPr>
          <w:rFonts w:ascii="Arial Unicode MS" w:eastAsia="Arial Unicode MS" w:hAnsi="Arial Unicode MS" w:cs="Arial Unicode MS"/>
          <w:color w:val="2B477B"/>
        </w:rPr>
        <w:t>necesitar.</w:t>
      </w:r>
      <w:r>
        <w:rPr>
          <w:color w:val="2B477B"/>
        </w:rPr>
        <w:t xml:space="preserve"> </w:t>
      </w:r>
    </w:p>
  </w:footnote>
  <w:footnote w:id="553">
    <w:p w14:paraId="5F8C43E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16</w:t>
      </w:r>
      <w:r>
        <w:rPr>
          <w:rFonts w:ascii="Arial Unicode MS" w:eastAsia="Arial Unicode MS" w:hAnsi="Arial Unicode MS" w:cs="Arial Unicode MS"/>
          <w:color w:val="2B477B"/>
        </w:rPr>
        <w:t>-</w:t>
      </w:r>
      <w:r>
        <w:rPr>
          <w:color w:val="2B477B"/>
        </w:rPr>
        <w:t>18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hyperlink r:id="rId916"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Autonomía</w:t>
        </w:r>
        <w:r>
          <w:rPr>
            <w:color w:val="2B477B"/>
          </w:rPr>
          <w:t xml:space="preserve"> </w:t>
        </w:r>
        <w:r>
          <w:rPr>
            <w:rFonts w:ascii="Arial Unicode MS" w:eastAsia="Arial Unicode MS" w:hAnsi="Arial Unicode MS" w:cs="Arial Unicode MS"/>
            <w:color w:val="2B477B"/>
          </w:rPr>
          <w:t>Personal</w:t>
        </w:r>
      </w:hyperlink>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del</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artículos</w:t>
      </w:r>
      <w:r>
        <w:rPr>
          <w:color w:val="2B477B"/>
        </w:rPr>
        <w:t xml:space="preserve"> 30 </w:t>
      </w:r>
      <w:r>
        <w:rPr>
          <w:rFonts w:ascii="Arial Unicode MS" w:eastAsia="Arial Unicode MS" w:hAnsi="Arial Unicode MS" w:cs="Arial Unicode MS"/>
          <w:color w:val="2B477B"/>
        </w:rPr>
        <w:t>a</w:t>
      </w:r>
      <w:r>
        <w:rPr>
          <w:color w:val="2B477B"/>
        </w:rPr>
        <w:t xml:space="preserve"> 44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derogación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curatela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interdicción,</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Procesal</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leyes</w:t>
      </w:r>
      <w:r>
        <w:rPr>
          <w:color w:val="2B477B"/>
        </w:rPr>
        <w:t xml:space="preserve"> </w:t>
      </w:r>
      <w:r>
        <w:rPr>
          <w:rFonts w:ascii="Arial Unicode MS" w:eastAsia="Arial Unicode MS" w:hAnsi="Arial Unicode MS" w:cs="Arial Unicode MS"/>
          <w:color w:val="2B477B"/>
        </w:rPr>
        <w:t>conexas.</w:t>
      </w:r>
      <w:r>
        <w:rPr>
          <w:color w:val="2B477B"/>
        </w:rPr>
        <w:t xml:space="preserve"> </w:t>
      </w:r>
    </w:p>
  </w:footnote>
  <w:footnote w:id="554">
    <w:p w14:paraId="2315BF7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Bahamas,</w:t>
      </w:r>
      <w:r>
        <w:rPr>
          <w:color w:val="2B477B"/>
        </w:rPr>
        <w:t xml:space="preserve"> </w:t>
      </w:r>
      <w:r>
        <w:rPr>
          <w:rFonts w:ascii="Arial Unicode MS" w:eastAsia="Arial Unicode MS" w:hAnsi="Arial Unicode MS" w:cs="Arial Unicode MS"/>
          <w:color w:val="2B477B"/>
        </w:rPr>
        <w:t>Barbados,</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Guatemala,</w:t>
      </w:r>
      <w:r>
        <w:rPr>
          <w:color w:val="2B477B"/>
        </w:rPr>
        <w:t xml:space="preserve"> </w:t>
      </w:r>
      <w:r>
        <w:rPr>
          <w:rFonts w:ascii="Arial Unicode MS" w:eastAsia="Arial Unicode MS" w:hAnsi="Arial Unicode MS" w:cs="Arial Unicode MS"/>
          <w:color w:val="2B477B"/>
        </w:rPr>
        <w:t>Guyana,</w:t>
      </w:r>
      <w:r>
        <w:rPr>
          <w:color w:val="2B477B"/>
        </w:rPr>
        <w:t xml:space="preserve"> </w:t>
      </w:r>
      <w:r>
        <w:rPr>
          <w:rFonts w:ascii="Arial Unicode MS" w:eastAsia="Arial Unicode MS" w:hAnsi="Arial Unicode MS" w:cs="Arial Unicode MS"/>
          <w:color w:val="2B477B"/>
        </w:rPr>
        <w:t>Haití,</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Nicaragua,</w:t>
      </w:r>
      <w:r>
        <w:rPr>
          <w:color w:val="2B477B"/>
        </w:rPr>
        <w:t xml:space="preserve"> </w:t>
      </w:r>
      <w:r>
        <w:rPr>
          <w:rFonts w:ascii="Arial Unicode MS" w:eastAsia="Arial Unicode MS" w:hAnsi="Arial Unicode MS" w:cs="Arial Unicode MS"/>
          <w:color w:val="2B477B"/>
        </w:rPr>
        <w:t>Paraguay,</w:t>
      </w:r>
      <w:r>
        <w:rPr>
          <w:color w:val="2B477B"/>
        </w:rPr>
        <w:t xml:space="preserve"> </w:t>
      </w:r>
      <w:r>
        <w:rPr>
          <w:rFonts w:ascii="Arial Unicode MS" w:eastAsia="Arial Unicode MS" w:hAnsi="Arial Unicode MS" w:cs="Arial Unicode MS"/>
          <w:color w:val="2B477B"/>
        </w:rPr>
        <w:t>Surinam,</w:t>
      </w:r>
      <w:r>
        <w:rPr>
          <w:color w:val="2B477B"/>
        </w:rPr>
        <w:t xml:space="preserve"> </w:t>
      </w:r>
      <w:r>
        <w:rPr>
          <w:rFonts w:ascii="Arial Unicode MS" w:eastAsia="Arial Unicode MS" w:hAnsi="Arial Unicode MS" w:cs="Arial Unicode MS"/>
          <w:color w:val="2B477B"/>
        </w:rPr>
        <w:t>Trinidad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Tobago,</w:t>
      </w:r>
      <w:r>
        <w:rPr>
          <w:color w:val="2B477B"/>
        </w:rPr>
        <w:t xml:space="preserve"> </w:t>
      </w:r>
      <w:r>
        <w:rPr>
          <w:rFonts w:ascii="Arial Unicode MS" w:eastAsia="Arial Unicode MS" w:hAnsi="Arial Unicode MS" w:cs="Arial Unicode MS"/>
          <w:color w:val="2B477B"/>
        </w:rPr>
        <w:t>Uruguay</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Venezuela,</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visto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secciones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particular,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ha</w:t>
      </w:r>
      <w:r>
        <w:rPr>
          <w:color w:val="2B477B"/>
        </w:rPr>
        <w:t xml:space="preserve"> </w:t>
      </w:r>
      <w:r>
        <w:rPr>
          <w:rFonts w:ascii="Arial Unicode MS" w:eastAsia="Arial Unicode MS" w:hAnsi="Arial Unicode MS" w:cs="Arial Unicode MS"/>
          <w:color w:val="2B477B"/>
        </w:rPr>
        <w:t>recibido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(FENOPDIH),</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Padres,</w:t>
      </w:r>
      <w:r>
        <w:rPr>
          <w:color w:val="2B477B"/>
        </w:rPr>
        <w:t xml:space="preserve"> </w:t>
      </w:r>
      <w:r>
        <w:rPr>
          <w:rFonts w:ascii="Arial Unicode MS" w:eastAsia="Arial Unicode MS" w:hAnsi="Arial Unicode MS" w:cs="Arial Unicode MS"/>
          <w:color w:val="2B477B"/>
        </w:rPr>
        <w:t>Madres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(FENAPAPEDISH),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relación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situaciones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esterilización</w:t>
      </w:r>
      <w:r>
        <w:rPr>
          <w:color w:val="2B477B"/>
        </w:rPr>
        <w:t xml:space="preserve"> </w:t>
      </w:r>
      <w:r>
        <w:rPr>
          <w:rFonts w:ascii="Arial Unicode MS" w:eastAsia="Arial Unicode MS" w:hAnsi="Arial Unicode MS" w:cs="Arial Unicode MS"/>
          <w:color w:val="2B477B"/>
        </w:rPr>
        <w:t>forzada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país.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dos</w:t>
      </w:r>
      <w:r>
        <w:rPr>
          <w:color w:val="2B477B"/>
        </w:rPr>
        <w:t xml:space="preserve"> </w:t>
      </w:r>
      <w:r>
        <w:rPr>
          <w:rFonts w:ascii="Arial Unicode MS" w:eastAsia="Arial Unicode MS" w:hAnsi="Arial Unicode MS" w:cs="Arial Unicode MS"/>
          <w:color w:val="2B477B"/>
        </w:rPr>
        <w:t>informes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Consulta</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Esterilización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elaborado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Asociación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Colectiva</w:t>
      </w:r>
      <w:r>
        <w:rPr>
          <w:color w:val="2B477B"/>
        </w:rPr>
        <w:t xml:space="preserve"> </w:t>
      </w:r>
      <w:r>
        <w:rPr>
          <w:rFonts w:ascii="Arial Unicode MS" w:eastAsia="Arial Unicode MS" w:hAnsi="Arial Unicode MS" w:cs="Arial Unicode MS"/>
          <w:color w:val="2B477B"/>
        </w:rPr>
        <w:t>Mariposa</w:t>
      </w:r>
      <w:r>
        <w:rPr>
          <w:color w:val="2B477B"/>
        </w:rPr>
        <w:t xml:space="preserve"> 88</w:t>
      </w:r>
      <w:r>
        <w:rPr>
          <w:rFonts w:ascii="Arial Unicode MS" w:eastAsia="Arial Unicode MS" w:hAnsi="Arial Unicode MS" w:cs="Arial Unicode MS"/>
          <w:color w:val="2B477B"/>
        </w:rPr>
        <w:t>HN,</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segundo</w:t>
      </w:r>
      <w:r>
        <w:rPr>
          <w:color w:val="2B477B"/>
        </w:rPr>
        <w:t xml:space="preserve"> </w:t>
      </w:r>
      <w:r>
        <w:rPr>
          <w:rFonts w:ascii="Arial Unicode MS" w:eastAsia="Arial Unicode MS" w:hAnsi="Arial Unicode MS" w:cs="Arial Unicode MS"/>
          <w:color w:val="2B477B"/>
        </w:rPr>
        <w:t>informe</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Investigación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elaborado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Federación</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Madres,</w:t>
      </w:r>
      <w:r>
        <w:rPr>
          <w:color w:val="2B477B"/>
        </w:rPr>
        <w:t xml:space="preserve"> </w:t>
      </w:r>
      <w:r>
        <w:rPr>
          <w:rFonts w:ascii="Arial Unicode MS" w:eastAsia="Arial Unicode MS" w:hAnsi="Arial Unicode MS" w:cs="Arial Unicode MS"/>
          <w:color w:val="2B477B"/>
        </w:rPr>
        <w:t>Padres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Familias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(FENAPAPEDISH),</w:t>
      </w:r>
      <w:r>
        <w:rPr>
          <w:color w:val="2B477B"/>
        </w:rPr>
        <w:t xml:space="preserve"> </w:t>
      </w:r>
      <w:r>
        <w:rPr>
          <w:rFonts w:ascii="Arial Unicode MS" w:eastAsia="Arial Unicode MS" w:hAnsi="Arial Unicode MS" w:cs="Arial Unicode MS"/>
          <w:color w:val="2B477B"/>
        </w:rPr>
        <w:t>Hivos,</w:t>
      </w:r>
      <w:r>
        <w:rPr>
          <w:color w:val="2B477B"/>
        </w:rPr>
        <w:t xml:space="preserve"> </w:t>
      </w:r>
      <w:r>
        <w:rPr>
          <w:rFonts w:ascii="Arial Unicode MS" w:eastAsia="Arial Unicode MS" w:hAnsi="Arial Unicode MS" w:cs="Arial Unicode MS"/>
          <w:color w:val="2B477B"/>
        </w:rPr>
        <w:t>People</w:t>
      </w:r>
      <w:r>
        <w:rPr>
          <w:color w:val="2B477B"/>
        </w:rPr>
        <w:t xml:space="preserve"> </w:t>
      </w:r>
      <w:r>
        <w:rPr>
          <w:rFonts w:ascii="Arial Unicode MS" w:eastAsia="Arial Unicode MS" w:hAnsi="Arial Unicode MS" w:cs="Arial Unicode MS"/>
          <w:color w:val="2B477B"/>
        </w:rPr>
        <w:t>Unlimited,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We</w:t>
      </w:r>
      <w:r>
        <w:rPr>
          <w:color w:val="2B477B"/>
        </w:rPr>
        <w:t xml:space="preserve"> </w:t>
      </w:r>
      <w:r>
        <w:rPr>
          <w:rFonts w:ascii="Arial Unicode MS" w:eastAsia="Arial Unicode MS" w:hAnsi="Arial Unicode MS" w:cs="Arial Unicode MS"/>
          <w:color w:val="2B477B"/>
        </w:rPr>
        <w:t>Lead,</w:t>
      </w:r>
      <w:r>
        <w:rPr>
          <w:color w:val="2B477B"/>
        </w:rPr>
        <w:t xml:space="preserve"> 2023</w:t>
      </w:r>
      <w:r>
        <w:rPr>
          <w:rFonts w:ascii="Arial Unicode MS" w:eastAsia="Arial Unicode MS" w:hAnsi="Arial Unicode MS" w:cs="Arial Unicode MS"/>
          <w:color w:val="2B477B"/>
        </w:rPr>
        <w:t>.</w:t>
      </w:r>
    </w:p>
  </w:footnote>
  <w:footnote w:id="555">
    <w:p w14:paraId="145F548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Bolivia,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20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17" w:history="1">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General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2012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únicamente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otorgar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libre</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intelectual</w:t>
      </w:r>
      <w:r>
        <w:rPr>
          <w:color w:val="2B477B"/>
        </w:rPr>
        <w:t xml:space="preserve"> </w:t>
      </w:r>
      <w:r>
        <w:rPr>
          <w:rFonts w:ascii="Arial Unicode MS" w:eastAsia="Arial Unicode MS" w:hAnsi="Arial Unicode MS" w:cs="Arial Unicode MS"/>
          <w:color w:val="2B477B"/>
        </w:rPr>
        <w:t>leve</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moderada,</w:t>
      </w:r>
      <w:r>
        <w:rPr>
          <w:color w:val="2B477B"/>
        </w:rPr>
        <w:t xml:space="preserve"> </w:t>
      </w:r>
      <w:r>
        <w:rPr>
          <w:rFonts w:ascii="Arial Unicode MS" w:eastAsia="Arial Unicode MS" w:hAnsi="Arial Unicode MS" w:cs="Arial Unicode MS"/>
          <w:color w:val="2B477B"/>
        </w:rPr>
        <w:t>excluyendo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psicosocial</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intelectual</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puedan</w:t>
      </w:r>
      <w:r>
        <w:rPr>
          <w:color w:val="2B477B"/>
        </w:rPr>
        <w:t xml:space="preserve"> </w:t>
      </w:r>
      <w:r>
        <w:rPr>
          <w:rFonts w:ascii="Arial Unicode MS" w:eastAsia="Arial Unicode MS" w:hAnsi="Arial Unicode MS" w:cs="Arial Unicode MS"/>
          <w:color w:val="2B477B"/>
        </w:rPr>
        <w:t>llegar</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necesitar</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intensos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manifestar</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voluntad.</w:t>
      </w:r>
    </w:p>
  </w:footnote>
  <w:footnote w:id="556">
    <w:p w14:paraId="283ABB80"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Costa</w:t>
      </w:r>
      <w:r>
        <w:rPr>
          <w:color w:val="2B477B"/>
        </w:rPr>
        <w:t xml:space="preserve"> </w:t>
      </w:r>
      <w:r>
        <w:rPr>
          <w:rFonts w:ascii="Arial Unicode MS" w:eastAsia="Arial Unicode MS" w:hAnsi="Arial Unicode MS" w:cs="Arial Unicode MS"/>
          <w:color w:val="2B477B"/>
        </w:rPr>
        <w:t>Rica,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6 </w:t>
      </w:r>
      <w:r>
        <w:rPr>
          <w:rFonts w:ascii="Arial Unicode MS" w:eastAsia="Arial Unicode MS" w:hAnsi="Arial Unicode MS" w:cs="Arial Unicode MS"/>
          <w:color w:val="2B477B"/>
        </w:rPr>
        <w:t>y</w:t>
      </w:r>
      <w:r>
        <w:rPr>
          <w:color w:val="2B477B"/>
        </w:rPr>
        <w:t xml:space="preserve"> 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2</w:t>
      </w:r>
      <w:r>
        <w:rPr>
          <w:rFonts w:ascii="Arial Unicode MS" w:eastAsia="Arial Unicode MS" w:hAnsi="Arial Unicode MS" w:cs="Arial Unicode MS"/>
          <w:color w:val="2B477B"/>
        </w:rPr>
        <w:t>.i)</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18" w:history="1">
        <w:r>
          <w:rPr>
            <w:rFonts w:ascii="Arial Unicode MS" w:eastAsia="Arial Unicode MS" w:hAnsi="Arial Unicode MS" w:cs="Arial Unicode MS"/>
            <w:color w:val="2B477B"/>
          </w:rPr>
          <w:t>Ley</w:t>
        </w:r>
        <w:r>
          <w:rPr>
            <w:color w:val="2B477B"/>
          </w:rPr>
          <w:t xml:space="preserve"> 8239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deberes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usuarias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privados</w:t>
        </w:r>
        <w:r>
          <w:rPr>
            <w:color w:val="2B477B"/>
          </w:rPr>
          <w:t xml:space="preserve"> </w:t>
        </w:r>
      </w:hyperlink>
      <w:r>
        <w:rPr>
          <w:rFonts w:ascii="Arial Unicode MS" w:eastAsia="Arial Unicode MS" w:hAnsi="Arial Unicode MS" w:cs="Arial Unicode MS"/>
          <w:color w:val="2B477B"/>
        </w:rPr>
        <w:t>de</w:t>
      </w:r>
      <w:r>
        <w:rPr>
          <w:color w:val="2B477B"/>
        </w:rPr>
        <w:t xml:space="preserve"> 2010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casos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paciente</w:t>
      </w:r>
      <w:r>
        <w:rPr>
          <w:color w:val="2B477B"/>
        </w:rPr>
        <w:t xml:space="preserve"> </w:t>
      </w:r>
      <w:r>
        <w:rPr>
          <w:rFonts w:ascii="Arial Unicode MS" w:eastAsia="Arial Unicode MS" w:hAnsi="Arial Unicode MS" w:cs="Arial Unicode MS"/>
          <w:color w:val="2B477B"/>
        </w:rPr>
        <w:t>esté</w:t>
      </w:r>
      <w:r>
        <w:rPr>
          <w:color w:val="2B477B"/>
        </w:rPr>
        <w:t xml:space="preserve"> </w:t>
      </w:r>
      <w:r>
        <w:rPr>
          <w:rFonts w:ascii="Arial Unicode MS" w:eastAsia="Arial Unicode MS" w:hAnsi="Arial Unicode MS" w:cs="Arial Unicode MS"/>
          <w:color w:val="2B477B"/>
        </w:rPr>
        <w:t>inconsciente</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expresar</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debe</w:t>
      </w:r>
      <w:r>
        <w:rPr>
          <w:color w:val="2B477B"/>
        </w:rPr>
        <w:t xml:space="preserve"> </w:t>
      </w:r>
      <w:r>
        <w:rPr>
          <w:rFonts w:ascii="Arial Unicode MS" w:eastAsia="Arial Unicode MS" w:hAnsi="Arial Unicode MS" w:cs="Arial Unicode MS"/>
          <w:color w:val="2B477B"/>
        </w:rPr>
        <w:t>obtener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representante</w:t>
      </w:r>
      <w:r>
        <w:rPr>
          <w:color w:val="2B477B"/>
        </w:rPr>
        <w:t xml:space="preserve"> </w:t>
      </w:r>
      <w:r>
        <w:rPr>
          <w:rFonts w:ascii="Arial Unicode MS" w:eastAsia="Arial Unicode MS" w:hAnsi="Arial Unicode MS" w:cs="Arial Unicode MS"/>
          <w:color w:val="2B477B"/>
        </w:rPr>
        <w:t>legal</w:t>
      </w:r>
      <w:r>
        <w:rPr>
          <w:color w:val="2B477B"/>
        </w:rPr>
        <w:t xml:space="preserve"> </w:t>
      </w:r>
      <w:r>
        <w:rPr>
          <w:rFonts w:ascii="Arial Unicode MS" w:eastAsia="Arial Unicode MS" w:hAnsi="Arial Unicode MS" w:cs="Arial Unicode MS"/>
          <w:color w:val="2B477B"/>
        </w:rPr>
        <w:t>cuando</w:t>
      </w:r>
      <w:r>
        <w:rPr>
          <w:color w:val="2B477B"/>
        </w:rPr>
        <w:t xml:space="preserve"> </w:t>
      </w:r>
      <w:r>
        <w:rPr>
          <w:rFonts w:ascii="Arial Unicode MS" w:eastAsia="Arial Unicode MS" w:hAnsi="Arial Unicode MS" w:cs="Arial Unicode MS"/>
          <w:color w:val="2B477B"/>
        </w:rPr>
        <w:t>sea</w:t>
      </w:r>
      <w:r>
        <w:rPr>
          <w:color w:val="2B477B"/>
        </w:rPr>
        <w:t xml:space="preserve"> </w:t>
      </w:r>
      <w:r>
        <w:rPr>
          <w:rFonts w:ascii="Arial Unicode MS" w:eastAsia="Arial Unicode MS" w:hAnsi="Arial Unicode MS" w:cs="Arial Unicode MS"/>
          <w:color w:val="2B477B"/>
        </w:rPr>
        <w:t>posible</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legalmente</w:t>
      </w:r>
      <w:r>
        <w:rPr>
          <w:color w:val="2B477B"/>
        </w:rPr>
        <w:t xml:space="preserve"> </w:t>
      </w:r>
      <w:r>
        <w:rPr>
          <w:rFonts w:ascii="Arial Unicode MS" w:eastAsia="Arial Unicode MS" w:hAnsi="Arial Unicode MS" w:cs="Arial Unicode MS"/>
          <w:color w:val="2B477B"/>
        </w:rPr>
        <w:t>pertinente.</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disposición</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w:t>
      </w:r>
      <w:r>
        <w:rPr>
          <w:color w:val="2B477B"/>
        </w:rPr>
        <w:t xml:space="preserve"> </w:t>
      </w:r>
      <w:r>
        <w:rPr>
          <w:rFonts w:ascii="Arial Unicode MS" w:eastAsia="Arial Unicode MS" w:hAnsi="Arial Unicode MS" w:cs="Arial Unicode MS"/>
          <w:color w:val="2B477B"/>
        </w:rPr>
        <w:t>alineada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hyperlink r:id="rId919" w:history="1">
        <w:r>
          <w:rPr>
            <w:rFonts w:ascii="Arial Unicode MS" w:eastAsia="Arial Unicode MS" w:hAnsi="Arial Unicode MS" w:cs="Arial Unicode MS"/>
            <w:color w:val="2B477B"/>
          </w:rPr>
          <w:t>Ley</w:t>
        </w:r>
        <w:r>
          <w:rPr>
            <w:color w:val="2B477B"/>
          </w:rPr>
          <w:t xml:space="preserve"> 9379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Promoción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Autonomía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hyperlink>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p>
  </w:footnote>
  <w:footnote w:id="557">
    <w:p w14:paraId="7037EC0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Salvador,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21 </w:t>
      </w:r>
      <w:r>
        <w:rPr>
          <w:rFonts w:ascii="Arial Unicode MS" w:eastAsia="Arial Unicode MS" w:hAnsi="Arial Unicode MS" w:cs="Arial Unicode MS"/>
          <w:color w:val="2B477B"/>
        </w:rPr>
        <w:t>y</w:t>
      </w:r>
      <w:r>
        <w:rPr>
          <w:color w:val="2B477B"/>
        </w:rPr>
        <w:t xml:space="preserve"> 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50 </w:t>
      </w:r>
      <w:r>
        <w:rPr>
          <w:rFonts w:ascii="Arial Unicode MS" w:eastAsia="Arial Unicode MS" w:hAnsi="Arial Unicode MS" w:cs="Arial Unicode MS"/>
          <w:color w:val="2B477B"/>
        </w:rPr>
        <w:t>del</w:t>
      </w:r>
      <w:r>
        <w:rPr>
          <w:color w:val="2B477B"/>
        </w:rPr>
        <w:t xml:space="preserve"> </w:t>
      </w:r>
      <w:hyperlink r:id="rId920" w:history="1">
        <w:r>
          <w:rPr>
            <w:rStyle w:val="Hyperlink1"/>
            <w:rFonts w:ascii="Arial Unicode MS" w:eastAsia="Arial Unicode MS" w:hAnsi="Arial Unicode MS" w:cs="Arial Unicode MS"/>
            <w:u w:val="single"/>
          </w:rPr>
          <w:t>Decreto</w:t>
        </w:r>
        <w:r>
          <w:rPr>
            <w:rStyle w:val="Hyperlink1"/>
            <w:u w:val="single"/>
          </w:rPr>
          <w:t xml:space="preserve"> 672</w:t>
        </w:r>
        <w:r>
          <w:rPr>
            <w:rStyle w:val="Hyperlink1"/>
            <w:rFonts w:ascii="Arial Unicode MS" w:eastAsia="Arial Unicode MS" w:hAnsi="Arial Unicode MS" w:cs="Arial Unicode MS"/>
            <w:u w:val="single"/>
          </w:rPr>
          <w:t>,</w:t>
        </w:r>
        <w:r>
          <w:rPr>
            <w:rStyle w:val="Hyperlink1"/>
            <w:u w:val="single"/>
          </w:rPr>
          <w:t xml:space="preserve"> </w:t>
        </w:r>
        <w:r>
          <w:rPr>
            <w:rStyle w:val="Hyperlink1"/>
            <w:rFonts w:ascii="Arial Unicode MS" w:eastAsia="Arial Unicode MS" w:hAnsi="Arial Unicode MS" w:cs="Arial Unicode MS"/>
            <w:u w:val="single"/>
          </w:rPr>
          <w:t>Ley</w:t>
        </w:r>
        <w:r>
          <w:rPr>
            <w:rStyle w:val="Hyperlink1"/>
            <w:u w:val="single"/>
          </w:rPr>
          <w:t xml:space="preserve"> </w:t>
        </w:r>
        <w:r>
          <w:rPr>
            <w:rStyle w:val="Hyperlink1"/>
            <w:rFonts w:ascii="Arial Unicode MS" w:eastAsia="Arial Unicode MS" w:hAnsi="Arial Unicode MS" w:cs="Arial Unicode MS"/>
            <w:u w:val="single"/>
          </w:rPr>
          <w:t>Especial</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Inclusión</w:t>
        </w:r>
        <w:r>
          <w:rPr>
            <w:rStyle w:val="Hyperlink1"/>
            <w:u w:val="single"/>
          </w:rPr>
          <w:t xml:space="preserve"> </w:t>
        </w:r>
        <w:r>
          <w:rPr>
            <w:rStyle w:val="Hyperlink1"/>
            <w:rFonts w:ascii="Arial Unicode MS" w:eastAsia="Arial Unicode MS" w:hAnsi="Arial Unicode MS" w:cs="Arial Unicode MS"/>
            <w:u w:val="single"/>
          </w:rPr>
          <w:t>de</w:t>
        </w:r>
        <w:r>
          <w:rPr>
            <w:rStyle w:val="Hyperlink1"/>
            <w:u w:val="single"/>
          </w:rPr>
          <w:t xml:space="preserve"> </w:t>
        </w:r>
        <w:r>
          <w:rPr>
            <w:rStyle w:val="Hyperlink1"/>
            <w:rFonts w:ascii="Arial Unicode MS" w:eastAsia="Arial Unicode MS" w:hAnsi="Arial Unicode MS" w:cs="Arial Unicode MS"/>
            <w:u w:val="single"/>
          </w:rPr>
          <w:t>las</w:t>
        </w:r>
        <w:r>
          <w:rPr>
            <w:rStyle w:val="Hyperlink1"/>
            <w:u w:val="single"/>
          </w:rPr>
          <w:t xml:space="preserve"> </w:t>
        </w:r>
        <w:r>
          <w:rPr>
            <w:rStyle w:val="Hyperlink1"/>
            <w:rFonts w:ascii="Arial Unicode MS" w:eastAsia="Arial Unicode MS" w:hAnsi="Arial Unicode MS" w:cs="Arial Unicode MS"/>
            <w:u w:val="single"/>
          </w:rPr>
          <w:t>Personas</w:t>
        </w:r>
        <w:r>
          <w:rPr>
            <w:rStyle w:val="Hyperlink1"/>
            <w:u w:val="single"/>
          </w:rPr>
          <w:t xml:space="preserve"> </w:t>
        </w:r>
        <w:r>
          <w:rPr>
            <w:rStyle w:val="Hyperlink1"/>
            <w:rFonts w:ascii="Arial Unicode MS" w:eastAsia="Arial Unicode MS" w:hAnsi="Arial Unicode MS" w:cs="Arial Unicode MS"/>
            <w:u w:val="single"/>
          </w:rPr>
          <w:t>con</w:t>
        </w:r>
        <w:r>
          <w:rPr>
            <w:rStyle w:val="Hyperlink1"/>
            <w:u w:val="single"/>
          </w:rPr>
          <w:t xml:space="preserve"> </w:t>
        </w:r>
        <w:r>
          <w:rPr>
            <w:rStyle w:val="Hyperlink1"/>
            <w:rFonts w:ascii="Arial Unicode MS" w:eastAsia="Arial Unicode MS" w:hAnsi="Arial Unicode MS" w:cs="Arial Unicode MS"/>
            <w:u w:val="single"/>
          </w:rPr>
          <w:t>Discapacidad</w:t>
        </w:r>
      </w:hyperlink>
      <w:r>
        <w:rPr>
          <w:color w:val="2B477B"/>
        </w:rPr>
        <w:t xml:space="preserve"> </w:t>
      </w:r>
      <w:r>
        <w:rPr>
          <w:rFonts w:ascii="Arial Unicode MS" w:eastAsia="Arial Unicode MS" w:hAnsi="Arial Unicode MS" w:cs="Arial Unicode MS"/>
          <w:color w:val="2B477B"/>
        </w:rPr>
        <w:t>de</w:t>
      </w:r>
      <w:r>
        <w:rPr>
          <w:color w:val="2B477B"/>
        </w:rPr>
        <w:t xml:space="preserve"> 2020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tienen</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emitir</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libre</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Familia</w:t>
      </w:r>
      <w:r>
        <w:rPr>
          <w:color w:val="2B477B"/>
        </w:rPr>
        <w:t xml:space="preserve"> </w:t>
      </w:r>
      <w:r>
        <w:rPr>
          <w:rFonts w:ascii="Arial Unicode MS" w:eastAsia="Arial Unicode MS" w:hAnsi="Arial Unicode MS" w:cs="Arial Unicode MS"/>
          <w:color w:val="2B477B"/>
        </w:rPr>
        <w:t>restringen</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derecho.</w:t>
      </w:r>
      <w:r>
        <w:rPr>
          <w:color w:val="2B477B"/>
        </w:rPr>
        <w:t xml:space="preserve"> </w:t>
      </w:r>
    </w:p>
  </w:footnote>
  <w:footnote w:id="558">
    <w:p w14:paraId="2C6689C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Panamá,</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37</w:t>
      </w:r>
      <w:r>
        <w:rPr>
          <w:rFonts w:ascii="Arial Unicode MS" w:eastAsia="Arial Unicode MS" w:hAnsi="Arial Unicode MS" w:cs="Arial Unicode MS"/>
          <w:color w:val="2B477B"/>
        </w:rPr>
        <w:t>-</w:t>
      </w:r>
      <w:r>
        <w:rPr>
          <w:color w:val="2B477B"/>
        </w:rPr>
        <w:t>39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2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Equiparación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Oportunidades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cuyas</w:t>
      </w:r>
      <w:r>
        <w:rPr>
          <w:color w:val="2B477B"/>
        </w:rPr>
        <w:t xml:space="preserve"> </w:t>
      </w:r>
      <w:r>
        <w:rPr>
          <w:rFonts w:ascii="Arial Unicode MS" w:eastAsia="Arial Unicode MS" w:hAnsi="Arial Unicode MS" w:cs="Arial Unicode MS"/>
          <w:color w:val="2B477B"/>
        </w:rPr>
        <w:t>condiciones</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permitan,</w:t>
      </w:r>
      <w:r>
        <w:rPr>
          <w:color w:val="2B477B"/>
        </w:rPr>
        <w:t xml:space="preserve"> </w:t>
      </w:r>
      <w:r>
        <w:rPr>
          <w:rFonts w:ascii="Arial Unicode MS" w:eastAsia="Arial Unicode MS" w:hAnsi="Arial Unicode MS" w:cs="Arial Unicode MS"/>
          <w:color w:val="2B477B"/>
        </w:rPr>
        <w:t>tomarán</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propias</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ejercicio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mientras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aquellas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quienes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les</w:t>
      </w:r>
      <w:r>
        <w:rPr>
          <w:color w:val="2B477B"/>
        </w:rPr>
        <w:t xml:space="preserve"> </w:t>
      </w:r>
      <w:r>
        <w:rPr>
          <w:rFonts w:ascii="Arial Unicode MS" w:eastAsia="Arial Unicode MS" w:hAnsi="Arial Unicode MS" w:cs="Arial Unicode MS"/>
          <w:color w:val="2B477B"/>
        </w:rPr>
        <w:t>permita</w:t>
      </w:r>
      <w:r>
        <w:rPr>
          <w:color w:val="2B477B"/>
        </w:rPr>
        <w:t xml:space="preserve"> </w:t>
      </w:r>
      <w:r>
        <w:rPr>
          <w:rFonts w:ascii="Arial Unicode MS" w:eastAsia="Arial Unicode MS" w:hAnsi="Arial Unicode MS" w:cs="Arial Unicode MS"/>
          <w:color w:val="2B477B"/>
        </w:rPr>
        <w:t>tomar</w:t>
      </w:r>
      <w:r>
        <w:rPr>
          <w:color w:val="2B477B"/>
        </w:rPr>
        <w:t xml:space="preserve"> </w:t>
      </w:r>
      <w:r>
        <w:rPr>
          <w:rFonts w:ascii="Arial Unicode MS" w:eastAsia="Arial Unicode MS" w:hAnsi="Arial Unicode MS" w:cs="Arial Unicode MS"/>
          <w:color w:val="2B477B"/>
        </w:rPr>
        <w:t>sus</w:t>
      </w:r>
      <w:r>
        <w:rPr>
          <w:color w:val="2B477B"/>
        </w:rPr>
        <w:t xml:space="preserve"> </w:t>
      </w:r>
      <w:r>
        <w:rPr>
          <w:rFonts w:ascii="Arial Unicode MS" w:eastAsia="Arial Unicode MS" w:hAnsi="Arial Unicode MS" w:cs="Arial Unicode MS"/>
          <w:color w:val="2B477B"/>
        </w:rPr>
        <w:t>propias</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serán</w:t>
      </w:r>
      <w:r>
        <w:rPr>
          <w:color w:val="2B477B"/>
        </w:rPr>
        <w:t xml:space="preserve"> </w:t>
      </w:r>
      <w:r>
        <w:rPr>
          <w:rFonts w:ascii="Arial Unicode MS" w:eastAsia="Arial Unicode MS" w:hAnsi="Arial Unicode MS" w:cs="Arial Unicode MS"/>
          <w:color w:val="2B477B"/>
        </w:rPr>
        <w:t>sustituidas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Asimismo,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22" w:history="1">
        <w:r>
          <w:rPr>
            <w:rFonts w:ascii="Arial Unicode MS" w:eastAsia="Arial Unicode MS" w:hAnsi="Arial Unicode MS" w:cs="Arial Unicode MS"/>
            <w:color w:val="2B477B"/>
          </w:rPr>
          <w:t>Ley</w:t>
        </w:r>
        <w:r>
          <w:rPr>
            <w:color w:val="2B477B"/>
          </w:rPr>
          <w:t xml:space="preserve"> 68</w:t>
        </w:r>
      </w:hyperlink>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paciente</w:t>
      </w:r>
      <w:r>
        <w:rPr>
          <w:color w:val="2B477B"/>
        </w:rPr>
        <w:t xml:space="preserve"> </w:t>
      </w:r>
      <w:r>
        <w:rPr>
          <w:rFonts w:ascii="Arial Unicode MS" w:eastAsia="Arial Unicode MS" w:hAnsi="Arial Unicode MS" w:cs="Arial Unicode MS"/>
          <w:color w:val="2B477B"/>
        </w:rPr>
        <w:t>de</w:t>
      </w:r>
      <w:r>
        <w:rPr>
          <w:color w:val="2B477B"/>
        </w:rPr>
        <w:t xml:space="preserve"> 2003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dispone</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caso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incapacidad</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paciente,</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debe</w:t>
      </w:r>
      <w:r>
        <w:rPr>
          <w:color w:val="2B477B"/>
        </w:rPr>
        <w:t xml:space="preserve"> </w:t>
      </w:r>
      <w:r>
        <w:rPr>
          <w:rFonts w:ascii="Arial Unicode MS" w:eastAsia="Arial Unicode MS" w:hAnsi="Arial Unicode MS" w:cs="Arial Unicode MS"/>
          <w:color w:val="2B477B"/>
        </w:rPr>
        <w:t>ser</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internamiento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función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grado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comprensión.</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mismo</w:t>
      </w:r>
      <w:r>
        <w:rPr>
          <w:color w:val="2B477B"/>
        </w:rPr>
        <w:t xml:space="preserve"> </w:t>
      </w:r>
      <w:r>
        <w:rPr>
          <w:rFonts w:ascii="Arial Unicode MS" w:eastAsia="Arial Unicode MS" w:hAnsi="Arial Unicode MS" w:cs="Arial Unicode MS"/>
          <w:color w:val="2B477B"/>
        </w:rPr>
        <w:t>sentido,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19 </w:t>
      </w:r>
      <w:r>
        <w:rPr>
          <w:rFonts w:ascii="Arial Unicode MS" w:eastAsia="Arial Unicode MS" w:hAnsi="Arial Unicode MS" w:cs="Arial Unicode MS"/>
          <w:color w:val="2B477B"/>
        </w:rPr>
        <w:t>señala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podrá</w:t>
      </w:r>
      <w:r>
        <w:rPr>
          <w:color w:val="2B477B"/>
        </w:rPr>
        <w:t xml:space="preserve"> </w:t>
      </w:r>
      <w:r>
        <w:rPr>
          <w:rFonts w:ascii="Arial Unicode MS" w:eastAsia="Arial Unicode MS" w:hAnsi="Arial Unicode MS" w:cs="Arial Unicode MS"/>
          <w:color w:val="2B477B"/>
        </w:rPr>
        <w:t>operar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familiares</w:t>
      </w:r>
      <w:r>
        <w:rPr>
          <w:color w:val="2B477B"/>
        </w:rPr>
        <w:t xml:space="preserve"> </w:t>
      </w:r>
      <w:r>
        <w:rPr>
          <w:rFonts w:ascii="Arial Unicode MS" w:eastAsia="Arial Unicode MS" w:hAnsi="Arial Unicode MS" w:cs="Arial Unicode MS"/>
          <w:color w:val="2B477B"/>
        </w:rPr>
        <w:t>cuando</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sea</w:t>
      </w:r>
      <w:r>
        <w:rPr>
          <w:color w:val="2B477B"/>
        </w:rPr>
        <w:t xml:space="preserve"> </w:t>
      </w:r>
      <w:r>
        <w:rPr>
          <w:rFonts w:ascii="Arial Unicode MS" w:eastAsia="Arial Unicode MS" w:hAnsi="Arial Unicode MS" w:cs="Arial Unicode MS"/>
          <w:color w:val="2B477B"/>
        </w:rPr>
        <w:t>capaz</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tomar</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porque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estado</w:t>
      </w:r>
      <w:r>
        <w:rPr>
          <w:color w:val="2B477B"/>
        </w:rPr>
        <w:t xml:space="preserve"> </w:t>
      </w:r>
      <w:r>
        <w:rPr>
          <w:rFonts w:ascii="Arial Unicode MS" w:eastAsia="Arial Unicode MS" w:hAnsi="Arial Unicode MS" w:cs="Arial Unicode MS"/>
          <w:color w:val="2B477B"/>
        </w:rPr>
        <w:t>físico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psíquico</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le</w:t>
      </w:r>
      <w:r>
        <w:rPr>
          <w:color w:val="2B477B"/>
        </w:rPr>
        <w:t xml:space="preserve"> </w:t>
      </w:r>
      <w:r>
        <w:rPr>
          <w:rFonts w:ascii="Arial Unicode MS" w:eastAsia="Arial Unicode MS" w:hAnsi="Arial Unicode MS" w:cs="Arial Unicode MS"/>
          <w:color w:val="2B477B"/>
        </w:rPr>
        <w:t>permite</w:t>
      </w:r>
      <w:r>
        <w:rPr>
          <w:color w:val="2B477B"/>
        </w:rPr>
        <w:t xml:space="preserve"> </w:t>
      </w:r>
      <w:r>
        <w:rPr>
          <w:rFonts w:ascii="Arial Unicode MS" w:eastAsia="Arial Unicode MS" w:hAnsi="Arial Unicode MS" w:cs="Arial Unicode MS"/>
          <w:color w:val="2B477B"/>
        </w:rPr>
        <w:t>hacerse</w:t>
      </w:r>
      <w:r>
        <w:rPr>
          <w:color w:val="2B477B"/>
        </w:rPr>
        <w:t xml:space="preserve"> </w:t>
      </w:r>
      <w:r>
        <w:rPr>
          <w:rFonts w:ascii="Arial Unicode MS" w:eastAsia="Arial Unicode MS" w:hAnsi="Arial Unicode MS" w:cs="Arial Unicode MS"/>
          <w:color w:val="2B477B"/>
        </w:rPr>
        <w:t>cargo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p>
  </w:footnote>
  <w:footnote w:id="559">
    <w:p w14:paraId="74C185C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 </w:t>
      </w:r>
      <w:r>
        <w:rPr>
          <w:rFonts w:ascii="Arial Unicode MS" w:eastAsia="Arial Unicode MS" w:hAnsi="Arial Unicode MS" w:cs="Arial Unicode MS"/>
          <w:color w:val="2B477B"/>
        </w:rPr>
        <w:t>y</w:t>
      </w:r>
      <w:r>
        <w:rPr>
          <w:color w:val="2B477B"/>
        </w:rPr>
        <w:t xml:space="preserve"> 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10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26</w:t>
      </w:r>
      <w:r>
        <w:rPr>
          <w:rFonts w:ascii="Arial Unicode MS" w:eastAsia="Arial Unicode MS" w:hAnsi="Arial Unicode MS" w:cs="Arial Unicode MS"/>
          <w:color w:val="2B477B"/>
        </w:rPr>
        <w:t>.</w:t>
      </w:r>
      <w:r>
        <w:rPr>
          <w:color w:val="2B477B"/>
        </w:rPr>
        <w:t>657</w:t>
      </w:r>
      <w:r>
        <w:rPr>
          <w:rFonts w:ascii="Arial Unicode MS" w:eastAsia="Arial Unicode MS" w:hAnsi="Arial Unicode MS" w:cs="Arial Unicode MS"/>
          <w:color w:val="2B477B"/>
        </w:rPr>
        <w:t>,</w:t>
      </w:r>
      <w:r>
        <w:rPr>
          <w:color w:val="2B477B"/>
        </w:rPr>
        <w:t xml:space="preserve"> </w:t>
      </w:r>
      <w:hyperlink r:id="rId923"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Nacional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hyperlink>
      <w:r>
        <w:rPr>
          <w:color w:val="2B477B"/>
        </w:rPr>
        <w:t xml:space="preserve"> </w:t>
      </w:r>
      <w:r>
        <w:rPr>
          <w:rFonts w:ascii="Arial Unicode MS" w:eastAsia="Arial Unicode MS" w:hAnsi="Arial Unicode MS" w:cs="Arial Unicode MS"/>
          <w:color w:val="2B477B"/>
        </w:rPr>
        <w:t>establece</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principio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todo</w:t>
      </w:r>
      <w:r>
        <w:rPr>
          <w:color w:val="2B477B"/>
        </w:rPr>
        <w:t xml:space="preserve"> </w:t>
      </w:r>
      <w:r>
        <w:rPr>
          <w:rFonts w:ascii="Arial Unicode MS" w:eastAsia="Arial Unicode MS" w:hAnsi="Arial Unicode MS" w:cs="Arial Unicode MS"/>
          <w:color w:val="2B477B"/>
        </w:rPr>
        <w:t>tipo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intervenciones,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recibir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través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medios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tecnologías</w:t>
      </w:r>
      <w:r>
        <w:rPr>
          <w:color w:val="2B477B"/>
        </w:rPr>
        <w:t xml:space="preserve"> </w:t>
      </w:r>
      <w:r>
        <w:rPr>
          <w:rFonts w:ascii="Arial Unicode MS" w:eastAsia="Arial Unicode MS" w:hAnsi="Arial Unicode MS" w:cs="Arial Unicode MS"/>
          <w:color w:val="2B477B"/>
        </w:rPr>
        <w:t>adecuadas</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comprensión.</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según</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reportado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país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si</w:t>
      </w:r>
      <w:r>
        <w:rPr>
          <w:color w:val="2B477B"/>
        </w:rPr>
        <w:t xml:space="preserve"> </w:t>
      </w:r>
      <w:r>
        <w:rPr>
          <w:rFonts w:ascii="Arial Unicode MS" w:eastAsia="Arial Unicode MS" w:hAnsi="Arial Unicode MS" w:cs="Arial Unicode MS"/>
          <w:color w:val="2B477B"/>
        </w:rPr>
        <w:t>bien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así</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reforma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Código</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intenta</w:t>
      </w:r>
      <w:r>
        <w:rPr>
          <w:color w:val="2B477B"/>
        </w:rPr>
        <w:t xml:space="preserve"> </w:t>
      </w:r>
      <w:r>
        <w:rPr>
          <w:rFonts w:ascii="Arial Unicode MS" w:eastAsia="Arial Unicode MS" w:hAnsi="Arial Unicode MS" w:cs="Arial Unicode MS"/>
          <w:color w:val="2B477B"/>
        </w:rPr>
        <w:t>incorporar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destierra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modelo</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trata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legislación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acumula</w:t>
      </w:r>
      <w:r>
        <w:rPr>
          <w:color w:val="2B477B"/>
        </w:rPr>
        <w:t xml:space="preserve"> </w:t>
      </w:r>
      <w:r>
        <w:rPr>
          <w:rFonts w:ascii="Arial Unicode MS" w:eastAsia="Arial Unicode MS" w:hAnsi="Arial Unicode MS" w:cs="Arial Unicode MS"/>
          <w:color w:val="2B477B"/>
        </w:rPr>
        <w:t>ambos</w:t>
      </w:r>
      <w:r>
        <w:rPr>
          <w:color w:val="2B477B"/>
        </w:rPr>
        <w:t xml:space="preserve"> </w:t>
      </w:r>
      <w:r>
        <w:rPr>
          <w:rFonts w:ascii="Arial Unicode MS" w:eastAsia="Arial Unicode MS" w:hAnsi="Arial Unicode MS" w:cs="Arial Unicode MS"/>
          <w:color w:val="2B477B"/>
        </w:rPr>
        <w:t>paradigmas.</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designación</w:t>
      </w:r>
      <w:r>
        <w:rPr>
          <w:color w:val="2B477B"/>
        </w:rPr>
        <w:t xml:space="preserve"> </w:t>
      </w:r>
      <w:r>
        <w:rPr>
          <w:rFonts w:ascii="Arial Unicode MS" w:eastAsia="Arial Unicode MS" w:hAnsi="Arial Unicode MS" w:cs="Arial Unicode MS"/>
          <w:color w:val="2B477B"/>
        </w:rPr>
        <w:t>judicial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requiere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un</w:t>
      </w:r>
      <w:r>
        <w:rPr>
          <w:color w:val="2B477B"/>
        </w:rPr>
        <w:t xml:space="preserve"> </w:t>
      </w:r>
      <w:r>
        <w:rPr>
          <w:rFonts w:ascii="Arial Unicode MS" w:eastAsia="Arial Unicode MS" w:hAnsi="Arial Unicode MS" w:cs="Arial Unicode MS"/>
          <w:color w:val="2B477B"/>
        </w:rPr>
        <w:t>proceso</w:t>
      </w:r>
      <w:r>
        <w:rPr>
          <w:color w:val="2B477B"/>
        </w:rPr>
        <w:t xml:space="preserve"> </w:t>
      </w:r>
      <w:r>
        <w:rPr>
          <w:rFonts w:ascii="Arial Unicode MS" w:eastAsia="Arial Unicode MS" w:hAnsi="Arial Unicode MS" w:cs="Arial Unicode MS"/>
          <w:color w:val="2B477B"/>
        </w:rPr>
        <w:t>judicial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restricción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cual</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le</w:t>
      </w:r>
      <w:r>
        <w:rPr>
          <w:color w:val="2B477B"/>
        </w:rPr>
        <w:t xml:space="preserve"> </w:t>
      </w:r>
      <w:r>
        <w:rPr>
          <w:rFonts w:ascii="Arial Unicode MS" w:eastAsia="Arial Unicode MS" w:hAnsi="Arial Unicode MS" w:cs="Arial Unicode MS"/>
          <w:color w:val="2B477B"/>
        </w:rPr>
        <w:t>asignan</w:t>
      </w:r>
      <w:r>
        <w:rPr>
          <w:color w:val="2B477B"/>
        </w:rPr>
        <w:t xml:space="preserve"> </w:t>
      </w:r>
      <w:r>
        <w:rPr>
          <w:rFonts w:ascii="Arial Unicode MS" w:eastAsia="Arial Unicode MS" w:hAnsi="Arial Unicode MS" w:cs="Arial Unicode MS"/>
          <w:color w:val="2B477B"/>
        </w:rPr>
        <w:t>apoyos</w:t>
      </w:r>
      <w:r>
        <w:rPr>
          <w:color w:val="2B477B"/>
        </w:rPr>
        <w:t xml:space="preserve"> </w:t>
      </w:r>
      <w:r>
        <w:rPr>
          <w:rFonts w:ascii="Arial Unicode MS" w:eastAsia="Arial Unicode MS" w:hAnsi="Arial Unicode MS" w:cs="Arial Unicode MS"/>
          <w:color w:val="2B477B"/>
        </w:rPr>
        <w:t>pierde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plena</w:t>
      </w:r>
      <w:r>
        <w:rPr>
          <w:color w:val="2B477B"/>
        </w:rPr>
        <w:t xml:space="preserve"> </w:t>
      </w:r>
      <w:r>
        <w:rPr>
          <w:rFonts w:ascii="Arial Unicode MS" w:eastAsia="Arial Unicode MS" w:hAnsi="Arial Unicode MS" w:cs="Arial Unicode MS"/>
          <w:color w:val="2B477B"/>
        </w:rPr>
        <w:t>capacidad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contravención</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Convención.</w:t>
      </w:r>
      <w:r>
        <w:rPr>
          <w:color w:val="2B477B"/>
        </w:rPr>
        <w:t xml:space="preserve"> </w:t>
      </w:r>
    </w:p>
  </w:footnote>
  <w:footnote w:id="560">
    <w:p w14:paraId="3F35998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10</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artículos</w:t>
      </w:r>
      <w:r>
        <w:rPr>
          <w:color w:val="2B477B"/>
        </w:rPr>
        <w:t xml:space="preserve"> 11 </w:t>
      </w:r>
      <w:r>
        <w:rPr>
          <w:rFonts w:ascii="Arial Unicode MS" w:eastAsia="Arial Unicode MS" w:hAnsi="Arial Unicode MS" w:cs="Arial Unicode MS"/>
          <w:color w:val="2B477B"/>
        </w:rPr>
        <w:t>y</w:t>
      </w:r>
      <w:r>
        <w:rPr>
          <w:color w:val="2B477B"/>
        </w:rPr>
        <w:t xml:space="preserve"> 12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24"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Inclusión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de</w:t>
        </w:r>
        <w:r>
          <w:rPr>
            <w:color w:val="2B477B"/>
          </w:rPr>
          <w:t xml:space="preserve"> 2015</w:t>
        </w:r>
      </w:hyperlink>
      <w:r>
        <w:rPr>
          <w:color w:val="2B477B"/>
        </w:rPr>
        <w:t xml:space="preserve"> </w:t>
      </w:r>
      <w:r>
        <w:rPr>
          <w:rFonts w:ascii="Arial Unicode MS" w:eastAsia="Arial Unicode MS" w:hAnsi="Arial Unicode MS" w:cs="Arial Unicode MS"/>
          <w:color w:val="2B477B"/>
        </w:rPr>
        <w:t>establecen</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estarán</w:t>
      </w:r>
      <w:r>
        <w:rPr>
          <w:color w:val="2B477B"/>
        </w:rPr>
        <w:t xml:space="preserve"> </w:t>
      </w:r>
      <w:r>
        <w:rPr>
          <w:rFonts w:ascii="Arial Unicode MS" w:eastAsia="Arial Unicode MS" w:hAnsi="Arial Unicode MS" w:cs="Arial Unicode MS"/>
          <w:color w:val="2B477B"/>
        </w:rPr>
        <w:t>obligadas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someterse</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intervención</w:t>
      </w:r>
      <w:r>
        <w:rPr>
          <w:color w:val="2B477B"/>
        </w:rPr>
        <w:t xml:space="preserve"> </w:t>
      </w:r>
      <w:r>
        <w:rPr>
          <w:rFonts w:ascii="Arial Unicode MS" w:eastAsia="Arial Unicode MS" w:hAnsi="Arial Unicode MS" w:cs="Arial Unicode MS"/>
          <w:color w:val="2B477B"/>
        </w:rPr>
        <w:t>clínica</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quirúrgica,</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institucionalización</w:t>
      </w:r>
      <w:r>
        <w:rPr>
          <w:color w:val="2B477B"/>
        </w:rPr>
        <w:t xml:space="preserve"> </w:t>
      </w:r>
      <w:r>
        <w:rPr>
          <w:rFonts w:ascii="Arial Unicode MS" w:eastAsia="Arial Unicode MS" w:hAnsi="Arial Unicode MS" w:cs="Arial Unicode MS"/>
          <w:color w:val="2B477B"/>
        </w:rPr>
        <w:t>forzada.</w:t>
      </w:r>
      <w:r>
        <w:rPr>
          <w:color w:val="2B477B"/>
        </w:rPr>
        <w:t xml:space="preserve"> </w:t>
      </w:r>
    </w:p>
  </w:footnote>
  <w:footnote w:id="561">
    <w:p w14:paraId="06509F0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9</w:t>
      </w:r>
      <w:r>
        <w:rPr>
          <w:rFonts w:ascii="Arial Unicode MS" w:eastAsia="Arial Unicode MS" w:hAnsi="Arial Unicode MS" w:cs="Arial Unicode MS"/>
          <w:color w:val="2B477B"/>
        </w:rPr>
        <w:t>.</w:t>
      </w:r>
      <w:r>
        <w:rPr>
          <w:color w:val="2B477B"/>
        </w:rPr>
        <w:t xml:space="preserve">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25" w:history="1">
        <w:r>
          <w:rPr>
            <w:rFonts w:ascii="Arial Unicode MS" w:eastAsia="Arial Unicode MS" w:hAnsi="Arial Unicode MS" w:cs="Arial Unicode MS"/>
            <w:color w:val="2B477B"/>
          </w:rPr>
          <w:t>Ley</w:t>
        </w:r>
        <w:r>
          <w:rPr>
            <w:color w:val="2B477B"/>
          </w:rPr>
          <w:t xml:space="preserve"> 21</w:t>
        </w:r>
        <w:r>
          <w:rPr>
            <w:rFonts w:ascii="Arial Unicode MS" w:eastAsia="Arial Unicode MS" w:hAnsi="Arial Unicode MS" w:cs="Arial Unicode MS"/>
            <w:color w:val="2B477B"/>
          </w:rPr>
          <w:t>.</w:t>
        </w:r>
        <w:r>
          <w:rPr>
            <w:color w:val="2B477B"/>
          </w:rPr>
          <w:t xml:space="preserve">331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intelectual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psicosocial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ejercer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libre</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mediante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establecimiento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mecanismos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Asimismo,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determina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equipos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deben</w:t>
      </w:r>
      <w:r>
        <w:rPr>
          <w:color w:val="2B477B"/>
        </w:rPr>
        <w:t xml:space="preserve"> </w:t>
      </w:r>
      <w:r>
        <w:rPr>
          <w:rFonts w:ascii="Arial Unicode MS" w:eastAsia="Arial Unicode MS" w:hAnsi="Arial Unicode MS" w:cs="Arial Unicode MS"/>
          <w:color w:val="2B477B"/>
        </w:rPr>
        <w:t>promover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resguardo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preferencias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disponiendo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utilización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declaraciones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anticipadas,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planes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casos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crisis</w:t>
      </w:r>
      <w:r>
        <w:rPr>
          <w:color w:val="2B477B"/>
        </w:rPr>
        <w:t xml:space="preserve"> </w:t>
      </w:r>
      <w:r>
        <w:rPr>
          <w:rFonts w:ascii="Arial Unicode MS" w:eastAsia="Arial Unicode MS" w:hAnsi="Arial Unicode MS" w:cs="Arial Unicode MS"/>
          <w:color w:val="2B477B"/>
        </w:rPr>
        <w:t>psicoemocional,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otras</w:t>
      </w:r>
      <w:r>
        <w:rPr>
          <w:color w:val="2B477B"/>
        </w:rPr>
        <w:t xml:space="preserve"> </w:t>
      </w:r>
      <w:r>
        <w:rPr>
          <w:rFonts w:ascii="Arial Unicode MS" w:eastAsia="Arial Unicode MS" w:hAnsi="Arial Unicode MS" w:cs="Arial Unicode MS"/>
          <w:color w:val="2B477B"/>
        </w:rPr>
        <w:t>herramientas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resguardo,</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objetivo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hacer</w:t>
      </w:r>
      <w:r>
        <w:rPr>
          <w:color w:val="2B477B"/>
        </w:rPr>
        <w:t xml:space="preserve"> </w:t>
      </w:r>
      <w:r>
        <w:rPr>
          <w:rFonts w:ascii="Arial Unicode MS" w:eastAsia="Arial Unicode MS" w:hAnsi="Arial Unicode MS" w:cs="Arial Unicode MS"/>
          <w:color w:val="2B477B"/>
        </w:rPr>
        <w:t>primar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preferencias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persona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evento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afecciones</w:t>
      </w:r>
      <w:r>
        <w:rPr>
          <w:color w:val="2B477B"/>
        </w:rPr>
        <w:t xml:space="preserve"> </w:t>
      </w:r>
      <w:r>
        <w:rPr>
          <w:rFonts w:ascii="Arial Unicode MS" w:eastAsia="Arial Unicode MS" w:hAnsi="Arial Unicode MS" w:cs="Arial Unicode MS"/>
          <w:color w:val="2B477B"/>
        </w:rPr>
        <w:t>futuras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impidan</w:t>
      </w:r>
      <w:r>
        <w:rPr>
          <w:color w:val="2B477B"/>
        </w:rPr>
        <w:t xml:space="preserve"> </w:t>
      </w:r>
      <w:r>
        <w:rPr>
          <w:rFonts w:ascii="Arial Unicode MS" w:eastAsia="Arial Unicode MS" w:hAnsi="Arial Unicode MS" w:cs="Arial Unicode MS"/>
          <w:color w:val="2B477B"/>
        </w:rPr>
        <w:t>manifestar</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26" w:history="1">
        <w:r>
          <w:rPr>
            <w:rFonts w:ascii="Arial Unicode MS" w:eastAsia="Arial Unicode MS" w:hAnsi="Arial Unicode MS" w:cs="Arial Unicode MS"/>
            <w:color w:val="2B477B"/>
          </w:rPr>
          <w:t>Ley</w:t>
        </w:r>
        <w:r>
          <w:rPr>
            <w:color w:val="2B477B"/>
          </w:rPr>
          <w:t xml:space="preserve"> 20</w:t>
        </w:r>
        <w:r>
          <w:rPr>
            <w:rFonts w:ascii="Arial Unicode MS" w:eastAsia="Arial Unicode MS" w:hAnsi="Arial Unicode MS" w:cs="Arial Unicode MS"/>
            <w:color w:val="2B477B"/>
          </w:rPr>
          <w:t>.</w:t>
        </w:r>
        <w:r>
          <w:rPr>
            <w:color w:val="2B477B"/>
          </w:rPr>
          <w:t>584</w:t>
        </w:r>
      </w:hyperlink>
      <w:r>
        <w:rPr>
          <w:color w:val="2B477B"/>
        </w:rPr>
        <w:t xml:space="preserve"> </w:t>
      </w:r>
      <w:r>
        <w:rPr>
          <w:rFonts w:ascii="Arial Unicode MS" w:eastAsia="Arial Unicode MS" w:hAnsi="Arial Unicode MS" w:cs="Arial Unicode MS"/>
          <w:color w:val="2B477B"/>
        </w:rPr>
        <w:t>contiene</w:t>
      </w:r>
      <w:r>
        <w:rPr>
          <w:color w:val="2B477B"/>
        </w:rPr>
        <w:t xml:space="preserve"> </w:t>
      </w:r>
      <w:r>
        <w:rPr>
          <w:rFonts w:ascii="Arial Unicode MS" w:eastAsia="Arial Unicode MS" w:hAnsi="Arial Unicode MS" w:cs="Arial Unicode MS"/>
          <w:color w:val="2B477B"/>
        </w:rPr>
        <w:t>excepciones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permite</w:t>
      </w:r>
      <w:r>
        <w:rPr>
          <w:color w:val="2B477B"/>
        </w:rPr>
        <w:t xml:space="preserve"> </w:t>
      </w:r>
      <w:r>
        <w:rPr>
          <w:rFonts w:ascii="Arial Unicode MS" w:eastAsia="Arial Unicode MS" w:hAnsi="Arial Unicode MS" w:cs="Arial Unicode MS"/>
          <w:color w:val="2B477B"/>
        </w:rPr>
        <w:t>incluso</w:t>
      </w:r>
      <w:r>
        <w:rPr>
          <w:color w:val="2B477B"/>
        </w:rPr>
        <w:t xml:space="preserve"> </w:t>
      </w:r>
      <w:r>
        <w:rPr>
          <w:rFonts w:ascii="Arial Unicode MS" w:eastAsia="Arial Unicode MS" w:hAnsi="Arial Unicode MS" w:cs="Arial Unicode MS"/>
          <w:color w:val="2B477B"/>
        </w:rPr>
        <w:t>tratamientos</w:t>
      </w:r>
      <w:r>
        <w:rPr>
          <w:color w:val="2B477B"/>
        </w:rPr>
        <w:t xml:space="preserve"> </w:t>
      </w:r>
      <w:r>
        <w:rPr>
          <w:rFonts w:ascii="Arial Unicode MS" w:eastAsia="Arial Unicode MS" w:hAnsi="Arial Unicode MS" w:cs="Arial Unicode MS"/>
          <w:color w:val="2B477B"/>
        </w:rPr>
        <w:t>invasivos</w:t>
      </w:r>
      <w:r>
        <w:rPr>
          <w:color w:val="2B477B"/>
        </w:rPr>
        <w:t xml:space="preserve"> </w:t>
      </w:r>
      <w:r>
        <w:rPr>
          <w:rFonts w:ascii="Arial Unicode MS" w:eastAsia="Arial Unicode MS" w:hAnsi="Arial Unicode MS" w:cs="Arial Unicode MS"/>
          <w:color w:val="2B477B"/>
        </w:rPr>
        <w:t>e</w:t>
      </w:r>
      <w:r>
        <w:rPr>
          <w:color w:val="2B477B"/>
        </w:rPr>
        <w:t xml:space="preserve"> </w:t>
      </w:r>
      <w:r>
        <w:rPr>
          <w:rFonts w:ascii="Arial Unicode MS" w:eastAsia="Arial Unicode MS" w:hAnsi="Arial Unicode MS" w:cs="Arial Unicode MS"/>
          <w:color w:val="2B477B"/>
        </w:rPr>
        <w:t>irreversibles</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si</w:t>
      </w:r>
      <w:r>
        <w:rPr>
          <w:color w:val="2B477B"/>
        </w:rPr>
        <w:t xml:space="preserve"> </w:t>
      </w:r>
      <w:r>
        <w:rPr>
          <w:rFonts w:ascii="Arial Unicode MS" w:eastAsia="Arial Unicode MS" w:hAnsi="Arial Unicode MS" w:cs="Arial Unicode MS"/>
          <w:color w:val="2B477B"/>
        </w:rPr>
        <w:t>es</w:t>
      </w:r>
      <w:r>
        <w:rPr>
          <w:color w:val="2B477B"/>
        </w:rPr>
        <w:t xml:space="preserve"> </w:t>
      </w:r>
      <w:r>
        <w:rPr>
          <w:rFonts w:ascii="Arial Unicode MS" w:eastAsia="Arial Unicode MS" w:hAnsi="Arial Unicode MS" w:cs="Arial Unicode MS"/>
          <w:color w:val="2B477B"/>
        </w:rPr>
        <w:t>aprobado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Ética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establecimiento.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está</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tanto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denuncia</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mayo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anterior</w:t>
      </w:r>
      <w:r>
        <w:rPr>
          <w:color w:val="2B477B"/>
        </w:rPr>
        <w:t xml:space="preserve"> </w:t>
      </w:r>
      <w:proofErr w:type="gramStart"/>
      <w:r>
        <w:rPr>
          <w:rFonts w:ascii="Arial Unicode MS" w:eastAsia="Arial Unicode MS" w:hAnsi="Arial Unicode MS" w:cs="Arial Unicode MS"/>
          <w:color w:val="2B477B"/>
        </w:rPr>
        <w:t>Ministra</w:t>
      </w:r>
      <w:proofErr w:type="gramEnd"/>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María</w:t>
      </w:r>
      <w:r>
        <w:rPr>
          <w:color w:val="2B477B"/>
        </w:rPr>
        <w:t xml:space="preserve"> </w:t>
      </w:r>
      <w:r>
        <w:rPr>
          <w:rFonts w:ascii="Arial Unicode MS" w:eastAsia="Arial Unicode MS" w:hAnsi="Arial Unicode MS" w:cs="Arial Unicode MS"/>
          <w:color w:val="2B477B"/>
        </w:rPr>
        <w:t>Begoña</w:t>
      </w:r>
      <w:r>
        <w:rPr>
          <w:color w:val="2B477B"/>
        </w:rPr>
        <w:t xml:space="preserve"> </w:t>
      </w:r>
      <w:r>
        <w:rPr>
          <w:rFonts w:ascii="Arial Unicode MS" w:eastAsia="Arial Unicode MS" w:hAnsi="Arial Unicode MS" w:cs="Arial Unicode MS"/>
          <w:color w:val="2B477B"/>
        </w:rPr>
        <w:t>Yarza,</w:t>
      </w:r>
      <w:r>
        <w:rPr>
          <w:color w:val="2B477B"/>
        </w:rPr>
        <w:t xml:space="preserve"> </w:t>
      </w:r>
      <w:r>
        <w:rPr>
          <w:rFonts w:ascii="Arial Unicode MS" w:eastAsia="Arial Unicode MS" w:hAnsi="Arial Unicode MS" w:cs="Arial Unicode MS"/>
          <w:color w:val="2B477B"/>
        </w:rPr>
        <w:t>realizó</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Hospital</w:t>
      </w:r>
      <w:r>
        <w:rPr>
          <w:color w:val="2B477B"/>
        </w:rPr>
        <w:t xml:space="preserve"> </w:t>
      </w:r>
      <w:r>
        <w:rPr>
          <w:rFonts w:ascii="Arial Unicode MS" w:eastAsia="Arial Unicode MS" w:hAnsi="Arial Unicode MS" w:cs="Arial Unicode MS"/>
          <w:color w:val="2B477B"/>
        </w:rPr>
        <w:t>Psiquiátrico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Valparaíso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posibles</w:t>
      </w:r>
      <w:r>
        <w:rPr>
          <w:color w:val="2B477B"/>
        </w:rPr>
        <w:t xml:space="preserve"> </w:t>
      </w:r>
      <w:r>
        <w:rPr>
          <w:rFonts w:ascii="Arial Unicode MS" w:eastAsia="Arial Unicode MS" w:hAnsi="Arial Unicode MS" w:cs="Arial Unicode MS"/>
          <w:color w:val="2B477B"/>
        </w:rPr>
        <w:t>torturas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tratos</w:t>
      </w:r>
      <w:r>
        <w:rPr>
          <w:color w:val="2B477B"/>
        </w:rPr>
        <w:t xml:space="preserve"> </w:t>
      </w:r>
      <w:r>
        <w:rPr>
          <w:rFonts w:ascii="Arial Unicode MS" w:eastAsia="Arial Unicode MS" w:hAnsi="Arial Unicode MS" w:cs="Arial Unicode MS"/>
          <w:color w:val="2B477B"/>
        </w:rPr>
        <w:t>crueles</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aplicar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terapia</w:t>
      </w:r>
      <w:r>
        <w:rPr>
          <w:color w:val="2B477B"/>
        </w:rPr>
        <w:t xml:space="preserve"> </w:t>
      </w:r>
      <w:r>
        <w:rPr>
          <w:rFonts w:ascii="Arial Unicode MS" w:eastAsia="Arial Unicode MS" w:hAnsi="Arial Unicode MS" w:cs="Arial Unicode MS"/>
          <w:color w:val="2B477B"/>
        </w:rPr>
        <w:t>electroconvulsiva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pacientes</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anestesia</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su</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denuncia</w:t>
      </w:r>
      <w:r>
        <w:rPr>
          <w:color w:val="2B477B"/>
        </w:rPr>
        <w:t xml:space="preserve"> </w:t>
      </w:r>
      <w:r>
        <w:rPr>
          <w:rFonts w:ascii="Arial Unicode MS" w:eastAsia="Arial Unicode MS" w:hAnsi="Arial Unicode MS" w:cs="Arial Unicode MS"/>
          <w:color w:val="2B477B"/>
        </w:rPr>
        <w:t>produjo</w:t>
      </w:r>
      <w:r>
        <w:rPr>
          <w:color w:val="2B477B"/>
        </w:rPr>
        <w:t xml:space="preserve"> </w:t>
      </w:r>
      <w:r>
        <w:rPr>
          <w:rFonts w:ascii="Arial Unicode MS" w:eastAsia="Arial Unicode MS" w:hAnsi="Arial Unicode MS" w:cs="Arial Unicode MS"/>
          <w:color w:val="2B477B"/>
        </w:rPr>
        <w:t>una</w:t>
      </w:r>
      <w:r>
        <w:rPr>
          <w:color w:val="2B477B"/>
        </w:rPr>
        <w:t xml:space="preserve"> </w:t>
      </w:r>
      <w:r>
        <w:rPr>
          <w:rFonts w:ascii="Arial Unicode MS" w:eastAsia="Arial Unicode MS" w:hAnsi="Arial Unicode MS" w:cs="Arial Unicode MS"/>
          <w:color w:val="2B477B"/>
        </w:rPr>
        <w:t>fuerte</w:t>
      </w:r>
      <w:r>
        <w:rPr>
          <w:color w:val="2B477B"/>
        </w:rPr>
        <w:t xml:space="preserve"> </w:t>
      </w:r>
      <w:r>
        <w:rPr>
          <w:rFonts w:ascii="Arial Unicode MS" w:eastAsia="Arial Unicode MS" w:hAnsi="Arial Unicode MS" w:cs="Arial Unicode MS"/>
          <w:color w:val="2B477B"/>
        </w:rPr>
        <w:t>reacción</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gremio</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país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obligó</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renuncia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titular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cartera.</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embargo,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dado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hospital</w:t>
      </w:r>
      <w:r>
        <w:rPr>
          <w:color w:val="2B477B"/>
        </w:rPr>
        <w:t xml:space="preserve"> </w:t>
      </w:r>
      <w:r>
        <w:rPr>
          <w:rFonts w:ascii="Arial Unicode MS" w:eastAsia="Arial Unicode MS" w:hAnsi="Arial Unicode MS" w:cs="Arial Unicode MS"/>
          <w:color w:val="2B477B"/>
        </w:rPr>
        <w:t>reconoció</w:t>
      </w:r>
      <w:r>
        <w:rPr>
          <w:color w:val="2B477B"/>
        </w:rPr>
        <w:t xml:space="preserve"> </w:t>
      </w:r>
      <w:r>
        <w:rPr>
          <w:rFonts w:ascii="Arial Unicode MS" w:eastAsia="Arial Unicode MS" w:hAnsi="Arial Unicode MS" w:cs="Arial Unicode MS"/>
          <w:color w:val="2B477B"/>
        </w:rPr>
        <w:t>aplicar</w:t>
      </w:r>
      <w:r>
        <w:rPr>
          <w:color w:val="2B477B"/>
        </w:rPr>
        <w:t xml:space="preserve"> </w:t>
      </w:r>
      <w:r>
        <w:rPr>
          <w:rFonts w:ascii="Arial Unicode MS" w:eastAsia="Arial Unicode MS" w:hAnsi="Arial Unicode MS" w:cs="Arial Unicode MS"/>
          <w:color w:val="2B477B"/>
        </w:rPr>
        <w:t>este</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sin</w:t>
      </w:r>
      <w:r>
        <w:rPr>
          <w:color w:val="2B477B"/>
        </w:rPr>
        <w:t xml:space="preserve"> </w:t>
      </w:r>
      <w:r>
        <w:rPr>
          <w:rFonts w:ascii="Arial Unicode MS" w:eastAsia="Arial Unicode MS" w:hAnsi="Arial Unicode MS" w:cs="Arial Unicode MS"/>
          <w:color w:val="2B477B"/>
        </w:rPr>
        <w:t>anestesia,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institución</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encuentra</w:t>
      </w:r>
      <w:r>
        <w:rPr>
          <w:color w:val="2B477B"/>
        </w:rPr>
        <w:t xml:space="preserve"> </w:t>
      </w:r>
      <w:r>
        <w:rPr>
          <w:rFonts w:ascii="Arial Unicode MS" w:eastAsia="Arial Unicode MS" w:hAnsi="Arial Unicode MS" w:cs="Arial Unicode MS"/>
          <w:color w:val="2B477B"/>
        </w:rPr>
        <w:t>actualmente</w:t>
      </w:r>
      <w:r>
        <w:rPr>
          <w:color w:val="2B477B"/>
        </w:rPr>
        <w:t xml:space="preserve"> </w:t>
      </w:r>
      <w:r>
        <w:rPr>
          <w:rFonts w:ascii="Arial Unicode MS" w:eastAsia="Arial Unicode MS" w:hAnsi="Arial Unicode MS" w:cs="Arial Unicode MS"/>
          <w:color w:val="2B477B"/>
        </w:rPr>
        <w:t>bajo</w:t>
      </w:r>
      <w:r>
        <w:rPr>
          <w:color w:val="2B477B"/>
        </w:rPr>
        <w:t xml:space="preserve"> </w:t>
      </w:r>
      <w:r>
        <w:rPr>
          <w:rFonts w:ascii="Arial Unicode MS" w:eastAsia="Arial Unicode MS" w:hAnsi="Arial Unicode MS" w:cs="Arial Unicode MS"/>
          <w:color w:val="2B477B"/>
        </w:rPr>
        <w:t>sumario.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esta</w:t>
      </w:r>
      <w:r>
        <w:rPr>
          <w:color w:val="2B477B"/>
        </w:rPr>
        <w:t xml:space="preserve"> </w:t>
      </w:r>
      <w:r>
        <w:rPr>
          <w:rFonts w:ascii="Arial Unicode MS" w:eastAsia="Arial Unicode MS" w:hAnsi="Arial Unicode MS" w:cs="Arial Unicode MS"/>
          <w:color w:val="2B477B"/>
        </w:rPr>
        <w:t>práctica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encontrar</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Inostroza,</w:t>
      </w:r>
      <w:r>
        <w:rPr>
          <w:color w:val="2B477B"/>
        </w:rPr>
        <w:t xml:space="preserve"> </w:t>
      </w:r>
      <w:r>
        <w:rPr>
          <w:rFonts w:ascii="Arial Unicode MS" w:eastAsia="Arial Unicode MS" w:hAnsi="Arial Unicode MS" w:cs="Arial Unicode MS"/>
          <w:color w:val="2B477B"/>
        </w:rPr>
        <w:t>Francisca,:</w:t>
      </w:r>
      <w:r>
        <w:rPr>
          <w:color w:val="2B477B"/>
        </w:rPr>
        <w:t xml:space="preserve"> </w:t>
      </w:r>
      <w:hyperlink r:id="rId927" w:history="1">
        <w:r>
          <w:rPr>
            <w:rFonts w:ascii="Arial Unicode MS" w:eastAsia="Arial Unicode MS" w:hAnsi="Arial Unicode MS" w:cs="Arial Unicode MS"/>
            <w:color w:val="2B477B"/>
          </w:rPr>
          <w:t>“Lo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no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dijo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terapia</w:t>
        </w:r>
        <w:r>
          <w:rPr>
            <w:color w:val="2B477B"/>
          </w:rPr>
          <w:t xml:space="preserve"> </w:t>
        </w:r>
        <w:r>
          <w:rPr>
            <w:rFonts w:ascii="Arial Unicode MS" w:eastAsia="Arial Unicode MS" w:hAnsi="Arial Unicode MS" w:cs="Arial Unicode MS"/>
            <w:color w:val="2B477B"/>
          </w:rPr>
          <w:t>electroconvulsiva”</w:t>
        </w:r>
      </w:hyperlink>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Mostrador,</w:t>
      </w:r>
      <w:r>
        <w:rPr>
          <w:color w:val="2B477B"/>
        </w:rPr>
        <w:t xml:space="preserve"> </w:t>
      </w:r>
      <w:r>
        <w:rPr>
          <w:rFonts w:ascii="Arial Unicode MS" w:eastAsia="Arial Unicode MS" w:hAnsi="Arial Unicode MS" w:cs="Arial Unicode MS"/>
          <w:color w:val="2B477B"/>
        </w:rPr>
        <w:t>versión</w:t>
      </w:r>
      <w:r>
        <w:rPr>
          <w:color w:val="2B477B"/>
        </w:rPr>
        <w:t xml:space="preserve"> </w:t>
      </w:r>
      <w:r>
        <w:rPr>
          <w:rFonts w:ascii="Arial Unicode MS" w:eastAsia="Arial Unicode MS" w:hAnsi="Arial Unicode MS" w:cs="Arial Unicode MS"/>
          <w:color w:val="2B477B"/>
        </w:rPr>
        <w:t>digital,</w:t>
      </w:r>
      <w:r>
        <w:rPr>
          <w:color w:val="2B477B"/>
        </w:rPr>
        <w:t xml:space="preserve"> 25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febrero</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Cea,</w:t>
      </w:r>
      <w:r>
        <w:rPr>
          <w:color w:val="2B477B"/>
        </w:rPr>
        <w:t xml:space="preserve"> </w:t>
      </w:r>
      <w:r>
        <w:rPr>
          <w:rFonts w:ascii="Arial Unicode MS" w:eastAsia="Arial Unicode MS" w:hAnsi="Arial Unicode MS" w:cs="Arial Unicode MS"/>
          <w:color w:val="2B477B"/>
        </w:rPr>
        <w:t>Juan</w:t>
      </w:r>
      <w:r>
        <w:rPr>
          <w:color w:val="2B477B"/>
        </w:rPr>
        <w:t xml:space="preserve"> </w:t>
      </w:r>
      <w:r>
        <w:rPr>
          <w:rFonts w:ascii="Arial Unicode MS" w:eastAsia="Arial Unicode MS" w:hAnsi="Arial Unicode MS" w:cs="Arial Unicode MS"/>
          <w:color w:val="2B477B"/>
        </w:rPr>
        <w:t>Carlos,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Castillo,</w:t>
      </w:r>
      <w:r>
        <w:rPr>
          <w:color w:val="2B477B"/>
        </w:rPr>
        <w:t xml:space="preserve"> </w:t>
      </w:r>
      <w:r>
        <w:rPr>
          <w:rFonts w:ascii="Arial Unicode MS" w:eastAsia="Arial Unicode MS" w:hAnsi="Arial Unicode MS" w:cs="Arial Unicode MS"/>
          <w:color w:val="2B477B"/>
        </w:rPr>
        <w:t>Tatiana,</w:t>
      </w:r>
      <w:r>
        <w:rPr>
          <w:color w:val="2B477B"/>
        </w:rPr>
        <w:t xml:space="preserve"> </w:t>
      </w:r>
      <w:hyperlink r:id="rId928" w:history="1">
        <w:r>
          <w:rPr>
            <w:rFonts w:ascii="Arial Unicode MS" w:eastAsia="Arial Unicode MS" w:hAnsi="Arial Unicode MS" w:cs="Arial Unicode MS"/>
            <w:color w:val="2B477B"/>
          </w:rPr>
          <w:t>“</w:t>
        </w:r>
      </w:hyperlink>
      <w:hyperlink r:id="rId929" w:history="1">
        <w:r>
          <w:rPr>
            <w:rFonts w:ascii="Arial Unicode MS" w:eastAsia="Arial Unicode MS" w:hAnsi="Arial Unicode MS" w:cs="Arial Unicode MS"/>
            <w:color w:val="2B477B"/>
          </w:rPr>
          <w:t>Electroshock</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Terapia</w:t>
        </w:r>
        <w:r>
          <w:rPr>
            <w:color w:val="2B477B"/>
          </w:rPr>
          <w:t xml:space="preserve"> </w:t>
        </w:r>
        <w:r>
          <w:rPr>
            <w:rFonts w:ascii="Arial Unicode MS" w:eastAsia="Arial Unicode MS" w:hAnsi="Arial Unicode MS" w:cs="Arial Unicode MS"/>
            <w:color w:val="2B477B"/>
          </w:rPr>
          <w:t>Electroconvulsiva</w:t>
        </w:r>
        <w:r>
          <w:rPr>
            <w:color w:val="2B477B"/>
          </w:rPr>
          <w:t xml:space="preserve"> </w:t>
        </w:r>
        <w:r>
          <w:rPr>
            <w:rFonts w:ascii="Arial Unicode MS" w:eastAsia="Arial Unicode MS" w:hAnsi="Arial Unicode MS" w:cs="Arial Unicode MS"/>
            <w:color w:val="2B477B"/>
          </w:rPr>
          <w:t>(TEC)</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Chile,</w:t>
        </w:r>
        <w:r>
          <w:rPr>
            <w:color w:val="2B477B"/>
          </w:rPr>
          <w:t xml:space="preserve"> </w:t>
        </w:r>
      </w:hyperlink>
      <w:hyperlink r:id="rId930" w:history="1">
        <w:r>
          <w:rPr>
            <w:color w:val="2B477B"/>
          </w:rPr>
          <w:t xml:space="preserve"> </w:t>
        </w:r>
      </w:hyperlink>
      <w:hyperlink r:id="rId931" w:history="1">
        <w:r>
          <w:rPr>
            <w:rFonts w:ascii="Arial Unicode MS" w:eastAsia="Arial Unicode MS" w:hAnsi="Arial Unicode MS" w:cs="Arial Unicode MS"/>
            <w:color w:val="2B477B"/>
          </w:rPr>
          <w:t>Diagnóstico</w:t>
        </w:r>
        <w:r>
          <w:rPr>
            <w:color w:val="2B477B"/>
          </w:rPr>
          <w:t xml:space="preserve"> </w:t>
        </w:r>
        <w:r>
          <w:rPr>
            <w:rFonts w:ascii="Arial Unicode MS" w:eastAsia="Arial Unicode MS" w:hAnsi="Arial Unicode MS" w:cs="Arial Unicode MS"/>
            <w:color w:val="2B477B"/>
          </w:rPr>
          <w:t>crítico,</w:t>
        </w:r>
        <w:r>
          <w:rPr>
            <w:color w:val="2B477B"/>
          </w:rPr>
          <w:t xml:space="preserve"> </w:t>
        </w:r>
        <w:r>
          <w:rPr>
            <w:rFonts w:ascii="Arial Unicode MS" w:eastAsia="Arial Unicode MS" w:hAnsi="Arial Unicode MS" w:cs="Arial Unicode MS"/>
            <w:color w:val="2B477B"/>
          </w:rPr>
          <w:t>activismo</w:t>
        </w:r>
        <w:r>
          <w:rPr>
            <w:color w:val="2B477B"/>
          </w:rPr>
          <w:t xml:space="preserve"> </w:t>
        </w:r>
        <w:r>
          <w:rPr>
            <w:rFonts w:ascii="Arial Unicode MS" w:eastAsia="Arial Unicode MS" w:hAnsi="Arial Unicode MS" w:cs="Arial Unicode MS"/>
            <w:color w:val="2B477B"/>
          </w:rPr>
          <w:t>social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enfoque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derechos”</w:t>
        </w:r>
      </w:hyperlink>
      <w:r>
        <w:rPr>
          <w:rFonts w:ascii="Arial Unicode MS" w:eastAsia="Arial Unicode MS" w:hAnsi="Arial Unicode MS" w:cs="Arial Unicode MS"/>
          <w:color w:val="2B477B"/>
        </w:rPr>
        <w:t>,Cuadernos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Psicología,</w:t>
      </w:r>
      <w:r>
        <w:rPr>
          <w:color w:val="2B477B"/>
        </w:rPr>
        <w:t xml:space="preserve"> 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núm.</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w:t>
      </w:r>
      <w:r>
        <w:rPr>
          <w:color w:val="2B477B"/>
        </w:rPr>
        <w:t>1521</w:t>
      </w:r>
      <w:r>
        <w:rPr>
          <w:rFonts w:ascii="Arial Unicode MS" w:eastAsia="Arial Unicode MS" w:hAnsi="Arial Unicode MS" w:cs="Arial Unicode MS"/>
          <w:color w:val="2B477B"/>
        </w:rPr>
        <w:t>,</w:t>
      </w:r>
      <w:r>
        <w:rPr>
          <w:color w:val="2B477B"/>
        </w:rPr>
        <w:t xml:space="preserve"> 2020</w:t>
      </w:r>
      <w:r>
        <w:rPr>
          <w:rFonts w:ascii="Arial Unicode MS" w:eastAsia="Arial Unicode MS" w:hAnsi="Arial Unicode MS" w:cs="Arial Unicode MS"/>
          <w:color w:val="2B477B"/>
        </w:rPr>
        <w:t>.</w:t>
      </w:r>
    </w:p>
  </w:footnote>
  <w:footnote w:id="562">
    <w:p w14:paraId="5DF26D9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México,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31</w:t>
      </w:r>
      <w:r>
        <w:rPr>
          <w:rFonts w:ascii="Arial Unicode MS" w:eastAsia="Arial Unicode MS" w:hAnsi="Arial Unicode MS" w:cs="Arial Unicode MS"/>
          <w:color w:val="2B477B"/>
        </w:rPr>
        <w:t>-</w:t>
      </w:r>
      <w:r>
        <w:rPr>
          <w:color w:val="2B477B"/>
        </w:rPr>
        <w:t>35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75 </w:t>
      </w:r>
      <w:r>
        <w:rPr>
          <w:rFonts w:ascii="Arial Unicode MS" w:eastAsia="Arial Unicode MS" w:hAnsi="Arial Unicode MS" w:cs="Arial Unicode MS"/>
          <w:color w:val="2B477B"/>
        </w:rPr>
        <w:t>Ter,</w:t>
      </w:r>
      <w:r>
        <w:rPr>
          <w:color w:val="2B477B"/>
        </w:rPr>
        <w:t xml:space="preserve"> </w:t>
      </w:r>
      <w:r>
        <w:rPr>
          <w:rFonts w:ascii="Arial Unicode MS" w:eastAsia="Arial Unicode MS" w:hAnsi="Arial Unicode MS" w:cs="Arial Unicode MS"/>
          <w:color w:val="2B477B"/>
        </w:rPr>
        <w:t>fracción</w:t>
      </w:r>
      <w:r>
        <w:rPr>
          <w:color w:val="2B477B"/>
        </w:rPr>
        <w:t xml:space="preserve"> </w:t>
      </w:r>
      <w:r>
        <w:rPr>
          <w:rFonts w:ascii="Arial Unicode MS" w:eastAsia="Arial Unicode MS" w:hAnsi="Arial Unicode MS" w:cs="Arial Unicode MS"/>
          <w:color w:val="2B477B"/>
        </w:rPr>
        <w:t>III,</w:t>
      </w:r>
      <w:r>
        <w:rPr>
          <w:color w:val="2B477B"/>
        </w:rPr>
        <w:t xml:space="preserve"> </w:t>
      </w:r>
      <w:r>
        <w:rPr>
          <w:rFonts w:ascii="Arial Unicode MS" w:eastAsia="Arial Unicode MS" w:hAnsi="Arial Unicode MS" w:cs="Arial Unicode MS"/>
          <w:color w:val="2B477B"/>
        </w:rPr>
        <w:t>y</w:t>
      </w:r>
      <w:r>
        <w:rPr>
          <w:color w:val="2B477B"/>
        </w:rPr>
        <w:t xml:space="preserve"> 75 </w:t>
      </w:r>
      <w:r>
        <w:rPr>
          <w:rFonts w:ascii="Arial Unicode MS" w:eastAsia="Arial Unicode MS" w:hAnsi="Arial Unicode MS" w:cs="Arial Unicode MS"/>
          <w:color w:val="2B477B"/>
        </w:rPr>
        <w:t>Bis,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32"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hyperlink>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pacientes</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otorgar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consentimiento</w:t>
      </w:r>
      <w:r>
        <w:rPr>
          <w:color w:val="2B477B"/>
        </w:rPr>
        <w:t xml:space="preserve"> </w:t>
      </w:r>
      <w:r>
        <w:rPr>
          <w:rFonts w:ascii="Arial Unicode MS" w:eastAsia="Arial Unicode MS" w:hAnsi="Arial Unicode MS" w:cs="Arial Unicode MS"/>
          <w:color w:val="2B477B"/>
        </w:rPr>
        <w:t>informado.</w:t>
      </w:r>
      <w:r>
        <w:rPr>
          <w:color w:val="2B477B"/>
        </w:rPr>
        <w:t xml:space="preserve"> </w:t>
      </w:r>
      <w:r>
        <w:rPr>
          <w:rFonts w:ascii="Arial Unicode MS" w:eastAsia="Arial Unicode MS" w:hAnsi="Arial Unicode MS" w:cs="Arial Unicode MS"/>
          <w:color w:val="2B477B"/>
        </w:rPr>
        <w:t>Mientras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artículo</w:t>
      </w:r>
      <w:r>
        <w:rPr>
          <w:color w:val="2B477B"/>
        </w:rPr>
        <w:t xml:space="preserve"> 75 </w:t>
      </w:r>
      <w:r>
        <w:rPr>
          <w:rFonts w:ascii="Arial Unicode MS" w:eastAsia="Arial Unicode MS" w:hAnsi="Arial Unicode MS" w:cs="Arial Unicode MS"/>
          <w:color w:val="2B477B"/>
        </w:rPr>
        <w:t>Ter,</w:t>
      </w:r>
      <w:r>
        <w:rPr>
          <w:color w:val="2B477B"/>
        </w:rPr>
        <w:t xml:space="preserve"> </w:t>
      </w:r>
      <w:r>
        <w:rPr>
          <w:rFonts w:ascii="Arial Unicode MS" w:eastAsia="Arial Unicode MS" w:hAnsi="Arial Unicode MS" w:cs="Arial Unicode MS"/>
          <w:color w:val="2B477B"/>
        </w:rPr>
        <w:t>reconoce</w:t>
      </w:r>
      <w:r>
        <w:rPr>
          <w:color w:val="2B477B"/>
        </w:rPr>
        <w:t xml:space="preserve"> </w:t>
      </w:r>
      <w:r>
        <w:rPr>
          <w:rFonts w:ascii="Arial Unicode MS" w:eastAsia="Arial Unicode MS" w:hAnsi="Arial Unicode MS" w:cs="Arial Unicode MS"/>
          <w:color w:val="2B477B"/>
        </w:rPr>
        <w:t>como</w:t>
      </w:r>
      <w:r>
        <w:rPr>
          <w:color w:val="2B477B"/>
        </w:rPr>
        <w:t xml:space="preserve"> </w:t>
      </w:r>
      <w:r>
        <w:rPr>
          <w:rFonts w:ascii="Arial Unicode MS" w:eastAsia="Arial Unicode MS" w:hAnsi="Arial Unicode MS" w:cs="Arial Unicode MS"/>
          <w:color w:val="2B477B"/>
        </w:rPr>
        <w:t>medida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adopción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decisiones,</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derecho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elaborar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voluntad</w:t>
      </w:r>
      <w:r>
        <w:rPr>
          <w:color w:val="2B477B"/>
        </w:rPr>
        <w:t xml:space="preserve"> </w:t>
      </w:r>
      <w:r>
        <w:rPr>
          <w:rFonts w:ascii="Arial Unicode MS" w:eastAsia="Arial Unicode MS" w:hAnsi="Arial Unicode MS" w:cs="Arial Unicode MS"/>
          <w:color w:val="2B477B"/>
        </w:rPr>
        <w:t>anticipada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determinar</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tipo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acciones</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tratamiento</w:t>
      </w:r>
      <w:r>
        <w:rPr>
          <w:color w:val="2B477B"/>
        </w:rPr>
        <w:t xml:space="preserve"> </w:t>
      </w:r>
      <w:r>
        <w:rPr>
          <w:rFonts w:ascii="Arial Unicode MS" w:eastAsia="Arial Unicode MS" w:hAnsi="Arial Unicode MS" w:cs="Arial Unicode MS"/>
          <w:color w:val="2B477B"/>
        </w:rPr>
        <w:t>médico,</w:t>
      </w:r>
      <w:r>
        <w:rPr>
          <w:color w:val="2B477B"/>
        </w:rPr>
        <w:t xml:space="preserve"> </w:t>
      </w:r>
      <w:r>
        <w:rPr>
          <w:rFonts w:ascii="Arial Unicode MS" w:eastAsia="Arial Unicode MS" w:hAnsi="Arial Unicode MS" w:cs="Arial Unicode MS"/>
          <w:color w:val="2B477B"/>
        </w:rPr>
        <w:t>o</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negativa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recibir</w:t>
      </w:r>
      <w:r>
        <w:rPr>
          <w:color w:val="2B477B"/>
        </w:rPr>
        <w:t xml:space="preserve"> </w:t>
      </w:r>
      <w:r>
        <w:rPr>
          <w:rFonts w:ascii="Arial Unicode MS" w:eastAsia="Arial Unicode MS" w:hAnsi="Arial Unicode MS" w:cs="Arial Unicode MS"/>
          <w:color w:val="2B477B"/>
        </w:rPr>
        <w:t>determinado</w:t>
      </w:r>
      <w:r>
        <w:rPr>
          <w:color w:val="2B477B"/>
        </w:rPr>
        <w:t xml:space="preserve"> </w:t>
      </w:r>
      <w:r>
        <w:rPr>
          <w:rFonts w:ascii="Arial Unicode MS" w:eastAsia="Arial Unicode MS" w:hAnsi="Arial Unicode MS" w:cs="Arial Unicode MS"/>
          <w:color w:val="2B477B"/>
        </w:rPr>
        <w:t>tratamiento.</w:t>
      </w:r>
    </w:p>
  </w:footnote>
  <w:footnote w:id="563">
    <w:p w14:paraId="38643392"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Véase</w:t>
      </w:r>
      <w:r>
        <w:rPr>
          <w:color w:val="2B477B"/>
        </w:rPr>
        <w:t xml:space="preserve"> </w:t>
      </w:r>
      <w:r>
        <w:rPr>
          <w:rFonts w:ascii="Arial Unicode MS" w:eastAsia="Arial Unicode MS" w:hAnsi="Arial Unicode MS" w:cs="Arial Unicode MS"/>
          <w:color w:val="2B477B"/>
        </w:rPr>
        <w:t>supra</w:t>
      </w:r>
      <w:r>
        <w:rPr>
          <w:color w:val="2B477B"/>
        </w:rPr>
        <w:t xml:space="preserve"> </w:t>
      </w:r>
      <w:r>
        <w:rPr>
          <w:rFonts w:ascii="Arial Unicode MS" w:eastAsia="Arial Unicode MS" w:hAnsi="Arial Unicode MS" w:cs="Arial Unicode MS"/>
          <w:color w:val="2B477B"/>
        </w:rPr>
        <w:t>numeral</w:t>
      </w:r>
      <w:r>
        <w:rPr>
          <w:color w:val="2B477B"/>
        </w:rPr>
        <w:t xml:space="preserve"> 2 </w:t>
      </w:r>
      <w:r>
        <w:rPr>
          <w:rFonts w:ascii="Arial Unicode MS" w:eastAsia="Arial Unicode MS" w:hAnsi="Arial Unicode MS" w:cs="Arial Unicode MS"/>
          <w:color w:val="2B477B"/>
        </w:rPr>
        <w:t>relativo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Libertad</w:t>
      </w:r>
      <w:r>
        <w:rPr>
          <w:color w:val="2B477B"/>
        </w:rPr>
        <w:t xml:space="preserve"> </w:t>
      </w:r>
      <w:r>
        <w:rPr>
          <w:rFonts w:ascii="Arial Unicode MS" w:eastAsia="Arial Unicode MS" w:hAnsi="Arial Unicode MS" w:cs="Arial Unicode MS"/>
          <w:color w:val="2B477B"/>
        </w:rPr>
        <w:t>personal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vida</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comunidad.</w:t>
      </w:r>
      <w:r>
        <w:rPr>
          <w:color w:val="2B477B"/>
        </w:rPr>
        <w:t xml:space="preserve"> </w:t>
      </w:r>
    </w:p>
  </w:footnote>
  <w:footnote w:id="564">
    <w:p w14:paraId="771B3476"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CPD,</w:t>
      </w:r>
      <w:hyperlink r:id="rId933" w:history="1">
        <w:r>
          <w:rPr>
            <w:color w:val="2B477B"/>
          </w:rPr>
          <w:t xml:space="preserve"> </w:t>
        </w:r>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hyperlink>
      <w:r>
        <w:rPr>
          <w:color w:val="2B477B"/>
        </w:rPr>
        <w:t xml:space="preserve"> </w:t>
      </w:r>
      <w:hyperlink r:id="rId934" w:history="1">
        <w:r>
          <w:rPr>
            <w:rFonts w:ascii="Arial Unicode MS" w:eastAsia="Arial Unicode MS" w:hAnsi="Arial Unicode MS" w:cs="Arial Unicode MS"/>
            <w:color w:val="2B477B"/>
          </w:rPr>
          <w:t>art.</w:t>
        </w:r>
        <w:r>
          <w:rPr>
            <w:color w:val="2B477B"/>
          </w:rPr>
          <w:t xml:space="preserve"> 12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Igual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ante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Ley</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2014</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CRPD</w:t>
      </w:r>
      <w:r>
        <w:rPr>
          <w:color w:val="2B477B"/>
        </w:rPr>
        <w:t>/</w:t>
      </w:r>
      <w:r>
        <w:rPr>
          <w:rFonts w:ascii="Arial Unicode MS" w:eastAsia="Arial Unicode MS" w:hAnsi="Arial Unicode MS" w:cs="Arial Unicode MS"/>
          <w:color w:val="2B477B"/>
        </w:rPr>
        <w:t>C</w:t>
      </w:r>
      <w:r>
        <w:rPr>
          <w:color w:val="2B477B"/>
        </w:rPr>
        <w:t>/</w:t>
      </w:r>
      <w:r>
        <w:rPr>
          <w:rFonts w:ascii="Arial Unicode MS" w:eastAsia="Arial Unicode MS" w:hAnsi="Arial Unicode MS" w:cs="Arial Unicode MS"/>
          <w:color w:val="2B477B"/>
        </w:rPr>
        <w:t>GC</w:t>
      </w:r>
      <w:r>
        <w:rPr>
          <w:color w:val="2B477B"/>
        </w:rPr>
        <w:t>/1</w:t>
      </w:r>
      <w:r>
        <w:rPr>
          <w:rFonts w:ascii="Arial Unicode MS" w:eastAsia="Arial Unicode MS" w:hAnsi="Arial Unicode MS" w:cs="Arial Unicode MS"/>
          <w:color w:val="2B477B"/>
        </w:rPr>
        <w:t>,párr.</w:t>
      </w:r>
      <w:r>
        <w:rPr>
          <w:color w:val="2B477B"/>
        </w:rPr>
        <w:t xml:space="preserve"> 35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w:t>
      </w:r>
      <w:hyperlink r:id="rId935" w:history="1">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niñas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jóvenes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14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w:t>
      </w:r>
      <w:r>
        <w:rPr>
          <w:rFonts w:ascii="Arial Unicode MS" w:eastAsia="Arial Unicode MS" w:hAnsi="Arial Unicode MS" w:cs="Arial Unicode MS"/>
          <w:color w:val="2B477B"/>
        </w:rPr>
        <w:t>de</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w:t>
      </w:r>
      <w:r>
        <w:rPr>
          <w:color w:val="2B477B"/>
        </w:rPr>
        <w:t>/72/133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párrs.</w:t>
      </w:r>
      <w:r>
        <w:rPr>
          <w:color w:val="2B477B"/>
        </w:rPr>
        <w:t xml:space="preserve"> 18 </w:t>
      </w:r>
      <w:r>
        <w:rPr>
          <w:rFonts w:ascii="Arial Unicode MS" w:eastAsia="Arial Unicode MS" w:hAnsi="Arial Unicode MS" w:cs="Arial Unicode MS"/>
          <w:color w:val="2B477B"/>
        </w:rPr>
        <w:t>a</w:t>
      </w:r>
      <w:r>
        <w:rPr>
          <w:color w:val="2B477B"/>
        </w:rPr>
        <w:t xml:space="preserve"> 22</w:t>
      </w:r>
      <w:r>
        <w:rPr>
          <w:rFonts w:ascii="Arial Unicode MS" w:eastAsia="Arial Unicode MS" w:hAnsi="Arial Unicode MS" w:cs="Arial Unicode MS"/>
          <w:color w:val="2B477B"/>
        </w:rPr>
        <w:t>.</w:t>
      </w:r>
    </w:p>
  </w:footnote>
  <w:footnote w:id="565">
    <w:p w14:paraId="69B89D8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Comité</w:t>
      </w:r>
      <w:r>
        <w:rPr>
          <w:color w:val="2B477B"/>
        </w:rPr>
        <w:t xml:space="preserve"> </w:t>
      </w:r>
      <w:r>
        <w:rPr>
          <w:rFonts w:ascii="Arial Unicode MS" w:eastAsia="Arial Unicode MS" w:hAnsi="Arial Unicode MS" w:cs="Arial Unicode MS"/>
          <w:color w:val="2B477B"/>
        </w:rPr>
        <w:t>CDPD,</w:t>
      </w:r>
      <w:hyperlink r:id="rId936" w:history="1">
        <w:r>
          <w:rPr>
            <w:color w:val="2B477B"/>
          </w:rPr>
          <w:t xml:space="preserve"> </w:t>
        </w:r>
        <w:r>
          <w:rPr>
            <w:rFonts w:ascii="Arial Unicode MS" w:eastAsia="Arial Unicode MS" w:hAnsi="Arial Unicode MS" w:cs="Arial Unicode MS"/>
            <w:color w:val="2B477B"/>
          </w:rPr>
          <w:t>Observación</w:t>
        </w:r>
        <w:r>
          <w:rPr>
            <w:color w:val="2B477B"/>
          </w:rPr>
          <w:t xml:space="preserve"> </w:t>
        </w:r>
        <w:r>
          <w:rPr>
            <w:rFonts w:ascii="Arial Unicode MS" w:eastAsia="Arial Unicode MS" w:hAnsi="Arial Unicode MS" w:cs="Arial Unicode MS"/>
            <w:color w:val="2B477B"/>
          </w:rPr>
          <w:t>General</w:t>
        </w:r>
        <w:r>
          <w:rPr>
            <w:color w:val="2B477B"/>
          </w:rPr>
          <w:t xml:space="preserve"> </w:t>
        </w:r>
        <w:r>
          <w:rPr>
            <w:rFonts w:ascii="Arial Unicode MS" w:eastAsia="Arial Unicode MS" w:hAnsi="Arial Unicode MS" w:cs="Arial Unicode MS"/>
            <w:color w:val="2B477B"/>
          </w:rPr>
          <w:t>núm.</w:t>
        </w:r>
        <w:r>
          <w:rPr>
            <w:color w:val="2B477B"/>
          </w:rPr>
          <w:t xml:space="preserve"> 1</w:t>
        </w:r>
        <w:r>
          <w:rPr>
            <w:rFonts w:ascii="Arial Unicode MS" w:eastAsia="Arial Unicode MS" w:hAnsi="Arial Unicode MS" w:cs="Arial Unicode MS"/>
            <w:color w:val="2B477B"/>
          </w:rPr>
          <w:t>,</w:t>
        </w:r>
      </w:hyperlink>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párr.</w:t>
      </w:r>
      <w:r>
        <w:rPr>
          <w:color w:val="2B477B"/>
        </w:rPr>
        <w:t xml:space="preserve"> 35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ONU,</w:t>
      </w:r>
      <w:r>
        <w:rPr>
          <w:color w:val="2B477B"/>
        </w:rPr>
        <w:t xml:space="preserve"> </w:t>
      </w:r>
      <w:r>
        <w:rPr>
          <w:rFonts w:ascii="Arial Unicode MS" w:eastAsia="Arial Unicode MS" w:hAnsi="Arial Unicode MS" w:cs="Arial Unicode MS"/>
          <w:color w:val="2B477B"/>
        </w:rPr>
        <w:t>Asamblea</w:t>
      </w:r>
      <w:r>
        <w:rPr>
          <w:color w:val="2B477B"/>
        </w:rPr>
        <w:t xml:space="preserve"> </w:t>
      </w:r>
      <w:r>
        <w:rPr>
          <w:rFonts w:ascii="Arial Unicode MS" w:eastAsia="Arial Unicode MS" w:hAnsi="Arial Unicode MS" w:cs="Arial Unicode MS"/>
          <w:color w:val="2B477B"/>
        </w:rPr>
        <w:t>General,</w:t>
      </w:r>
      <w:r>
        <w:rPr>
          <w:color w:val="2B477B"/>
        </w:rPr>
        <w:t xml:space="preserve"> </w:t>
      </w:r>
      <w:hyperlink r:id="rId937" w:history="1">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materia</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niñas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jóvenes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párrs.</w:t>
      </w:r>
      <w:r>
        <w:rPr>
          <w:color w:val="2B477B"/>
        </w:rPr>
        <w:t xml:space="preserve"> 18 </w:t>
      </w:r>
      <w:r>
        <w:rPr>
          <w:rFonts w:ascii="Arial Unicode MS" w:eastAsia="Arial Unicode MS" w:hAnsi="Arial Unicode MS" w:cs="Arial Unicode MS"/>
          <w:color w:val="2B477B"/>
        </w:rPr>
        <w:t>a</w:t>
      </w:r>
      <w:r>
        <w:rPr>
          <w:color w:val="2B477B"/>
        </w:rPr>
        <w:t xml:space="preserve"> 22</w:t>
      </w:r>
      <w:r>
        <w:rPr>
          <w:rFonts w:ascii="Arial Unicode MS" w:eastAsia="Arial Unicode MS" w:hAnsi="Arial Unicode MS" w:cs="Arial Unicode MS"/>
          <w:color w:val="2B477B"/>
        </w:rPr>
        <w:t>.</w:t>
      </w:r>
    </w:p>
  </w:footnote>
  <w:footnote w:id="566">
    <w:p w14:paraId="6A81592E"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CEDDIS,</w:t>
      </w:r>
      <w:r>
        <w:rPr>
          <w:color w:val="2B477B"/>
        </w:rPr>
        <w:t xml:space="preserve"> </w:t>
      </w:r>
      <w:hyperlink r:id="rId938" w:history="1">
        <w:r>
          <w:rPr>
            <w:rFonts w:ascii="Arial Unicode MS" w:eastAsia="Arial Unicode MS" w:hAnsi="Arial Unicode MS" w:cs="Arial Unicode MS"/>
            <w:color w:val="2B477B"/>
          </w:rPr>
          <w:t>Guía</w:t>
        </w:r>
        <w:r>
          <w:rPr>
            <w:color w:val="2B477B"/>
          </w:rPr>
          <w:t xml:space="preserve"> </w:t>
        </w:r>
        <w:r>
          <w:rPr>
            <w:rFonts w:ascii="Arial Unicode MS" w:eastAsia="Arial Unicode MS" w:hAnsi="Arial Unicode MS" w:cs="Arial Unicode MS"/>
            <w:color w:val="2B477B"/>
          </w:rPr>
          <w:t>Práctica</w:t>
        </w:r>
        <w:r>
          <w:rPr>
            <w:color w:val="2B477B"/>
          </w:rPr>
          <w:t xml:space="preserve"> </w:t>
        </w:r>
        <w:r>
          <w:rPr>
            <w:rFonts w:ascii="Arial Unicode MS" w:eastAsia="Arial Unicode MS" w:hAnsi="Arial Unicode MS" w:cs="Arial Unicode MS"/>
            <w:color w:val="2B477B"/>
          </w:rPr>
          <w:t>para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Establecimiento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Apoyos</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r>
        <w:rPr>
          <w:rFonts w:ascii="Arial Unicode MS" w:eastAsia="Arial Unicode MS" w:hAnsi="Arial Unicode MS" w:cs="Arial Unicode MS"/>
          <w:color w:val="2B477B"/>
        </w:rPr>
        <w:t>págs.</w:t>
      </w:r>
      <w:r>
        <w:rPr>
          <w:color w:val="2B477B"/>
        </w:rPr>
        <w:t xml:space="preserve"> 60 </w:t>
      </w:r>
      <w:r>
        <w:rPr>
          <w:rFonts w:ascii="Arial Unicode MS" w:eastAsia="Arial Unicode MS" w:hAnsi="Arial Unicode MS" w:cs="Arial Unicode MS"/>
          <w:color w:val="2B477B"/>
        </w:rPr>
        <w:t>y</w:t>
      </w:r>
      <w:r>
        <w:rPr>
          <w:color w:val="2B477B"/>
        </w:rPr>
        <w:t xml:space="preserve"> 61</w:t>
      </w:r>
      <w:r>
        <w:rPr>
          <w:rFonts w:ascii="Arial Unicode MS" w:eastAsia="Arial Unicode MS" w:hAnsi="Arial Unicode MS" w:cs="Arial Unicode MS"/>
          <w:color w:val="2B477B"/>
        </w:rPr>
        <w:t>.</w:t>
      </w:r>
    </w:p>
  </w:footnote>
  <w:footnote w:id="567">
    <w:p w14:paraId="7F471891"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Argentina,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1 </w:t>
      </w:r>
      <w:r>
        <w:rPr>
          <w:rFonts w:ascii="Arial Unicode MS" w:eastAsia="Arial Unicode MS" w:hAnsi="Arial Unicode MS" w:cs="Arial Unicode MS"/>
          <w:color w:val="2B477B"/>
        </w:rPr>
        <w:t>y</w:t>
      </w:r>
      <w:r>
        <w:rPr>
          <w:color w:val="2B477B"/>
        </w:rPr>
        <w:t xml:space="preserve"> 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coincidente</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Red</w:t>
      </w:r>
      <w:r>
        <w:rPr>
          <w:color w:val="2B477B"/>
        </w:rPr>
        <w:t xml:space="preserve"> </w:t>
      </w:r>
      <w:r>
        <w:rPr>
          <w:rFonts w:ascii="Arial Unicode MS" w:eastAsia="Arial Unicode MS" w:hAnsi="Arial Unicode MS" w:cs="Arial Unicode MS"/>
          <w:color w:val="2B477B"/>
        </w:rPr>
        <w:t>Jurídica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Consorcio</w:t>
      </w:r>
      <w:r>
        <w:rPr>
          <w:color w:val="2B477B"/>
        </w:rPr>
        <w:t xml:space="preserve"> </w:t>
      </w:r>
      <w:r>
        <w:rPr>
          <w:rFonts w:ascii="Arial Unicode MS" w:eastAsia="Arial Unicode MS" w:hAnsi="Arial Unicode MS" w:cs="Arial Unicode MS"/>
          <w:color w:val="2B477B"/>
        </w:rPr>
        <w:t>Latinoamericano</w:t>
      </w:r>
      <w:r>
        <w:rPr>
          <w:color w:val="2B477B"/>
        </w:rPr>
        <w:t xml:space="preserve"> </w:t>
      </w:r>
      <w:r>
        <w:rPr>
          <w:rFonts w:ascii="Arial Unicode MS" w:eastAsia="Arial Unicode MS" w:hAnsi="Arial Unicode MS" w:cs="Arial Unicode MS"/>
          <w:color w:val="2B477B"/>
        </w:rPr>
        <w:t>contra</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Aborto</w:t>
      </w:r>
      <w:r>
        <w:rPr>
          <w:color w:val="2B477B"/>
        </w:rPr>
        <w:t xml:space="preserve"> </w:t>
      </w:r>
      <w:r>
        <w:rPr>
          <w:rFonts w:ascii="Arial Unicode MS" w:eastAsia="Arial Unicode MS" w:hAnsi="Arial Unicode MS" w:cs="Arial Unicode MS"/>
          <w:color w:val="2B477B"/>
        </w:rPr>
        <w:t>Inseguro</w:t>
      </w:r>
      <w:r>
        <w:rPr>
          <w:color w:val="2B477B"/>
        </w:rPr>
        <w:t xml:space="preserve"> </w:t>
      </w:r>
      <w:r>
        <w:rPr>
          <w:rFonts w:ascii="Arial Unicode MS" w:eastAsia="Arial Unicode MS" w:hAnsi="Arial Unicode MS" w:cs="Arial Unicode MS"/>
          <w:color w:val="2B477B"/>
        </w:rPr>
        <w:t>(CLACAI),</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partir</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aportada</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seis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integran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articulación</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siete</w:t>
      </w:r>
      <w:r>
        <w:rPr>
          <w:color w:val="2B477B"/>
        </w:rPr>
        <w:t xml:space="preserve"> </w:t>
      </w:r>
      <w:r>
        <w:rPr>
          <w:rFonts w:ascii="Arial Unicode MS" w:eastAsia="Arial Unicode MS" w:hAnsi="Arial Unicode MS" w:cs="Arial Unicode MS"/>
          <w:color w:val="2B477B"/>
        </w:rPr>
        <w:t>países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región,</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939" w:history="1">
        <w:r>
          <w:rPr>
            <w:rFonts w:ascii="Arial Unicode MS" w:eastAsia="Arial Unicode MS" w:hAnsi="Arial Unicode MS" w:cs="Arial Unicode MS"/>
            <w:color w:val="2B477B"/>
          </w:rPr>
          <w:t>Ley</w:t>
        </w:r>
        <w:r>
          <w:rPr>
            <w:color w:val="2B477B"/>
          </w:rPr>
          <w:t xml:space="preserve"> 27</w:t>
        </w:r>
        <w:r>
          <w:rPr>
            <w:rFonts w:ascii="Arial Unicode MS" w:eastAsia="Arial Unicode MS" w:hAnsi="Arial Unicode MS" w:cs="Arial Unicode MS"/>
            <w:color w:val="2B477B"/>
          </w:rPr>
          <w:t>.</w:t>
        </w:r>
        <w:r>
          <w:rPr>
            <w:color w:val="2B477B"/>
          </w:rPr>
          <w:t xml:space="preserve">619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Acceso</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Interrupción</w:t>
        </w:r>
        <w:r>
          <w:rPr>
            <w:color w:val="2B477B"/>
          </w:rPr>
          <w:t xml:space="preserve"> </w:t>
        </w:r>
        <w:r>
          <w:rPr>
            <w:rFonts w:ascii="Arial Unicode MS" w:eastAsia="Arial Unicode MS" w:hAnsi="Arial Unicode MS" w:cs="Arial Unicode MS"/>
            <w:color w:val="2B477B"/>
          </w:rPr>
          <w:t>Voluntaria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Embarazo</w:t>
        </w:r>
      </w:hyperlink>
      <w:r>
        <w:rPr>
          <w:rFonts w:ascii="Arial Unicode MS" w:eastAsia="Arial Unicode MS" w:hAnsi="Arial Unicode MS" w:cs="Arial Unicode MS"/>
          <w:color w:val="2B477B"/>
        </w:rPr>
        <w:t>,</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enero</w:t>
      </w:r>
      <w:r>
        <w:rPr>
          <w:color w:val="2B477B"/>
        </w:rPr>
        <w:t xml:space="preserve"> </w:t>
      </w:r>
      <w:r>
        <w:rPr>
          <w:rFonts w:ascii="Arial Unicode MS" w:eastAsia="Arial Unicode MS" w:hAnsi="Arial Unicode MS" w:cs="Arial Unicode MS"/>
          <w:color w:val="2B477B"/>
        </w:rPr>
        <w:t>del</w:t>
      </w:r>
      <w:r>
        <w:rPr>
          <w:color w:val="2B477B"/>
        </w:rPr>
        <w:t xml:space="preserve"> 2021</w:t>
      </w:r>
      <w:r>
        <w:rPr>
          <w:rFonts w:ascii="Arial Unicode MS" w:eastAsia="Arial Unicode MS" w:hAnsi="Arial Unicode MS" w:cs="Arial Unicode MS"/>
          <w:color w:val="2B477B"/>
        </w:rPr>
        <w:t>.</w:t>
      </w:r>
    </w:p>
  </w:footnote>
  <w:footnote w:id="568">
    <w:p w14:paraId="6586713A"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940" w:history="1">
        <w:r>
          <w:rPr>
            <w:rFonts w:ascii="Arial Unicode MS" w:eastAsia="Arial Unicode MS" w:hAnsi="Arial Unicode MS" w:cs="Arial Unicode MS"/>
            <w:color w:val="2B477B"/>
          </w:rPr>
          <w:t>Ley</w:t>
        </w:r>
        <w:r>
          <w:rPr>
            <w:color w:val="2B477B"/>
          </w:rPr>
          <w:t xml:space="preserve"> 21</w:t>
        </w:r>
        <w:r>
          <w:rPr>
            <w:rFonts w:ascii="Arial Unicode MS" w:eastAsia="Arial Unicode MS" w:hAnsi="Arial Unicode MS" w:cs="Arial Unicode MS"/>
            <w:color w:val="2B477B"/>
          </w:rPr>
          <w:t>.</w:t>
        </w:r>
        <w:r>
          <w:rPr>
            <w:color w:val="2B477B"/>
          </w:rPr>
          <w:t>331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9</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Reconocimiento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Protección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Mental,</w:t>
        </w:r>
        <w:r>
          <w:rPr>
            <w:color w:val="2B477B"/>
          </w:rPr>
          <w:t xml:space="preserve"> </w:t>
        </w:r>
      </w:hyperlink>
      <w:r>
        <w:rPr>
          <w:color w:val="2B477B"/>
        </w:rPr>
        <w:t xml:space="preserve">11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mayo</w:t>
      </w:r>
      <w:r>
        <w:rPr>
          <w:color w:val="2B477B"/>
        </w:rPr>
        <w:t xml:space="preserve"> </w:t>
      </w:r>
      <w:r>
        <w:rPr>
          <w:rFonts w:ascii="Arial Unicode MS" w:eastAsia="Arial Unicode MS" w:hAnsi="Arial Unicode MS" w:cs="Arial Unicode MS"/>
          <w:color w:val="2B477B"/>
        </w:rPr>
        <w:t>de</w:t>
      </w:r>
      <w:r>
        <w:rPr>
          <w:color w:val="2B477B"/>
        </w:rPr>
        <w:t xml:space="preserve"> 2021</w:t>
      </w:r>
      <w:r>
        <w:rPr>
          <w:rFonts w:ascii="Arial Unicode MS" w:eastAsia="Arial Unicode MS" w:hAnsi="Arial Unicode MS" w:cs="Arial Unicode MS"/>
          <w:color w:val="2B477B"/>
        </w:rPr>
        <w:t>.</w:t>
      </w:r>
      <w:r>
        <w:rPr>
          <w:color w:val="2B477B"/>
        </w:rPr>
        <w:t xml:space="preserve"> </w:t>
      </w:r>
    </w:p>
  </w:footnote>
  <w:footnote w:id="569">
    <w:p w14:paraId="71B2B65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citado,</w:t>
      </w:r>
      <w:r>
        <w:rPr>
          <w:color w:val="2B477B"/>
        </w:rPr>
        <w:t xml:space="preserve"> </w:t>
      </w:r>
      <w:r>
        <w:rPr>
          <w:rFonts w:ascii="Arial Unicode MS" w:eastAsia="Arial Unicode MS" w:hAnsi="Arial Unicode MS" w:cs="Arial Unicode MS"/>
          <w:color w:val="2B477B"/>
        </w:rPr>
        <w:t>pág.</w:t>
      </w:r>
      <w:r>
        <w:rPr>
          <w:color w:val="2B477B"/>
        </w:rPr>
        <w:t xml:space="preserve"> 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ver</w:t>
      </w:r>
      <w:r>
        <w:rPr>
          <w:color w:val="2B477B"/>
        </w:rPr>
        <w:t xml:space="preserve"> </w:t>
      </w:r>
      <w:hyperlink r:id="rId941"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20</w:t>
        </w:r>
        <w:r>
          <w:rPr>
            <w:rFonts w:ascii="Arial Unicode MS" w:eastAsia="Arial Unicode MS" w:hAnsi="Arial Unicode MS" w:cs="Arial Unicode MS"/>
            <w:color w:val="2B477B"/>
          </w:rPr>
          <w:t>.</w:t>
        </w:r>
        <w:r>
          <w:rPr>
            <w:color w:val="2B477B"/>
          </w:rPr>
          <w:t>584</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15</w:t>
      </w:r>
      <w:r>
        <w:rPr>
          <w:rFonts w:ascii="Arial Unicode MS" w:eastAsia="Arial Unicode MS" w:hAnsi="Arial Unicode MS" w:cs="Arial Unicode MS"/>
          <w:color w:val="2B477B"/>
        </w:rPr>
        <w:t>.</w:t>
      </w:r>
    </w:p>
  </w:footnote>
  <w:footnote w:id="570">
    <w:p w14:paraId="7009A2CF"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5 </w:t>
      </w:r>
      <w:r>
        <w:rPr>
          <w:rFonts w:ascii="Arial Unicode MS" w:eastAsia="Arial Unicode MS" w:hAnsi="Arial Unicode MS" w:cs="Arial Unicode MS"/>
          <w:color w:val="2B477B"/>
        </w:rPr>
        <w:t>y</w:t>
      </w:r>
      <w:r>
        <w:rPr>
          <w:color w:val="2B477B"/>
        </w:rPr>
        <w:t xml:space="preserve"> 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Protección,</w:t>
      </w:r>
      <w:r>
        <w:rPr>
          <w:color w:val="2B477B"/>
        </w:rPr>
        <w:t xml:space="preserve"> </w:t>
      </w:r>
      <w:hyperlink r:id="rId942" w:history="1">
        <w:r>
          <w:rPr>
            <w:rFonts w:ascii="Arial Unicode MS" w:eastAsia="Arial Unicode MS" w:hAnsi="Arial Unicode MS" w:cs="Arial Unicode MS"/>
            <w:color w:val="2B477B"/>
          </w:rPr>
          <w:t>Resolución</w:t>
        </w:r>
        <w:r>
          <w:rPr>
            <w:color w:val="2B477B"/>
          </w:rPr>
          <w:t xml:space="preserve"> 1904</w:t>
        </w:r>
      </w:hyperlink>
      <w:hyperlink r:id="rId943" w:history="1">
        <w:r>
          <w:rPr>
            <w:color w:val="2B477B"/>
          </w:rPr>
          <w:t xml:space="preserve"> </w:t>
        </w:r>
        <w:r>
          <w:rPr>
            <w:rFonts w:ascii="Arial Unicode MS" w:eastAsia="Arial Unicode MS" w:hAnsi="Arial Unicode MS" w:cs="Arial Unicode MS"/>
            <w:color w:val="2B477B"/>
          </w:rPr>
          <w:t>de</w:t>
        </w:r>
        <w:r>
          <w:rPr>
            <w:color w:val="2B477B"/>
          </w:rPr>
          <w:t xml:space="preserve"> 2017</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2017</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Suprema</w:t>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Justicia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944" w:history="1">
        <w:r>
          <w:rPr>
            <w:rFonts w:ascii="Arial Unicode MS" w:eastAsia="Arial Unicode MS" w:hAnsi="Arial Unicode MS" w:cs="Arial Unicode MS"/>
            <w:color w:val="2B477B"/>
          </w:rPr>
          <w:t>Sentencia</w:t>
        </w:r>
        <w:r>
          <w:rPr>
            <w:color w:val="2B477B"/>
          </w:rPr>
          <w:t xml:space="preserve"> </w:t>
        </w:r>
        <w:r>
          <w:rPr>
            <w:rFonts w:ascii="Arial Unicode MS" w:eastAsia="Arial Unicode MS" w:hAnsi="Arial Unicode MS" w:cs="Arial Unicode MS"/>
            <w:color w:val="2B477B"/>
          </w:rPr>
          <w:t>T-</w:t>
        </w:r>
        <w:r>
          <w:rPr>
            <w:color w:val="2B477B"/>
          </w:rPr>
          <w:t xml:space="preserve">573 </w:t>
        </w:r>
      </w:hyperlink>
      <w:r>
        <w:rPr>
          <w:rFonts w:ascii="Arial Unicode MS" w:eastAsia="Arial Unicode MS" w:hAnsi="Arial Unicode MS" w:cs="Arial Unicode MS"/>
          <w:color w:val="2B477B"/>
        </w:rPr>
        <w:t>del</w:t>
      </w:r>
      <w:r>
        <w:rPr>
          <w:color w:val="2B477B"/>
        </w:rPr>
        <w:t xml:space="preserve"> 2016</w:t>
      </w:r>
      <w:r>
        <w:rPr>
          <w:rFonts w:ascii="Arial Unicode MS" w:eastAsia="Arial Unicode MS" w:hAnsi="Arial Unicode MS" w:cs="Arial Unicode MS"/>
          <w:color w:val="2B477B"/>
        </w:rPr>
        <w:t>.</w:t>
      </w:r>
      <w:r>
        <w:rPr>
          <w:color w:val="2B477B"/>
        </w:rPr>
        <w:t xml:space="preserve"> </w:t>
      </w:r>
    </w:p>
  </w:footnote>
  <w:footnote w:id="571">
    <w:p w14:paraId="3CB7C76D"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Corte</w:t>
      </w:r>
      <w:r>
        <w:rPr>
          <w:color w:val="2B477B"/>
        </w:rPr>
        <w:t xml:space="preserve"> </w:t>
      </w:r>
      <w:r>
        <w:rPr>
          <w:rFonts w:ascii="Arial Unicode MS" w:eastAsia="Arial Unicode MS" w:hAnsi="Arial Unicode MS" w:cs="Arial Unicode MS"/>
          <w:color w:val="2B477B"/>
        </w:rPr>
        <w:t>Constitucional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Colombia,</w:t>
      </w:r>
      <w:r>
        <w:rPr>
          <w:color w:val="2B477B"/>
        </w:rPr>
        <w:t xml:space="preserve"> </w:t>
      </w:r>
      <w:hyperlink r:id="rId945" w:history="1">
        <w:r>
          <w:rPr>
            <w:rStyle w:val="Hyperlink0"/>
            <w:rFonts w:ascii="Arial Unicode MS" w:eastAsia="Arial Unicode MS" w:hAnsi="Arial Unicode MS" w:cs="Arial Unicode MS"/>
          </w:rPr>
          <w:t>Sentencia</w:t>
        </w:r>
        <w:r>
          <w:rPr>
            <w:rStyle w:val="Hyperlink0"/>
          </w:rPr>
          <w:t xml:space="preserve"> </w:t>
        </w:r>
        <w:r>
          <w:rPr>
            <w:rStyle w:val="Hyperlink0"/>
            <w:rFonts w:ascii="Arial Unicode MS" w:eastAsia="Arial Unicode MS" w:hAnsi="Arial Unicode MS" w:cs="Arial Unicode MS"/>
          </w:rPr>
          <w:t>T-</w:t>
        </w:r>
        <w:r>
          <w:rPr>
            <w:rStyle w:val="Hyperlink0"/>
          </w:rPr>
          <w:t>357/2022</w:t>
        </w:r>
      </w:hyperlink>
      <w:r>
        <w:rPr>
          <w:rFonts w:ascii="Arial Unicode MS" w:eastAsia="Arial Unicode MS" w:hAnsi="Arial Unicode MS" w:cs="Arial Unicode MS"/>
          <w:color w:val="2B477B"/>
        </w:rPr>
        <w:t>.</w:t>
      </w:r>
    </w:p>
  </w:footnote>
  <w:footnote w:id="572">
    <w:p w14:paraId="716A6D8C"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Brasil,</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9</w:t>
      </w:r>
      <w:r>
        <w:rPr>
          <w:rFonts w:ascii="Arial Unicode MS" w:eastAsia="Arial Unicode MS" w:hAnsi="Arial Unicode MS" w:cs="Arial Unicode MS"/>
          <w:color w:val="2B477B"/>
        </w:rPr>
        <w:t>-</w:t>
      </w:r>
      <w:r>
        <w:rPr>
          <w:color w:val="2B477B"/>
        </w:rPr>
        <w:t>11</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hyperlink r:id="rId946" w:history="1">
        <w:r>
          <w:rPr>
            <w:rFonts w:ascii="Arial Unicode MS" w:eastAsia="Arial Unicode MS" w:hAnsi="Arial Unicode MS" w:cs="Arial Unicode MS"/>
            <w:color w:val="2B477B"/>
          </w:rPr>
          <w:t>Ley</w:t>
        </w:r>
        <w:r>
          <w:rPr>
            <w:color w:val="2B477B"/>
          </w:rPr>
          <w:t xml:space="preserve"> 9</w:t>
        </w:r>
        <w:r>
          <w:rPr>
            <w:rFonts w:ascii="Arial Unicode MS" w:eastAsia="Arial Unicode MS" w:hAnsi="Arial Unicode MS" w:cs="Arial Unicode MS"/>
            <w:color w:val="2B477B"/>
          </w:rPr>
          <w:t>.</w:t>
        </w:r>
        <w:r>
          <w:rPr>
            <w:color w:val="2B477B"/>
          </w:rPr>
          <w:t>263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Planificación</w:t>
        </w:r>
        <w:r>
          <w:rPr>
            <w:color w:val="2B477B"/>
          </w:rPr>
          <w:t xml:space="preserve"> </w:t>
        </w:r>
        <w:r>
          <w:rPr>
            <w:rFonts w:ascii="Arial Unicode MS" w:eastAsia="Arial Unicode MS" w:hAnsi="Arial Unicode MS" w:cs="Arial Unicode MS"/>
            <w:color w:val="2B477B"/>
          </w:rPr>
          <w:t>Familiar</w:t>
        </w:r>
      </w:hyperlink>
      <w:r>
        <w:rPr>
          <w:color w:val="2B477B"/>
        </w:rPr>
        <w:t xml:space="preserve"> </w:t>
      </w:r>
      <w:r>
        <w:rPr>
          <w:rFonts w:ascii="Arial Unicode MS" w:eastAsia="Arial Unicode MS" w:hAnsi="Arial Unicode MS" w:cs="Arial Unicode MS"/>
          <w:color w:val="2B477B"/>
        </w:rPr>
        <w:t>de</w:t>
      </w:r>
      <w:r>
        <w:rPr>
          <w:color w:val="2B477B"/>
        </w:rPr>
        <w:t xml:space="preserve"> 2016</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art.</w:t>
      </w:r>
      <w:r>
        <w:rPr>
          <w:color w:val="2B477B"/>
        </w:rPr>
        <w:t xml:space="preserve"> 10</w:t>
      </w:r>
      <w:r>
        <w:rPr>
          <w:rFonts w:ascii="Arial Unicode MS" w:eastAsia="Arial Unicode MS" w:hAnsi="Arial Unicode MS" w:cs="Arial Unicode MS"/>
          <w:color w:val="2B477B"/>
        </w:rPr>
        <w:t>.</w:t>
      </w:r>
    </w:p>
  </w:footnote>
  <w:footnote w:id="573">
    <w:p w14:paraId="1AF9829B"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Chile,</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w:t>
      </w:r>
      <w:r>
        <w:rPr>
          <w:color w:val="2B477B"/>
        </w:rPr>
        <w:t xml:space="preserve"> 15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puede</w:t>
      </w:r>
      <w:r>
        <w:rPr>
          <w:color w:val="2B477B"/>
        </w:rPr>
        <w:t xml:space="preserve"> </w:t>
      </w:r>
      <w:r>
        <w:rPr>
          <w:rFonts w:ascii="Arial Unicode MS" w:eastAsia="Arial Unicode MS" w:hAnsi="Arial Unicode MS" w:cs="Arial Unicode MS"/>
          <w:color w:val="2B477B"/>
        </w:rPr>
        <w:t>revisar</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ya</w:t>
      </w:r>
      <w:r>
        <w:rPr>
          <w:color w:val="2B477B"/>
        </w:rPr>
        <w:t xml:space="preserve"> </w:t>
      </w:r>
      <w:r>
        <w:rPr>
          <w:rFonts w:ascii="Arial Unicode MS" w:eastAsia="Arial Unicode MS" w:hAnsi="Arial Unicode MS" w:cs="Arial Unicode MS"/>
          <w:color w:val="2B477B"/>
        </w:rPr>
        <w:t>citada</w:t>
      </w:r>
      <w:r>
        <w:rPr>
          <w:color w:val="2B477B"/>
        </w:rPr>
        <w:t xml:space="preserve"> </w:t>
      </w:r>
      <w:hyperlink r:id="rId947" w:history="1">
        <w:r>
          <w:rPr>
            <w:rFonts w:ascii="Arial Unicode MS" w:eastAsia="Arial Unicode MS" w:hAnsi="Arial Unicode MS" w:cs="Arial Unicode MS"/>
            <w:color w:val="2B477B"/>
          </w:rPr>
          <w:t>Ley</w:t>
        </w:r>
        <w:r>
          <w:rPr>
            <w:color w:val="2B477B"/>
          </w:rPr>
          <w:t xml:space="preserve"> </w:t>
        </w:r>
        <w:r>
          <w:rPr>
            <w:rFonts w:ascii="Arial Unicode MS" w:eastAsia="Arial Unicode MS" w:hAnsi="Arial Unicode MS" w:cs="Arial Unicode MS"/>
            <w:color w:val="2B477B"/>
          </w:rPr>
          <w:t>No.</w:t>
        </w:r>
        <w:r>
          <w:rPr>
            <w:color w:val="2B477B"/>
          </w:rPr>
          <w:t xml:space="preserve"> 20</w:t>
        </w:r>
        <w:r>
          <w:rPr>
            <w:rFonts w:ascii="Arial Unicode MS" w:eastAsia="Arial Unicode MS" w:hAnsi="Arial Unicode MS" w:cs="Arial Unicode MS"/>
            <w:color w:val="2B477B"/>
          </w:rPr>
          <w:t>.</w:t>
        </w:r>
        <w:r>
          <w:rPr>
            <w:color w:val="2B477B"/>
          </w:rPr>
          <w:t>584</w:t>
        </w:r>
      </w:hyperlink>
      <w:r>
        <w:rPr>
          <w:rFonts w:ascii="Arial Unicode MS" w:eastAsia="Arial Unicode MS" w:hAnsi="Arial Unicode MS" w:cs="Arial Unicode MS"/>
          <w:color w:val="2B477B"/>
        </w:rPr>
        <w:t>.</w:t>
      </w:r>
    </w:p>
  </w:footnote>
  <w:footnote w:id="574">
    <w:p w14:paraId="711439C4"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República</w:t>
      </w:r>
      <w:r>
        <w:rPr>
          <w:color w:val="2B477B"/>
        </w:rPr>
        <w:t xml:space="preserve"> </w:t>
      </w:r>
      <w:r>
        <w:rPr>
          <w:rFonts w:ascii="Arial Unicode MS" w:eastAsia="Arial Unicode MS" w:hAnsi="Arial Unicode MS" w:cs="Arial Unicode MS"/>
          <w:color w:val="2B477B"/>
        </w:rPr>
        <w:t>del</w:t>
      </w:r>
      <w:r>
        <w:rPr>
          <w:color w:val="2B477B"/>
        </w:rPr>
        <w:t xml:space="preserve"> </w:t>
      </w:r>
      <w:r>
        <w:rPr>
          <w:rFonts w:ascii="Arial Unicode MS" w:eastAsia="Arial Unicode MS" w:hAnsi="Arial Unicode MS" w:cs="Arial Unicode MS"/>
          <w:color w:val="2B477B"/>
        </w:rPr>
        <w:t>Ecuador,</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13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Julio</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26</w:t>
      </w:r>
      <w:r>
        <w:rPr>
          <w:rFonts w:ascii="Arial Unicode MS" w:eastAsia="Arial Unicode MS" w:hAnsi="Arial Unicode MS" w:cs="Arial Unicode MS"/>
          <w:color w:val="2B477B"/>
        </w:rPr>
        <w:t>-</w:t>
      </w:r>
      <w:r>
        <w:rPr>
          <w:color w:val="2B477B"/>
        </w:rPr>
        <w:t>28</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respecto</w:t>
      </w:r>
      <w:r>
        <w:rPr>
          <w:color w:val="2B477B"/>
        </w:rPr>
        <w:t xml:space="preserve"> </w:t>
      </w:r>
      <w:r>
        <w:rPr>
          <w:rFonts w:ascii="Arial Unicode MS" w:eastAsia="Arial Unicode MS" w:hAnsi="Arial Unicode MS" w:cs="Arial Unicode MS"/>
          <w:color w:val="2B477B"/>
        </w:rPr>
        <w:t>ver,</w:t>
      </w:r>
      <w:r>
        <w:rPr>
          <w:color w:val="2B477B"/>
        </w:rPr>
        <w:t xml:space="preserve"> </w:t>
      </w:r>
      <w:r>
        <w:rPr>
          <w:rFonts w:ascii="Arial Unicode MS" w:eastAsia="Arial Unicode MS" w:hAnsi="Arial Unicode MS" w:cs="Arial Unicode MS"/>
          <w:color w:val="2B477B"/>
        </w:rPr>
        <w:t>Ministerio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Pública,</w:t>
      </w:r>
      <w:r>
        <w:rPr>
          <w:color w:val="2B477B"/>
        </w:rPr>
        <w:t xml:space="preserve"> </w:t>
      </w:r>
      <w:hyperlink r:id="rId948" w:history="1">
        <w:r>
          <w:rPr>
            <w:rFonts w:ascii="Arial Unicode MS" w:eastAsia="Arial Unicode MS" w:hAnsi="Arial Unicode MS" w:cs="Arial Unicode MS"/>
            <w:color w:val="2B477B"/>
          </w:rPr>
          <w:t>Manual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Atención</w:t>
        </w:r>
        <w:r>
          <w:rPr>
            <w:color w:val="2B477B"/>
          </w:rPr>
          <w:t xml:space="preserve"> </w:t>
        </w:r>
        <w:r>
          <w:rPr>
            <w:rFonts w:ascii="Arial Unicode MS" w:eastAsia="Arial Unicode MS" w:hAnsi="Arial Unicode MS" w:cs="Arial Unicode MS"/>
            <w:color w:val="2B477B"/>
          </w:rPr>
          <w:t>Integral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Salud</w:t>
        </w:r>
        <w:r>
          <w:rPr>
            <w:color w:val="2B477B"/>
          </w:rPr>
          <w:t xml:space="preserve"> </w:t>
        </w:r>
        <w:r>
          <w:rPr>
            <w:rFonts w:ascii="Arial Unicode MS" w:eastAsia="Arial Unicode MS" w:hAnsi="Arial Unicode MS" w:cs="Arial Unicode MS"/>
            <w:color w:val="2B477B"/>
          </w:rPr>
          <w:t>Sexual</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Reproductiva</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Gobierno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Ecuador,</w:t>
      </w:r>
      <w:r>
        <w:rPr>
          <w:color w:val="2B477B"/>
        </w:rPr>
        <w:t xml:space="preserve"> 2017</w:t>
      </w:r>
      <w:r>
        <w:rPr>
          <w:rFonts w:ascii="Arial Unicode MS" w:eastAsia="Arial Unicode MS" w:hAnsi="Arial Unicode MS" w:cs="Arial Unicode MS"/>
          <w:color w:val="2B477B"/>
        </w:rPr>
        <w:t>.</w:t>
      </w:r>
    </w:p>
  </w:footnote>
  <w:footnote w:id="575">
    <w:p w14:paraId="2FF8FCA8"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Sociedad</w:t>
      </w:r>
      <w:r>
        <w:rPr>
          <w:color w:val="2B477B"/>
        </w:rPr>
        <w:t xml:space="preserve"> </w:t>
      </w:r>
      <w:r>
        <w:rPr>
          <w:rFonts w:ascii="Arial Unicode MS" w:eastAsia="Arial Unicode MS" w:hAnsi="Arial Unicode MS" w:cs="Arial Unicode MS"/>
          <w:color w:val="2B477B"/>
        </w:rPr>
        <w:t>Civil</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Honduras,</w:t>
      </w:r>
      <w:r>
        <w:rPr>
          <w:color w:val="2B477B"/>
        </w:rPr>
        <w:t xml:space="preserve"> </w:t>
      </w:r>
      <w:r>
        <w:rPr>
          <w:rFonts w:ascii="Arial Unicode MS" w:eastAsia="Arial Unicode MS" w:hAnsi="Arial Unicode MS" w:cs="Arial Unicode MS"/>
          <w:color w:val="2B477B"/>
        </w:rPr>
        <w:t>FENAPAPEDISH</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enviada</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respuesta</w:t>
      </w:r>
      <w:r>
        <w:rPr>
          <w:color w:val="2B477B"/>
        </w:rPr>
        <w:t xml:space="preserve"> </w:t>
      </w:r>
      <w:r>
        <w:rPr>
          <w:rFonts w:ascii="Arial Unicode MS" w:eastAsia="Arial Unicode MS" w:hAnsi="Arial Unicode MS" w:cs="Arial Unicode MS"/>
          <w:color w:val="2B477B"/>
        </w:rPr>
        <w:t>al</w:t>
      </w:r>
      <w:r>
        <w:rPr>
          <w:color w:val="2B477B"/>
        </w:rPr>
        <w:t xml:space="preserve"> </w:t>
      </w:r>
      <w:r>
        <w:rPr>
          <w:rFonts w:ascii="Arial Unicode MS" w:eastAsia="Arial Unicode MS" w:hAnsi="Arial Unicode MS" w:cs="Arial Unicode MS"/>
          <w:color w:val="2B477B"/>
        </w:rPr>
        <w:t>cuestionario</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sobre</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situación</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humanos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personas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Américas”,</w:t>
      </w:r>
      <w:r>
        <w:rPr>
          <w:color w:val="2B477B"/>
        </w:rPr>
        <w:t xml:space="preserve"> 15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septiembre</w:t>
      </w:r>
      <w:r>
        <w:rPr>
          <w:color w:val="2B477B"/>
        </w:rPr>
        <w:t xml:space="preserve"> </w:t>
      </w:r>
      <w:r>
        <w:rPr>
          <w:rFonts w:ascii="Arial Unicode MS" w:eastAsia="Arial Unicode MS" w:hAnsi="Arial Unicode MS" w:cs="Arial Unicode MS"/>
          <w:color w:val="2B477B"/>
        </w:rPr>
        <w:t>de</w:t>
      </w:r>
      <w:r>
        <w:rPr>
          <w:color w:val="2B477B"/>
        </w:rPr>
        <w:t xml:space="preserve"> 2022</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págs.</w:t>
      </w:r>
      <w:r>
        <w:rPr>
          <w:color w:val="2B477B"/>
        </w:rPr>
        <w:t xml:space="preserve"> 24 </w:t>
      </w:r>
      <w:r>
        <w:rPr>
          <w:rFonts w:ascii="Arial Unicode MS" w:eastAsia="Arial Unicode MS" w:hAnsi="Arial Unicode MS" w:cs="Arial Unicode MS"/>
          <w:color w:val="2B477B"/>
        </w:rPr>
        <w:t>y</w:t>
      </w:r>
      <w:r>
        <w:rPr>
          <w:color w:val="2B477B"/>
        </w:rPr>
        <w:t xml:space="preserve"> 25</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También</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CIDH</w:t>
      </w:r>
      <w:r>
        <w:rPr>
          <w:color w:val="2B477B"/>
        </w:rPr>
        <w:t xml:space="preserve"> </w:t>
      </w:r>
      <w:r>
        <w:rPr>
          <w:rFonts w:ascii="Arial Unicode MS" w:eastAsia="Arial Unicode MS" w:hAnsi="Arial Unicode MS" w:cs="Arial Unicode MS"/>
          <w:color w:val="2B477B"/>
        </w:rPr>
        <w:t>recibió,</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abril</w:t>
      </w:r>
      <w:r>
        <w:rPr>
          <w:color w:val="2B477B"/>
        </w:rPr>
        <w:t xml:space="preserve"> </w:t>
      </w:r>
      <w:r>
        <w:rPr>
          <w:rFonts w:ascii="Arial Unicode MS" w:eastAsia="Arial Unicode MS" w:hAnsi="Arial Unicode MS" w:cs="Arial Unicode MS"/>
          <w:color w:val="2B477B"/>
        </w:rPr>
        <w:t>de</w:t>
      </w:r>
      <w:r>
        <w:rPr>
          <w:color w:val="2B477B"/>
        </w:rPr>
        <w:t xml:space="preserve"> 2023</w:t>
      </w:r>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información</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parte</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estas</w:t>
      </w:r>
      <w:r>
        <w:rPr>
          <w:color w:val="2B477B"/>
        </w:rPr>
        <w:t xml:space="preserve"> </w:t>
      </w:r>
      <w:r>
        <w:rPr>
          <w:rFonts w:ascii="Arial Unicode MS" w:eastAsia="Arial Unicode MS" w:hAnsi="Arial Unicode MS" w:cs="Arial Unicode MS"/>
          <w:color w:val="2B477B"/>
        </w:rPr>
        <w:t>organizaciones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dos</w:t>
      </w:r>
      <w:r>
        <w:rPr>
          <w:color w:val="2B477B"/>
        </w:rPr>
        <w:t xml:space="preserve"> </w:t>
      </w:r>
      <w:r>
        <w:rPr>
          <w:rFonts w:ascii="Arial Unicode MS" w:eastAsia="Arial Unicode MS" w:hAnsi="Arial Unicode MS" w:cs="Arial Unicode MS"/>
          <w:color w:val="2B477B"/>
        </w:rPr>
        <w:t>estudios</w:t>
      </w:r>
      <w:r>
        <w:rPr>
          <w:color w:val="2B477B"/>
        </w:rPr>
        <w:t xml:space="preserve"> </w:t>
      </w:r>
      <w:r>
        <w:rPr>
          <w:rFonts w:ascii="Arial Unicode MS" w:eastAsia="Arial Unicode MS" w:hAnsi="Arial Unicode MS" w:cs="Arial Unicode MS"/>
          <w:color w:val="2B477B"/>
        </w:rPr>
        <w:t>relacionados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esterilizaciones</w:t>
      </w:r>
      <w:r>
        <w:rPr>
          <w:color w:val="2B477B"/>
        </w:rPr>
        <w:t xml:space="preserve"> </w:t>
      </w:r>
      <w:r>
        <w:rPr>
          <w:rFonts w:ascii="Arial Unicode MS" w:eastAsia="Arial Unicode MS" w:hAnsi="Arial Unicode MS" w:cs="Arial Unicode MS"/>
          <w:color w:val="2B477B"/>
        </w:rPr>
        <w:t>forzadas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derechos</w:t>
      </w:r>
      <w:r>
        <w:rPr>
          <w:color w:val="2B477B"/>
        </w:rPr>
        <w:t xml:space="preserve"> </w:t>
      </w:r>
      <w:r>
        <w:rPr>
          <w:rFonts w:ascii="Arial Unicode MS" w:eastAsia="Arial Unicode MS" w:hAnsi="Arial Unicode MS" w:cs="Arial Unicode MS"/>
          <w:color w:val="2B477B"/>
        </w:rPr>
        <w:t>sexuales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reproductivos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las</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discapacidad</w:t>
      </w:r>
      <w:r>
        <w:rPr>
          <w:color w:val="2B477B"/>
        </w:rPr>
        <w:t xml:space="preserve"> </w:t>
      </w:r>
      <w:r>
        <w:rPr>
          <w:rFonts w:ascii="Arial Unicode MS" w:eastAsia="Arial Unicode MS" w:hAnsi="Arial Unicode MS" w:cs="Arial Unicode MS"/>
          <w:color w:val="2B477B"/>
        </w:rPr>
        <w:t>en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país.</w:t>
      </w:r>
      <w:r>
        <w:rPr>
          <w:color w:val="2B477B"/>
        </w:rPr>
        <w:t xml:space="preserve"> </w:t>
      </w:r>
    </w:p>
  </w:footnote>
  <w:footnote w:id="576">
    <w:p w14:paraId="7E017499" w14:textId="77777777" w:rsidR="001A105D" w:rsidRDefault="00000000">
      <w:pPr>
        <w:pStyle w:val="Body"/>
        <w:jc w:val="left"/>
      </w:pPr>
      <w:r>
        <w:rPr>
          <w:rStyle w:val="None"/>
          <w:color w:val="2B477B"/>
          <w:vertAlign w:val="superscript"/>
        </w:rPr>
        <w:footnoteRef/>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Comisión</w:t>
      </w:r>
      <w:r>
        <w:rPr>
          <w:color w:val="2B477B"/>
        </w:rPr>
        <w:t xml:space="preserve"> </w:t>
      </w:r>
      <w:r>
        <w:rPr>
          <w:rFonts w:ascii="Arial Unicode MS" w:eastAsia="Arial Unicode MS" w:hAnsi="Arial Unicode MS" w:cs="Arial Unicode MS"/>
          <w:color w:val="2B477B"/>
        </w:rPr>
        <w:t>observa</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preocupación</w:t>
      </w:r>
      <w:r>
        <w:rPr>
          <w:color w:val="2B477B"/>
        </w:rPr>
        <w:t xml:space="preserve"> </w:t>
      </w:r>
      <w:r>
        <w:rPr>
          <w:rFonts w:ascii="Arial Unicode MS" w:eastAsia="Arial Unicode MS" w:hAnsi="Arial Unicode MS" w:cs="Arial Unicode MS"/>
          <w:color w:val="2B477B"/>
        </w:rPr>
        <w:t>el</w:t>
      </w:r>
      <w:r>
        <w:rPr>
          <w:color w:val="2B477B"/>
        </w:rPr>
        <w:t xml:space="preserve"> </w:t>
      </w:r>
      <w:r>
        <w:rPr>
          <w:rFonts w:ascii="Arial Unicode MS" w:eastAsia="Arial Unicode MS" w:hAnsi="Arial Unicode MS" w:cs="Arial Unicode MS"/>
          <w:color w:val="2B477B"/>
        </w:rPr>
        <w:t>contenido</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la</w:t>
      </w:r>
      <w:r>
        <w:rPr>
          <w:color w:val="2B477B"/>
        </w:rPr>
        <w:t xml:space="preserve"> </w:t>
      </w:r>
      <w:hyperlink r:id="rId949" w:history="1">
        <w:r>
          <w:rPr>
            <w:rFonts w:ascii="Arial Unicode MS" w:eastAsia="Arial Unicode MS" w:hAnsi="Arial Unicode MS" w:cs="Arial Unicode MS"/>
            <w:color w:val="2B477B"/>
          </w:rPr>
          <w:t>Norma</w:t>
        </w:r>
        <w:r>
          <w:rPr>
            <w:color w:val="2B477B"/>
          </w:rPr>
          <w:t xml:space="preserve"> </w:t>
        </w:r>
        <w:r>
          <w:rPr>
            <w:rFonts w:ascii="Arial Unicode MS" w:eastAsia="Arial Unicode MS" w:hAnsi="Arial Unicode MS" w:cs="Arial Unicode MS"/>
            <w:color w:val="2B477B"/>
          </w:rPr>
          <w:t>Oficial</w:t>
        </w:r>
        <w:r>
          <w:rPr>
            <w:color w:val="2B477B"/>
          </w:rPr>
          <w:t xml:space="preserve"> </w:t>
        </w:r>
        <w:r>
          <w:rPr>
            <w:rFonts w:ascii="Arial Unicode MS" w:eastAsia="Arial Unicode MS" w:hAnsi="Arial Unicode MS" w:cs="Arial Unicode MS"/>
            <w:color w:val="2B477B"/>
          </w:rPr>
          <w:t>Mexicana,</w:t>
        </w:r>
        <w:r>
          <w:rPr>
            <w:color w:val="2B477B"/>
          </w:rPr>
          <w:t xml:space="preserve"> </w:t>
        </w:r>
        <w:r>
          <w:rPr>
            <w:rFonts w:ascii="Arial Unicode MS" w:eastAsia="Arial Unicode MS" w:hAnsi="Arial Unicode MS" w:cs="Arial Unicode MS"/>
            <w:color w:val="2B477B"/>
          </w:rPr>
          <w:t>NOM</w:t>
        </w:r>
        <w:r>
          <w:rPr>
            <w:color w:val="2B477B"/>
          </w:rPr>
          <w:t xml:space="preserve"> 005</w:t>
        </w:r>
        <w:r>
          <w:rPr>
            <w:rFonts w:ascii="Arial Unicode MS" w:eastAsia="Arial Unicode MS" w:hAnsi="Arial Unicode MS" w:cs="Arial Unicode MS"/>
            <w:color w:val="2B477B"/>
          </w:rPr>
          <w:t>-SSA-</w:t>
        </w:r>
        <w:r>
          <w:rPr>
            <w:color w:val="2B477B"/>
          </w:rPr>
          <w:t xml:space="preserve">1994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los</w:t>
        </w:r>
        <w:r>
          <w:rPr>
            <w:color w:val="2B477B"/>
          </w:rPr>
          <w:t xml:space="preserve"> </w:t>
        </w:r>
        <w:r>
          <w:rPr>
            <w:rFonts w:ascii="Arial Unicode MS" w:eastAsia="Arial Unicode MS" w:hAnsi="Arial Unicode MS" w:cs="Arial Unicode MS"/>
            <w:color w:val="2B477B"/>
          </w:rPr>
          <w:t>servicios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planificación</w:t>
        </w:r>
        <w:r>
          <w:rPr>
            <w:color w:val="2B477B"/>
          </w:rPr>
          <w:t xml:space="preserve"> </w:t>
        </w:r>
        <w:r>
          <w:rPr>
            <w:rFonts w:ascii="Arial Unicode MS" w:eastAsia="Arial Unicode MS" w:hAnsi="Arial Unicode MS" w:cs="Arial Unicode MS"/>
            <w:color w:val="2B477B"/>
          </w:rPr>
          <w:t>familiar</w:t>
        </w:r>
      </w:hyperlink>
      <w:r>
        <w:rPr>
          <w:rFonts w:ascii="Arial Unicode MS" w:eastAsia="Arial Unicode MS" w:hAnsi="Arial Unicode MS" w:cs="Arial Unicode MS"/>
          <w:color w:val="2B477B"/>
        </w:rPr>
        <w:t>,</w:t>
      </w:r>
      <w:r>
        <w:rPr>
          <w:color w:val="2B477B"/>
        </w:rPr>
        <w:t xml:space="preserve"> </w:t>
      </w:r>
      <w:r>
        <w:rPr>
          <w:rFonts w:ascii="Arial Unicode MS" w:eastAsia="Arial Unicode MS" w:hAnsi="Arial Unicode MS" w:cs="Arial Unicode MS"/>
          <w:color w:val="2B477B"/>
        </w:rPr>
        <w:t>donde</w:t>
      </w:r>
      <w:r>
        <w:rPr>
          <w:color w:val="2B477B"/>
        </w:rPr>
        <w:t xml:space="preserve"> </w:t>
      </w:r>
      <w:r>
        <w:rPr>
          <w:rFonts w:ascii="Arial Unicode MS" w:eastAsia="Arial Unicode MS" w:hAnsi="Arial Unicode MS" w:cs="Arial Unicode MS"/>
          <w:color w:val="2B477B"/>
        </w:rPr>
        <w:t>se</w:t>
      </w:r>
      <w:r>
        <w:rPr>
          <w:color w:val="2B477B"/>
        </w:rPr>
        <w:t xml:space="preserve"> </w:t>
      </w:r>
      <w:r>
        <w:rPr>
          <w:rFonts w:ascii="Arial Unicode MS" w:eastAsia="Arial Unicode MS" w:hAnsi="Arial Unicode MS" w:cs="Arial Unicode MS"/>
          <w:color w:val="2B477B"/>
        </w:rPr>
        <w:t>recomienda</w:t>
      </w:r>
      <w:r>
        <w:rPr>
          <w:color w:val="2B477B"/>
        </w:rPr>
        <w:t xml:space="preserve"> </w:t>
      </w:r>
      <w:r>
        <w:rPr>
          <w:rFonts w:ascii="Arial Unicode MS" w:eastAsia="Arial Unicode MS" w:hAnsi="Arial Unicode MS" w:cs="Arial Unicode MS"/>
          <w:color w:val="2B477B"/>
        </w:rPr>
        <w:t>la</w:t>
      </w:r>
      <w:r>
        <w:rPr>
          <w:color w:val="2B477B"/>
        </w:rPr>
        <w:t xml:space="preserve"> </w:t>
      </w:r>
      <w:r>
        <w:rPr>
          <w:rFonts w:ascii="Arial Unicode MS" w:eastAsia="Arial Unicode MS" w:hAnsi="Arial Unicode MS" w:cs="Arial Unicode MS"/>
          <w:color w:val="2B477B"/>
        </w:rPr>
        <w:t>“Oclusión</w:t>
      </w:r>
      <w:r>
        <w:rPr>
          <w:color w:val="2B477B"/>
        </w:rPr>
        <w:t xml:space="preserve"> </w:t>
      </w:r>
      <w:r>
        <w:rPr>
          <w:rFonts w:ascii="Arial Unicode MS" w:eastAsia="Arial Unicode MS" w:hAnsi="Arial Unicode MS" w:cs="Arial Unicode MS"/>
          <w:color w:val="2B477B"/>
        </w:rPr>
        <w:t>Tubaria</w:t>
      </w:r>
      <w:r>
        <w:rPr>
          <w:color w:val="2B477B"/>
        </w:rPr>
        <w:t xml:space="preserve"> </w:t>
      </w:r>
      <w:r>
        <w:rPr>
          <w:rFonts w:ascii="Arial Unicode MS" w:eastAsia="Arial Unicode MS" w:hAnsi="Arial Unicode MS" w:cs="Arial Unicode MS"/>
          <w:color w:val="2B477B"/>
        </w:rPr>
        <w:t>Bilateral”</w:t>
      </w:r>
      <w:r>
        <w:rPr>
          <w:color w:val="2B477B"/>
        </w:rPr>
        <w:t xml:space="preserve"> </w:t>
      </w:r>
      <w:r>
        <w:rPr>
          <w:rFonts w:ascii="Arial Unicode MS" w:eastAsia="Arial Unicode MS" w:hAnsi="Arial Unicode MS" w:cs="Arial Unicode MS"/>
          <w:color w:val="2B477B"/>
        </w:rPr>
        <w:t>a</w:t>
      </w:r>
      <w:r>
        <w:rPr>
          <w:color w:val="2B477B"/>
        </w:rPr>
        <w:t xml:space="preserve"> </w:t>
      </w:r>
      <w:r>
        <w:rPr>
          <w:rFonts w:ascii="Arial Unicode MS" w:eastAsia="Arial Unicode MS" w:hAnsi="Arial Unicode MS" w:cs="Arial Unicode MS"/>
          <w:color w:val="2B477B"/>
        </w:rPr>
        <w:t>mujeres</w:t>
      </w:r>
      <w:r>
        <w:rPr>
          <w:color w:val="2B477B"/>
        </w:rPr>
        <w:t xml:space="preserve"> </w:t>
      </w:r>
      <w:r>
        <w:rPr>
          <w:rFonts w:ascii="Arial Unicode MS" w:eastAsia="Arial Unicode MS" w:hAnsi="Arial Unicode MS" w:cs="Arial Unicode MS"/>
          <w:color w:val="2B477B"/>
        </w:rPr>
        <w:t>con</w:t>
      </w:r>
      <w:r>
        <w:rPr>
          <w:color w:val="2B477B"/>
        </w:rPr>
        <w:t xml:space="preserve"> </w:t>
      </w:r>
      <w:r>
        <w:rPr>
          <w:rFonts w:ascii="Arial Unicode MS" w:eastAsia="Arial Unicode MS" w:hAnsi="Arial Unicode MS" w:cs="Arial Unicode MS"/>
          <w:color w:val="2B477B"/>
        </w:rPr>
        <w:t>“retraso</w:t>
      </w:r>
      <w:r>
        <w:rPr>
          <w:color w:val="2B477B"/>
        </w:rPr>
        <w:t xml:space="preserve"> </w:t>
      </w:r>
      <w:r>
        <w:rPr>
          <w:rFonts w:ascii="Arial Unicode MS" w:eastAsia="Arial Unicode MS" w:hAnsi="Arial Unicode MS" w:cs="Arial Unicode MS"/>
          <w:color w:val="2B477B"/>
        </w:rPr>
        <w:t>mental”,</w:t>
      </w:r>
      <w:r>
        <w:rPr>
          <w:color w:val="2B477B"/>
        </w:rPr>
        <w:t xml:space="preserve"> </w:t>
      </w:r>
      <w:r>
        <w:rPr>
          <w:rFonts w:ascii="Arial Unicode MS" w:eastAsia="Arial Unicode MS" w:hAnsi="Arial Unicode MS" w:cs="Arial Unicode MS"/>
          <w:color w:val="2B477B"/>
        </w:rPr>
        <w:t>aspecto</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resulta</w:t>
      </w:r>
      <w:r>
        <w:rPr>
          <w:color w:val="2B477B"/>
        </w:rPr>
        <w:t xml:space="preserve"> </w:t>
      </w:r>
      <w:r>
        <w:rPr>
          <w:rFonts w:ascii="Arial Unicode MS" w:eastAsia="Arial Unicode MS" w:hAnsi="Arial Unicode MS" w:cs="Arial Unicode MS"/>
          <w:color w:val="2B477B"/>
        </w:rPr>
        <w:t>discriminatorio</w:t>
      </w:r>
      <w:r>
        <w:rPr>
          <w:color w:val="2B477B"/>
        </w:rPr>
        <w:t xml:space="preserve"> </w:t>
      </w:r>
      <w:r>
        <w:rPr>
          <w:rFonts w:ascii="Arial Unicode MS" w:eastAsia="Arial Unicode MS" w:hAnsi="Arial Unicode MS" w:cs="Arial Unicode MS"/>
          <w:color w:val="2B477B"/>
        </w:rPr>
        <w:t>por</w:t>
      </w:r>
      <w:r>
        <w:rPr>
          <w:color w:val="2B477B"/>
        </w:rPr>
        <w:t xml:space="preserve"> </w:t>
      </w:r>
      <w:r>
        <w:rPr>
          <w:rFonts w:ascii="Arial Unicode MS" w:eastAsia="Arial Unicode MS" w:hAnsi="Arial Unicode MS" w:cs="Arial Unicode MS"/>
          <w:color w:val="2B477B"/>
        </w:rPr>
        <w:t>razones</w:t>
      </w:r>
      <w:r>
        <w:rPr>
          <w:color w:val="2B477B"/>
        </w:rPr>
        <w:t xml:space="preserve"> </w:t>
      </w:r>
      <w:r>
        <w:rPr>
          <w:rFonts w:ascii="Arial Unicode MS" w:eastAsia="Arial Unicode MS" w:hAnsi="Arial Unicode MS" w:cs="Arial Unicode MS"/>
          <w:color w:val="2B477B"/>
        </w:rPr>
        <w:t>de</w:t>
      </w:r>
      <w:r>
        <w:rPr>
          <w:color w:val="2B477B"/>
        </w:rPr>
        <w:t xml:space="preserve"> </w:t>
      </w:r>
      <w:r>
        <w:rPr>
          <w:rFonts w:ascii="Arial Unicode MS" w:eastAsia="Arial Unicode MS" w:hAnsi="Arial Unicode MS" w:cs="Arial Unicode MS"/>
          <w:color w:val="2B477B"/>
        </w:rPr>
        <w:t>género</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que</w:t>
      </w:r>
      <w:r>
        <w:rPr>
          <w:color w:val="2B477B"/>
        </w:rPr>
        <w:t xml:space="preserve"> </w:t>
      </w:r>
      <w:r>
        <w:rPr>
          <w:rFonts w:ascii="Arial Unicode MS" w:eastAsia="Arial Unicode MS" w:hAnsi="Arial Unicode MS" w:cs="Arial Unicode MS"/>
          <w:color w:val="2B477B"/>
        </w:rPr>
        <w:t>además</w:t>
      </w:r>
      <w:r>
        <w:rPr>
          <w:color w:val="2B477B"/>
        </w:rPr>
        <w:t xml:space="preserve"> </w:t>
      </w:r>
      <w:r>
        <w:rPr>
          <w:rFonts w:ascii="Arial Unicode MS" w:eastAsia="Arial Unicode MS" w:hAnsi="Arial Unicode MS" w:cs="Arial Unicode MS"/>
          <w:color w:val="2B477B"/>
        </w:rPr>
        <w:t>reproduce</w:t>
      </w:r>
      <w:r>
        <w:rPr>
          <w:color w:val="2B477B"/>
        </w:rPr>
        <w:t xml:space="preserve"> </w:t>
      </w:r>
      <w:r>
        <w:rPr>
          <w:rFonts w:ascii="Arial Unicode MS" w:eastAsia="Arial Unicode MS" w:hAnsi="Arial Unicode MS" w:cs="Arial Unicode MS"/>
          <w:color w:val="2B477B"/>
        </w:rPr>
        <w:t>prejuicios</w:t>
      </w:r>
      <w:r>
        <w:rPr>
          <w:color w:val="2B477B"/>
        </w:rPr>
        <w:t xml:space="preserve"> </w:t>
      </w:r>
      <w:r>
        <w:rPr>
          <w:rFonts w:ascii="Arial Unicode MS" w:eastAsia="Arial Unicode MS" w:hAnsi="Arial Unicode MS" w:cs="Arial Unicode MS"/>
          <w:color w:val="2B477B"/>
        </w:rPr>
        <w:t>y</w:t>
      </w:r>
      <w:r>
        <w:rPr>
          <w:color w:val="2B477B"/>
        </w:rPr>
        <w:t xml:space="preserve"> </w:t>
      </w:r>
      <w:r>
        <w:rPr>
          <w:rFonts w:ascii="Arial Unicode MS" w:eastAsia="Arial Unicode MS" w:hAnsi="Arial Unicode MS" w:cs="Arial Unicode MS"/>
          <w:color w:val="2B477B"/>
        </w:rPr>
        <w:t>estereotipos.</w:t>
      </w:r>
    </w:p>
  </w:footnote>
  <w:footnote w:id="577">
    <w:p w14:paraId="18E2FAEF" w14:textId="77777777" w:rsidR="001A105D" w:rsidRDefault="00000000">
      <w:pPr>
        <w:pStyle w:val="FootnoteText"/>
        <w:jc w:val="left"/>
      </w:pPr>
      <w:r>
        <w:rPr>
          <w:rStyle w:val="None"/>
          <w:shd w:val="clear" w:color="auto" w:fill="FFFFFF"/>
          <w:vertAlign w:val="superscript"/>
        </w:rPr>
        <w:footnoteRef/>
      </w:r>
      <w:r>
        <w:rPr>
          <w:rFonts w:ascii="Arial Unicode MS" w:eastAsia="Arial Unicode MS" w:hAnsi="Arial Unicode MS" w:cs="Arial Unicode MS"/>
        </w:rPr>
        <w:t>Comit</w:t>
      </w:r>
      <w:r>
        <w:rPr>
          <w:rStyle w:val="None"/>
          <w:rFonts w:ascii="Helvetica LT Std Roman" w:hAnsi="Helvetica LT Std Roman"/>
        </w:rPr>
        <w:t>é</w:t>
      </w:r>
      <w:r>
        <w:t xml:space="preserve"> </w:t>
      </w:r>
      <w:r>
        <w:rPr>
          <w:rFonts w:ascii="Arial Unicode MS" w:eastAsia="Arial Unicode MS" w:hAnsi="Arial Unicode MS" w:cs="Arial Unicode MS"/>
        </w:rPr>
        <w:t>sobre</w:t>
      </w:r>
      <w:r>
        <w:t xml:space="preserve"> </w:t>
      </w:r>
      <w:r>
        <w:rPr>
          <w:rFonts w:ascii="Arial Unicode MS" w:eastAsia="Arial Unicode MS" w:hAnsi="Arial Unicode MS" w:cs="Arial Unicode MS"/>
        </w:rPr>
        <w:t>los</w:t>
      </w:r>
      <w:r>
        <w:t xml:space="preserve"> </w:t>
      </w:r>
      <w:r>
        <w:rPr>
          <w:rFonts w:ascii="Arial Unicode MS" w:eastAsia="Arial Unicode MS" w:hAnsi="Arial Unicode MS" w:cs="Arial Unicode MS"/>
        </w:rPr>
        <w:t>Derechos</w:t>
      </w:r>
      <w:r>
        <w:t xml:space="preserve"> </w:t>
      </w:r>
      <w:r>
        <w:rPr>
          <w:rFonts w:ascii="Arial Unicode MS" w:eastAsia="Arial Unicode MS" w:hAnsi="Arial Unicode MS" w:cs="Arial Unicode MS"/>
        </w:rPr>
        <w:t>de</w:t>
      </w:r>
      <w:r>
        <w:t xml:space="preserve"> </w:t>
      </w:r>
      <w:r>
        <w:rPr>
          <w:rFonts w:ascii="Arial Unicode MS" w:eastAsia="Arial Unicode MS" w:hAnsi="Arial Unicode MS" w:cs="Arial Unicode MS"/>
        </w:rPr>
        <w:t>las</w:t>
      </w:r>
      <w:r>
        <w:t xml:space="preserve"> </w:t>
      </w:r>
      <w:r>
        <w:rPr>
          <w:rFonts w:ascii="Arial Unicode MS" w:eastAsia="Arial Unicode MS" w:hAnsi="Arial Unicode MS" w:cs="Arial Unicode MS"/>
        </w:rPr>
        <w:t>Personas</w:t>
      </w:r>
      <w:r>
        <w:t xml:space="preserve"> </w:t>
      </w:r>
      <w:r>
        <w:rPr>
          <w:rFonts w:ascii="Arial Unicode MS" w:eastAsia="Arial Unicode MS" w:hAnsi="Arial Unicode MS" w:cs="Arial Unicode MS"/>
        </w:rPr>
        <w:t>con</w:t>
      </w:r>
      <w:r>
        <w:t xml:space="preserve"> </w:t>
      </w:r>
      <w:r>
        <w:rPr>
          <w:rFonts w:ascii="Arial Unicode MS" w:eastAsia="Arial Unicode MS" w:hAnsi="Arial Unicode MS" w:cs="Arial Unicode MS"/>
        </w:rPr>
        <w:t>Discapacidad.</w:t>
      </w:r>
      <w:r>
        <w:t xml:space="preserve"> </w:t>
      </w:r>
      <w:r>
        <w:rPr>
          <w:rStyle w:val="None"/>
          <w:rFonts w:ascii="Arial Unicode MS" w:eastAsia="Arial Unicode MS" w:hAnsi="Arial Unicode MS" w:cs="Arial Unicode MS"/>
          <w:lang w:val="en-US"/>
        </w:rPr>
        <w:t>Comments</w:t>
      </w:r>
      <w:r>
        <w:rPr>
          <w:rStyle w:val="None"/>
          <w:lang w:val="en-US"/>
        </w:rPr>
        <w:t xml:space="preserve"> </w:t>
      </w:r>
      <w:r>
        <w:rPr>
          <w:rStyle w:val="None"/>
          <w:rFonts w:ascii="Arial Unicode MS" w:eastAsia="Arial Unicode MS" w:hAnsi="Arial Unicode MS" w:cs="Arial Unicode MS"/>
          <w:lang w:val="en-US"/>
        </w:rPr>
        <w:t>on</w:t>
      </w:r>
      <w:r>
        <w:rPr>
          <w:rStyle w:val="None"/>
          <w:lang w:val="en-US"/>
        </w:rPr>
        <w:t xml:space="preserve"> </w:t>
      </w:r>
      <w:r>
        <w:rPr>
          <w:rStyle w:val="None"/>
          <w:rFonts w:ascii="Arial Unicode MS" w:eastAsia="Arial Unicode MS" w:hAnsi="Arial Unicode MS" w:cs="Arial Unicode MS"/>
          <w:lang w:val="en-US"/>
        </w:rPr>
        <w:t>the</w:t>
      </w:r>
      <w:r>
        <w:rPr>
          <w:rStyle w:val="None"/>
          <w:lang w:val="en-US"/>
        </w:rPr>
        <w:t xml:space="preserve"> </w:t>
      </w:r>
      <w:r>
        <w:rPr>
          <w:rStyle w:val="None"/>
          <w:rFonts w:ascii="Arial Unicode MS" w:eastAsia="Arial Unicode MS" w:hAnsi="Arial Unicode MS" w:cs="Arial Unicode MS"/>
          <w:lang w:val="en-US"/>
        </w:rPr>
        <w:t>draft</w:t>
      </w:r>
      <w:r>
        <w:rPr>
          <w:rStyle w:val="None"/>
          <w:lang w:val="en-US"/>
        </w:rPr>
        <w:t xml:space="preserve"> </w:t>
      </w:r>
      <w:r>
        <w:rPr>
          <w:rStyle w:val="None"/>
          <w:rFonts w:ascii="Arial Unicode MS" w:eastAsia="Arial Unicode MS" w:hAnsi="Arial Unicode MS" w:cs="Arial Unicode MS"/>
          <w:lang w:val="en-US"/>
        </w:rPr>
        <w:t>General</w:t>
      </w:r>
      <w:r>
        <w:rPr>
          <w:rStyle w:val="None"/>
          <w:lang w:val="en-US"/>
        </w:rPr>
        <w:t xml:space="preserve"> </w:t>
      </w:r>
      <w:r>
        <w:rPr>
          <w:rStyle w:val="None"/>
          <w:rFonts w:ascii="Arial Unicode MS" w:eastAsia="Arial Unicode MS" w:hAnsi="Arial Unicode MS" w:cs="Arial Unicode MS"/>
          <w:lang w:val="en-US"/>
        </w:rPr>
        <w:t>Comment</w:t>
      </w:r>
      <w:r>
        <w:rPr>
          <w:rStyle w:val="None"/>
          <w:lang w:val="en-US"/>
        </w:rPr>
        <w:t xml:space="preserve"> </w:t>
      </w:r>
      <w:r>
        <w:rPr>
          <w:rStyle w:val="None"/>
          <w:rFonts w:ascii="Arial Unicode MS" w:eastAsia="Arial Unicode MS" w:hAnsi="Arial Unicode MS" w:cs="Arial Unicode MS"/>
          <w:lang w:val="en-US"/>
        </w:rPr>
        <w:t>No.</w:t>
      </w:r>
      <w:r>
        <w:rPr>
          <w:rStyle w:val="None"/>
          <w:lang w:val="en-US"/>
        </w:rPr>
        <w:t xml:space="preserve"> 36 </w:t>
      </w:r>
      <w:r>
        <w:rPr>
          <w:rStyle w:val="None"/>
          <w:rFonts w:ascii="Arial Unicode MS" w:eastAsia="Arial Unicode MS" w:hAnsi="Arial Unicode MS" w:cs="Arial Unicode MS"/>
          <w:lang w:val="en-US"/>
        </w:rPr>
        <w:t>of</w:t>
      </w:r>
      <w:r>
        <w:rPr>
          <w:rStyle w:val="None"/>
          <w:lang w:val="en-US"/>
        </w:rPr>
        <w:t xml:space="preserve"> </w:t>
      </w:r>
      <w:r>
        <w:rPr>
          <w:rStyle w:val="None"/>
          <w:rFonts w:ascii="Arial Unicode MS" w:eastAsia="Arial Unicode MS" w:hAnsi="Arial Unicode MS" w:cs="Arial Unicode MS"/>
          <w:lang w:val="en-US"/>
        </w:rPr>
        <w:t>the</w:t>
      </w:r>
      <w:r>
        <w:rPr>
          <w:rStyle w:val="None"/>
          <w:lang w:val="en-US"/>
        </w:rPr>
        <w:t xml:space="preserve"> </w:t>
      </w:r>
      <w:r>
        <w:rPr>
          <w:rStyle w:val="None"/>
          <w:rFonts w:ascii="Arial Unicode MS" w:eastAsia="Arial Unicode MS" w:hAnsi="Arial Unicode MS" w:cs="Arial Unicode MS"/>
          <w:lang w:val="en-US"/>
        </w:rPr>
        <w:t>Human</w:t>
      </w:r>
      <w:r>
        <w:rPr>
          <w:rStyle w:val="None"/>
          <w:lang w:val="en-US"/>
        </w:rPr>
        <w:t xml:space="preserve"> </w:t>
      </w:r>
      <w:r>
        <w:rPr>
          <w:rStyle w:val="None"/>
          <w:rFonts w:ascii="Arial Unicode MS" w:eastAsia="Arial Unicode MS" w:hAnsi="Arial Unicode MS" w:cs="Arial Unicode MS"/>
          <w:lang w:val="en-US"/>
        </w:rPr>
        <w:t>Rights</w:t>
      </w:r>
      <w:r>
        <w:rPr>
          <w:rStyle w:val="None"/>
          <w:lang w:val="en-US"/>
        </w:rPr>
        <w:t xml:space="preserve"> </w:t>
      </w:r>
      <w:r>
        <w:rPr>
          <w:rStyle w:val="None"/>
          <w:rFonts w:ascii="Arial Unicode MS" w:eastAsia="Arial Unicode MS" w:hAnsi="Arial Unicode MS" w:cs="Arial Unicode MS"/>
          <w:lang w:val="en-US"/>
        </w:rPr>
        <w:t>Committee</w:t>
      </w:r>
      <w:r>
        <w:rPr>
          <w:rStyle w:val="None"/>
          <w:lang w:val="en-US"/>
        </w:rPr>
        <w:t xml:space="preserve"> </w:t>
      </w:r>
      <w:r>
        <w:rPr>
          <w:rStyle w:val="None"/>
          <w:rFonts w:ascii="Arial Unicode MS" w:eastAsia="Arial Unicode MS" w:hAnsi="Arial Unicode MS" w:cs="Arial Unicode MS"/>
          <w:lang w:val="en-US"/>
        </w:rPr>
        <w:t>on</w:t>
      </w:r>
      <w:r>
        <w:rPr>
          <w:rStyle w:val="None"/>
          <w:lang w:val="en-US"/>
        </w:rPr>
        <w:t xml:space="preserve"> </w:t>
      </w:r>
      <w:r>
        <w:rPr>
          <w:rStyle w:val="None"/>
          <w:rFonts w:ascii="Arial Unicode MS" w:eastAsia="Arial Unicode MS" w:hAnsi="Arial Unicode MS" w:cs="Arial Unicode MS"/>
          <w:lang w:val="en-US"/>
        </w:rPr>
        <w:t>article</w:t>
      </w:r>
      <w:r>
        <w:rPr>
          <w:rStyle w:val="None"/>
          <w:lang w:val="en-US"/>
        </w:rPr>
        <w:t xml:space="preserve"> 6 </w:t>
      </w:r>
      <w:r>
        <w:rPr>
          <w:rStyle w:val="None"/>
          <w:rFonts w:ascii="Arial Unicode MS" w:eastAsia="Arial Unicode MS" w:hAnsi="Arial Unicode MS" w:cs="Arial Unicode MS"/>
          <w:lang w:val="en-US"/>
        </w:rPr>
        <w:t>of</w:t>
      </w:r>
      <w:r>
        <w:rPr>
          <w:rStyle w:val="None"/>
          <w:lang w:val="en-US"/>
        </w:rPr>
        <w:t xml:space="preserve"> </w:t>
      </w:r>
      <w:r>
        <w:rPr>
          <w:rStyle w:val="None"/>
          <w:rFonts w:ascii="Arial Unicode MS" w:eastAsia="Arial Unicode MS" w:hAnsi="Arial Unicode MS" w:cs="Arial Unicode MS"/>
          <w:lang w:val="en-US"/>
        </w:rPr>
        <w:t>the</w:t>
      </w:r>
      <w:r>
        <w:rPr>
          <w:rStyle w:val="None"/>
          <w:lang w:val="en-US"/>
        </w:rPr>
        <w:t xml:space="preserve"> </w:t>
      </w:r>
      <w:r>
        <w:rPr>
          <w:rStyle w:val="None"/>
          <w:rFonts w:ascii="Arial Unicode MS" w:eastAsia="Arial Unicode MS" w:hAnsi="Arial Unicode MS" w:cs="Arial Unicode MS"/>
          <w:lang w:val="en-US"/>
        </w:rPr>
        <w:t>International</w:t>
      </w:r>
      <w:r>
        <w:rPr>
          <w:rStyle w:val="None"/>
          <w:lang w:val="en-US"/>
        </w:rPr>
        <w:t xml:space="preserve"> </w:t>
      </w:r>
      <w:r>
        <w:rPr>
          <w:rStyle w:val="None"/>
          <w:rFonts w:ascii="Arial Unicode MS" w:eastAsia="Arial Unicode MS" w:hAnsi="Arial Unicode MS" w:cs="Arial Unicode MS"/>
          <w:lang w:val="en-US"/>
        </w:rPr>
        <w:t>Covenant</w:t>
      </w:r>
      <w:r>
        <w:rPr>
          <w:rStyle w:val="None"/>
          <w:lang w:val="en-US"/>
        </w:rPr>
        <w:t xml:space="preserve"> </w:t>
      </w:r>
      <w:r>
        <w:rPr>
          <w:rStyle w:val="None"/>
          <w:rFonts w:ascii="Arial Unicode MS" w:eastAsia="Arial Unicode MS" w:hAnsi="Arial Unicode MS" w:cs="Arial Unicode MS"/>
          <w:lang w:val="en-US"/>
        </w:rPr>
        <w:t>on</w:t>
      </w:r>
      <w:r>
        <w:rPr>
          <w:rStyle w:val="None"/>
          <w:lang w:val="en-US"/>
        </w:rPr>
        <w:t xml:space="preserve"> </w:t>
      </w:r>
      <w:r>
        <w:rPr>
          <w:rStyle w:val="None"/>
          <w:rFonts w:ascii="Arial Unicode MS" w:eastAsia="Arial Unicode MS" w:hAnsi="Arial Unicode MS" w:cs="Arial Unicode MS"/>
          <w:lang w:val="en-US"/>
        </w:rPr>
        <w:t>Civil</w:t>
      </w:r>
      <w:r>
        <w:rPr>
          <w:rStyle w:val="None"/>
          <w:lang w:val="en-US"/>
        </w:rPr>
        <w:t xml:space="preserve"> </w:t>
      </w:r>
      <w:r>
        <w:rPr>
          <w:rStyle w:val="None"/>
          <w:rFonts w:ascii="Arial Unicode MS" w:eastAsia="Arial Unicode MS" w:hAnsi="Arial Unicode MS" w:cs="Arial Unicode MS"/>
          <w:lang w:val="en-US"/>
        </w:rPr>
        <w:t>and</w:t>
      </w:r>
      <w:r>
        <w:rPr>
          <w:rStyle w:val="None"/>
          <w:lang w:val="en-US"/>
        </w:rPr>
        <w:t xml:space="preserve"> </w:t>
      </w:r>
      <w:r>
        <w:rPr>
          <w:rStyle w:val="None"/>
          <w:rFonts w:ascii="Arial Unicode MS" w:eastAsia="Arial Unicode MS" w:hAnsi="Arial Unicode MS" w:cs="Arial Unicode MS"/>
          <w:lang w:val="en-US"/>
        </w:rPr>
        <w:t>Political</w:t>
      </w:r>
      <w:r>
        <w:rPr>
          <w:rStyle w:val="None"/>
          <w:lang w:val="en-US"/>
        </w:rPr>
        <w:t xml:space="preserve"> </w:t>
      </w:r>
      <w:r>
        <w:rPr>
          <w:rStyle w:val="None"/>
          <w:rFonts w:ascii="Arial Unicode MS" w:eastAsia="Arial Unicode MS" w:hAnsi="Arial Unicode MS" w:cs="Arial Unicode MS"/>
          <w:lang w:val="en-US"/>
        </w:rPr>
        <w:t>Rights.</w:t>
      </w:r>
      <w:hyperlink r:id="rId950" w:history="1">
        <w:r>
          <w:rPr>
            <w:rStyle w:val="Hyperlink0"/>
            <w:rFonts w:ascii="Arial Unicode MS" w:eastAsia="Arial Unicode MS" w:hAnsi="Arial Unicode MS" w:cs="Arial Unicode MS"/>
          </w:rPr>
          <w:t>https:</w:t>
        </w:r>
        <w:r>
          <w:rPr>
            <w:rStyle w:val="Hyperlink0"/>
          </w:rPr>
          <w:t>//</w:t>
        </w:r>
        <w:r>
          <w:rPr>
            <w:rStyle w:val="Hyperlink0"/>
            <w:rFonts w:ascii="Arial Unicode MS" w:eastAsia="Arial Unicode MS" w:hAnsi="Arial Unicode MS" w:cs="Arial Unicode MS"/>
          </w:rPr>
          <w:t>www.google.com</w:t>
        </w:r>
        <w:r>
          <w:rPr>
            <w:rStyle w:val="Hyperlink0"/>
          </w:rPr>
          <w:t>/</w:t>
        </w:r>
        <w:r>
          <w:rPr>
            <w:rStyle w:val="Hyperlink0"/>
            <w:rFonts w:ascii="Arial Unicode MS" w:eastAsia="Arial Unicode MS" w:hAnsi="Arial Unicode MS" w:cs="Arial Unicode MS"/>
          </w:rPr>
          <w:t>url?sa=t&amp;source=web&amp;rct=j&amp;opi=</w:t>
        </w:r>
        <w:r>
          <w:rPr>
            <w:rStyle w:val="Hyperlink0"/>
          </w:rPr>
          <w:t>89978449</w:t>
        </w:r>
        <w:r>
          <w:rPr>
            <w:rStyle w:val="Hyperlink0"/>
            <w:rFonts w:ascii="Arial Unicode MS" w:eastAsia="Arial Unicode MS" w:hAnsi="Arial Unicode MS" w:cs="Arial Unicode MS"/>
          </w:rPr>
          <w:t>&amp;url=https:</w:t>
        </w:r>
        <w:r>
          <w:rPr>
            <w:rStyle w:val="Hyperlink0"/>
          </w:rPr>
          <w:t>//</w:t>
        </w:r>
        <w:r>
          <w:rPr>
            <w:rStyle w:val="Hyperlink0"/>
            <w:rFonts w:ascii="Arial Unicode MS" w:eastAsia="Arial Unicode MS" w:hAnsi="Arial Unicode MS" w:cs="Arial Unicode MS"/>
          </w:rPr>
          <w:t>www.ohchr.org</w:t>
        </w:r>
        <w:r>
          <w:rPr>
            <w:rStyle w:val="Hyperlink0"/>
          </w:rPr>
          <w:t>/</w:t>
        </w:r>
        <w:r>
          <w:rPr>
            <w:rStyle w:val="Hyperlink0"/>
            <w:rFonts w:ascii="Arial Unicode MS" w:eastAsia="Arial Unicode MS" w:hAnsi="Arial Unicode MS" w:cs="Arial Unicode MS"/>
          </w:rPr>
          <w:t>Documents</w:t>
        </w:r>
        <w:r>
          <w:rPr>
            <w:rStyle w:val="Hyperlink0"/>
          </w:rPr>
          <w:t>/</w:t>
        </w:r>
        <w:r>
          <w:rPr>
            <w:rStyle w:val="Hyperlink0"/>
            <w:rFonts w:ascii="Arial Unicode MS" w:eastAsia="Arial Unicode MS" w:hAnsi="Arial Unicode MS" w:cs="Arial Unicode MS"/>
          </w:rPr>
          <w:t>HRBodies</w:t>
        </w:r>
        <w:r>
          <w:rPr>
            <w:rStyle w:val="Hyperlink0"/>
          </w:rPr>
          <w:t>/</w:t>
        </w:r>
        <w:r>
          <w:rPr>
            <w:rStyle w:val="Hyperlink0"/>
            <w:rFonts w:ascii="Arial Unicode MS" w:eastAsia="Arial Unicode MS" w:hAnsi="Arial Unicode MS" w:cs="Arial Unicode MS"/>
          </w:rPr>
          <w:t>CCPR</w:t>
        </w:r>
        <w:r>
          <w:rPr>
            <w:rStyle w:val="Hyperlink0"/>
          </w:rPr>
          <w:t>/</w:t>
        </w:r>
        <w:r>
          <w:rPr>
            <w:rStyle w:val="Hyperlink0"/>
            <w:rFonts w:ascii="Arial Unicode MS" w:eastAsia="Arial Unicode MS" w:hAnsi="Arial Unicode MS" w:cs="Arial Unicode MS"/>
          </w:rPr>
          <w:t>GCArticle</w:t>
        </w:r>
        <w:r>
          <w:rPr>
            <w:rStyle w:val="Hyperlink0"/>
          </w:rPr>
          <w:t>6/</w:t>
        </w:r>
        <w:r>
          <w:rPr>
            <w:rStyle w:val="Hyperlink0"/>
            <w:rFonts w:ascii="Arial Unicode MS" w:eastAsia="Arial Unicode MS" w:hAnsi="Arial Unicode MS" w:cs="Arial Unicode MS"/>
          </w:rPr>
          <w:t>CRPD.docx&amp;ved=</w:t>
        </w:r>
        <w:r>
          <w:rPr>
            <w:rStyle w:val="Hyperlink0"/>
          </w:rPr>
          <w:t>2</w:t>
        </w:r>
        <w:r>
          <w:rPr>
            <w:rStyle w:val="Hyperlink0"/>
            <w:rFonts w:ascii="Arial Unicode MS" w:eastAsia="Arial Unicode MS" w:hAnsi="Arial Unicode MS" w:cs="Arial Unicode MS"/>
          </w:rPr>
          <w:t>ahUKEwiY</w:t>
        </w:r>
        <w:r>
          <w:rPr>
            <w:rStyle w:val="Hyperlink0"/>
          </w:rPr>
          <w:t>0</w:t>
        </w:r>
        <w:r>
          <w:rPr>
            <w:rStyle w:val="Hyperlink0"/>
            <w:rFonts w:ascii="Arial Unicode MS" w:eastAsia="Arial Unicode MS" w:hAnsi="Arial Unicode MS" w:cs="Arial Unicode MS"/>
          </w:rPr>
          <w:t>d</w:t>
        </w:r>
        <w:r>
          <w:rPr>
            <w:rStyle w:val="Hyperlink0"/>
          </w:rPr>
          <w:t>2</w:t>
        </w:r>
        <w:r>
          <w:rPr>
            <w:rStyle w:val="Hyperlink0"/>
            <w:rFonts w:ascii="Arial Unicode MS" w:eastAsia="Arial Unicode MS" w:hAnsi="Arial Unicode MS" w:cs="Arial Unicode MS"/>
          </w:rPr>
          <w:t>F</w:t>
        </w:r>
        <w:r>
          <w:rPr>
            <w:rStyle w:val="Hyperlink0"/>
          </w:rPr>
          <w:t>34</w:t>
        </w:r>
        <w:r>
          <w:rPr>
            <w:rStyle w:val="Hyperlink0"/>
            <w:rFonts w:ascii="Arial Unicode MS" w:eastAsia="Arial Unicode MS" w:hAnsi="Arial Unicode MS" w:cs="Arial Unicode MS"/>
          </w:rPr>
          <w:t>CHAxXzm</w:t>
        </w:r>
        <w:r>
          <w:rPr>
            <w:rStyle w:val="Hyperlink0"/>
          </w:rPr>
          <w:t>7</w:t>
        </w:r>
        <w:r>
          <w:rPr>
            <w:rStyle w:val="Hyperlink0"/>
            <w:rFonts w:ascii="Arial Unicode MS" w:eastAsia="Arial Unicode MS" w:hAnsi="Arial Unicode MS" w:cs="Arial Unicode MS"/>
          </w:rPr>
          <w:t>AFHb</w:t>
        </w:r>
        <w:r>
          <w:rPr>
            <w:rStyle w:val="Hyperlink0"/>
          </w:rPr>
          <w:t>1</w:t>
        </w:r>
        <w:r>
          <w:rPr>
            <w:rStyle w:val="Hyperlink0"/>
            <w:rFonts w:ascii="Arial Unicode MS" w:eastAsia="Arial Unicode MS" w:hAnsi="Arial Unicode MS" w:cs="Arial Unicode MS"/>
          </w:rPr>
          <w:t>SA</w:t>
        </w:r>
        <w:r>
          <w:rPr>
            <w:rStyle w:val="Hyperlink0"/>
          </w:rPr>
          <w:t>4</w:t>
        </w:r>
        <w:r>
          <w:rPr>
            <w:rStyle w:val="Hyperlink0"/>
            <w:rFonts w:ascii="Arial Unicode MS" w:eastAsia="Arial Unicode MS" w:hAnsi="Arial Unicode MS" w:cs="Arial Unicode MS"/>
          </w:rPr>
          <w:t>gQFnoECBsQAQ&amp;usg=AOvVaw</w:t>
        </w:r>
        <w:r>
          <w:rPr>
            <w:rStyle w:val="Hyperlink0"/>
          </w:rPr>
          <w:t>3</w:t>
        </w:r>
        <w:r>
          <w:rPr>
            <w:rStyle w:val="Hyperlink0"/>
            <w:rFonts w:ascii="Arial Unicode MS" w:eastAsia="Arial Unicode MS" w:hAnsi="Arial Unicode MS" w:cs="Arial Unicode MS"/>
          </w:rPr>
          <w:t>qW</w:t>
        </w:r>
        <w:r>
          <w:rPr>
            <w:rStyle w:val="Hyperlink0"/>
          </w:rPr>
          <w:t>2</w:t>
        </w:r>
        <w:r>
          <w:rPr>
            <w:rStyle w:val="Hyperlink0"/>
            <w:rFonts w:ascii="Arial Unicode MS" w:eastAsia="Arial Unicode MS" w:hAnsi="Arial Unicode MS" w:cs="Arial Unicode MS"/>
          </w:rPr>
          <w:t>p</w:t>
        </w:r>
        <w:r>
          <w:rPr>
            <w:rStyle w:val="Hyperlink0"/>
          </w:rPr>
          <w:t>0</w:t>
        </w:r>
        <w:r>
          <w:rPr>
            <w:rStyle w:val="Hyperlink0"/>
            <w:rFonts w:ascii="Arial Unicode MS" w:eastAsia="Arial Unicode MS" w:hAnsi="Arial Unicode MS" w:cs="Arial Unicode MS"/>
          </w:rPr>
          <w:t>X</w:t>
        </w:r>
        <w:r>
          <w:rPr>
            <w:rStyle w:val="Hyperlink0"/>
          </w:rPr>
          <w:t>84</w:t>
        </w:r>
        <w:r>
          <w:rPr>
            <w:rStyle w:val="Hyperlink0"/>
            <w:rFonts w:ascii="Arial Unicode MS" w:eastAsia="Arial Unicode MS" w:hAnsi="Arial Unicode MS" w:cs="Arial Unicode MS"/>
          </w:rPr>
          <w:t>AyzEaLRYgfNgl</w:t>
        </w:r>
      </w:hyperlink>
      <w:r>
        <w:rPr>
          <w:rStyle w:val="None"/>
          <w:u w:color="0000FF"/>
        </w:rPr>
        <w:t xml:space="preserve"> </w:t>
      </w:r>
      <w:r>
        <w:rPr>
          <w:rFonts w:ascii="Arial Unicode MS" w:eastAsia="Arial Unicode MS" w:hAnsi="Arial Unicode MS" w:cs="Arial Unicode MS"/>
        </w:rPr>
        <w:t>(resaltado</w:t>
      </w:r>
      <w:r>
        <w:t xml:space="preserve"> </w:t>
      </w:r>
      <w:r>
        <w:rPr>
          <w:rFonts w:ascii="Arial Unicode MS" w:eastAsia="Arial Unicode MS" w:hAnsi="Arial Unicode MS" w:cs="Arial Unicode MS"/>
        </w:rPr>
        <w:t>propio).</w:t>
      </w:r>
      <w:r>
        <w:t xml:space="preserve"> </w:t>
      </w:r>
    </w:p>
  </w:footnote>
  <w:footnote w:id="578">
    <w:p w14:paraId="56C16549" w14:textId="77777777" w:rsidR="001A105D" w:rsidRDefault="00000000">
      <w:pPr>
        <w:pStyle w:val="Body"/>
        <w:jc w:val="left"/>
      </w:pPr>
      <w:r>
        <w:rPr>
          <w:rStyle w:val="None"/>
          <w:color w:val="2B477B"/>
          <w:u w:color="000000"/>
          <w:vertAlign w:val="superscript"/>
        </w:rPr>
        <w:footnoteRef/>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Boyd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PA,</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Devigan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C,</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Khoshnood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B,</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Loane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M,</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Garne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Dolk</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H;</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EUROCAT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Working</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Group.</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Survey</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of</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prenatal</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screening</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policies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in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Europe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for</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structural</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malformations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chromosome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anomalies,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their</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impact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on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detection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termination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rates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for</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neural</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tube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defects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Down's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syndrome.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BJOG.</w:t>
      </w:r>
      <w:r>
        <w:rPr>
          <w:rStyle w:val="None"/>
          <w:color w:val="2B477B"/>
          <w:u w:color="000000"/>
          <w:shd w:val="clear" w:color="auto" w:fill="FFFFFF"/>
          <w:lang w:val="en-US"/>
        </w:rPr>
        <w:t xml:space="preserve"> 2008 </w:t>
      </w:r>
      <w:r>
        <w:rPr>
          <w:rStyle w:val="None"/>
          <w:rFonts w:ascii="Arial Unicode MS" w:eastAsia="Arial Unicode MS" w:hAnsi="Arial Unicode MS" w:cs="Arial Unicode MS"/>
          <w:color w:val="2B477B"/>
          <w:u w:color="000000"/>
          <w:shd w:val="clear" w:color="auto" w:fill="FFFFFF"/>
          <w:lang w:val="en-US"/>
        </w:rPr>
        <w:t>May;</w:t>
      </w:r>
      <w:r>
        <w:rPr>
          <w:rStyle w:val="None"/>
          <w:color w:val="2B477B"/>
          <w:u w:color="000000"/>
          <w:shd w:val="clear" w:color="auto" w:fill="FFFFFF"/>
          <w:lang w:val="en-US"/>
        </w:rPr>
        <w:t>115</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6</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689</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96</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doi:</w:t>
      </w:r>
      <w:r>
        <w:rPr>
          <w:rStyle w:val="None"/>
          <w:color w:val="2B477B"/>
          <w:u w:color="000000"/>
          <w:shd w:val="clear" w:color="auto" w:fill="FFFFFF"/>
          <w:lang w:val="en-US"/>
        </w:rPr>
        <w:t xml:space="preserve"> 10</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1111/</w:t>
      </w:r>
      <w:r>
        <w:rPr>
          <w:rStyle w:val="None"/>
          <w:rFonts w:ascii="Arial Unicode MS" w:eastAsia="Arial Unicode MS" w:hAnsi="Arial Unicode MS" w:cs="Arial Unicode MS"/>
          <w:color w:val="2B477B"/>
          <w:u w:color="000000"/>
          <w:shd w:val="clear" w:color="auto" w:fill="FFFFFF"/>
          <w:lang w:val="en-US"/>
        </w:rPr>
        <w:t>j.</w:t>
      </w:r>
      <w:r>
        <w:rPr>
          <w:rStyle w:val="None"/>
          <w:color w:val="2B477B"/>
          <w:u w:color="000000"/>
          <w:shd w:val="clear" w:color="auto" w:fill="FFFFFF"/>
          <w:lang w:val="en-US"/>
        </w:rPr>
        <w:t>1471</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0528</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2008</w:t>
      </w:r>
      <w:r>
        <w:rPr>
          <w:rStyle w:val="None"/>
          <w:rFonts w:ascii="Arial Unicode MS" w:eastAsia="Arial Unicode MS" w:hAnsi="Arial Unicode MS" w:cs="Arial Unicode MS"/>
          <w:color w:val="2B477B"/>
          <w:u w:color="000000"/>
          <w:shd w:val="clear" w:color="auto" w:fill="FFFFFF"/>
          <w:lang w:val="en-US"/>
        </w:rPr>
        <w:t>.</w:t>
      </w:r>
      <w:proofErr w:type="gramStart"/>
      <w:r>
        <w:rPr>
          <w:rStyle w:val="None"/>
          <w:color w:val="2B477B"/>
          <w:u w:color="000000"/>
          <w:shd w:val="clear" w:color="auto" w:fill="FFFFFF"/>
          <w:lang w:val="en-US"/>
        </w:rPr>
        <w:t>01700</w:t>
      </w:r>
      <w:r>
        <w:rPr>
          <w:rStyle w:val="None"/>
          <w:rFonts w:ascii="Arial Unicode MS" w:eastAsia="Arial Unicode MS" w:hAnsi="Arial Unicode MS" w:cs="Arial Unicode MS"/>
          <w:color w:val="2B477B"/>
          <w:u w:color="000000"/>
          <w:shd w:val="clear" w:color="auto" w:fill="FFFFFF"/>
          <w:lang w:val="en-US"/>
        </w:rPr>
        <w:t>.x.</w:t>
      </w:r>
      <w:proofErr w:type="gramEnd"/>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PMID:</w:t>
      </w:r>
      <w:r>
        <w:rPr>
          <w:rStyle w:val="None"/>
          <w:color w:val="2B477B"/>
          <w:u w:color="000000"/>
          <w:shd w:val="clear" w:color="auto" w:fill="FFFFFF"/>
          <w:lang w:val="en-US"/>
        </w:rPr>
        <w:t xml:space="preserve"> 18410651</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PMCID: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PMC</w:t>
      </w:r>
      <w:r>
        <w:rPr>
          <w:rStyle w:val="None"/>
          <w:color w:val="2B477B"/>
          <w:u w:color="000000"/>
          <w:shd w:val="clear" w:color="auto" w:fill="FFFFFF"/>
          <w:lang w:val="en-US"/>
        </w:rPr>
        <w:t>2344123</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Disponible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en:</w:t>
      </w:r>
      <w:r>
        <w:rPr>
          <w:rStyle w:val="None"/>
          <w:color w:val="2B477B"/>
          <w:u w:color="0000FF"/>
          <w:shd w:val="clear" w:color="auto" w:fill="FFFFFF"/>
          <w:lang w:val="en-US"/>
        </w:rPr>
        <w:t xml:space="preserve"> </w:t>
      </w:r>
      <w:hyperlink r:id="rId951" w:history="1">
        <w:r>
          <w:rPr>
            <w:rStyle w:val="Hyperlink0"/>
            <w:rFonts w:ascii="Arial" w:hAnsi="Arial"/>
            <w:lang w:val="en-US"/>
          </w:rPr>
          <w:t>https://obgyn.onlinelibrary.wiley.com/doi/10.1111/j.1471-0528.2008.01700.x</w:t>
        </w:r>
      </w:hyperlink>
    </w:p>
  </w:footnote>
  <w:footnote w:id="579">
    <w:p w14:paraId="54577FC7" w14:textId="77777777" w:rsidR="001A105D" w:rsidRDefault="00000000">
      <w:pPr>
        <w:pStyle w:val="Body"/>
        <w:jc w:val="left"/>
        <w:rPr>
          <w:rStyle w:val="None"/>
          <w:color w:val="2B477B"/>
          <w:u w:color="000000"/>
        </w:rPr>
      </w:pPr>
      <w:r>
        <w:rPr>
          <w:rStyle w:val="None"/>
          <w:color w:val="2B477B"/>
          <w:u w:color="000000"/>
          <w:vertAlign w:val="superscript"/>
        </w:rPr>
        <w:footnoteRef/>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Hill,</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M.</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et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al.,</w:t>
      </w:r>
      <w:r>
        <w:rPr>
          <w:rStyle w:val="None"/>
          <w:color w:val="2B477B"/>
          <w:u w:color="000000"/>
          <w:lang w:val="en-US"/>
        </w:rPr>
        <w:t xml:space="preserve"> </w:t>
      </w:r>
      <w:r>
        <w:rPr>
          <w:rStyle w:val="None"/>
          <w:rFonts w:ascii="Helvetica LT Std Roman" w:hAnsi="Helvetica LT Std Roman"/>
          <w:color w:val="2B477B"/>
          <w:u w:color="000000"/>
          <w:lang w:val="en-US"/>
        </w:rPr>
        <w:t>“</w:t>
      </w:r>
      <w:r>
        <w:rPr>
          <w:rStyle w:val="None"/>
          <w:rFonts w:ascii="Arial Unicode MS" w:eastAsia="Arial Unicode MS" w:hAnsi="Arial Unicode MS" w:cs="Arial Unicode MS"/>
          <w:color w:val="2B477B"/>
          <w:u w:color="000000"/>
          <w:lang w:val="en-US"/>
        </w:rPr>
        <w:t>Has</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noninvasive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prenatal</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testing</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impacted</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termination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of</w:t>
      </w:r>
    </w:p>
    <w:p w14:paraId="3BCDE277" w14:textId="77777777" w:rsidR="001A105D" w:rsidRDefault="00000000">
      <w:pPr>
        <w:pStyle w:val="Body"/>
        <w:jc w:val="left"/>
        <w:rPr>
          <w:rStyle w:val="None"/>
          <w:color w:val="2B477B"/>
          <w:u w:color="000000"/>
        </w:rPr>
      </w:pPr>
      <w:r>
        <w:rPr>
          <w:rStyle w:val="None"/>
          <w:rFonts w:ascii="Arial Unicode MS" w:eastAsia="Arial Unicode MS" w:hAnsi="Arial Unicode MS" w:cs="Arial Unicode MS"/>
          <w:color w:val="2B477B"/>
          <w:u w:color="000000"/>
          <w:lang w:val="en-US"/>
        </w:rPr>
        <w:t>pregnancy</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and</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live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birth</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rates</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of</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infants</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with</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Down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syndrome?</w:t>
      </w:r>
      <w:r>
        <w:rPr>
          <w:rStyle w:val="None"/>
          <w:rFonts w:ascii="Helvetica LT Std Roman" w:hAnsi="Helvetica LT Std Roman"/>
          <w:color w:val="2B477B"/>
          <w:u w:color="000000"/>
          <w:lang w:val="en-US"/>
        </w:rPr>
        <w:t>”</w:t>
      </w:r>
      <w:r>
        <w:rPr>
          <w:rStyle w:val="None"/>
          <w:rFonts w:ascii="Arial Unicode MS" w:eastAsia="Arial Unicode MS" w:hAnsi="Arial Unicode MS" w:cs="Arial Unicode MS"/>
          <w:color w:val="2B477B"/>
          <w:u w:color="000000"/>
          <w:lang w:val="en-US"/>
        </w:rPr>
        <w: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Prenatal</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Diagnosis</w:t>
      </w:r>
      <w:r>
        <w:rPr>
          <w:rStyle w:val="None"/>
          <w:color w:val="2B477B"/>
          <w:u w:color="000000"/>
          <w:lang w:val="en-US"/>
        </w:rPr>
        <w:t xml:space="preserve"> 37</w:t>
      </w:r>
      <w:r>
        <w:rPr>
          <w:rStyle w:val="None"/>
          <w:rFonts w:ascii="Arial Unicode MS" w:eastAsia="Arial Unicode MS" w:hAnsi="Arial Unicode MS" w:cs="Arial Unicode MS"/>
          <w:color w:val="2B477B"/>
          <w:u w:color="000000"/>
          <w:lang w:val="en-US"/>
        </w:rPr>
        <w: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No.</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pt-PT"/>
        </w:rPr>
        <w:t>(Citado</w:t>
      </w:r>
      <w:r>
        <w:rPr>
          <w:rStyle w:val="None"/>
          <w:color w:val="2B477B"/>
          <w:u w:color="000000"/>
        </w:rPr>
        <w:t xml:space="preserve"> </w:t>
      </w:r>
      <w:r>
        <w:rPr>
          <w:rStyle w:val="None"/>
          <w:rFonts w:ascii="Arial Unicode MS" w:eastAsia="Arial Unicode MS" w:hAnsi="Arial Unicode MS" w:cs="Arial Unicode MS"/>
          <w:color w:val="2B477B"/>
          <w:u w:color="000000"/>
        </w:rPr>
        <w:t>por</w:t>
      </w:r>
      <w:r>
        <w:rPr>
          <w:rStyle w:val="None"/>
          <w:color w:val="2B477B"/>
          <w:u w:color="000000"/>
        </w:rPr>
        <w:t xml:space="preserve"> </w:t>
      </w:r>
      <w:r>
        <w:rPr>
          <w:rStyle w:val="None"/>
          <w:rFonts w:ascii="Arial Unicode MS" w:eastAsia="Arial Unicode MS" w:hAnsi="Arial Unicode MS" w:cs="Arial Unicode MS"/>
          <w:color w:val="2B477B"/>
          <w:u w:color="000000"/>
          <w:lang w:val="it-IT"/>
        </w:rPr>
        <w:t>Lafferriere,</w:t>
      </w:r>
      <w:r>
        <w:rPr>
          <w:rStyle w:val="None"/>
          <w:color w:val="2B477B"/>
          <w:u w:color="000000"/>
        </w:rPr>
        <w:t xml:space="preserve"> </w:t>
      </w:r>
      <w:r>
        <w:rPr>
          <w:rStyle w:val="None"/>
          <w:rFonts w:ascii="Arial Unicode MS" w:eastAsia="Arial Unicode MS" w:hAnsi="Arial Unicode MS" w:cs="Arial Unicode MS"/>
          <w:color w:val="2B477B"/>
          <w:u w:color="000000"/>
        </w:rPr>
        <w:t>JN.</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en-US"/>
        </w:rPr>
        <w:t>aborto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lang w:val="pt-PT"/>
        </w:rPr>
        <w:t>discapacidad.</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en-US"/>
        </w:rPr>
        <w:t>aborto</w:t>
      </w:r>
      <w:r>
        <w:rPr>
          <w:rStyle w:val="None"/>
          <w:color w:val="2B477B"/>
          <w:u w:color="000000"/>
        </w:rPr>
        <w:t xml:space="preserve"> </w:t>
      </w:r>
      <w:r>
        <w:rPr>
          <w:rStyle w:val="None"/>
          <w:rFonts w:ascii="Arial Unicode MS" w:eastAsia="Arial Unicode MS" w:hAnsi="Arial Unicode MS" w:cs="Arial Unicode MS"/>
          <w:color w:val="2B477B"/>
          <w:u w:color="000000"/>
          <w:lang w:val="it-IT"/>
        </w:rPr>
        <w:t>ante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lang w:val="it-IT"/>
        </w:rPr>
        <w:t>prop</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sito</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caso</w:t>
      </w:r>
      <w:r>
        <w:rPr>
          <w:rStyle w:val="None"/>
          <w:color w:val="2B477B"/>
          <w:u w:color="000000"/>
        </w:rPr>
        <w:t xml:space="preserve"> </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lang w:val="it-IT"/>
        </w:rPr>
        <w:t>Beatriz</w:t>
      </w:r>
      <w:r>
        <w:rPr>
          <w:rStyle w:val="None"/>
          <w:color w:val="2B477B"/>
          <w:u w:color="000000"/>
        </w:rPr>
        <w:t xml:space="preserve"> </w:t>
      </w:r>
      <w:r>
        <w:rPr>
          <w:rStyle w:val="None"/>
          <w:rFonts w:ascii="Arial Unicode MS" w:eastAsia="Arial Unicode MS" w:hAnsi="Arial Unicode MS" w:cs="Arial Unicode MS"/>
          <w:color w:val="2B477B"/>
          <w:u w:color="000000"/>
          <w:lang w:val="pt-PT"/>
        </w:rPr>
        <w:t>vs.</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Salvador</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w:t>
      </w:r>
      <w:r>
        <w:rPr>
          <w:rStyle w:val="None"/>
          <w:color w:val="2B477B"/>
          <w:u w:color="000000"/>
        </w:rPr>
        <w:t xml:space="preserve"> </w:t>
      </w:r>
    </w:p>
    <w:p w14:paraId="6475BBA8" w14:textId="77777777" w:rsidR="001A105D" w:rsidRDefault="00000000">
      <w:pPr>
        <w:pStyle w:val="Body"/>
        <w:jc w:val="left"/>
      </w:pPr>
      <w:r>
        <w:rPr>
          <w:rStyle w:val="None"/>
          <w:color w:val="2B477B"/>
          <w:u w:color="000000"/>
          <w:lang w:val="en-US"/>
        </w:rPr>
        <w:t xml:space="preserve">13 </w:t>
      </w:r>
      <w:r>
        <w:rPr>
          <w:rStyle w:val="None"/>
          <w:rFonts w:ascii="Arial Unicode MS" w:eastAsia="Arial Unicode MS" w:hAnsi="Arial Unicode MS" w:cs="Arial Unicode MS"/>
          <w:color w:val="2B477B"/>
          <w:u w:color="000000"/>
          <w:lang w:val="en-US"/>
        </w:rPr>
        <w:t>(</w:t>
      </w:r>
      <w:r>
        <w:rPr>
          <w:rStyle w:val="None"/>
          <w:color w:val="2B477B"/>
          <w:u w:color="000000"/>
          <w:lang w:val="en-US"/>
        </w:rPr>
        <w:t>2017</w:t>
      </w:r>
      <w:r>
        <w:rPr>
          <w:rStyle w:val="None"/>
          <w:rFonts w:ascii="Arial Unicode MS" w:eastAsia="Arial Unicode MS" w:hAnsi="Arial Unicode MS" w:cs="Arial Unicode MS"/>
          <w:color w:val="2B477B"/>
          <w:u w:color="000000"/>
          <w:lang w:val="en-US"/>
        </w:rPr>
        <w: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pp.</w:t>
      </w:r>
      <w:r>
        <w:rPr>
          <w:rStyle w:val="None"/>
          <w:color w:val="2B477B"/>
          <w:u w:color="000000"/>
          <w:lang w:val="en-US"/>
        </w:rPr>
        <w:t xml:space="preserve"> 1281</w:t>
      </w:r>
      <w:r>
        <w:rPr>
          <w:rStyle w:val="None"/>
          <w:rFonts w:ascii="Arial Unicode MS" w:eastAsia="Arial Unicode MS" w:hAnsi="Arial Unicode MS" w:cs="Arial Unicode MS"/>
          <w:color w:val="2B477B"/>
          <w:u w:color="000000"/>
          <w:lang w:val="en-US"/>
        </w:rPr>
        <w:t>-</w:t>
      </w:r>
      <w:r>
        <w:rPr>
          <w:rStyle w:val="None"/>
          <w:color w:val="2B477B"/>
          <w:u w:color="000000"/>
          <w:lang w:val="en-US"/>
        </w:rPr>
        <w:t>90</w:t>
      </w:r>
      <w:r>
        <w:rPr>
          <w:rStyle w:val="None"/>
          <w:rFonts w:ascii="Arial Unicode MS" w:eastAsia="Arial Unicode MS" w:hAnsi="Arial Unicode MS" w:cs="Arial Unicode MS"/>
          <w:color w:val="2B477B"/>
          <w:u w:color="000000"/>
          <w:lang w:val="en-US"/>
        </w:rPr>
        <w: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DOI:</w:t>
      </w:r>
      <w:r>
        <w:rPr>
          <w:rStyle w:val="None"/>
          <w:color w:val="2B477B"/>
          <w:u w:color="000000"/>
          <w:lang w:val="en-US"/>
        </w:rPr>
        <w:t>10</w:t>
      </w:r>
      <w:r>
        <w:rPr>
          <w:rStyle w:val="None"/>
          <w:rFonts w:ascii="Arial Unicode MS" w:eastAsia="Arial Unicode MS" w:hAnsi="Arial Unicode MS" w:cs="Arial Unicode MS"/>
          <w:color w:val="2B477B"/>
          <w:u w:color="000000"/>
          <w:lang w:val="en-US"/>
        </w:rPr>
        <w:t>.</w:t>
      </w:r>
      <w:r>
        <w:rPr>
          <w:rStyle w:val="None"/>
          <w:color w:val="2B477B"/>
          <w:u w:color="000000"/>
          <w:lang w:val="en-US"/>
        </w:rPr>
        <w:t>1002/</w:t>
      </w:r>
      <w:r>
        <w:rPr>
          <w:rStyle w:val="None"/>
          <w:rFonts w:ascii="Arial Unicode MS" w:eastAsia="Arial Unicode MS" w:hAnsi="Arial Unicode MS" w:cs="Arial Unicode MS"/>
          <w:color w:val="2B477B"/>
          <w:u w:color="000000"/>
          <w:lang w:val="en-US"/>
        </w:rPr>
        <w:t>pd.</w:t>
      </w:r>
      <w:r>
        <w:rPr>
          <w:rStyle w:val="None"/>
          <w:color w:val="2B477B"/>
          <w:u w:color="000000"/>
          <w:lang w:val="en-US"/>
        </w:rPr>
        <w:t>5182</w:t>
      </w:r>
      <w:r>
        <w:rPr>
          <w:rStyle w:val="None"/>
          <w:rFonts w:ascii="Arial Unicode MS" w:eastAsia="Arial Unicode MS" w:hAnsi="Arial Unicode MS" w:cs="Arial Unicode MS"/>
          <w:color w:val="2B477B"/>
          <w:u w:color="000000"/>
          <w:lang w:val="en-US"/>
        </w:rPr>
        <w:t>.</w:t>
      </w:r>
      <w:r>
        <w:rPr>
          <w:rStyle w:val="None"/>
          <w:color w:val="2B477B"/>
          <w:u w:color="000000"/>
          <w:lang w:val="en-US"/>
        </w:rPr>
        <w:t xml:space="preserve">  </w:t>
      </w:r>
    </w:p>
  </w:footnote>
  <w:footnote w:id="580">
    <w:p w14:paraId="13AD005D" w14:textId="77777777" w:rsidR="001A105D" w:rsidRDefault="00000000">
      <w:pPr>
        <w:pStyle w:val="Body"/>
        <w:jc w:val="left"/>
      </w:pPr>
      <w:r>
        <w:rPr>
          <w:rStyle w:val="None"/>
          <w:color w:val="2B477B"/>
          <w:u w:color="000000"/>
          <w:vertAlign w:val="superscript"/>
        </w:rPr>
        <w:footnoteRef/>
      </w:r>
      <w:r>
        <w:rPr>
          <w:rStyle w:val="None"/>
          <w:color w:val="2B477B"/>
          <w:u w:color="000000"/>
          <w:lang w:val="en-US"/>
        </w:rPr>
        <w:t xml:space="preserve"> </w:t>
      </w:r>
      <w:r>
        <w:rPr>
          <w:rStyle w:val="None"/>
          <w:rFonts w:ascii="Arial Unicode MS" w:eastAsia="Arial Unicode MS" w:hAnsi="Arial Unicode MS" w:cs="Arial Unicode MS"/>
          <w:color w:val="2B477B"/>
          <w:u w:color="000000"/>
          <w:shd w:val="clear" w:color="auto" w:fill="FFFFFF"/>
          <w:lang w:val="en-US"/>
        </w:rPr>
        <w:t>Morris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JK,</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Alberman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Trends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in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Down's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syndrome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live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births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antenatal</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diagnoses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in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England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Wales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from</w:t>
      </w:r>
      <w:r>
        <w:rPr>
          <w:rStyle w:val="None"/>
          <w:color w:val="2B477B"/>
          <w:u w:color="000000"/>
          <w:shd w:val="clear" w:color="auto" w:fill="FFFFFF"/>
          <w:lang w:val="en-US"/>
        </w:rPr>
        <w:t xml:space="preserve"> 1989 </w:t>
      </w:r>
      <w:r>
        <w:rPr>
          <w:rStyle w:val="None"/>
          <w:rFonts w:ascii="Arial Unicode MS" w:eastAsia="Arial Unicode MS" w:hAnsi="Arial Unicode MS" w:cs="Arial Unicode MS"/>
          <w:color w:val="2B477B"/>
          <w:u w:color="000000"/>
          <w:shd w:val="clear" w:color="auto" w:fill="FFFFFF"/>
          <w:lang w:val="en-US"/>
        </w:rPr>
        <w:t>to</w:t>
      </w:r>
      <w:r>
        <w:rPr>
          <w:rStyle w:val="None"/>
          <w:color w:val="2B477B"/>
          <w:u w:color="000000"/>
          <w:shd w:val="clear" w:color="auto" w:fill="FFFFFF"/>
          <w:lang w:val="en-US"/>
        </w:rPr>
        <w:t xml:space="preserve"> 2008</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analysis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of</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data</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from</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the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National</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Down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Syndrome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Cytogenetic</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Register.</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BMJ.</w:t>
      </w:r>
      <w:r>
        <w:rPr>
          <w:rStyle w:val="None"/>
          <w:color w:val="2B477B"/>
          <w:u w:color="000000"/>
          <w:shd w:val="clear" w:color="auto" w:fill="FFFFFF"/>
          <w:lang w:val="en-US"/>
        </w:rPr>
        <w:t xml:space="preserve"> 2009 </w:t>
      </w:r>
      <w:r>
        <w:rPr>
          <w:rStyle w:val="None"/>
          <w:rFonts w:ascii="Arial Unicode MS" w:eastAsia="Arial Unicode MS" w:hAnsi="Arial Unicode MS" w:cs="Arial Unicode MS"/>
          <w:color w:val="2B477B"/>
          <w:u w:color="000000"/>
          <w:shd w:val="clear" w:color="auto" w:fill="FFFFFF"/>
          <w:lang w:val="en-US"/>
        </w:rPr>
        <w:t>Oct</w:t>
      </w:r>
      <w:r>
        <w:rPr>
          <w:rStyle w:val="None"/>
          <w:color w:val="2B477B"/>
          <w:u w:color="000000"/>
          <w:shd w:val="clear" w:color="auto" w:fill="FFFFFF"/>
          <w:lang w:val="en-US"/>
        </w:rPr>
        <w:t xml:space="preserve"> 26</w:t>
      </w:r>
      <w:r>
        <w:rPr>
          <w:rStyle w:val="None"/>
          <w:rFonts w:ascii="Arial Unicode MS" w:eastAsia="Arial Unicode MS" w:hAnsi="Arial Unicode MS" w:cs="Arial Unicode MS"/>
          <w:color w:val="2B477B"/>
          <w:u w:color="000000"/>
          <w:shd w:val="clear" w:color="auto" w:fill="FFFFFF"/>
          <w:lang w:val="en-US"/>
        </w:rPr>
        <w:t>;</w:t>
      </w:r>
      <w:proofErr w:type="gramStart"/>
      <w:r>
        <w:rPr>
          <w:rStyle w:val="None"/>
          <w:color w:val="2B477B"/>
          <w:u w:color="000000"/>
          <w:shd w:val="clear" w:color="auto" w:fill="FFFFFF"/>
          <w:lang w:val="en-US"/>
        </w:rPr>
        <w:t>339</w:t>
      </w:r>
      <w:r>
        <w:rPr>
          <w:rStyle w:val="None"/>
          <w:rFonts w:ascii="Arial Unicode MS" w:eastAsia="Arial Unicode MS" w:hAnsi="Arial Unicode MS" w:cs="Arial Unicode MS"/>
          <w:color w:val="2B477B"/>
          <w:u w:color="000000"/>
          <w:shd w:val="clear" w:color="auto" w:fill="FFFFFF"/>
          <w:lang w:val="en-US"/>
        </w:rPr>
        <w:t>:b</w:t>
      </w:r>
      <w:proofErr w:type="gramEnd"/>
      <w:r>
        <w:rPr>
          <w:rStyle w:val="None"/>
          <w:color w:val="2B477B"/>
          <w:u w:color="000000"/>
          <w:shd w:val="clear" w:color="auto" w:fill="FFFFFF"/>
          <w:lang w:val="en-US"/>
        </w:rPr>
        <w:t>3794</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doi:</w:t>
      </w:r>
      <w:r>
        <w:rPr>
          <w:rStyle w:val="None"/>
          <w:color w:val="2B477B"/>
          <w:u w:color="000000"/>
          <w:shd w:val="clear" w:color="auto" w:fill="FFFFFF"/>
          <w:lang w:val="en-US"/>
        </w:rPr>
        <w:t xml:space="preserve"> 10</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1136/</w:t>
      </w:r>
      <w:proofErr w:type="gramStart"/>
      <w:r>
        <w:rPr>
          <w:rStyle w:val="None"/>
          <w:rFonts w:ascii="Arial Unicode MS" w:eastAsia="Arial Unicode MS" w:hAnsi="Arial Unicode MS" w:cs="Arial Unicode MS"/>
          <w:color w:val="2B477B"/>
          <w:u w:color="000000"/>
          <w:shd w:val="clear" w:color="auto" w:fill="FFFFFF"/>
          <w:lang w:val="en-US"/>
        </w:rPr>
        <w:t>bmj.b</w:t>
      </w:r>
      <w:proofErr w:type="gramEnd"/>
      <w:r>
        <w:rPr>
          <w:rStyle w:val="None"/>
          <w:color w:val="2B477B"/>
          <w:u w:color="000000"/>
          <w:shd w:val="clear" w:color="auto" w:fill="FFFFFF"/>
          <w:lang w:val="en-US"/>
        </w:rPr>
        <w:t>3794</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PMID:</w:t>
      </w:r>
      <w:r>
        <w:rPr>
          <w:rStyle w:val="None"/>
          <w:color w:val="2B477B"/>
          <w:u w:color="000000"/>
          <w:shd w:val="clear" w:color="auto" w:fill="FFFFFF"/>
          <w:lang w:val="en-US"/>
        </w:rPr>
        <w:t xml:space="preserve"> 19858532</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PMCID: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PMC</w:t>
      </w:r>
      <w:r>
        <w:rPr>
          <w:rStyle w:val="None"/>
          <w:color w:val="2B477B"/>
          <w:u w:color="000000"/>
          <w:shd w:val="clear" w:color="auto" w:fill="FFFFFF"/>
          <w:lang w:val="en-US"/>
        </w:rPr>
        <w:t>2767483</w:t>
      </w:r>
      <w:r>
        <w:rPr>
          <w:rStyle w:val="None"/>
          <w:rFonts w:ascii="Arial Unicode MS" w:eastAsia="Arial Unicode MS" w:hAnsi="Arial Unicode MS" w:cs="Arial Unicode MS"/>
          <w:color w:val="2B477B"/>
          <w:u w:color="000000"/>
          <w:shd w:val="clear" w:color="auto" w:fill="FFFFFF"/>
          <w:lang w:val="en-US"/>
        </w:rPr>
        <w:t>.</w:t>
      </w:r>
    </w:p>
  </w:footnote>
  <w:footnote w:id="581">
    <w:p w14:paraId="6EF3AB93" w14:textId="77777777" w:rsidR="001A105D" w:rsidRDefault="00000000">
      <w:pPr>
        <w:pStyle w:val="Body"/>
        <w:jc w:val="left"/>
      </w:pPr>
      <w:r>
        <w:rPr>
          <w:rStyle w:val="None"/>
          <w:color w:val="2B477B"/>
          <w:u w:color="000000"/>
          <w:vertAlign w:val="superscript"/>
        </w:rPr>
        <w:footnoteRef/>
      </w:r>
      <w:r>
        <w:rPr>
          <w:rStyle w:val="None"/>
          <w:color w:val="2B477B"/>
          <w:u w:color="000000"/>
          <w:lang w:val="en-US"/>
        </w:rPr>
        <w:t xml:space="preserve"> </w:t>
      </w:r>
      <w:r>
        <w:rPr>
          <w:rStyle w:val="None"/>
          <w:rFonts w:ascii="Arial Unicode MS" w:eastAsia="Arial Unicode MS" w:hAnsi="Arial Unicode MS" w:cs="Arial Unicode MS"/>
          <w:color w:val="2B477B"/>
          <w:u w:color="000000"/>
          <w:shd w:val="clear" w:color="auto" w:fill="FFFFFF"/>
          <w:lang w:val="en-US"/>
        </w:rPr>
        <w:t>Collins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VR,</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Muggli</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Riley</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M,</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Palma</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Halliday</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JL.</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Is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Down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syndrome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disappearing</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birth</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defect?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J</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Pediatr.</w:t>
      </w:r>
      <w:r>
        <w:rPr>
          <w:rStyle w:val="None"/>
          <w:color w:val="2B477B"/>
          <w:u w:color="000000"/>
          <w:shd w:val="clear" w:color="auto" w:fill="FFFFFF"/>
          <w:lang w:val="en-US"/>
        </w:rPr>
        <w:t xml:space="preserve"> 2008 </w:t>
      </w:r>
      <w:r>
        <w:rPr>
          <w:rStyle w:val="None"/>
          <w:rFonts w:ascii="Arial Unicode MS" w:eastAsia="Arial Unicode MS" w:hAnsi="Arial Unicode MS" w:cs="Arial Unicode MS"/>
          <w:color w:val="2B477B"/>
          <w:u w:color="000000"/>
          <w:shd w:val="clear" w:color="auto" w:fill="FFFFFF"/>
          <w:lang w:val="en-US"/>
        </w:rPr>
        <w:t>Jan;</w:t>
      </w:r>
      <w:r>
        <w:rPr>
          <w:rStyle w:val="None"/>
          <w:color w:val="2B477B"/>
          <w:u w:color="000000"/>
          <w:shd w:val="clear" w:color="auto" w:fill="FFFFFF"/>
          <w:lang w:val="en-US"/>
        </w:rPr>
        <w:t>152</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1</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20</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4</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24</w:t>
      </w:r>
      <w:r>
        <w:rPr>
          <w:rStyle w:val="None"/>
          <w:rFonts w:ascii="Arial Unicode MS" w:eastAsia="Arial Unicode MS" w:hAnsi="Arial Unicode MS" w:cs="Arial Unicode MS"/>
          <w:color w:val="2B477B"/>
          <w:u w:color="000000"/>
          <w:shd w:val="clear" w:color="auto" w:fill="FFFFFF"/>
          <w:lang w:val="en-US"/>
        </w:rPr>
        <w:t>.e</w:t>
      </w:r>
      <w:r>
        <w:rPr>
          <w:rStyle w:val="None"/>
          <w:color w:val="2B477B"/>
          <w:u w:color="000000"/>
          <w:shd w:val="clear" w:color="auto" w:fill="FFFFFF"/>
          <w:lang w:val="en-US"/>
        </w:rPr>
        <w:t>1</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doi:</w:t>
      </w:r>
      <w:r>
        <w:rPr>
          <w:rStyle w:val="None"/>
          <w:color w:val="2B477B"/>
          <w:u w:color="000000"/>
          <w:shd w:val="clear" w:color="auto" w:fill="FFFFFF"/>
          <w:lang w:val="en-US"/>
        </w:rPr>
        <w:t xml:space="preserve"> 10</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1016/</w:t>
      </w:r>
      <w:r>
        <w:rPr>
          <w:rStyle w:val="None"/>
          <w:rFonts w:ascii="Arial Unicode MS" w:eastAsia="Arial Unicode MS" w:hAnsi="Arial Unicode MS" w:cs="Arial Unicode MS"/>
          <w:color w:val="2B477B"/>
          <w:u w:color="000000"/>
          <w:shd w:val="clear" w:color="auto" w:fill="FFFFFF"/>
          <w:lang w:val="en-US"/>
        </w:rPr>
        <w:t>j.jpeds.</w:t>
      </w:r>
      <w:r>
        <w:rPr>
          <w:rStyle w:val="None"/>
          <w:color w:val="2B477B"/>
          <w:u w:color="000000"/>
          <w:shd w:val="clear" w:color="auto" w:fill="FFFFFF"/>
          <w:lang w:val="en-US"/>
        </w:rPr>
        <w:t>2007</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07</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045</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Epub</w:t>
      </w:r>
      <w:r>
        <w:rPr>
          <w:rStyle w:val="None"/>
          <w:color w:val="2B477B"/>
          <w:u w:color="000000"/>
          <w:shd w:val="clear" w:color="auto" w:fill="FFFFFF"/>
          <w:lang w:val="en-US"/>
        </w:rPr>
        <w:t xml:space="preserve"> 2007 </w:t>
      </w:r>
      <w:r>
        <w:rPr>
          <w:rStyle w:val="None"/>
          <w:rFonts w:ascii="Arial Unicode MS" w:eastAsia="Arial Unicode MS" w:hAnsi="Arial Unicode MS" w:cs="Arial Unicode MS"/>
          <w:color w:val="2B477B"/>
          <w:u w:color="000000"/>
          <w:shd w:val="clear" w:color="auto" w:fill="FFFFFF"/>
          <w:lang w:val="en-US"/>
        </w:rPr>
        <w:t>Oct</w:t>
      </w:r>
      <w:r>
        <w:rPr>
          <w:rStyle w:val="None"/>
          <w:color w:val="2B477B"/>
          <w:u w:color="000000"/>
          <w:shd w:val="clear" w:color="auto" w:fill="FFFFFF"/>
          <w:lang w:val="en-US"/>
        </w:rPr>
        <w:t xml:space="preserve"> 22</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PMID:</w:t>
      </w:r>
      <w:r>
        <w:rPr>
          <w:rStyle w:val="None"/>
          <w:color w:val="2B477B"/>
          <w:u w:color="000000"/>
          <w:shd w:val="clear" w:color="auto" w:fill="FFFFFF"/>
          <w:lang w:val="en-US"/>
        </w:rPr>
        <w:t xml:space="preserve"> 18154892</w:t>
      </w:r>
      <w:r>
        <w:rPr>
          <w:rStyle w:val="None"/>
          <w:rFonts w:ascii="Arial Unicode MS" w:eastAsia="Arial Unicode MS" w:hAnsi="Arial Unicode MS" w:cs="Arial Unicode MS"/>
          <w:color w:val="2B477B"/>
          <w:u w:color="000000"/>
          <w:shd w:val="clear" w:color="auto" w:fill="FFFFFF"/>
          <w:lang w:val="en-US"/>
        </w:rPr>
        <w:t>.</w:t>
      </w:r>
    </w:p>
  </w:footnote>
  <w:footnote w:id="582">
    <w:p w14:paraId="150A24A9"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shd w:val="clear" w:color="auto" w:fill="FFFFFF"/>
          <w:lang w:val="de-DE"/>
        </w:rPr>
        <w:t>Verweij</w:t>
      </w:r>
      <w:r>
        <w:rPr>
          <w:rStyle w:val="None"/>
          <w:color w:val="2B477B"/>
          <w:u w:color="000000"/>
          <w:shd w:val="clear" w:color="auto" w:fill="FFFFFF"/>
        </w:rPr>
        <w:t xml:space="preserve"> </w:t>
      </w:r>
      <w:r>
        <w:rPr>
          <w:rStyle w:val="None"/>
          <w:rFonts w:ascii="Arial Unicode MS" w:eastAsia="Arial Unicode MS" w:hAnsi="Arial Unicode MS" w:cs="Arial Unicode MS"/>
          <w:color w:val="2B477B"/>
          <w:u w:color="000000"/>
          <w:shd w:val="clear" w:color="auto" w:fill="FFFFFF"/>
        </w:rPr>
        <w:t>EJ,</w:t>
      </w:r>
      <w:r>
        <w:rPr>
          <w:rStyle w:val="None"/>
          <w:color w:val="2B477B"/>
          <w:u w:color="000000"/>
          <w:shd w:val="clear" w:color="auto" w:fill="FFFFFF"/>
        </w:rPr>
        <w:t xml:space="preserve"> </w:t>
      </w:r>
      <w:r>
        <w:rPr>
          <w:rStyle w:val="None"/>
          <w:rFonts w:ascii="Arial Unicode MS" w:eastAsia="Arial Unicode MS" w:hAnsi="Arial Unicode MS" w:cs="Arial Unicode MS"/>
          <w:color w:val="2B477B"/>
          <w:u w:color="000000"/>
          <w:shd w:val="clear" w:color="auto" w:fill="FFFFFF"/>
          <w:lang w:val="nl-NL"/>
        </w:rPr>
        <w:t>Oepkes</w:t>
      </w:r>
      <w:r>
        <w:rPr>
          <w:rStyle w:val="None"/>
          <w:color w:val="2B477B"/>
          <w:u w:color="000000"/>
          <w:shd w:val="clear" w:color="auto" w:fill="FFFFFF"/>
        </w:rPr>
        <w:t xml:space="preserve"> </w:t>
      </w:r>
      <w:r>
        <w:rPr>
          <w:rStyle w:val="None"/>
          <w:rFonts w:ascii="Arial Unicode MS" w:eastAsia="Arial Unicode MS" w:hAnsi="Arial Unicode MS" w:cs="Arial Unicode MS"/>
          <w:color w:val="2B477B"/>
          <w:u w:color="000000"/>
          <w:shd w:val="clear" w:color="auto" w:fill="FFFFFF"/>
        </w:rPr>
        <w:t>D,</w:t>
      </w:r>
      <w:r>
        <w:rPr>
          <w:rStyle w:val="None"/>
          <w:color w:val="2B477B"/>
          <w:u w:color="000000"/>
          <w:shd w:val="clear" w:color="auto" w:fill="FFFFFF"/>
        </w:rPr>
        <w:t xml:space="preserve"> </w:t>
      </w:r>
      <w:r>
        <w:rPr>
          <w:rStyle w:val="None"/>
          <w:rFonts w:ascii="Arial Unicode MS" w:eastAsia="Arial Unicode MS" w:hAnsi="Arial Unicode MS" w:cs="Arial Unicode MS"/>
          <w:color w:val="2B477B"/>
          <w:u w:color="000000"/>
          <w:shd w:val="clear" w:color="auto" w:fill="FFFFFF"/>
        </w:rPr>
        <w:t>de</w:t>
      </w:r>
      <w:r>
        <w:rPr>
          <w:rStyle w:val="None"/>
          <w:color w:val="2B477B"/>
          <w:u w:color="000000"/>
          <w:shd w:val="clear" w:color="auto" w:fill="FFFFFF"/>
        </w:rPr>
        <w:t xml:space="preserve"> </w:t>
      </w:r>
      <w:r>
        <w:rPr>
          <w:rStyle w:val="None"/>
          <w:rFonts w:ascii="Arial Unicode MS" w:eastAsia="Arial Unicode MS" w:hAnsi="Arial Unicode MS" w:cs="Arial Unicode MS"/>
          <w:color w:val="2B477B"/>
          <w:u w:color="000000"/>
          <w:shd w:val="clear" w:color="auto" w:fill="FFFFFF"/>
          <w:lang w:val="nl-NL"/>
        </w:rPr>
        <w:t>Boer</w:t>
      </w:r>
      <w:r>
        <w:rPr>
          <w:rStyle w:val="None"/>
          <w:color w:val="2B477B"/>
          <w:u w:color="000000"/>
          <w:shd w:val="clear" w:color="auto" w:fill="FFFFFF"/>
        </w:rPr>
        <w:t xml:space="preserve"> </w:t>
      </w:r>
      <w:r>
        <w:rPr>
          <w:rStyle w:val="None"/>
          <w:rFonts w:ascii="Arial Unicode MS" w:eastAsia="Arial Unicode MS" w:hAnsi="Arial Unicode MS" w:cs="Arial Unicode MS"/>
          <w:color w:val="2B477B"/>
          <w:u w:color="000000"/>
          <w:shd w:val="clear" w:color="auto" w:fill="FFFFFF"/>
          <w:lang w:val="de-DE"/>
        </w:rPr>
        <w:t>MA.</w:t>
      </w:r>
      <w:r>
        <w:rPr>
          <w:rStyle w:val="None"/>
          <w:color w:val="2B477B"/>
          <w:u w:color="000000"/>
          <w:shd w:val="clear" w:color="auto" w:fill="FFFFFF"/>
        </w:rPr>
        <w:t xml:space="preserve"> </w:t>
      </w:r>
      <w:r>
        <w:rPr>
          <w:rStyle w:val="None"/>
          <w:rFonts w:ascii="Arial Unicode MS" w:eastAsia="Arial Unicode MS" w:hAnsi="Arial Unicode MS" w:cs="Arial Unicode MS"/>
          <w:color w:val="2B477B"/>
          <w:u w:color="000000"/>
          <w:shd w:val="clear" w:color="auto" w:fill="FFFFFF"/>
          <w:lang w:val="en-US"/>
        </w:rPr>
        <w:t>Changing</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attitudes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towards</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termination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of</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pregnancy</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for</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trisomy</w:t>
      </w:r>
      <w:r>
        <w:rPr>
          <w:rStyle w:val="None"/>
          <w:color w:val="2B477B"/>
          <w:u w:color="000000"/>
          <w:shd w:val="clear" w:color="auto" w:fill="FFFFFF"/>
          <w:lang w:val="en-US"/>
        </w:rPr>
        <w:t xml:space="preserve"> 21 </w:t>
      </w:r>
      <w:r>
        <w:rPr>
          <w:rStyle w:val="None"/>
          <w:rFonts w:ascii="Arial Unicode MS" w:eastAsia="Arial Unicode MS" w:hAnsi="Arial Unicode MS" w:cs="Arial Unicode MS"/>
          <w:color w:val="2B477B"/>
          <w:u w:color="000000"/>
          <w:shd w:val="clear" w:color="auto" w:fill="FFFFFF"/>
          <w:lang w:val="en-US"/>
        </w:rPr>
        <w:t>with</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non-invasive</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prenatal</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trisomy</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testing:</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a</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population-based</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study</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in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Dutch</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pregnant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women.</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Prenat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Diagn.</w:t>
      </w:r>
      <w:r>
        <w:rPr>
          <w:rStyle w:val="None"/>
          <w:color w:val="2B477B"/>
          <w:u w:color="000000"/>
          <w:shd w:val="clear" w:color="auto" w:fill="FFFFFF"/>
          <w:lang w:val="en-US"/>
        </w:rPr>
        <w:t xml:space="preserve"> 2013 </w:t>
      </w:r>
      <w:r>
        <w:rPr>
          <w:rStyle w:val="None"/>
          <w:rFonts w:ascii="Arial Unicode MS" w:eastAsia="Arial Unicode MS" w:hAnsi="Arial Unicode MS" w:cs="Arial Unicode MS"/>
          <w:color w:val="2B477B"/>
          <w:u w:color="000000"/>
          <w:shd w:val="clear" w:color="auto" w:fill="FFFFFF"/>
          <w:lang w:val="en-US"/>
        </w:rPr>
        <w:t>Apr;</w:t>
      </w:r>
      <w:r>
        <w:rPr>
          <w:rStyle w:val="None"/>
          <w:color w:val="2B477B"/>
          <w:u w:color="000000"/>
          <w:shd w:val="clear" w:color="auto" w:fill="FFFFFF"/>
          <w:lang w:val="en-US"/>
        </w:rPr>
        <w:t>33</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4</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397</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9</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doi:</w:t>
      </w:r>
      <w:r>
        <w:rPr>
          <w:rStyle w:val="None"/>
          <w:color w:val="2B477B"/>
          <w:u w:color="000000"/>
          <w:shd w:val="clear" w:color="auto" w:fill="FFFFFF"/>
          <w:lang w:val="en-US"/>
        </w:rPr>
        <w:t xml:space="preserve"> 10</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1002/</w:t>
      </w:r>
      <w:r>
        <w:rPr>
          <w:rStyle w:val="None"/>
          <w:rFonts w:ascii="Arial Unicode MS" w:eastAsia="Arial Unicode MS" w:hAnsi="Arial Unicode MS" w:cs="Arial Unicode MS"/>
          <w:color w:val="2B477B"/>
          <w:u w:color="000000"/>
          <w:shd w:val="clear" w:color="auto" w:fill="FFFFFF"/>
          <w:lang w:val="en-US"/>
        </w:rPr>
        <w:t>pd.</w:t>
      </w:r>
      <w:r>
        <w:rPr>
          <w:rStyle w:val="None"/>
          <w:color w:val="2B477B"/>
          <w:u w:color="000000"/>
          <w:shd w:val="clear" w:color="auto" w:fill="FFFFFF"/>
          <w:lang w:val="en-US"/>
        </w:rPr>
        <w:t>4063</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Epub</w:t>
      </w:r>
      <w:r>
        <w:rPr>
          <w:rStyle w:val="None"/>
          <w:color w:val="2B477B"/>
          <w:u w:color="000000"/>
          <w:shd w:val="clear" w:color="auto" w:fill="FFFFFF"/>
          <w:lang w:val="en-US"/>
        </w:rPr>
        <w:t xml:space="preserve"> 2013 </w:t>
      </w:r>
      <w:r>
        <w:rPr>
          <w:rStyle w:val="None"/>
          <w:rFonts w:ascii="Arial Unicode MS" w:eastAsia="Arial Unicode MS" w:hAnsi="Arial Unicode MS" w:cs="Arial Unicode MS"/>
          <w:color w:val="2B477B"/>
          <w:u w:color="000000"/>
          <w:shd w:val="clear" w:color="auto" w:fill="FFFFFF"/>
          <w:lang w:val="en-US"/>
        </w:rPr>
        <w:t>Feb</w:t>
      </w:r>
      <w:r>
        <w:rPr>
          <w:rStyle w:val="None"/>
          <w:color w:val="2B477B"/>
          <w:u w:color="000000"/>
          <w:shd w:val="clear" w:color="auto" w:fill="FFFFFF"/>
          <w:lang w:val="en-US"/>
        </w:rPr>
        <w:t xml:space="preserve"> 14</w:t>
      </w:r>
      <w:r>
        <w:rPr>
          <w:rStyle w:val="None"/>
          <w:rFonts w:ascii="Arial Unicode MS" w:eastAsia="Arial Unicode MS" w:hAnsi="Arial Unicode MS" w:cs="Arial Unicode MS"/>
          <w:color w:val="2B477B"/>
          <w:u w:color="000000"/>
          <w:shd w:val="clear" w:color="auto" w:fill="FFFFFF"/>
          <w:lang w:val="en-US"/>
        </w:rPr>
        <w:t>.</w:t>
      </w:r>
      <w:r>
        <w:rPr>
          <w:rStyle w:val="None"/>
          <w:color w:val="2B477B"/>
          <w:u w:color="000000"/>
          <w:shd w:val="clear" w:color="auto" w:fill="FFFFFF"/>
          <w:lang w:val="en-US"/>
        </w:rPr>
        <w:t xml:space="preserve"> </w:t>
      </w:r>
      <w:r>
        <w:rPr>
          <w:rStyle w:val="None"/>
          <w:rFonts w:ascii="Arial Unicode MS" w:eastAsia="Arial Unicode MS" w:hAnsi="Arial Unicode MS" w:cs="Arial Unicode MS"/>
          <w:color w:val="2B477B"/>
          <w:u w:color="000000"/>
          <w:shd w:val="clear" w:color="auto" w:fill="FFFFFF"/>
          <w:lang w:val="en-US"/>
        </w:rPr>
        <w:t>PMID:</w:t>
      </w:r>
      <w:r>
        <w:rPr>
          <w:rStyle w:val="None"/>
          <w:color w:val="2B477B"/>
          <w:u w:color="000000"/>
          <w:shd w:val="clear" w:color="auto" w:fill="FFFFFF"/>
          <w:lang w:val="en-US"/>
        </w:rPr>
        <w:t xml:space="preserve"> 23408587</w:t>
      </w:r>
      <w:r>
        <w:rPr>
          <w:rStyle w:val="None"/>
          <w:rFonts w:ascii="Arial Unicode MS" w:eastAsia="Arial Unicode MS" w:hAnsi="Arial Unicode MS" w:cs="Arial Unicode MS"/>
          <w:color w:val="2B477B"/>
          <w:u w:color="000000"/>
          <w:shd w:val="clear" w:color="auto" w:fill="FFFFFF"/>
          <w:lang w:val="en-US"/>
        </w:rPr>
        <w:t>.</w:t>
      </w:r>
    </w:p>
  </w:footnote>
  <w:footnote w:id="583">
    <w:p w14:paraId="412D1D6B" w14:textId="77777777" w:rsidR="001A105D" w:rsidRDefault="00000000">
      <w:pPr>
        <w:pStyle w:val="Body"/>
        <w:jc w:val="left"/>
      </w:pPr>
      <w:r>
        <w:rPr>
          <w:rStyle w:val="None"/>
          <w:color w:val="2B477B"/>
          <w:u w:color="000000"/>
          <w:vertAlign w:val="superscript"/>
        </w:rPr>
        <w:footnoteRef/>
      </w:r>
      <w:r>
        <w:rPr>
          <w:rStyle w:val="None"/>
          <w:color w:val="2B477B"/>
          <w:u w:color="000000"/>
          <w:lang w:val="en-US"/>
        </w:rPr>
        <w:t xml:space="preserve"> </w:t>
      </w:r>
      <w:r>
        <w:rPr>
          <w:rStyle w:val="None"/>
          <w:rFonts w:ascii="Arial Unicode MS" w:eastAsia="Arial Unicode MS" w:hAnsi="Arial Unicode MS" w:cs="Arial Unicode MS"/>
          <w:color w:val="2B477B"/>
          <w:u w:color="212121"/>
          <w:shd w:val="clear" w:color="auto" w:fill="FFFFFF"/>
          <w:lang w:val="en-US"/>
        </w:rPr>
        <w:t>American</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College</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of</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Obstetricians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and</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Gynecologists.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ACOG</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Practice</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Bulletin</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No.</w:t>
      </w:r>
      <w:r>
        <w:rPr>
          <w:rStyle w:val="None"/>
          <w:color w:val="2B477B"/>
          <w:u w:color="212121"/>
          <w:shd w:val="clear" w:color="auto" w:fill="FFFFFF"/>
          <w:lang w:val="en-US"/>
        </w:rPr>
        <w:t xml:space="preserve"> 27</w:t>
      </w:r>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Clinical</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Management</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Guidelines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for</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Obstetrician-Gynecologists.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Prenatal</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diagnosis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of</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fetal</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chromosomal</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abnormalities.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Obstet</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Gynecol.</w:t>
      </w:r>
      <w:r>
        <w:rPr>
          <w:rStyle w:val="None"/>
          <w:color w:val="2B477B"/>
          <w:u w:color="212121"/>
          <w:shd w:val="clear" w:color="auto" w:fill="FFFFFF"/>
          <w:lang w:val="en-US"/>
        </w:rPr>
        <w:t xml:space="preserve"> 2001 </w:t>
      </w:r>
      <w:r>
        <w:rPr>
          <w:rStyle w:val="None"/>
          <w:rFonts w:ascii="Arial Unicode MS" w:eastAsia="Arial Unicode MS" w:hAnsi="Arial Unicode MS" w:cs="Arial Unicode MS"/>
          <w:color w:val="2B477B"/>
          <w:u w:color="212121"/>
          <w:shd w:val="clear" w:color="auto" w:fill="FFFFFF"/>
          <w:lang w:val="en-US"/>
        </w:rPr>
        <w:t>May;</w:t>
      </w:r>
      <w:r>
        <w:rPr>
          <w:rStyle w:val="None"/>
          <w:color w:val="2B477B"/>
          <w:u w:color="212121"/>
          <w:shd w:val="clear" w:color="auto" w:fill="FFFFFF"/>
          <w:lang w:val="en-US"/>
        </w:rPr>
        <w:t>97</w:t>
      </w:r>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lang w:val="en-US"/>
        </w:rPr>
        <w:t xml:space="preserve">5 </w:t>
      </w:r>
      <w:r>
        <w:rPr>
          <w:rStyle w:val="None"/>
          <w:rFonts w:ascii="Arial Unicode MS" w:eastAsia="Arial Unicode MS" w:hAnsi="Arial Unicode MS" w:cs="Arial Unicode MS"/>
          <w:color w:val="2B477B"/>
          <w:u w:color="212121"/>
          <w:shd w:val="clear" w:color="auto" w:fill="FFFFFF"/>
          <w:lang w:val="en-US"/>
        </w:rPr>
        <w:t>Pt</w:t>
      </w:r>
      <w:r>
        <w:rPr>
          <w:rStyle w:val="None"/>
          <w:color w:val="2B477B"/>
          <w:u w:color="212121"/>
          <w:shd w:val="clear" w:color="auto" w:fill="FFFFFF"/>
          <w:lang w:val="en-US"/>
        </w:rPr>
        <w:t xml:space="preserve"> 1</w:t>
      </w:r>
      <w:proofErr w:type="gramStart"/>
      <w:r>
        <w:rPr>
          <w:rStyle w:val="None"/>
          <w:rFonts w:ascii="Arial Unicode MS" w:eastAsia="Arial Unicode MS" w:hAnsi="Arial Unicode MS" w:cs="Arial Unicode MS"/>
          <w:color w:val="2B477B"/>
          <w:u w:color="212121"/>
          <w:shd w:val="clear" w:color="auto" w:fill="FFFFFF"/>
          <w:lang w:val="en-US"/>
        </w:rPr>
        <w:t>):suppl</w:t>
      </w:r>
      <w:proofErr w:type="gramEnd"/>
      <w:r>
        <w:rPr>
          <w:rStyle w:val="None"/>
          <w:color w:val="2B477B"/>
          <w:u w:color="212121"/>
          <w:shd w:val="clear" w:color="auto" w:fill="FFFFFF"/>
          <w:lang w:val="en-US"/>
        </w:rPr>
        <w:t xml:space="preserve"> 1</w:t>
      </w:r>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lang w:val="en-US"/>
        </w:rPr>
        <w:t>12</w:t>
      </w:r>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PMID:</w:t>
      </w:r>
      <w:r>
        <w:rPr>
          <w:rStyle w:val="None"/>
          <w:color w:val="2B477B"/>
          <w:u w:color="212121"/>
          <w:shd w:val="clear" w:color="auto" w:fill="FFFFFF"/>
          <w:lang w:val="en-US"/>
        </w:rPr>
        <w:t xml:space="preserve"> 11501567</w:t>
      </w:r>
      <w:r>
        <w:rPr>
          <w:rStyle w:val="None"/>
          <w:rFonts w:ascii="Arial Unicode MS" w:eastAsia="Arial Unicode MS" w:hAnsi="Arial Unicode MS" w:cs="Arial Unicode MS"/>
          <w:color w:val="2B477B"/>
          <w:u w:color="212121"/>
          <w:shd w:val="clear" w:color="auto" w:fill="FFFFFF"/>
          <w:lang w:val="en-US"/>
        </w:rPr>
        <w:t>.</w:t>
      </w:r>
    </w:p>
  </w:footnote>
  <w:footnote w:id="584">
    <w:p w14:paraId="7ACE6A49" w14:textId="77777777" w:rsidR="001A105D" w:rsidRDefault="00000000">
      <w:pPr>
        <w:pStyle w:val="Body"/>
        <w:jc w:val="left"/>
      </w:pPr>
      <w:r>
        <w:rPr>
          <w:rStyle w:val="None"/>
          <w:color w:val="2B477B"/>
          <w:u w:color="000000"/>
          <w:vertAlign w:val="superscript"/>
        </w:rPr>
        <w:footnoteRef/>
      </w:r>
      <w:r>
        <w:rPr>
          <w:rStyle w:val="None"/>
          <w:color w:val="2B477B"/>
          <w:u w:color="000000"/>
          <w:lang w:val="en-US"/>
        </w:rPr>
        <w:t xml:space="preserve"> </w:t>
      </w:r>
      <w:r>
        <w:rPr>
          <w:rStyle w:val="None"/>
          <w:rFonts w:ascii="Arial Unicode MS" w:eastAsia="Arial Unicode MS" w:hAnsi="Arial Unicode MS" w:cs="Arial Unicode MS"/>
          <w:color w:val="2B477B"/>
          <w:u w:color="212121"/>
          <w:shd w:val="clear" w:color="auto" w:fill="FFFFFF"/>
          <w:lang w:val="en-US"/>
        </w:rPr>
        <w:t>Natoli</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JL,</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Ackerman</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DL,</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McDermott</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Edwards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JG.</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Prenatal</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diagnosis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of</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Down</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syndrome:</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a</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systematic</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review</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of</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termination</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rates</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lang w:val="en-US"/>
        </w:rPr>
        <w:t>1995</w:t>
      </w:r>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lang w:val="en-US"/>
        </w:rPr>
        <w:t>2011</w:t>
      </w:r>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lang w:val="en-US"/>
        </w:rPr>
        <w:t xml:space="preserve"> </w:t>
      </w:r>
      <w:r>
        <w:rPr>
          <w:rStyle w:val="None"/>
          <w:rFonts w:ascii="Arial Unicode MS" w:eastAsia="Arial Unicode MS" w:hAnsi="Arial Unicode MS" w:cs="Arial Unicode MS"/>
          <w:color w:val="2B477B"/>
          <w:u w:color="212121"/>
          <w:shd w:val="clear" w:color="auto" w:fill="FFFFFF"/>
          <w:lang w:val="it-IT"/>
        </w:rPr>
        <w:t>Prenat</w:t>
      </w:r>
      <w:r>
        <w:rPr>
          <w:rStyle w:val="None"/>
          <w:color w:val="2B477B"/>
          <w:u w:color="212121"/>
          <w:shd w:val="clear" w:color="auto" w:fill="FFFFFF"/>
        </w:rPr>
        <w:t xml:space="preserve"> </w:t>
      </w:r>
      <w:r>
        <w:rPr>
          <w:rStyle w:val="None"/>
          <w:rFonts w:ascii="Arial Unicode MS" w:eastAsia="Arial Unicode MS" w:hAnsi="Arial Unicode MS" w:cs="Arial Unicode MS"/>
          <w:color w:val="2B477B"/>
          <w:u w:color="212121"/>
          <w:shd w:val="clear" w:color="auto" w:fill="FFFFFF"/>
          <w:lang w:val="it-IT"/>
        </w:rPr>
        <w:t>Diagn.</w:t>
      </w:r>
      <w:r>
        <w:rPr>
          <w:rStyle w:val="None"/>
          <w:color w:val="2B477B"/>
          <w:u w:color="212121"/>
          <w:shd w:val="clear" w:color="auto" w:fill="FFFFFF"/>
        </w:rPr>
        <w:t xml:space="preserve"> 2012 </w:t>
      </w:r>
      <w:proofErr w:type="gramStart"/>
      <w:r>
        <w:rPr>
          <w:rStyle w:val="None"/>
          <w:rFonts w:ascii="Arial Unicode MS" w:eastAsia="Arial Unicode MS" w:hAnsi="Arial Unicode MS" w:cs="Arial Unicode MS"/>
          <w:color w:val="2B477B"/>
          <w:u w:color="212121"/>
          <w:shd w:val="clear" w:color="auto" w:fill="FFFFFF"/>
          <w:lang w:val="en-US"/>
        </w:rPr>
        <w:t>Feb</w:t>
      </w:r>
      <w:proofErr w:type="gramEnd"/>
      <w:r>
        <w:rPr>
          <w:rStyle w:val="None"/>
          <w:rFonts w:ascii="Arial Unicode MS" w:eastAsia="Arial Unicode MS" w:hAnsi="Arial Unicode MS" w:cs="Arial Unicode MS"/>
          <w:color w:val="2B477B"/>
          <w:u w:color="212121"/>
          <w:shd w:val="clear" w:color="auto" w:fill="FFFFFF"/>
          <w:lang w:val="en-US"/>
        </w:rPr>
        <w:t>;</w:t>
      </w:r>
      <w:r>
        <w:rPr>
          <w:rStyle w:val="None"/>
          <w:color w:val="2B477B"/>
          <w:u w:color="212121"/>
          <w:shd w:val="clear" w:color="auto" w:fill="FFFFFF"/>
        </w:rPr>
        <w:t>32</w:t>
      </w:r>
      <w:r>
        <w:rPr>
          <w:rStyle w:val="None"/>
          <w:rFonts w:ascii="Arial Unicode MS" w:eastAsia="Arial Unicode MS" w:hAnsi="Arial Unicode MS" w:cs="Arial Unicode MS"/>
          <w:color w:val="2B477B"/>
          <w:u w:color="212121"/>
          <w:shd w:val="clear" w:color="auto" w:fill="FFFFFF"/>
        </w:rPr>
        <w:t>(</w:t>
      </w:r>
      <w:r>
        <w:rPr>
          <w:rStyle w:val="None"/>
          <w:color w:val="2B477B"/>
          <w:u w:color="212121"/>
          <w:shd w:val="clear" w:color="auto" w:fill="FFFFFF"/>
        </w:rPr>
        <w:t>2</w:t>
      </w:r>
      <w:r>
        <w:rPr>
          <w:rStyle w:val="None"/>
          <w:rFonts w:ascii="Arial Unicode MS" w:eastAsia="Arial Unicode MS" w:hAnsi="Arial Unicode MS" w:cs="Arial Unicode MS"/>
          <w:color w:val="2B477B"/>
          <w:u w:color="212121"/>
          <w:shd w:val="clear" w:color="auto" w:fill="FFFFFF"/>
        </w:rPr>
        <w:t>):</w:t>
      </w:r>
      <w:r>
        <w:rPr>
          <w:rStyle w:val="None"/>
          <w:color w:val="2B477B"/>
          <w:u w:color="212121"/>
          <w:shd w:val="clear" w:color="auto" w:fill="FFFFFF"/>
        </w:rPr>
        <w:t>142</w:t>
      </w:r>
      <w:r>
        <w:rPr>
          <w:rStyle w:val="None"/>
          <w:rFonts w:ascii="Arial Unicode MS" w:eastAsia="Arial Unicode MS" w:hAnsi="Arial Unicode MS" w:cs="Arial Unicode MS"/>
          <w:color w:val="2B477B"/>
          <w:u w:color="212121"/>
          <w:shd w:val="clear" w:color="auto" w:fill="FFFFFF"/>
        </w:rPr>
        <w:t>-</w:t>
      </w:r>
      <w:r>
        <w:rPr>
          <w:rStyle w:val="None"/>
          <w:color w:val="2B477B"/>
          <w:u w:color="212121"/>
          <w:shd w:val="clear" w:color="auto" w:fill="FFFFFF"/>
        </w:rPr>
        <w:t>53</w:t>
      </w:r>
      <w:r>
        <w:rPr>
          <w:rStyle w:val="None"/>
          <w:rFonts w:ascii="Arial Unicode MS" w:eastAsia="Arial Unicode MS" w:hAnsi="Arial Unicode MS" w:cs="Arial Unicode MS"/>
          <w:color w:val="2B477B"/>
          <w:u w:color="212121"/>
          <w:shd w:val="clear" w:color="auto" w:fill="FFFFFF"/>
        </w:rPr>
        <w:t>.</w:t>
      </w:r>
      <w:r>
        <w:rPr>
          <w:rStyle w:val="None"/>
          <w:color w:val="2B477B"/>
          <w:u w:color="212121"/>
          <w:shd w:val="clear" w:color="auto" w:fill="FFFFFF"/>
        </w:rPr>
        <w:t xml:space="preserve"> </w:t>
      </w:r>
      <w:r>
        <w:rPr>
          <w:rStyle w:val="None"/>
          <w:rFonts w:ascii="Arial Unicode MS" w:eastAsia="Arial Unicode MS" w:hAnsi="Arial Unicode MS" w:cs="Arial Unicode MS"/>
          <w:color w:val="2B477B"/>
          <w:u w:color="212121"/>
          <w:shd w:val="clear" w:color="auto" w:fill="FFFFFF"/>
          <w:lang w:val="pt-PT"/>
        </w:rPr>
        <w:t>doi:</w:t>
      </w:r>
      <w:r>
        <w:rPr>
          <w:rStyle w:val="None"/>
          <w:color w:val="2B477B"/>
          <w:u w:color="212121"/>
          <w:shd w:val="clear" w:color="auto" w:fill="FFFFFF"/>
        </w:rPr>
        <w:t xml:space="preserve"> 10</w:t>
      </w:r>
      <w:r>
        <w:rPr>
          <w:rStyle w:val="None"/>
          <w:rFonts w:ascii="Arial Unicode MS" w:eastAsia="Arial Unicode MS" w:hAnsi="Arial Unicode MS" w:cs="Arial Unicode MS"/>
          <w:color w:val="2B477B"/>
          <w:u w:color="212121"/>
          <w:shd w:val="clear" w:color="auto" w:fill="FFFFFF"/>
        </w:rPr>
        <w:t>.</w:t>
      </w:r>
      <w:r>
        <w:rPr>
          <w:rStyle w:val="None"/>
          <w:color w:val="2B477B"/>
          <w:u w:color="212121"/>
          <w:shd w:val="clear" w:color="auto" w:fill="FFFFFF"/>
          <w:lang w:val="en-US"/>
        </w:rPr>
        <w:t>1002/</w:t>
      </w:r>
      <w:r>
        <w:rPr>
          <w:rStyle w:val="None"/>
          <w:rFonts w:ascii="Arial Unicode MS" w:eastAsia="Arial Unicode MS" w:hAnsi="Arial Unicode MS" w:cs="Arial Unicode MS"/>
          <w:color w:val="2B477B"/>
          <w:u w:color="212121"/>
          <w:shd w:val="clear" w:color="auto" w:fill="FFFFFF"/>
        </w:rPr>
        <w:t>pd.</w:t>
      </w:r>
      <w:r>
        <w:rPr>
          <w:rStyle w:val="None"/>
          <w:color w:val="2B477B"/>
          <w:u w:color="212121"/>
          <w:shd w:val="clear" w:color="auto" w:fill="FFFFFF"/>
        </w:rPr>
        <w:t>2910</w:t>
      </w:r>
      <w:r>
        <w:rPr>
          <w:rStyle w:val="None"/>
          <w:rFonts w:ascii="Arial Unicode MS" w:eastAsia="Arial Unicode MS" w:hAnsi="Arial Unicode MS" w:cs="Arial Unicode MS"/>
          <w:color w:val="2B477B"/>
          <w:u w:color="212121"/>
          <w:shd w:val="clear" w:color="auto" w:fill="FFFFFF"/>
        </w:rPr>
        <w:t>.</w:t>
      </w:r>
      <w:r>
        <w:rPr>
          <w:rStyle w:val="None"/>
          <w:color w:val="2B477B"/>
          <w:u w:color="212121"/>
          <w:shd w:val="clear" w:color="auto" w:fill="FFFFFF"/>
        </w:rPr>
        <w:t xml:space="preserve"> </w:t>
      </w:r>
      <w:r>
        <w:rPr>
          <w:rStyle w:val="None"/>
          <w:rFonts w:ascii="Arial Unicode MS" w:eastAsia="Arial Unicode MS" w:hAnsi="Arial Unicode MS" w:cs="Arial Unicode MS"/>
          <w:color w:val="2B477B"/>
          <w:u w:color="212121"/>
          <w:shd w:val="clear" w:color="auto" w:fill="FFFFFF"/>
        </w:rPr>
        <w:t>PMID:</w:t>
      </w:r>
      <w:r>
        <w:rPr>
          <w:rStyle w:val="None"/>
          <w:color w:val="2B477B"/>
          <w:u w:color="212121"/>
          <w:shd w:val="clear" w:color="auto" w:fill="FFFFFF"/>
        </w:rPr>
        <w:t xml:space="preserve"> 22418958</w:t>
      </w:r>
      <w:r>
        <w:rPr>
          <w:rStyle w:val="None"/>
          <w:rFonts w:ascii="Arial Unicode MS" w:eastAsia="Arial Unicode MS" w:hAnsi="Arial Unicode MS" w:cs="Arial Unicode MS"/>
          <w:color w:val="2B477B"/>
          <w:u w:color="212121"/>
          <w:shd w:val="clear" w:color="auto" w:fill="FFFFFF"/>
        </w:rPr>
        <w:t>.</w:t>
      </w:r>
    </w:p>
  </w:footnote>
  <w:footnote w:id="585">
    <w:p w14:paraId="5BD0593F" w14:textId="77777777" w:rsidR="001A105D" w:rsidRDefault="00000000">
      <w:pPr>
        <w:pStyle w:val="Body"/>
        <w:jc w:val="left"/>
        <w:rPr>
          <w:rStyle w:val="None"/>
          <w:color w:val="2B477B"/>
          <w:u w:color="000000"/>
        </w:rPr>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en-US"/>
        </w:rPr>
        <w:t>CIDH,</w:t>
      </w:r>
      <w:r>
        <w:rPr>
          <w:rStyle w:val="None"/>
          <w:color w:val="2B477B"/>
          <w:u w:color="000000"/>
        </w:rPr>
        <w:t xml:space="preserve"> </w:t>
      </w:r>
      <w:r>
        <w:rPr>
          <w:rStyle w:val="None"/>
          <w:rFonts w:ascii="Arial Unicode MS" w:eastAsia="Arial Unicode MS" w:hAnsi="Arial Unicode MS" w:cs="Arial Unicode MS"/>
          <w:color w:val="2B477B"/>
          <w:u w:color="000000"/>
          <w:lang w:val="de-DE"/>
        </w:rPr>
        <w:t>Informe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it-IT"/>
        </w:rPr>
        <w:t>Fondo</w:t>
      </w:r>
      <w:r>
        <w:rPr>
          <w:rStyle w:val="None"/>
          <w:color w:val="2B477B"/>
          <w:u w:color="000000"/>
        </w:rPr>
        <w:t xml:space="preserve"> </w:t>
      </w:r>
      <w:r>
        <w:rPr>
          <w:rStyle w:val="None"/>
          <w:rFonts w:ascii="Arial Unicode MS" w:eastAsia="Arial Unicode MS" w:hAnsi="Arial Unicode MS" w:cs="Arial Unicode MS"/>
          <w:color w:val="2B477B"/>
          <w:u w:color="000000"/>
          <w:lang w:val="it-IT"/>
        </w:rPr>
        <w:t>No.</w:t>
      </w:r>
      <w:r>
        <w:rPr>
          <w:rStyle w:val="None"/>
          <w:color w:val="2B477B"/>
          <w:u w:color="000000"/>
        </w:rPr>
        <w:t xml:space="preserve"> 9/20</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13</w:t>
      </w:r>
      <w:r>
        <w:rPr>
          <w:rStyle w:val="None"/>
          <w:rFonts w:ascii="Arial Unicode MS" w:eastAsia="Arial Unicode MS" w:hAnsi="Arial Unicode MS" w:cs="Arial Unicode MS"/>
          <w:color w:val="2B477B"/>
          <w:u w:color="000000"/>
        </w:rPr>
        <w:t>.</w:t>
      </w:r>
      <w:r>
        <w:rPr>
          <w:rStyle w:val="None"/>
          <w:color w:val="2B477B"/>
          <w:u w:color="000000"/>
        </w:rPr>
        <w:t>378</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OEA</w:t>
      </w:r>
      <w:r>
        <w:rPr>
          <w:rStyle w:val="None"/>
          <w:color w:val="2B477B"/>
          <w:u w:color="000000"/>
        </w:rPr>
        <w:t>/</w:t>
      </w:r>
      <w:r>
        <w:rPr>
          <w:rStyle w:val="None"/>
          <w:rFonts w:ascii="Arial Unicode MS" w:eastAsia="Arial Unicode MS" w:hAnsi="Arial Unicode MS" w:cs="Arial Unicode MS"/>
          <w:color w:val="2B477B"/>
          <w:u w:color="000000"/>
        </w:rPr>
        <w:t>Ser.L</w:t>
      </w:r>
      <w:r>
        <w:rPr>
          <w:rStyle w:val="None"/>
          <w:color w:val="2B477B"/>
          <w:u w:color="000000"/>
        </w:rPr>
        <w:t>/</w:t>
      </w:r>
      <w:r>
        <w:rPr>
          <w:rStyle w:val="None"/>
          <w:rFonts w:ascii="Arial Unicode MS" w:eastAsia="Arial Unicode MS" w:hAnsi="Arial Unicode MS" w:cs="Arial Unicode MS"/>
          <w:color w:val="2B477B"/>
          <w:u w:color="000000"/>
        </w:rPr>
        <w:t>V</w:t>
      </w:r>
      <w:r>
        <w:rPr>
          <w:rStyle w:val="None"/>
          <w:color w:val="2B477B"/>
          <w:u w:color="000000"/>
        </w:rPr>
        <w:t>/</w:t>
      </w:r>
      <w:r>
        <w:rPr>
          <w:rStyle w:val="None"/>
          <w:rFonts w:ascii="Arial Unicode MS" w:eastAsia="Arial Unicode MS" w:hAnsi="Arial Unicode MS" w:cs="Arial Unicode MS"/>
          <w:color w:val="2B477B"/>
          <w:u w:color="000000"/>
        </w:rPr>
        <w:t>II.</w:t>
      </w:r>
      <w:r>
        <w:rPr>
          <w:rStyle w:val="None"/>
          <w:color w:val="2B477B"/>
          <w:u w:color="000000"/>
        </w:rPr>
        <w:t>175</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Doc.</w:t>
      </w:r>
      <w:r>
        <w:rPr>
          <w:rStyle w:val="None"/>
          <w:color w:val="2B477B"/>
          <w:u w:color="000000"/>
        </w:rPr>
        <w:t xml:space="preserve"> 15</w:t>
      </w:r>
      <w:r>
        <w:rPr>
          <w:rStyle w:val="None"/>
          <w:rFonts w:ascii="Arial Unicode MS" w:eastAsia="Arial Unicode MS" w:hAnsi="Arial Unicode MS" w:cs="Arial Unicode MS"/>
          <w:color w:val="2B477B"/>
          <w:u w:color="000000"/>
        </w:rPr>
        <w:t>,</w:t>
      </w:r>
      <w:r>
        <w:rPr>
          <w:rStyle w:val="None"/>
          <w:color w:val="2B477B"/>
          <w:u w:color="000000"/>
        </w:rPr>
        <w:t xml:space="preserve">3 </w:t>
      </w:r>
      <w:r>
        <w:rPr>
          <w:rStyle w:val="None"/>
          <w:rFonts w:ascii="Arial Unicode MS" w:eastAsia="Arial Unicode MS" w:hAnsi="Arial Unicode MS" w:cs="Arial Unicode MS"/>
          <w:color w:val="2B477B"/>
          <w:u w:color="000000"/>
        </w:rPr>
        <w:t>de</w:t>
      </w:r>
    </w:p>
    <w:p w14:paraId="62FCA0EC" w14:textId="77777777" w:rsidR="001A105D" w:rsidRDefault="00000000">
      <w:pPr>
        <w:pStyle w:val="Body"/>
        <w:jc w:val="left"/>
      </w:pPr>
      <w:r>
        <w:rPr>
          <w:rStyle w:val="None"/>
          <w:rFonts w:ascii="Arial Unicode MS" w:eastAsia="Arial Unicode MS" w:hAnsi="Arial Unicode MS" w:cs="Arial Unicode MS"/>
          <w:color w:val="2B477B"/>
          <w:u w:color="000000"/>
          <w:lang w:val="it-IT"/>
        </w:rPr>
        <w:t>marzo,</w:t>
      </w:r>
      <w:r>
        <w:rPr>
          <w:rStyle w:val="None"/>
          <w:color w:val="2B477B"/>
          <w:u w:color="000000"/>
        </w:rPr>
        <w:t xml:space="preserve"> 2020</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rrs.</w:t>
      </w:r>
      <w:r>
        <w:rPr>
          <w:rStyle w:val="None"/>
          <w:color w:val="2B477B"/>
          <w:u w:color="000000"/>
        </w:rPr>
        <w:t xml:space="preserve"> 125</w:t>
      </w:r>
      <w:r>
        <w:rPr>
          <w:rStyle w:val="None"/>
          <w:rFonts w:ascii="Arial Unicode MS" w:eastAsia="Arial Unicode MS" w:hAnsi="Arial Unicode MS" w:cs="Arial Unicode MS"/>
          <w:color w:val="2B477B"/>
          <w:u w:color="000000"/>
        </w:rPr>
        <w:t>-</w:t>
      </w:r>
      <w:r>
        <w:rPr>
          <w:rStyle w:val="None"/>
          <w:color w:val="2B477B"/>
          <w:u w:color="000000"/>
        </w:rPr>
        <w:t>128</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586">
    <w:p w14:paraId="10B6722D"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Convenci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pt-PT"/>
        </w:rPr>
        <w:t>Americana</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4</w:t>
      </w:r>
      <w:r>
        <w:rPr>
          <w:rStyle w:val="None"/>
          <w:rFonts w:ascii="Arial Unicode MS" w:eastAsia="Arial Unicode MS" w:hAnsi="Arial Unicode MS" w:cs="Arial Unicode MS"/>
          <w:color w:val="2B477B"/>
          <w:u w:color="000000"/>
        </w:rPr>
        <w:t>.</w:t>
      </w:r>
      <w:r>
        <w:rPr>
          <w:rStyle w:val="None"/>
          <w:color w:val="2B477B"/>
          <w:u w:color="000000"/>
        </w:rPr>
        <w:t>1</w:t>
      </w:r>
      <w:r>
        <w:rPr>
          <w:rStyle w:val="None"/>
          <w:rFonts w:ascii="Arial Unicode MS" w:eastAsia="Arial Unicode MS" w:hAnsi="Arial Unicode MS" w:cs="Arial Unicode MS"/>
          <w:color w:val="2B477B"/>
          <w:u w:color="000000"/>
        </w:rPr>
        <w:t>.</w:t>
      </w:r>
    </w:p>
  </w:footnote>
  <w:footnote w:id="587">
    <w:p w14:paraId="4246E62A"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G</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mez</w:t>
      </w:r>
      <w:r>
        <w:rPr>
          <w:rStyle w:val="None"/>
          <w:color w:val="2B477B"/>
          <w:u w:color="000000"/>
        </w:rPr>
        <w:t xml:space="preserve"> </w:t>
      </w:r>
      <w:r>
        <w:rPr>
          <w:rStyle w:val="None"/>
          <w:rFonts w:ascii="Arial Unicode MS" w:eastAsia="Arial Unicode MS" w:hAnsi="Arial Unicode MS" w:cs="Arial Unicode MS"/>
          <w:color w:val="2B477B"/>
          <w:u w:color="000000"/>
        </w:rPr>
        <w:t>Murillo</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otros</w:t>
      </w:r>
      <w:r>
        <w:rPr>
          <w:rStyle w:val="None"/>
          <w:color w:val="2B477B"/>
          <w:u w:color="000000"/>
        </w:rPr>
        <w:t xml:space="preserve"> </w:t>
      </w:r>
      <w:r>
        <w:rPr>
          <w:rStyle w:val="None"/>
          <w:rFonts w:ascii="Arial Unicode MS" w:eastAsia="Arial Unicode MS" w:hAnsi="Arial Unicode MS" w:cs="Arial Unicode MS"/>
          <w:color w:val="2B477B"/>
          <w:u w:color="000000"/>
        </w:rPr>
        <w:t>v.</w:t>
      </w:r>
      <w:r>
        <w:rPr>
          <w:rStyle w:val="None"/>
          <w:color w:val="2B477B"/>
          <w:u w:color="000000"/>
        </w:rPr>
        <w:t xml:space="preserve"> </w:t>
      </w:r>
      <w:r>
        <w:rPr>
          <w:rStyle w:val="None"/>
          <w:rFonts w:ascii="Arial Unicode MS" w:eastAsia="Arial Unicode MS" w:hAnsi="Arial Unicode MS" w:cs="Arial Unicode MS"/>
          <w:color w:val="2B477B"/>
          <w:u w:color="000000"/>
          <w:lang w:val="pt-PT"/>
        </w:rPr>
        <w:t>Costa</w:t>
      </w:r>
      <w:r>
        <w:rPr>
          <w:rStyle w:val="None"/>
          <w:color w:val="2B477B"/>
          <w:u w:color="000000"/>
        </w:rPr>
        <w:t xml:space="preserve"> </w:t>
      </w:r>
      <w:r>
        <w:rPr>
          <w:rStyle w:val="None"/>
          <w:rFonts w:ascii="Arial Unicode MS" w:eastAsia="Arial Unicode MS" w:hAnsi="Arial Unicode MS" w:cs="Arial Unicode MS"/>
          <w:color w:val="2B477B"/>
          <w:u w:color="000000"/>
          <w:lang w:val="pt-PT"/>
        </w:rPr>
        <w:t>Rica</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sentencia</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29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noviembre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2016</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lang w:val="de-DE"/>
        </w:rPr>
        <w:t>Voto</w:t>
      </w:r>
      <w:r>
        <w:rPr>
          <w:rStyle w:val="None"/>
          <w:color w:val="2B477B"/>
          <w:u w:color="000000"/>
        </w:rPr>
        <w:t xml:space="preserve"> </w:t>
      </w:r>
      <w:r>
        <w:rPr>
          <w:rStyle w:val="None"/>
          <w:rFonts w:ascii="Arial Unicode MS" w:eastAsia="Arial Unicode MS" w:hAnsi="Arial Unicode MS" w:cs="Arial Unicode MS"/>
          <w:color w:val="2B477B"/>
          <w:u w:color="000000"/>
          <w:lang w:val="it-IT"/>
        </w:rPr>
        <w:t>individual</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Juez</w:t>
      </w:r>
      <w:r>
        <w:rPr>
          <w:rStyle w:val="None"/>
          <w:color w:val="2B477B"/>
          <w:u w:color="000000"/>
        </w:rPr>
        <w:t xml:space="preserve"> </w:t>
      </w:r>
      <w:r>
        <w:rPr>
          <w:rStyle w:val="None"/>
          <w:rFonts w:ascii="Arial Unicode MS" w:eastAsia="Arial Unicode MS" w:hAnsi="Arial Unicode MS" w:cs="Arial Unicode MS"/>
          <w:color w:val="2B477B"/>
          <w:u w:color="000000"/>
          <w:lang w:val="it-IT"/>
        </w:rPr>
        <w:t>Eduardo</w:t>
      </w:r>
      <w:r>
        <w:rPr>
          <w:rStyle w:val="None"/>
          <w:color w:val="2B477B"/>
          <w:u w:color="000000"/>
        </w:rPr>
        <w:t xml:space="preserve"> </w:t>
      </w:r>
      <w:r>
        <w:rPr>
          <w:rStyle w:val="None"/>
          <w:rFonts w:ascii="Arial Unicode MS" w:eastAsia="Arial Unicode MS" w:hAnsi="Arial Unicode MS" w:cs="Arial Unicode MS"/>
          <w:color w:val="2B477B"/>
          <w:u w:color="000000"/>
        </w:rPr>
        <w:t>Vio</w:t>
      </w:r>
      <w:r>
        <w:rPr>
          <w:rStyle w:val="None"/>
          <w:color w:val="2B477B"/>
          <w:u w:color="000000"/>
        </w:rPr>
        <w:t xml:space="preserve"> </w:t>
      </w:r>
      <w:r>
        <w:rPr>
          <w:rStyle w:val="None"/>
          <w:rFonts w:ascii="Arial Unicode MS" w:eastAsia="Arial Unicode MS" w:hAnsi="Arial Unicode MS" w:cs="Arial Unicode MS"/>
          <w:color w:val="2B477B"/>
          <w:u w:color="000000"/>
          <w:lang w:val="it-IT"/>
        </w:rPr>
        <w:t>Grossi.</w:t>
      </w:r>
      <w:r>
        <w:rPr>
          <w:rStyle w:val="None"/>
          <w:color w:val="2B477B"/>
          <w:u w:color="000000"/>
        </w:rPr>
        <w:t xml:space="preserve"> </w:t>
      </w:r>
    </w:p>
  </w:footnote>
  <w:footnote w:id="588">
    <w:p w14:paraId="34F8AD7A" w14:textId="77777777" w:rsidR="001A105D" w:rsidRDefault="00000000">
      <w:pPr>
        <w:pStyle w:val="Body"/>
        <w:jc w:val="left"/>
      </w:pPr>
      <w:r>
        <w:rPr>
          <w:rStyle w:val="None"/>
          <w:color w:val="2B477B"/>
          <w:u w:color="000000"/>
          <w:shd w:val="clear" w:color="auto" w:fill="FFFFFF"/>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de-DE"/>
        </w:rPr>
        <w:t>ASDRA.</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eliminaci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restricciones</w:t>
      </w:r>
      <w:r>
        <w:rPr>
          <w:rStyle w:val="None"/>
          <w:color w:val="2B477B"/>
          <w:u w:color="000000"/>
        </w:rPr>
        <w:t xml:space="preserve"> </w:t>
      </w:r>
      <w:r>
        <w:rPr>
          <w:rStyle w:val="None"/>
          <w:rFonts w:ascii="Arial Unicode MS" w:eastAsia="Arial Unicode MS" w:hAnsi="Arial Unicode MS" w:cs="Arial Unicode MS"/>
          <w:color w:val="2B477B"/>
          <w:u w:color="000000"/>
        </w:rPr>
        <w:t>al</w:t>
      </w:r>
      <w:r>
        <w:rPr>
          <w:rStyle w:val="None"/>
          <w:color w:val="2B477B"/>
          <w:u w:color="000000"/>
        </w:rPr>
        <w:t xml:space="preserve"> </w:t>
      </w:r>
      <w:r>
        <w:rPr>
          <w:rStyle w:val="None"/>
          <w:rFonts w:ascii="Arial Unicode MS" w:eastAsia="Arial Unicode MS" w:hAnsi="Arial Unicode MS" w:cs="Arial Unicode MS"/>
          <w:color w:val="2B477B"/>
          <w:u w:color="000000"/>
          <w:lang w:val="en-US"/>
        </w:rPr>
        <w:t>aborto</w:t>
      </w:r>
      <w:r>
        <w:rPr>
          <w:rStyle w:val="None"/>
          <w:color w:val="2B477B"/>
          <w:u w:color="000000"/>
        </w:rPr>
        <w:t xml:space="preserve"> </w:t>
      </w:r>
      <w:r>
        <w:rPr>
          <w:rStyle w:val="None"/>
          <w:rFonts w:ascii="Arial Unicode MS" w:eastAsia="Arial Unicode MS" w:hAnsi="Arial Unicode MS" w:cs="Arial Unicode MS"/>
          <w:color w:val="2B477B"/>
          <w:u w:color="000000"/>
          <w:lang w:val="it-IT"/>
        </w:rPr>
        <w:t>deriva</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pr</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cticas</w:t>
      </w:r>
      <w:r>
        <w:rPr>
          <w:rStyle w:val="None"/>
          <w:color w:val="2B477B"/>
          <w:u w:color="000000"/>
        </w:rPr>
        <w:t xml:space="preserve"> </w:t>
      </w:r>
      <w:r>
        <w:rPr>
          <w:rStyle w:val="None"/>
          <w:rFonts w:ascii="Arial Unicode MS" w:eastAsia="Arial Unicode MS" w:hAnsi="Arial Unicode MS" w:cs="Arial Unicode MS"/>
          <w:color w:val="2B477B"/>
          <w:u w:color="000000"/>
          <w:lang w:val="de-DE"/>
        </w:rPr>
        <w:t>eugen</w:t>
      </w:r>
      <w:r>
        <w:rPr>
          <w:rStyle w:val="None"/>
          <w:rFonts w:ascii="Helvetica LT Std Roman" w:hAnsi="Helvetica LT Std Roman"/>
          <w:color w:val="2B477B"/>
          <w:u w:color="000000"/>
        </w:rPr>
        <w:t>é</w:t>
      </w:r>
      <w:r>
        <w:rPr>
          <w:rStyle w:val="None"/>
          <w:rFonts w:ascii="Arial Unicode MS" w:eastAsia="Arial Unicode MS" w:hAnsi="Arial Unicode MS" w:cs="Arial Unicode MS"/>
          <w:color w:val="2B477B"/>
          <w:u w:color="000000"/>
          <w:lang w:val="pt-PT"/>
        </w:rPr>
        <w:t>sicas</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rPr>
        <w:t>s</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lang w:val="it-IT"/>
        </w:rPr>
        <w:t>ndrome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down.</w:t>
      </w:r>
      <w:r>
        <w:rPr>
          <w:rStyle w:val="None"/>
          <w:color w:val="2B477B"/>
          <w:u w:color="000000"/>
        </w:rPr>
        <w:t xml:space="preserve"> 2020</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Disponible</w:t>
      </w:r>
      <w:r>
        <w:rPr>
          <w:rStyle w:val="None"/>
          <w:color w:val="2B477B"/>
          <w:u w:color="000000"/>
        </w:rPr>
        <w:t xml:space="preserve"> </w:t>
      </w:r>
      <w:r>
        <w:rPr>
          <w:rStyle w:val="None"/>
          <w:rFonts w:ascii="Arial Unicode MS" w:eastAsia="Arial Unicode MS" w:hAnsi="Arial Unicode MS" w:cs="Arial Unicode MS"/>
          <w:color w:val="2B477B"/>
          <w:u w:color="000000"/>
          <w:lang w:val="de-DE"/>
        </w:rPr>
        <w:t>en:</w:t>
      </w:r>
      <w:r>
        <w:rPr>
          <w:rStyle w:val="None"/>
          <w:color w:val="2B477B"/>
          <w:u w:color="000000"/>
        </w:rPr>
        <w:t xml:space="preserve"> </w:t>
      </w:r>
      <w:hyperlink r:id="rId952" w:history="1">
        <w:r>
          <w:rPr>
            <w:rStyle w:val="Hyperlink0"/>
            <w:rFonts w:ascii="Arial" w:hAnsi="Arial"/>
          </w:rPr>
          <w:t>https://www.asdra.org.ar/destacados/la-eliminacion-de-restricciones-al-aborto-deriva-en-practicas-eugenesicas-en-personas-con-sindrome-de-down/</w:t>
        </w:r>
      </w:hyperlink>
    </w:p>
  </w:footnote>
  <w:footnote w:id="589">
    <w:p w14:paraId="43240174"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Furlan</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familiares</w:t>
      </w:r>
      <w:r>
        <w:rPr>
          <w:rStyle w:val="None"/>
          <w:color w:val="2B477B"/>
          <w:u w:color="000000"/>
        </w:rPr>
        <w:t xml:space="preserve"> </w:t>
      </w:r>
      <w:r>
        <w:rPr>
          <w:rStyle w:val="None"/>
          <w:rFonts w:ascii="Arial Unicode MS" w:eastAsia="Arial Unicode MS" w:hAnsi="Arial Unicode MS" w:cs="Arial Unicode MS"/>
          <w:color w:val="2B477B"/>
          <w:u w:color="000000"/>
        </w:rPr>
        <w:t>v.</w:t>
      </w:r>
      <w:r>
        <w:rPr>
          <w:rStyle w:val="None"/>
          <w:color w:val="2B477B"/>
          <w:u w:color="000000"/>
        </w:rPr>
        <w:t xml:space="preserve"> </w:t>
      </w:r>
      <w:r>
        <w:rPr>
          <w:rStyle w:val="None"/>
          <w:rFonts w:ascii="Arial Unicode MS" w:eastAsia="Arial Unicode MS" w:hAnsi="Arial Unicode MS" w:cs="Arial Unicode MS"/>
          <w:color w:val="2B477B"/>
          <w:u w:color="000000"/>
          <w:lang w:val="it-IT"/>
        </w:rPr>
        <w:t>Argentina</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Sentencia</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lang w:val="ru-RU"/>
        </w:rPr>
        <w:t xml:space="preserve"> 31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it-IT"/>
        </w:rPr>
        <w:t>agosto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2012</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excepciones</w:t>
      </w:r>
      <w:r>
        <w:rPr>
          <w:rStyle w:val="None"/>
          <w:color w:val="2B477B"/>
          <w:u w:color="000000"/>
        </w:rPr>
        <w:t xml:space="preserve"> </w:t>
      </w:r>
      <w:r>
        <w:rPr>
          <w:rStyle w:val="None"/>
          <w:rFonts w:ascii="Arial Unicode MS" w:eastAsia="Arial Unicode MS" w:hAnsi="Arial Unicode MS" w:cs="Arial Unicode MS"/>
          <w:color w:val="2B477B"/>
          <w:u w:color="000000"/>
          <w:lang w:val="pt-PT"/>
        </w:rPr>
        <w:t>preliminares,</w:t>
      </w:r>
      <w:r>
        <w:rPr>
          <w:rStyle w:val="None"/>
          <w:color w:val="2B477B"/>
          <w:u w:color="000000"/>
        </w:rPr>
        <w:t xml:space="preserve"> </w:t>
      </w:r>
      <w:r>
        <w:rPr>
          <w:rStyle w:val="None"/>
          <w:rFonts w:ascii="Arial Unicode MS" w:eastAsia="Arial Unicode MS" w:hAnsi="Arial Unicode MS" w:cs="Arial Unicode MS"/>
          <w:color w:val="2B477B"/>
          <w:u w:color="000000"/>
          <w:lang w:val="it-IT"/>
        </w:rPr>
        <w:t>fondo,</w:t>
      </w:r>
      <w:r>
        <w:rPr>
          <w:rStyle w:val="None"/>
          <w:color w:val="2B477B"/>
          <w:u w:color="000000"/>
        </w:rPr>
        <w:t xml:space="preserve"> </w:t>
      </w:r>
      <w:r>
        <w:rPr>
          <w:rStyle w:val="None"/>
          <w:rFonts w:ascii="Arial Unicode MS" w:eastAsia="Arial Unicode MS" w:hAnsi="Arial Unicode MS" w:cs="Arial Unicode MS"/>
          <w:color w:val="2B477B"/>
          <w:u w:color="000000"/>
        </w:rPr>
        <w:t>reparaciones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pt-PT"/>
        </w:rPr>
        <w:t>costas.</w:t>
      </w:r>
      <w:r>
        <w:rPr>
          <w:rStyle w:val="None"/>
          <w:color w:val="2B477B"/>
          <w:u w:color="000000"/>
        </w:rPr>
        <w:t xml:space="preserve"> </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w:t>
      </w:r>
      <w:r>
        <w:rPr>
          <w:rStyle w:val="None"/>
          <w:color w:val="2B477B"/>
          <w:u w:color="000000"/>
        </w:rPr>
        <w:t xml:space="preserve"> 134</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590">
    <w:p w14:paraId="57589AB4"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en-US"/>
        </w:rPr>
        <w:t>CIDH.</w:t>
      </w:r>
      <w:r>
        <w:rPr>
          <w:rStyle w:val="None"/>
          <w:color w:val="2B477B"/>
          <w:u w:color="000000"/>
        </w:rPr>
        <w:t xml:space="preserve"> </w:t>
      </w:r>
      <w:r>
        <w:rPr>
          <w:rStyle w:val="None"/>
          <w:rFonts w:ascii="Arial Unicode MS" w:eastAsia="Arial Unicode MS" w:hAnsi="Arial Unicode MS" w:cs="Arial Unicode MS"/>
          <w:color w:val="2B477B"/>
          <w:u w:color="000000"/>
          <w:lang w:val="it-IT"/>
        </w:rPr>
        <w:t>Relator</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rPr>
        <w:t>Con</w:t>
      </w:r>
      <w:r>
        <w:rPr>
          <w:rStyle w:val="None"/>
          <w:color w:val="2B477B"/>
          <w:u w:color="000000"/>
        </w:rPr>
        <w:t xml:space="preserve"> </w:t>
      </w:r>
      <w:r>
        <w:rPr>
          <w:rStyle w:val="None"/>
          <w:rFonts w:ascii="Arial Unicode MS" w:eastAsia="Arial Unicode MS" w:hAnsi="Arial Unicode MS" w:cs="Arial Unicode MS"/>
          <w:color w:val="2B477B"/>
          <w:u w:color="000000"/>
          <w:lang w:val="pt-PT"/>
        </w:rPr>
        <w:t>Discapacidad:</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lang w:val="it-IT"/>
        </w:rPr>
        <w:t>Relator</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lang w:val="it-IT"/>
        </w:rPr>
        <w:t>a.</w:t>
      </w:r>
      <w:r>
        <w:rPr>
          <w:rStyle w:val="None"/>
          <w:color w:val="2B477B"/>
          <w:u w:color="000000"/>
          <w:lang w:val="en-US"/>
        </w:rPr>
        <w:t xml:space="preserve"> 2024</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Disponible</w:t>
      </w:r>
      <w:r>
        <w:rPr>
          <w:rStyle w:val="None"/>
          <w:color w:val="2B477B"/>
          <w:u w:color="000000"/>
        </w:rPr>
        <w:t xml:space="preserve"> </w:t>
      </w:r>
      <w:r>
        <w:rPr>
          <w:rStyle w:val="None"/>
          <w:rFonts w:ascii="Arial Unicode MS" w:eastAsia="Arial Unicode MS" w:hAnsi="Arial Unicode MS" w:cs="Arial Unicode MS"/>
          <w:color w:val="2B477B"/>
          <w:u w:color="000000"/>
          <w:lang w:val="de-DE"/>
        </w:rPr>
        <w:t>en:</w:t>
      </w:r>
      <w:r>
        <w:rPr>
          <w:rStyle w:val="None"/>
          <w:color w:val="2B477B"/>
          <w:u w:color="000000"/>
        </w:rPr>
        <w:t xml:space="preserve"> </w:t>
      </w:r>
      <w:hyperlink r:id="rId953" w:history="1">
        <w:r>
          <w:rPr>
            <w:rStyle w:val="Hyperlink0"/>
            <w:rFonts w:ascii="Arial" w:hAnsi="Arial"/>
            <w:lang w:val="pt-PT"/>
          </w:rPr>
          <w:t>https://www.oas.org/es/cidh/jsForm/?File=/es/CIDH/r/DPD/Default.asp</w:t>
        </w:r>
      </w:hyperlink>
    </w:p>
  </w:footnote>
  <w:footnote w:id="591">
    <w:p w14:paraId="7D33C3E1"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pt-PT"/>
        </w:rPr>
        <w:t>Comit</w:t>
      </w:r>
      <w:r>
        <w:rPr>
          <w:rStyle w:val="None"/>
          <w:rFonts w:ascii="Helvetica LT Std Roman" w:hAnsi="Helvetica LT Std Roman"/>
          <w:color w:val="2B477B"/>
          <w:u w:color="000000"/>
        </w:rPr>
        <w:t>é</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lang w:val="pt-PT"/>
        </w:rPr>
        <w:t>Discapacidad.</w:t>
      </w:r>
      <w:r>
        <w:rPr>
          <w:rStyle w:val="None"/>
          <w:color w:val="2B477B"/>
          <w:u w:color="000000"/>
        </w:rPr>
        <w:t xml:space="preserve"> </w:t>
      </w:r>
      <w:r>
        <w:rPr>
          <w:rStyle w:val="None"/>
          <w:rFonts w:ascii="Arial Unicode MS" w:eastAsia="Arial Unicode MS" w:hAnsi="Arial Unicode MS" w:cs="Arial Unicode MS"/>
          <w:color w:val="2B477B"/>
          <w:u w:color="000000"/>
          <w:lang w:val="en-US"/>
        </w:rPr>
        <w:t>Comments</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on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the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draft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General</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Comment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No.</w:t>
      </w:r>
      <w:r>
        <w:rPr>
          <w:rStyle w:val="None"/>
          <w:color w:val="2B477B"/>
          <w:u w:color="000000"/>
          <w:lang w:val="en-US"/>
        </w:rPr>
        <w:t xml:space="preserve"> 36 </w:t>
      </w:r>
      <w:r>
        <w:rPr>
          <w:rStyle w:val="None"/>
          <w:rFonts w:ascii="Arial Unicode MS" w:eastAsia="Arial Unicode MS" w:hAnsi="Arial Unicode MS" w:cs="Arial Unicode MS"/>
          <w:color w:val="2B477B"/>
          <w:u w:color="000000"/>
          <w:lang w:val="en-US"/>
        </w:rPr>
        <w:t>of</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the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Human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Rights</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Committee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on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article</w:t>
      </w:r>
      <w:r>
        <w:rPr>
          <w:rStyle w:val="None"/>
          <w:color w:val="2B477B"/>
          <w:u w:color="000000"/>
          <w:lang w:val="en-US"/>
        </w:rPr>
        <w:t xml:space="preserve"> 6 </w:t>
      </w:r>
      <w:r>
        <w:rPr>
          <w:rStyle w:val="None"/>
          <w:rFonts w:ascii="Arial Unicode MS" w:eastAsia="Arial Unicode MS" w:hAnsi="Arial Unicode MS" w:cs="Arial Unicode MS"/>
          <w:color w:val="2B477B"/>
          <w:u w:color="000000"/>
          <w:lang w:val="en-US"/>
        </w:rPr>
        <w:t>of</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the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International</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Covenant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on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Civil</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and</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Political</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Rights</w:t>
      </w:r>
      <w:r>
        <w:rPr>
          <w:rStyle w:val="None"/>
          <w:rFonts w:ascii="Arial Unicode MS" w:eastAsia="Arial Unicode MS" w:hAnsi="Arial Unicode MS" w:cs="Arial Unicode MS"/>
          <w:color w:val="2B477B"/>
          <w:u w:color="0000FF"/>
          <w:lang w:val="en-US"/>
        </w:rPr>
        <w:t>.</w:t>
      </w:r>
      <w:hyperlink r:id="rId954" w:history="1">
        <w:r>
          <w:rPr>
            <w:rStyle w:val="Hyperlink0"/>
            <w:rFonts w:ascii="Arial" w:hAnsi="Arial"/>
            <w:lang w:val="en-US"/>
          </w:rPr>
          <w:t>https://www.google.com/url?sa=t&amp;source=web&amp;rct=j&amp;opi=89978449&amp;url=https://www.ohchr.org/Documents/HRBodies/CCPR/GCArticle6/CRPD.docx&amp;ved=2ahUKEwiY0d2F34CHAxXzm7AFHb1SA4gQFnoECBsQAQ&amp;usg=AOvVaw3qW2p0X84AyzEaLRYgfNgl</w:t>
        </w:r>
      </w:hyperlink>
      <w:r>
        <w:rPr>
          <w:rStyle w:val="None"/>
          <w:color w:val="2B477B"/>
          <w:u w:color="0000FF"/>
        </w:rPr>
        <w:t xml:space="preserve"> </w:t>
      </w:r>
    </w:p>
  </w:footnote>
  <w:footnote w:id="592">
    <w:p w14:paraId="45EE7C6F"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pt-PT"/>
        </w:rPr>
        <w:t>Comit</w:t>
      </w:r>
      <w:r>
        <w:rPr>
          <w:rStyle w:val="None"/>
          <w:rFonts w:ascii="Helvetica LT Std Roman" w:hAnsi="Helvetica LT Std Roman"/>
          <w:color w:val="2B477B"/>
          <w:u w:color="000000"/>
        </w:rPr>
        <w:t>é</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lang w:val="pt-PT"/>
        </w:rPr>
        <w:t>Discapacidad.</w:t>
      </w:r>
      <w:r>
        <w:rPr>
          <w:rStyle w:val="None"/>
          <w:color w:val="2B477B"/>
          <w:u w:color="000000"/>
        </w:rPr>
        <w:t xml:space="preserve"> </w:t>
      </w:r>
      <w:r>
        <w:rPr>
          <w:rStyle w:val="None"/>
          <w:rFonts w:ascii="Arial Unicode MS" w:eastAsia="Arial Unicode MS" w:hAnsi="Arial Unicode MS" w:cs="Arial Unicode MS"/>
          <w:color w:val="2B477B"/>
          <w:u w:color="000000"/>
          <w:lang w:val="pt-PT"/>
        </w:rPr>
        <w:t>Examen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lang w:val="fr-FR"/>
        </w:rPr>
        <w:t>informes</w:t>
      </w:r>
      <w:r>
        <w:rPr>
          <w:rStyle w:val="None"/>
          <w:color w:val="2B477B"/>
          <w:u w:color="000000"/>
        </w:rPr>
        <w:t xml:space="preserve"> </w:t>
      </w:r>
      <w:r>
        <w:rPr>
          <w:rStyle w:val="None"/>
          <w:rFonts w:ascii="Arial Unicode MS" w:eastAsia="Arial Unicode MS" w:hAnsi="Arial Unicode MS" w:cs="Arial Unicode MS"/>
          <w:color w:val="2B477B"/>
          <w:u w:color="000000"/>
          <w:lang w:val="pt-PT"/>
        </w:rPr>
        <w:t>presentados</w:t>
      </w:r>
      <w:r>
        <w:rPr>
          <w:rStyle w:val="None"/>
          <w:color w:val="2B477B"/>
          <w:u w:color="000000"/>
        </w:rPr>
        <w:t xml:space="preserve"> </w:t>
      </w:r>
      <w:r>
        <w:rPr>
          <w:rStyle w:val="None"/>
          <w:rFonts w:ascii="Arial Unicode MS" w:eastAsia="Arial Unicode MS" w:hAnsi="Arial Unicode MS" w:cs="Arial Unicode MS"/>
          <w:color w:val="2B477B"/>
          <w:u w:color="000000"/>
        </w:rPr>
        <w:t>por</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lang w:val="pt-PT"/>
        </w:rPr>
        <w:t>Estados</w:t>
      </w:r>
      <w:r>
        <w:rPr>
          <w:rStyle w:val="None"/>
          <w:color w:val="2B477B"/>
          <w:u w:color="000000"/>
        </w:rPr>
        <w:t xml:space="preserve"> </w:t>
      </w:r>
      <w:r>
        <w:rPr>
          <w:rStyle w:val="None"/>
          <w:rFonts w:ascii="Arial Unicode MS" w:eastAsia="Arial Unicode MS" w:hAnsi="Arial Unicode MS" w:cs="Arial Unicode MS"/>
          <w:color w:val="2B477B"/>
          <w:u w:color="000000"/>
        </w:rPr>
        <w:t>partes</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lang w:val="it-IT"/>
        </w:rPr>
        <w:t>virtud</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35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Convenci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lang w:val="de-DE"/>
        </w:rPr>
        <w:t>n:</w:t>
      </w:r>
      <w:r>
        <w:rPr>
          <w:rStyle w:val="None"/>
          <w:color w:val="2B477B"/>
          <w:u w:color="000000"/>
        </w:rPr>
        <w:t xml:space="preserve"> </w:t>
      </w:r>
      <w:r>
        <w:rPr>
          <w:rStyle w:val="None"/>
          <w:rFonts w:ascii="Arial Unicode MS" w:eastAsia="Arial Unicode MS" w:hAnsi="Arial Unicode MS" w:cs="Arial Unicode MS"/>
          <w:color w:val="2B477B"/>
          <w:u w:color="000000"/>
        </w:rPr>
        <w:t>Espa</w:t>
      </w:r>
      <w:r>
        <w:rPr>
          <w:rStyle w:val="None"/>
          <w:rFonts w:ascii="Helvetica LT Std Roman" w:hAnsi="Helvetica LT Std Roman"/>
          <w:color w:val="2B477B"/>
          <w:u w:color="000000"/>
        </w:rPr>
        <w:t>ñ</w:t>
      </w:r>
      <w:r>
        <w:rPr>
          <w:rStyle w:val="None"/>
          <w:rFonts w:ascii="Arial Unicode MS" w:eastAsia="Arial Unicode MS" w:hAnsi="Arial Unicode MS" w:cs="Arial Unicode MS"/>
          <w:color w:val="2B477B"/>
          <w:u w:color="000000"/>
          <w:lang w:val="it-IT"/>
        </w:rPr>
        <w:t>a.</w:t>
      </w:r>
      <w:r>
        <w:rPr>
          <w:rStyle w:val="None"/>
          <w:color w:val="2B477B"/>
          <w:u w:color="000000"/>
        </w:rPr>
        <w:t xml:space="preserve"> </w:t>
      </w:r>
      <w:r>
        <w:rPr>
          <w:rStyle w:val="None"/>
          <w:rFonts w:ascii="Arial Unicode MS" w:eastAsia="Arial Unicode MS" w:hAnsi="Arial Unicode MS" w:cs="Arial Unicode MS"/>
          <w:color w:val="2B477B"/>
          <w:u w:color="000000"/>
        </w:rPr>
        <w:t>Contenido</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proofErr w:type="gramStart"/>
      <w:r>
        <w:rPr>
          <w:rStyle w:val="None"/>
          <w:rFonts w:ascii="Arial Unicode MS" w:eastAsia="Arial Unicode MS" w:hAnsi="Arial Unicode MS" w:cs="Arial Unicode MS"/>
          <w:color w:val="2B477B"/>
          <w:u w:color="000000"/>
          <w:lang w:val="pt-PT"/>
        </w:rPr>
        <w:t>documento</w:t>
      </w:r>
      <w:r>
        <w:rPr>
          <w:rStyle w:val="None"/>
          <w:color w:val="2B477B"/>
          <w:u w:color="000000"/>
        </w:rPr>
        <w:t xml:space="preserve">  </w:t>
      </w:r>
      <w:r>
        <w:rPr>
          <w:rStyle w:val="None"/>
          <w:rFonts w:ascii="Arial Unicode MS" w:eastAsia="Arial Unicode MS" w:hAnsi="Arial Unicode MS" w:cs="Arial Unicode MS"/>
          <w:color w:val="2B477B"/>
          <w:u w:color="000000"/>
          <w:lang w:val="de-DE"/>
        </w:rPr>
        <w:t>CRPD</w:t>
      </w:r>
      <w:proofErr w:type="gramEnd"/>
      <w:r>
        <w:rPr>
          <w:rStyle w:val="None"/>
          <w:color w:val="2B477B"/>
          <w:u w:color="000000"/>
        </w:rPr>
        <w:t>/</w:t>
      </w:r>
      <w:r>
        <w:rPr>
          <w:rStyle w:val="None"/>
          <w:rFonts w:ascii="Arial Unicode MS" w:eastAsia="Arial Unicode MS" w:hAnsi="Arial Unicode MS" w:cs="Arial Unicode MS"/>
          <w:color w:val="2B477B"/>
          <w:u w:color="000000"/>
        </w:rPr>
        <w:t>C</w:t>
      </w:r>
      <w:r>
        <w:rPr>
          <w:rStyle w:val="None"/>
          <w:color w:val="2B477B"/>
          <w:u w:color="000000"/>
        </w:rPr>
        <w:t>/</w:t>
      </w:r>
      <w:r>
        <w:rPr>
          <w:rStyle w:val="None"/>
          <w:rFonts w:ascii="Arial Unicode MS" w:eastAsia="Arial Unicode MS" w:hAnsi="Arial Unicode MS" w:cs="Arial Unicode MS"/>
          <w:color w:val="2B477B"/>
          <w:u w:color="000000"/>
          <w:lang w:val="en-US"/>
        </w:rPr>
        <w:t>ESP</w:t>
      </w:r>
      <w:r>
        <w:rPr>
          <w:rStyle w:val="None"/>
          <w:color w:val="2B477B"/>
          <w:u w:color="000000"/>
        </w:rPr>
        <w:t>/</w:t>
      </w:r>
      <w:r>
        <w:rPr>
          <w:rStyle w:val="None"/>
          <w:rFonts w:ascii="Arial Unicode MS" w:eastAsia="Arial Unicode MS" w:hAnsi="Arial Unicode MS" w:cs="Arial Unicode MS"/>
          <w:color w:val="2B477B"/>
          <w:u w:color="000000"/>
        </w:rPr>
        <w:t>CO</w:t>
      </w:r>
      <w:r>
        <w:rPr>
          <w:rStyle w:val="None"/>
          <w:color w:val="2B477B"/>
          <w:u w:color="000000"/>
        </w:rPr>
        <w:t>/1</w:t>
      </w:r>
      <w:r>
        <w:rPr>
          <w:rStyle w:val="None"/>
          <w:rFonts w:ascii="Arial Unicode MS" w:eastAsia="Arial Unicode MS" w:hAnsi="Arial Unicode MS" w:cs="Arial Unicode MS"/>
          <w:color w:val="2B477B"/>
          <w:u w:color="000000"/>
        </w:rPr>
        <w:t>.</w:t>
      </w:r>
      <w:r>
        <w:rPr>
          <w:rStyle w:val="None"/>
          <w:color w:val="2B477B"/>
          <w:u w:color="000000"/>
        </w:rPr>
        <w:t xml:space="preserve"> 2011</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593">
    <w:p w14:paraId="6928852A"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pt-PT"/>
        </w:rPr>
        <w:t>Comit</w:t>
      </w:r>
      <w:r>
        <w:rPr>
          <w:rStyle w:val="None"/>
          <w:rFonts w:ascii="Helvetica LT Std Roman" w:hAnsi="Helvetica LT Std Roman"/>
          <w:color w:val="2B477B"/>
          <w:u w:color="000000"/>
        </w:rPr>
        <w:t>é</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lang w:val="pt-PT"/>
        </w:rPr>
        <w:t>Discapacidad.</w:t>
      </w:r>
      <w:r>
        <w:rPr>
          <w:rStyle w:val="None"/>
          <w:color w:val="2B477B"/>
          <w:u w:color="000000"/>
        </w:rPr>
        <w:t xml:space="preserve"> </w:t>
      </w:r>
      <w:r>
        <w:rPr>
          <w:rStyle w:val="None"/>
          <w:rFonts w:ascii="Arial Unicode MS" w:eastAsia="Arial Unicode MS" w:hAnsi="Arial Unicode MS" w:cs="Arial Unicode MS"/>
          <w:color w:val="2B477B"/>
          <w:u w:color="000000"/>
        </w:rPr>
        <w:t>Observaciones</w:t>
      </w:r>
      <w:r>
        <w:rPr>
          <w:rStyle w:val="None"/>
          <w:color w:val="2B477B"/>
          <w:u w:color="000000"/>
        </w:rPr>
        <w:t xml:space="preserve"> </w:t>
      </w:r>
      <w:r>
        <w:rPr>
          <w:rStyle w:val="None"/>
          <w:rFonts w:ascii="Arial Unicode MS" w:eastAsia="Arial Unicode MS" w:hAnsi="Arial Unicode MS" w:cs="Arial Unicode MS"/>
          <w:color w:val="2B477B"/>
          <w:u w:color="000000"/>
        </w:rPr>
        <w:t>finales</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fr-FR"/>
        </w:rPr>
        <w:t>informe</w:t>
      </w:r>
      <w:r>
        <w:rPr>
          <w:rStyle w:val="None"/>
          <w:color w:val="2B477B"/>
          <w:u w:color="000000"/>
        </w:rPr>
        <w:t xml:space="preserve"> </w:t>
      </w:r>
      <w:r>
        <w:rPr>
          <w:rStyle w:val="None"/>
          <w:rFonts w:ascii="Arial Unicode MS" w:eastAsia="Arial Unicode MS" w:hAnsi="Arial Unicode MS" w:cs="Arial Unicode MS"/>
          <w:color w:val="2B477B"/>
          <w:u w:color="000000"/>
          <w:lang w:val="pt-PT"/>
        </w:rPr>
        <w:t>inicial</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de-DE"/>
        </w:rPr>
        <w:t>Hungr</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rPr>
        <w:t>aprobadas</w:t>
      </w:r>
      <w:r>
        <w:rPr>
          <w:rStyle w:val="None"/>
          <w:color w:val="2B477B"/>
          <w:u w:color="000000"/>
        </w:rPr>
        <w:t xml:space="preserve"> </w:t>
      </w:r>
      <w:r>
        <w:rPr>
          <w:rStyle w:val="None"/>
          <w:rFonts w:ascii="Arial Unicode MS" w:eastAsia="Arial Unicode MS" w:hAnsi="Arial Unicode MS" w:cs="Arial Unicode MS"/>
          <w:color w:val="2B477B"/>
          <w:u w:color="000000"/>
        </w:rPr>
        <w:t>por</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Comit</w:t>
      </w:r>
      <w:r>
        <w:rPr>
          <w:rStyle w:val="None"/>
          <w:rFonts w:ascii="Helvetica LT Std Roman" w:hAnsi="Helvetica LT Std Roman"/>
          <w:color w:val="2B477B"/>
          <w:u w:color="000000"/>
        </w:rPr>
        <w:t>é</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su</w:t>
      </w:r>
      <w:r>
        <w:rPr>
          <w:rStyle w:val="None"/>
          <w:color w:val="2B477B"/>
          <w:u w:color="000000"/>
        </w:rPr>
        <w:t xml:space="preserve"> </w:t>
      </w:r>
      <w:r>
        <w:rPr>
          <w:rStyle w:val="None"/>
          <w:rFonts w:ascii="Arial Unicode MS" w:eastAsia="Arial Unicode MS" w:hAnsi="Arial Unicode MS" w:cs="Arial Unicode MS"/>
          <w:color w:val="2B477B"/>
          <w:u w:color="000000"/>
        </w:rPr>
        <w:t>octavo</w:t>
      </w:r>
      <w:r>
        <w:rPr>
          <w:rStyle w:val="None"/>
          <w:color w:val="2B477B"/>
          <w:u w:color="000000"/>
        </w:rPr>
        <w:t xml:space="preserve"> </w:t>
      </w:r>
      <w:r>
        <w:rPr>
          <w:rStyle w:val="None"/>
          <w:rFonts w:ascii="Arial Unicode MS" w:eastAsia="Arial Unicode MS" w:hAnsi="Arial Unicode MS" w:cs="Arial Unicode MS"/>
          <w:color w:val="2B477B"/>
          <w:u w:color="000000"/>
          <w:lang w:val="it-IT"/>
        </w:rPr>
        <w:t>per</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odo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proofErr w:type="gramStart"/>
      <w:r>
        <w:rPr>
          <w:rStyle w:val="None"/>
          <w:rFonts w:ascii="Arial Unicode MS" w:eastAsia="Arial Unicode MS" w:hAnsi="Arial Unicode MS" w:cs="Arial Unicode MS"/>
          <w:color w:val="2B477B"/>
          <w:u w:color="000000"/>
        </w:rPr>
        <w:t>sesiones(</w:t>
      </w:r>
      <w:proofErr w:type="gramEnd"/>
      <w:r>
        <w:rPr>
          <w:rStyle w:val="None"/>
          <w:color w:val="2B477B"/>
          <w:u w:color="000000"/>
          <w:lang w:val="ru-RU"/>
        </w:rPr>
        <w:t xml:space="preserve">17 </w:t>
      </w:r>
      <w:r>
        <w:rPr>
          <w:rStyle w:val="None"/>
          <w:rFonts w:ascii="Arial Unicode MS" w:eastAsia="Arial Unicode MS" w:hAnsi="Arial Unicode MS" w:cs="Arial Unicode MS"/>
          <w:color w:val="2B477B"/>
          <w:u w:color="000000"/>
        </w:rPr>
        <w:t>a</w:t>
      </w:r>
      <w:r>
        <w:rPr>
          <w:rStyle w:val="None"/>
          <w:color w:val="2B477B"/>
          <w:u w:color="000000"/>
        </w:rPr>
        <w:t xml:space="preserve"> 28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septiembre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2012</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contenido</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documento</w:t>
      </w:r>
      <w:r>
        <w:rPr>
          <w:rStyle w:val="None"/>
          <w:color w:val="2B477B"/>
          <w:u w:color="000000"/>
        </w:rPr>
        <w:t xml:space="preserve"> </w:t>
      </w:r>
      <w:r>
        <w:rPr>
          <w:rStyle w:val="None"/>
          <w:rFonts w:ascii="Arial Unicode MS" w:eastAsia="Arial Unicode MS" w:hAnsi="Arial Unicode MS" w:cs="Arial Unicode MS"/>
          <w:color w:val="2B477B"/>
          <w:u w:color="000000"/>
          <w:lang w:val="de-DE"/>
        </w:rPr>
        <w:t>CRPD</w:t>
      </w:r>
      <w:r>
        <w:rPr>
          <w:rStyle w:val="None"/>
          <w:color w:val="2B477B"/>
          <w:u w:color="000000"/>
        </w:rPr>
        <w:t>/</w:t>
      </w:r>
      <w:r>
        <w:rPr>
          <w:rStyle w:val="None"/>
          <w:rFonts w:ascii="Arial Unicode MS" w:eastAsia="Arial Unicode MS" w:hAnsi="Arial Unicode MS" w:cs="Arial Unicode MS"/>
          <w:color w:val="2B477B"/>
          <w:u w:color="000000"/>
        </w:rPr>
        <w:t>C</w:t>
      </w:r>
      <w:r>
        <w:rPr>
          <w:rStyle w:val="None"/>
          <w:color w:val="2B477B"/>
          <w:u w:color="000000"/>
        </w:rPr>
        <w:t>/</w:t>
      </w:r>
      <w:r>
        <w:rPr>
          <w:rStyle w:val="None"/>
          <w:rFonts w:ascii="Arial Unicode MS" w:eastAsia="Arial Unicode MS" w:hAnsi="Arial Unicode MS" w:cs="Arial Unicode MS"/>
          <w:color w:val="2B477B"/>
          <w:u w:color="000000"/>
        </w:rPr>
        <w:t>HUN</w:t>
      </w:r>
      <w:r>
        <w:rPr>
          <w:rStyle w:val="None"/>
          <w:color w:val="2B477B"/>
          <w:u w:color="000000"/>
        </w:rPr>
        <w:t>/</w:t>
      </w:r>
      <w:r>
        <w:rPr>
          <w:rStyle w:val="None"/>
          <w:rFonts w:ascii="Arial Unicode MS" w:eastAsia="Arial Unicode MS" w:hAnsi="Arial Unicode MS" w:cs="Arial Unicode MS"/>
          <w:color w:val="2B477B"/>
          <w:u w:color="000000"/>
        </w:rPr>
        <w:t>CO</w:t>
      </w:r>
      <w:r>
        <w:rPr>
          <w:rStyle w:val="None"/>
          <w:color w:val="2B477B"/>
          <w:u w:color="000000"/>
        </w:rPr>
        <w:t>/1</w:t>
      </w:r>
      <w:r>
        <w:rPr>
          <w:rStyle w:val="None"/>
          <w:rFonts w:ascii="Arial Unicode MS" w:eastAsia="Arial Unicode MS" w:hAnsi="Arial Unicode MS" w:cs="Arial Unicode MS"/>
          <w:color w:val="2B477B"/>
          <w:u w:color="000000"/>
        </w:rPr>
        <w:t>.</w:t>
      </w:r>
      <w:r>
        <w:rPr>
          <w:rStyle w:val="None"/>
          <w:color w:val="2B477B"/>
          <w:u w:color="000000"/>
        </w:rPr>
        <w:t xml:space="preserve"> 2012</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594">
    <w:p w14:paraId="52898A1A" w14:textId="77777777" w:rsidR="001A105D" w:rsidRDefault="00000000">
      <w:pPr>
        <w:pStyle w:val="Body"/>
        <w:jc w:val="left"/>
        <w:rPr>
          <w:rStyle w:val="None"/>
          <w:color w:val="2B477B"/>
          <w:u w:color="000000"/>
        </w:rPr>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pt-PT"/>
        </w:rPr>
        <w:t>Comit</w:t>
      </w:r>
      <w:r>
        <w:rPr>
          <w:rStyle w:val="None"/>
          <w:rFonts w:ascii="Helvetica LT Std Roman" w:hAnsi="Helvetica LT Std Roman"/>
          <w:color w:val="2B477B"/>
          <w:u w:color="000000"/>
        </w:rPr>
        <w:t>é</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lang w:val="pt-PT"/>
        </w:rPr>
        <w:t>Discapacidad.</w:t>
      </w:r>
      <w:r>
        <w:rPr>
          <w:rStyle w:val="None"/>
          <w:color w:val="2B477B"/>
          <w:u w:color="000000"/>
        </w:rPr>
        <w:t xml:space="preserve"> </w:t>
      </w:r>
      <w:r>
        <w:rPr>
          <w:rStyle w:val="None"/>
          <w:rFonts w:ascii="Arial Unicode MS" w:eastAsia="Arial Unicode MS" w:hAnsi="Arial Unicode MS" w:cs="Arial Unicode MS"/>
          <w:color w:val="2B477B"/>
          <w:u w:color="000000"/>
        </w:rPr>
        <w:t>Observaciones</w:t>
      </w:r>
      <w:r>
        <w:rPr>
          <w:rStyle w:val="None"/>
          <w:color w:val="2B477B"/>
          <w:u w:color="000000"/>
        </w:rPr>
        <w:t xml:space="preserve"> </w:t>
      </w:r>
      <w:r>
        <w:rPr>
          <w:rStyle w:val="None"/>
          <w:rFonts w:ascii="Arial Unicode MS" w:eastAsia="Arial Unicode MS" w:hAnsi="Arial Unicode MS" w:cs="Arial Unicode MS"/>
          <w:color w:val="2B477B"/>
          <w:u w:color="000000"/>
        </w:rPr>
        <w:t>finales</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fr-FR"/>
        </w:rPr>
        <w:t>informe</w:t>
      </w:r>
      <w:r>
        <w:rPr>
          <w:rStyle w:val="None"/>
          <w:color w:val="2B477B"/>
          <w:u w:color="000000"/>
        </w:rPr>
        <w:t xml:space="preserve"> </w:t>
      </w:r>
      <w:r>
        <w:rPr>
          <w:rStyle w:val="None"/>
          <w:rFonts w:ascii="Arial Unicode MS" w:eastAsia="Arial Unicode MS" w:hAnsi="Arial Unicode MS" w:cs="Arial Unicode MS"/>
          <w:color w:val="2B477B"/>
          <w:u w:color="000000"/>
          <w:lang w:val="pt-PT"/>
        </w:rPr>
        <w:t>inicial</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it-IT"/>
        </w:rPr>
        <w:t>Austria,</w:t>
      </w:r>
      <w:r>
        <w:rPr>
          <w:rStyle w:val="None"/>
          <w:color w:val="2B477B"/>
          <w:u w:color="000000"/>
        </w:rPr>
        <w:t xml:space="preserve"> </w:t>
      </w:r>
      <w:r>
        <w:rPr>
          <w:rStyle w:val="None"/>
          <w:rFonts w:ascii="Arial Unicode MS" w:eastAsia="Arial Unicode MS" w:hAnsi="Arial Unicode MS" w:cs="Arial Unicode MS"/>
          <w:color w:val="2B477B"/>
          <w:u w:color="000000"/>
        </w:rPr>
        <w:t>aprobadas</w:t>
      </w:r>
      <w:r>
        <w:rPr>
          <w:rStyle w:val="None"/>
          <w:color w:val="2B477B"/>
          <w:u w:color="000000"/>
        </w:rPr>
        <w:t xml:space="preserve"> </w:t>
      </w:r>
      <w:r>
        <w:rPr>
          <w:rStyle w:val="None"/>
          <w:rFonts w:ascii="Arial Unicode MS" w:eastAsia="Arial Unicode MS" w:hAnsi="Arial Unicode MS" w:cs="Arial Unicode MS"/>
          <w:color w:val="2B477B"/>
          <w:u w:color="000000"/>
        </w:rPr>
        <w:t>por</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Comit</w:t>
      </w:r>
      <w:r>
        <w:rPr>
          <w:rStyle w:val="None"/>
          <w:rFonts w:ascii="Helvetica LT Std Roman" w:hAnsi="Helvetica LT Std Roman"/>
          <w:color w:val="2B477B"/>
          <w:u w:color="000000"/>
        </w:rPr>
        <w:t>é</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su</w:t>
      </w:r>
      <w:r>
        <w:rPr>
          <w:rStyle w:val="None"/>
          <w:color w:val="2B477B"/>
          <w:u w:color="000000"/>
        </w:rPr>
        <w:t xml:space="preserve"> </w:t>
      </w:r>
      <w:r>
        <w:rPr>
          <w:rStyle w:val="None"/>
          <w:rFonts w:ascii="Arial Unicode MS" w:eastAsia="Arial Unicode MS" w:hAnsi="Arial Unicode MS" w:cs="Arial Unicode MS"/>
          <w:color w:val="2B477B"/>
          <w:u w:color="000000"/>
        </w:rPr>
        <w:t>d</w:t>
      </w:r>
      <w:r>
        <w:rPr>
          <w:rStyle w:val="None"/>
          <w:rFonts w:ascii="Helvetica LT Std Roman" w:hAnsi="Helvetica LT Std Roman"/>
          <w:color w:val="2B477B"/>
          <w:u w:color="000000"/>
        </w:rPr>
        <w:t>é</w:t>
      </w:r>
      <w:r>
        <w:rPr>
          <w:rStyle w:val="None"/>
          <w:rFonts w:ascii="Arial Unicode MS" w:eastAsia="Arial Unicode MS" w:hAnsi="Arial Unicode MS" w:cs="Arial Unicode MS"/>
          <w:color w:val="2B477B"/>
          <w:u w:color="000000"/>
          <w:lang w:val="pt-PT"/>
        </w:rPr>
        <w:t>cimo</w:t>
      </w:r>
      <w:r>
        <w:rPr>
          <w:rStyle w:val="None"/>
          <w:color w:val="2B477B"/>
          <w:u w:color="000000"/>
        </w:rPr>
        <w:t xml:space="preserve"> </w:t>
      </w:r>
      <w:r>
        <w:rPr>
          <w:rStyle w:val="None"/>
          <w:rFonts w:ascii="Arial Unicode MS" w:eastAsia="Arial Unicode MS" w:hAnsi="Arial Unicode MS" w:cs="Arial Unicode MS"/>
          <w:color w:val="2B477B"/>
          <w:u w:color="000000"/>
          <w:lang w:val="it-IT"/>
        </w:rPr>
        <w:t>per</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odo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sesiones</w:t>
      </w:r>
      <w:r>
        <w:rPr>
          <w:rStyle w:val="None"/>
          <w:color w:val="2B477B"/>
          <w:u w:color="000000"/>
        </w:rPr>
        <w:t xml:space="preserve"> </w:t>
      </w:r>
      <w:r>
        <w:rPr>
          <w:rStyle w:val="None"/>
          <w:rFonts w:ascii="Arial Unicode MS" w:eastAsia="Arial Unicode MS" w:hAnsi="Arial Unicode MS" w:cs="Arial Unicode MS"/>
          <w:color w:val="2B477B"/>
          <w:u w:color="000000"/>
        </w:rPr>
        <w:t>(</w:t>
      </w:r>
      <w:r>
        <w:rPr>
          <w:rStyle w:val="None"/>
          <w:color w:val="2B477B"/>
          <w:u w:color="000000"/>
        </w:rPr>
        <w:t xml:space="preserve">2 </w:t>
      </w:r>
      <w:r>
        <w:rPr>
          <w:rStyle w:val="None"/>
          <w:rFonts w:ascii="Arial Unicode MS" w:eastAsia="Arial Unicode MS" w:hAnsi="Arial Unicode MS" w:cs="Arial Unicode MS"/>
          <w:color w:val="2B477B"/>
          <w:u w:color="000000"/>
        </w:rPr>
        <w:t>a</w:t>
      </w:r>
      <w:r>
        <w:rPr>
          <w:rStyle w:val="None"/>
          <w:color w:val="2B477B"/>
          <w:u w:color="000000"/>
        </w:rPr>
        <w:t xml:space="preserve"> 13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septiembre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2013</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contenido</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documento</w:t>
      </w:r>
      <w:r>
        <w:rPr>
          <w:rStyle w:val="None"/>
          <w:color w:val="2B477B"/>
          <w:u w:color="000000"/>
        </w:rPr>
        <w:t xml:space="preserve"> </w:t>
      </w:r>
      <w:r>
        <w:rPr>
          <w:rStyle w:val="None"/>
          <w:rFonts w:ascii="Arial Unicode MS" w:eastAsia="Arial Unicode MS" w:hAnsi="Arial Unicode MS" w:cs="Arial Unicode MS"/>
          <w:color w:val="2B477B"/>
          <w:u w:color="000000"/>
          <w:lang w:val="de-DE"/>
        </w:rPr>
        <w:t>CRPD</w:t>
      </w:r>
      <w:r>
        <w:rPr>
          <w:rStyle w:val="None"/>
          <w:color w:val="2B477B"/>
          <w:u w:color="000000"/>
        </w:rPr>
        <w:t>/</w:t>
      </w:r>
      <w:r>
        <w:rPr>
          <w:rStyle w:val="None"/>
          <w:rFonts w:ascii="Arial Unicode MS" w:eastAsia="Arial Unicode MS" w:hAnsi="Arial Unicode MS" w:cs="Arial Unicode MS"/>
          <w:color w:val="2B477B"/>
          <w:u w:color="000000"/>
        </w:rPr>
        <w:t>C</w:t>
      </w:r>
      <w:r>
        <w:rPr>
          <w:rStyle w:val="None"/>
          <w:color w:val="2B477B"/>
          <w:u w:color="000000"/>
        </w:rPr>
        <w:t>/</w:t>
      </w:r>
      <w:r>
        <w:rPr>
          <w:rStyle w:val="None"/>
          <w:rFonts w:ascii="Arial Unicode MS" w:eastAsia="Arial Unicode MS" w:hAnsi="Arial Unicode MS" w:cs="Arial Unicode MS"/>
          <w:color w:val="2B477B"/>
          <w:u w:color="000000"/>
          <w:lang w:val="de-DE"/>
        </w:rPr>
        <w:t>AUT</w:t>
      </w:r>
      <w:r>
        <w:rPr>
          <w:rStyle w:val="None"/>
          <w:color w:val="2B477B"/>
          <w:u w:color="000000"/>
        </w:rPr>
        <w:t>/</w:t>
      </w:r>
      <w:r>
        <w:rPr>
          <w:rStyle w:val="None"/>
          <w:rFonts w:ascii="Arial Unicode MS" w:eastAsia="Arial Unicode MS" w:hAnsi="Arial Unicode MS" w:cs="Arial Unicode MS"/>
          <w:color w:val="2B477B"/>
          <w:u w:color="000000"/>
        </w:rPr>
        <w:t>CO</w:t>
      </w:r>
      <w:r>
        <w:rPr>
          <w:rStyle w:val="None"/>
          <w:color w:val="2B477B"/>
          <w:u w:color="000000"/>
        </w:rPr>
        <w:t>/1</w:t>
      </w:r>
    </w:p>
    <w:p w14:paraId="0183EC3A" w14:textId="77777777" w:rsidR="001A105D" w:rsidRDefault="001A105D">
      <w:pPr>
        <w:pStyle w:val="Body"/>
        <w:jc w:val="left"/>
      </w:pPr>
    </w:p>
  </w:footnote>
  <w:footnote w:id="595">
    <w:p w14:paraId="3D0A2C4F"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en-US"/>
        </w:rPr>
        <w:t>CADH.</w:t>
      </w:r>
      <w:r>
        <w:rPr>
          <w:rStyle w:val="None"/>
          <w:color w:val="2B477B"/>
          <w:u w:color="000000"/>
        </w:rPr>
        <w:t xml:space="preserve"> </w:t>
      </w:r>
      <w:r>
        <w:rPr>
          <w:rStyle w:val="None"/>
          <w:rFonts w:ascii="Arial Unicode MS" w:eastAsia="Arial Unicode MS" w:hAnsi="Arial Unicode MS" w:cs="Arial Unicode MS"/>
          <w:color w:val="2B477B"/>
          <w:u w:color="000000"/>
        </w:rPr>
        <w:t>Art.</w:t>
      </w:r>
      <w:r>
        <w:rPr>
          <w:rStyle w:val="None"/>
          <w:color w:val="2B477B"/>
          <w:u w:color="000000"/>
        </w:rPr>
        <w:t xml:space="preserve"> 1</w:t>
      </w:r>
      <w:r>
        <w:rPr>
          <w:rStyle w:val="None"/>
          <w:rFonts w:ascii="Arial Unicode MS" w:eastAsia="Arial Unicode MS" w:hAnsi="Arial Unicode MS" w:cs="Arial Unicode MS"/>
          <w:color w:val="2B477B"/>
          <w:u w:color="000000"/>
        </w:rPr>
        <w:t>.</w:t>
      </w:r>
      <w:r>
        <w:rPr>
          <w:rStyle w:val="None"/>
          <w:color w:val="2B477B"/>
          <w:u w:color="000000"/>
        </w:rPr>
        <w:t xml:space="preserve">2 </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Para</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efectos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esta</w:t>
      </w:r>
      <w:r>
        <w:rPr>
          <w:rStyle w:val="None"/>
          <w:color w:val="2B477B"/>
          <w:u w:color="000000"/>
        </w:rPr>
        <w:t xml:space="preserve"> </w:t>
      </w:r>
      <w:r>
        <w:rPr>
          <w:rStyle w:val="None"/>
          <w:rFonts w:ascii="Arial Unicode MS" w:eastAsia="Arial Unicode MS" w:hAnsi="Arial Unicode MS" w:cs="Arial Unicode MS"/>
          <w:color w:val="2B477B"/>
          <w:u w:color="000000"/>
        </w:rPr>
        <w:t>Convenci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it-IT"/>
        </w:rPr>
        <w:t>persona</w:t>
      </w:r>
      <w:r>
        <w:rPr>
          <w:rStyle w:val="None"/>
          <w:color w:val="2B477B"/>
          <w:u w:color="000000"/>
        </w:rPr>
        <w:t xml:space="preserve"> </w:t>
      </w:r>
      <w:r>
        <w:rPr>
          <w:rStyle w:val="None"/>
          <w:rFonts w:ascii="Arial Unicode MS" w:eastAsia="Arial Unicode MS" w:hAnsi="Arial Unicode MS" w:cs="Arial Unicode MS"/>
          <w:color w:val="2B477B"/>
          <w:u w:color="000000"/>
        </w:rPr>
        <w:t>es</w:t>
      </w:r>
      <w:r>
        <w:rPr>
          <w:rStyle w:val="None"/>
          <w:color w:val="2B477B"/>
          <w:u w:color="000000"/>
        </w:rPr>
        <w:t xml:space="preserve"> </w:t>
      </w:r>
      <w:r>
        <w:rPr>
          <w:rStyle w:val="None"/>
          <w:rFonts w:ascii="Arial Unicode MS" w:eastAsia="Arial Unicode MS" w:hAnsi="Arial Unicode MS" w:cs="Arial Unicode MS"/>
          <w:color w:val="2B477B"/>
          <w:u w:color="000000"/>
        </w:rPr>
        <w:t>todo</w:t>
      </w:r>
      <w:r>
        <w:rPr>
          <w:rStyle w:val="None"/>
          <w:color w:val="2B477B"/>
          <w:u w:color="000000"/>
        </w:rPr>
        <w:t xml:space="preserve"> </w:t>
      </w:r>
      <w:r>
        <w:rPr>
          <w:rStyle w:val="None"/>
          <w:rFonts w:ascii="Arial Unicode MS" w:eastAsia="Arial Unicode MS" w:hAnsi="Arial Unicode MS" w:cs="Arial Unicode MS"/>
          <w:color w:val="2B477B"/>
          <w:u w:color="000000"/>
        </w:rPr>
        <w:t>ser</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w:t>
      </w:r>
    </w:p>
  </w:footnote>
  <w:footnote w:id="596">
    <w:p w14:paraId="4A52B83A"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rPr>
        <w:t>OC-</w:t>
      </w:r>
      <w:r>
        <w:rPr>
          <w:rStyle w:val="None"/>
          <w:color w:val="2B477B"/>
          <w:u w:color="000000"/>
        </w:rPr>
        <w:t>22/16</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lang w:val="pt-PT"/>
        </w:rPr>
        <w:t>Titularidad</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personas</w:t>
      </w:r>
      <w:r>
        <w:rPr>
          <w:rStyle w:val="None"/>
          <w:color w:val="2B477B"/>
          <w:u w:color="000000"/>
        </w:rPr>
        <w:t xml:space="preserve"> </w:t>
      </w:r>
      <w:r>
        <w:rPr>
          <w:rStyle w:val="None"/>
          <w:rFonts w:ascii="Arial Unicode MS" w:eastAsia="Arial Unicode MS" w:hAnsi="Arial Unicode MS" w:cs="Arial Unicode MS"/>
          <w:color w:val="2B477B"/>
          <w:u w:color="000000"/>
        </w:rPr>
        <w:t>jur</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lang w:val="pt-PT"/>
        </w:rPr>
        <w:t>dicas</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Sistema</w:t>
      </w:r>
      <w:r>
        <w:rPr>
          <w:rStyle w:val="None"/>
          <w:color w:val="2B477B"/>
          <w:u w:color="000000"/>
        </w:rPr>
        <w:t xml:space="preserve"> </w:t>
      </w:r>
      <w:r>
        <w:rPr>
          <w:rStyle w:val="None"/>
          <w:rFonts w:ascii="Arial Unicode MS" w:eastAsia="Arial Unicode MS" w:hAnsi="Arial Unicode MS" w:cs="Arial Unicode MS"/>
          <w:color w:val="2B477B"/>
          <w:u w:color="000000"/>
          <w:lang w:val="it-IT"/>
        </w:rPr>
        <w:t>Interamericano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proofErr w:type="gramStart"/>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proofErr w:type="gramEnd"/>
      <w:r>
        <w:rPr>
          <w:rStyle w:val="None"/>
          <w:rFonts w:ascii="Arial Unicode MS" w:eastAsia="Arial Unicode MS" w:hAnsi="Arial Unicode MS" w:cs="Arial Unicode MS"/>
          <w:color w:val="2B477B"/>
          <w:u w:color="000000"/>
          <w:lang w:val="pt-PT"/>
        </w:rPr>
        <w:t>.</w:t>
      </w:r>
      <w:r>
        <w:rPr>
          <w:rStyle w:val="None"/>
          <w:color w:val="2B477B"/>
          <w:u w:color="000000"/>
        </w:rPr>
        <w:t xml:space="preserve"> </w:t>
      </w:r>
      <w:r>
        <w:rPr>
          <w:rStyle w:val="None"/>
          <w:rFonts w:ascii="Arial Unicode MS" w:eastAsia="Arial Unicode MS" w:hAnsi="Arial Unicode MS" w:cs="Arial Unicode MS"/>
          <w:color w:val="2B477B"/>
          <w:u w:color="000000"/>
          <w:lang w:val="nl-NL"/>
        </w:rPr>
        <w:t>Opini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Consultiva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26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febrero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2016</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Serie</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lang w:val="it-IT"/>
        </w:rPr>
        <w:t>No.</w:t>
      </w:r>
      <w:r>
        <w:rPr>
          <w:rStyle w:val="None"/>
          <w:color w:val="2B477B"/>
          <w:u w:color="000000"/>
        </w:rPr>
        <w:t xml:space="preserve"> 22</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w:t>
      </w:r>
      <w:r>
        <w:rPr>
          <w:rStyle w:val="None"/>
          <w:color w:val="2B477B"/>
          <w:u w:color="000000"/>
        </w:rPr>
        <w:t xml:space="preserve"> 48</w:t>
      </w:r>
      <w:r>
        <w:rPr>
          <w:rStyle w:val="None"/>
          <w:rFonts w:ascii="Arial Unicode MS" w:eastAsia="Arial Unicode MS" w:hAnsi="Arial Unicode MS" w:cs="Arial Unicode MS"/>
          <w:color w:val="2B477B"/>
          <w:u w:color="000000"/>
        </w:rPr>
        <w:t>.</w:t>
      </w:r>
    </w:p>
  </w:footnote>
  <w:footnote w:id="597">
    <w:p w14:paraId="62727318" w14:textId="77777777" w:rsidR="001A105D" w:rsidRDefault="00000000">
      <w:pPr>
        <w:pStyle w:val="Body"/>
        <w:jc w:val="left"/>
      </w:pPr>
      <w:r>
        <w:rPr>
          <w:rStyle w:val="None"/>
          <w:color w:val="2B477B"/>
          <w:u w:color="000000"/>
          <w:vertAlign w:val="superscript"/>
        </w:rPr>
        <w:footnoteRef/>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Kaluger,</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G.,</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and</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Kaluger,</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M.,</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Human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Development: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The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Span</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of</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Life,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The</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C.V.</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Mosby</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Co.,</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St.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Louis,</w:t>
      </w:r>
      <w:r>
        <w:rPr>
          <w:rStyle w:val="None"/>
          <w:color w:val="2B477B"/>
          <w:u w:color="000000"/>
          <w:lang w:val="en-US"/>
        </w:rPr>
        <w:t xml:space="preserve"> 1974</w:t>
      </w:r>
      <w:r>
        <w:rPr>
          <w:rStyle w:val="None"/>
          <w:rFonts w:ascii="Arial Unicode MS" w:eastAsia="Arial Unicode MS" w:hAnsi="Arial Unicode MS" w:cs="Arial Unicode MS"/>
          <w:color w:val="2B477B"/>
          <w:u w:color="000000"/>
          <w:lang w:val="en-US"/>
        </w:rPr>
        <w:t>,</w:t>
      </w:r>
      <w:r>
        <w:rPr>
          <w:rStyle w:val="None"/>
          <w:color w:val="2B477B"/>
          <w:u w:color="000000"/>
          <w:lang w:val="en-US"/>
        </w:rPr>
        <w:t xml:space="preserve"> </w:t>
      </w:r>
      <w:r>
        <w:rPr>
          <w:rStyle w:val="None"/>
          <w:rFonts w:ascii="Arial Unicode MS" w:eastAsia="Arial Unicode MS" w:hAnsi="Arial Unicode MS" w:cs="Arial Unicode MS"/>
          <w:color w:val="2B477B"/>
          <w:u w:color="000000"/>
          <w:lang w:val="en-US"/>
        </w:rPr>
        <w:t>page</w:t>
      </w:r>
      <w:r>
        <w:rPr>
          <w:rStyle w:val="None"/>
          <w:color w:val="2B477B"/>
          <w:u w:color="000000"/>
          <w:lang w:val="en-US"/>
        </w:rPr>
        <w:t xml:space="preserve"> 28</w:t>
      </w:r>
      <w:r>
        <w:rPr>
          <w:rStyle w:val="None"/>
          <w:rFonts w:ascii="Arial Unicode MS" w:eastAsia="Arial Unicode MS" w:hAnsi="Arial Unicode MS" w:cs="Arial Unicode MS"/>
          <w:color w:val="2B477B"/>
          <w:u w:color="000000"/>
          <w:lang w:val="en-US"/>
        </w:rPr>
        <w:t>-</w:t>
      </w:r>
      <w:r>
        <w:rPr>
          <w:rStyle w:val="None"/>
          <w:color w:val="2B477B"/>
          <w:u w:color="000000"/>
          <w:lang w:val="en-US"/>
        </w:rPr>
        <w:t>29</w:t>
      </w:r>
      <w:r>
        <w:rPr>
          <w:rStyle w:val="None"/>
          <w:rFonts w:ascii="Arial Unicode MS" w:eastAsia="Arial Unicode MS" w:hAnsi="Arial Unicode MS" w:cs="Arial Unicode MS"/>
          <w:color w:val="2B477B"/>
          <w:u w:color="000000"/>
          <w:lang w:val="en-US"/>
        </w:rPr>
        <w:t>.</w:t>
      </w:r>
      <w:r>
        <w:rPr>
          <w:rStyle w:val="None"/>
          <w:color w:val="2B477B"/>
          <w:u w:color="000000"/>
          <w:lang w:val="en-US"/>
        </w:rPr>
        <w:t xml:space="preserve"> </w:t>
      </w:r>
    </w:p>
  </w:footnote>
  <w:footnote w:id="598">
    <w:p w14:paraId="5BB63A61"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Declaraci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it-IT"/>
        </w:rPr>
        <w:t>Universal</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sv-SE"/>
        </w:rPr>
        <w:t>Genoma</w:t>
      </w:r>
      <w:r>
        <w:rPr>
          <w:rStyle w:val="None"/>
          <w:color w:val="2B477B"/>
          <w:u w:color="000000"/>
        </w:rPr>
        <w:t xml:space="preserve"> </w:t>
      </w:r>
      <w:r>
        <w:rPr>
          <w:rStyle w:val="None"/>
          <w:rFonts w:ascii="Arial Unicode MS" w:eastAsia="Arial Unicode MS" w:hAnsi="Arial Unicode MS" w:cs="Arial Unicode MS"/>
          <w:color w:val="2B477B"/>
          <w:u w:color="000000"/>
          <w:lang w:val="fr-FR"/>
        </w:rPr>
        <w:t>Humano</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lang w:val="de-DE"/>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1</w:t>
      </w:r>
      <w:r>
        <w:rPr>
          <w:rStyle w:val="None"/>
          <w:rFonts w:ascii="Arial Unicode MS" w:eastAsia="Arial Unicode MS" w:hAnsi="Arial Unicode MS" w:cs="Arial Unicode MS"/>
          <w:color w:val="2B477B"/>
          <w:u w:color="000000"/>
        </w:rPr>
        <w:t>.</w:t>
      </w:r>
    </w:p>
  </w:footnote>
  <w:footnote w:id="599">
    <w:p w14:paraId="78EA9332"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Convenci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pt-PT"/>
        </w:rPr>
        <w:t>Americana</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lang w:val="de-DE"/>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4</w:t>
      </w:r>
      <w:r>
        <w:rPr>
          <w:rStyle w:val="None"/>
          <w:rFonts w:ascii="Arial Unicode MS" w:eastAsia="Arial Unicode MS" w:hAnsi="Arial Unicode MS" w:cs="Arial Unicode MS"/>
          <w:color w:val="2B477B"/>
          <w:u w:color="000000"/>
        </w:rPr>
        <w:t>,</w:t>
      </w:r>
      <w:r>
        <w:rPr>
          <w:rStyle w:val="None"/>
          <w:color w:val="2B477B"/>
          <w:u w:color="000000"/>
        </w:rPr>
        <w:t xml:space="preserve"> 5</w:t>
      </w:r>
      <w:r>
        <w:rPr>
          <w:rStyle w:val="None"/>
          <w:rFonts w:ascii="Arial Unicode MS" w:eastAsia="Arial Unicode MS" w:hAnsi="Arial Unicode MS" w:cs="Arial Unicode MS"/>
          <w:color w:val="2B477B"/>
          <w:u w:color="000000"/>
        </w:rPr>
        <w:t>,</w:t>
      </w:r>
      <w:r>
        <w:rPr>
          <w:rStyle w:val="None"/>
          <w:color w:val="2B477B"/>
          <w:u w:color="000000"/>
        </w:rPr>
        <w:t xml:space="preserve"> 7</w:t>
      </w:r>
      <w:r>
        <w:rPr>
          <w:rStyle w:val="None"/>
          <w:rFonts w:ascii="Arial Unicode MS" w:eastAsia="Arial Unicode MS" w:hAnsi="Arial Unicode MS" w:cs="Arial Unicode MS"/>
          <w:color w:val="2B477B"/>
          <w:u w:color="000000"/>
        </w:rPr>
        <w:t>,</w:t>
      </w:r>
      <w:r>
        <w:rPr>
          <w:rStyle w:val="None"/>
          <w:color w:val="2B477B"/>
          <w:u w:color="000000"/>
        </w:rPr>
        <w:t xml:space="preserve"> 8</w:t>
      </w:r>
      <w:r>
        <w:rPr>
          <w:rStyle w:val="None"/>
          <w:rFonts w:ascii="Arial Unicode MS" w:eastAsia="Arial Unicode MS" w:hAnsi="Arial Unicode MS" w:cs="Arial Unicode MS"/>
          <w:color w:val="2B477B"/>
          <w:u w:color="000000"/>
        </w:rPr>
        <w:t>,</w:t>
      </w:r>
      <w:r>
        <w:rPr>
          <w:rStyle w:val="None"/>
          <w:color w:val="2B477B"/>
          <w:u w:color="000000"/>
        </w:rPr>
        <w:t xml:space="preserve"> 10</w:t>
      </w:r>
      <w:r>
        <w:rPr>
          <w:rStyle w:val="None"/>
          <w:rFonts w:ascii="Arial Unicode MS" w:eastAsia="Arial Unicode MS" w:hAnsi="Arial Unicode MS" w:cs="Arial Unicode MS"/>
          <w:color w:val="2B477B"/>
          <w:u w:color="000000"/>
        </w:rPr>
        <w:t>,</w:t>
      </w:r>
      <w:r>
        <w:rPr>
          <w:rStyle w:val="None"/>
          <w:color w:val="2B477B"/>
          <w:u w:color="000000"/>
        </w:rPr>
        <w:t xml:space="preserve"> 11</w:t>
      </w:r>
      <w:r>
        <w:rPr>
          <w:rStyle w:val="None"/>
          <w:rFonts w:ascii="Arial Unicode MS" w:eastAsia="Arial Unicode MS" w:hAnsi="Arial Unicode MS" w:cs="Arial Unicode MS"/>
          <w:color w:val="2B477B"/>
          <w:u w:color="000000"/>
        </w:rPr>
        <w:t>,</w:t>
      </w:r>
      <w:r>
        <w:rPr>
          <w:rStyle w:val="None"/>
          <w:color w:val="2B477B"/>
          <w:u w:color="000000"/>
        </w:rPr>
        <w:t xml:space="preserve"> 12</w:t>
      </w:r>
      <w:r>
        <w:rPr>
          <w:rStyle w:val="None"/>
          <w:rFonts w:ascii="Arial Unicode MS" w:eastAsia="Arial Unicode MS" w:hAnsi="Arial Unicode MS" w:cs="Arial Unicode MS"/>
          <w:color w:val="2B477B"/>
          <w:u w:color="000000"/>
        </w:rPr>
        <w:t>,</w:t>
      </w:r>
      <w:r>
        <w:rPr>
          <w:rStyle w:val="None"/>
          <w:color w:val="2B477B"/>
          <w:u w:color="000000"/>
        </w:rPr>
        <w:t xml:space="preserve"> 13</w:t>
      </w:r>
      <w:r>
        <w:rPr>
          <w:rStyle w:val="None"/>
          <w:rFonts w:ascii="Arial Unicode MS" w:eastAsia="Arial Unicode MS" w:hAnsi="Arial Unicode MS" w:cs="Arial Unicode MS"/>
          <w:color w:val="2B477B"/>
          <w:u w:color="000000"/>
        </w:rPr>
        <w:t>,</w:t>
      </w:r>
      <w:r>
        <w:rPr>
          <w:rStyle w:val="None"/>
          <w:color w:val="2B477B"/>
          <w:u w:color="000000"/>
        </w:rPr>
        <w:t xml:space="preserve"> 14</w:t>
      </w:r>
      <w:r>
        <w:rPr>
          <w:rStyle w:val="None"/>
          <w:rFonts w:ascii="Arial Unicode MS" w:eastAsia="Arial Unicode MS" w:hAnsi="Arial Unicode MS" w:cs="Arial Unicode MS"/>
          <w:color w:val="2B477B"/>
          <w:u w:color="000000"/>
        </w:rPr>
        <w:t>,</w:t>
      </w:r>
      <w:r>
        <w:rPr>
          <w:rStyle w:val="None"/>
          <w:color w:val="2B477B"/>
          <w:u w:color="000000"/>
        </w:rPr>
        <w:t xml:space="preserve"> 16</w:t>
      </w:r>
      <w:r>
        <w:rPr>
          <w:rStyle w:val="None"/>
          <w:rFonts w:ascii="Arial Unicode MS" w:eastAsia="Arial Unicode MS" w:hAnsi="Arial Unicode MS" w:cs="Arial Unicode MS"/>
          <w:color w:val="2B477B"/>
          <w:u w:color="000000"/>
        </w:rPr>
        <w:t>,</w:t>
      </w:r>
      <w:r>
        <w:rPr>
          <w:rStyle w:val="None"/>
          <w:color w:val="2B477B"/>
          <w:u w:color="000000"/>
        </w:rPr>
        <w:t xml:space="preserve"> 18</w:t>
      </w:r>
      <w:r>
        <w:rPr>
          <w:rStyle w:val="None"/>
          <w:rFonts w:ascii="Arial Unicode MS" w:eastAsia="Arial Unicode MS" w:hAnsi="Arial Unicode MS" w:cs="Arial Unicode MS"/>
          <w:color w:val="2B477B"/>
          <w:u w:color="000000"/>
        </w:rPr>
        <w:t>,</w:t>
      </w:r>
      <w:r>
        <w:rPr>
          <w:rStyle w:val="None"/>
          <w:color w:val="2B477B"/>
          <w:u w:color="000000"/>
        </w:rPr>
        <w:t xml:space="preserve"> 20</w:t>
      </w:r>
      <w:r>
        <w:rPr>
          <w:rStyle w:val="None"/>
          <w:rFonts w:ascii="Arial Unicode MS" w:eastAsia="Arial Unicode MS" w:hAnsi="Arial Unicode MS" w:cs="Arial Unicode MS"/>
          <w:color w:val="2B477B"/>
          <w:u w:color="000000"/>
        </w:rPr>
        <w:t>,</w:t>
      </w:r>
      <w:r>
        <w:rPr>
          <w:rStyle w:val="None"/>
          <w:color w:val="2B477B"/>
          <w:u w:color="000000"/>
        </w:rPr>
        <w:t xml:space="preserve"> 21</w:t>
      </w:r>
      <w:r>
        <w:rPr>
          <w:rStyle w:val="None"/>
          <w:rFonts w:ascii="Arial Unicode MS" w:eastAsia="Arial Unicode MS" w:hAnsi="Arial Unicode MS" w:cs="Arial Unicode MS"/>
          <w:color w:val="2B477B"/>
          <w:u w:color="000000"/>
        </w:rPr>
        <w:t>,</w:t>
      </w:r>
      <w:r>
        <w:rPr>
          <w:rStyle w:val="None"/>
          <w:color w:val="2B477B"/>
          <w:u w:color="000000"/>
        </w:rPr>
        <w:t xml:space="preserve"> 22</w:t>
      </w:r>
      <w:r>
        <w:rPr>
          <w:rStyle w:val="None"/>
          <w:rFonts w:ascii="Arial Unicode MS" w:eastAsia="Arial Unicode MS" w:hAnsi="Arial Unicode MS" w:cs="Arial Unicode MS"/>
          <w:color w:val="2B477B"/>
          <w:u w:color="000000"/>
        </w:rPr>
        <w:t>,</w:t>
      </w:r>
      <w:r>
        <w:rPr>
          <w:rStyle w:val="None"/>
          <w:color w:val="2B477B"/>
          <w:u w:color="000000"/>
        </w:rPr>
        <w:t xml:space="preserve"> 24 </w:t>
      </w:r>
      <w:r>
        <w:rPr>
          <w:rStyle w:val="None"/>
          <w:rFonts w:ascii="Arial Unicode MS" w:eastAsia="Arial Unicode MS" w:hAnsi="Arial Unicode MS" w:cs="Arial Unicode MS"/>
          <w:color w:val="2B477B"/>
          <w:u w:color="000000"/>
        </w:rPr>
        <w:t>y</w:t>
      </w:r>
      <w:r>
        <w:rPr>
          <w:rStyle w:val="None"/>
          <w:color w:val="2B477B"/>
          <w:u w:color="000000"/>
        </w:rPr>
        <w:t xml:space="preserve"> </w:t>
      </w:r>
      <w:proofErr w:type="gramStart"/>
      <w:r>
        <w:rPr>
          <w:rStyle w:val="None"/>
          <w:color w:val="2B477B"/>
          <w:u w:color="000000"/>
        </w:rPr>
        <w:t>25</w:t>
      </w:r>
      <w:r>
        <w:rPr>
          <w:rStyle w:val="None"/>
          <w:rFonts w:ascii="Arial Unicode MS" w:eastAsia="Arial Unicode MS" w:hAnsi="Arial Unicode MS" w:cs="Arial Unicode MS"/>
          <w:color w:val="2B477B"/>
          <w:u w:color="000000"/>
        </w:rPr>
        <w:t>..</w:t>
      </w:r>
      <w:proofErr w:type="gramEnd"/>
    </w:p>
  </w:footnote>
  <w:footnote w:id="600">
    <w:p w14:paraId="5A1DDDF2"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Pacto</w:t>
      </w:r>
      <w:r>
        <w:rPr>
          <w:rStyle w:val="None"/>
          <w:color w:val="2B477B"/>
          <w:u w:color="000000"/>
        </w:rPr>
        <w:t xml:space="preserve"> </w:t>
      </w:r>
      <w:r>
        <w:rPr>
          <w:rStyle w:val="None"/>
          <w:rFonts w:ascii="Arial Unicode MS" w:eastAsia="Arial Unicode MS" w:hAnsi="Arial Unicode MS" w:cs="Arial Unicode MS"/>
          <w:color w:val="2B477B"/>
          <w:u w:color="000000"/>
          <w:lang w:val="pt-PT"/>
        </w:rPr>
        <w:t>Internacional</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Civiles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Pol</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lang w:val="pt-PT"/>
        </w:rPr>
        <w:t>ticos.</w:t>
      </w:r>
      <w:r>
        <w:rPr>
          <w:rStyle w:val="None"/>
          <w:color w:val="2B477B"/>
          <w:u w:color="000000"/>
        </w:rPr>
        <w:t xml:space="preserve"> </w:t>
      </w:r>
      <w:r>
        <w:rPr>
          <w:rStyle w:val="None"/>
          <w:rFonts w:ascii="Arial Unicode MS" w:eastAsia="Arial Unicode MS" w:hAnsi="Arial Unicode MS" w:cs="Arial Unicode MS"/>
          <w:color w:val="2B477B"/>
          <w:u w:color="000000"/>
        </w:rPr>
        <w:t>Pre</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mbulo,</w:t>
      </w:r>
      <w:r>
        <w:rPr>
          <w:rStyle w:val="None"/>
          <w:color w:val="2B477B"/>
          <w:u w:color="000000"/>
        </w:rPr>
        <w:t xml:space="preserve"> </w:t>
      </w:r>
      <w:r>
        <w:rPr>
          <w:rStyle w:val="None"/>
          <w:rFonts w:ascii="Arial Unicode MS" w:eastAsia="Arial Unicode MS" w:hAnsi="Arial Unicode MS" w:cs="Arial Unicode MS"/>
          <w:color w:val="2B477B"/>
          <w:u w:color="000000"/>
        </w:rPr>
        <w:t>inc.</w:t>
      </w:r>
      <w:r>
        <w:rPr>
          <w:rStyle w:val="None"/>
          <w:color w:val="2B477B"/>
          <w:u w:color="000000"/>
        </w:rPr>
        <w:t xml:space="preserve"> 3</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Convenci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pt-PT"/>
        </w:rPr>
        <w:t>Americana</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rPr>
        <w:t>inc.</w:t>
      </w:r>
      <w:r>
        <w:rPr>
          <w:rStyle w:val="None"/>
          <w:color w:val="2B477B"/>
          <w:u w:color="000000"/>
        </w:rPr>
        <w:t xml:space="preserve"> 3</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Pre</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mbulo;</w:t>
      </w:r>
      <w:r>
        <w:rPr>
          <w:rStyle w:val="None"/>
          <w:color w:val="2B477B"/>
          <w:u w:color="000000"/>
        </w:rPr>
        <w:t xml:space="preserve"> </w:t>
      </w:r>
      <w:r>
        <w:rPr>
          <w:rStyle w:val="None"/>
          <w:rFonts w:ascii="Arial Unicode MS" w:eastAsia="Arial Unicode MS" w:hAnsi="Arial Unicode MS" w:cs="Arial Unicode MS"/>
          <w:color w:val="2B477B"/>
          <w:u w:color="000000"/>
        </w:rPr>
        <w:t>Carta</w:t>
      </w:r>
      <w:r>
        <w:rPr>
          <w:rStyle w:val="None"/>
          <w:color w:val="2B477B"/>
          <w:u w:color="000000"/>
        </w:rPr>
        <w:t xml:space="preserve"> </w:t>
      </w:r>
      <w:r>
        <w:rPr>
          <w:rStyle w:val="None"/>
          <w:rFonts w:ascii="Arial Unicode MS" w:eastAsia="Arial Unicode MS" w:hAnsi="Arial Unicode MS" w:cs="Arial Unicode MS"/>
          <w:color w:val="2B477B"/>
          <w:u w:color="000000"/>
          <w:lang w:val="pt-PT"/>
        </w:rPr>
        <w:t>Africana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rPr>
        <w:t>Pre</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mbulo,</w:t>
      </w:r>
      <w:r>
        <w:rPr>
          <w:rStyle w:val="None"/>
          <w:color w:val="2B477B"/>
          <w:u w:color="000000"/>
        </w:rPr>
        <w:t xml:space="preserve"> </w:t>
      </w:r>
      <w:r>
        <w:rPr>
          <w:rStyle w:val="None"/>
          <w:rFonts w:ascii="Arial Unicode MS" w:eastAsia="Arial Unicode MS" w:hAnsi="Arial Unicode MS" w:cs="Arial Unicode MS"/>
          <w:color w:val="2B477B"/>
          <w:u w:color="000000"/>
        </w:rPr>
        <w:t>inc.</w:t>
      </w:r>
      <w:r>
        <w:rPr>
          <w:rStyle w:val="None"/>
          <w:color w:val="2B477B"/>
          <w:u w:color="000000"/>
        </w:rPr>
        <w:t xml:space="preserve"> 6</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Declaraci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de-DE"/>
        </w:rPr>
        <w:t>Ginebra</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Ni</w:t>
      </w:r>
      <w:r>
        <w:rPr>
          <w:rStyle w:val="None"/>
          <w:rFonts w:ascii="Helvetica LT Std Roman" w:hAnsi="Helvetica LT Std Roman"/>
          <w:color w:val="2B477B"/>
          <w:u w:color="000000"/>
        </w:rPr>
        <w:t>ñ</w:t>
      </w:r>
      <w:r>
        <w:rPr>
          <w:rStyle w:val="None"/>
          <w:rFonts w:ascii="Arial Unicode MS" w:eastAsia="Arial Unicode MS" w:hAnsi="Arial Unicode MS" w:cs="Arial Unicode MS"/>
          <w:color w:val="2B477B"/>
          <w:u w:color="000000"/>
          <w:lang w:val="pt-PT"/>
        </w:rPr>
        <w:t>os.</w:t>
      </w:r>
      <w:r>
        <w:rPr>
          <w:rStyle w:val="None"/>
          <w:color w:val="2B477B"/>
          <w:u w:color="000000"/>
        </w:rPr>
        <w:t xml:space="preserve"> </w:t>
      </w:r>
      <w:r>
        <w:rPr>
          <w:rStyle w:val="None"/>
          <w:rFonts w:ascii="Arial Unicode MS" w:eastAsia="Arial Unicode MS" w:hAnsi="Arial Unicode MS" w:cs="Arial Unicode MS"/>
          <w:color w:val="2B477B"/>
          <w:u w:color="000000"/>
        </w:rPr>
        <w:t>Pre</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mbulo,</w:t>
      </w:r>
      <w:r>
        <w:rPr>
          <w:rStyle w:val="None"/>
          <w:color w:val="2B477B"/>
          <w:u w:color="000000"/>
        </w:rPr>
        <w:t xml:space="preserve"> </w:t>
      </w:r>
      <w:r>
        <w:rPr>
          <w:rStyle w:val="None"/>
          <w:rFonts w:ascii="Arial Unicode MS" w:eastAsia="Arial Unicode MS" w:hAnsi="Arial Unicode MS" w:cs="Arial Unicode MS"/>
          <w:color w:val="2B477B"/>
          <w:u w:color="000000"/>
        </w:rPr>
        <w:t>inc.</w:t>
      </w:r>
      <w:r>
        <w:rPr>
          <w:rStyle w:val="None"/>
          <w:color w:val="2B477B"/>
          <w:u w:color="000000"/>
        </w:rPr>
        <w:t xml:space="preserve"> 1</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Declaraci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pt-PT"/>
        </w:rPr>
        <w:t>Americana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de-DE"/>
        </w:rPr>
        <w:t>Deberes</w:t>
      </w:r>
      <w:r>
        <w:rPr>
          <w:rStyle w:val="None"/>
          <w:color w:val="2B477B"/>
          <w:u w:color="000000"/>
        </w:rPr>
        <w:t xml:space="preserve"> </w:t>
      </w:r>
      <w:r>
        <w:rPr>
          <w:rStyle w:val="None"/>
          <w:rFonts w:ascii="Arial Unicode MS" w:eastAsia="Arial Unicode MS" w:hAnsi="Arial Unicode MS" w:cs="Arial Unicode MS"/>
          <w:color w:val="2B477B"/>
          <w:u w:color="000000"/>
        </w:rPr>
        <w:t>Internacionales</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lang w:val="it-IT"/>
        </w:rPr>
        <w:t>Hombre.</w:t>
      </w:r>
      <w:r>
        <w:rPr>
          <w:rStyle w:val="None"/>
          <w:color w:val="2B477B"/>
          <w:u w:color="000000"/>
        </w:rPr>
        <w:t xml:space="preserve"> </w:t>
      </w:r>
      <w:r>
        <w:rPr>
          <w:rStyle w:val="None"/>
          <w:rFonts w:ascii="Arial Unicode MS" w:eastAsia="Arial Unicode MS" w:hAnsi="Arial Unicode MS" w:cs="Arial Unicode MS"/>
          <w:color w:val="2B477B"/>
          <w:u w:color="000000"/>
        </w:rPr>
        <w:t>Art.</w:t>
      </w:r>
      <w:r>
        <w:rPr>
          <w:rStyle w:val="None"/>
          <w:color w:val="2B477B"/>
          <w:u w:color="000000"/>
        </w:rPr>
        <w:t xml:space="preserve"> 1</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Declaraci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it-IT"/>
        </w:rPr>
        <w:t>Universal</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rPr>
        <w:t>Pre</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mbulo,</w:t>
      </w:r>
      <w:r>
        <w:rPr>
          <w:rStyle w:val="None"/>
          <w:color w:val="2B477B"/>
          <w:u w:color="000000"/>
        </w:rPr>
        <w:t xml:space="preserve"> </w:t>
      </w:r>
      <w:r>
        <w:rPr>
          <w:rStyle w:val="None"/>
          <w:rFonts w:ascii="Arial Unicode MS" w:eastAsia="Arial Unicode MS" w:hAnsi="Arial Unicode MS" w:cs="Arial Unicode MS"/>
          <w:color w:val="2B477B"/>
          <w:u w:color="000000"/>
        </w:rPr>
        <w:t>inc.</w:t>
      </w:r>
      <w:r>
        <w:rPr>
          <w:rStyle w:val="None"/>
          <w:color w:val="2B477B"/>
          <w:u w:color="000000"/>
        </w:rPr>
        <w:t xml:space="preserve"> 1</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Declaraci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Ni</w:t>
      </w:r>
      <w:r>
        <w:rPr>
          <w:rStyle w:val="None"/>
          <w:rFonts w:ascii="Helvetica LT Std Roman" w:hAnsi="Helvetica LT Std Roman"/>
          <w:color w:val="2B477B"/>
          <w:u w:color="000000"/>
        </w:rPr>
        <w:t>ñ</w:t>
      </w:r>
      <w:r>
        <w:rPr>
          <w:rStyle w:val="None"/>
          <w:rFonts w:ascii="Arial Unicode MS" w:eastAsia="Arial Unicode MS" w:hAnsi="Arial Unicode MS" w:cs="Arial Unicode MS"/>
          <w:color w:val="2B477B"/>
          <w:u w:color="000000"/>
          <w:lang w:val="it-IT"/>
        </w:rPr>
        <w:t>o.</w:t>
      </w:r>
      <w:r>
        <w:rPr>
          <w:rStyle w:val="None"/>
          <w:color w:val="2B477B"/>
          <w:u w:color="000000"/>
        </w:rPr>
        <w:t xml:space="preserve"> </w:t>
      </w:r>
      <w:r>
        <w:rPr>
          <w:rStyle w:val="None"/>
          <w:rFonts w:ascii="Arial Unicode MS" w:eastAsia="Arial Unicode MS" w:hAnsi="Arial Unicode MS" w:cs="Arial Unicode MS"/>
          <w:color w:val="2B477B"/>
          <w:u w:color="000000"/>
        </w:rPr>
        <w:t>Pre</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mbulo,</w:t>
      </w:r>
      <w:r>
        <w:rPr>
          <w:rStyle w:val="None"/>
          <w:color w:val="2B477B"/>
          <w:u w:color="000000"/>
        </w:rPr>
        <w:t xml:space="preserve"> </w:t>
      </w:r>
      <w:r>
        <w:rPr>
          <w:rStyle w:val="None"/>
          <w:rFonts w:ascii="Arial Unicode MS" w:eastAsia="Arial Unicode MS" w:hAnsi="Arial Unicode MS" w:cs="Arial Unicode MS"/>
          <w:color w:val="2B477B"/>
          <w:u w:color="000000"/>
        </w:rPr>
        <w:t>inc.</w:t>
      </w:r>
      <w:r>
        <w:rPr>
          <w:rStyle w:val="None"/>
          <w:color w:val="2B477B"/>
          <w:u w:color="000000"/>
        </w:rPr>
        <w:t xml:space="preserve"> 2</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Convenci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Europeo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rPr>
        <w:t>Pre</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mbulo,</w:t>
      </w:r>
      <w:r>
        <w:rPr>
          <w:rStyle w:val="None"/>
          <w:color w:val="2B477B"/>
          <w:u w:color="000000"/>
        </w:rPr>
        <w:t xml:space="preserve"> </w:t>
      </w:r>
      <w:r>
        <w:rPr>
          <w:rStyle w:val="None"/>
          <w:rFonts w:ascii="Arial Unicode MS" w:eastAsia="Arial Unicode MS" w:hAnsi="Arial Unicode MS" w:cs="Arial Unicode MS"/>
          <w:color w:val="2B477B"/>
          <w:u w:color="000000"/>
        </w:rPr>
        <w:t>inc.</w:t>
      </w:r>
      <w:r>
        <w:rPr>
          <w:rStyle w:val="None"/>
          <w:color w:val="2B477B"/>
          <w:u w:color="000000"/>
        </w:rPr>
        <w:t xml:space="preserve"> 2</w:t>
      </w:r>
    </w:p>
  </w:footnote>
  <w:footnote w:id="601">
    <w:p w14:paraId="46D885A0"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Arial Unicode MS" w:eastAsia="Arial Unicode MS" w:hAnsi="Arial Unicode MS" w:cs="Arial Unicode MS"/>
          <w:color w:val="2B477B"/>
          <w:u w:color="000000"/>
        </w:rPr>
        <w:t>Cuscul</w:t>
      </w:r>
      <w:r>
        <w:rPr>
          <w:rStyle w:val="None"/>
          <w:color w:val="2B477B"/>
          <w:u w:color="000000"/>
        </w:rPr>
        <w:t xml:space="preserve"> </w:t>
      </w:r>
      <w:r>
        <w:rPr>
          <w:rStyle w:val="None"/>
          <w:rFonts w:ascii="Arial Unicode MS" w:eastAsia="Arial Unicode MS" w:hAnsi="Arial Unicode MS" w:cs="Arial Unicode MS"/>
          <w:color w:val="2B477B"/>
          <w:u w:color="000000"/>
        </w:rPr>
        <w:t>Pivaral</w:t>
      </w:r>
      <w:r>
        <w:rPr>
          <w:rStyle w:val="None"/>
          <w:color w:val="2B477B"/>
          <w:u w:color="000000"/>
        </w:rPr>
        <w:t xml:space="preserve"> </w:t>
      </w:r>
      <w:r>
        <w:rPr>
          <w:rStyle w:val="None"/>
          <w:rFonts w:ascii="Arial Unicode MS" w:eastAsia="Arial Unicode MS" w:hAnsi="Arial Unicode MS" w:cs="Arial Unicode MS"/>
          <w:color w:val="2B477B"/>
          <w:u w:color="000000"/>
          <w:lang w:val="pt-PT"/>
        </w:rPr>
        <w:t>vs.</w:t>
      </w:r>
      <w:r>
        <w:rPr>
          <w:rStyle w:val="None"/>
          <w:color w:val="2B477B"/>
          <w:u w:color="000000"/>
        </w:rPr>
        <w:t xml:space="preserve"> </w:t>
      </w:r>
      <w:r>
        <w:rPr>
          <w:rStyle w:val="None"/>
          <w:rFonts w:ascii="Arial Unicode MS" w:eastAsia="Arial Unicode MS" w:hAnsi="Arial Unicode MS" w:cs="Arial Unicode MS"/>
          <w:color w:val="2B477B"/>
          <w:u w:color="000000"/>
        </w:rPr>
        <w:t>Guatemala.</w:t>
      </w:r>
      <w:r>
        <w:rPr>
          <w:rStyle w:val="None"/>
          <w:color w:val="2B477B"/>
          <w:u w:color="000000"/>
        </w:rPr>
        <w:t xml:space="preserve"> </w:t>
      </w:r>
      <w:r>
        <w:rPr>
          <w:rStyle w:val="None"/>
          <w:rFonts w:ascii="Arial Unicode MS" w:eastAsia="Arial Unicode MS" w:hAnsi="Arial Unicode MS" w:cs="Arial Unicode MS"/>
          <w:color w:val="2B477B"/>
          <w:u w:color="000000"/>
        </w:rPr>
        <w:t>Sentencia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23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it-IT"/>
        </w:rPr>
        <w:t>agosto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2018</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lang w:val="pt-PT"/>
        </w:rPr>
        <w:t>Por</w:t>
      </w:r>
      <w:r>
        <w:rPr>
          <w:rStyle w:val="None"/>
          <w:color w:val="2B477B"/>
          <w:u w:color="000000"/>
        </w:rPr>
        <w:t xml:space="preserve"> </w:t>
      </w:r>
      <w:r>
        <w:rPr>
          <w:rStyle w:val="None"/>
          <w:rFonts w:ascii="Arial Unicode MS" w:eastAsia="Arial Unicode MS" w:hAnsi="Arial Unicode MS" w:cs="Arial Unicode MS"/>
          <w:color w:val="2B477B"/>
          <w:u w:color="000000"/>
        </w:rPr>
        <w:t>otro</w:t>
      </w:r>
      <w:r>
        <w:rPr>
          <w:rStyle w:val="None"/>
          <w:color w:val="2B477B"/>
          <w:u w:color="000000"/>
        </w:rPr>
        <w:t xml:space="preserve"> </w:t>
      </w:r>
      <w:r>
        <w:rPr>
          <w:rStyle w:val="None"/>
          <w:rFonts w:ascii="Arial Unicode MS" w:eastAsia="Arial Unicode MS" w:hAnsi="Arial Unicode MS" w:cs="Arial Unicode MS"/>
          <w:color w:val="2B477B"/>
          <w:u w:color="000000"/>
          <w:lang w:val="pt-PT"/>
        </w:rPr>
        <w:t>lado,</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Tribunal</w:t>
      </w:r>
      <w:r>
        <w:rPr>
          <w:rStyle w:val="None"/>
          <w:color w:val="2B477B"/>
          <w:u w:color="000000"/>
        </w:rPr>
        <w:t xml:space="preserve"> </w:t>
      </w:r>
      <w:r>
        <w:rPr>
          <w:rStyle w:val="None"/>
          <w:rFonts w:ascii="Arial Unicode MS" w:eastAsia="Arial Unicode MS" w:hAnsi="Arial Unicode MS" w:cs="Arial Unicode MS"/>
          <w:color w:val="2B477B"/>
          <w:u w:color="000000"/>
        </w:rPr>
        <w:t>ha</w:t>
      </w:r>
      <w:r>
        <w:rPr>
          <w:rStyle w:val="None"/>
          <w:color w:val="2B477B"/>
          <w:u w:color="000000"/>
        </w:rPr>
        <w:t xml:space="preserve"> </w:t>
      </w:r>
      <w:r>
        <w:rPr>
          <w:rStyle w:val="None"/>
          <w:rFonts w:ascii="Arial Unicode MS" w:eastAsia="Arial Unicode MS" w:hAnsi="Arial Unicode MS" w:cs="Arial Unicode MS"/>
          <w:color w:val="2B477B"/>
          <w:u w:color="000000"/>
        </w:rPr>
        <w:t>se</w:t>
      </w:r>
      <w:r>
        <w:rPr>
          <w:rStyle w:val="None"/>
          <w:rFonts w:ascii="Helvetica LT Std Roman" w:hAnsi="Helvetica LT Std Roman"/>
          <w:color w:val="2B477B"/>
          <w:u w:color="000000"/>
        </w:rPr>
        <w:t>ñ</w:t>
      </w:r>
      <w:r>
        <w:rPr>
          <w:rStyle w:val="None"/>
          <w:rFonts w:ascii="Arial Unicode MS" w:eastAsia="Arial Unicode MS" w:hAnsi="Arial Unicode MS" w:cs="Arial Unicode MS"/>
          <w:color w:val="2B477B"/>
          <w:u w:color="000000"/>
        </w:rPr>
        <w:t>alado</w:t>
      </w:r>
      <w:r>
        <w:rPr>
          <w:rStyle w:val="None"/>
          <w:color w:val="2B477B"/>
          <w:u w:color="000000"/>
        </w:rPr>
        <w:t xml:space="preserve"> </w:t>
      </w:r>
      <w:r>
        <w:rPr>
          <w:rStyle w:val="None"/>
          <w:rFonts w:ascii="Arial Unicode MS" w:eastAsia="Arial Unicode MS" w:hAnsi="Arial Unicode MS" w:cs="Arial Unicode MS"/>
          <w:color w:val="2B477B"/>
          <w:u w:color="000000"/>
        </w:rPr>
        <w:t>que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lang w:val="it-IT"/>
        </w:rPr>
        <w:t>extrema</w:t>
      </w:r>
      <w:r>
        <w:rPr>
          <w:rStyle w:val="None"/>
          <w:color w:val="2B477B"/>
          <w:u w:color="000000"/>
        </w:rPr>
        <w:t xml:space="preserve"> </w:t>
      </w:r>
      <w:r>
        <w:rPr>
          <w:rStyle w:val="None"/>
          <w:rFonts w:ascii="Arial Unicode MS" w:eastAsia="Arial Unicode MS" w:hAnsi="Arial Unicode MS" w:cs="Arial Unicode MS"/>
          <w:color w:val="2B477B"/>
          <w:u w:color="000000"/>
        </w:rPr>
        <w:t>pobreza</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falta</w:t>
      </w:r>
      <w:r>
        <w:rPr>
          <w:rStyle w:val="None"/>
          <w:color w:val="2B477B"/>
          <w:u w:color="000000"/>
        </w:rPr>
        <w:t xml:space="preserve"> </w:t>
      </w:r>
      <w:r>
        <w:rPr>
          <w:rStyle w:val="None"/>
          <w:rFonts w:ascii="Arial Unicode MS" w:eastAsia="Arial Unicode MS" w:hAnsi="Arial Unicode MS" w:cs="Arial Unicode MS"/>
          <w:color w:val="2B477B"/>
          <w:u w:color="000000"/>
        </w:rPr>
        <w:t>adecuada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atenci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m</w:t>
      </w:r>
      <w:r>
        <w:rPr>
          <w:rStyle w:val="None"/>
          <w:rFonts w:ascii="Helvetica LT Std Roman" w:hAnsi="Helvetica LT Std Roman"/>
          <w:color w:val="2B477B"/>
          <w:u w:color="000000"/>
        </w:rPr>
        <w:t>é</w:t>
      </w:r>
      <w:r>
        <w:rPr>
          <w:rStyle w:val="None"/>
          <w:rFonts w:ascii="Arial Unicode MS" w:eastAsia="Arial Unicode MS" w:hAnsi="Arial Unicode MS" w:cs="Arial Unicode MS"/>
          <w:color w:val="2B477B"/>
          <w:u w:color="000000"/>
          <w:lang w:val="en-US"/>
        </w:rPr>
        <w:t>dica</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rPr>
        <w:t>mujeres</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lang w:val="pt-PT"/>
        </w:rPr>
        <w:t>estado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embarazo</w:t>
      </w:r>
      <w:r>
        <w:rPr>
          <w:rStyle w:val="None"/>
          <w:color w:val="2B477B"/>
          <w:u w:color="000000"/>
        </w:rPr>
        <w:t xml:space="preserve"> </w:t>
      </w:r>
      <w:r>
        <w:rPr>
          <w:rStyle w:val="None"/>
          <w:rFonts w:ascii="Arial Unicode MS" w:eastAsia="Arial Unicode MS" w:hAnsi="Arial Unicode MS" w:cs="Arial Unicode MS"/>
          <w:color w:val="2B477B"/>
          <w:u w:color="000000"/>
        </w:rPr>
        <w:t>o</w:t>
      </w:r>
      <w:r>
        <w:rPr>
          <w:rStyle w:val="None"/>
          <w:color w:val="2B477B"/>
          <w:u w:color="000000"/>
        </w:rPr>
        <w:t xml:space="preserve"> </w:t>
      </w:r>
      <w:r>
        <w:rPr>
          <w:rStyle w:val="None"/>
          <w:rFonts w:ascii="Arial Unicode MS" w:eastAsia="Arial Unicode MS" w:hAnsi="Arial Unicode MS" w:cs="Arial Unicode MS"/>
          <w:color w:val="2B477B"/>
          <w:u w:color="000000"/>
          <w:lang w:val="en-US"/>
        </w:rPr>
        <w:t>post-embarazo</w:t>
      </w:r>
      <w:r>
        <w:rPr>
          <w:rStyle w:val="None"/>
          <w:color w:val="2B477B"/>
          <w:u w:color="000000"/>
        </w:rPr>
        <w:t xml:space="preserve"> </w:t>
      </w:r>
      <w:r>
        <w:rPr>
          <w:rStyle w:val="None"/>
          <w:rFonts w:ascii="Arial Unicode MS" w:eastAsia="Arial Unicode MS" w:hAnsi="Arial Unicode MS" w:cs="Arial Unicode MS"/>
          <w:color w:val="2B477B"/>
          <w:u w:color="000000"/>
        </w:rPr>
        <w:t>son</w:t>
      </w:r>
      <w:r>
        <w:rPr>
          <w:rStyle w:val="None"/>
          <w:color w:val="2B477B"/>
          <w:u w:color="000000"/>
        </w:rPr>
        <w:t xml:space="preserve"> </w:t>
      </w:r>
      <w:r>
        <w:rPr>
          <w:rStyle w:val="None"/>
          <w:rFonts w:ascii="Arial Unicode MS" w:eastAsia="Arial Unicode MS" w:hAnsi="Arial Unicode MS" w:cs="Arial Unicode MS"/>
          <w:color w:val="2B477B"/>
          <w:u w:color="000000"/>
          <w:lang w:val="pt-PT"/>
        </w:rPr>
        <w:t>causas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alta</w:t>
      </w:r>
      <w:r>
        <w:rPr>
          <w:rStyle w:val="None"/>
          <w:color w:val="2B477B"/>
          <w:u w:color="000000"/>
        </w:rPr>
        <w:t xml:space="preserve"> </w:t>
      </w:r>
      <w:r>
        <w:rPr>
          <w:rStyle w:val="None"/>
          <w:rFonts w:ascii="Arial Unicode MS" w:eastAsia="Arial Unicode MS" w:hAnsi="Arial Unicode MS" w:cs="Arial Unicode MS"/>
          <w:color w:val="2B477B"/>
          <w:u w:color="000000"/>
          <w:lang w:val="pt-PT"/>
        </w:rPr>
        <w:t>mortalidad</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pt-PT"/>
        </w:rPr>
        <w:t>morbilidad</w:t>
      </w:r>
      <w:r>
        <w:rPr>
          <w:rStyle w:val="None"/>
          <w:color w:val="2B477B"/>
          <w:u w:color="000000"/>
        </w:rPr>
        <w:t xml:space="preserve"> </w:t>
      </w:r>
      <w:r>
        <w:rPr>
          <w:rStyle w:val="None"/>
          <w:rFonts w:ascii="Arial Unicode MS" w:eastAsia="Arial Unicode MS" w:hAnsi="Arial Unicode MS" w:cs="Arial Unicode MS"/>
          <w:color w:val="2B477B"/>
          <w:u w:color="000000"/>
          <w:lang w:val="sv-SE"/>
        </w:rPr>
        <w:t>materna,</w:t>
      </w:r>
      <w:r>
        <w:rPr>
          <w:rStyle w:val="None"/>
          <w:color w:val="2B477B"/>
          <w:u w:color="000000"/>
        </w:rPr>
        <w:t xml:space="preserve"> </w:t>
      </w:r>
      <w:r>
        <w:rPr>
          <w:rStyle w:val="None"/>
          <w:rFonts w:ascii="Arial Unicode MS" w:eastAsia="Arial Unicode MS" w:hAnsi="Arial Unicode MS" w:cs="Arial Unicode MS"/>
          <w:color w:val="2B477B"/>
          <w:u w:color="000000"/>
        </w:rPr>
        <w:t>por</w:t>
      </w:r>
      <w:r>
        <w:rPr>
          <w:rStyle w:val="None"/>
          <w:color w:val="2B477B"/>
          <w:u w:color="000000"/>
        </w:rPr>
        <w:t xml:space="preserve"> </w:t>
      </w:r>
      <w:r>
        <w:rPr>
          <w:rStyle w:val="None"/>
          <w:rFonts w:ascii="Arial Unicode MS" w:eastAsia="Arial Unicode MS" w:hAnsi="Arial Unicode MS" w:cs="Arial Unicode MS"/>
          <w:color w:val="2B477B"/>
          <w:u w:color="000000"/>
        </w:rPr>
        <w:t>lo</w:t>
      </w:r>
      <w:r>
        <w:rPr>
          <w:rStyle w:val="None"/>
          <w:color w:val="2B477B"/>
          <w:u w:color="000000"/>
        </w:rPr>
        <w:t xml:space="preserve"> </w:t>
      </w:r>
      <w:r>
        <w:rPr>
          <w:rStyle w:val="None"/>
          <w:rFonts w:ascii="Arial Unicode MS" w:eastAsia="Arial Unicode MS" w:hAnsi="Arial Unicode MS" w:cs="Arial Unicode MS"/>
          <w:color w:val="2B477B"/>
          <w:u w:color="000000"/>
        </w:rPr>
        <w:t>que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lang w:val="pt-PT"/>
        </w:rPr>
        <w:t>Estados</w:t>
      </w:r>
      <w:r>
        <w:rPr>
          <w:rStyle w:val="None"/>
          <w:color w:val="2B477B"/>
          <w:u w:color="000000"/>
        </w:rPr>
        <w:t xml:space="preserve"> </w:t>
      </w:r>
      <w:r>
        <w:rPr>
          <w:rStyle w:val="None"/>
          <w:rFonts w:ascii="Arial Unicode MS" w:eastAsia="Arial Unicode MS" w:hAnsi="Arial Unicode MS" w:cs="Arial Unicode MS"/>
          <w:color w:val="2B477B"/>
          <w:u w:color="000000"/>
        </w:rPr>
        <w:t>deben</w:t>
      </w:r>
      <w:r>
        <w:rPr>
          <w:rStyle w:val="None"/>
          <w:color w:val="2B477B"/>
          <w:u w:color="000000"/>
        </w:rPr>
        <w:t xml:space="preserve"> </w:t>
      </w:r>
      <w:r>
        <w:rPr>
          <w:rStyle w:val="None"/>
          <w:rFonts w:ascii="Arial Unicode MS" w:eastAsia="Arial Unicode MS" w:hAnsi="Arial Unicode MS" w:cs="Arial Unicode MS"/>
          <w:color w:val="2B477B"/>
          <w:u w:color="000000"/>
        </w:rPr>
        <w:t>brindar</w:t>
      </w:r>
      <w:r>
        <w:rPr>
          <w:rStyle w:val="None"/>
          <w:color w:val="2B477B"/>
          <w:u w:color="000000"/>
        </w:rPr>
        <w:t xml:space="preserve"> </w:t>
      </w:r>
      <w:r>
        <w:rPr>
          <w:rStyle w:val="None"/>
          <w:rFonts w:ascii="Arial Unicode MS" w:eastAsia="Arial Unicode MS" w:hAnsi="Arial Unicode MS" w:cs="Arial Unicode MS"/>
          <w:color w:val="2B477B"/>
          <w:u w:color="000000"/>
        </w:rPr>
        <w:t>pol</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lang w:val="pt-PT"/>
        </w:rPr>
        <w:t>ticas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salud</w:t>
      </w:r>
      <w:r>
        <w:rPr>
          <w:rStyle w:val="None"/>
          <w:color w:val="2B477B"/>
          <w:u w:color="000000"/>
        </w:rPr>
        <w:t xml:space="preserve"> </w:t>
      </w:r>
      <w:r>
        <w:rPr>
          <w:rStyle w:val="None"/>
          <w:rFonts w:ascii="Arial Unicode MS" w:eastAsia="Arial Unicode MS" w:hAnsi="Arial Unicode MS" w:cs="Arial Unicode MS"/>
          <w:color w:val="2B477B"/>
          <w:u w:color="000000"/>
        </w:rPr>
        <w:t>adecuadas</w:t>
      </w:r>
      <w:r>
        <w:rPr>
          <w:rStyle w:val="None"/>
          <w:color w:val="2B477B"/>
          <w:u w:color="000000"/>
        </w:rPr>
        <w:t xml:space="preserve"> </w:t>
      </w:r>
      <w:r>
        <w:rPr>
          <w:rStyle w:val="None"/>
          <w:rFonts w:ascii="Arial Unicode MS" w:eastAsia="Arial Unicode MS" w:hAnsi="Arial Unicode MS" w:cs="Arial Unicode MS"/>
          <w:color w:val="2B477B"/>
          <w:u w:color="000000"/>
        </w:rPr>
        <w:t>que</w:t>
      </w:r>
      <w:r>
        <w:rPr>
          <w:rStyle w:val="None"/>
          <w:color w:val="2B477B"/>
          <w:u w:color="000000"/>
        </w:rPr>
        <w:t xml:space="preserve"> </w:t>
      </w:r>
      <w:r>
        <w:rPr>
          <w:rStyle w:val="None"/>
          <w:rFonts w:ascii="Arial Unicode MS" w:eastAsia="Arial Unicode MS" w:hAnsi="Arial Unicode MS" w:cs="Arial Unicode MS"/>
          <w:color w:val="2B477B"/>
          <w:u w:color="000000"/>
          <w:lang w:val="pt-PT"/>
        </w:rPr>
        <w:t>permitan</w:t>
      </w:r>
      <w:r>
        <w:rPr>
          <w:rStyle w:val="None"/>
          <w:color w:val="2B477B"/>
          <w:u w:color="000000"/>
        </w:rPr>
        <w:t xml:space="preserve"> </w:t>
      </w:r>
      <w:r>
        <w:rPr>
          <w:rStyle w:val="None"/>
          <w:rFonts w:ascii="Arial Unicode MS" w:eastAsia="Arial Unicode MS" w:hAnsi="Arial Unicode MS" w:cs="Arial Unicode MS"/>
          <w:color w:val="2B477B"/>
          <w:u w:color="000000"/>
        </w:rPr>
        <w:t>ofrecer</w:t>
      </w:r>
      <w:r>
        <w:rPr>
          <w:rStyle w:val="None"/>
          <w:color w:val="2B477B"/>
          <w:u w:color="000000"/>
        </w:rPr>
        <w:t xml:space="preserve"> </w:t>
      </w:r>
      <w:r>
        <w:rPr>
          <w:rStyle w:val="None"/>
          <w:rFonts w:ascii="Arial Unicode MS" w:eastAsia="Arial Unicode MS" w:hAnsi="Arial Unicode MS" w:cs="Arial Unicode MS"/>
          <w:color w:val="2B477B"/>
          <w:u w:color="000000"/>
        </w:rPr>
        <w:t>asistencia</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lang w:val="it-IT"/>
        </w:rPr>
        <w:t>personal</w:t>
      </w:r>
      <w:r>
        <w:rPr>
          <w:rStyle w:val="None"/>
          <w:color w:val="2B477B"/>
          <w:u w:color="000000"/>
        </w:rPr>
        <w:t xml:space="preserve"> </w:t>
      </w:r>
      <w:r>
        <w:rPr>
          <w:rStyle w:val="None"/>
          <w:rFonts w:ascii="Arial Unicode MS" w:eastAsia="Arial Unicode MS" w:hAnsi="Arial Unicode MS" w:cs="Arial Unicode MS"/>
          <w:color w:val="2B477B"/>
          <w:u w:color="000000"/>
        </w:rPr>
        <w:t>entrenado</w:t>
      </w:r>
      <w:r>
        <w:rPr>
          <w:rStyle w:val="None"/>
          <w:color w:val="2B477B"/>
          <w:u w:color="000000"/>
        </w:rPr>
        <w:t xml:space="preserve"> </w:t>
      </w:r>
      <w:r>
        <w:rPr>
          <w:rStyle w:val="None"/>
          <w:rFonts w:ascii="Arial Unicode MS" w:eastAsia="Arial Unicode MS" w:hAnsi="Arial Unicode MS" w:cs="Arial Unicode MS"/>
          <w:color w:val="2B477B"/>
          <w:u w:color="000000"/>
        </w:rPr>
        <w:t>adecuadamente</w:t>
      </w:r>
      <w:r>
        <w:rPr>
          <w:rStyle w:val="None"/>
          <w:color w:val="2B477B"/>
          <w:u w:color="000000"/>
        </w:rPr>
        <w:t xml:space="preserve"> </w:t>
      </w:r>
      <w:r>
        <w:rPr>
          <w:rStyle w:val="None"/>
          <w:rFonts w:ascii="Arial Unicode MS" w:eastAsia="Arial Unicode MS" w:hAnsi="Arial Unicode MS" w:cs="Arial Unicode MS"/>
          <w:color w:val="2B477B"/>
          <w:u w:color="000000"/>
          <w:lang w:val="pt-PT"/>
        </w:rPr>
        <w:t>para</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atenci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nacimientos,</w:t>
      </w:r>
      <w:r>
        <w:rPr>
          <w:rStyle w:val="None"/>
          <w:color w:val="2B477B"/>
          <w:u w:color="000000"/>
        </w:rPr>
        <w:t xml:space="preserve"> </w:t>
      </w:r>
      <w:r>
        <w:rPr>
          <w:rStyle w:val="None"/>
          <w:rFonts w:ascii="Arial Unicode MS" w:eastAsia="Arial Unicode MS" w:hAnsi="Arial Unicode MS" w:cs="Arial Unicode MS"/>
          <w:color w:val="2B477B"/>
          <w:u w:color="000000"/>
        </w:rPr>
        <w:t>pol</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lang w:val="pt-PT"/>
        </w:rPr>
        <w:t>ticas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prevenci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lang w:val="pt-PT"/>
        </w:rPr>
        <w:t>mortalidad</w:t>
      </w:r>
      <w:r>
        <w:rPr>
          <w:rStyle w:val="None"/>
          <w:color w:val="2B477B"/>
          <w:u w:color="000000"/>
        </w:rPr>
        <w:t xml:space="preserve"> </w:t>
      </w:r>
      <w:r>
        <w:rPr>
          <w:rStyle w:val="None"/>
          <w:rFonts w:ascii="Arial Unicode MS" w:eastAsia="Arial Unicode MS" w:hAnsi="Arial Unicode MS" w:cs="Arial Unicode MS"/>
          <w:color w:val="2B477B"/>
          <w:u w:color="000000"/>
          <w:lang w:val="fr-FR"/>
        </w:rPr>
        <w:t>materna</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rPr>
        <w:t>trav</w:t>
      </w:r>
      <w:r>
        <w:rPr>
          <w:rStyle w:val="None"/>
          <w:rFonts w:ascii="Helvetica LT Std Roman" w:hAnsi="Helvetica LT Std Roman"/>
          <w:color w:val="2B477B"/>
          <w:u w:color="000000"/>
        </w:rPr>
        <w:t>é</w:t>
      </w:r>
      <w:r>
        <w:rPr>
          <w:rStyle w:val="None"/>
          <w:rFonts w:ascii="Arial Unicode MS" w:eastAsia="Arial Unicode MS" w:hAnsi="Arial Unicode MS" w:cs="Arial Unicode MS"/>
          <w:color w:val="2B477B"/>
          <w:u w:color="000000"/>
        </w:rPr>
        <w:t>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fr-FR"/>
        </w:rPr>
        <w:t>controles</w:t>
      </w:r>
      <w:r>
        <w:rPr>
          <w:rStyle w:val="None"/>
          <w:color w:val="2B477B"/>
          <w:u w:color="000000"/>
        </w:rPr>
        <w:t xml:space="preserve"> </w:t>
      </w:r>
      <w:r>
        <w:rPr>
          <w:rStyle w:val="None"/>
          <w:rFonts w:ascii="Arial Unicode MS" w:eastAsia="Arial Unicode MS" w:hAnsi="Arial Unicode MS" w:cs="Arial Unicode MS"/>
          <w:color w:val="2B477B"/>
          <w:u w:color="000000"/>
          <w:lang w:val="it-IT"/>
        </w:rPr>
        <w:t>pre-natales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fr-FR"/>
        </w:rPr>
        <w:t>post-parto</w:t>
      </w:r>
      <w:r>
        <w:rPr>
          <w:rStyle w:val="None"/>
          <w:color w:val="2B477B"/>
          <w:u w:color="000000"/>
        </w:rPr>
        <w:t xml:space="preserve"> </w:t>
      </w:r>
      <w:r>
        <w:rPr>
          <w:rStyle w:val="None"/>
          <w:rFonts w:ascii="Arial Unicode MS" w:eastAsia="Arial Unicode MS" w:hAnsi="Arial Unicode MS" w:cs="Arial Unicode MS"/>
          <w:color w:val="2B477B"/>
          <w:u w:color="000000"/>
        </w:rPr>
        <w:t>adecuados,</w:t>
      </w:r>
      <w:r>
        <w:rPr>
          <w:rStyle w:val="None"/>
          <w:color w:val="2B477B"/>
          <w:u w:color="000000"/>
        </w:rPr>
        <w:t xml:space="preserve"> </w:t>
      </w:r>
      <w:r>
        <w:rPr>
          <w:rStyle w:val="None"/>
          <w:rFonts w:ascii="Arial Unicode MS" w:eastAsia="Arial Unicode MS" w:hAnsi="Arial Unicode MS" w:cs="Arial Unicode MS"/>
          <w:color w:val="2B477B"/>
          <w:u w:color="000000"/>
        </w:rPr>
        <w:t>e</w:t>
      </w:r>
      <w:r>
        <w:rPr>
          <w:rStyle w:val="None"/>
          <w:color w:val="2B477B"/>
          <w:u w:color="000000"/>
        </w:rPr>
        <w:t xml:space="preserve"> </w:t>
      </w:r>
      <w:r>
        <w:rPr>
          <w:rStyle w:val="None"/>
          <w:rFonts w:ascii="Arial Unicode MS" w:eastAsia="Arial Unicode MS" w:hAnsi="Arial Unicode MS" w:cs="Arial Unicode MS"/>
          <w:color w:val="2B477B"/>
          <w:u w:color="000000"/>
          <w:lang w:val="pt-PT"/>
        </w:rPr>
        <w:t>instrumentos</w:t>
      </w:r>
      <w:r>
        <w:rPr>
          <w:rStyle w:val="None"/>
          <w:color w:val="2B477B"/>
          <w:u w:color="000000"/>
        </w:rPr>
        <w:t xml:space="preserve"> </w:t>
      </w:r>
      <w:r>
        <w:rPr>
          <w:rStyle w:val="None"/>
          <w:rFonts w:ascii="Arial Unicode MS" w:eastAsia="Arial Unicode MS" w:hAnsi="Arial Unicode MS" w:cs="Arial Unicode MS"/>
          <w:color w:val="2B477B"/>
          <w:u w:color="000000"/>
        </w:rPr>
        <w:t>legales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pt-PT"/>
        </w:rPr>
        <w:t>administrativos</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pol</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lang w:val="pt-PT"/>
        </w:rPr>
        <w:t>ticas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salud</w:t>
      </w:r>
      <w:r>
        <w:rPr>
          <w:rStyle w:val="None"/>
          <w:color w:val="2B477B"/>
          <w:u w:color="000000"/>
        </w:rPr>
        <w:t xml:space="preserve"> </w:t>
      </w:r>
      <w:r>
        <w:rPr>
          <w:rStyle w:val="None"/>
          <w:rFonts w:ascii="Arial Unicode MS" w:eastAsia="Arial Unicode MS" w:hAnsi="Arial Unicode MS" w:cs="Arial Unicode MS"/>
          <w:color w:val="2B477B"/>
          <w:u w:color="000000"/>
        </w:rPr>
        <w:t>que</w:t>
      </w:r>
      <w:r>
        <w:rPr>
          <w:rStyle w:val="None"/>
          <w:color w:val="2B477B"/>
          <w:u w:color="000000"/>
        </w:rPr>
        <w:t xml:space="preserve"> </w:t>
      </w:r>
      <w:r>
        <w:rPr>
          <w:rStyle w:val="None"/>
          <w:rFonts w:ascii="Arial Unicode MS" w:eastAsia="Arial Unicode MS" w:hAnsi="Arial Unicode MS" w:cs="Arial Unicode MS"/>
          <w:color w:val="2B477B"/>
          <w:u w:color="000000"/>
          <w:lang w:val="pt-PT"/>
        </w:rPr>
        <w:t>permitan</w:t>
      </w:r>
      <w:r>
        <w:rPr>
          <w:rStyle w:val="None"/>
          <w:color w:val="2B477B"/>
          <w:u w:color="000000"/>
        </w:rPr>
        <w:t xml:space="preserve"> </w:t>
      </w:r>
      <w:r>
        <w:rPr>
          <w:rStyle w:val="None"/>
          <w:rFonts w:ascii="Arial Unicode MS" w:eastAsia="Arial Unicode MS" w:hAnsi="Arial Unicode MS" w:cs="Arial Unicode MS"/>
          <w:color w:val="2B477B"/>
          <w:u w:color="000000"/>
        </w:rPr>
        <w:t>documentar</w:t>
      </w:r>
      <w:r>
        <w:rPr>
          <w:rStyle w:val="None"/>
          <w:color w:val="2B477B"/>
          <w:u w:color="000000"/>
        </w:rPr>
        <w:t xml:space="preserve"> </w:t>
      </w:r>
      <w:r>
        <w:rPr>
          <w:rStyle w:val="None"/>
          <w:rFonts w:ascii="Arial Unicode MS" w:eastAsia="Arial Unicode MS" w:hAnsi="Arial Unicode MS" w:cs="Arial Unicode MS"/>
          <w:color w:val="2B477B"/>
          <w:u w:color="000000"/>
        </w:rPr>
        <w:t>adecuadamente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lang w:val="pt-PT"/>
        </w:rPr>
        <w:t>casos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pt-PT"/>
        </w:rPr>
        <w:t>mortalidad</w:t>
      </w:r>
      <w:r>
        <w:rPr>
          <w:rStyle w:val="None"/>
          <w:color w:val="2B477B"/>
          <w:u w:color="000000"/>
        </w:rPr>
        <w:t xml:space="preserve"> </w:t>
      </w:r>
      <w:r>
        <w:rPr>
          <w:rStyle w:val="None"/>
          <w:rFonts w:ascii="Arial Unicode MS" w:eastAsia="Arial Unicode MS" w:hAnsi="Arial Unicode MS" w:cs="Arial Unicode MS"/>
          <w:color w:val="2B477B"/>
          <w:u w:color="000000"/>
          <w:lang w:val="it-IT"/>
        </w:rPr>
        <w:t>materna.</w:t>
      </w:r>
      <w:r>
        <w:rPr>
          <w:rStyle w:val="None"/>
          <w:color w:val="2B477B"/>
          <w:u w:color="000000"/>
        </w:rPr>
        <w:t xml:space="preserve"> </w:t>
      </w:r>
      <w:r>
        <w:rPr>
          <w:rStyle w:val="None"/>
          <w:rFonts w:ascii="Arial Unicode MS" w:eastAsia="Arial Unicode MS" w:hAnsi="Arial Unicode MS" w:cs="Arial Unicode MS"/>
          <w:color w:val="2B477B"/>
          <w:u w:color="000000"/>
        </w:rPr>
        <w:t>Asimismo,</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rPr>
        <w:t>ha</w:t>
      </w:r>
      <w:r>
        <w:rPr>
          <w:rStyle w:val="None"/>
          <w:color w:val="2B477B"/>
          <w:u w:color="000000"/>
        </w:rPr>
        <w:t xml:space="preserve"> </w:t>
      </w:r>
      <w:r>
        <w:rPr>
          <w:rStyle w:val="None"/>
          <w:rFonts w:ascii="Arial Unicode MS" w:eastAsia="Arial Unicode MS" w:hAnsi="Arial Unicode MS" w:cs="Arial Unicode MS"/>
          <w:color w:val="2B477B"/>
          <w:u w:color="000000"/>
        </w:rPr>
        <w:t>reconocido</w:t>
      </w:r>
      <w:r>
        <w:rPr>
          <w:rStyle w:val="None"/>
          <w:color w:val="2B477B"/>
          <w:u w:color="000000"/>
        </w:rPr>
        <w:t xml:space="preserve"> </w:t>
      </w:r>
      <w:r>
        <w:rPr>
          <w:rStyle w:val="None"/>
          <w:rFonts w:ascii="Arial Unicode MS" w:eastAsia="Arial Unicode MS" w:hAnsi="Arial Unicode MS" w:cs="Arial Unicode MS"/>
          <w:color w:val="2B477B"/>
          <w:u w:color="000000"/>
          <w:lang w:val="fr-FR"/>
        </w:rPr>
        <w:t>que,</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lang w:val="it-IT"/>
        </w:rPr>
        <w:t>virtud</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19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Convenci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Estado</w:t>
      </w:r>
      <w:r>
        <w:rPr>
          <w:rStyle w:val="None"/>
          <w:color w:val="2B477B"/>
          <w:u w:color="000000"/>
        </w:rPr>
        <w:t xml:space="preserve"> </w:t>
      </w:r>
      <w:r>
        <w:rPr>
          <w:rStyle w:val="None"/>
          <w:rFonts w:ascii="Arial Unicode MS" w:eastAsia="Arial Unicode MS" w:hAnsi="Arial Unicode MS" w:cs="Arial Unicode MS"/>
          <w:color w:val="2B477B"/>
          <w:u w:color="000000"/>
        </w:rPr>
        <w:t>debe</w:t>
      </w:r>
      <w:r>
        <w:rPr>
          <w:rStyle w:val="None"/>
          <w:color w:val="2B477B"/>
          <w:u w:color="000000"/>
        </w:rPr>
        <w:t xml:space="preserve"> </w:t>
      </w:r>
      <w:r>
        <w:rPr>
          <w:rStyle w:val="None"/>
          <w:rFonts w:ascii="Arial Unicode MS" w:eastAsia="Arial Unicode MS" w:hAnsi="Arial Unicode MS" w:cs="Arial Unicode MS"/>
          <w:color w:val="2B477B"/>
          <w:u w:color="000000"/>
        </w:rPr>
        <w:t>asumir</w:t>
      </w:r>
      <w:r>
        <w:rPr>
          <w:rStyle w:val="None"/>
          <w:color w:val="2B477B"/>
          <w:u w:color="000000"/>
        </w:rPr>
        <w:t xml:space="preserve"> </w:t>
      </w:r>
      <w:r>
        <w:rPr>
          <w:rStyle w:val="None"/>
          <w:rFonts w:ascii="Arial Unicode MS" w:eastAsia="Arial Unicode MS" w:hAnsi="Arial Unicode MS" w:cs="Arial Unicode MS"/>
          <w:color w:val="2B477B"/>
          <w:u w:color="000000"/>
          <w:lang w:val="it-IT"/>
        </w:rPr>
        <w:t>una</w:t>
      </w:r>
      <w:r>
        <w:rPr>
          <w:rStyle w:val="None"/>
          <w:color w:val="2B477B"/>
          <w:u w:color="000000"/>
        </w:rPr>
        <w:t xml:space="preserve"> </w:t>
      </w:r>
      <w:r>
        <w:rPr>
          <w:rStyle w:val="None"/>
          <w:rFonts w:ascii="Arial Unicode MS" w:eastAsia="Arial Unicode MS" w:hAnsi="Arial Unicode MS" w:cs="Arial Unicode MS"/>
          <w:color w:val="2B477B"/>
          <w:u w:color="000000"/>
        </w:rPr>
        <w:t>posici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especial</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it-IT"/>
        </w:rPr>
        <w:t>garante</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w:t>
      </w:r>
      <w:r>
        <w:rPr>
          <w:rStyle w:val="None"/>
          <w:color w:val="2B477B"/>
          <w:u w:color="000000"/>
        </w:rPr>
        <w:t xml:space="preserve"> </w:t>
      </w:r>
      <w:r>
        <w:rPr>
          <w:rStyle w:val="None"/>
          <w:rFonts w:ascii="Arial Unicode MS" w:eastAsia="Arial Unicode MS" w:hAnsi="Arial Unicode MS" w:cs="Arial Unicode MS"/>
          <w:color w:val="2B477B"/>
          <w:u w:color="000000"/>
        </w:rPr>
        <w:t>mayor</w:t>
      </w:r>
      <w:r>
        <w:rPr>
          <w:rStyle w:val="None"/>
          <w:color w:val="2B477B"/>
          <w:u w:color="000000"/>
        </w:rPr>
        <w:t xml:space="preserve"> </w:t>
      </w:r>
      <w:r>
        <w:rPr>
          <w:rStyle w:val="None"/>
          <w:rFonts w:ascii="Arial Unicode MS" w:eastAsia="Arial Unicode MS" w:hAnsi="Arial Unicode MS" w:cs="Arial Unicode MS"/>
          <w:color w:val="2B477B"/>
          <w:u w:color="000000"/>
          <w:lang w:val="pt-PT"/>
        </w:rPr>
        <w:t>cuidado</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responsabilidad,</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debe</w:t>
      </w:r>
      <w:r>
        <w:rPr>
          <w:rStyle w:val="None"/>
          <w:color w:val="2B477B"/>
          <w:u w:color="000000"/>
        </w:rPr>
        <w:t xml:space="preserve"> </w:t>
      </w:r>
      <w:r>
        <w:rPr>
          <w:rStyle w:val="None"/>
          <w:rFonts w:ascii="Arial Unicode MS" w:eastAsia="Arial Unicode MS" w:hAnsi="Arial Unicode MS" w:cs="Arial Unicode MS"/>
          <w:color w:val="2B477B"/>
          <w:u w:color="000000"/>
        </w:rPr>
        <w:t>tomar</w:t>
      </w:r>
      <w:r>
        <w:rPr>
          <w:rStyle w:val="None"/>
          <w:color w:val="2B477B"/>
          <w:u w:color="000000"/>
        </w:rPr>
        <w:t xml:space="preserve"> </w:t>
      </w:r>
      <w:r>
        <w:rPr>
          <w:rStyle w:val="None"/>
          <w:rFonts w:ascii="Arial Unicode MS" w:eastAsia="Arial Unicode MS" w:hAnsi="Arial Unicode MS" w:cs="Arial Unicode MS"/>
          <w:color w:val="2B477B"/>
          <w:u w:color="000000"/>
          <w:lang w:val="pt-PT"/>
        </w:rPr>
        <w:t>medidas</w:t>
      </w:r>
      <w:r>
        <w:rPr>
          <w:rStyle w:val="None"/>
          <w:color w:val="2B477B"/>
          <w:u w:color="000000"/>
        </w:rPr>
        <w:t xml:space="preserve"> </w:t>
      </w:r>
      <w:r>
        <w:rPr>
          <w:rStyle w:val="None"/>
          <w:rFonts w:ascii="Arial Unicode MS" w:eastAsia="Arial Unicode MS" w:hAnsi="Arial Unicode MS" w:cs="Arial Unicode MS"/>
          <w:color w:val="2B477B"/>
          <w:u w:color="000000"/>
        </w:rPr>
        <w:t>especiales</w:t>
      </w:r>
      <w:r>
        <w:rPr>
          <w:rStyle w:val="None"/>
          <w:color w:val="2B477B"/>
          <w:u w:color="000000"/>
        </w:rPr>
        <w:t xml:space="preserve"> </w:t>
      </w:r>
      <w:r>
        <w:rPr>
          <w:rStyle w:val="None"/>
          <w:rFonts w:ascii="Arial Unicode MS" w:eastAsia="Arial Unicode MS" w:hAnsi="Arial Unicode MS" w:cs="Arial Unicode MS"/>
          <w:color w:val="2B477B"/>
          <w:u w:color="000000"/>
          <w:lang w:val="pt-PT"/>
        </w:rPr>
        <w:t>orientadas</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rPr>
        <w:t>principio</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inter</w:t>
      </w:r>
      <w:r>
        <w:rPr>
          <w:rStyle w:val="None"/>
          <w:rFonts w:ascii="Helvetica LT Std Roman" w:hAnsi="Helvetica LT Std Roman"/>
          <w:color w:val="2B477B"/>
          <w:u w:color="000000"/>
        </w:rPr>
        <w:t>é</w:t>
      </w:r>
      <w:r>
        <w:rPr>
          <w:rStyle w:val="None"/>
          <w:rFonts w:ascii="Arial Unicode MS" w:eastAsia="Arial Unicode MS" w:hAnsi="Arial Unicode MS" w:cs="Arial Unicode MS"/>
          <w:color w:val="2B477B"/>
          <w:u w:color="000000"/>
        </w:rPr>
        <w:t>s</w:t>
      </w:r>
      <w:r>
        <w:rPr>
          <w:rStyle w:val="None"/>
          <w:color w:val="2B477B"/>
          <w:u w:color="000000"/>
        </w:rPr>
        <w:t xml:space="preserve"> </w:t>
      </w:r>
      <w:r>
        <w:rPr>
          <w:rStyle w:val="None"/>
          <w:rFonts w:ascii="Arial Unicode MS" w:eastAsia="Arial Unicode MS" w:hAnsi="Arial Unicode MS" w:cs="Arial Unicode MS"/>
          <w:color w:val="2B477B"/>
          <w:u w:color="000000"/>
          <w:lang w:val="pt-PT"/>
        </w:rPr>
        <w:t>superior</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niñ</w:t>
      </w:r>
      <w:r>
        <w:rPr>
          <w:rStyle w:val="None"/>
          <w:rFonts w:ascii="Arial Unicode MS" w:eastAsia="Arial Unicode MS" w:hAnsi="Arial Unicode MS" w:cs="Arial Unicode MS"/>
          <w:color w:val="2B477B"/>
          <w:u w:color="000000"/>
          <w:lang w:val="it-IT"/>
        </w:rPr>
        <w:t>o.</w:t>
      </w:r>
      <w:r>
        <w:rPr>
          <w:rStyle w:val="None"/>
          <w:rFonts w:ascii="Helvetica LT Std Roman" w:hAnsi="Helvetica LT Std Roman"/>
          <w:color w:val="2B477B"/>
          <w:u w:color="000000"/>
        </w:rPr>
        <w:t>”</w:t>
      </w:r>
    </w:p>
  </w:footnote>
  <w:footnote w:id="602">
    <w:p w14:paraId="7B8B1680"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raz</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fr-FR"/>
        </w:rPr>
        <w:t>principal</w:t>
      </w:r>
      <w:r>
        <w:rPr>
          <w:rStyle w:val="None"/>
          <w:color w:val="2B477B"/>
          <w:u w:color="000000"/>
        </w:rPr>
        <w:t xml:space="preserve"> </w:t>
      </w:r>
      <w:r>
        <w:rPr>
          <w:rStyle w:val="None"/>
          <w:rFonts w:ascii="Arial Unicode MS" w:eastAsia="Arial Unicode MS" w:hAnsi="Arial Unicode MS" w:cs="Arial Unicode MS"/>
          <w:color w:val="2B477B"/>
          <w:u w:color="000000"/>
          <w:lang w:val="pt-PT"/>
        </w:rPr>
        <w:t>para</w:t>
      </w:r>
      <w:r>
        <w:rPr>
          <w:rStyle w:val="None"/>
          <w:color w:val="2B477B"/>
          <w:u w:color="000000"/>
        </w:rPr>
        <w:t xml:space="preserve"> </w:t>
      </w:r>
      <w:r>
        <w:rPr>
          <w:rStyle w:val="None"/>
          <w:rFonts w:ascii="Arial Unicode MS" w:eastAsia="Arial Unicode MS" w:hAnsi="Arial Unicode MS" w:cs="Arial Unicode MS"/>
          <w:color w:val="2B477B"/>
          <w:u w:color="000000"/>
        </w:rPr>
        <w:t>disponer</w:t>
      </w:r>
      <w:r>
        <w:rPr>
          <w:rStyle w:val="None"/>
          <w:color w:val="2B477B"/>
          <w:u w:color="000000"/>
        </w:rPr>
        <w:t xml:space="preserve"> </w:t>
      </w:r>
      <w:r>
        <w:rPr>
          <w:rStyle w:val="None"/>
          <w:rFonts w:ascii="Arial Unicode MS" w:eastAsia="Arial Unicode MS" w:hAnsi="Arial Unicode MS" w:cs="Arial Unicode MS"/>
          <w:color w:val="2B477B"/>
          <w:u w:color="000000"/>
        </w:rPr>
        <w:t>en</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rrafo</w:t>
      </w:r>
      <w:r>
        <w:rPr>
          <w:rStyle w:val="None"/>
          <w:color w:val="2B477B"/>
          <w:u w:color="000000"/>
        </w:rPr>
        <w:t xml:space="preserve"> 4 </w:t>
      </w:r>
      <w:r>
        <w:rPr>
          <w:rStyle w:val="None"/>
          <w:rFonts w:ascii="Arial Unicode MS" w:eastAsia="Arial Unicode MS" w:hAnsi="Arial Unicode MS" w:cs="Arial Unicode MS"/>
          <w:color w:val="2B477B"/>
          <w:u w:color="000000"/>
        </w:rPr>
        <w:t>[ahora</w:t>
      </w:r>
      <w:r>
        <w:rPr>
          <w:rStyle w:val="None"/>
          <w:color w:val="2B477B"/>
          <w:u w:color="000000"/>
        </w:rPr>
        <w:t xml:space="preserve"> </w:t>
      </w:r>
      <w:r>
        <w:rPr>
          <w:rStyle w:val="None"/>
          <w:rFonts w:ascii="Arial Unicode MS" w:eastAsia="Arial Unicode MS" w:hAnsi="Arial Unicode MS" w:cs="Arial Unicode MS"/>
          <w:color w:val="2B477B"/>
          <w:u w:color="000000"/>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6</w:t>
      </w:r>
      <w:r>
        <w:rPr>
          <w:rStyle w:val="None"/>
          <w:rFonts w:ascii="Arial Unicode MS" w:eastAsia="Arial Unicode MS" w:hAnsi="Arial Unicode MS" w:cs="Arial Unicode MS"/>
          <w:color w:val="2B477B"/>
          <w:u w:color="000000"/>
        </w:rPr>
        <w:t>(</w:t>
      </w:r>
      <w:r>
        <w:rPr>
          <w:rStyle w:val="None"/>
          <w:color w:val="2B477B"/>
          <w:u w:color="000000"/>
        </w:rPr>
        <w:t>5</w:t>
      </w:r>
      <w:r>
        <w:rPr>
          <w:rStyle w:val="None"/>
          <w:rFonts w:ascii="Arial Unicode MS" w:eastAsia="Arial Unicode MS" w:hAnsi="Arial Unicode MS" w:cs="Arial Unicode MS"/>
          <w:color w:val="2B477B"/>
          <w:u w:color="000000"/>
          <w:lang w:val="pt-PT"/>
        </w:rPr>
        <w:t>)]</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texto</w:t>
      </w:r>
      <w:r>
        <w:rPr>
          <w:rStyle w:val="None"/>
          <w:color w:val="2B477B"/>
          <w:u w:color="000000"/>
        </w:rPr>
        <w:t xml:space="preserve"> </w:t>
      </w:r>
      <w:r>
        <w:rPr>
          <w:rStyle w:val="None"/>
          <w:rFonts w:ascii="Arial Unicode MS" w:eastAsia="Arial Unicode MS" w:hAnsi="Arial Unicode MS" w:cs="Arial Unicode MS"/>
          <w:color w:val="2B477B"/>
          <w:u w:color="000000"/>
          <w:lang w:val="it-IT"/>
        </w:rPr>
        <w:t>original</w:t>
      </w:r>
      <w:r>
        <w:rPr>
          <w:rStyle w:val="None"/>
          <w:color w:val="2B477B"/>
          <w:u w:color="000000"/>
        </w:rPr>
        <w:t xml:space="preserve"> </w:t>
      </w:r>
      <w:r>
        <w:rPr>
          <w:rStyle w:val="None"/>
          <w:rFonts w:ascii="Arial Unicode MS" w:eastAsia="Arial Unicode MS" w:hAnsi="Arial Unicode MS" w:cs="Arial Unicode MS"/>
          <w:color w:val="2B477B"/>
          <w:u w:color="000000"/>
        </w:rPr>
        <w:t>que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lang w:val="it-IT"/>
        </w:rPr>
        <w:t>pena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muerte</w:t>
      </w:r>
      <w:r>
        <w:rPr>
          <w:rStyle w:val="None"/>
          <w:color w:val="2B477B"/>
          <w:u w:color="000000"/>
        </w:rPr>
        <w:t xml:space="preserve"> </w:t>
      </w:r>
      <w:r>
        <w:rPr>
          <w:rStyle w:val="None"/>
          <w:rFonts w:ascii="Arial Unicode MS" w:eastAsia="Arial Unicode MS" w:hAnsi="Arial Unicode MS" w:cs="Arial Unicode MS"/>
          <w:color w:val="2B477B"/>
          <w:u w:color="000000"/>
        </w:rPr>
        <w:t>no</w:t>
      </w:r>
      <w:r>
        <w:rPr>
          <w:rStyle w:val="None"/>
          <w:color w:val="2B477B"/>
          <w:u w:color="000000"/>
        </w:rPr>
        <w:t xml:space="preserve"> </w:t>
      </w:r>
      <w:r>
        <w:rPr>
          <w:rStyle w:val="None"/>
          <w:rFonts w:ascii="Arial Unicode MS" w:eastAsia="Arial Unicode MS" w:hAnsi="Arial Unicode MS" w:cs="Arial Unicode MS"/>
          <w:color w:val="2B477B"/>
          <w:u w:color="000000"/>
        </w:rPr>
        <w:t>deber</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rPr>
        <w:t>aplicarse</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rPr>
        <w:t>mujeres</w:t>
      </w:r>
      <w:r>
        <w:rPr>
          <w:rStyle w:val="None"/>
          <w:color w:val="2B477B"/>
          <w:u w:color="000000"/>
        </w:rPr>
        <w:t xml:space="preserve"> </w:t>
      </w:r>
      <w:r>
        <w:rPr>
          <w:rStyle w:val="None"/>
          <w:rFonts w:ascii="Arial Unicode MS" w:eastAsia="Arial Unicode MS" w:hAnsi="Arial Unicode MS" w:cs="Arial Unicode MS"/>
          <w:color w:val="2B477B"/>
          <w:u w:color="000000"/>
        </w:rPr>
        <w:t>embarazadas</w:t>
      </w:r>
      <w:r>
        <w:rPr>
          <w:rStyle w:val="None"/>
          <w:color w:val="2B477B"/>
          <w:u w:color="000000"/>
        </w:rPr>
        <w:t xml:space="preserve"> </w:t>
      </w:r>
      <w:r>
        <w:rPr>
          <w:rStyle w:val="None"/>
          <w:rFonts w:ascii="Arial Unicode MS" w:eastAsia="Arial Unicode MS" w:hAnsi="Arial Unicode MS" w:cs="Arial Unicode MS"/>
          <w:color w:val="2B477B"/>
          <w:u w:color="000000"/>
        </w:rPr>
        <w:t>fue</w:t>
      </w:r>
      <w:r>
        <w:rPr>
          <w:rStyle w:val="None"/>
          <w:color w:val="2B477B"/>
          <w:u w:color="000000"/>
        </w:rPr>
        <w:t xml:space="preserve"> </w:t>
      </w:r>
      <w:r>
        <w:rPr>
          <w:rStyle w:val="None"/>
          <w:rFonts w:ascii="Arial Unicode MS" w:eastAsia="Arial Unicode MS" w:hAnsi="Arial Unicode MS" w:cs="Arial Unicode MS"/>
          <w:color w:val="2B477B"/>
          <w:u w:color="000000"/>
          <w:lang w:val="pt-PT"/>
        </w:rPr>
        <w:t>para</w:t>
      </w:r>
      <w:r>
        <w:rPr>
          <w:rStyle w:val="None"/>
          <w:color w:val="2B477B"/>
          <w:u w:color="000000"/>
        </w:rPr>
        <w:t xml:space="preserve"> </w:t>
      </w:r>
      <w:r>
        <w:rPr>
          <w:rStyle w:val="None"/>
          <w:rFonts w:ascii="Arial Unicode MS" w:eastAsia="Arial Unicode MS" w:hAnsi="Arial Unicode MS" w:cs="Arial Unicode MS"/>
          <w:color w:val="2B477B"/>
          <w:u w:color="000000"/>
          <w:lang w:val="it-IT"/>
        </w:rPr>
        <w:t>salvar</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lang w:val="pt-PT"/>
        </w:rPr>
        <w:t>vida</w:t>
      </w:r>
      <w:r>
        <w:rPr>
          <w:rStyle w:val="None"/>
          <w:color w:val="2B477B"/>
          <w:u w:color="000000"/>
        </w:rPr>
        <w:t xml:space="preserve"> </w:t>
      </w:r>
      <w:r>
        <w:rPr>
          <w:rStyle w:val="None"/>
          <w:rFonts w:ascii="Arial Unicode MS" w:eastAsia="Arial Unicode MS" w:hAnsi="Arial Unicode MS" w:cs="Arial Unicode MS"/>
          <w:color w:val="2B477B"/>
          <w:u w:color="000000"/>
        </w:rPr>
        <w:t>inocente</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ni</w:t>
      </w:r>
      <w:r>
        <w:rPr>
          <w:rStyle w:val="None"/>
          <w:rFonts w:ascii="Helvetica LT Std Roman" w:hAnsi="Helvetica LT Std Roman"/>
          <w:color w:val="2B477B"/>
          <w:u w:color="000000"/>
        </w:rPr>
        <w:t>ñ</w:t>
      </w:r>
      <w:r>
        <w:rPr>
          <w:rStyle w:val="None"/>
          <w:rFonts w:ascii="Arial Unicode MS" w:eastAsia="Arial Unicode MS" w:hAnsi="Arial Unicode MS" w:cs="Arial Unicode MS"/>
          <w:color w:val="2B477B"/>
          <w:u w:color="000000"/>
        </w:rPr>
        <w:t>o</w:t>
      </w:r>
      <w:r>
        <w:rPr>
          <w:rStyle w:val="None"/>
          <w:color w:val="2B477B"/>
          <w:u w:color="000000"/>
        </w:rPr>
        <w:t xml:space="preserve"> </w:t>
      </w:r>
      <w:r>
        <w:rPr>
          <w:rStyle w:val="None"/>
          <w:rFonts w:ascii="Arial Unicode MS" w:eastAsia="Arial Unicode MS" w:hAnsi="Arial Unicode MS" w:cs="Arial Unicode MS"/>
          <w:color w:val="2B477B"/>
          <w:u w:color="000000"/>
        </w:rPr>
        <w:t>no</w:t>
      </w:r>
      <w:r>
        <w:rPr>
          <w:rStyle w:val="None"/>
          <w:color w:val="2B477B"/>
          <w:u w:color="000000"/>
        </w:rPr>
        <w:t xml:space="preserve"> </w:t>
      </w:r>
      <w:r>
        <w:rPr>
          <w:rStyle w:val="None"/>
          <w:rFonts w:ascii="Arial Unicode MS" w:eastAsia="Arial Unicode MS" w:hAnsi="Arial Unicode MS" w:cs="Arial Unicode MS"/>
          <w:color w:val="2B477B"/>
          <w:u w:color="000000"/>
        </w:rPr>
        <w:t>nacido</w:t>
      </w:r>
      <w:r>
        <w:rPr>
          <w:rStyle w:val="None"/>
          <w:rFonts w:ascii="Helvetica LT Std Roman" w:hAnsi="Helvetica LT Std Roman"/>
          <w:color w:val="2B477B"/>
          <w:u w:color="000000"/>
        </w:rPr>
        <w:t>”</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Naciones</w:t>
      </w:r>
      <w:r>
        <w:rPr>
          <w:rStyle w:val="None"/>
          <w:color w:val="2B477B"/>
          <w:u w:color="000000"/>
        </w:rPr>
        <w:t xml:space="preserve"> </w:t>
      </w:r>
      <w:r>
        <w:rPr>
          <w:rStyle w:val="None"/>
          <w:rFonts w:ascii="Arial Unicode MS" w:eastAsia="Arial Unicode MS" w:hAnsi="Arial Unicode MS" w:cs="Arial Unicode MS"/>
          <w:color w:val="2B477B"/>
          <w:u w:color="000000"/>
          <w:lang w:val="pt-PT"/>
        </w:rPr>
        <w:t>Unidas.</w:t>
      </w:r>
      <w:r>
        <w:rPr>
          <w:rStyle w:val="None"/>
          <w:color w:val="2B477B"/>
          <w:u w:color="000000"/>
        </w:rPr>
        <w:t xml:space="preserve"> </w:t>
      </w:r>
      <w:r>
        <w:rPr>
          <w:rStyle w:val="None"/>
          <w:rFonts w:ascii="Arial Unicode MS" w:eastAsia="Arial Unicode MS" w:hAnsi="Arial Unicode MS" w:cs="Arial Unicode MS"/>
          <w:color w:val="2B477B"/>
          <w:u w:color="000000"/>
          <w:lang w:val="it-IT"/>
        </w:rPr>
        <w:t>Asamblea</w:t>
      </w:r>
      <w:r>
        <w:rPr>
          <w:rStyle w:val="None"/>
          <w:color w:val="2B477B"/>
          <w:u w:color="000000"/>
        </w:rPr>
        <w:t xml:space="preserve"> </w:t>
      </w:r>
      <w:r>
        <w:rPr>
          <w:rStyle w:val="None"/>
          <w:rFonts w:ascii="Arial Unicode MS" w:eastAsia="Arial Unicode MS" w:hAnsi="Arial Unicode MS" w:cs="Arial Unicode MS"/>
          <w:color w:val="2B477B"/>
          <w:u w:color="000000"/>
        </w:rPr>
        <w:t>General.</w:t>
      </w:r>
      <w:r>
        <w:rPr>
          <w:rStyle w:val="None"/>
          <w:color w:val="2B477B"/>
          <w:u w:color="000000"/>
        </w:rPr>
        <w:t xml:space="preserve"> </w:t>
      </w:r>
      <w:r>
        <w:rPr>
          <w:rStyle w:val="None"/>
          <w:rFonts w:ascii="Arial Unicode MS" w:eastAsia="Arial Unicode MS" w:hAnsi="Arial Unicode MS" w:cs="Arial Unicode MS"/>
          <w:color w:val="2B477B"/>
          <w:u w:color="000000"/>
          <w:lang w:val="de-DE"/>
        </w:rPr>
        <w:t>Informe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Tercera</w:t>
      </w:r>
      <w:r>
        <w:rPr>
          <w:rStyle w:val="None"/>
          <w:color w:val="2B477B"/>
          <w:u w:color="000000"/>
        </w:rPr>
        <w:t xml:space="preserve"> </w:t>
      </w:r>
      <w:r>
        <w:rPr>
          <w:rStyle w:val="None"/>
          <w:rFonts w:ascii="Arial Unicode MS" w:eastAsia="Arial Unicode MS" w:hAnsi="Arial Unicode MS" w:cs="Arial Unicode MS"/>
          <w:color w:val="2B477B"/>
          <w:u w:color="000000"/>
        </w:rPr>
        <w:t>Comisi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Proyectos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Pactos</w:t>
      </w:r>
      <w:r>
        <w:rPr>
          <w:rStyle w:val="None"/>
          <w:color w:val="2B477B"/>
          <w:u w:color="000000"/>
        </w:rPr>
        <w:t xml:space="preserve"> </w:t>
      </w:r>
      <w:r>
        <w:rPr>
          <w:rStyle w:val="None"/>
          <w:rFonts w:ascii="Arial Unicode MS" w:eastAsia="Arial Unicode MS" w:hAnsi="Arial Unicode MS" w:cs="Arial Unicode MS"/>
          <w:color w:val="2B477B"/>
          <w:u w:color="000000"/>
        </w:rPr>
        <w:t>Internacionales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/3764</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g.</w:t>
      </w:r>
      <w:r>
        <w:rPr>
          <w:rStyle w:val="None"/>
          <w:color w:val="2B477B"/>
          <w:u w:color="000000"/>
        </w:rPr>
        <w:t xml:space="preserve"> 40</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603">
    <w:p w14:paraId="21EB225D"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en-US"/>
        </w:rPr>
        <w:t>CADH.</w:t>
      </w:r>
      <w:r>
        <w:rPr>
          <w:rStyle w:val="None"/>
          <w:color w:val="2B477B"/>
          <w:u w:color="000000"/>
        </w:rPr>
        <w:t xml:space="preserve"> </w:t>
      </w:r>
      <w:r>
        <w:rPr>
          <w:rStyle w:val="None"/>
          <w:rFonts w:ascii="Arial Unicode MS" w:eastAsia="Arial Unicode MS" w:hAnsi="Arial Unicode MS" w:cs="Arial Unicode MS"/>
          <w:color w:val="2B477B"/>
          <w:u w:color="000000"/>
          <w:lang w:val="de-DE"/>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4</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604">
    <w:p w14:paraId="549218FC"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de-DE"/>
        </w:rPr>
        <w:t>Voto</w:t>
      </w:r>
      <w:r>
        <w:rPr>
          <w:rStyle w:val="None"/>
          <w:color w:val="2B477B"/>
          <w:u w:color="000000"/>
        </w:rPr>
        <w:t xml:space="preserve"> </w:t>
      </w:r>
      <w:r>
        <w:rPr>
          <w:rStyle w:val="None"/>
          <w:rFonts w:ascii="Arial Unicode MS" w:eastAsia="Arial Unicode MS" w:hAnsi="Arial Unicode MS" w:cs="Arial Unicode MS"/>
          <w:color w:val="2B477B"/>
          <w:u w:color="000000"/>
          <w:lang w:val="it-IT"/>
        </w:rPr>
        <w:t>Parcialmente</w:t>
      </w:r>
      <w:r>
        <w:rPr>
          <w:rStyle w:val="None"/>
          <w:color w:val="2B477B"/>
          <w:u w:color="000000"/>
        </w:rPr>
        <w:t xml:space="preserve"> </w:t>
      </w:r>
      <w:r>
        <w:rPr>
          <w:rStyle w:val="None"/>
          <w:rFonts w:ascii="Arial Unicode MS" w:eastAsia="Arial Unicode MS" w:hAnsi="Arial Unicode MS" w:cs="Arial Unicode MS"/>
          <w:color w:val="2B477B"/>
          <w:u w:color="000000"/>
          <w:lang w:val="it-IT"/>
        </w:rPr>
        <w:t>Disidente</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rPr>
        <w:t>Juez</w:t>
      </w:r>
      <w:r>
        <w:rPr>
          <w:rStyle w:val="None"/>
          <w:color w:val="2B477B"/>
          <w:u w:color="000000"/>
        </w:rPr>
        <w:t xml:space="preserve"> </w:t>
      </w:r>
      <w:r>
        <w:rPr>
          <w:rStyle w:val="None"/>
          <w:rFonts w:ascii="Arial Unicode MS" w:eastAsia="Arial Unicode MS" w:hAnsi="Arial Unicode MS" w:cs="Arial Unicode MS"/>
          <w:color w:val="2B477B"/>
          <w:u w:color="000000"/>
          <w:lang w:val="it-IT"/>
        </w:rPr>
        <w:t>Eduardo</w:t>
      </w:r>
      <w:r>
        <w:rPr>
          <w:rStyle w:val="None"/>
          <w:color w:val="2B477B"/>
          <w:u w:color="000000"/>
        </w:rPr>
        <w:t xml:space="preserve"> </w:t>
      </w:r>
      <w:r>
        <w:rPr>
          <w:rStyle w:val="None"/>
          <w:rFonts w:ascii="Arial Unicode MS" w:eastAsia="Arial Unicode MS" w:hAnsi="Arial Unicode MS" w:cs="Arial Unicode MS"/>
          <w:color w:val="2B477B"/>
          <w:u w:color="000000"/>
        </w:rPr>
        <w:t>Vio</w:t>
      </w:r>
      <w:r>
        <w:rPr>
          <w:rStyle w:val="None"/>
          <w:color w:val="2B477B"/>
          <w:u w:color="000000"/>
        </w:rPr>
        <w:t xml:space="preserve"> </w:t>
      </w:r>
      <w:r>
        <w:rPr>
          <w:rStyle w:val="None"/>
          <w:rFonts w:ascii="Arial Unicode MS" w:eastAsia="Arial Unicode MS" w:hAnsi="Arial Unicode MS" w:cs="Arial Unicode MS"/>
          <w:color w:val="2B477B"/>
          <w:u w:color="000000"/>
          <w:lang w:val="it-IT"/>
        </w:rPr>
        <w:t>Grossi,</w:t>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it-IT"/>
        </w:rPr>
        <w:t>Interamericana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Arial Unicode MS" w:eastAsia="Arial Unicode MS" w:hAnsi="Arial Unicode MS" w:cs="Arial Unicode MS"/>
          <w:color w:val="2B477B"/>
          <w:u w:color="000000"/>
        </w:rPr>
        <w:t>Manuela</w:t>
      </w:r>
      <w:r>
        <w:rPr>
          <w:rStyle w:val="None"/>
          <w:color w:val="2B477B"/>
          <w:u w:color="000000"/>
        </w:rPr>
        <w:t xml:space="preserve"> </w:t>
      </w:r>
      <w:r>
        <w:rPr>
          <w:rStyle w:val="None"/>
          <w:rFonts w:ascii="Arial Unicode MS" w:eastAsia="Arial Unicode MS" w:hAnsi="Arial Unicode MS" w:cs="Arial Unicode MS"/>
          <w:color w:val="2B477B"/>
          <w:u w:color="000000"/>
          <w:lang w:val="en-US"/>
        </w:rPr>
        <w:t>Y</w:t>
      </w:r>
      <w:r>
        <w:rPr>
          <w:rStyle w:val="None"/>
          <w:color w:val="2B477B"/>
          <w:u w:color="000000"/>
        </w:rPr>
        <w:t xml:space="preserve"> </w:t>
      </w:r>
      <w:r>
        <w:rPr>
          <w:rStyle w:val="None"/>
          <w:rFonts w:ascii="Arial Unicode MS" w:eastAsia="Arial Unicode MS" w:hAnsi="Arial Unicode MS" w:cs="Arial Unicode MS"/>
          <w:color w:val="2B477B"/>
          <w:u w:color="000000"/>
        </w:rPr>
        <w:t>Otros</w:t>
      </w:r>
      <w:r>
        <w:rPr>
          <w:rStyle w:val="None"/>
          <w:color w:val="2B477B"/>
          <w:u w:color="000000"/>
        </w:rPr>
        <w:t xml:space="preserve"> </w:t>
      </w:r>
      <w:r>
        <w:rPr>
          <w:rStyle w:val="None"/>
          <w:rFonts w:ascii="Arial Unicode MS" w:eastAsia="Arial Unicode MS" w:hAnsi="Arial Unicode MS" w:cs="Arial Unicode MS"/>
          <w:color w:val="2B477B"/>
          <w:u w:color="000000"/>
          <w:lang w:val="pt-PT"/>
        </w:rPr>
        <w:t>Vs.</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pt-PT"/>
        </w:rPr>
        <w:t>Salvador,</w:t>
      </w:r>
      <w:r>
        <w:rPr>
          <w:rStyle w:val="None"/>
          <w:color w:val="2B477B"/>
          <w:u w:color="000000"/>
        </w:rPr>
        <w:t xml:space="preserve"> </w:t>
      </w:r>
      <w:r>
        <w:rPr>
          <w:rStyle w:val="None"/>
          <w:rFonts w:ascii="Arial Unicode MS" w:eastAsia="Arial Unicode MS" w:hAnsi="Arial Unicode MS" w:cs="Arial Unicode MS"/>
          <w:color w:val="2B477B"/>
          <w:u w:color="000000"/>
        </w:rPr>
        <w:t>Sentencia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noviembre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lang w:val="en-US"/>
        </w:rPr>
        <w:t xml:space="preserve"> </w:t>
      </w:r>
      <w:proofErr w:type="gramStart"/>
      <w:r>
        <w:rPr>
          <w:rStyle w:val="None"/>
          <w:color w:val="2B477B"/>
          <w:u w:color="000000"/>
          <w:lang w:val="en-US"/>
        </w:rPr>
        <w:t>2021</w:t>
      </w:r>
      <w:r>
        <w:rPr>
          <w:rStyle w:val="None"/>
          <w:rFonts w:ascii="Arial Unicode MS" w:eastAsia="Arial Unicode MS" w:hAnsi="Arial Unicode MS" w:cs="Arial Unicode MS"/>
          <w:color w:val="2B477B"/>
          <w:u w:color="000000"/>
        </w:rPr>
        <w:t>,(</w:t>
      </w:r>
      <w:proofErr w:type="gramEnd"/>
      <w:r>
        <w:rPr>
          <w:rStyle w:val="None"/>
          <w:rFonts w:ascii="Arial Unicode MS" w:eastAsia="Arial Unicode MS" w:hAnsi="Arial Unicode MS" w:cs="Arial Unicode MS"/>
          <w:color w:val="2B477B"/>
          <w:u w:color="000000"/>
        </w:rPr>
        <w:t>Excepciones</w:t>
      </w:r>
      <w:r>
        <w:rPr>
          <w:rStyle w:val="None"/>
          <w:color w:val="2B477B"/>
          <w:u w:color="000000"/>
        </w:rPr>
        <w:t xml:space="preserve"> </w:t>
      </w:r>
      <w:r>
        <w:rPr>
          <w:rStyle w:val="None"/>
          <w:rFonts w:ascii="Arial Unicode MS" w:eastAsia="Arial Unicode MS" w:hAnsi="Arial Unicode MS" w:cs="Arial Unicode MS"/>
          <w:color w:val="2B477B"/>
          <w:u w:color="000000"/>
          <w:lang w:val="pt-PT"/>
        </w:rPr>
        <w:t>Preliminares,</w:t>
      </w:r>
      <w:r>
        <w:rPr>
          <w:rStyle w:val="None"/>
          <w:color w:val="2B477B"/>
          <w:u w:color="000000"/>
        </w:rPr>
        <w:t xml:space="preserve"> </w:t>
      </w:r>
      <w:r>
        <w:rPr>
          <w:rStyle w:val="None"/>
          <w:rFonts w:ascii="Arial Unicode MS" w:eastAsia="Arial Unicode MS" w:hAnsi="Arial Unicode MS" w:cs="Arial Unicode MS"/>
          <w:color w:val="2B477B"/>
          <w:u w:color="000000"/>
          <w:lang w:val="it-IT"/>
        </w:rPr>
        <w:t>Fondo,</w:t>
      </w:r>
      <w:r>
        <w:rPr>
          <w:rStyle w:val="None"/>
          <w:color w:val="2B477B"/>
          <w:u w:color="000000"/>
        </w:rPr>
        <w:t xml:space="preserve"> </w:t>
      </w:r>
      <w:r>
        <w:rPr>
          <w:rStyle w:val="None"/>
          <w:rFonts w:ascii="Arial Unicode MS" w:eastAsia="Arial Unicode MS" w:hAnsi="Arial Unicode MS" w:cs="Arial Unicode MS"/>
          <w:color w:val="2B477B"/>
          <w:u w:color="000000"/>
        </w:rPr>
        <w:t>Reparaciones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pt-PT"/>
        </w:rPr>
        <w:t>Costas).P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rrafo</w:t>
      </w:r>
      <w:r>
        <w:rPr>
          <w:rStyle w:val="None"/>
          <w:color w:val="2B477B"/>
          <w:u w:color="000000"/>
        </w:rPr>
        <w:t xml:space="preserve"> 13</w:t>
      </w:r>
      <w:r>
        <w:rPr>
          <w:rStyle w:val="None"/>
          <w:rFonts w:ascii="Arial Unicode MS" w:eastAsia="Arial Unicode MS" w:hAnsi="Arial Unicode MS" w:cs="Arial Unicode MS"/>
          <w:color w:val="2B477B"/>
          <w:u w:color="000000"/>
        </w:rPr>
        <w:t>.</w:t>
      </w:r>
    </w:p>
  </w:footnote>
  <w:footnote w:id="605">
    <w:p w14:paraId="03D5552A"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Arial Unicode MS" w:eastAsia="Arial Unicode MS" w:hAnsi="Arial Unicode MS" w:cs="Arial Unicode MS"/>
          <w:color w:val="2B477B"/>
          <w:u w:color="000000"/>
        </w:rPr>
        <w:t>Romero</w:t>
      </w:r>
      <w:r>
        <w:rPr>
          <w:rStyle w:val="None"/>
          <w:color w:val="2B477B"/>
          <w:u w:color="000000"/>
        </w:rPr>
        <w:t xml:space="preserve"> </w:t>
      </w:r>
      <w:r>
        <w:rPr>
          <w:rStyle w:val="None"/>
          <w:rFonts w:ascii="Arial Unicode MS" w:eastAsia="Arial Unicode MS" w:hAnsi="Arial Unicode MS" w:cs="Arial Unicode MS"/>
          <w:color w:val="2B477B"/>
          <w:u w:color="000000"/>
        </w:rPr>
        <w:t>Feris</w:t>
      </w:r>
      <w:r>
        <w:rPr>
          <w:rStyle w:val="None"/>
          <w:color w:val="2B477B"/>
          <w:u w:color="000000"/>
        </w:rPr>
        <w:t xml:space="preserve"> </w:t>
      </w:r>
      <w:r>
        <w:rPr>
          <w:rStyle w:val="None"/>
          <w:rFonts w:ascii="Arial Unicode MS" w:eastAsia="Arial Unicode MS" w:hAnsi="Arial Unicode MS" w:cs="Arial Unicode MS"/>
          <w:color w:val="2B477B"/>
          <w:u w:color="000000"/>
          <w:lang w:val="pt-PT"/>
        </w:rPr>
        <w:t>Vs.</w:t>
      </w:r>
      <w:r>
        <w:rPr>
          <w:rStyle w:val="None"/>
          <w:color w:val="2B477B"/>
          <w:u w:color="000000"/>
        </w:rPr>
        <w:t xml:space="preserve"> </w:t>
      </w:r>
      <w:r>
        <w:rPr>
          <w:rStyle w:val="None"/>
          <w:rFonts w:ascii="Arial Unicode MS" w:eastAsia="Arial Unicode MS" w:hAnsi="Arial Unicode MS" w:cs="Arial Unicode MS"/>
          <w:color w:val="2B477B"/>
          <w:u w:color="000000"/>
          <w:lang w:val="it-IT"/>
        </w:rPr>
        <w:t>Argentina.</w:t>
      </w:r>
      <w:r>
        <w:rPr>
          <w:rStyle w:val="None"/>
          <w:color w:val="2B477B"/>
          <w:u w:color="000000"/>
        </w:rPr>
        <w:t xml:space="preserve"> </w:t>
      </w:r>
      <w:r>
        <w:rPr>
          <w:rStyle w:val="None"/>
          <w:rFonts w:ascii="Arial Unicode MS" w:eastAsia="Arial Unicode MS" w:hAnsi="Arial Unicode MS" w:cs="Arial Unicode MS"/>
          <w:color w:val="2B477B"/>
          <w:u w:color="000000"/>
          <w:lang w:val="it-IT"/>
        </w:rPr>
        <w:t>Fondo,</w:t>
      </w:r>
      <w:r>
        <w:rPr>
          <w:rStyle w:val="None"/>
          <w:color w:val="2B477B"/>
          <w:u w:color="000000"/>
        </w:rPr>
        <w:t xml:space="preserve"> </w:t>
      </w:r>
      <w:r>
        <w:rPr>
          <w:rStyle w:val="None"/>
          <w:rFonts w:ascii="Arial Unicode MS" w:eastAsia="Arial Unicode MS" w:hAnsi="Arial Unicode MS" w:cs="Arial Unicode MS"/>
          <w:color w:val="2B477B"/>
          <w:u w:color="000000"/>
        </w:rPr>
        <w:t>Reparaciones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pt-PT"/>
        </w:rPr>
        <w:t>Costas.</w:t>
      </w:r>
      <w:r>
        <w:rPr>
          <w:rStyle w:val="None"/>
          <w:color w:val="2B477B"/>
          <w:u w:color="000000"/>
        </w:rPr>
        <w:t xml:space="preserve"> </w:t>
      </w:r>
      <w:r>
        <w:rPr>
          <w:rStyle w:val="None"/>
          <w:rFonts w:ascii="Arial Unicode MS" w:eastAsia="Arial Unicode MS" w:hAnsi="Arial Unicode MS" w:cs="Arial Unicode MS"/>
          <w:color w:val="2B477B"/>
          <w:u w:color="000000"/>
        </w:rPr>
        <w:t>Sentencia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15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octubre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2019</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Serie</w:t>
      </w:r>
      <w:r>
        <w:rPr>
          <w:rStyle w:val="None"/>
          <w:color w:val="2B477B"/>
          <w:u w:color="000000"/>
        </w:rPr>
        <w:t xml:space="preserve"> </w:t>
      </w:r>
      <w:r>
        <w:rPr>
          <w:rStyle w:val="None"/>
          <w:rFonts w:ascii="Arial Unicode MS" w:eastAsia="Arial Unicode MS" w:hAnsi="Arial Unicode MS" w:cs="Arial Unicode MS"/>
          <w:color w:val="2B477B"/>
          <w:u w:color="000000"/>
        </w:rPr>
        <w:t>C</w:t>
      </w:r>
      <w:r>
        <w:rPr>
          <w:rStyle w:val="None"/>
          <w:color w:val="2B477B"/>
          <w:u w:color="000000"/>
        </w:rPr>
        <w:t xml:space="preserve"> </w:t>
      </w:r>
      <w:r>
        <w:rPr>
          <w:rStyle w:val="None"/>
          <w:rFonts w:ascii="Arial Unicode MS" w:eastAsia="Arial Unicode MS" w:hAnsi="Arial Unicode MS" w:cs="Arial Unicode MS"/>
          <w:color w:val="2B477B"/>
          <w:u w:color="000000"/>
          <w:lang w:val="it-IT"/>
        </w:rPr>
        <w:t>No.</w:t>
      </w:r>
      <w:r>
        <w:rPr>
          <w:rStyle w:val="None"/>
          <w:color w:val="2B477B"/>
          <w:u w:color="000000"/>
        </w:rPr>
        <w:t xml:space="preserve"> 391</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w:t>
      </w:r>
      <w:r>
        <w:rPr>
          <w:rStyle w:val="None"/>
          <w:color w:val="2B477B"/>
          <w:u w:color="000000"/>
        </w:rPr>
        <w:t xml:space="preserve"> 77</w:t>
      </w:r>
      <w:r>
        <w:rPr>
          <w:rStyle w:val="None"/>
          <w:rFonts w:ascii="Arial Unicode MS" w:eastAsia="Arial Unicode MS" w:hAnsi="Arial Unicode MS" w:cs="Arial Unicode MS"/>
          <w:color w:val="2B477B"/>
          <w:u w:color="000000"/>
        </w:rPr>
        <w:t>.</w:t>
      </w:r>
    </w:p>
  </w:footnote>
  <w:footnote w:id="606">
    <w:p w14:paraId="2A30E907"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de-DE"/>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18</w:t>
      </w:r>
      <w:r>
        <w:rPr>
          <w:rStyle w:val="None"/>
          <w:rFonts w:ascii="Arial Unicode MS" w:eastAsia="Arial Unicode MS" w:hAnsi="Arial Unicode MS" w:cs="Arial Unicode MS"/>
          <w:color w:val="2B477B"/>
          <w:u w:color="000000"/>
        </w:rPr>
        <w:t>.</w:t>
      </w:r>
      <w:r>
        <w:rPr>
          <w:rStyle w:val="None"/>
          <w:color w:val="2B477B"/>
          <w:u w:color="000000"/>
        </w:rPr>
        <w:t>4</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607">
    <w:p w14:paraId="316870EF"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de-DE"/>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13</w:t>
      </w:r>
      <w:r>
        <w:rPr>
          <w:rStyle w:val="None"/>
          <w:rFonts w:ascii="Arial Unicode MS" w:eastAsia="Arial Unicode MS" w:hAnsi="Arial Unicode MS" w:cs="Arial Unicode MS"/>
          <w:color w:val="2B477B"/>
          <w:u w:color="000000"/>
        </w:rPr>
        <w:t>.</w:t>
      </w:r>
      <w:r>
        <w:rPr>
          <w:rStyle w:val="None"/>
          <w:color w:val="2B477B"/>
          <w:u w:color="000000"/>
        </w:rPr>
        <w:t>3</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608">
    <w:p w14:paraId="0EC14DEE"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de-DE"/>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14</w:t>
      </w:r>
      <w:r>
        <w:rPr>
          <w:rStyle w:val="None"/>
          <w:rFonts w:ascii="Arial Unicode MS" w:eastAsia="Arial Unicode MS" w:hAnsi="Arial Unicode MS" w:cs="Arial Unicode MS"/>
          <w:color w:val="2B477B"/>
          <w:u w:color="000000"/>
        </w:rPr>
        <w:t>.</w:t>
      </w:r>
      <w:r>
        <w:rPr>
          <w:rStyle w:val="None"/>
          <w:color w:val="2B477B"/>
          <w:u w:color="000000"/>
        </w:rPr>
        <w:t>2</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609">
    <w:p w14:paraId="28D7536B"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de-DE"/>
        </w:rPr>
        <w:t>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culo</w:t>
      </w:r>
      <w:r>
        <w:rPr>
          <w:rStyle w:val="None"/>
          <w:color w:val="2B477B"/>
          <w:u w:color="000000"/>
        </w:rPr>
        <w:t xml:space="preserve"> 2</w:t>
      </w:r>
    </w:p>
  </w:footnote>
  <w:footnote w:id="610">
    <w:p w14:paraId="67A7ECF0"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en-US"/>
        </w:rPr>
        <w:t>TEDH,</w:t>
      </w:r>
      <w:r>
        <w:rPr>
          <w:rStyle w:val="None"/>
          <w:color w:val="2B477B"/>
          <w:u w:color="000000"/>
        </w:rPr>
        <w:t xml:space="preserve"> </w:t>
      </w:r>
      <w:r>
        <w:rPr>
          <w:rStyle w:val="None"/>
          <w:rFonts w:ascii="Arial Unicode MS" w:eastAsia="Arial Unicode MS" w:hAnsi="Arial Unicode MS" w:cs="Arial Unicode MS"/>
          <w:color w:val="2B477B"/>
          <w:u w:color="000000"/>
        </w:rPr>
        <w:t>Kjeldsen,</w:t>
      </w:r>
      <w:r>
        <w:rPr>
          <w:rStyle w:val="None"/>
          <w:color w:val="2B477B"/>
          <w:u w:color="000000"/>
        </w:rPr>
        <w:t xml:space="preserve"> </w:t>
      </w:r>
      <w:r>
        <w:rPr>
          <w:rStyle w:val="None"/>
          <w:rFonts w:ascii="Arial Unicode MS" w:eastAsia="Arial Unicode MS" w:hAnsi="Arial Unicode MS" w:cs="Arial Unicode MS"/>
          <w:color w:val="2B477B"/>
          <w:u w:color="000000"/>
        </w:rPr>
        <w:t>Busk</w:t>
      </w:r>
      <w:r>
        <w:rPr>
          <w:rStyle w:val="None"/>
          <w:color w:val="2B477B"/>
          <w:u w:color="000000"/>
        </w:rPr>
        <w:t xml:space="preserve"> </w:t>
      </w:r>
      <w:r>
        <w:rPr>
          <w:rStyle w:val="None"/>
          <w:rFonts w:ascii="Arial Unicode MS" w:eastAsia="Arial Unicode MS" w:hAnsi="Arial Unicode MS" w:cs="Arial Unicode MS"/>
          <w:color w:val="2B477B"/>
          <w:u w:color="000000"/>
          <w:lang w:val="da-DK"/>
        </w:rPr>
        <w:t>Madsen</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da-DK"/>
        </w:rPr>
        <w:t>Pedersen,</w:t>
      </w:r>
      <w:r>
        <w:rPr>
          <w:rStyle w:val="None"/>
          <w:color w:val="2B477B"/>
          <w:u w:color="000000"/>
        </w:rPr>
        <w:t xml:space="preserve"> </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w:t>
      </w:r>
      <w:r>
        <w:rPr>
          <w:rStyle w:val="None"/>
          <w:color w:val="2B477B"/>
          <w:u w:color="000000"/>
        </w:rPr>
        <w:t xml:space="preserve"> 53</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Dojan</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otros,</w:t>
      </w:r>
      <w:r>
        <w:rPr>
          <w:rStyle w:val="None"/>
          <w:color w:val="2B477B"/>
          <w:u w:color="000000"/>
        </w:rPr>
        <w:t xml:space="preserve"> </w:t>
      </w:r>
      <w:r>
        <w:rPr>
          <w:rStyle w:val="None"/>
          <w:rFonts w:ascii="Arial Unicode MS" w:eastAsia="Arial Unicode MS" w:hAnsi="Arial Unicode MS" w:cs="Arial Unicode MS"/>
          <w:color w:val="2B477B"/>
          <w:u w:color="000000"/>
        </w:rPr>
        <w:t>citado</w:t>
      </w:r>
      <w:r>
        <w:rPr>
          <w:rStyle w:val="None"/>
          <w:color w:val="2B477B"/>
          <w:u w:color="000000"/>
        </w:rPr>
        <w:t xml:space="preserve"> </w:t>
      </w:r>
      <w:proofErr w:type="gramStart"/>
      <w:r>
        <w:rPr>
          <w:rStyle w:val="None"/>
          <w:rFonts w:ascii="Arial Unicode MS" w:eastAsia="Arial Unicode MS" w:hAnsi="Arial Unicode MS" w:cs="Arial Unicode MS"/>
          <w:color w:val="2B477B"/>
          <w:u w:color="000000"/>
        </w:rPr>
        <w:t>anteriormente,P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w:t>
      </w:r>
      <w:proofErr w:type="gramEnd"/>
      <w:r>
        <w:rPr>
          <w:rStyle w:val="None"/>
          <w:color w:val="2B477B"/>
          <w:u w:color="000000"/>
        </w:rPr>
        <w:t xml:space="preserve"> 78</w:t>
      </w:r>
      <w:r>
        <w:rPr>
          <w:rStyle w:val="None"/>
          <w:rFonts w:ascii="Arial Unicode MS" w:eastAsia="Arial Unicode MS" w:hAnsi="Arial Unicode MS" w:cs="Arial Unicode MS"/>
          <w:color w:val="2B477B"/>
          <w:u w:color="000000"/>
        </w:rPr>
        <w:t>-</w:t>
      </w:r>
      <w:r>
        <w:rPr>
          <w:rStyle w:val="None"/>
          <w:color w:val="2B477B"/>
          <w:u w:color="000000"/>
        </w:rPr>
        <w:t>83</w:t>
      </w:r>
    </w:p>
  </w:footnote>
  <w:footnote w:id="611">
    <w:p w14:paraId="30398E74"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CIDH.Estudio</w:t>
      </w:r>
      <w:r>
        <w:rPr>
          <w:rStyle w:val="None"/>
          <w:color w:val="2B477B"/>
          <w:u w:color="000000"/>
        </w:rPr>
        <w:t xml:space="preserve"> </w:t>
      </w:r>
      <w:r>
        <w:rPr>
          <w:rStyle w:val="None"/>
          <w:rFonts w:ascii="Arial Unicode MS" w:eastAsia="Arial Unicode MS" w:hAnsi="Arial Unicode MS" w:cs="Arial Unicode MS"/>
          <w:color w:val="2B477B"/>
          <w:u w:color="000000"/>
        </w:rPr>
        <w:t>Libertad</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Religi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Creencia</w:t>
      </w:r>
      <w:r>
        <w:rPr>
          <w:rStyle w:val="None"/>
          <w:color w:val="2B477B"/>
          <w:u w:color="000000"/>
        </w:rPr>
        <w:t xml:space="preserve"> </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lang w:val="pt-PT"/>
        </w:rPr>
        <w:t>Est</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lang w:val="sv-SE"/>
        </w:rPr>
        <w:t>ndares</w:t>
      </w:r>
      <w:r>
        <w:rPr>
          <w:rStyle w:val="None"/>
          <w:color w:val="2B477B"/>
          <w:u w:color="000000"/>
        </w:rPr>
        <w:t xml:space="preserve"> </w:t>
      </w:r>
      <w:r>
        <w:rPr>
          <w:rStyle w:val="None"/>
          <w:rFonts w:ascii="Arial Unicode MS" w:eastAsia="Arial Unicode MS" w:hAnsi="Arial Unicode MS" w:cs="Arial Unicode MS"/>
          <w:color w:val="2B477B"/>
          <w:u w:color="000000"/>
          <w:lang w:val="pt-PT"/>
        </w:rPr>
        <w:t>Interamericanos.</w:t>
      </w:r>
    </w:p>
  </w:footnote>
  <w:footnote w:id="612">
    <w:p w14:paraId="2B1AB4C2"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CIDH.Estudio</w:t>
      </w:r>
      <w:r>
        <w:rPr>
          <w:rStyle w:val="None"/>
          <w:color w:val="2B477B"/>
          <w:u w:color="000000"/>
        </w:rPr>
        <w:t xml:space="preserve"> </w:t>
      </w:r>
      <w:r>
        <w:rPr>
          <w:rStyle w:val="None"/>
          <w:rFonts w:ascii="Arial Unicode MS" w:eastAsia="Arial Unicode MS" w:hAnsi="Arial Unicode MS" w:cs="Arial Unicode MS"/>
          <w:color w:val="2B477B"/>
          <w:u w:color="000000"/>
        </w:rPr>
        <w:t>Libertad</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Religi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Creencia</w:t>
      </w:r>
      <w:r>
        <w:rPr>
          <w:rStyle w:val="None"/>
          <w:color w:val="2B477B"/>
          <w:u w:color="000000"/>
        </w:rPr>
        <w:t xml:space="preserve"> </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lang w:val="pt-PT"/>
        </w:rPr>
        <w:t>Est</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lang w:val="sv-SE"/>
        </w:rPr>
        <w:t>ndares</w:t>
      </w:r>
      <w:r>
        <w:rPr>
          <w:rStyle w:val="None"/>
          <w:color w:val="2B477B"/>
          <w:u w:color="000000"/>
        </w:rPr>
        <w:t xml:space="preserve"> </w:t>
      </w:r>
      <w:r>
        <w:rPr>
          <w:rStyle w:val="None"/>
          <w:rFonts w:ascii="Arial Unicode MS" w:eastAsia="Arial Unicode MS" w:hAnsi="Arial Unicode MS" w:cs="Arial Unicode MS"/>
          <w:color w:val="2B477B"/>
          <w:u w:color="000000"/>
          <w:lang w:val="pt-PT"/>
        </w:rPr>
        <w:t>Interamericanos.</w:t>
      </w:r>
    </w:p>
  </w:footnote>
  <w:footnote w:id="613">
    <w:p w14:paraId="3A954E4B"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Los</w:t>
      </w:r>
      <w:r>
        <w:rPr>
          <w:rStyle w:val="None"/>
          <w:color w:val="2B477B"/>
          <w:u w:color="000000"/>
        </w:rPr>
        <w:t xml:space="preserve"> </w:t>
      </w:r>
      <w:r>
        <w:rPr>
          <w:rStyle w:val="None"/>
          <w:rFonts w:ascii="Arial Unicode MS" w:eastAsia="Arial Unicode MS" w:hAnsi="Arial Unicode MS" w:cs="Arial Unicode MS"/>
          <w:color w:val="2B477B"/>
          <w:u w:color="000000"/>
        </w:rPr>
        <w:t>principios</w:t>
      </w:r>
      <w:r>
        <w:rPr>
          <w:rStyle w:val="None"/>
          <w:color w:val="2B477B"/>
          <w:u w:color="000000"/>
        </w:rPr>
        <w:t xml:space="preserve"> </w:t>
      </w:r>
      <w:r>
        <w:rPr>
          <w:rStyle w:val="None"/>
          <w:rFonts w:ascii="Arial Unicode MS" w:eastAsia="Arial Unicode MS" w:hAnsi="Arial Unicode MS" w:cs="Arial Unicode MS"/>
          <w:color w:val="2B477B"/>
          <w:u w:color="000000"/>
        </w:rPr>
        <w:t>generales</w:t>
      </w:r>
      <w:r>
        <w:rPr>
          <w:rStyle w:val="None"/>
          <w:color w:val="2B477B"/>
          <w:u w:color="000000"/>
        </w:rPr>
        <w:t xml:space="preserve"> </w:t>
      </w:r>
      <w:r>
        <w:rPr>
          <w:rStyle w:val="None"/>
          <w:rFonts w:ascii="Arial Unicode MS" w:eastAsia="Arial Unicode MS" w:hAnsi="Arial Unicode MS" w:cs="Arial Unicode MS"/>
          <w:color w:val="2B477B"/>
          <w:u w:color="000000"/>
          <w:lang w:val="pt-PT"/>
        </w:rPr>
        <w:t>enunciados</w:t>
      </w:r>
      <w:r>
        <w:rPr>
          <w:rStyle w:val="None"/>
          <w:color w:val="2B477B"/>
          <w:u w:color="000000"/>
        </w:rPr>
        <w:t xml:space="preserve"> </w:t>
      </w:r>
      <w:r>
        <w:rPr>
          <w:rStyle w:val="None"/>
          <w:rFonts w:ascii="Arial Unicode MS" w:eastAsia="Arial Unicode MS" w:hAnsi="Arial Unicode MS" w:cs="Arial Unicode MS"/>
          <w:color w:val="2B477B"/>
          <w:u w:color="000000"/>
        </w:rPr>
        <w:t>por</w:t>
      </w:r>
      <w:r>
        <w:rPr>
          <w:rStyle w:val="None"/>
          <w:color w:val="2B477B"/>
          <w:u w:color="000000"/>
        </w:rPr>
        <w:t xml:space="preserve"> </w:t>
      </w:r>
      <w:r>
        <w:rPr>
          <w:rStyle w:val="None"/>
          <w:rFonts w:ascii="Arial Unicode MS" w:eastAsia="Arial Unicode MS" w:hAnsi="Arial Unicode MS" w:cs="Arial Unicode MS"/>
          <w:color w:val="2B477B"/>
          <w:u w:color="000000"/>
        </w:rPr>
        <w:t>el</w:t>
      </w:r>
      <w:r>
        <w:rPr>
          <w:rStyle w:val="None"/>
          <w:color w:val="2B477B"/>
          <w:u w:color="000000"/>
        </w:rPr>
        <w:t xml:space="preserve"> </w:t>
      </w:r>
      <w:r>
        <w:rPr>
          <w:rStyle w:val="None"/>
          <w:rFonts w:ascii="Arial Unicode MS" w:eastAsia="Arial Unicode MS" w:hAnsi="Arial Unicode MS" w:cs="Arial Unicode MS"/>
          <w:color w:val="2B477B"/>
          <w:u w:color="000000"/>
          <w:lang w:val="en-US"/>
        </w:rPr>
        <w:t>TEDH</w:t>
      </w:r>
      <w:r>
        <w:rPr>
          <w:rStyle w:val="None"/>
          <w:color w:val="2B477B"/>
          <w:u w:color="000000"/>
        </w:rPr>
        <w:t xml:space="preserve"> </w:t>
      </w:r>
      <w:r>
        <w:rPr>
          <w:rStyle w:val="None"/>
          <w:rFonts w:ascii="Arial Unicode MS" w:eastAsia="Arial Unicode MS" w:hAnsi="Arial Unicode MS" w:cs="Arial Unicode MS"/>
          <w:color w:val="2B477B"/>
          <w:u w:color="000000"/>
        </w:rPr>
        <w:t>se</w:t>
      </w:r>
      <w:r>
        <w:rPr>
          <w:rStyle w:val="None"/>
          <w:color w:val="2B477B"/>
          <w:u w:color="000000"/>
        </w:rPr>
        <w:t xml:space="preserve"> </w:t>
      </w:r>
      <w:r>
        <w:rPr>
          <w:rStyle w:val="None"/>
          <w:rFonts w:ascii="Arial Unicode MS" w:eastAsia="Arial Unicode MS" w:hAnsi="Arial Unicode MS" w:cs="Arial Unicode MS"/>
          <w:color w:val="2B477B"/>
          <w:u w:color="000000"/>
        </w:rPr>
        <w:t>desprenden</w:t>
      </w:r>
      <w:r>
        <w:rPr>
          <w:rStyle w:val="None"/>
          <w:color w:val="2B477B"/>
          <w:u w:color="000000"/>
        </w:rPr>
        <w:t xml:space="preserve"> </w:t>
      </w:r>
      <w:r>
        <w:rPr>
          <w:rStyle w:val="None"/>
          <w:rFonts w:ascii="Arial Unicode MS" w:eastAsia="Arial Unicode MS" w:hAnsi="Arial Unicode MS" w:cs="Arial Unicode MS"/>
          <w:color w:val="2B477B"/>
          <w:u w:color="000000"/>
          <w:lang w:val="pt-PT"/>
        </w:rPr>
        <w:t>fundamentalmente</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Sentencias</w:t>
      </w:r>
      <w:r>
        <w:rPr>
          <w:rStyle w:val="None"/>
          <w:color w:val="2B477B"/>
          <w:u w:color="000000"/>
        </w:rPr>
        <w:t xml:space="preserve"> </w:t>
      </w:r>
      <w:r>
        <w:rPr>
          <w:rStyle w:val="None"/>
          <w:rFonts w:ascii="Arial Unicode MS" w:eastAsia="Arial Unicode MS" w:hAnsi="Arial Unicode MS" w:cs="Arial Unicode MS"/>
          <w:color w:val="2B477B"/>
          <w:u w:color="000000"/>
        </w:rPr>
        <w:t>Kjeldsen,</w:t>
      </w:r>
      <w:r>
        <w:rPr>
          <w:rStyle w:val="None"/>
          <w:color w:val="2B477B"/>
          <w:u w:color="000000"/>
        </w:rPr>
        <w:t xml:space="preserve"> </w:t>
      </w:r>
      <w:r>
        <w:rPr>
          <w:rStyle w:val="None"/>
          <w:rFonts w:ascii="Arial Unicode MS" w:eastAsia="Arial Unicode MS" w:hAnsi="Arial Unicode MS" w:cs="Arial Unicode MS"/>
          <w:color w:val="2B477B"/>
          <w:u w:color="000000"/>
        </w:rPr>
        <w:t>Busk</w:t>
      </w:r>
      <w:r>
        <w:rPr>
          <w:rStyle w:val="None"/>
          <w:color w:val="2B477B"/>
          <w:u w:color="000000"/>
        </w:rPr>
        <w:t xml:space="preserve"> </w:t>
      </w:r>
      <w:r>
        <w:rPr>
          <w:rStyle w:val="None"/>
          <w:rFonts w:ascii="Arial Unicode MS" w:eastAsia="Arial Unicode MS" w:hAnsi="Arial Unicode MS" w:cs="Arial Unicode MS"/>
          <w:color w:val="2B477B"/>
          <w:u w:color="000000"/>
          <w:lang w:val="da-DK"/>
        </w:rPr>
        <w:t>Madsen</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da-DK"/>
        </w:rPr>
        <w:t>Pedersen</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contra</w:t>
      </w:r>
      <w:r>
        <w:rPr>
          <w:rStyle w:val="None"/>
          <w:color w:val="2B477B"/>
          <w:u w:color="000000"/>
        </w:rPr>
        <w:t xml:space="preserve"> </w:t>
      </w:r>
      <w:r>
        <w:rPr>
          <w:rStyle w:val="None"/>
          <w:rFonts w:ascii="Arial Unicode MS" w:eastAsia="Arial Unicode MS" w:hAnsi="Arial Unicode MS" w:cs="Arial Unicode MS"/>
          <w:color w:val="2B477B"/>
          <w:u w:color="000000"/>
        </w:rPr>
        <w:t>Dinamarca</w:t>
      </w:r>
      <w:r>
        <w:rPr>
          <w:rStyle w:val="None"/>
          <w:color w:val="2B477B"/>
          <w:u w:color="000000"/>
        </w:rPr>
        <w:t xml:space="preserve"> </w:t>
      </w:r>
      <w:r>
        <w:rPr>
          <w:rStyle w:val="None"/>
          <w:rFonts w:ascii="Arial Unicode MS" w:eastAsia="Arial Unicode MS" w:hAnsi="Arial Unicode MS" w:cs="Arial Unicode MS"/>
          <w:color w:val="2B477B"/>
          <w:u w:color="000000"/>
          <w:lang w:val="en-US"/>
        </w:rPr>
        <w:t>(TEDH</w:t>
      </w:r>
      <w:r>
        <w:rPr>
          <w:rStyle w:val="None"/>
          <w:color w:val="2B477B"/>
          <w:u w:color="000000"/>
        </w:rPr>
        <w:t xml:space="preserve"> 1976/5</w:t>
      </w:r>
      <w:r>
        <w:rPr>
          <w:rStyle w:val="None"/>
          <w:rFonts w:ascii="Arial Unicode MS" w:eastAsia="Arial Unicode MS" w:hAnsi="Arial Unicode MS" w:cs="Arial Unicode MS"/>
          <w:color w:val="2B477B"/>
          <w:u w:color="000000"/>
          <w:lang w:val="it-IT"/>
        </w:rPr>
        <w:t>);</w:t>
      </w:r>
      <w:r>
        <w:rPr>
          <w:rStyle w:val="None"/>
          <w:color w:val="2B477B"/>
          <w:u w:color="000000"/>
        </w:rPr>
        <w:t xml:space="preserve"> </w:t>
      </w:r>
      <w:r>
        <w:rPr>
          <w:rStyle w:val="None"/>
          <w:rFonts w:ascii="Arial Unicode MS" w:eastAsia="Arial Unicode MS" w:hAnsi="Arial Unicode MS" w:cs="Arial Unicode MS"/>
          <w:color w:val="2B477B"/>
          <w:u w:color="000000"/>
          <w:lang w:val="it-IT"/>
        </w:rPr>
        <w:t>Campbell</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it-IT"/>
        </w:rPr>
        <w:t>Cosans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contra</w:t>
      </w:r>
      <w:r>
        <w:rPr>
          <w:rStyle w:val="None"/>
          <w:color w:val="2B477B"/>
          <w:u w:color="000000"/>
        </w:rPr>
        <w:t xml:space="preserve"> </w:t>
      </w:r>
      <w:r>
        <w:rPr>
          <w:rStyle w:val="None"/>
          <w:rFonts w:ascii="Arial Unicode MS" w:eastAsia="Arial Unicode MS" w:hAnsi="Arial Unicode MS" w:cs="Arial Unicode MS"/>
          <w:color w:val="2B477B"/>
          <w:u w:color="000000"/>
          <w:lang w:val="pt-PT"/>
        </w:rPr>
        <w:t>Reino</w:t>
      </w:r>
      <w:r>
        <w:rPr>
          <w:rStyle w:val="None"/>
          <w:color w:val="2B477B"/>
          <w:u w:color="000000"/>
        </w:rPr>
        <w:t xml:space="preserve"> </w:t>
      </w:r>
      <w:r>
        <w:rPr>
          <w:rStyle w:val="None"/>
          <w:rFonts w:ascii="Arial Unicode MS" w:eastAsia="Arial Unicode MS" w:hAnsi="Arial Unicode MS" w:cs="Arial Unicode MS"/>
          <w:color w:val="2B477B"/>
          <w:u w:color="000000"/>
          <w:lang w:val="pt-PT"/>
        </w:rPr>
        <w:t>Unido</w:t>
      </w:r>
      <w:r>
        <w:rPr>
          <w:rStyle w:val="None"/>
          <w:color w:val="2B477B"/>
          <w:u w:color="000000"/>
        </w:rPr>
        <w:t xml:space="preserve"> </w:t>
      </w:r>
      <w:r>
        <w:rPr>
          <w:rStyle w:val="None"/>
          <w:rFonts w:ascii="Arial Unicode MS" w:eastAsia="Arial Unicode MS" w:hAnsi="Arial Unicode MS" w:cs="Arial Unicode MS"/>
          <w:color w:val="2B477B"/>
          <w:u w:color="000000"/>
          <w:lang w:val="en-US"/>
        </w:rPr>
        <w:t>(TEDH</w:t>
      </w:r>
      <w:r>
        <w:rPr>
          <w:rStyle w:val="None"/>
          <w:color w:val="2B477B"/>
          <w:u w:color="000000"/>
        </w:rPr>
        <w:t xml:space="preserve"> 1982/1</w:t>
      </w:r>
      <w:r>
        <w:rPr>
          <w:rStyle w:val="None"/>
          <w:rFonts w:ascii="Arial Unicode MS" w:eastAsia="Arial Unicode MS" w:hAnsi="Arial Unicode MS" w:cs="Arial Unicode MS"/>
          <w:color w:val="2B477B"/>
          <w:u w:color="000000"/>
          <w:lang w:val="it-IT"/>
        </w:rPr>
        <w:t>);</w:t>
      </w:r>
      <w:r>
        <w:rPr>
          <w:rStyle w:val="None"/>
          <w:color w:val="2B477B"/>
          <w:u w:color="000000"/>
        </w:rPr>
        <w:t xml:space="preserve"> </w:t>
      </w:r>
      <w:r>
        <w:rPr>
          <w:rStyle w:val="None"/>
          <w:rFonts w:ascii="Arial Unicode MS" w:eastAsia="Arial Unicode MS" w:hAnsi="Arial Unicode MS" w:cs="Arial Unicode MS"/>
          <w:color w:val="2B477B"/>
          <w:u w:color="000000"/>
          <w:lang w:val="sv-SE"/>
        </w:rPr>
        <w:t>Valsamis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contra</w:t>
      </w:r>
      <w:r>
        <w:rPr>
          <w:rStyle w:val="None"/>
          <w:color w:val="2B477B"/>
          <w:u w:color="000000"/>
        </w:rPr>
        <w:t xml:space="preserve"> </w:t>
      </w:r>
      <w:r>
        <w:rPr>
          <w:rStyle w:val="None"/>
          <w:rFonts w:ascii="Arial Unicode MS" w:eastAsia="Arial Unicode MS" w:hAnsi="Arial Unicode MS" w:cs="Arial Unicode MS"/>
          <w:color w:val="2B477B"/>
          <w:u w:color="000000"/>
        </w:rPr>
        <w:t>Grecia</w:t>
      </w:r>
      <w:r>
        <w:rPr>
          <w:rStyle w:val="None"/>
          <w:color w:val="2B477B"/>
          <w:u w:color="000000"/>
        </w:rPr>
        <w:t xml:space="preserve"> </w:t>
      </w:r>
      <w:r>
        <w:rPr>
          <w:rStyle w:val="None"/>
          <w:rFonts w:ascii="Arial Unicode MS" w:eastAsia="Arial Unicode MS" w:hAnsi="Arial Unicode MS" w:cs="Arial Unicode MS"/>
          <w:color w:val="2B477B"/>
          <w:u w:color="000000"/>
          <w:lang w:val="en-US"/>
        </w:rPr>
        <w:t>(TEDH</w:t>
      </w:r>
      <w:r>
        <w:rPr>
          <w:rStyle w:val="None"/>
          <w:color w:val="2B477B"/>
          <w:u w:color="000000"/>
        </w:rPr>
        <w:t xml:space="preserve"> 1996</w:t>
      </w:r>
      <w:r>
        <w:rPr>
          <w:rStyle w:val="None"/>
          <w:rFonts w:ascii="Arial Unicode MS" w:eastAsia="Arial Unicode MS" w:hAnsi="Arial Unicode MS" w:cs="Arial Unicode MS"/>
          <w:color w:val="2B477B"/>
          <w:u w:color="000000"/>
        </w:rPr>
        <w:t>,</w:t>
      </w:r>
      <w:r>
        <w:rPr>
          <w:rStyle w:val="None"/>
          <w:color w:val="2B477B"/>
          <w:u w:color="000000"/>
        </w:rPr>
        <w:t xml:space="preserve"> 70</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de-DE"/>
        </w:rPr>
        <w:t>Folgero</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otros</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contra</w:t>
      </w:r>
      <w:r>
        <w:rPr>
          <w:rStyle w:val="None"/>
          <w:color w:val="2B477B"/>
          <w:u w:color="000000"/>
        </w:rPr>
        <w:t xml:space="preserve"> </w:t>
      </w:r>
      <w:r>
        <w:rPr>
          <w:rStyle w:val="None"/>
          <w:rFonts w:ascii="Arial Unicode MS" w:eastAsia="Arial Unicode MS" w:hAnsi="Arial Unicode MS" w:cs="Arial Unicode MS"/>
          <w:color w:val="2B477B"/>
          <w:u w:color="000000"/>
        </w:rPr>
        <w:t>Noruega</w:t>
      </w:r>
      <w:r>
        <w:rPr>
          <w:rStyle w:val="None"/>
          <w:color w:val="2B477B"/>
          <w:u w:color="000000"/>
        </w:rPr>
        <w:t xml:space="preserve"> </w:t>
      </w:r>
      <w:r>
        <w:rPr>
          <w:rStyle w:val="None"/>
          <w:rFonts w:ascii="Arial Unicode MS" w:eastAsia="Arial Unicode MS" w:hAnsi="Arial Unicode MS" w:cs="Arial Unicode MS"/>
          <w:color w:val="2B477B"/>
          <w:u w:color="000000"/>
          <w:lang w:val="en-US"/>
        </w:rPr>
        <w:t>(TEDH</w:t>
      </w:r>
      <w:r>
        <w:rPr>
          <w:rStyle w:val="None"/>
          <w:color w:val="2B477B"/>
          <w:u w:color="000000"/>
        </w:rPr>
        <w:t xml:space="preserve"> 2007/53</w:t>
      </w:r>
      <w:r>
        <w:rPr>
          <w:rStyle w:val="None"/>
          <w:rFonts w:ascii="Arial Unicode MS" w:eastAsia="Arial Unicode MS" w:hAnsi="Arial Unicode MS" w:cs="Arial Unicode MS"/>
          <w:color w:val="2B477B"/>
          <w:u w:color="000000"/>
        </w:rPr>
        <w:t>).</w:t>
      </w:r>
    </w:p>
  </w:footnote>
  <w:footnote w:id="614">
    <w:p w14:paraId="0CE96898"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Arial Unicode MS" w:eastAsia="Arial Unicode MS" w:hAnsi="Arial Unicode MS" w:cs="Arial Unicode MS"/>
          <w:color w:val="2B477B"/>
          <w:u w:color="000000"/>
        </w:rPr>
        <w:t>Kjeldsen,</w:t>
      </w:r>
      <w:r>
        <w:rPr>
          <w:rStyle w:val="None"/>
          <w:color w:val="2B477B"/>
          <w:u w:color="000000"/>
        </w:rPr>
        <w:t xml:space="preserve"> </w:t>
      </w:r>
      <w:r>
        <w:rPr>
          <w:rStyle w:val="None"/>
          <w:rFonts w:ascii="Arial Unicode MS" w:eastAsia="Arial Unicode MS" w:hAnsi="Arial Unicode MS" w:cs="Arial Unicode MS"/>
          <w:color w:val="2B477B"/>
          <w:u w:color="000000"/>
        </w:rPr>
        <w:t>Busk</w:t>
      </w:r>
      <w:r>
        <w:rPr>
          <w:rStyle w:val="None"/>
          <w:color w:val="2B477B"/>
          <w:u w:color="000000"/>
        </w:rPr>
        <w:t xml:space="preserve"> </w:t>
      </w:r>
      <w:r>
        <w:rPr>
          <w:rStyle w:val="None"/>
          <w:rFonts w:ascii="Arial Unicode MS" w:eastAsia="Arial Unicode MS" w:hAnsi="Arial Unicode MS" w:cs="Arial Unicode MS"/>
          <w:color w:val="2B477B"/>
          <w:u w:color="000000"/>
          <w:lang w:val="da-DK"/>
        </w:rPr>
        <w:t>Madsen</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da-DK"/>
        </w:rPr>
        <w:t>Pedersen</w:t>
      </w:r>
      <w:r>
        <w:rPr>
          <w:rStyle w:val="None"/>
          <w:color w:val="2B477B"/>
          <w:u w:color="000000"/>
        </w:rPr>
        <w:t xml:space="preserve"> </w:t>
      </w:r>
      <w:r>
        <w:rPr>
          <w:rStyle w:val="None"/>
          <w:rFonts w:ascii="Arial Unicode MS" w:eastAsia="Arial Unicode MS" w:hAnsi="Arial Unicode MS" w:cs="Arial Unicode MS"/>
          <w:color w:val="2B477B"/>
          <w:u w:color="000000"/>
          <w:lang w:val="it-IT"/>
        </w:rPr>
        <w:t>contra</w:t>
      </w:r>
      <w:r>
        <w:rPr>
          <w:rStyle w:val="None"/>
          <w:color w:val="2B477B"/>
          <w:u w:color="000000"/>
        </w:rPr>
        <w:t xml:space="preserve"> </w:t>
      </w:r>
      <w:r>
        <w:rPr>
          <w:rStyle w:val="None"/>
          <w:rFonts w:ascii="Arial Unicode MS" w:eastAsia="Arial Unicode MS" w:hAnsi="Arial Unicode MS" w:cs="Arial Unicode MS"/>
          <w:color w:val="2B477B"/>
          <w:u w:color="000000"/>
        </w:rPr>
        <w:t>Dinamarca</w:t>
      </w:r>
      <w:r>
        <w:rPr>
          <w:rStyle w:val="None"/>
          <w:color w:val="2B477B"/>
          <w:u w:color="000000"/>
        </w:rPr>
        <w:t xml:space="preserve"> </w:t>
      </w:r>
      <w:r>
        <w:rPr>
          <w:rStyle w:val="None"/>
          <w:rFonts w:ascii="Arial Unicode MS" w:eastAsia="Arial Unicode MS" w:hAnsi="Arial Unicode MS" w:cs="Arial Unicode MS"/>
          <w:color w:val="2B477B"/>
          <w:u w:color="000000"/>
          <w:lang w:val="de-DE"/>
        </w:rPr>
        <w:t>(STEDH</w:t>
      </w:r>
      <w:r>
        <w:rPr>
          <w:rStyle w:val="None"/>
          <w:color w:val="2B477B"/>
          <w:u w:color="000000"/>
        </w:rPr>
        <w:t xml:space="preserve"> 1976/5</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7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diciembre,</w:t>
      </w:r>
      <w:r>
        <w:rPr>
          <w:rStyle w:val="None"/>
          <w:color w:val="2B477B"/>
          <w:u w:color="000000"/>
        </w:rPr>
        <w:t xml:space="preserve"> </w:t>
      </w:r>
      <w:r>
        <w:rPr>
          <w:rStyle w:val="None"/>
          <w:rFonts w:ascii="Arial Unicode MS" w:eastAsia="Arial Unicode MS" w:hAnsi="Arial Unicode MS" w:cs="Arial Unicode MS"/>
          <w:color w:val="2B477B"/>
          <w:u w:color="000000"/>
        </w:rPr>
        <w:t>ap.</w:t>
      </w:r>
      <w:r>
        <w:rPr>
          <w:rStyle w:val="None"/>
          <w:color w:val="2B477B"/>
          <w:u w:color="000000"/>
        </w:rPr>
        <w:t xml:space="preserve"> 52</w:t>
      </w:r>
      <w:r>
        <w:rPr>
          <w:rStyle w:val="None"/>
          <w:rFonts w:ascii="Arial Unicode MS" w:eastAsia="Arial Unicode MS" w:hAnsi="Arial Unicode MS" w:cs="Arial Unicode MS"/>
          <w:color w:val="2B477B"/>
          <w:u w:color="000000"/>
        </w:rPr>
        <w:t>).</w:t>
      </w:r>
      <w:r>
        <w:rPr>
          <w:rStyle w:val="None"/>
          <w:color w:val="2B477B"/>
          <w:u w:color="000000"/>
        </w:rPr>
        <w:t xml:space="preserve"> </w:t>
      </w:r>
    </w:p>
  </w:footnote>
  <w:footnote w:id="615">
    <w:p w14:paraId="715E3E6C"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Arial Unicode MS" w:eastAsia="Arial Unicode MS" w:hAnsi="Arial Unicode MS" w:cs="Arial Unicode MS"/>
          <w:color w:val="2B477B"/>
          <w:u w:color="000000"/>
        </w:rPr>
        <w:t>Pavez</w:t>
      </w:r>
      <w:r>
        <w:rPr>
          <w:rStyle w:val="None"/>
          <w:color w:val="2B477B"/>
          <w:u w:color="000000"/>
        </w:rPr>
        <w:t xml:space="preserve"> </w:t>
      </w:r>
      <w:r>
        <w:rPr>
          <w:rStyle w:val="None"/>
          <w:rFonts w:ascii="Arial Unicode MS" w:eastAsia="Arial Unicode MS" w:hAnsi="Arial Unicode MS" w:cs="Arial Unicode MS"/>
          <w:color w:val="2B477B"/>
          <w:u w:color="000000"/>
        </w:rPr>
        <w:t>Pavez</w:t>
      </w:r>
      <w:r>
        <w:rPr>
          <w:rStyle w:val="None"/>
          <w:color w:val="2B477B"/>
          <w:u w:color="000000"/>
        </w:rPr>
        <w:t xml:space="preserve"> </w:t>
      </w:r>
      <w:r>
        <w:rPr>
          <w:rStyle w:val="None"/>
          <w:rFonts w:ascii="Arial Unicode MS" w:eastAsia="Arial Unicode MS" w:hAnsi="Arial Unicode MS" w:cs="Arial Unicode MS"/>
          <w:color w:val="2B477B"/>
          <w:u w:color="000000"/>
          <w:lang w:val="pt-PT"/>
        </w:rPr>
        <w:t>Vs.</w:t>
      </w:r>
      <w:r>
        <w:rPr>
          <w:rStyle w:val="None"/>
          <w:color w:val="2B477B"/>
          <w:u w:color="000000"/>
        </w:rPr>
        <w:t xml:space="preserve"> </w:t>
      </w:r>
      <w:r>
        <w:rPr>
          <w:rStyle w:val="None"/>
          <w:rFonts w:ascii="Arial Unicode MS" w:eastAsia="Arial Unicode MS" w:hAnsi="Arial Unicode MS" w:cs="Arial Unicode MS"/>
          <w:color w:val="2B477B"/>
          <w:u w:color="000000"/>
          <w:lang w:val="it-IT"/>
        </w:rPr>
        <w:t>Chile.</w:t>
      </w:r>
      <w:r>
        <w:rPr>
          <w:rStyle w:val="None"/>
          <w:color w:val="2B477B"/>
          <w:u w:color="000000"/>
        </w:rPr>
        <w:t xml:space="preserve"> </w:t>
      </w:r>
      <w:r>
        <w:rPr>
          <w:rStyle w:val="None"/>
          <w:rFonts w:ascii="Arial Unicode MS" w:eastAsia="Arial Unicode MS" w:hAnsi="Arial Unicode MS" w:cs="Arial Unicode MS"/>
          <w:color w:val="2B477B"/>
          <w:u w:color="000000"/>
          <w:lang w:val="it-IT"/>
        </w:rPr>
        <w:t>Fondo,</w:t>
      </w:r>
      <w:r>
        <w:rPr>
          <w:rStyle w:val="None"/>
          <w:color w:val="2B477B"/>
          <w:u w:color="000000"/>
        </w:rPr>
        <w:t xml:space="preserve"> </w:t>
      </w:r>
      <w:r>
        <w:rPr>
          <w:rStyle w:val="None"/>
          <w:rFonts w:ascii="Arial Unicode MS" w:eastAsia="Arial Unicode MS" w:hAnsi="Arial Unicode MS" w:cs="Arial Unicode MS"/>
          <w:color w:val="2B477B"/>
          <w:u w:color="000000"/>
        </w:rPr>
        <w:t>Reparaciones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pt-PT"/>
        </w:rPr>
        <w:t>Costas.</w:t>
      </w:r>
      <w:r>
        <w:rPr>
          <w:rStyle w:val="None"/>
          <w:color w:val="2B477B"/>
          <w:u w:color="000000"/>
        </w:rPr>
        <w:t xml:space="preserve"> </w:t>
      </w:r>
      <w:r>
        <w:rPr>
          <w:rStyle w:val="None"/>
          <w:rFonts w:ascii="Arial Unicode MS" w:eastAsia="Arial Unicode MS" w:hAnsi="Arial Unicode MS" w:cs="Arial Unicode MS"/>
          <w:color w:val="2B477B"/>
          <w:u w:color="000000"/>
        </w:rPr>
        <w:t>Sentencia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4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febrero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2022</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Serie</w:t>
      </w:r>
      <w:r>
        <w:rPr>
          <w:rStyle w:val="None"/>
          <w:color w:val="2B477B"/>
          <w:u w:color="000000"/>
        </w:rPr>
        <w:t xml:space="preserve"> </w:t>
      </w:r>
      <w:r>
        <w:rPr>
          <w:rStyle w:val="None"/>
          <w:rFonts w:ascii="Arial Unicode MS" w:eastAsia="Arial Unicode MS" w:hAnsi="Arial Unicode MS" w:cs="Arial Unicode MS"/>
          <w:color w:val="2B477B"/>
          <w:u w:color="000000"/>
        </w:rPr>
        <w:t>C</w:t>
      </w:r>
      <w:r>
        <w:rPr>
          <w:rStyle w:val="None"/>
          <w:color w:val="2B477B"/>
          <w:u w:color="000000"/>
        </w:rPr>
        <w:t xml:space="preserve"> </w:t>
      </w:r>
      <w:r>
        <w:rPr>
          <w:rStyle w:val="None"/>
          <w:rFonts w:ascii="Arial Unicode MS" w:eastAsia="Arial Unicode MS" w:hAnsi="Arial Unicode MS" w:cs="Arial Unicode MS"/>
          <w:color w:val="2B477B"/>
          <w:u w:color="000000"/>
          <w:lang w:val="it-IT"/>
        </w:rPr>
        <w:t>No.</w:t>
      </w:r>
      <w:r>
        <w:rPr>
          <w:rStyle w:val="None"/>
          <w:color w:val="2B477B"/>
          <w:u w:color="000000"/>
        </w:rPr>
        <w:t xml:space="preserve"> 449</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lang w:val="it-IT"/>
        </w:rPr>
        <w:t>Corte</w:t>
      </w:r>
      <w:r>
        <w:rPr>
          <w:rStyle w:val="None"/>
          <w:color w:val="2B477B"/>
          <w:u w:color="000000"/>
        </w:rPr>
        <w:t xml:space="preserve"> </w:t>
      </w:r>
      <w:r>
        <w:rPr>
          <w:rStyle w:val="None"/>
          <w:rFonts w:ascii="Arial Unicode MS" w:eastAsia="Arial Unicode MS" w:hAnsi="Arial Unicode MS" w:cs="Arial Unicode MS"/>
          <w:color w:val="2B477B"/>
          <w:u w:color="000000"/>
          <w:lang w:val="en-US"/>
        </w:rPr>
        <w:t>IDH.</w:t>
      </w:r>
      <w:r>
        <w:rPr>
          <w:rStyle w:val="None"/>
          <w:color w:val="2B477B"/>
          <w:u w:color="000000"/>
        </w:rPr>
        <w:t xml:space="preserve"> </w:t>
      </w:r>
      <w:r>
        <w:rPr>
          <w:rStyle w:val="None"/>
          <w:rFonts w:ascii="Arial Unicode MS" w:eastAsia="Arial Unicode MS" w:hAnsi="Arial Unicode MS" w:cs="Arial Unicode MS"/>
          <w:color w:val="2B477B"/>
          <w:u w:color="000000"/>
          <w:lang w:val="it-IT"/>
        </w:rPr>
        <w:t>Caso</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Helvetica LT Std Roman" w:hAnsi="Helvetica LT Std Roman"/>
          <w:color w:val="2B477B"/>
          <w:u w:color="000000"/>
        </w:rPr>
        <w:t>Ú</w:t>
      </w:r>
      <w:r>
        <w:rPr>
          <w:rStyle w:val="None"/>
          <w:rFonts w:ascii="Arial Unicode MS" w:eastAsia="Arial Unicode MS" w:hAnsi="Arial Unicode MS" w:cs="Arial Unicode MS"/>
          <w:color w:val="2B477B"/>
          <w:u w:color="000000"/>
          <w:lang w:val="it-IT"/>
        </w:rPr>
        <w:t>ltima</w:t>
      </w:r>
      <w:r>
        <w:rPr>
          <w:rStyle w:val="None"/>
          <w:color w:val="2B477B"/>
          <w:u w:color="000000"/>
        </w:rPr>
        <w:t xml:space="preserve"> </w:t>
      </w:r>
      <w:r>
        <w:rPr>
          <w:rStyle w:val="None"/>
          <w:rFonts w:ascii="Arial Unicode MS" w:eastAsia="Arial Unicode MS" w:hAnsi="Arial Unicode MS" w:cs="Arial Unicode MS"/>
          <w:color w:val="2B477B"/>
          <w:u w:color="000000"/>
        </w:rPr>
        <w:t>Tentaci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Cristo"</w:t>
      </w:r>
      <w:r>
        <w:rPr>
          <w:rStyle w:val="None"/>
          <w:color w:val="2B477B"/>
          <w:u w:color="000000"/>
        </w:rPr>
        <w:t xml:space="preserve"> </w:t>
      </w:r>
      <w:r>
        <w:rPr>
          <w:rStyle w:val="None"/>
          <w:rFonts w:ascii="Arial Unicode MS" w:eastAsia="Arial Unicode MS" w:hAnsi="Arial Unicode MS" w:cs="Arial Unicode MS"/>
          <w:color w:val="2B477B"/>
          <w:u w:color="000000"/>
        </w:rPr>
        <w:t>(Olmedo</w:t>
      </w:r>
      <w:r>
        <w:rPr>
          <w:rStyle w:val="None"/>
          <w:color w:val="2B477B"/>
          <w:u w:color="000000"/>
        </w:rPr>
        <w:t xml:space="preserve"> </w:t>
      </w:r>
      <w:r>
        <w:rPr>
          <w:rStyle w:val="None"/>
          <w:rFonts w:ascii="Arial Unicode MS" w:eastAsia="Arial Unicode MS" w:hAnsi="Arial Unicode MS" w:cs="Arial Unicode MS"/>
          <w:color w:val="2B477B"/>
          <w:u w:color="000000"/>
          <w:lang w:val="pt-PT"/>
        </w:rPr>
        <w:t>Bustos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rPr>
        <w:t>otros)</w:t>
      </w:r>
      <w:r>
        <w:rPr>
          <w:rStyle w:val="None"/>
          <w:color w:val="2B477B"/>
          <w:u w:color="000000"/>
        </w:rPr>
        <w:t xml:space="preserve"> </w:t>
      </w:r>
      <w:r>
        <w:rPr>
          <w:rStyle w:val="None"/>
          <w:rFonts w:ascii="Arial Unicode MS" w:eastAsia="Arial Unicode MS" w:hAnsi="Arial Unicode MS" w:cs="Arial Unicode MS"/>
          <w:color w:val="2B477B"/>
          <w:u w:color="000000"/>
          <w:lang w:val="pt-PT"/>
        </w:rPr>
        <w:t>Vs.</w:t>
      </w:r>
      <w:r>
        <w:rPr>
          <w:rStyle w:val="None"/>
          <w:color w:val="2B477B"/>
          <w:u w:color="000000"/>
        </w:rPr>
        <w:t xml:space="preserve"> </w:t>
      </w:r>
      <w:r>
        <w:rPr>
          <w:rStyle w:val="None"/>
          <w:rFonts w:ascii="Arial Unicode MS" w:eastAsia="Arial Unicode MS" w:hAnsi="Arial Unicode MS" w:cs="Arial Unicode MS"/>
          <w:color w:val="2B477B"/>
          <w:u w:color="000000"/>
          <w:lang w:val="it-IT"/>
        </w:rPr>
        <w:t>Chile.</w:t>
      </w:r>
      <w:r>
        <w:rPr>
          <w:rStyle w:val="None"/>
          <w:color w:val="2B477B"/>
          <w:u w:color="000000"/>
        </w:rPr>
        <w:t xml:space="preserve"> </w:t>
      </w:r>
      <w:r>
        <w:rPr>
          <w:rStyle w:val="None"/>
          <w:rFonts w:ascii="Arial Unicode MS" w:eastAsia="Arial Unicode MS" w:hAnsi="Arial Unicode MS" w:cs="Arial Unicode MS"/>
          <w:color w:val="2B477B"/>
          <w:u w:color="000000"/>
          <w:lang w:val="it-IT"/>
        </w:rPr>
        <w:t>Fondo,</w:t>
      </w:r>
      <w:r>
        <w:rPr>
          <w:rStyle w:val="None"/>
          <w:color w:val="2B477B"/>
          <w:u w:color="000000"/>
        </w:rPr>
        <w:t xml:space="preserve"> </w:t>
      </w:r>
      <w:r>
        <w:rPr>
          <w:rStyle w:val="None"/>
          <w:rFonts w:ascii="Arial Unicode MS" w:eastAsia="Arial Unicode MS" w:hAnsi="Arial Unicode MS" w:cs="Arial Unicode MS"/>
          <w:color w:val="2B477B"/>
          <w:u w:color="000000"/>
        </w:rPr>
        <w:t>Reparaciones</w:t>
      </w:r>
      <w:r>
        <w:rPr>
          <w:rStyle w:val="None"/>
          <w:color w:val="2B477B"/>
          <w:u w:color="000000"/>
        </w:rPr>
        <w:t xml:space="preserve"> </w:t>
      </w:r>
      <w:r>
        <w:rPr>
          <w:rStyle w:val="None"/>
          <w:rFonts w:ascii="Arial Unicode MS" w:eastAsia="Arial Unicode MS" w:hAnsi="Arial Unicode MS" w:cs="Arial Unicode MS"/>
          <w:color w:val="2B477B"/>
          <w:u w:color="000000"/>
        </w:rPr>
        <w:t>y</w:t>
      </w:r>
      <w:r>
        <w:rPr>
          <w:rStyle w:val="None"/>
          <w:color w:val="2B477B"/>
          <w:u w:color="000000"/>
        </w:rPr>
        <w:t xml:space="preserve"> </w:t>
      </w:r>
      <w:r>
        <w:rPr>
          <w:rStyle w:val="None"/>
          <w:rFonts w:ascii="Arial Unicode MS" w:eastAsia="Arial Unicode MS" w:hAnsi="Arial Unicode MS" w:cs="Arial Unicode MS"/>
          <w:color w:val="2B477B"/>
          <w:u w:color="000000"/>
          <w:lang w:val="pt-PT"/>
        </w:rPr>
        <w:t>Costas.</w:t>
      </w:r>
      <w:r>
        <w:rPr>
          <w:rStyle w:val="None"/>
          <w:color w:val="2B477B"/>
          <w:u w:color="000000"/>
        </w:rPr>
        <w:t xml:space="preserve"> </w:t>
      </w:r>
      <w:r>
        <w:rPr>
          <w:rStyle w:val="None"/>
          <w:rFonts w:ascii="Arial Unicode MS" w:eastAsia="Arial Unicode MS" w:hAnsi="Arial Unicode MS" w:cs="Arial Unicode MS"/>
          <w:color w:val="2B477B"/>
          <w:u w:color="000000"/>
        </w:rPr>
        <w:t>Sentencia</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5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febrero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2001</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Serie</w:t>
      </w:r>
      <w:r>
        <w:rPr>
          <w:rStyle w:val="None"/>
          <w:color w:val="2B477B"/>
          <w:u w:color="000000"/>
        </w:rPr>
        <w:t xml:space="preserve"> </w:t>
      </w:r>
      <w:r>
        <w:rPr>
          <w:rStyle w:val="None"/>
          <w:rFonts w:ascii="Arial Unicode MS" w:eastAsia="Arial Unicode MS" w:hAnsi="Arial Unicode MS" w:cs="Arial Unicode MS"/>
          <w:color w:val="2B477B"/>
          <w:u w:color="000000"/>
        </w:rPr>
        <w:t>C</w:t>
      </w:r>
      <w:r>
        <w:rPr>
          <w:rStyle w:val="None"/>
          <w:color w:val="2B477B"/>
          <w:u w:color="000000"/>
        </w:rPr>
        <w:t xml:space="preserve"> </w:t>
      </w:r>
      <w:r>
        <w:rPr>
          <w:rStyle w:val="None"/>
          <w:rFonts w:ascii="Arial Unicode MS" w:eastAsia="Arial Unicode MS" w:hAnsi="Arial Unicode MS" w:cs="Arial Unicode MS"/>
          <w:color w:val="2B477B"/>
          <w:u w:color="000000"/>
          <w:lang w:val="it-IT"/>
        </w:rPr>
        <w:t>No.</w:t>
      </w:r>
      <w:r>
        <w:rPr>
          <w:rStyle w:val="None"/>
          <w:color w:val="2B477B"/>
          <w:u w:color="000000"/>
        </w:rPr>
        <w:t xml:space="preserve"> 73</w:t>
      </w:r>
      <w:r>
        <w:rPr>
          <w:rStyle w:val="None"/>
          <w:rFonts w:ascii="Arial Unicode MS" w:eastAsia="Arial Unicode MS" w:hAnsi="Arial Unicode MS" w:cs="Arial Unicode MS"/>
          <w:color w:val="2B477B"/>
          <w:u w:color="000000"/>
        </w:rPr>
        <w:t>.</w:t>
      </w:r>
    </w:p>
  </w:footnote>
  <w:footnote w:id="616">
    <w:p w14:paraId="478D9FB5"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da-DK"/>
        </w:rPr>
        <w:t>Ibidem</w:t>
      </w:r>
    </w:p>
  </w:footnote>
  <w:footnote w:id="617">
    <w:p w14:paraId="1F34C0F1"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it-IT"/>
        </w:rPr>
        <w:t>Asamblea</w:t>
      </w:r>
      <w:r>
        <w:rPr>
          <w:rStyle w:val="None"/>
          <w:color w:val="2B477B"/>
          <w:u w:color="000000"/>
        </w:rPr>
        <w:t xml:space="preserve"> </w:t>
      </w:r>
      <w:r>
        <w:rPr>
          <w:rStyle w:val="None"/>
          <w:rFonts w:ascii="Arial Unicode MS" w:eastAsia="Arial Unicode MS" w:hAnsi="Arial Unicode MS" w:cs="Arial Unicode MS"/>
          <w:color w:val="2B477B"/>
          <w:u w:color="000000"/>
        </w:rPr>
        <w:t>General.</w:t>
      </w:r>
      <w:r>
        <w:rPr>
          <w:rStyle w:val="None"/>
          <w:color w:val="2B477B"/>
          <w:u w:color="000000"/>
        </w:rPr>
        <w:t xml:space="preserve"> </w:t>
      </w:r>
      <w:r>
        <w:rPr>
          <w:rStyle w:val="None"/>
          <w:rFonts w:ascii="Arial Unicode MS" w:eastAsia="Arial Unicode MS" w:hAnsi="Arial Unicode MS" w:cs="Arial Unicode MS"/>
          <w:color w:val="2B477B"/>
          <w:u w:color="000000"/>
          <w:lang w:val="de-DE"/>
        </w:rPr>
        <w:t>Informe</w:t>
      </w:r>
      <w:r>
        <w:rPr>
          <w:rStyle w:val="None"/>
          <w:color w:val="2B477B"/>
          <w:u w:color="000000"/>
        </w:rPr>
        <w:t xml:space="preserve"> </w:t>
      </w:r>
      <w:r>
        <w:rPr>
          <w:rStyle w:val="None"/>
          <w:rFonts w:ascii="Arial Unicode MS" w:eastAsia="Arial Unicode MS" w:hAnsi="Arial Unicode MS" w:cs="Arial Unicode MS"/>
          <w:color w:val="2B477B"/>
          <w:u w:color="000000"/>
          <w:lang w:val="it-IT"/>
        </w:rPr>
        <w:t>del</w:t>
      </w:r>
      <w:r>
        <w:rPr>
          <w:rStyle w:val="None"/>
          <w:color w:val="2B477B"/>
          <w:u w:color="000000"/>
        </w:rPr>
        <w:t xml:space="preserve"> </w:t>
      </w:r>
      <w:r>
        <w:rPr>
          <w:rStyle w:val="None"/>
          <w:rFonts w:ascii="Arial Unicode MS" w:eastAsia="Arial Unicode MS" w:hAnsi="Arial Unicode MS" w:cs="Arial Unicode MS"/>
          <w:color w:val="2B477B"/>
          <w:u w:color="000000"/>
          <w:lang w:val="it-IT"/>
        </w:rPr>
        <w:t>Relator</w:t>
      </w:r>
      <w:r>
        <w:rPr>
          <w:rStyle w:val="None"/>
          <w:color w:val="2B477B"/>
          <w:u w:color="000000"/>
        </w:rPr>
        <w:t xml:space="preserve"> </w:t>
      </w:r>
      <w:r>
        <w:rPr>
          <w:rStyle w:val="None"/>
          <w:rFonts w:ascii="Arial Unicode MS" w:eastAsia="Arial Unicode MS" w:hAnsi="Arial Unicode MS" w:cs="Arial Unicode MS"/>
          <w:color w:val="2B477B"/>
          <w:u w:color="000000"/>
        </w:rPr>
        <w:t>Especial</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libertad</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sv-SE"/>
        </w:rPr>
        <w:t>religi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pt-PT"/>
        </w:rPr>
        <w:t>creencias.</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w:t>
      </w:r>
      <w:r>
        <w:rPr>
          <w:rStyle w:val="None"/>
          <w:rFonts w:ascii="Arial Unicode MS" w:eastAsia="Arial Unicode MS" w:hAnsi="Arial Unicode MS" w:cs="Arial Unicode MS"/>
          <w:color w:val="2B477B"/>
          <w:u w:color="000000"/>
        </w:rPr>
        <w:t>HRC</w:t>
      </w:r>
      <w:r>
        <w:rPr>
          <w:rStyle w:val="None"/>
          <w:color w:val="2B477B"/>
          <w:u w:color="000000"/>
        </w:rPr>
        <w:t>/34/50</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Disponible</w:t>
      </w:r>
      <w:r>
        <w:rPr>
          <w:rStyle w:val="None"/>
          <w:color w:val="2B477B"/>
          <w:u w:color="000000"/>
        </w:rPr>
        <w:t xml:space="preserve"> </w:t>
      </w:r>
      <w:r>
        <w:rPr>
          <w:rStyle w:val="None"/>
          <w:rFonts w:ascii="Arial Unicode MS" w:eastAsia="Arial Unicode MS" w:hAnsi="Arial Unicode MS" w:cs="Arial Unicode MS"/>
          <w:color w:val="2B477B"/>
          <w:u w:color="000000"/>
          <w:lang w:val="de-DE"/>
        </w:rPr>
        <w:t>en:</w:t>
      </w:r>
      <w:r>
        <w:rPr>
          <w:rStyle w:val="None"/>
          <w:color w:val="2B477B"/>
          <w:u w:color="000000"/>
        </w:rPr>
        <w:t xml:space="preserve"> </w:t>
      </w:r>
      <w:hyperlink r:id="rId955" w:history="1">
        <w:r>
          <w:rPr>
            <w:rStyle w:val="Hyperlink0"/>
            <w:rFonts w:ascii="Arial" w:hAnsi="Arial"/>
            <w:lang w:val="en-US"/>
          </w:rPr>
          <w:t>https://undocs.org/es/A/HRC/34/50</w:t>
        </w:r>
      </w:hyperlink>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lang w:val="it-IT"/>
        </w:rPr>
        <w:t>Asamblea</w:t>
      </w:r>
      <w:r>
        <w:rPr>
          <w:rStyle w:val="None"/>
          <w:color w:val="2B477B"/>
          <w:u w:color="000000"/>
        </w:rPr>
        <w:t xml:space="preserve"> </w:t>
      </w:r>
      <w:r>
        <w:rPr>
          <w:rStyle w:val="None"/>
          <w:rFonts w:ascii="Arial Unicode MS" w:eastAsia="Arial Unicode MS" w:hAnsi="Arial Unicode MS" w:cs="Arial Unicode MS"/>
          <w:color w:val="2B477B"/>
          <w:u w:color="000000"/>
        </w:rPr>
        <w:t>General.</w:t>
      </w:r>
      <w:r>
        <w:rPr>
          <w:rStyle w:val="None"/>
          <w:color w:val="2B477B"/>
          <w:u w:color="000000"/>
        </w:rPr>
        <w:t xml:space="preserve"> </w:t>
      </w:r>
      <w:r>
        <w:rPr>
          <w:rStyle w:val="None"/>
          <w:rFonts w:ascii="Arial Unicode MS" w:eastAsia="Arial Unicode MS" w:hAnsi="Arial Unicode MS" w:cs="Arial Unicode MS"/>
          <w:color w:val="2B477B"/>
          <w:u w:color="000000"/>
        </w:rPr>
        <w:t>Eliminaci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todas</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lang w:val="pt-PT"/>
        </w:rPr>
        <w:t>formas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it-IT"/>
        </w:rPr>
        <w:t>intolerancia</w:t>
      </w:r>
      <w:r>
        <w:rPr>
          <w:rStyle w:val="None"/>
          <w:color w:val="2B477B"/>
          <w:u w:color="000000"/>
        </w:rPr>
        <w:t xml:space="preserve"> </w:t>
      </w:r>
      <w:r>
        <w:rPr>
          <w:rStyle w:val="None"/>
          <w:rFonts w:ascii="Arial Unicode MS" w:eastAsia="Arial Unicode MS" w:hAnsi="Arial Unicode MS" w:cs="Arial Unicode MS"/>
          <w:color w:val="2B477B"/>
          <w:u w:color="000000"/>
          <w:lang w:val="it-IT"/>
        </w:rPr>
        <w:t>religiosa.</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/71/269</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Disponible</w:t>
      </w:r>
      <w:r>
        <w:rPr>
          <w:rStyle w:val="None"/>
          <w:color w:val="2B477B"/>
          <w:u w:color="000000"/>
        </w:rPr>
        <w:t xml:space="preserve"> </w:t>
      </w:r>
      <w:r>
        <w:rPr>
          <w:rStyle w:val="None"/>
          <w:rFonts w:ascii="Arial Unicode MS" w:eastAsia="Arial Unicode MS" w:hAnsi="Arial Unicode MS" w:cs="Arial Unicode MS"/>
          <w:color w:val="2B477B"/>
          <w:u w:color="000000"/>
          <w:lang w:val="de-DE"/>
        </w:rPr>
        <w:t>en:</w:t>
      </w:r>
      <w:r>
        <w:rPr>
          <w:rStyle w:val="None"/>
          <w:color w:val="2B477B"/>
          <w:u w:color="000000"/>
        </w:rPr>
        <w:t xml:space="preserve"> </w:t>
      </w:r>
      <w:r>
        <w:rPr>
          <w:rStyle w:val="None"/>
          <w:rFonts w:ascii="Arial Unicode MS" w:eastAsia="Arial Unicode MS" w:hAnsi="Arial Unicode MS" w:cs="Arial Unicode MS"/>
          <w:color w:val="2B477B"/>
          <w:u w:color="000000"/>
          <w:lang w:val="de-DE"/>
        </w:rPr>
        <w:t>https:</w:t>
      </w:r>
      <w:r>
        <w:rPr>
          <w:rStyle w:val="None"/>
          <w:color w:val="2B477B"/>
          <w:u w:color="000000"/>
        </w:rPr>
        <w:t>//</w:t>
      </w:r>
      <w:r>
        <w:rPr>
          <w:rStyle w:val="None"/>
          <w:rFonts w:ascii="Arial Unicode MS" w:eastAsia="Arial Unicode MS" w:hAnsi="Arial Unicode MS" w:cs="Arial Unicode MS"/>
          <w:color w:val="2B477B"/>
          <w:u w:color="000000"/>
          <w:lang w:val="en-US"/>
        </w:rPr>
        <w:t>documents-dds-ny.un.org</w:t>
      </w:r>
      <w:r>
        <w:rPr>
          <w:rStyle w:val="None"/>
          <w:color w:val="2B477B"/>
          <w:u w:color="000000"/>
        </w:rPr>
        <w:t>/</w:t>
      </w:r>
      <w:r>
        <w:rPr>
          <w:rStyle w:val="None"/>
          <w:rFonts w:ascii="Arial Unicode MS" w:eastAsia="Arial Unicode MS" w:hAnsi="Arial Unicode MS" w:cs="Arial Unicode MS"/>
          <w:color w:val="2B477B"/>
          <w:u w:color="000000"/>
        </w:rPr>
        <w:t>doc</w:t>
      </w:r>
      <w:r>
        <w:rPr>
          <w:rStyle w:val="None"/>
          <w:color w:val="2B477B"/>
          <w:u w:color="000000"/>
        </w:rPr>
        <w:t>/</w:t>
      </w:r>
      <w:r>
        <w:rPr>
          <w:rStyle w:val="None"/>
          <w:rFonts w:ascii="Arial Unicode MS" w:eastAsia="Arial Unicode MS" w:hAnsi="Arial Unicode MS" w:cs="Arial Unicode MS"/>
          <w:color w:val="2B477B"/>
          <w:u w:color="000000"/>
        </w:rPr>
        <w:t>UNDOC</w:t>
      </w:r>
      <w:r>
        <w:rPr>
          <w:rStyle w:val="None"/>
          <w:color w:val="2B477B"/>
          <w:u w:color="000000"/>
        </w:rPr>
        <w:t>/</w:t>
      </w:r>
      <w:r>
        <w:rPr>
          <w:rStyle w:val="None"/>
          <w:rFonts w:ascii="Arial Unicode MS" w:eastAsia="Arial Unicode MS" w:hAnsi="Arial Unicode MS" w:cs="Arial Unicode MS"/>
          <w:color w:val="2B477B"/>
          <w:u w:color="000000"/>
          <w:lang w:val="de-DE"/>
        </w:rPr>
        <w:t>GEN</w:t>
      </w:r>
      <w:r>
        <w:rPr>
          <w:rStyle w:val="None"/>
          <w:color w:val="2B477B"/>
          <w:u w:color="000000"/>
        </w:rPr>
        <w:t>/</w:t>
      </w:r>
      <w:r>
        <w:rPr>
          <w:rStyle w:val="None"/>
          <w:rFonts w:ascii="Arial Unicode MS" w:eastAsia="Arial Unicode MS" w:hAnsi="Arial Unicode MS" w:cs="Arial Unicode MS"/>
          <w:color w:val="2B477B"/>
          <w:u w:color="000000"/>
        </w:rPr>
        <w:t>N</w:t>
      </w:r>
      <w:r>
        <w:rPr>
          <w:rStyle w:val="None"/>
          <w:color w:val="2B477B"/>
          <w:u w:color="000000"/>
        </w:rPr>
        <w:t>16/245/01/</w:t>
      </w:r>
      <w:r>
        <w:rPr>
          <w:rStyle w:val="None"/>
          <w:rFonts w:ascii="Arial Unicode MS" w:eastAsia="Arial Unicode MS" w:hAnsi="Arial Unicode MS" w:cs="Arial Unicode MS"/>
          <w:color w:val="2B477B"/>
          <w:u w:color="000000"/>
          <w:lang w:val="de-DE"/>
        </w:rPr>
        <w:t>PDF</w:t>
      </w:r>
      <w:r>
        <w:rPr>
          <w:rStyle w:val="None"/>
          <w:color w:val="2B477B"/>
          <w:u w:color="000000"/>
        </w:rPr>
        <w:t>/</w:t>
      </w:r>
      <w:r>
        <w:rPr>
          <w:rStyle w:val="None"/>
          <w:rFonts w:ascii="Arial Unicode MS" w:eastAsia="Arial Unicode MS" w:hAnsi="Arial Unicode MS" w:cs="Arial Unicode MS"/>
          <w:color w:val="2B477B"/>
          <w:u w:color="000000"/>
        </w:rPr>
        <w:t>N</w:t>
      </w:r>
      <w:r>
        <w:rPr>
          <w:rStyle w:val="None"/>
          <w:color w:val="2B477B"/>
          <w:u w:color="000000"/>
        </w:rPr>
        <w:t>1624501</w:t>
      </w:r>
      <w:r>
        <w:rPr>
          <w:rStyle w:val="None"/>
          <w:rFonts w:ascii="Arial Unicode MS" w:eastAsia="Arial Unicode MS" w:hAnsi="Arial Unicode MS" w:cs="Arial Unicode MS"/>
          <w:color w:val="2B477B"/>
          <w:u w:color="000000"/>
          <w:lang w:val="fr-FR"/>
        </w:rPr>
        <w:t>.pdf?OpenElement</w:t>
      </w:r>
    </w:p>
  </w:footnote>
  <w:footnote w:id="618">
    <w:p w14:paraId="45DA9D64"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rPr>
        <w:t>Naciones</w:t>
      </w:r>
      <w:r>
        <w:rPr>
          <w:rStyle w:val="None"/>
          <w:color w:val="2B477B"/>
          <w:u w:color="000000"/>
        </w:rPr>
        <w:t xml:space="preserve"> </w:t>
      </w:r>
      <w:r>
        <w:rPr>
          <w:rStyle w:val="None"/>
          <w:rFonts w:ascii="Arial Unicode MS" w:eastAsia="Arial Unicode MS" w:hAnsi="Arial Unicode MS" w:cs="Arial Unicode MS"/>
          <w:color w:val="2B477B"/>
          <w:u w:color="000000"/>
          <w:lang w:val="pt-PT"/>
        </w:rPr>
        <w:t>Unidas,</w:t>
      </w:r>
      <w:r>
        <w:rPr>
          <w:rStyle w:val="None"/>
          <w:color w:val="2B477B"/>
          <w:u w:color="000000"/>
        </w:rPr>
        <w:t xml:space="preserve"> </w:t>
      </w:r>
      <w:r>
        <w:rPr>
          <w:rStyle w:val="None"/>
          <w:rFonts w:ascii="Arial Unicode MS" w:eastAsia="Arial Unicode MS" w:hAnsi="Arial Unicode MS" w:cs="Arial Unicode MS"/>
          <w:color w:val="2B477B"/>
          <w:u w:color="000000"/>
        </w:rPr>
        <w:t>Consejo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lang w:val="de-DE"/>
        </w:rPr>
        <w:t>Informe</w:t>
      </w:r>
      <w:r>
        <w:rPr>
          <w:rStyle w:val="None"/>
          <w:color w:val="2B477B"/>
          <w:u w:color="000000"/>
        </w:rPr>
        <w:t xml:space="preserve"> </w:t>
      </w:r>
      <w:r>
        <w:rPr>
          <w:rStyle w:val="None"/>
          <w:rFonts w:ascii="Arial Unicode MS" w:eastAsia="Arial Unicode MS" w:hAnsi="Arial Unicode MS" w:cs="Arial Unicode MS"/>
          <w:color w:val="2B477B"/>
          <w:u w:color="000000"/>
          <w:lang w:val="it-IT"/>
        </w:rPr>
        <w:t>Relator</w:t>
      </w:r>
      <w:r>
        <w:rPr>
          <w:rStyle w:val="None"/>
          <w:color w:val="2B477B"/>
          <w:u w:color="000000"/>
        </w:rPr>
        <w:t xml:space="preserve"> </w:t>
      </w:r>
      <w:r>
        <w:rPr>
          <w:rStyle w:val="None"/>
          <w:rFonts w:ascii="Arial Unicode MS" w:eastAsia="Arial Unicode MS" w:hAnsi="Arial Unicode MS" w:cs="Arial Unicode MS"/>
          <w:color w:val="2B477B"/>
          <w:u w:color="000000"/>
        </w:rPr>
        <w:t>Especial</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libertad</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sv-SE"/>
        </w:rPr>
        <w:t>religi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creencias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Naciones</w:t>
      </w:r>
      <w:r>
        <w:rPr>
          <w:rStyle w:val="None"/>
          <w:color w:val="2B477B"/>
          <w:u w:color="000000"/>
        </w:rPr>
        <w:t xml:space="preserve"> </w:t>
      </w:r>
      <w:r>
        <w:rPr>
          <w:rStyle w:val="None"/>
          <w:rFonts w:ascii="Arial Unicode MS" w:eastAsia="Arial Unicode MS" w:hAnsi="Arial Unicode MS" w:cs="Arial Unicode MS"/>
          <w:color w:val="2B477B"/>
          <w:u w:color="000000"/>
          <w:lang w:val="pt-PT"/>
        </w:rPr>
        <w:t>Unidas.</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w:t>
      </w:r>
      <w:r>
        <w:rPr>
          <w:rStyle w:val="None"/>
          <w:rFonts w:ascii="Arial Unicode MS" w:eastAsia="Arial Unicode MS" w:hAnsi="Arial Unicode MS" w:cs="Arial Unicode MS"/>
          <w:color w:val="2B477B"/>
          <w:u w:color="000000"/>
        </w:rPr>
        <w:t>HRC</w:t>
      </w:r>
      <w:r>
        <w:rPr>
          <w:rStyle w:val="None"/>
          <w:color w:val="2B477B"/>
          <w:u w:color="000000"/>
        </w:rPr>
        <w:t>/37/49</w:t>
      </w:r>
      <w:r>
        <w:rPr>
          <w:rStyle w:val="None"/>
          <w:rFonts w:ascii="Arial Unicode MS" w:eastAsia="Arial Unicode MS" w:hAnsi="Arial Unicode MS" w:cs="Arial Unicode MS"/>
          <w:color w:val="2B477B"/>
          <w:u w:color="000000"/>
        </w:rPr>
        <w:t>.</w:t>
      </w:r>
      <w:r>
        <w:rPr>
          <w:rStyle w:val="None"/>
          <w:color w:val="2B477B"/>
          <w:u w:color="000000"/>
        </w:rPr>
        <w:t xml:space="preserve"> 28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febrero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proofErr w:type="gramStart"/>
      <w:r>
        <w:rPr>
          <w:rStyle w:val="None"/>
          <w:color w:val="2B477B"/>
          <w:u w:color="000000"/>
        </w:rPr>
        <w:t>2018</w:t>
      </w:r>
      <w:r>
        <w:rPr>
          <w:rStyle w:val="None"/>
          <w:rFonts w:ascii="Arial Unicode MS" w:eastAsia="Arial Unicode MS" w:hAnsi="Arial Unicode MS" w:cs="Arial Unicode MS"/>
          <w:color w:val="2B477B"/>
          <w:u w:color="000000"/>
        </w:rPr>
        <w:t>;</w:t>
      </w:r>
      <w:r>
        <w:rPr>
          <w:rStyle w:val="None"/>
          <w:color w:val="2B477B"/>
          <w:u w:color="000000"/>
        </w:rPr>
        <w:t xml:space="preserve">  </w:t>
      </w:r>
      <w:r>
        <w:rPr>
          <w:rStyle w:val="None"/>
          <w:rFonts w:ascii="Arial Unicode MS" w:eastAsia="Arial Unicode MS" w:hAnsi="Arial Unicode MS" w:cs="Arial Unicode MS"/>
          <w:color w:val="2B477B"/>
          <w:u w:color="000000"/>
        </w:rPr>
        <w:t>Naciones</w:t>
      </w:r>
      <w:proofErr w:type="gramEnd"/>
      <w:r>
        <w:rPr>
          <w:rStyle w:val="None"/>
          <w:color w:val="2B477B"/>
          <w:u w:color="000000"/>
        </w:rPr>
        <w:t xml:space="preserve"> </w:t>
      </w:r>
      <w:r>
        <w:rPr>
          <w:rStyle w:val="None"/>
          <w:rFonts w:ascii="Arial Unicode MS" w:eastAsia="Arial Unicode MS" w:hAnsi="Arial Unicode MS" w:cs="Arial Unicode MS"/>
          <w:color w:val="2B477B"/>
          <w:u w:color="000000"/>
          <w:lang w:val="pt-PT"/>
        </w:rPr>
        <w:t>Unidas,</w:t>
      </w:r>
      <w:r>
        <w:rPr>
          <w:rStyle w:val="None"/>
          <w:color w:val="2B477B"/>
          <w:u w:color="000000"/>
        </w:rPr>
        <w:t xml:space="preserve"> </w:t>
      </w:r>
      <w:r>
        <w:rPr>
          <w:rStyle w:val="None"/>
          <w:rFonts w:ascii="Arial Unicode MS" w:eastAsia="Arial Unicode MS" w:hAnsi="Arial Unicode MS" w:cs="Arial Unicode MS"/>
          <w:color w:val="2B477B"/>
          <w:u w:color="000000"/>
        </w:rPr>
        <w:t>Consejo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Derechos</w:t>
      </w:r>
      <w:r>
        <w:rPr>
          <w:rStyle w:val="None"/>
          <w:color w:val="2B477B"/>
          <w:u w:color="000000"/>
        </w:rPr>
        <w:t xml:space="preserve"> </w:t>
      </w:r>
      <w:r>
        <w:rPr>
          <w:rStyle w:val="None"/>
          <w:rFonts w:ascii="Arial Unicode MS" w:eastAsia="Arial Unicode MS" w:hAnsi="Arial Unicode MS" w:cs="Arial Unicode MS"/>
          <w:color w:val="2B477B"/>
          <w:u w:color="000000"/>
          <w:lang w:val="pt-PT"/>
        </w:rPr>
        <w:t>Humanos.</w:t>
      </w:r>
      <w:r>
        <w:rPr>
          <w:rStyle w:val="None"/>
          <w:color w:val="2B477B"/>
          <w:u w:color="000000"/>
        </w:rPr>
        <w:t xml:space="preserve"> </w:t>
      </w:r>
      <w:r>
        <w:rPr>
          <w:rStyle w:val="None"/>
          <w:rFonts w:ascii="Arial Unicode MS" w:eastAsia="Arial Unicode MS" w:hAnsi="Arial Unicode MS" w:cs="Arial Unicode MS"/>
          <w:color w:val="2B477B"/>
          <w:u w:color="000000"/>
          <w:lang w:val="de-DE"/>
        </w:rPr>
        <w:t>Informe</w:t>
      </w:r>
      <w:r>
        <w:rPr>
          <w:rStyle w:val="None"/>
          <w:color w:val="2B477B"/>
          <w:u w:color="000000"/>
        </w:rPr>
        <w:t xml:space="preserve"> </w:t>
      </w:r>
      <w:r>
        <w:rPr>
          <w:rStyle w:val="None"/>
          <w:rFonts w:ascii="Arial Unicode MS" w:eastAsia="Arial Unicode MS" w:hAnsi="Arial Unicode MS" w:cs="Arial Unicode MS"/>
          <w:color w:val="2B477B"/>
          <w:u w:color="000000"/>
          <w:lang w:val="it-IT"/>
        </w:rPr>
        <w:t>Relator</w:t>
      </w:r>
      <w:r>
        <w:rPr>
          <w:rStyle w:val="None"/>
          <w:color w:val="2B477B"/>
          <w:u w:color="000000"/>
        </w:rPr>
        <w:t xml:space="preserve"> </w:t>
      </w:r>
      <w:r>
        <w:rPr>
          <w:rStyle w:val="None"/>
          <w:rFonts w:ascii="Arial Unicode MS" w:eastAsia="Arial Unicode MS" w:hAnsi="Arial Unicode MS" w:cs="Arial Unicode MS"/>
          <w:color w:val="2B477B"/>
          <w:u w:color="000000"/>
        </w:rPr>
        <w:t>Especial</w:t>
      </w:r>
      <w:r>
        <w:rPr>
          <w:rStyle w:val="None"/>
          <w:color w:val="2B477B"/>
          <w:u w:color="000000"/>
        </w:rPr>
        <w:t xml:space="preserve"> </w:t>
      </w:r>
      <w:r>
        <w:rPr>
          <w:rStyle w:val="None"/>
          <w:rFonts w:ascii="Arial Unicode MS" w:eastAsia="Arial Unicode MS" w:hAnsi="Arial Unicode MS" w:cs="Arial Unicode MS"/>
          <w:color w:val="2B477B"/>
          <w:u w:color="000000"/>
          <w:lang w:val="pt-PT"/>
        </w:rPr>
        <w:t>sobre</w:t>
      </w:r>
      <w:r>
        <w:rPr>
          <w:rStyle w:val="None"/>
          <w:color w:val="2B477B"/>
          <w:u w:color="000000"/>
        </w:rPr>
        <w:t xml:space="preserve"> </w:t>
      </w:r>
      <w:r>
        <w:rPr>
          <w:rStyle w:val="None"/>
          <w:rFonts w:ascii="Arial Unicode MS" w:eastAsia="Arial Unicode MS" w:hAnsi="Arial Unicode MS" w:cs="Arial Unicode MS"/>
          <w:color w:val="2B477B"/>
          <w:u w:color="000000"/>
        </w:rPr>
        <w:t>la</w:t>
      </w:r>
      <w:r>
        <w:rPr>
          <w:rStyle w:val="None"/>
          <w:color w:val="2B477B"/>
          <w:u w:color="000000"/>
        </w:rPr>
        <w:t xml:space="preserve"> </w:t>
      </w:r>
      <w:r>
        <w:rPr>
          <w:rStyle w:val="None"/>
          <w:rFonts w:ascii="Arial Unicode MS" w:eastAsia="Arial Unicode MS" w:hAnsi="Arial Unicode MS" w:cs="Arial Unicode MS"/>
          <w:color w:val="2B477B"/>
          <w:u w:color="000000"/>
        </w:rPr>
        <w:t>libertad</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lang w:val="sv-SE"/>
        </w:rPr>
        <w:t>religi</w:t>
      </w:r>
      <w:r>
        <w:rPr>
          <w:rStyle w:val="None"/>
          <w:rFonts w:ascii="Helvetica LT Std Roman" w:hAnsi="Helvetica LT Std Roman"/>
          <w:color w:val="2B477B"/>
          <w:u w:color="000000"/>
        </w:rPr>
        <w:t>ó</w:t>
      </w:r>
      <w:r>
        <w:rPr>
          <w:rStyle w:val="None"/>
          <w:rFonts w:ascii="Arial Unicode MS" w:eastAsia="Arial Unicode MS" w:hAnsi="Arial Unicode MS" w:cs="Arial Unicode MS"/>
          <w:color w:val="2B477B"/>
          <w:u w:color="000000"/>
        </w:rPr>
        <w:t>n</w:t>
      </w:r>
      <w:r>
        <w:rPr>
          <w:rStyle w:val="None"/>
          <w:color w:val="2B477B"/>
          <w:u w:color="000000"/>
        </w:rPr>
        <w:t xml:space="preserve"> </w:t>
      </w:r>
      <w:r>
        <w:rPr>
          <w:rStyle w:val="None"/>
          <w:rFonts w:ascii="Arial Unicode MS" w:eastAsia="Arial Unicode MS" w:hAnsi="Arial Unicode MS" w:cs="Arial Unicode MS"/>
          <w:color w:val="2B477B"/>
          <w:u w:color="000000"/>
        </w:rPr>
        <w:t>o</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creencias</w:t>
      </w:r>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las</w:t>
      </w:r>
      <w:r>
        <w:rPr>
          <w:rStyle w:val="None"/>
          <w:color w:val="2B477B"/>
          <w:u w:color="000000"/>
        </w:rPr>
        <w:t xml:space="preserve"> </w:t>
      </w:r>
      <w:r>
        <w:rPr>
          <w:rStyle w:val="None"/>
          <w:rFonts w:ascii="Arial Unicode MS" w:eastAsia="Arial Unicode MS" w:hAnsi="Arial Unicode MS" w:cs="Arial Unicode MS"/>
          <w:color w:val="2B477B"/>
          <w:u w:color="000000"/>
        </w:rPr>
        <w:t>Naciones</w:t>
      </w:r>
      <w:r>
        <w:rPr>
          <w:rStyle w:val="None"/>
          <w:color w:val="2B477B"/>
          <w:u w:color="000000"/>
        </w:rPr>
        <w:t xml:space="preserve"> </w:t>
      </w:r>
      <w:r>
        <w:rPr>
          <w:rStyle w:val="None"/>
          <w:rFonts w:ascii="Arial Unicode MS" w:eastAsia="Arial Unicode MS" w:hAnsi="Arial Unicode MS" w:cs="Arial Unicode MS"/>
          <w:color w:val="2B477B"/>
          <w:u w:color="000000"/>
          <w:lang w:val="pt-PT"/>
        </w:rPr>
        <w:t>Unidas.</w:t>
      </w:r>
      <w:r>
        <w:rPr>
          <w:rStyle w:val="None"/>
          <w:color w:val="2B477B"/>
          <w:u w:color="000000"/>
        </w:rPr>
        <w:t xml:space="preserve"> </w:t>
      </w:r>
      <w:r>
        <w:rPr>
          <w:rStyle w:val="None"/>
          <w:rFonts w:ascii="Arial Unicode MS" w:eastAsia="Arial Unicode MS" w:hAnsi="Arial Unicode MS" w:cs="Arial Unicode MS"/>
          <w:color w:val="2B477B"/>
          <w:u w:color="000000"/>
        </w:rPr>
        <w:t>A</w:t>
      </w:r>
      <w:r>
        <w:rPr>
          <w:rStyle w:val="None"/>
          <w:color w:val="2B477B"/>
          <w:u w:color="000000"/>
        </w:rPr>
        <w:t>/73/362</w:t>
      </w:r>
      <w:r>
        <w:rPr>
          <w:rStyle w:val="None"/>
          <w:rFonts w:ascii="Arial Unicode MS" w:eastAsia="Arial Unicode MS" w:hAnsi="Arial Unicode MS" w:cs="Arial Unicode MS"/>
          <w:color w:val="2B477B"/>
          <w:u w:color="000000"/>
        </w:rPr>
        <w:t>.</w:t>
      </w:r>
      <w:r>
        <w:rPr>
          <w:rStyle w:val="None"/>
          <w:color w:val="2B477B"/>
          <w:u w:color="000000"/>
        </w:rPr>
        <w:t xml:space="preserve"> 05 </w:t>
      </w:r>
      <w:proofErr w:type="gramStart"/>
      <w:r>
        <w:rPr>
          <w:rStyle w:val="None"/>
          <w:rFonts w:ascii="Arial Unicode MS" w:eastAsia="Arial Unicode MS" w:hAnsi="Arial Unicode MS" w:cs="Arial Unicode MS"/>
          <w:color w:val="2B477B"/>
          <w:u w:color="000000"/>
        </w:rPr>
        <w:t>de</w:t>
      </w:r>
      <w:r>
        <w:rPr>
          <w:rStyle w:val="None"/>
          <w:color w:val="2B477B"/>
          <w:u w:color="000000"/>
        </w:rPr>
        <w:t xml:space="preserve">  </w:t>
      </w:r>
      <w:r>
        <w:rPr>
          <w:rStyle w:val="None"/>
          <w:rFonts w:ascii="Arial Unicode MS" w:eastAsia="Arial Unicode MS" w:hAnsi="Arial Unicode MS" w:cs="Arial Unicode MS"/>
          <w:color w:val="2B477B"/>
          <w:u w:color="000000"/>
        </w:rPr>
        <w:t>septiembre</w:t>
      </w:r>
      <w:proofErr w:type="gramEnd"/>
      <w:r>
        <w:rPr>
          <w:rStyle w:val="None"/>
          <w:color w:val="2B477B"/>
          <w:u w:color="000000"/>
        </w:rPr>
        <w:t xml:space="preserve">  </w:t>
      </w:r>
      <w:r>
        <w:rPr>
          <w:rStyle w:val="None"/>
          <w:rFonts w:ascii="Arial Unicode MS" w:eastAsia="Arial Unicode MS" w:hAnsi="Arial Unicode MS" w:cs="Arial Unicode MS"/>
          <w:color w:val="2B477B"/>
          <w:u w:color="000000"/>
        </w:rPr>
        <w:t>de</w:t>
      </w:r>
      <w:r>
        <w:rPr>
          <w:rStyle w:val="None"/>
          <w:color w:val="2B477B"/>
          <w:u w:color="000000"/>
        </w:rPr>
        <w:t xml:space="preserve"> 2018</w:t>
      </w:r>
      <w:r>
        <w:rPr>
          <w:rStyle w:val="None"/>
          <w:rFonts w:ascii="Arial Unicode MS" w:eastAsia="Arial Unicode MS" w:hAnsi="Arial Unicode MS" w:cs="Arial Unicode MS"/>
          <w:color w:val="2B477B"/>
          <w:u w:color="000000"/>
        </w:rPr>
        <w:t>.</w:t>
      </w:r>
    </w:p>
  </w:footnote>
  <w:footnote w:id="619">
    <w:p w14:paraId="6ED4D5E0" w14:textId="77777777" w:rsidR="001A105D" w:rsidRDefault="00000000">
      <w:pPr>
        <w:pStyle w:val="Body"/>
        <w:jc w:val="left"/>
      </w:pPr>
      <w:r>
        <w:rPr>
          <w:rStyle w:val="None"/>
          <w:color w:val="2B477B"/>
          <w:u w:color="000000"/>
          <w:vertAlign w:val="superscript"/>
        </w:rPr>
        <w:footnoteRef/>
      </w:r>
      <w:r>
        <w:rPr>
          <w:rStyle w:val="None"/>
          <w:color w:val="2B477B"/>
          <w:u w:color="000000"/>
        </w:rPr>
        <w:t xml:space="preserve"> </w:t>
      </w:r>
      <w:r>
        <w:rPr>
          <w:rStyle w:val="None"/>
          <w:rFonts w:ascii="Arial Unicode MS" w:eastAsia="Arial Unicode MS" w:hAnsi="Arial Unicode MS" w:cs="Arial Unicode MS"/>
          <w:color w:val="2B477B"/>
          <w:u w:color="000000"/>
          <w:lang w:val="en-US"/>
        </w:rPr>
        <w:t>TEDH.</w:t>
      </w:r>
      <w:r>
        <w:rPr>
          <w:rStyle w:val="None"/>
          <w:color w:val="2B477B"/>
          <w:u w:color="000000"/>
        </w:rPr>
        <w:t xml:space="preserve"> </w:t>
      </w:r>
      <w:r>
        <w:rPr>
          <w:rStyle w:val="None"/>
          <w:rFonts w:ascii="Arial Unicode MS" w:eastAsia="Arial Unicode MS" w:hAnsi="Arial Unicode MS" w:cs="Arial Unicode MS"/>
          <w:color w:val="2B477B"/>
          <w:u w:color="000000"/>
        </w:rPr>
        <w:t>Fern</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ndez</w:t>
      </w:r>
      <w:r>
        <w:rPr>
          <w:rStyle w:val="None"/>
          <w:color w:val="2B477B"/>
          <w:u w:color="000000"/>
        </w:rPr>
        <w:t xml:space="preserve"> </w:t>
      </w:r>
      <w:r>
        <w:rPr>
          <w:rStyle w:val="None"/>
          <w:rFonts w:ascii="Arial Unicode MS" w:eastAsia="Arial Unicode MS" w:hAnsi="Arial Unicode MS" w:cs="Arial Unicode MS"/>
          <w:color w:val="2B477B"/>
          <w:u w:color="000000"/>
          <w:lang w:val="fr-FR"/>
        </w:rPr>
        <w:t>Mart</w:t>
      </w:r>
      <w:r>
        <w:rPr>
          <w:rStyle w:val="None"/>
          <w:rFonts w:ascii="Helvetica LT Std Roman" w:hAnsi="Helvetica LT Std Roman"/>
          <w:color w:val="2B477B"/>
          <w:u w:color="000000"/>
        </w:rPr>
        <w:t>í</w:t>
      </w:r>
      <w:r>
        <w:rPr>
          <w:rStyle w:val="None"/>
          <w:rFonts w:ascii="Arial Unicode MS" w:eastAsia="Arial Unicode MS" w:hAnsi="Arial Unicode MS" w:cs="Arial Unicode MS"/>
          <w:color w:val="2B477B"/>
          <w:u w:color="000000"/>
        </w:rPr>
        <w:t>nez</w:t>
      </w:r>
      <w:r>
        <w:rPr>
          <w:rStyle w:val="None"/>
          <w:color w:val="2B477B"/>
          <w:u w:color="000000"/>
        </w:rPr>
        <w:t xml:space="preserve"> </w:t>
      </w:r>
      <w:r>
        <w:rPr>
          <w:rStyle w:val="None"/>
          <w:rFonts w:ascii="Arial Unicode MS" w:eastAsia="Arial Unicode MS" w:hAnsi="Arial Unicode MS" w:cs="Arial Unicode MS"/>
          <w:color w:val="2B477B"/>
          <w:u w:color="000000"/>
        </w:rPr>
        <w:t>v.</w:t>
      </w:r>
      <w:r>
        <w:rPr>
          <w:rStyle w:val="None"/>
          <w:color w:val="2B477B"/>
          <w:u w:color="000000"/>
        </w:rPr>
        <w:t xml:space="preserve"> </w:t>
      </w:r>
      <w:r>
        <w:rPr>
          <w:rStyle w:val="None"/>
          <w:rFonts w:ascii="Arial Unicode MS" w:eastAsia="Arial Unicode MS" w:hAnsi="Arial Unicode MS" w:cs="Arial Unicode MS"/>
          <w:color w:val="2B477B"/>
          <w:u w:color="000000"/>
        </w:rPr>
        <w:t>Espa</w:t>
      </w:r>
      <w:r>
        <w:rPr>
          <w:rStyle w:val="None"/>
          <w:rFonts w:ascii="Helvetica LT Std Roman" w:hAnsi="Helvetica LT Std Roman"/>
          <w:color w:val="2B477B"/>
          <w:u w:color="000000"/>
        </w:rPr>
        <w:t>ñ</w:t>
      </w:r>
      <w:r>
        <w:rPr>
          <w:rStyle w:val="None"/>
          <w:rFonts w:ascii="Arial Unicode MS" w:eastAsia="Arial Unicode MS" w:hAnsi="Arial Unicode MS" w:cs="Arial Unicode MS"/>
          <w:color w:val="2B477B"/>
          <w:u w:color="000000"/>
        </w:rPr>
        <w:t>a,</w:t>
      </w:r>
      <w:r>
        <w:rPr>
          <w:rStyle w:val="None"/>
          <w:color w:val="2B477B"/>
          <w:u w:color="000000"/>
        </w:rPr>
        <w:t xml:space="preserve"> </w:t>
      </w:r>
      <w:r>
        <w:rPr>
          <w:rStyle w:val="None"/>
          <w:rFonts w:ascii="Arial Unicode MS" w:eastAsia="Arial Unicode MS" w:hAnsi="Arial Unicode MS" w:cs="Arial Unicode MS"/>
          <w:color w:val="2B477B"/>
          <w:u w:color="000000"/>
        </w:rPr>
        <w:t>Gran</w:t>
      </w:r>
      <w:r>
        <w:rPr>
          <w:rStyle w:val="None"/>
          <w:color w:val="2B477B"/>
          <w:u w:color="000000"/>
        </w:rPr>
        <w:t xml:space="preserve"> </w:t>
      </w:r>
      <w:r>
        <w:rPr>
          <w:rStyle w:val="None"/>
          <w:rFonts w:ascii="Arial Unicode MS" w:eastAsia="Arial Unicode MS" w:hAnsi="Arial Unicode MS" w:cs="Arial Unicode MS"/>
          <w:color w:val="2B477B"/>
          <w:u w:color="000000"/>
        </w:rPr>
        <w:t>Sala.</w:t>
      </w:r>
      <w:r>
        <w:rPr>
          <w:rStyle w:val="None"/>
          <w:color w:val="2B477B"/>
          <w:u w:color="000000"/>
        </w:rPr>
        <w:t xml:space="preserve"> 2014</w:t>
      </w:r>
      <w:r>
        <w:rPr>
          <w:rStyle w:val="None"/>
          <w:rFonts w:ascii="Arial Unicode MS" w:eastAsia="Arial Unicode MS" w:hAnsi="Arial Unicode MS" w:cs="Arial Unicode MS"/>
          <w:color w:val="2B477B"/>
          <w:u w:color="000000"/>
        </w:rPr>
        <w:t>.P</w:t>
      </w:r>
      <w:r>
        <w:rPr>
          <w:rStyle w:val="None"/>
          <w:rFonts w:ascii="Helvetica LT Std Roman" w:hAnsi="Helvetica LT Std Roman"/>
          <w:color w:val="2B477B"/>
          <w:u w:color="000000"/>
        </w:rPr>
        <w:t>á</w:t>
      </w:r>
      <w:r>
        <w:rPr>
          <w:rStyle w:val="None"/>
          <w:rFonts w:ascii="Arial Unicode MS" w:eastAsia="Arial Unicode MS" w:hAnsi="Arial Unicode MS" w:cs="Arial Unicode MS"/>
          <w:color w:val="2B477B"/>
          <w:u w:color="000000"/>
        </w:rPr>
        <w:t>rr.</w:t>
      </w:r>
      <w:r>
        <w:rPr>
          <w:rStyle w:val="None"/>
          <w:color w:val="2B477B"/>
          <w:u w:color="000000"/>
        </w:rPr>
        <w:t xml:space="preserve"> 127</w:t>
      </w:r>
      <w:r>
        <w:rPr>
          <w:rStyle w:val="None"/>
          <w:rFonts w:ascii="Arial Unicode MS" w:eastAsia="Arial Unicode MS" w:hAnsi="Arial Unicode MS" w:cs="Arial Unicode MS"/>
          <w:color w:val="2B477B"/>
          <w:u w:color="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DBC89" w14:textId="77777777" w:rsidR="001A105D" w:rsidRDefault="00000000">
    <w:pPr>
      <w:pStyle w:val="Footer"/>
      <w:tabs>
        <w:tab w:val="clear" w:pos="9360"/>
        <w:tab w:val="right" w:pos="9340"/>
      </w:tabs>
      <w:jc w:val="center"/>
    </w:pPr>
    <w:r>
      <w:rPr>
        <w:rFonts w:ascii="Helvetica LT Std Roman" w:hAnsi="Helvetica LT Std Roman"/>
        <w:color w:val="718E4E"/>
        <w:sz w:val="16"/>
        <w:szCs w:val="16"/>
      </w:rPr>
      <w:t xml:space="preserve">—— </w:t>
    </w:r>
    <w:proofErr w:type="spellStart"/>
    <w:r>
      <w:rPr>
        <w:rFonts w:ascii="Helvetica LT Std Roman" w:hAnsi="Helvetica LT Std Roman"/>
        <w:color w:val="22527C"/>
        <w:sz w:val="16"/>
        <w:szCs w:val="16"/>
      </w:rPr>
      <w:t>Situación</w:t>
    </w:r>
    <w:proofErr w:type="spellEnd"/>
    <w:r>
      <w:rPr>
        <w:rFonts w:ascii="Helvetica LT Std Roman" w:hAnsi="Helvetica LT Std Roman"/>
        <w:color w:val="22527C"/>
        <w:sz w:val="16"/>
        <w:szCs w:val="16"/>
      </w:rPr>
      <w:t xml:space="preserve"> de </w:t>
    </w:r>
    <w:proofErr w:type="spellStart"/>
    <w:r>
      <w:rPr>
        <w:rFonts w:ascii="Helvetica LT Std Roman" w:hAnsi="Helvetica LT Std Roman"/>
        <w:color w:val="22527C"/>
        <w:sz w:val="16"/>
        <w:szCs w:val="16"/>
      </w:rPr>
      <w:t>los</w:t>
    </w:r>
    <w:proofErr w:type="spellEnd"/>
    <w:r>
      <w:rPr>
        <w:rFonts w:ascii="Helvetica LT Std Roman" w:hAnsi="Helvetica LT Std Roman"/>
        <w:color w:val="22527C"/>
        <w:sz w:val="16"/>
        <w:szCs w:val="16"/>
      </w:rPr>
      <w:t xml:space="preserve"> derechos </w:t>
    </w:r>
    <w:proofErr w:type="spellStart"/>
    <w:r>
      <w:rPr>
        <w:rFonts w:ascii="Helvetica LT Std Roman" w:hAnsi="Helvetica LT Std Roman"/>
        <w:color w:val="22527C"/>
        <w:sz w:val="16"/>
        <w:szCs w:val="16"/>
      </w:rPr>
      <w:t>humanos</w:t>
    </w:r>
    <w:proofErr w:type="spellEnd"/>
    <w:r>
      <w:rPr>
        <w:rFonts w:ascii="Helvetica LT Std Roman" w:hAnsi="Helvetica LT Std Roman"/>
        <w:color w:val="22527C"/>
        <w:sz w:val="16"/>
        <w:szCs w:val="16"/>
      </w:rPr>
      <w:t xml:space="preserve"> de las</w:t>
    </w:r>
    <w:r>
      <w:rPr>
        <w:rFonts w:ascii="Helvetica LT Std Roman" w:hAnsi="Helvetica LT Std Roman"/>
        <w:color w:val="22527C"/>
        <w:sz w:val="16"/>
        <w:szCs w:val="16"/>
        <w:lang w:val="pt-PT"/>
      </w:rPr>
      <w:t xml:space="preserve"> </w:t>
    </w:r>
    <w:r>
      <w:rPr>
        <w:rFonts w:ascii="Helvetica LT Std Bold" w:hAnsi="Helvetica LT Std Bold"/>
        <w:color w:val="22527C"/>
        <w:sz w:val="16"/>
        <w:szCs w:val="16"/>
      </w:rPr>
      <w:t xml:space="preserve">personas con </w:t>
    </w:r>
    <w:proofErr w:type="spellStart"/>
    <w:r>
      <w:rPr>
        <w:rFonts w:ascii="Helvetica LT Std Bold" w:hAnsi="Helvetica LT Std Bold"/>
        <w:color w:val="22527C"/>
        <w:sz w:val="16"/>
        <w:szCs w:val="16"/>
      </w:rPr>
      <w:t>discapacidad</w:t>
    </w:r>
    <w:proofErr w:type="spellEnd"/>
    <w:r>
      <w:rPr>
        <w:rFonts w:ascii="Helvetica LT Std Bold" w:hAnsi="Helvetica LT Std Bold"/>
        <w:color w:val="22527C"/>
        <w:sz w:val="16"/>
        <w:szCs w:val="16"/>
      </w:rPr>
      <w:t xml:space="preserve"> </w:t>
    </w:r>
    <w:proofErr w:type="spellStart"/>
    <w:r>
      <w:rPr>
        <w:rFonts w:ascii="Helvetica LT Std Roman" w:hAnsi="Helvetica LT Std Roman"/>
        <w:color w:val="22527C"/>
        <w:sz w:val="16"/>
        <w:szCs w:val="16"/>
      </w:rPr>
      <w:t>en</w:t>
    </w:r>
    <w:proofErr w:type="spellEnd"/>
    <w:r>
      <w:rPr>
        <w:rFonts w:ascii="Helvetica LT Std Roman" w:hAnsi="Helvetica LT Std Roman"/>
        <w:color w:val="22527C"/>
        <w:sz w:val="16"/>
        <w:szCs w:val="16"/>
      </w:rPr>
      <w:t xml:space="preserve"> las </w:t>
    </w:r>
    <w:proofErr w:type="spellStart"/>
    <w:r>
      <w:rPr>
        <w:rFonts w:ascii="Helvetica LT Std Roman" w:hAnsi="Helvetica LT Std Roman"/>
        <w:color w:val="22527C"/>
        <w:sz w:val="16"/>
        <w:szCs w:val="16"/>
      </w:rPr>
      <w:t>Américas</w:t>
    </w:r>
    <w:proofErr w:type="spellEnd"/>
    <w:r>
      <w:rPr>
        <w:rFonts w:ascii="Helvetica LT Std Roman" w:hAnsi="Helvetica LT Std Roman"/>
        <w:color w:val="22527C"/>
        <w:sz w:val="16"/>
        <w:szCs w:val="16"/>
      </w:rPr>
      <w:t xml:space="preserve"> </w:t>
    </w:r>
    <w:r>
      <w:rPr>
        <w:rFonts w:ascii="Helvetica LT Std Roman" w:hAnsi="Helvetica LT Std Roman"/>
        <w:color w:val="718E4E"/>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39894" w14:textId="77777777" w:rsidR="001A105D" w:rsidRDefault="001A105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87945"/>
    <w:multiLevelType w:val="hybridMultilevel"/>
    <w:tmpl w:val="F0A0D83E"/>
    <w:numStyleLink w:val="Bullets"/>
  </w:abstractNum>
  <w:abstractNum w:abstractNumId="1" w15:restartNumberingAfterBreak="0">
    <w:nsid w:val="0D9A06CE"/>
    <w:multiLevelType w:val="hybridMultilevel"/>
    <w:tmpl w:val="08809956"/>
    <w:numStyleLink w:val="ImportedStyle5"/>
  </w:abstractNum>
  <w:abstractNum w:abstractNumId="2" w15:restartNumberingAfterBreak="0">
    <w:nsid w:val="108F5E81"/>
    <w:multiLevelType w:val="multilevel"/>
    <w:tmpl w:val="C2884DF4"/>
    <w:numStyleLink w:val="ImportedStyle1"/>
  </w:abstractNum>
  <w:abstractNum w:abstractNumId="3" w15:restartNumberingAfterBreak="0">
    <w:nsid w:val="13C80A40"/>
    <w:multiLevelType w:val="hybridMultilevel"/>
    <w:tmpl w:val="D55E1662"/>
    <w:styleLink w:val="ImportedStyle4"/>
    <w:lvl w:ilvl="0" w:tplc="03E6E4D8">
      <w:start w:val="1"/>
      <w:numFmt w:val="decimal"/>
      <w:lvlText w:val="%1."/>
      <w:lvlJc w:val="left"/>
      <w:pPr>
        <w:ind w:left="562" w:hanging="56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1" w:tplc="B074CCE8">
      <w:start w:val="1"/>
      <w:numFmt w:val="lowerLetter"/>
      <w:lvlText w:val="%2."/>
      <w:lvlJc w:val="left"/>
      <w:pPr>
        <w:ind w:left="1325"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2" w:tplc="5B761D18">
      <w:start w:val="1"/>
      <w:numFmt w:val="lowerRoman"/>
      <w:lvlText w:val="%3."/>
      <w:lvlJc w:val="left"/>
      <w:pPr>
        <w:ind w:left="2033" w:hanging="358"/>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3" w:tplc="6FC209AA">
      <w:start w:val="1"/>
      <w:numFmt w:val="decimal"/>
      <w:lvlText w:val="%4."/>
      <w:lvlJc w:val="left"/>
      <w:pPr>
        <w:ind w:left="2765"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4" w:tplc="0CC67D4E">
      <w:start w:val="1"/>
      <w:numFmt w:val="lowerLetter"/>
      <w:lvlText w:val="%5."/>
      <w:lvlJc w:val="left"/>
      <w:pPr>
        <w:ind w:left="3485"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5" w:tplc="B29C9100">
      <w:start w:val="1"/>
      <w:numFmt w:val="lowerRoman"/>
      <w:lvlText w:val="%6."/>
      <w:lvlJc w:val="left"/>
      <w:pPr>
        <w:ind w:left="4193" w:hanging="358"/>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6" w:tplc="3B36ED6A">
      <w:start w:val="1"/>
      <w:numFmt w:val="decimal"/>
      <w:lvlText w:val="%7."/>
      <w:lvlJc w:val="left"/>
      <w:pPr>
        <w:ind w:left="4925"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7" w:tplc="ADAC0AC4">
      <w:start w:val="1"/>
      <w:numFmt w:val="lowerLetter"/>
      <w:lvlText w:val="%8."/>
      <w:lvlJc w:val="left"/>
      <w:pPr>
        <w:ind w:left="5645"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 w:ilvl="8" w:tplc="49721214">
      <w:start w:val="1"/>
      <w:numFmt w:val="lowerRoman"/>
      <w:lvlText w:val="%9."/>
      <w:lvlJc w:val="left"/>
      <w:pPr>
        <w:ind w:left="6353" w:hanging="358"/>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54097A"/>
    <w:multiLevelType w:val="hybridMultilevel"/>
    <w:tmpl w:val="1938FF7E"/>
    <w:numStyleLink w:val="ImportedStyle6"/>
  </w:abstractNum>
  <w:abstractNum w:abstractNumId="5" w15:restartNumberingAfterBreak="0">
    <w:nsid w:val="18C32EF6"/>
    <w:multiLevelType w:val="hybridMultilevel"/>
    <w:tmpl w:val="AE6E418A"/>
    <w:lvl w:ilvl="0" w:tplc="BEFA27E0">
      <w:start w:val="1"/>
      <w:numFmt w:val="upperLetter"/>
      <w:lvlText w:val="%1."/>
      <w:lvlJc w:val="left"/>
      <w:pPr>
        <w:ind w:left="708" w:hanging="468"/>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1" w:tplc="277A0150">
      <w:start w:val="1"/>
      <w:numFmt w:val="lowerLetter"/>
      <w:lvlText w:val="%2."/>
      <w:lvlJc w:val="left"/>
      <w:pPr>
        <w:ind w:left="168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2" w:tplc="B540D7B4">
      <w:start w:val="1"/>
      <w:numFmt w:val="lowerRoman"/>
      <w:lvlText w:val="%3."/>
      <w:lvlJc w:val="left"/>
      <w:pPr>
        <w:ind w:left="2400" w:hanging="298"/>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3" w:tplc="B6E2901E">
      <w:start w:val="1"/>
      <w:numFmt w:val="decimal"/>
      <w:lvlText w:val="%4."/>
      <w:lvlJc w:val="left"/>
      <w:pPr>
        <w:ind w:left="312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4" w:tplc="71A4FB70">
      <w:start w:val="1"/>
      <w:numFmt w:val="lowerLetter"/>
      <w:lvlText w:val="%5."/>
      <w:lvlJc w:val="left"/>
      <w:pPr>
        <w:ind w:left="384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5" w:tplc="8B62AD88">
      <w:start w:val="1"/>
      <w:numFmt w:val="lowerRoman"/>
      <w:lvlText w:val="%6."/>
      <w:lvlJc w:val="left"/>
      <w:pPr>
        <w:ind w:left="4560" w:hanging="298"/>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6" w:tplc="DDDE3106">
      <w:start w:val="1"/>
      <w:numFmt w:val="decimal"/>
      <w:lvlText w:val="%7."/>
      <w:lvlJc w:val="left"/>
      <w:pPr>
        <w:ind w:left="528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7" w:tplc="00169D38">
      <w:start w:val="1"/>
      <w:numFmt w:val="lowerLetter"/>
      <w:lvlText w:val="%8."/>
      <w:lvlJc w:val="left"/>
      <w:pPr>
        <w:ind w:left="600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8" w:tplc="F5B47BCC">
      <w:start w:val="1"/>
      <w:numFmt w:val="lowerRoman"/>
      <w:lvlText w:val="%9."/>
      <w:lvlJc w:val="left"/>
      <w:pPr>
        <w:ind w:left="6720" w:hanging="298"/>
      </w:pPr>
      <w:rPr>
        <w:rFonts w:hAnsi="Arial Unicode MS"/>
        <w:caps w:val="0"/>
        <w:smallCaps w:val="0"/>
        <w:strike w:val="0"/>
        <w:dstrike w:val="0"/>
        <w:outline w:val="0"/>
        <w:emboss w:val="0"/>
        <w:imprint w:val="0"/>
        <w:color w:val="708D4D"/>
        <w:spacing w:val="0"/>
        <w:w w:val="100"/>
        <w:kern w:val="0"/>
        <w:position w:val="0"/>
        <w:highlight w:val="none"/>
        <w:vertAlign w:val="baseline"/>
      </w:rPr>
    </w:lvl>
  </w:abstractNum>
  <w:abstractNum w:abstractNumId="6" w15:restartNumberingAfterBreak="0">
    <w:nsid w:val="23386702"/>
    <w:multiLevelType w:val="hybridMultilevel"/>
    <w:tmpl w:val="08809956"/>
    <w:styleLink w:val="ImportedStyle5"/>
    <w:lvl w:ilvl="0" w:tplc="F3D61126">
      <w:start w:val="1"/>
      <w:numFmt w:val="decimal"/>
      <w:lvlText w:val="%1."/>
      <w:lvlJc w:val="left"/>
      <w:pPr>
        <w:ind w:left="562" w:hanging="562"/>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1" w:tplc="37AC4A78">
      <w:start w:val="1"/>
      <w:numFmt w:val="lowerLetter"/>
      <w:lvlText w:val="%2."/>
      <w:lvlJc w:val="left"/>
      <w:pPr>
        <w:ind w:left="2232" w:hanging="432"/>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2" w:tplc="65B6919A">
      <w:start w:val="1"/>
      <w:numFmt w:val="lowerRoman"/>
      <w:lvlText w:val="%3."/>
      <w:lvlJc w:val="left"/>
      <w:pPr>
        <w:ind w:left="2938" w:hanging="34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3" w:tplc="2586EBFE">
      <w:start w:val="1"/>
      <w:numFmt w:val="decimal"/>
      <w:lvlText w:val="%4."/>
      <w:lvlJc w:val="left"/>
      <w:pPr>
        <w:ind w:left="3672" w:hanging="432"/>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4" w:tplc="F8628436">
      <w:start w:val="1"/>
      <w:numFmt w:val="lowerLetter"/>
      <w:lvlText w:val="%5."/>
      <w:lvlJc w:val="left"/>
      <w:pPr>
        <w:ind w:left="4392" w:hanging="432"/>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5" w:tplc="98F2FA16">
      <w:start w:val="1"/>
      <w:numFmt w:val="lowerRoman"/>
      <w:lvlText w:val="%6."/>
      <w:lvlJc w:val="left"/>
      <w:pPr>
        <w:ind w:left="5098" w:hanging="34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6" w:tplc="C7745CE8">
      <w:start w:val="1"/>
      <w:numFmt w:val="decimal"/>
      <w:lvlText w:val="%7."/>
      <w:lvlJc w:val="left"/>
      <w:pPr>
        <w:ind w:left="5832" w:hanging="432"/>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7" w:tplc="A6020ADC">
      <w:start w:val="1"/>
      <w:numFmt w:val="lowerLetter"/>
      <w:lvlText w:val="%8."/>
      <w:lvlJc w:val="left"/>
      <w:pPr>
        <w:ind w:left="6552" w:hanging="432"/>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8" w:tplc="171AA252">
      <w:start w:val="1"/>
      <w:numFmt w:val="lowerRoman"/>
      <w:lvlText w:val="%9."/>
      <w:lvlJc w:val="left"/>
      <w:pPr>
        <w:ind w:left="7258" w:hanging="349"/>
      </w:pPr>
      <w:rPr>
        <w:rFonts w:hAnsi="Arial Unicode MS"/>
        <w:caps w:val="0"/>
        <w:smallCaps w:val="0"/>
        <w:strike w:val="0"/>
        <w:dstrike w:val="0"/>
        <w:outline w:val="0"/>
        <w:emboss w:val="0"/>
        <w:imprint w:val="0"/>
        <w:color w:val="708D4D"/>
        <w:spacing w:val="0"/>
        <w:w w:val="100"/>
        <w:kern w:val="0"/>
        <w:position w:val="0"/>
        <w:highlight w:val="none"/>
        <w:vertAlign w:val="baseline"/>
      </w:rPr>
    </w:lvl>
  </w:abstractNum>
  <w:abstractNum w:abstractNumId="7" w15:restartNumberingAfterBreak="0">
    <w:nsid w:val="31F42510"/>
    <w:multiLevelType w:val="hybridMultilevel"/>
    <w:tmpl w:val="1938FF7E"/>
    <w:styleLink w:val="ImportedStyle6"/>
    <w:lvl w:ilvl="0" w:tplc="44BEAD0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sz w:val="20"/>
        <w:szCs w:val="20"/>
        <w:highlight w:val="none"/>
        <w:vertAlign w:val="baseline"/>
      </w:rPr>
    </w:lvl>
    <w:lvl w:ilvl="1" w:tplc="89DAD2DC">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9BEB248">
      <w:start w:val="1"/>
      <w:numFmt w:val="decimal"/>
      <w:lvlText w:val="%3)"/>
      <w:lvlJc w:val="left"/>
      <w:pPr>
        <w:ind w:left="23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63C3A3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7DAC8BC">
      <w:start w:val="1"/>
      <w:numFmt w:val="lowerLetter"/>
      <w:lvlText w:val="%5."/>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 w:ilvl="5" w:tplc="61BCEA10">
      <w:start w:val="1"/>
      <w:numFmt w:val="lowerRoman"/>
      <w:lvlText w:val="%6."/>
      <w:lvlJc w:val="left"/>
      <w:pPr>
        <w:ind w:left="2668" w:hanging="349"/>
      </w:pPr>
      <w:rPr>
        <w:rFonts w:hAnsi="Arial Unicode MS"/>
        <w:b/>
        <w:bCs/>
        <w:caps w:val="0"/>
        <w:smallCaps w:val="0"/>
        <w:strike w:val="0"/>
        <w:dstrike w:val="0"/>
        <w:outline w:val="0"/>
        <w:emboss w:val="0"/>
        <w:imprint w:val="0"/>
        <w:spacing w:val="0"/>
        <w:w w:val="100"/>
        <w:kern w:val="0"/>
        <w:position w:val="0"/>
        <w:highlight w:val="none"/>
        <w:vertAlign w:val="baseline"/>
      </w:rPr>
    </w:lvl>
    <w:lvl w:ilvl="6" w:tplc="2696AAC8">
      <w:start w:val="1"/>
      <w:numFmt w:val="decimal"/>
      <w:lvlText w:val="%7."/>
      <w:lvlJc w:val="left"/>
      <w:pPr>
        <w:ind w:left="340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7" w:tplc="6834FE68">
      <w:start w:val="1"/>
      <w:numFmt w:val="lowerLetter"/>
      <w:lvlText w:val="%8."/>
      <w:lvlJc w:val="left"/>
      <w:pPr>
        <w:ind w:left="412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8" w:tplc="7524428A">
      <w:start w:val="1"/>
      <w:numFmt w:val="lowerRoman"/>
      <w:lvlText w:val="%9."/>
      <w:lvlJc w:val="left"/>
      <w:pPr>
        <w:ind w:left="4828" w:hanging="34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2965017"/>
    <w:multiLevelType w:val="hybridMultilevel"/>
    <w:tmpl w:val="99EC819A"/>
    <w:styleLink w:val="ImportedStyle2"/>
    <w:lvl w:ilvl="0" w:tplc="71C4E920">
      <w:start w:val="1"/>
      <w:numFmt w:val="upperLetter"/>
      <w:lvlText w:val="%1."/>
      <w:lvlJc w:val="left"/>
      <w:pPr>
        <w:ind w:left="562" w:hanging="56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1" w:tplc="F18E6D08">
      <w:start w:val="1"/>
      <w:numFmt w:val="lowerLetter"/>
      <w:lvlText w:val="%2."/>
      <w:lvlJc w:val="left"/>
      <w:pPr>
        <w:ind w:left="151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2" w:tplc="4A58A0D0">
      <w:start w:val="1"/>
      <w:numFmt w:val="lowerRoman"/>
      <w:lvlText w:val="%3."/>
      <w:lvlJc w:val="left"/>
      <w:pPr>
        <w:ind w:left="2220" w:hanging="358"/>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3" w:tplc="D8083E26">
      <w:start w:val="1"/>
      <w:numFmt w:val="decimal"/>
      <w:lvlText w:val="%4."/>
      <w:lvlJc w:val="left"/>
      <w:pPr>
        <w:ind w:left="295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4" w:tplc="B2202950">
      <w:start w:val="1"/>
      <w:numFmt w:val="lowerLetter"/>
      <w:lvlText w:val="%5."/>
      <w:lvlJc w:val="left"/>
      <w:pPr>
        <w:ind w:left="367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5" w:tplc="3696A904">
      <w:start w:val="1"/>
      <w:numFmt w:val="lowerRoman"/>
      <w:lvlText w:val="%6."/>
      <w:lvlJc w:val="left"/>
      <w:pPr>
        <w:ind w:left="4380" w:hanging="358"/>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6" w:tplc="98823B60">
      <w:start w:val="1"/>
      <w:numFmt w:val="decimal"/>
      <w:lvlText w:val="%7."/>
      <w:lvlJc w:val="left"/>
      <w:pPr>
        <w:ind w:left="511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7" w:tplc="4BB8462C">
      <w:start w:val="1"/>
      <w:numFmt w:val="lowerLetter"/>
      <w:lvlText w:val="%8."/>
      <w:lvlJc w:val="left"/>
      <w:pPr>
        <w:ind w:left="583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 w:ilvl="8" w:tplc="5784FE2A">
      <w:start w:val="1"/>
      <w:numFmt w:val="lowerRoman"/>
      <w:lvlText w:val="%9."/>
      <w:lvlJc w:val="left"/>
      <w:pPr>
        <w:ind w:left="6540" w:hanging="358"/>
      </w:pPr>
      <w:rPr>
        <w:rFonts w:hAnsi="Arial Unicode MS"/>
        <w:b/>
        <w:bCs/>
        <w:caps w:val="0"/>
        <w:smallCaps w:val="0"/>
        <w:strike w:val="0"/>
        <w:dstrike w:val="0"/>
        <w:outline w:val="0"/>
        <w:emboss w:val="0"/>
        <w:imprint w:val="0"/>
        <w:color w:val="708D4D"/>
        <w:spacing w:val="0"/>
        <w:w w:val="100"/>
        <w:kern w:val="0"/>
        <w:position w:val="0"/>
        <w:highlight w:val="none"/>
        <w:vertAlign w:val="baseline"/>
      </w:rPr>
    </w:lvl>
  </w:abstractNum>
  <w:abstractNum w:abstractNumId="9" w15:restartNumberingAfterBreak="0">
    <w:nsid w:val="359B3AD3"/>
    <w:multiLevelType w:val="hybridMultilevel"/>
    <w:tmpl w:val="F0A0D83E"/>
    <w:styleLink w:val="Bullets"/>
    <w:lvl w:ilvl="0" w:tplc="5C161540">
      <w:start w:val="1"/>
      <w:numFmt w:val="bullet"/>
      <w:lvlText w:val="•"/>
      <w:lvlJc w:val="left"/>
      <w:pPr>
        <w:ind w:left="562" w:hanging="562"/>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1" w:tplc="74F0B32E">
      <w:start w:val="1"/>
      <w:numFmt w:val="bullet"/>
      <w:lvlText w:val="•"/>
      <w:lvlJc w:val="left"/>
      <w:pPr>
        <w:ind w:left="7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2" w:tplc="968AD680">
      <w:start w:val="1"/>
      <w:numFmt w:val="bullet"/>
      <w:lvlText w:val="•"/>
      <w:lvlJc w:val="left"/>
      <w:pPr>
        <w:ind w:left="13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3" w:tplc="AADE9F56">
      <w:start w:val="1"/>
      <w:numFmt w:val="bullet"/>
      <w:lvlText w:val="•"/>
      <w:lvlJc w:val="left"/>
      <w:pPr>
        <w:ind w:left="19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4" w:tplc="39329E22">
      <w:start w:val="1"/>
      <w:numFmt w:val="bullet"/>
      <w:lvlText w:val="•"/>
      <w:lvlJc w:val="left"/>
      <w:pPr>
        <w:ind w:left="25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5" w:tplc="086673BE">
      <w:start w:val="1"/>
      <w:numFmt w:val="bullet"/>
      <w:lvlText w:val="•"/>
      <w:lvlJc w:val="left"/>
      <w:pPr>
        <w:ind w:left="31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6" w:tplc="E05E2A66">
      <w:start w:val="1"/>
      <w:numFmt w:val="bullet"/>
      <w:lvlText w:val="•"/>
      <w:lvlJc w:val="left"/>
      <w:pPr>
        <w:ind w:left="37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7" w:tplc="EE642AC8">
      <w:start w:val="1"/>
      <w:numFmt w:val="bullet"/>
      <w:lvlText w:val="•"/>
      <w:lvlJc w:val="left"/>
      <w:pPr>
        <w:ind w:left="43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lvl w:ilvl="8" w:tplc="90CA4146">
      <w:start w:val="1"/>
      <w:numFmt w:val="bullet"/>
      <w:lvlText w:val="•"/>
      <w:lvlJc w:val="left"/>
      <w:pPr>
        <w:ind w:left="4989" w:hanging="189"/>
      </w:pPr>
      <w:rPr>
        <w:rFonts w:hAnsi="Arial Unicode MS"/>
        <w:caps w:val="0"/>
        <w:smallCaps w:val="0"/>
        <w:strike w:val="0"/>
        <w:dstrike w:val="0"/>
        <w:outline w:val="0"/>
        <w:emboss w:val="0"/>
        <w:imprint w:val="0"/>
        <w:color w:val="708D4D"/>
        <w:spacing w:val="0"/>
        <w:w w:val="100"/>
        <w:kern w:val="0"/>
        <w:position w:val="0"/>
        <w:highlight w:val="none"/>
        <w:vertAlign w:val="baseline"/>
      </w:rPr>
    </w:lvl>
  </w:abstractNum>
  <w:abstractNum w:abstractNumId="10" w15:restartNumberingAfterBreak="0">
    <w:nsid w:val="43BF2DBE"/>
    <w:multiLevelType w:val="hybridMultilevel"/>
    <w:tmpl w:val="D55E1662"/>
    <w:numStyleLink w:val="ImportedStyle4"/>
  </w:abstractNum>
  <w:abstractNum w:abstractNumId="11" w15:restartNumberingAfterBreak="0">
    <w:nsid w:val="666A47AD"/>
    <w:multiLevelType w:val="hybridMultilevel"/>
    <w:tmpl w:val="99EC819A"/>
    <w:numStyleLink w:val="ImportedStyle2"/>
  </w:abstractNum>
  <w:abstractNum w:abstractNumId="12" w15:restartNumberingAfterBreak="0">
    <w:nsid w:val="6A074BCB"/>
    <w:multiLevelType w:val="multilevel"/>
    <w:tmpl w:val="C2884DF4"/>
    <w:styleLink w:val="ImportedStyle1"/>
    <w:lvl w:ilvl="0">
      <w:start w:val="1"/>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FCC15EF"/>
    <w:multiLevelType w:val="multilevel"/>
    <w:tmpl w:val="3F4009D6"/>
    <w:lvl w:ilvl="0">
      <w:start w:val="1"/>
      <w:numFmt w:val="upperRoman"/>
      <w:lvlText w:val="%1."/>
      <w:lvlJc w:val="left"/>
      <w:pPr>
        <w:ind w:left="468" w:hanging="46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94" w:hanging="164"/>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1920945924">
    <w:abstractNumId w:val="13"/>
  </w:num>
  <w:num w:numId="2" w16cid:durableId="1630932981">
    <w:abstractNumId w:val="5"/>
  </w:num>
  <w:num w:numId="3" w16cid:durableId="852187304">
    <w:abstractNumId w:val="5"/>
    <w:lvlOverride w:ilvl="0">
      <w:startOverride w:val="2"/>
    </w:lvlOverride>
  </w:num>
  <w:num w:numId="4" w16cid:durableId="145779589">
    <w:abstractNumId w:val="5"/>
    <w:lvlOverride w:ilvl="0">
      <w:startOverride w:val="3"/>
    </w:lvlOverride>
  </w:num>
  <w:num w:numId="5" w16cid:durableId="1312323086">
    <w:abstractNumId w:val="13"/>
    <w:lvlOverride w:ilvl="0">
      <w:startOverride w:val="2"/>
      <w:lvl w:ilvl="0">
        <w:start w:val="2"/>
        <w:numFmt w:val="upperRoman"/>
        <w:lvlText w:val="%1."/>
        <w:lvlJc w:val="left"/>
        <w:pPr>
          <w:ind w:left="468" w:hanging="46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769" w:hanging="4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69" w:hanging="4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69" w:hanging="4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69" w:hanging="4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69" w:hanging="4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69" w:hanging="4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69" w:hanging="4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16cid:durableId="741874459">
    <w:abstractNumId w:val="13"/>
    <w:lvlOverride w:ilvl="0">
      <w:startOverride w:val="3"/>
    </w:lvlOverride>
  </w:num>
  <w:num w:numId="7" w16cid:durableId="1701584842">
    <w:abstractNumId w:val="5"/>
    <w:lvlOverride w:ilvl="0">
      <w:startOverride w:val="1"/>
    </w:lvlOverride>
  </w:num>
  <w:num w:numId="8" w16cid:durableId="1316959880">
    <w:abstractNumId w:val="5"/>
    <w:lvlOverride w:ilvl="0">
      <w:startOverride w:val="2"/>
      <w:lvl w:ilvl="0" w:tplc="BEFA27E0">
        <w:start w:val="2"/>
        <w:numFmt w:val="upperLetter"/>
        <w:lvlText w:val="%1."/>
        <w:lvlJc w:val="left"/>
        <w:pPr>
          <w:ind w:left="708" w:hanging="468"/>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1">
      <w:startOverride w:val="1"/>
      <w:lvl w:ilvl="1" w:tplc="277A0150">
        <w:start w:val="1"/>
        <w:numFmt w:val="lowerLetter"/>
        <w:lvlText w:val="%2."/>
        <w:lvlJc w:val="left"/>
        <w:pPr>
          <w:ind w:left="177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2">
      <w:startOverride w:val="1"/>
      <w:lvl w:ilvl="2" w:tplc="B540D7B4">
        <w:start w:val="1"/>
        <w:numFmt w:val="lowerRoman"/>
        <w:lvlText w:val="%3."/>
        <w:lvlJc w:val="left"/>
        <w:pPr>
          <w:ind w:left="2490" w:hanging="298"/>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3">
      <w:startOverride w:val="1"/>
      <w:lvl w:ilvl="3" w:tplc="B6E2901E">
        <w:start w:val="1"/>
        <w:numFmt w:val="decimal"/>
        <w:lvlText w:val="%4."/>
        <w:lvlJc w:val="left"/>
        <w:pPr>
          <w:ind w:left="321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4">
      <w:startOverride w:val="1"/>
      <w:lvl w:ilvl="4" w:tplc="71A4FB70">
        <w:start w:val="1"/>
        <w:numFmt w:val="lowerLetter"/>
        <w:lvlText w:val="%5."/>
        <w:lvlJc w:val="left"/>
        <w:pPr>
          <w:ind w:left="393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5">
      <w:startOverride w:val="1"/>
      <w:lvl w:ilvl="5" w:tplc="8B62AD88">
        <w:start w:val="1"/>
        <w:numFmt w:val="lowerRoman"/>
        <w:lvlText w:val="%6."/>
        <w:lvlJc w:val="left"/>
        <w:pPr>
          <w:ind w:left="4650" w:hanging="298"/>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6">
      <w:startOverride w:val="1"/>
      <w:lvl w:ilvl="6" w:tplc="DDDE3106">
        <w:start w:val="1"/>
        <w:numFmt w:val="decimal"/>
        <w:lvlText w:val="%7."/>
        <w:lvlJc w:val="left"/>
        <w:pPr>
          <w:ind w:left="537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7">
      <w:startOverride w:val="1"/>
      <w:lvl w:ilvl="7" w:tplc="00169D38">
        <w:start w:val="1"/>
        <w:numFmt w:val="lowerLetter"/>
        <w:lvlText w:val="%8."/>
        <w:lvlJc w:val="left"/>
        <w:pPr>
          <w:ind w:left="6090" w:hanging="360"/>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lvlOverride w:ilvl="8">
      <w:startOverride w:val="1"/>
      <w:lvl w:ilvl="8" w:tplc="F5B47BCC">
        <w:start w:val="1"/>
        <w:numFmt w:val="lowerRoman"/>
        <w:lvlText w:val="%9."/>
        <w:lvlJc w:val="left"/>
        <w:pPr>
          <w:ind w:left="6810" w:hanging="298"/>
        </w:pPr>
        <w:rPr>
          <w:rFonts w:hAnsi="Arial Unicode MS"/>
          <w:caps w:val="0"/>
          <w:smallCaps w:val="0"/>
          <w:strike w:val="0"/>
          <w:dstrike w:val="0"/>
          <w:outline w:val="0"/>
          <w:emboss w:val="0"/>
          <w:imprint w:val="0"/>
          <w:color w:val="708D4D"/>
          <w:spacing w:val="0"/>
          <w:w w:val="100"/>
          <w:kern w:val="0"/>
          <w:position w:val="0"/>
          <w:highlight w:val="none"/>
          <w:vertAlign w:val="baseline"/>
        </w:rPr>
      </w:lvl>
    </w:lvlOverride>
  </w:num>
  <w:num w:numId="9" w16cid:durableId="148063480">
    <w:abstractNumId w:val="13"/>
    <w:lvlOverride w:ilvl="0">
      <w:startOverride w:val="4"/>
    </w:lvlOverride>
  </w:num>
  <w:num w:numId="10" w16cid:durableId="208539946">
    <w:abstractNumId w:val="5"/>
    <w:lvlOverride w:ilvl="0">
      <w:startOverride w:val="1"/>
    </w:lvlOverride>
  </w:num>
  <w:num w:numId="11" w16cid:durableId="33505194">
    <w:abstractNumId w:val="5"/>
    <w:lvlOverride w:ilvl="0">
      <w:startOverride w:val="2"/>
    </w:lvlOverride>
  </w:num>
  <w:num w:numId="12" w16cid:durableId="1636522937">
    <w:abstractNumId w:val="5"/>
    <w:lvlOverride w:ilvl="0">
      <w:startOverride w:val="3"/>
    </w:lvlOverride>
  </w:num>
  <w:num w:numId="13" w16cid:durableId="638337794">
    <w:abstractNumId w:val="5"/>
    <w:lvlOverride w:ilvl="0">
      <w:startOverride w:val="4"/>
    </w:lvlOverride>
  </w:num>
  <w:num w:numId="14" w16cid:durableId="1203980862">
    <w:abstractNumId w:val="13"/>
    <w:lvlOverride w:ilvl="0">
      <w:startOverride w:val="5"/>
    </w:lvlOverride>
  </w:num>
  <w:num w:numId="15" w16cid:durableId="354893895">
    <w:abstractNumId w:val="5"/>
    <w:lvlOverride w:ilvl="0">
      <w:startOverride w:val="1"/>
    </w:lvlOverride>
  </w:num>
  <w:num w:numId="16" w16cid:durableId="715157537">
    <w:abstractNumId w:val="5"/>
    <w:lvlOverride w:ilvl="0">
      <w:startOverride w:val="2"/>
    </w:lvlOverride>
  </w:num>
  <w:num w:numId="17" w16cid:durableId="665397841">
    <w:abstractNumId w:val="5"/>
    <w:lvlOverride w:ilvl="0">
      <w:startOverride w:val="3"/>
    </w:lvlOverride>
  </w:num>
  <w:num w:numId="18" w16cid:durableId="1427116392">
    <w:abstractNumId w:val="5"/>
    <w:lvlOverride w:ilvl="0">
      <w:startOverride w:val="4"/>
    </w:lvlOverride>
  </w:num>
  <w:num w:numId="19" w16cid:durableId="1406494936">
    <w:abstractNumId w:val="5"/>
    <w:lvlOverride w:ilvl="0">
      <w:startOverride w:val="5"/>
    </w:lvlOverride>
  </w:num>
  <w:num w:numId="20" w16cid:durableId="1313412511">
    <w:abstractNumId w:val="5"/>
    <w:lvlOverride w:ilvl="0">
      <w:startOverride w:val="6"/>
    </w:lvlOverride>
  </w:num>
  <w:num w:numId="21" w16cid:durableId="219874938">
    <w:abstractNumId w:val="13"/>
    <w:lvlOverride w:ilvl="0">
      <w:startOverride w:val="4"/>
    </w:lvlOverride>
  </w:num>
  <w:num w:numId="22" w16cid:durableId="177474800">
    <w:abstractNumId w:val="13"/>
    <w:lvlOverride w:ilvl="0">
      <w:startOverride w:val="1"/>
      <w:lvl w:ilvl="0">
        <w:start w:val="1"/>
        <w:numFmt w:val="upperRoman"/>
        <w:lvlText w:val="%1."/>
        <w:lvlJc w:val="left"/>
        <w:pPr>
          <w:ind w:left="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123281303">
    <w:abstractNumId w:val="13"/>
    <w:lvlOverride w:ilvl="0">
      <w:startOverride w:val="2"/>
      <w:lvl w:ilvl="0">
        <w:start w:val="2"/>
        <w:numFmt w:val="upperRoman"/>
        <w:lvlText w:val="%1."/>
        <w:lvlJc w:val="left"/>
        <w:pPr>
          <w:ind w:left="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329989085">
    <w:abstractNumId w:val="13"/>
    <w:lvlOverride w:ilvl="0">
      <w:startOverride w:val="3"/>
      <w:lvl w:ilvl="0">
        <w:start w:val="3"/>
        <w:numFmt w:val="upperRoman"/>
        <w:lvlText w:val="%1."/>
        <w:lvlJc w:val="left"/>
        <w:pPr>
          <w:ind w:left="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283734973">
    <w:abstractNumId w:val="13"/>
    <w:lvlOverride w:ilvl="0">
      <w:startOverride w:val="4"/>
      <w:lvl w:ilvl="0">
        <w:start w:val="4"/>
        <w:numFmt w:val="upperRoman"/>
        <w:lvlText w:val="%1."/>
        <w:lvlJc w:val="left"/>
        <w:pPr>
          <w:ind w:left="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1547908474">
    <w:abstractNumId w:val="13"/>
    <w:lvlOverride w:ilvl="0">
      <w:startOverride w:val="5"/>
      <w:lvl w:ilvl="0">
        <w:start w:val="5"/>
        <w:numFmt w:val="upperRoman"/>
        <w:lvlText w:val="%1."/>
        <w:lvlJc w:val="left"/>
        <w:pPr>
          <w:ind w:left="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16cid:durableId="1690064608">
    <w:abstractNumId w:val="13"/>
    <w:lvlOverride w:ilvl="0">
      <w:startOverride w:val="6"/>
      <w:lvl w:ilvl="0">
        <w:start w:val="6"/>
        <w:numFmt w:val="upperRoman"/>
        <w:lvlText w:val="%1."/>
        <w:lvlJc w:val="left"/>
        <w:pPr>
          <w:ind w:left="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16cid:durableId="446629415">
    <w:abstractNumId w:val="13"/>
    <w:lvlOverride w:ilvl="0">
      <w:startOverride w:val="7"/>
      <w:lvl w:ilvl="0">
        <w:start w:val="7"/>
        <w:numFmt w:val="upperRoman"/>
        <w:lvlText w:val="%1."/>
        <w:lvlJc w:val="left"/>
        <w:pPr>
          <w:ind w:left="7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034" w:hanging="1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081413792">
    <w:abstractNumId w:val="13"/>
    <w:lvlOverride w:ilvl="0">
      <w:startOverride w:val="7"/>
    </w:lvlOverride>
  </w:num>
  <w:num w:numId="30" w16cid:durableId="389766353">
    <w:abstractNumId w:val="9"/>
  </w:num>
  <w:num w:numId="31" w16cid:durableId="178355839">
    <w:abstractNumId w:val="0"/>
  </w:num>
  <w:num w:numId="32" w16cid:durableId="1988895085">
    <w:abstractNumId w:val="6"/>
  </w:num>
  <w:num w:numId="33" w16cid:durableId="1439065854">
    <w:abstractNumId w:val="1"/>
  </w:num>
  <w:num w:numId="34" w16cid:durableId="1861163350">
    <w:abstractNumId w:val="12"/>
  </w:num>
  <w:num w:numId="35" w16cid:durableId="356346637">
    <w:abstractNumId w:val="2"/>
  </w:num>
  <w:num w:numId="36" w16cid:durableId="174619450">
    <w:abstractNumId w:val="8"/>
  </w:num>
  <w:num w:numId="37" w16cid:durableId="800150476">
    <w:abstractNumId w:val="11"/>
  </w:num>
  <w:num w:numId="38" w16cid:durableId="769161883">
    <w:abstractNumId w:val="11"/>
    <w:lvlOverride w:ilvl="0">
      <w:startOverride w:val="2"/>
    </w:lvlOverride>
  </w:num>
  <w:num w:numId="39" w16cid:durableId="1736128826">
    <w:abstractNumId w:val="11"/>
    <w:lvlOverride w:ilvl="0">
      <w:startOverride w:val="3"/>
    </w:lvlOverride>
  </w:num>
  <w:num w:numId="40" w16cid:durableId="951864575">
    <w:abstractNumId w:val="1"/>
    <w:lvlOverride w:ilvl="0">
      <w:startOverride w:val="22"/>
    </w:lvlOverride>
  </w:num>
  <w:num w:numId="41" w16cid:durableId="1282418892">
    <w:abstractNumId w:val="2"/>
    <w:lvlOverride w:ilvl="0">
      <w:lvl w:ilvl="0">
        <w:start w:val="1"/>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2" w16cid:durableId="315502060">
    <w:abstractNumId w:val="2"/>
    <w:lvlOverride w:ilvl="0">
      <w:startOverride w:val="3"/>
    </w:lvlOverride>
  </w:num>
  <w:num w:numId="43" w16cid:durableId="2068140217">
    <w:abstractNumId w:val="1"/>
    <w:lvlOverride w:ilvl="0">
      <w:startOverride w:val="40"/>
    </w:lvlOverride>
  </w:num>
  <w:num w:numId="44" w16cid:durableId="886725552">
    <w:abstractNumId w:val="11"/>
    <w:lvlOverride w:ilvl="0">
      <w:startOverride w:val="1"/>
    </w:lvlOverride>
  </w:num>
  <w:num w:numId="45" w16cid:durableId="1221094225">
    <w:abstractNumId w:val="3"/>
  </w:num>
  <w:num w:numId="46" w16cid:durableId="252472560">
    <w:abstractNumId w:val="10"/>
  </w:num>
  <w:num w:numId="47" w16cid:durableId="713970491">
    <w:abstractNumId w:val="1"/>
    <w:lvlOverride w:ilvl="0">
      <w:startOverride w:val="44"/>
    </w:lvlOverride>
  </w:num>
  <w:num w:numId="48" w16cid:durableId="1065686347">
    <w:abstractNumId w:val="11"/>
    <w:lvlOverride w:ilvl="0">
      <w:lvl w:ilvl="0" w:tplc="A8AC7736">
        <w:start w:val="1"/>
        <w:numFmt w:val="upperLetter"/>
        <w:lvlText w:val="%1."/>
        <w:lvlJc w:val="left"/>
        <w:pPr>
          <w:ind w:left="562" w:hanging="56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1">
      <w:lvl w:ilvl="1" w:tplc="D996DB28">
        <w:start w:val="1"/>
        <w:numFmt w:val="lowerLetter"/>
        <w:lvlText w:val="%2."/>
        <w:lvlJc w:val="left"/>
        <w:pPr>
          <w:ind w:left="160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2">
      <w:lvl w:ilvl="2" w:tplc="1CAAF956">
        <w:start w:val="1"/>
        <w:numFmt w:val="lowerRoman"/>
        <w:lvlText w:val="%3."/>
        <w:lvlJc w:val="left"/>
        <w:pPr>
          <w:ind w:left="2310" w:hanging="358"/>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3">
      <w:lvl w:ilvl="3" w:tplc="01FC700C">
        <w:start w:val="1"/>
        <w:numFmt w:val="decimal"/>
        <w:lvlText w:val="%4."/>
        <w:lvlJc w:val="left"/>
        <w:pPr>
          <w:ind w:left="304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4">
      <w:lvl w:ilvl="4" w:tplc="FDF8CBDE">
        <w:start w:val="1"/>
        <w:numFmt w:val="lowerLetter"/>
        <w:lvlText w:val="%5."/>
        <w:lvlJc w:val="left"/>
        <w:pPr>
          <w:ind w:left="376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5">
      <w:lvl w:ilvl="5" w:tplc="B45CD540">
        <w:start w:val="1"/>
        <w:numFmt w:val="lowerRoman"/>
        <w:lvlText w:val="%6."/>
        <w:lvlJc w:val="left"/>
        <w:pPr>
          <w:ind w:left="4470" w:hanging="358"/>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6">
      <w:lvl w:ilvl="6" w:tplc="B734E334">
        <w:start w:val="1"/>
        <w:numFmt w:val="decimal"/>
        <w:lvlText w:val="%7."/>
        <w:lvlJc w:val="left"/>
        <w:pPr>
          <w:ind w:left="520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7">
      <w:lvl w:ilvl="7" w:tplc="DA44F140">
        <w:start w:val="1"/>
        <w:numFmt w:val="lowerLetter"/>
        <w:lvlText w:val="%8."/>
        <w:lvlJc w:val="left"/>
        <w:pPr>
          <w:ind w:left="5922" w:hanging="432"/>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lvlOverride w:ilvl="8">
      <w:lvl w:ilvl="8" w:tplc="C0421994">
        <w:start w:val="1"/>
        <w:numFmt w:val="lowerRoman"/>
        <w:lvlText w:val="%9."/>
        <w:lvlJc w:val="left"/>
        <w:pPr>
          <w:ind w:left="6630" w:hanging="358"/>
        </w:pPr>
        <w:rPr>
          <w:rFonts w:hAnsi="Arial Unicode MS"/>
          <w:b/>
          <w:bCs/>
          <w:caps w:val="0"/>
          <w:smallCaps w:val="0"/>
          <w:strike w:val="0"/>
          <w:dstrike w:val="0"/>
          <w:outline w:val="0"/>
          <w:emboss w:val="0"/>
          <w:imprint w:val="0"/>
          <w:color w:val="708D4D"/>
          <w:spacing w:val="0"/>
          <w:w w:val="100"/>
          <w:kern w:val="0"/>
          <w:position w:val="0"/>
          <w:highlight w:val="none"/>
          <w:vertAlign w:val="baseline"/>
        </w:rPr>
      </w:lvl>
    </w:lvlOverride>
  </w:num>
  <w:num w:numId="49" w16cid:durableId="881556425">
    <w:abstractNumId w:val="10"/>
    <w:lvlOverride w:ilvl="0">
      <w:startOverride w:val="1"/>
      <w:lvl w:ilvl="0" w:tplc="AB3A72F0">
        <w:start w:val="1"/>
        <w:numFmt w:val="decimal"/>
        <w:lvlText w:val="%1."/>
        <w:lvlJc w:val="left"/>
        <w:pPr>
          <w:ind w:left="562" w:hanging="56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B62D672">
        <w:start w:val="1"/>
        <w:numFmt w:val="lowerLetter"/>
        <w:lvlText w:val="%2."/>
        <w:lvlJc w:val="left"/>
        <w:pPr>
          <w:ind w:left="1512"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90D48F88">
        <w:start w:val="1"/>
        <w:numFmt w:val="lowerRoman"/>
        <w:lvlText w:val="%3."/>
        <w:lvlJc w:val="left"/>
        <w:pPr>
          <w:ind w:left="2220" w:hanging="358"/>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7665ECE">
        <w:start w:val="1"/>
        <w:numFmt w:val="decimal"/>
        <w:lvlText w:val="%4."/>
        <w:lvlJc w:val="left"/>
        <w:pPr>
          <w:ind w:left="2952"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6D28F2DE">
        <w:start w:val="1"/>
        <w:numFmt w:val="lowerLetter"/>
        <w:lvlText w:val="%5."/>
        <w:lvlJc w:val="left"/>
        <w:pPr>
          <w:ind w:left="3672"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7566A7E">
        <w:start w:val="1"/>
        <w:numFmt w:val="lowerRoman"/>
        <w:lvlText w:val="%6."/>
        <w:lvlJc w:val="left"/>
        <w:pPr>
          <w:ind w:left="4380" w:hanging="358"/>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DE69DDE">
        <w:start w:val="1"/>
        <w:numFmt w:val="decimal"/>
        <w:lvlText w:val="%7."/>
        <w:lvlJc w:val="left"/>
        <w:pPr>
          <w:ind w:left="5112"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8FC8F4E">
        <w:start w:val="1"/>
        <w:numFmt w:val="lowerLetter"/>
        <w:lvlText w:val="%8."/>
        <w:lvlJc w:val="left"/>
        <w:pPr>
          <w:ind w:left="5832" w:hanging="432"/>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95CFB32">
        <w:start w:val="1"/>
        <w:numFmt w:val="lowerRoman"/>
        <w:lvlText w:val="%9."/>
        <w:lvlJc w:val="left"/>
        <w:pPr>
          <w:ind w:left="6540" w:hanging="358"/>
        </w:pPr>
        <w:rPr>
          <w:rFonts w:ascii="Helvetica LT Std Bold" w:eastAsia="Helvetica LT Std Bold" w:hAnsi="Helvetica LT Std Bold" w:cs="Helvetica LT Std Bold"/>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0" w16cid:durableId="1942300792">
    <w:abstractNumId w:val="10"/>
    <w:lvlOverride w:ilvl="0">
      <w:startOverride w:val="2"/>
    </w:lvlOverride>
  </w:num>
  <w:num w:numId="51" w16cid:durableId="98182055">
    <w:abstractNumId w:val="1"/>
    <w:lvlOverride w:ilvl="0">
      <w:startOverride w:val="69"/>
    </w:lvlOverride>
  </w:num>
  <w:num w:numId="52" w16cid:durableId="1180854833">
    <w:abstractNumId w:val="11"/>
    <w:lvlOverride w:ilvl="0">
      <w:startOverride w:val="1"/>
    </w:lvlOverride>
  </w:num>
  <w:num w:numId="53" w16cid:durableId="517888037">
    <w:abstractNumId w:val="11"/>
    <w:lvlOverride w:ilvl="0">
      <w:startOverride w:val="2"/>
    </w:lvlOverride>
  </w:num>
  <w:num w:numId="54" w16cid:durableId="2089837689">
    <w:abstractNumId w:val="11"/>
    <w:lvlOverride w:ilvl="0">
      <w:startOverride w:val="3"/>
    </w:lvlOverride>
  </w:num>
  <w:num w:numId="55" w16cid:durableId="1241403563">
    <w:abstractNumId w:val="1"/>
    <w:lvlOverride w:ilvl="0">
      <w:startOverride w:val="135"/>
    </w:lvlOverride>
  </w:num>
  <w:num w:numId="56" w16cid:durableId="191773077">
    <w:abstractNumId w:val="11"/>
    <w:lvlOverride w:ilvl="0">
      <w:startOverride w:val="4"/>
    </w:lvlOverride>
  </w:num>
  <w:num w:numId="57" w16cid:durableId="1452478414">
    <w:abstractNumId w:val="2"/>
    <w:lvlOverride w:ilvl="0">
      <w:startOverride w:val="5"/>
    </w:lvlOverride>
  </w:num>
  <w:num w:numId="58" w16cid:durableId="1398360302">
    <w:abstractNumId w:val="1"/>
    <w:lvlOverride w:ilvl="0">
      <w:startOverride w:val="149"/>
    </w:lvlOverride>
  </w:num>
  <w:num w:numId="59" w16cid:durableId="2011252863">
    <w:abstractNumId w:val="11"/>
    <w:lvlOverride w:ilvl="0">
      <w:startOverride w:val="1"/>
    </w:lvlOverride>
  </w:num>
  <w:num w:numId="60" w16cid:durableId="2144082934">
    <w:abstractNumId w:val="1"/>
    <w:lvlOverride w:ilvl="0">
      <w:startOverride w:val="150"/>
    </w:lvlOverride>
  </w:num>
  <w:num w:numId="61" w16cid:durableId="1935897819">
    <w:abstractNumId w:val="11"/>
    <w:lvlOverride w:ilvl="0">
      <w:startOverride w:val="2"/>
    </w:lvlOverride>
  </w:num>
  <w:num w:numId="62" w16cid:durableId="1088769037">
    <w:abstractNumId w:val="1"/>
    <w:lvlOverride w:ilvl="0">
      <w:startOverride w:val="190"/>
    </w:lvlOverride>
  </w:num>
  <w:num w:numId="63" w16cid:durableId="1830321439">
    <w:abstractNumId w:val="11"/>
    <w:lvlOverride w:ilvl="0">
      <w:startOverride w:val="3"/>
    </w:lvlOverride>
  </w:num>
  <w:num w:numId="64" w16cid:durableId="52243689">
    <w:abstractNumId w:val="10"/>
    <w:lvlOverride w:ilvl="0">
      <w:startOverride w:val="3"/>
    </w:lvlOverride>
  </w:num>
  <w:num w:numId="65" w16cid:durableId="1326669332">
    <w:abstractNumId w:val="1"/>
    <w:lvlOverride w:ilvl="0">
      <w:startOverride w:val="256"/>
    </w:lvlOverride>
  </w:num>
  <w:num w:numId="66" w16cid:durableId="5521553">
    <w:abstractNumId w:val="11"/>
    <w:lvlOverride w:ilvl="0">
      <w:startOverride w:val="4"/>
    </w:lvlOverride>
  </w:num>
  <w:num w:numId="67" w16cid:durableId="45834482">
    <w:abstractNumId w:val="1"/>
    <w:lvlOverride w:ilvl="0">
      <w:startOverride w:val="265"/>
    </w:lvlOverride>
  </w:num>
  <w:num w:numId="68" w16cid:durableId="396755372">
    <w:abstractNumId w:val="11"/>
    <w:lvlOverride w:ilvl="0">
      <w:startOverride w:val="5"/>
    </w:lvlOverride>
  </w:num>
  <w:num w:numId="69" w16cid:durableId="1754625304">
    <w:abstractNumId w:val="1"/>
    <w:lvlOverride w:ilvl="0">
      <w:startOverride w:val="278"/>
    </w:lvlOverride>
  </w:num>
  <w:num w:numId="70" w16cid:durableId="765543256">
    <w:abstractNumId w:val="11"/>
    <w:lvlOverride w:ilvl="0">
      <w:startOverride w:val="6"/>
    </w:lvlOverride>
  </w:num>
  <w:num w:numId="71" w16cid:durableId="209001093">
    <w:abstractNumId w:val="2"/>
    <w:lvlOverride w:ilvl="0">
      <w:startOverride w:val="4"/>
    </w:lvlOverride>
  </w:num>
  <w:num w:numId="72" w16cid:durableId="1885024202">
    <w:abstractNumId w:val="2"/>
    <w:lvlOverride w:ilvl="0">
      <w:startOverride w:val="1"/>
      <w:lvl w:ilvl="0">
        <w:start w:val="1"/>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3" w16cid:durableId="1915359066">
    <w:abstractNumId w:val="1"/>
    <w:lvlOverride w:ilvl="0">
      <w:startOverride w:val="340"/>
    </w:lvlOverride>
  </w:num>
  <w:num w:numId="74" w16cid:durableId="1520504441">
    <w:abstractNumId w:val="2"/>
    <w:lvlOverride w:ilvl="0">
      <w:startOverride w:val="2"/>
      <w:lvl w:ilvl="0">
        <w:start w:val="2"/>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5" w16cid:durableId="1175996446">
    <w:abstractNumId w:val="1"/>
    <w:lvlOverride w:ilvl="0">
      <w:startOverride w:val="345"/>
    </w:lvlOverride>
  </w:num>
  <w:num w:numId="76" w16cid:durableId="905453121">
    <w:abstractNumId w:val="2"/>
    <w:lvlOverride w:ilvl="0">
      <w:startOverride w:val="3"/>
      <w:lvl w:ilvl="0">
        <w:start w:val="3"/>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7" w16cid:durableId="593903735">
    <w:abstractNumId w:val="1"/>
    <w:lvlOverride w:ilvl="0">
      <w:startOverride w:val="356"/>
    </w:lvlOverride>
  </w:num>
  <w:num w:numId="78" w16cid:durableId="1354840185">
    <w:abstractNumId w:val="11"/>
    <w:lvlOverride w:ilvl="0">
      <w:startOverride w:val="1"/>
      <w:lvl w:ilvl="0" w:tplc="A8AC7736">
        <w:start w:val="1"/>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79" w16cid:durableId="999044850">
    <w:abstractNumId w:val="1"/>
    <w:lvlOverride w:ilvl="0">
      <w:startOverride w:val="357"/>
    </w:lvlOverride>
  </w:num>
  <w:num w:numId="80" w16cid:durableId="1929650149">
    <w:abstractNumId w:val="11"/>
    <w:lvlOverride w:ilvl="0">
      <w:startOverride w:val="2"/>
      <w:lvl w:ilvl="0" w:tplc="A8AC7736">
        <w:start w:val="2"/>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81" w16cid:durableId="907155761">
    <w:abstractNumId w:val="1"/>
    <w:lvlOverride w:ilvl="0">
      <w:startOverride w:val="359"/>
    </w:lvlOverride>
  </w:num>
  <w:num w:numId="82" w16cid:durableId="179586373">
    <w:abstractNumId w:val="11"/>
    <w:lvlOverride w:ilvl="0">
      <w:startOverride w:val="3"/>
      <w:lvl w:ilvl="0" w:tplc="A8AC7736">
        <w:start w:val="3"/>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83" w16cid:durableId="1608081486">
    <w:abstractNumId w:val="10"/>
    <w:lvlOverride w:ilvl="0">
      <w:startOverride w:val="1"/>
    </w:lvlOverride>
  </w:num>
  <w:num w:numId="84" w16cid:durableId="1345591523">
    <w:abstractNumId w:val="1"/>
    <w:lvlOverride w:ilvl="0">
      <w:startOverride w:val="376"/>
    </w:lvlOverride>
  </w:num>
  <w:num w:numId="85" w16cid:durableId="1527449346">
    <w:abstractNumId w:val="10"/>
    <w:lvlOverride w:ilvl="0">
      <w:startOverride w:val="2"/>
    </w:lvlOverride>
  </w:num>
  <w:num w:numId="86" w16cid:durableId="636254061">
    <w:abstractNumId w:val="1"/>
    <w:lvlOverride w:ilvl="0">
      <w:startOverride w:val="380"/>
    </w:lvlOverride>
  </w:num>
  <w:num w:numId="87" w16cid:durableId="1239055960">
    <w:abstractNumId w:val="2"/>
    <w:lvlOverride w:ilvl="0">
      <w:startOverride w:val="4"/>
      <w:lvl w:ilvl="0">
        <w:start w:val="4"/>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8" w16cid:durableId="513106028">
    <w:abstractNumId w:val="11"/>
    <w:lvlOverride w:ilvl="0">
      <w:startOverride w:val="1"/>
      <w:lvl w:ilvl="0" w:tplc="A8AC7736">
        <w:start w:val="1"/>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89" w16cid:durableId="2010255740">
    <w:abstractNumId w:val="2"/>
    <w:lvlOverride w:ilvl="0">
      <w:startOverride w:val="5"/>
      <w:lvl w:ilvl="0">
        <w:start w:val="5"/>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0" w16cid:durableId="1777212316">
    <w:abstractNumId w:val="2"/>
    <w:lvlOverride w:ilvl="0">
      <w:startOverride w:val="6"/>
      <w:lvl w:ilvl="0">
        <w:start w:val="6"/>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1" w16cid:durableId="1792285757">
    <w:abstractNumId w:val="1"/>
    <w:lvlOverride w:ilvl="0">
      <w:startOverride w:val="414"/>
    </w:lvlOverride>
  </w:num>
  <w:num w:numId="92" w16cid:durableId="393549038">
    <w:abstractNumId w:val="2"/>
    <w:lvlOverride w:ilvl="0">
      <w:startOverride w:val="7"/>
      <w:lvl w:ilvl="0">
        <w:start w:val="7"/>
        <w:numFmt w:val="upperRoman"/>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2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93" w16cid:durableId="324863974">
    <w:abstractNumId w:val="11"/>
    <w:lvlOverride w:ilvl="0">
      <w:startOverride w:val="1"/>
      <w:lvl w:ilvl="0" w:tplc="A8AC7736">
        <w:start w:val="1"/>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94" w16cid:durableId="1549224008">
    <w:abstractNumId w:val="1"/>
    <w:lvlOverride w:ilvl="0">
      <w:startOverride w:val="425"/>
    </w:lvlOverride>
  </w:num>
  <w:num w:numId="95" w16cid:durableId="1672636559">
    <w:abstractNumId w:val="11"/>
    <w:lvlOverride w:ilvl="0">
      <w:startOverride w:val="2"/>
      <w:lvl w:ilvl="0" w:tplc="A8AC7736">
        <w:start w:val="2"/>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96" w16cid:durableId="32968731">
    <w:abstractNumId w:val="1"/>
    <w:lvlOverride w:ilvl="0">
      <w:startOverride w:val="446"/>
    </w:lvlOverride>
  </w:num>
  <w:num w:numId="97" w16cid:durableId="358896283">
    <w:abstractNumId w:val="11"/>
    <w:lvlOverride w:ilvl="0">
      <w:startOverride w:val="3"/>
      <w:lvl w:ilvl="0" w:tplc="A8AC7736">
        <w:start w:val="3"/>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98" w16cid:durableId="1560902052">
    <w:abstractNumId w:val="1"/>
    <w:lvlOverride w:ilvl="0">
      <w:startOverride w:val="465"/>
    </w:lvlOverride>
  </w:num>
  <w:num w:numId="99" w16cid:durableId="328363945">
    <w:abstractNumId w:val="11"/>
    <w:lvlOverride w:ilvl="0">
      <w:startOverride w:val="4"/>
      <w:lvl w:ilvl="0" w:tplc="A8AC7736">
        <w:start w:val="4"/>
        <w:numFmt w:val="upperLetter"/>
        <w:lvlText w:val="%1."/>
        <w:lvlJc w:val="left"/>
        <w:pPr>
          <w:ind w:left="562" w:hanging="56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1">
      <w:startOverride w:val="1"/>
      <w:lvl w:ilvl="1" w:tplc="D996DB28">
        <w:start w:val="1"/>
        <w:numFmt w:val="lowerLetter"/>
        <w:lvlText w:val="%2."/>
        <w:lvlJc w:val="left"/>
        <w:pPr>
          <w:ind w:left="15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2">
      <w:startOverride w:val="1"/>
      <w:lvl w:ilvl="2" w:tplc="1CAAF956">
        <w:start w:val="1"/>
        <w:numFmt w:val="lowerRoman"/>
        <w:lvlText w:val="%3."/>
        <w:lvlJc w:val="left"/>
        <w:pPr>
          <w:ind w:left="222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3">
      <w:startOverride w:val="1"/>
      <w:lvl w:ilvl="3" w:tplc="01FC700C">
        <w:start w:val="1"/>
        <w:numFmt w:val="decimal"/>
        <w:lvlText w:val="%4."/>
        <w:lvlJc w:val="left"/>
        <w:pPr>
          <w:ind w:left="295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4">
      <w:startOverride w:val="1"/>
      <w:lvl w:ilvl="4" w:tplc="FDF8CBDE">
        <w:start w:val="1"/>
        <w:numFmt w:val="lowerLetter"/>
        <w:lvlText w:val="%5."/>
        <w:lvlJc w:val="left"/>
        <w:pPr>
          <w:ind w:left="367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5">
      <w:startOverride w:val="1"/>
      <w:lvl w:ilvl="5" w:tplc="B45CD540">
        <w:start w:val="1"/>
        <w:numFmt w:val="lowerRoman"/>
        <w:lvlText w:val="%6."/>
        <w:lvlJc w:val="left"/>
        <w:pPr>
          <w:ind w:left="438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6">
      <w:startOverride w:val="1"/>
      <w:lvl w:ilvl="6" w:tplc="B734E334">
        <w:start w:val="1"/>
        <w:numFmt w:val="decimal"/>
        <w:lvlText w:val="%7."/>
        <w:lvlJc w:val="left"/>
        <w:pPr>
          <w:ind w:left="511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7">
      <w:startOverride w:val="1"/>
      <w:lvl w:ilvl="7" w:tplc="DA44F140">
        <w:start w:val="1"/>
        <w:numFmt w:val="lowerLetter"/>
        <w:lvlText w:val="%8."/>
        <w:lvlJc w:val="left"/>
        <w:pPr>
          <w:ind w:left="5832" w:hanging="432"/>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lvlOverride w:ilvl="8">
      <w:startOverride w:val="1"/>
      <w:lvl w:ilvl="8" w:tplc="C0421994">
        <w:start w:val="1"/>
        <w:numFmt w:val="lowerRoman"/>
        <w:lvlText w:val="%9."/>
        <w:lvlJc w:val="left"/>
        <w:pPr>
          <w:ind w:left="6540" w:hanging="358"/>
        </w:pPr>
        <w:rPr>
          <w:rFonts w:hAnsi="Arial Unicode MS"/>
          <w:b/>
          <w:bCs/>
          <w:caps w:val="0"/>
          <w:smallCaps w:val="0"/>
          <w:strike w:val="0"/>
          <w:dstrike w:val="0"/>
          <w:outline w:val="0"/>
          <w:emboss w:val="0"/>
          <w:imprint w:val="0"/>
          <w:color w:val="525252"/>
          <w:spacing w:val="0"/>
          <w:w w:val="100"/>
          <w:kern w:val="0"/>
          <w:position w:val="0"/>
          <w:highlight w:val="none"/>
          <w:vertAlign w:val="baseline"/>
        </w:rPr>
      </w:lvl>
    </w:lvlOverride>
  </w:num>
  <w:num w:numId="100" w16cid:durableId="1693451532">
    <w:abstractNumId w:val="2"/>
    <w:lvlOverride w:ilvl="0">
      <w:startOverride w:val="7"/>
    </w:lvlOverride>
  </w:num>
  <w:num w:numId="101" w16cid:durableId="1692683091">
    <w:abstractNumId w:val="1"/>
    <w:lvlOverride w:ilvl="0">
      <w:startOverride w:val="504"/>
    </w:lvlOverride>
  </w:num>
  <w:num w:numId="102" w16cid:durableId="2029678008">
    <w:abstractNumId w:val="1"/>
    <w:lvlOverride w:ilvl="0">
      <w:startOverride w:val="1"/>
    </w:lvlOverride>
  </w:num>
  <w:num w:numId="103" w16cid:durableId="1526165522">
    <w:abstractNumId w:val="7"/>
  </w:num>
  <w:num w:numId="104" w16cid:durableId="112410424">
    <w:abstractNumId w:val="4"/>
  </w:num>
  <w:num w:numId="105" w16cid:durableId="932399036">
    <w:abstractNumId w:val="1"/>
    <w:lvlOverride w:ilvl="0">
      <w:startOverride w:val="34"/>
    </w:lvlOverride>
  </w:num>
  <w:num w:numId="106" w16cid:durableId="1438137471">
    <w:abstractNumId w:val="2"/>
    <w:lvlOverride w:ilvl="0">
      <w:startOverride w:val="1"/>
      <w:lvl w:ilvl="0">
        <w:start w:val="1"/>
        <w:numFmt w:val="decimal"/>
        <w:lvlText w:val="%1."/>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62" w:hanging="5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49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5D"/>
    <w:rsid w:val="0001523C"/>
    <w:rsid w:val="00111ECC"/>
    <w:rsid w:val="001A105D"/>
    <w:rsid w:val="00270AC1"/>
    <w:rsid w:val="002A1F79"/>
    <w:rsid w:val="002D2C2E"/>
    <w:rsid w:val="00446D8B"/>
    <w:rsid w:val="00873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868F6"/>
  <w15:docId w15:val="{A036D5BE-EC09-4749-BDF2-2E71BB7C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keepLines/>
      <w:tabs>
        <w:tab w:val="left" w:pos="810"/>
      </w:tabs>
      <w:spacing w:after="240" w:line="288" w:lineRule="auto"/>
      <w:outlineLvl w:val="1"/>
    </w:pPr>
    <w:rPr>
      <w:rFonts w:ascii="Helvetica LT Std Bold" w:eastAsia="Helvetica LT Std Bold" w:hAnsi="Helvetica LT Std Bold" w:cs="Helvetica LT Std Bold"/>
      <w:caps/>
      <w:color w:val="22527C"/>
      <w:sz w:val="24"/>
      <w:szCs w:val="24"/>
      <w:u w:color="000000"/>
      <w14:textOutline w14:w="0" w14:cap="flat" w14:cmpd="sng" w14:algn="ctr">
        <w14:noFill/>
        <w14:prstDash w14:val="solid"/>
        <w14:bevel/>
      </w14:textOutline>
    </w:rPr>
  </w:style>
  <w:style w:type="paragraph" w:styleId="Heading3">
    <w:name w:val="heading 3"/>
    <w:next w:val="Body"/>
    <w:uiPriority w:val="9"/>
    <w:unhideWhenUsed/>
    <w:qFormat/>
    <w:pPr>
      <w:keepNext/>
      <w:keepLines/>
      <w:spacing w:after="240"/>
      <w:outlineLvl w:val="2"/>
    </w:pPr>
    <w:rPr>
      <w:rFonts w:ascii="Helvetica LT Std Bold" w:eastAsia="Helvetica LT Std Bold" w:hAnsi="Helvetica LT Std Bold" w:cs="Helvetica LT Std Bold"/>
      <w:color w:val="718E4E"/>
      <w:sz w:val="24"/>
      <w:szCs w:val="24"/>
      <w:u w:color="000000"/>
      <w14:textOutline w14:w="0" w14:cap="flat" w14:cmpd="sng" w14:algn="ctr">
        <w14:noFill/>
        <w14:prstDash w14:val="solid"/>
        <w14:bevel/>
      </w14:textOutline>
    </w:rPr>
  </w:style>
  <w:style w:type="paragraph" w:styleId="Heading4">
    <w:name w:val="heading 4"/>
    <w:next w:val="Body"/>
    <w:uiPriority w:val="9"/>
    <w:unhideWhenUsed/>
    <w:qFormat/>
    <w:pPr>
      <w:keepNext/>
      <w:keepLines/>
      <w:spacing w:after="240" w:line="288" w:lineRule="auto"/>
      <w:jc w:val="both"/>
      <w:outlineLvl w:val="3"/>
    </w:pPr>
    <w:rPr>
      <w:rFonts w:ascii="Helvetica LT Std Bold" w:eastAsia="Helvetica LT Std Bold" w:hAnsi="Helvetica LT Std Bold" w:cs="Helvetica LT Std Bold"/>
      <w:color w:val="535353"/>
      <w:sz w:val="24"/>
      <w:szCs w:val="24"/>
      <w:u w:color="000000"/>
      <w:lang w:val="es-ES_tradn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Footer">
    <w:name w:val="footer"/>
    <w:pPr>
      <w:tabs>
        <w:tab w:val="center" w:pos="4680"/>
        <w:tab w:val="right" w:pos="9360"/>
      </w:tabs>
    </w:pPr>
    <w:rPr>
      <w:rFonts w:ascii="Helvetica LT Std Fractions" w:hAnsi="Helvetica LT Std Fractions" w:cs="Arial Unicode MS"/>
      <w:color w:val="000000"/>
      <w:sz w:val="24"/>
      <w:szCs w:val="24"/>
      <w:u w:color="000000"/>
    </w:rPr>
  </w:style>
  <w:style w:type="paragraph" w:customStyle="1" w:styleId="HeaderFooter">
    <w:name w:val="Header &amp; Footer"/>
    <w:pPr>
      <w:tabs>
        <w:tab w:val="right" w:pos="9020"/>
      </w:tabs>
    </w:pPr>
    <w:rPr>
      <w:rFonts w:ascii="Helvetica LT Std Fractions" w:eastAsia="Helvetica LT Std Fractions" w:hAnsi="Helvetica LT Std Fractions" w:cs="Helvetica LT Std Fractions"/>
      <w:color w:val="000000"/>
      <w:sz w:val="24"/>
      <w:szCs w:val="24"/>
      <w14:textOutline w14:w="0" w14:cap="flat" w14:cmpd="sng" w14:algn="ctr">
        <w14:noFill/>
        <w14:prstDash w14:val="solid"/>
        <w14:bevel/>
      </w14:textOutline>
    </w:rPr>
  </w:style>
  <w:style w:type="paragraph" w:customStyle="1" w:styleId="Footnote">
    <w:name w:val="Footnote"/>
    <w:rPr>
      <w:rFonts w:ascii="Helvetica LT Std Fractions" w:eastAsia="Helvetica LT Std Fractions" w:hAnsi="Helvetica LT Std Fractions" w:cs="Helvetica LT Std Fractions"/>
      <w:color w:val="000000"/>
      <w:sz w:val="22"/>
      <w:szCs w:val="22"/>
      <w14:textOutline w14:w="0" w14:cap="flat" w14:cmpd="sng" w14:algn="ctr">
        <w14:noFill/>
        <w14:prstDash w14:val="solid"/>
        <w14:bevel/>
      </w14:textOutline>
    </w:rPr>
  </w:style>
  <w:style w:type="paragraph" w:customStyle="1" w:styleId="Body">
    <w:name w:val="Body"/>
    <w:pPr>
      <w:jc w:val="both"/>
    </w:pPr>
    <w:rPr>
      <w:rFonts w:ascii="Helvetica LT Std Fractions" w:eastAsia="Helvetica LT Std Fractions" w:hAnsi="Helvetica LT Std Fractions" w:cs="Helvetica LT Std Fractions"/>
      <w:color w:val="22527C"/>
      <w:sz w:val="16"/>
      <w:szCs w:val="16"/>
      <w:u w:color="808080"/>
      <w:lang w:val="es-ES_tradnl"/>
      <w14:textOutline w14:w="0" w14:cap="flat" w14:cmpd="sng" w14:algn="ctr">
        <w14:noFill/>
        <w14:prstDash w14:val="solid"/>
        <w14:bevel/>
      </w14:textOutline>
    </w:rPr>
  </w:style>
  <w:style w:type="paragraph" w:customStyle="1" w:styleId="Default">
    <w:name w:val="Default"/>
    <w:pPr>
      <w:spacing w:before="160" w:line="288" w:lineRule="auto"/>
    </w:pPr>
    <w:rPr>
      <w:rFonts w:ascii="Helvetica LT Std Fractions" w:hAnsi="Helvetica LT Std Fractions" w:cs="Arial Unicode MS"/>
      <w:color w:val="000000"/>
      <w:sz w:val="24"/>
      <w:szCs w:val="24"/>
      <w:lang w:val="es-ES_tradnl"/>
      <w14:textOutline w14:w="0" w14:cap="flat" w14:cmpd="sng" w14:algn="ctr">
        <w14:noFill/>
        <w14:prstDash w14:val="solid"/>
        <w14:bevel/>
      </w14:textOutline>
    </w:rPr>
  </w:style>
  <w:style w:type="paragraph" w:styleId="TOC1">
    <w:name w:val="toc 1"/>
    <w:pPr>
      <w:tabs>
        <w:tab w:val="right" w:leader="dot" w:pos="9250"/>
      </w:tabs>
      <w:spacing w:before="360"/>
    </w:pPr>
    <w:rPr>
      <w:rFonts w:ascii="Helvetica LT Std Bold" w:eastAsia="Helvetica LT Std Bold" w:hAnsi="Helvetica LT Std Bold" w:cs="Helvetica LT Std Bold"/>
      <w:caps/>
      <w:color w:val="000000"/>
      <w:sz w:val="24"/>
      <w:szCs w:val="24"/>
      <w:u w:color="000000"/>
    </w:rPr>
  </w:style>
  <w:style w:type="paragraph" w:customStyle="1" w:styleId="Heading">
    <w:name w:val="Heading"/>
    <w:next w:val="Body"/>
    <w:pPr>
      <w:keepNext/>
      <w:keepLines/>
      <w:spacing w:before="5000"/>
      <w:jc w:val="center"/>
      <w:outlineLvl w:val="0"/>
    </w:pPr>
    <w:rPr>
      <w:rFonts w:ascii="Helvetica LT Std Bold" w:eastAsia="Helvetica LT Std Bold" w:hAnsi="Helvetica LT Std Bold" w:cs="Helvetica LT Std Bold"/>
      <w:smallCaps/>
      <w:color w:val="767171"/>
      <w:sz w:val="28"/>
      <w:szCs w:val="28"/>
      <w:u w:color="767171"/>
      <w14:textOutline w14:w="0" w14:cap="flat" w14:cmpd="sng" w14:algn="ctr">
        <w14:noFill/>
        <w14:prstDash w14:val="solid"/>
        <w14:bevel/>
      </w14:textOutline>
    </w:rPr>
  </w:style>
  <w:style w:type="paragraph" w:customStyle="1" w:styleId="TOC2parent">
    <w:name w:val="TOC 2 parent"/>
    <w:pPr>
      <w:tabs>
        <w:tab w:val="left" w:pos="480"/>
        <w:tab w:val="right" w:leader="dot" w:pos="9250"/>
      </w:tabs>
      <w:spacing w:before="240"/>
    </w:pPr>
    <w:rPr>
      <w:rFonts w:ascii="Helvetica LT Std Bold" w:eastAsia="Helvetica LT Std Bold" w:hAnsi="Helvetica LT Std Bold" w:cs="Helvetica LT Std Bold"/>
      <w:color w:val="000000"/>
      <w:u w:color="000000"/>
    </w:rPr>
  </w:style>
  <w:style w:type="paragraph" w:styleId="TOC2">
    <w:name w:val="toc 2"/>
    <w:basedOn w:val="TOC2parent"/>
    <w:next w:val="TOC2parent"/>
    <w:pPr>
      <w:tabs>
        <w:tab w:val="clear" w:pos="480"/>
        <w:tab w:val="clear" w:pos="9250"/>
        <w:tab w:val="right" w:leader="dot" w:pos="7258"/>
      </w:tabs>
    </w:pPr>
    <w:rPr>
      <w:color w:val="22527C"/>
    </w:rPr>
  </w:style>
  <w:style w:type="paragraph" w:customStyle="1" w:styleId="TOC3parent">
    <w:name w:val="TOC 3 parent"/>
    <w:pPr>
      <w:tabs>
        <w:tab w:val="left" w:pos="720"/>
        <w:tab w:val="right" w:leader="dot" w:pos="9250"/>
      </w:tabs>
      <w:ind w:left="240"/>
    </w:pPr>
    <w:rPr>
      <w:rFonts w:ascii="Helvetica LT Std Fractions" w:eastAsia="Helvetica LT Std Fractions" w:hAnsi="Helvetica LT Std Fractions" w:cs="Helvetica LT Std Fractions"/>
      <w:color w:val="000000"/>
      <w:u w:color="000000"/>
    </w:rPr>
  </w:style>
  <w:style w:type="paragraph" w:styleId="TOC3">
    <w:name w:val="toc 3"/>
    <w:basedOn w:val="TOC3parent"/>
    <w:next w:val="TOC3parent"/>
    <w:pPr>
      <w:tabs>
        <w:tab w:val="clear" w:pos="720"/>
        <w:tab w:val="clear" w:pos="9250"/>
        <w:tab w:val="right" w:leader="dot" w:pos="7258"/>
      </w:tabs>
    </w:pPr>
    <w:rPr>
      <w:color w:val="718E4E"/>
    </w:rPr>
  </w:style>
  <w:style w:type="paragraph" w:styleId="TOC4">
    <w:name w:val="toc 4"/>
    <w:pPr>
      <w:tabs>
        <w:tab w:val="left" w:pos="960"/>
        <w:tab w:val="right" w:leader="dot" w:pos="9250"/>
      </w:tabs>
      <w:ind w:left="480"/>
    </w:pPr>
    <w:rPr>
      <w:rFonts w:ascii="Helvetica LT Std Fractions" w:eastAsia="Helvetica LT Std Fractions" w:hAnsi="Helvetica LT Std Fractions" w:cs="Helvetica LT Std Fractions"/>
      <w:color w:val="000000"/>
      <w:u w:color="000000"/>
    </w:rPr>
  </w:style>
  <w:style w:type="paragraph" w:styleId="NoSpacing">
    <w:name w:val="No Spacing"/>
    <w:pPr>
      <w:tabs>
        <w:tab w:val="left" w:pos="720"/>
        <w:tab w:val="left" w:pos="810"/>
        <w:tab w:val="left" w:pos="1080"/>
      </w:tabs>
      <w:spacing w:before="320" w:after="240" w:line="288" w:lineRule="auto"/>
      <w:jc w:val="both"/>
    </w:pPr>
    <w:rPr>
      <w:rFonts w:ascii="Helvetica LT Std Roman" w:eastAsia="Helvetica LT Std Roman" w:hAnsi="Helvetica LT Std Roman" w:cs="Helvetica LT Std Roman"/>
      <w:color w:val="000000"/>
      <w:sz w:val="24"/>
      <w:szCs w:val="24"/>
      <w:u w:color="000000"/>
      <w:lang w:val="es-ES_tradnl"/>
    </w:rPr>
  </w:style>
  <w:style w:type="paragraph" w:styleId="Caption">
    <w:name w:val="caption"/>
    <w:pPr>
      <w:suppressAutoHyphens/>
      <w:jc w:val="center"/>
      <w:outlineLvl w:val="0"/>
    </w:pPr>
    <w:rPr>
      <w:rFonts w:ascii="Helvetica LT Std Bold" w:hAnsi="Helvetica LT Std Bold" w:cs="Arial Unicode MS"/>
      <w:color w:val="FFFFFF"/>
      <w:sz w:val="50"/>
      <w:szCs w:val="50"/>
      <w:lang w:val="es-ES_tradnl"/>
      <w14:textOutline w14:w="12700" w14:cap="flat" w14:cmpd="sng" w14:algn="ctr">
        <w14:noFill/>
        <w14:prstDash w14:val="solid"/>
        <w14:miter w14:lim="400000"/>
      </w14:textOutline>
    </w:rPr>
  </w:style>
  <w:style w:type="numbering" w:customStyle="1" w:styleId="Bullets">
    <w:name w:val="Bullets"/>
    <w:pPr>
      <w:numPr>
        <w:numId w:val="30"/>
      </w:numPr>
    </w:pPr>
  </w:style>
  <w:style w:type="paragraph" w:styleId="Subtitle">
    <w:name w:val="Subtitle"/>
    <w:next w:val="Body"/>
    <w:uiPriority w:val="11"/>
    <w:qFormat/>
    <w:pPr>
      <w:keepNext/>
      <w:keepLines/>
      <w:jc w:val="center"/>
    </w:pPr>
    <w:rPr>
      <w:rFonts w:ascii="Helvetica LT Std Bold" w:eastAsia="Helvetica LT Std Bold" w:hAnsi="Helvetica LT Std Bold" w:cs="Helvetica LT Std Bold"/>
      <w:color w:val="000000"/>
      <w:sz w:val="28"/>
      <w:szCs w:val="28"/>
      <w:u w:color="000000"/>
      <w14:textOutline w14:w="0" w14:cap="flat" w14:cmpd="sng" w14:algn="ctr">
        <w14:noFill/>
        <w14:prstDash w14:val="solid"/>
        <w14:bevel/>
      </w14:textOutline>
    </w:rPr>
  </w:style>
  <w:style w:type="paragraph" w:customStyle="1" w:styleId="CapCIDH">
    <w:name w:val="Cap CIDH"/>
    <w:next w:val="Heading"/>
    <w:pPr>
      <w:spacing w:after="240"/>
    </w:pPr>
    <w:rPr>
      <w:rFonts w:ascii="Helvetica LT Std Bold" w:eastAsia="Helvetica LT Std Bold" w:hAnsi="Helvetica LT Std Bold" w:cs="Helvetica LT Std Bold"/>
      <w:caps/>
      <w:color w:val="22527C"/>
      <w:sz w:val="24"/>
      <w:szCs w:val="24"/>
      <w:u w:color="000000"/>
      <w:lang w:val="es-ES_tradnl"/>
    </w:rPr>
  </w:style>
  <w:style w:type="numbering" w:customStyle="1" w:styleId="ImportedStyle5">
    <w:name w:val="Imported Style 5"/>
    <w:pPr>
      <w:numPr>
        <w:numId w:val="32"/>
      </w:numPr>
    </w:pPr>
  </w:style>
  <w:style w:type="paragraph" w:styleId="FootnoteText">
    <w:name w:val="footnote text"/>
    <w:pPr>
      <w:jc w:val="both"/>
    </w:pPr>
    <w:rPr>
      <w:rFonts w:ascii="Helvetica LT Std Fractions" w:eastAsia="Helvetica LT Std Fractions" w:hAnsi="Helvetica LT Std Fractions" w:cs="Helvetica LT Std Fractions"/>
      <w:color w:val="2B477B"/>
      <w:sz w:val="16"/>
      <w:szCs w:val="16"/>
      <w:u w:color="808080"/>
      <w:lang w:val="es-ES_tradnl"/>
      <w14:textOutline w14:w="0" w14:cap="flat" w14:cmpd="sng" w14:algn="ctr">
        <w14:noFill/>
        <w14:prstDash w14:val="solid"/>
        <w14:bevel/>
      </w14:textOutline>
    </w:rPr>
  </w:style>
  <w:style w:type="character" w:customStyle="1" w:styleId="Hyperlink0">
    <w:name w:val="Hyperlink.0"/>
    <w:basedOn w:val="Hyperlink"/>
    <w:rPr>
      <w:outline w:val="0"/>
      <w:color w:val="2B477B"/>
      <w:u w:val="single" w:color="808080"/>
    </w:rPr>
  </w:style>
  <w:style w:type="numbering" w:customStyle="1" w:styleId="ImportedStyle1">
    <w:name w:val="Imported Style 1"/>
    <w:pPr>
      <w:numPr>
        <w:numId w:val="34"/>
      </w:numPr>
    </w:pPr>
  </w:style>
  <w:style w:type="numbering" w:customStyle="1" w:styleId="ImportedStyle2">
    <w:name w:val="Imported Style 2"/>
    <w:pPr>
      <w:numPr>
        <w:numId w:val="36"/>
      </w:numPr>
    </w:pPr>
  </w:style>
  <w:style w:type="character" w:customStyle="1" w:styleId="Hyperlink1">
    <w:name w:val="Hyperlink.1"/>
    <w:basedOn w:val="Hyperlink0"/>
    <w:rPr>
      <w:outline w:val="0"/>
      <w:color w:val="2B477B"/>
      <w:u w:val="none" w:color="808080"/>
    </w:rPr>
  </w:style>
  <w:style w:type="numbering" w:customStyle="1" w:styleId="ImportedStyle4">
    <w:name w:val="Imported Style 4"/>
    <w:pPr>
      <w:numPr>
        <w:numId w:val="45"/>
      </w:numPr>
    </w:pPr>
  </w:style>
  <w:style w:type="paragraph" w:styleId="NormalWeb">
    <w:name w:val="Normal (Web)"/>
    <w:pPr>
      <w:spacing w:before="100" w:after="100"/>
    </w:pPr>
    <w:rPr>
      <w:rFonts w:ascii="Helvetica LT Std Fractions" w:eastAsia="Helvetica LT Std Fractions" w:hAnsi="Helvetica LT Std Fractions" w:cs="Helvetica LT Std Fractions"/>
      <w:color w:val="000000"/>
      <w:sz w:val="24"/>
      <w:szCs w:val="24"/>
      <w:u w:color="000000"/>
    </w:rPr>
  </w:style>
  <w:style w:type="character" w:customStyle="1" w:styleId="None">
    <w:name w:val="None"/>
  </w:style>
  <w:style w:type="character" w:customStyle="1" w:styleId="Hyperlink2">
    <w:name w:val="Hyperlink.2"/>
    <w:basedOn w:val="None"/>
    <w:rPr>
      <w:u w:val="single"/>
    </w:rPr>
  </w:style>
  <w:style w:type="character" w:customStyle="1" w:styleId="Hyperlink3">
    <w:name w:val="Hyperlink.3"/>
    <w:basedOn w:val="None"/>
    <w:rPr>
      <w:rFonts w:ascii="Helvetica LT Std Oblique" w:eastAsia="Helvetica LT Std Oblique" w:hAnsi="Helvetica LT Std Oblique" w:cs="Helvetica LT Std Oblique"/>
    </w:rPr>
  </w:style>
  <w:style w:type="character" w:customStyle="1" w:styleId="Hyperlink4">
    <w:name w:val="Hyperlink.4"/>
    <w:basedOn w:val="Hyperlink0"/>
    <w:rPr>
      <w:rFonts w:ascii="Helvetica LT Std Oblique" w:eastAsia="Helvetica LT Std Oblique" w:hAnsi="Helvetica LT Std Oblique" w:cs="Helvetica LT Std Oblique"/>
      <w:outline w:val="0"/>
      <w:color w:val="2B477B"/>
      <w:u w:val="single" w:color="808080"/>
    </w:rPr>
  </w:style>
  <w:style w:type="numbering" w:customStyle="1" w:styleId="ImportedStyle6">
    <w:name w:val="Imported Style 6"/>
    <w:pPr>
      <w:numPr>
        <w:numId w:val="103"/>
      </w:numPr>
    </w:pPr>
  </w:style>
  <w:style w:type="character" w:styleId="UnresolvedMention">
    <w:name w:val="Unresolved Mention"/>
    <w:basedOn w:val="DefaultParagraphFont"/>
    <w:uiPriority w:val="99"/>
    <w:semiHidden/>
    <w:unhideWhenUsed/>
    <w:rsid w:val="00111ECC"/>
    <w:rPr>
      <w:color w:val="605E5C"/>
      <w:shd w:val="clear" w:color="auto" w:fill="E1DFDD"/>
    </w:rPr>
  </w:style>
  <w:style w:type="character" w:styleId="FollowedHyperlink">
    <w:name w:val="FollowedHyperlink"/>
    <w:basedOn w:val="DefaultParagraphFont"/>
    <w:uiPriority w:val="99"/>
    <w:semiHidden/>
    <w:unhideWhenUsed/>
    <w:rsid w:val="00111EC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17" Type="http://schemas.openxmlformats.org/officeDocument/2006/relationships/hyperlink" Target="https://www.washingtongroup-disability.com/fileadmin/uploads/wg/The_Washington_Group_Primer_-_Spanish.pdf" TargetMode="External"/><Relationship Id="rId671" Type="http://schemas.openxmlformats.org/officeDocument/2006/relationships/hyperlink" Target="http://www.corteidh.or.cr/docs/casos/articulos/seriec_453_esp.pdf" TargetMode="External"/><Relationship Id="rId769" Type="http://schemas.openxmlformats.org/officeDocument/2006/relationships/hyperlink" Target="https://www.oas.org/dil/esp/codigo_civil_venezuela.pdf" TargetMode="External"/><Relationship Id="rId21" Type="http://schemas.openxmlformats.org/officeDocument/2006/relationships/hyperlink" Target="http://www.convenciondiscapacidad.es/wp-content/uploads/2019/01/Observaci%25C3%25B3n-1-Art%25C3%25ADculo-12-Capacidad-jur%25C3%25ADdica.pdf" TargetMode="External"/><Relationship Id="rId324" Type="http://schemas.openxmlformats.org/officeDocument/2006/relationships/hyperlink" Target="https://mintic.gov.co/portal/vivedigital/612/w3-propertyvalue-6886.html." TargetMode="External"/><Relationship Id="rId531" Type="http://schemas.openxmlformats.org/officeDocument/2006/relationships/hyperlink" Target="https://www.un.org/esa/socdev/enable/documents/tccconvs.pdf" TargetMode="External"/><Relationship Id="rId629" Type="http://schemas.openxmlformats.org/officeDocument/2006/relationships/hyperlink" Target="https://www.gob.mx/inmujeres/documentos/norma-mexicananmx-r025-scfi-2015-en-igualdad-laboral-y-no-discriminacion" TargetMode="External"/><Relationship Id="rId170" Type="http://schemas.openxmlformats.org/officeDocument/2006/relationships/hyperlink" Target="https://www.ilo.org/dyn/natlex/docs/ELECTRONIC/99560/118895/F1050124846/HTI-99560.pdf" TargetMode="External"/><Relationship Id="rId836" Type="http://schemas.openxmlformats.org/officeDocument/2006/relationships/hyperlink" Target="https://www.diputados.gob.mx/LeyesBiblio/pdf/LGIPD.pdf" TargetMode="External"/><Relationship Id="rId268" Type="http://schemas.openxmlformats.org/officeDocument/2006/relationships/hyperlink" Target="https://tbinternet.ohchr.org/_layouts/15/treatybodyexternal/Download.aspx?symbolno=CRPD/C/GC/2&amp;Lang=en" TargetMode="External"/><Relationship Id="rId475" Type="http://schemas.openxmlformats.org/officeDocument/2006/relationships/hyperlink" Target="https://platform.who.int/docs/default-source/mca-documents/policy-documents/policy-survey-2018/country-profiles/policy-country-profile-2018-belize.pdf?sfvrsn=9db955d0_1" TargetMode="External"/><Relationship Id="rId682" Type="http://schemas.openxmlformats.org/officeDocument/2006/relationships/hyperlink" Target="https://www.acnur.org/fileadmin/Documentos/BDL/2003/2351.pdf" TargetMode="External"/><Relationship Id="rId903" Type="http://schemas.openxmlformats.org/officeDocument/2006/relationships/hyperlink" Target="https://www.minsalud.gov.co/sites/rid/Lists/BibliotecaDigital/RIDE/DE/DIJ/resolucion-4886-de-2018.pdf" TargetMode="External"/><Relationship Id="rId32" Type="http://schemas.openxmlformats.org/officeDocument/2006/relationships/hyperlink" Target="https://www.corteidh.or.cr/tablas/r24905.pdf" TargetMode="External"/><Relationship Id="rId128" Type="http://schemas.openxmlformats.org/officeDocument/2006/relationships/hyperlink" Target="https://www.dane.gov.co/files/investigaciones/discapacidad/Panorama-general-de-la-discapacidad-en-Colombia.pdf" TargetMode="External"/><Relationship Id="rId335" Type="http://schemas.openxmlformats.org/officeDocument/2006/relationships/hyperlink" Target="https://www.argentina.gob.ar/normativa/nacional/ley-24421-806." TargetMode="External"/><Relationship Id="rId542" Type="http://schemas.openxmlformats.org/officeDocument/2006/relationships/hyperlink" Target="https://www.corteidh.or.cr/docs/casos/articulos/seriec_260_esp.pdf" TargetMode="External"/><Relationship Id="rId181" Type="http://schemas.openxmlformats.org/officeDocument/2006/relationships/hyperlink" Target="https://www.oas.org/dil/esp/constitucion_chile.pdf" TargetMode="External"/><Relationship Id="rId402" Type="http://schemas.openxmlformats.org/officeDocument/2006/relationships/hyperlink" Target="https://www.funcionpublica.gov.co/eva/gestornormativo/norma.php?i=87722" TargetMode="External"/><Relationship Id="rId847" Type="http://schemas.openxmlformats.org/officeDocument/2006/relationships/hyperlink" Target="https://www.oas.org/dil/esp/1969_Convenci%25C3%25B3n_Americana_sobre_Derechos_Humanos.pdf" TargetMode="External"/><Relationship Id="rId279" Type="http://schemas.openxmlformats.org/officeDocument/2006/relationships/hyperlink" Target="https://www.bcn.cl/leychile/navegar?idNorma=1010903" TargetMode="External"/><Relationship Id="rId486" Type="http://schemas.openxmlformats.org/officeDocument/2006/relationships/hyperlink" Target="https://www.minsalud.gov.co/sites/rid/Lists/BibliotecaDigital/RIDE/DE/DIJ/resolucion-1904-de-2017.pdf" TargetMode="External"/><Relationship Id="rId693" Type="http://schemas.openxmlformats.org/officeDocument/2006/relationships/hyperlink" Target="https://documents-dds-ny.un.org/doc/UNDOC/GEN/G17/360/35/PDF/G1736035.pdf?OpenElement" TargetMode="External"/><Relationship Id="rId707" Type="http://schemas.openxmlformats.org/officeDocument/2006/relationships/hyperlink" Target="http://www.convenciondiscapacidad.es/wp-content/uploads/2019/01/Observaci%25C3%25B3n-1-Art%25C3%25ADculo-12-Capacidad-jur%25C3%25ADdica.pdf" TargetMode="External"/><Relationship Id="rId914" Type="http://schemas.openxmlformats.org/officeDocument/2006/relationships/hyperlink" Target="http://www.convenciondiscapacidad.es/wp-content/uploads/2019/01/Observaci%25C3%25B3n-1-Art%25C3%25ADculo-12-Capacidad-jur%25C3%25ADdica.pdf" TargetMode="External"/><Relationship Id="rId43" Type="http://schemas.openxmlformats.org/officeDocument/2006/relationships/hyperlink" Target="https://www.un.org/esa/socdev/enable/documents/tccconvs.pdf" TargetMode="External"/><Relationship Id="rId139" Type="http://schemas.openxmlformats.org/officeDocument/2006/relationships/hyperlink" Target="https://www.inegi.org.mx/rnm/index.php/catalog/632/related_materials?idPro=" TargetMode="External"/><Relationship Id="rId346" Type="http://schemas.openxmlformats.org/officeDocument/2006/relationships/hyperlink" Target="https://www.bcn.cl/leychile/navegar?idNorma=1118806." TargetMode="External"/><Relationship Id="rId553" Type="http://schemas.openxmlformats.org/officeDocument/2006/relationships/hyperlink" Target="https://www.bcn.cl/leychile/navegar?idNorma=1010903&amp;idParte=" TargetMode="External"/><Relationship Id="rId760" Type="http://schemas.openxmlformats.org/officeDocument/2006/relationships/hyperlink" Target="https://www.dloc.com/IR00000115/00001/images/0" TargetMode="External"/><Relationship Id="rId192" Type="http://schemas.openxmlformats.org/officeDocument/2006/relationships/hyperlink" Target="https://siteal.iiep.unesco.org/sites/default/files/sit_accion_files/hn_0295.pdf" TargetMode="External"/><Relationship Id="rId206" Type="http://schemas.openxmlformats.org/officeDocument/2006/relationships/hyperlink" Target="https://www.argentina.gob.ar/normativa/nacional/resoluci%25C3%25B3n-1200-2021-352891/texto" TargetMode="External"/><Relationship Id="rId413" Type="http://schemas.openxmlformats.org/officeDocument/2006/relationships/hyperlink" Target="http://laws.bahamas.gov.bs/cms/images/LEGISLATION/PRINCIPAL/1992/1992-0001/ParliamentaryElectionsAct_1.pdf" TargetMode="External"/><Relationship Id="rId858" Type="http://schemas.openxmlformats.org/officeDocument/2006/relationships/hyperlink" Target="https://www.corteidh.or.cr/docs/casos/articulos/seriec_149_esp.pdf" TargetMode="External"/><Relationship Id="rId497" Type="http://schemas.openxmlformats.org/officeDocument/2006/relationships/hyperlink" Target="https://www.salud.gob.hn/sshome/" TargetMode="External"/><Relationship Id="rId620" Type="http://schemas.openxmlformats.org/officeDocument/2006/relationships/hyperlink" Target="https://www.ilo.org/dyn/natlex/docs/ELECTRONIC/99459/118738/F-157637669/GUY99459%25202012.pdf" TargetMode="External"/><Relationship Id="rId718" Type="http://schemas.openxmlformats.org/officeDocument/2006/relationships/hyperlink" Target="http://www.derechoshumanos.unlp.edu.ar/assets/files/documentos/informe-de-la-relatora-especial-de-las-personas-con-discapacidad-diciembre-2016.pdf" TargetMode="External"/><Relationship Id="rId925" Type="http://schemas.openxmlformats.org/officeDocument/2006/relationships/hyperlink" Target="https://www.bcn.cl/leychile/navegar?idNorma=1159383" TargetMode="External"/><Relationship Id="rId357" Type="http://schemas.openxmlformats.org/officeDocument/2006/relationships/hyperlink" Target="https://www.mef.gob.pa/plan-estrategico-de-gobierno/" TargetMode="External"/><Relationship Id="rId54" Type="http://schemas.openxmlformats.org/officeDocument/2006/relationships/hyperlink" Target="https://nam10.safelinks.protection.outlook.com/?url=https://www.corteidh.or.cr/docs/casos/articulos/Seriec_149_esp.pdf&amp;data=05%257C01%257CPMolina@oas.org%257Cfe21474a727b4cb7d11c08db8ef290ab%257C4fdc3f2315064175958c37999cee0941%257C1%257C0%257C638260944698713764%257CUnknown%257CTWFpbGZsb3d8eyJWIjoiMC4wLjAwMDAiLCJQIjoiV2luMzIiLCJBTiI6Ik1haWwiLCJXVCI6Mn0=%257C3000%257C%257C%257C&amp;sdata=PAOAtEXV58j8F/keCp9AOhuoCvnEERTZ6wSliubDobI=&amp;reserved=0" TargetMode="External"/><Relationship Id="rId217" Type="http://schemas.openxmlformats.org/officeDocument/2006/relationships/hyperlink" Target="https://www.ilo.org/dyn/natlex/docs/ELECTRONIC/85095/95072/F803428365/BOL85095.pdf" TargetMode="External"/><Relationship Id="rId564" Type="http://schemas.openxmlformats.org/officeDocument/2006/relationships/hyperlink" Target="https://siteal.iiep.unesco.org/sites/default/files/sit_accion_files/siteal_bolivia_0258.pdf" TargetMode="External"/><Relationship Id="rId771" Type="http://schemas.openxmlformats.org/officeDocument/2006/relationships/hyperlink" Target="http://www.saij.gob.ar/docs-f/codigo/Codigo_Civil_y_Comercial_de_la_Nacion.pdf" TargetMode="External"/><Relationship Id="rId869" Type="http://schemas.openxmlformats.org/officeDocument/2006/relationships/hyperlink" Target="https://www.acnur.org/fileadmin/Documentos/BDL/2016/10636.pdf" TargetMode="External"/><Relationship Id="rId424" Type="http://schemas.openxmlformats.org/officeDocument/2006/relationships/hyperlink" Target="http://www.bacn.gov.py/leyes-paraguayas/2346/ley-n-834-establece-el-codigo-electoral-paraguayo" TargetMode="External"/><Relationship Id="rId631" Type="http://schemas.openxmlformats.org/officeDocument/2006/relationships/hyperlink" Target="https://siteal.iiep.unesco.org/sites/default/files/sit_accion_files/siteal_panama_0042.pdf" TargetMode="External"/><Relationship Id="rId729" Type="http://schemas.openxmlformats.org/officeDocument/2006/relationships/hyperlink" Target="https://www.oas.org/es/sadye/publicaciones/GUIA_PRACTICA_CEDDIS_ESP.pdf" TargetMode="External"/><Relationship Id="rId270" Type="http://schemas.openxmlformats.org/officeDocument/2006/relationships/hyperlink" Target="https://tbinternet.ohchr.org/_layouts/15/treatybodyexternal/Download.aspx?symbolno=CRPD/C/GC/2&amp;Lang=en" TargetMode="External"/><Relationship Id="rId936" Type="http://schemas.openxmlformats.org/officeDocument/2006/relationships/hyperlink" Target="http://www.convenciondiscapacidad.es/wp-content/uploads/2019/01/Observaci%25C3%25B3n-1-Art%25C3%25ADculo-12-Capacidad-jur%25C3%25ADdica.pdf" TargetMode="External"/><Relationship Id="rId65" Type="http://schemas.openxmlformats.org/officeDocument/2006/relationships/hyperlink" Target="http://www.cidh.org/Basicos/Basicos4.htm" TargetMode="External"/><Relationship Id="rId130" Type="http://schemas.openxmlformats.org/officeDocument/2006/relationships/hyperlink" Target="https://www.funcionpublica.gov.co/eva/gestornormativo/norma.php?i=172488." TargetMode="External"/><Relationship Id="rId368" Type="http://schemas.openxmlformats.org/officeDocument/2006/relationships/hyperlink" Target="https://www.bahamas.gov.bs/wps/wcm/connect/678cadc1-08d9-43d3-bc55-d10c99f9064c/Final+Clean+1+July+2014+Persons+With+Disabilities+(Equal+Opportunities)+Bill.pdf?MOD=AJPERES" TargetMode="External"/><Relationship Id="rId575" Type="http://schemas.openxmlformats.org/officeDocument/2006/relationships/hyperlink" Target="https://www.ces.gob.ec/documentos/Normativa/LOES.pdf" TargetMode="External"/><Relationship Id="rId782" Type="http://schemas.openxmlformats.org/officeDocument/2006/relationships/hyperlink" Target="https://www.funcionpublica.gov.co/eva/gestornormativo/norma.php?i=99712" TargetMode="External"/><Relationship Id="rId228" Type="http://schemas.openxmlformats.org/officeDocument/2006/relationships/hyperlink" Target="https://cdn.digital.gob.cl/filer_public/69/21/6921ca49-4c6e-40bb-8f25-204d7b5e8747/protocolo_recomendaciones_a_residencias__para_pcd_coronavirus__1.p" TargetMode="External"/><Relationship Id="rId435" Type="http://schemas.openxmlformats.org/officeDocument/2006/relationships/hyperlink" Target="http://barbadosparliament-laws.com/en/showdoc/cs/115B" TargetMode="External"/><Relationship Id="rId642" Type="http://schemas.openxmlformats.org/officeDocument/2006/relationships/hyperlink" Target="https://www.bahamas.gov.bs/wps/wcm/connect/678cadc1-08d9-43d3-bc55-d10c99f9064c/Final+Clean+1+July+2014+Persons+With+Disabilities+(Equal+Opportunities)+Bill.pdf?MOD=AJPERES" TargetMode="External"/><Relationship Id="rId281" Type="http://schemas.openxmlformats.org/officeDocument/2006/relationships/hyperlink" Target="http://www.pgrweb.go.cr/scij/Busqueda/Normativa/Normas/nrm_texto_completo.aspx?param1=NRTC&amp;nValor1=1&amp;nValor2=53160&amp;nValor3=110485&amp;strTipM=TC" TargetMode="External"/><Relationship Id="rId502" Type="http://schemas.openxmlformats.org/officeDocument/2006/relationships/hyperlink" Target="https://www.diputados.gob.mx/LeyesBiblio/ref/lgs/LGS_ref131_16may22.doc" TargetMode="External"/><Relationship Id="rId947" Type="http://schemas.openxmlformats.org/officeDocument/2006/relationships/hyperlink" Target="https://www.bcn.cl/leychile/navegar?idNorma=1039348" TargetMode="External"/><Relationship Id="rId76" Type="http://schemas.openxmlformats.org/officeDocument/2006/relationships/hyperlink" Target="https://www.un.org/esa/socdev/enable/documents/tccconvs.pdf" TargetMode="External"/><Relationship Id="rId141" Type="http://schemas.openxmlformats.org/officeDocument/2006/relationships/hyperlink" Target="https://www.oas.org/juridico/spanish/tratados/a-65.html" TargetMode="External"/><Relationship Id="rId379" Type="http://schemas.openxmlformats.org/officeDocument/2006/relationships/hyperlink" Target="https://aceproject.org/ero-en/regions/americas/HT/haiti-decreto-electoral-de-2015-espanol" TargetMode="External"/><Relationship Id="rId586" Type="http://schemas.openxmlformats.org/officeDocument/2006/relationships/hyperlink" Target="https://documents-dds-ny.un.org/doc/UNDOC/GEN/G16/263/03/PDF/G1626303.pdf?OpenElement" TargetMode="External"/><Relationship Id="rId793" Type="http://schemas.openxmlformats.org/officeDocument/2006/relationships/hyperlink" Target="http://www.scielo.org.co/scielo.php?script=sci_arttext&amp;pid=S0123-43662023000100015" TargetMode="External"/><Relationship Id="rId807" Type="http://schemas.openxmlformats.org/officeDocument/2006/relationships/hyperlink" Target="https://www2.scjn.gob.mx/ConsultaTematica/PaginasPub/DetallePub.aspx?AsuntoID=273673" TargetMode="External"/><Relationship Id="rId7" Type="http://schemas.openxmlformats.org/officeDocument/2006/relationships/hyperlink" Target="https://www.redalyc.org/journal/1270/127063728009/127063728009.pdf" TargetMode="External"/><Relationship Id="rId239" Type="http://schemas.openxmlformats.org/officeDocument/2006/relationships/hyperlink" Target="https://www.diputados.gob.mx/LeyesBiblio/pdf/LGIPD.pdf" TargetMode="External"/><Relationship Id="rId446" Type="http://schemas.openxmlformats.org/officeDocument/2006/relationships/hyperlink" Target="https://www.bcn.cl/procesoconstituyente/comparadordeconstituciones/constitucion/jam" TargetMode="External"/><Relationship Id="rId653" Type="http://schemas.openxmlformats.org/officeDocument/2006/relationships/hyperlink" Target="https://www.organojudicial.gob.pa/uploads/blogs.dir/3/2019/08/406/ley-53-de-27-de-agosto-de-2015.pdf" TargetMode="External"/><Relationship Id="rId292" Type="http://schemas.openxmlformats.org/officeDocument/2006/relationships/hyperlink" Target="https://siteal.iiep.unesco.org/sites/default/files/sit_accion_files/ni_0003.pdf" TargetMode="External"/><Relationship Id="rId306" Type="http://schemas.openxmlformats.org/officeDocument/2006/relationships/hyperlink" Target="https://www.abntcolecao.com.br/mpf/grid.aspx" TargetMode="External"/><Relationship Id="rId860" Type="http://schemas.openxmlformats.org/officeDocument/2006/relationships/hyperlink" Target="https://documents-dds-ny.un.org/doc/UNDOC/GEN/G14/198/71/PDF/G1419871.pdf?OpenElement" TargetMode="External"/><Relationship Id="rId87" Type="http://schemas.openxmlformats.org/officeDocument/2006/relationships/hyperlink" Target="https://www.oas.org/juridico/spanish/tratados/a-65.html" TargetMode="External"/><Relationship Id="rId513" Type="http://schemas.openxmlformats.org/officeDocument/2006/relationships/hyperlink" Target="https://www.corteidh.or.cr/docs/casos/articulos/seriec_439_esp.pdf" TargetMode="External"/><Relationship Id="rId597" Type="http://schemas.openxmlformats.org/officeDocument/2006/relationships/hyperlink" Target="https://www.ilo.org/dyn/natlex/docs/ELECTRONIC/110880/138067/F-244367874/BBD110880.pdf" TargetMode="External"/><Relationship Id="rId720" Type="http://schemas.openxmlformats.org/officeDocument/2006/relationships/hyperlink" Target="http://www.derechoshumanos.unlp.edu.ar/assets/files/documentos/informe-de-la-relatora-especial-de-las-personas-con-discapacidad-diciembre-2016.pdf" TargetMode="External"/><Relationship Id="rId818" Type="http://schemas.openxmlformats.org/officeDocument/2006/relationships/hyperlink" Target="http://www.oas.org/es/sadye/publicaciones/GUIA_PRACTICA_CEDDIS_ESP.pdf" TargetMode="External"/><Relationship Id="rId152" Type="http://schemas.openxmlformats.org/officeDocument/2006/relationships/hyperlink" Target="https://www.bcn.cl/leychile/navegar?idNorma=1010903&amp;idParte=" TargetMode="External"/><Relationship Id="rId457" Type="http://schemas.openxmlformats.org/officeDocument/2006/relationships/hyperlink" Target="http://www.cne.gob.ve/web/normativa_electoral/ley_organica_procesos_electorales/titulo1.php" TargetMode="External"/><Relationship Id="rId664" Type="http://schemas.openxmlformats.org/officeDocument/2006/relationships/hyperlink" Target="https://laboraperu.blogspot.com/2016/06/resolucion-ministerial-n-127-2016-tr.html" TargetMode="External"/><Relationship Id="rId871" Type="http://schemas.openxmlformats.org/officeDocument/2006/relationships/hyperlink" Target="https://siteal.iiep.unesco.org/sites/default/files/sit_accion_files/ni_0016.pdf" TargetMode="External"/><Relationship Id="rId14" Type="http://schemas.openxmlformats.org/officeDocument/2006/relationships/hyperlink" Target="https://www.un.org/esa/socdev/enable/documents/tccconvs.pdf" TargetMode="External"/><Relationship Id="rId317" Type="http://schemas.openxmlformats.org/officeDocument/2006/relationships/hyperlink" Target="https://www.funcionpublica.gov.co/eva/gestornormativo/norma.php?i=60962#:~:text=Reglamenta%2520la%2520prestaci%25C3%25B3n%2520del%2520Servicio,y%2520econ%25C3%25B3mica%252C%2520cumpliendo%2520con%2520los" TargetMode="External"/><Relationship Id="rId524" Type="http://schemas.openxmlformats.org/officeDocument/2006/relationships/hyperlink" Target="https://www.minsalud.gov.co/Ministerio/Institucional/Procesos%2520y%2520procedimientos/GIPS13.pdf" TargetMode="External"/><Relationship Id="rId731" Type="http://schemas.openxmlformats.org/officeDocument/2006/relationships/hyperlink" Target="http://www.convenciondiscapacidad.es/wp-content/uploads/2019/01/Observaci%25C3%25B3n-1-Art%25C3%25ADculo-12-Capacidad-jur%25C3%25ADdica.pdf" TargetMode="External"/><Relationship Id="rId98" Type="http://schemas.openxmlformats.org/officeDocument/2006/relationships/hyperlink" Target="http://www.corteidh.or.cr/docs/casos/articulos/seriec_439_esp.pdf" TargetMode="External"/><Relationship Id="rId163" Type="http://schemas.openxmlformats.org/officeDocument/2006/relationships/hyperlink" Target="https://www.oas.org/dil/the_constitution_of_barbados.pdf" TargetMode="External"/><Relationship Id="rId370" Type="http://schemas.openxmlformats.org/officeDocument/2006/relationships/hyperlink" Target="https://www.barbadosparliament.com/uploads/bill_resolution/1352205dba1c920585faa9b7da0da8db.pdf" TargetMode="External"/><Relationship Id="rId829" Type="http://schemas.openxmlformats.org/officeDocument/2006/relationships/hyperlink" Target="https://mire.gob.pa/images/ministerios/leyes-decretos/ley42-1999.pdf" TargetMode="External"/><Relationship Id="rId230" Type="http://schemas.openxmlformats.org/officeDocument/2006/relationships/hyperlink" Target="https://www.cultura.gob.cl/guias-lenguaje-inclusivo/." TargetMode="External"/><Relationship Id="rId468" Type="http://schemas.openxmlformats.org/officeDocument/2006/relationships/hyperlink" Target="https://servicios.infoleg.gob.ar/infolegInternet/anexos/150000-154999/151986/norma.htm" TargetMode="External"/><Relationship Id="rId675" Type="http://schemas.openxmlformats.org/officeDocument/2006/relationships/hyperlink" Target="https://www.oas.org/dil/esp/tratados_b-32_convencion_americana_sobre_derechos_humanos.htm" TargetMode="External"/><Relationship Id="rId882" Type="http://schemas.openxmlformats.org/officeDocument/2006/relationships/hyperlink" Target="https://www.acnur.org/fileadmin/Documentos/BDL/2002/1803.pdf" TargetMode="External"/><Relationship Id="rId25" Type="http://schemas.openxmlformats.org/officeDocument/2006/relationships/hyperlink" Target="https://es.scribd.com/document/202011092/Visiones-y-Revisiones-de-La-Discapacidad-Terminado" TargetMode="External"/><Relationship Id="rId328" Type="http://schemas.openxmlformats.org/officeDocument/2006/relationships/hyperlink" Target="https://www.argentina.gob.ar/sites/default/files/ley-de-educ-nac-58ac89392ea4c.pdf;" TargetMode="External"/><Relationship Id="rId535" Type="http://schemas.openxmlformats.org/officeDocument/2006/relationships/hyperlink" Target="https://www.corteidh.or.cr/docs/casos/articulos/seriec_423_esp.pdf" TargetMode="External"/><Relationship Id="rId742" Type="http://schemas.openxmlformats.org/officeDocument/2006/relationships/hyperlink" Target="https://conaipd.gob.sv/wp-content/uploads/2021/01/Ley-Especial-de-Inclusi%25C3%25B3n-de-las-Personas-con-Discapacidad.pdf" TargetMode="External"/><Relationship Id="rId174" Type="http://schemas.openxmlformats.org/officeDocument/2006/relationships/hyperlink" Target="https://www.ilo.org/dyn/natlex/docs/ELECTRONIC/92617/108003/F-1478699047/DOM92617.pdf" TargetMode="External"/><Relationship Id="rId381" Type="http://schemas.openxmlformats.org/officeDocument/2006/relationships/hyperlink" Target="https://www.ilo.org/dyn/natlex/docs/ELECTRONIC/104880/128088/F1421802581/JAM104880.pdf" TargetMode="External"/><Relationship Id="rId602" Type="http://schemas.openxmlformats.org/officeDocument/2006/relationships/hyperlink" Target="https://www.bcn.cl/leychile/navegar?idNorma=1103997" TargetMode="External"/><Relationship Id="rId241" Type="http://schemas.openxmlformats.org/officeDocument/2006/relationships/hyperlink" Target="http://www.scjn.gob.mx/derechos-humanos/sites/default/files/protocolos/archivos/2022-04/Protocolo%2520para%2520Juzgar%2520con%2520Perspectiva%2520de%2520Discapacidad.pdf." TargetMode="External"/><Relationship Id="rId479" Type="http://schemas.openxmlformats.org/officeDocument/2006/relationships/hyperlink" Target="http://normativa.cepb.org.bo/Normas/VerNorma/3949" TargetMode="External"/><Relationship Id="rId686" Type="http://schemas.openxmlformats.org/officeDocument/2006/relationships/hyperlink" Target="https://www.corteidh.or.cr/docs/casos/articulos/seriec_127_esp.pdf" TargetMode="External"/><Relationship Id="rId893" Type="http://schemas.openxmlformats.org/officeDocument/2006/relationships/hyperlink" Target="https://www.hospitalsantotomas.gob.pa/download/transparencia/otros_documentos_y_normas/9.6.0-LEY-68-DERECHOS-PACIENTE.pdf" TargetMode="External"/><Relationship Id="rId907" Type="http://schemas.openxmlformats.org/officeDocument/2006/relationships/hyperlink" Target="https://www.gob.pe/institucion/minsa/informes-publicaciones/279690-plan-nacional-de-fortalecimiento-de-servicios-de-salud-mental-comunitaria-2018-2021-documento-tecnico" TargetMode="External"/><Relationship Id="rId36" Type="http://schemas.openxmlformats.org/officeDocument/2006/relationships/hyperlink" Target="https://www.ohchr.org/Documents/HRBodies/CRPD/Statements/GuaranteeingSexualReproductiveHealth.DOCX" TargetMode="External"/><Relationship Id="rId339" Type="http://schemas.openxmlformats.org/officeDocument/2006/relationships/hyperlink" Target="https://www.argentina.gob.ar/normativa/nacional/decreto-914-1997-45816" TargetMode="External"/><Relationship Id="rId546" Type="http://schemas.openxmlformats.org/officeDocument/2006/relationships/hyperlink" Target="https://www.ohchr.org/es/instruments-mechanisms/instruments/convention-rights-persons-disabilities" TargetMode="External"/><Relationship Id="rId753" Type="http://schemas.openxmlformats.org/officeDocument/2006/relationships/hyperlink" Target="https://siteal.iiep.unesco.org/sites/default/files/sit_accion_files/bo_0268.pdf" TargetMode="External"/><Relationship Id="rId101" Type="http://schemas.openxmlformats.org/officeDocument/2006/relationships/hyperlink" Target="https://www.corteidh.or.cr/docs/casos/articulos/seriec_246_esp.pdf" TargetMode="External"/><Relationship Id="rId185" Type="http://schemas.openxmlformats.org/officeDocument/2006/relationships/hyperlink" Target="https://arpas.org.sv/wp-content/uploads/2020/06/Decreto-n.%25C2%25B0-672-Ley-Especial-de-Inclusio%25CC%2581n.pdf" TargetMode="External"/><Relationship Id="rId406" Type="http://schemas.openxmlformats.org/officeDocument/2006/relationships/hyperlink" Target="https://www.minsalud.gov.co/proteccionsocial/promocion-social/Discapacidad/Paginas/convocatoria-sentencia-t573.aspx" TargetMode="External"/><Relationship Id="rId392" Type="http://schemas.openxmlformats.org/officeDocument/2006/relationships/hyperlink" Target="https://servicios.infoleg.gob.ar/infolegInternet/anexos/20000-24999/23893/texact.htm" TargetMode="External"/><Relationship Id="rId613" Type="http://schemas.openxmlformats.org/officeDocument/2006/relationships/hyperlink" Target="https://www.consejodiscapacidades.gob.ec/wp-content/uploads/downloads/2014/02/ley_organica_discapacidades.pdf" TargetMode="External"/><Relationship Id="rId697" Type="http://schemas.openxmlformats.org/officeDocument/2006/relationships/hyperlink" Target="https://www.corteidh.or.cr/docs/casos/articulos/seriec_423_esp.pdf" TargetMode="External"/><Relationship Id="rId820" Type="http://schemas.openxmlformats.org/officeDocument/2006/relationships/hyperlink" Target="https://www.corteidh.or.cr/docs/casos/articulos/seriec_246_esp.pdf" TargetMode="External"/><Relationship Id="rId918" Type="http://schemas.openxmlformats.org/officeDocument/2006/relationships/hyperlink" Target="http://www.pgrweb.go.cr/scij/Busqueda/Normativa/Normas/nrm_texto_completo.aspx?param1=NRTC&amp;nValor1=1&amp;nValor2=48278&amp;nValor3=51401&amp;strTipM=TC" TargetMode="External"/><Relationship Id="rId252" Type="http://schemas.openxmlformats.org/officeDocument/2006/relationships/hyperlink" Target="https://parlamericas.org/uploads/documents/Intersectionality_es.pdf" TargetMode="External"/><Relationship Id="rId47" Type="http://schemas.openxmlformats.org/officeDocument/2006/relationships/hyperlink" Target="https://www.un.org/esa/socdev/enable/documents/tccconvs.pdf" TargetMode="External"/><Relationship Id="rId112" Type="http://schemas.openxmlformats.org/officeDocument/2006/relationships/hyperlink" Target="https://www.un.org/esa/socdev/enable/documents/tccconvs.pdf" TargetMode="External"/><Relationship Id="rId557" Type="http://schemas.openxmlformats.org/officeDocument/2006/relationships/hyperlink" Target="https://www.dof.gob.mx/nota_detalle.php?codigo=5560457&amp;fecha=15/05/2019&amp;print=true" TargetMode="External"/><Relationship Id="rId764" Type="http://schemas.openxmlformats.org/officeDocument/2006/relationships/hyperlink" Target="https://registro-publico.gob.pa/images/PDF/c_civil_panama.pdf" TargetMode="External"/><Relationship Id="rId196" Type="http://schemas.openxmlformats.org/officeDocument/2006/relationships/hyperlink" Target="https://www.bcn.cl/leychile/navegar?idNorma=1010903&amp;idParte=" TargetMode="External"/><Relationship Id="rId417" Type="http://schemas.openxmlformats.org/officeDocument/2006/relationships/hyperlink" Target="https://www.oas.org/dil/esp/constitucion_de_la_republica_del_salvador_1983.pdf" TargetMode="External"/><Relationship Id="rId624" Type="http://schemas.openxmlformats.org/officeDocument/2006/relationships/hyperlink" Target="https://siteal.iiep.unesco.org/sites/default/files/sit_accion_files/hn_0295.pdf" TargetMode="External"/><Relationship Id="rId831" Type="http://schemas.openxmlformats.org/officeDocument/2006/relationships/hyperlink" Target="https://siteal.iiep.unesco.org/bdnp/904/ley-131462015-establece-ley-brasilena-inclusion-personas-discapacidad-estatuto-persona" TargetMode="External"/><Relationship Id="rId263" Type="http://schemas.openxmlformats.org/officeDocument/2006/relationships/hyperlink" Target="https://oig.cepal.org/sites/default/files/s2200704_es.pdf" TargetMode="External"/><Relationship Id="rId470" Type="http://schemas.openxmlformats.org/officeDocument/2006/relationships/hyperlink" Target="https://laws.bahamas.gov.bs/cms/images/LEGISLATION/SUBORDINATE/2000/2000-0098/2000-0098.pdf" TargetMode="External"/><Relationship Id="rId929" Type="http://schemas.openxmlformats.org/officeDocument/2006/relationships/hyperlink" Target="https://quadernsdepsicologia.cat/article/view/v22-n2-cea-castillo/1521-pdf-es" TargetMode="External"/><Relationship Id="rId58" Type="http://schemas.openxmlformats.org/officeDocument/2006/relationships/hyperlink" Target="http://www.ordenjuridico.gob.mx/TratInt/Derechos%2520Humanos/INST%252006.pdf" TargetMode="External"/><Relationship Id="rId123" Type="http://schemas.openxmlformats.org/officeDocument/2006/relationships/hyperlink" Target="https://www.senadis.gob.cl/pag/693/2004/iii_estudio_nacional_de_la_discapacidad" TargetMode="External"/><Relationship Id="rId330" Type="http://schemas.openxmlformats.org/officeDocument/2006/relationships/hyperlink" Target="https://www.argentina.gob.ar/normativa/nacional/ley-25573-2002-73892." TargetMode="External"/><Relationship Id="rId568" Type="http://schemas.openxmlformats.org/officeDocument/2006/relationships/hyperlink" Target="https://www.suin-juriscol.gov.co/viewDocument.asp?ruta=Decretos/1082854" TargetMode="External"/><Relationship Id="rId775" Type="http://schemas.openxmlformats.org/officeDocument/2006/relationships/hyperlink" Target="http://www.pgrweb.go.cr/scij/Busqueda/Normativa/Normas/nrm_texto_completo.aspx?param1=NRTC&amp;nValor1=1&amp;nValor2=82244&amp;nValor3=105179&amp;strTipM=TC" TargetMode="External"/><Relationship Id="rId428" Type="http://schemas.openxmlformats.org/officeDocument/2006/relationships/hyperlink" Target="https://agla.gov.tt/downloads/laws/2.01.pdf" TargetMode="External"/><Relationship Id="rId635" Type="http://schemas.openxmlformats.org/officeDocument/2006/relationships/hyperlink" Target="https://www.leyes.com.py/buscar/?c=136" TargetMode="External"/><Relationship Id="rId842" Type="http://schemas.openxmlformats.org/officeDocument/2006/relationships/hyperlink" Target="https://www2.scjn.gob.mx/ConsultaTematica/PaginasPub/DetallePub.aspx?AsuntoID=229186" TargetMode="External"/><Relationship Id="rId274" Type="http://schemas.openxmlformats.org/officeDocument/2006/relationships/hyperlink" Target="https://tbinternet.ohchr.org/_layouts/15/treatybodyexternal/Download.aspx?symbolno=CRPD/C/GC/2&amp;Lang=en" TargetMode="External"/><Relationship Id="rId481" Type="http://schemas.openxmlformats.org/officeDocument/2006/relationships/hyperlink" Target="https://portalsinan.saude.gov.br/images/documentos/Legislacoes/Portaria_Consolidacao_6_28_SETEMBRO_2017.pdf" TargetMode="External"/><Relationship Id="rId702" Type="http://schemas.openxmlformats.org/officeDocument/2006/relationships/hyperlink" Target="https://www.corteidh.or.cr/docs/casos/articulos/seriec_70_esp.pdf" TargetMode="External"/><Relationship Id="rId69" Type="http://schemas.openxmlformats.org/officeDocument/2006/relationships/hyperlink" Target="https://www.oas.org/juridico/spanish/tratados/a-61.html" TargetMode="External"/><Relationship Id="rId134" Type="http://schemas.openxmlformats.org/officeDocument/2006/relationships/hyperlink" Target="https://conadi.gob.gt/web/wp-content/uploads/2022/08/REVISTA-CONADI-WEB.pdf" TargetMode="External"/><Relationship Id="rId579" Type="http://schemas.openxmlformats.org/officeDocument/2006/relationships/hyperlink" Target="https://www.bacn.gov.py/leyes-paraguayas/4411/igualdad-de-oportunidades-en-la-formacion-para-el-trabajo-de-las-personas-con-discapacidad" TargetMode="External"/><Relationship Id="rId786" Type="http://schemas.openxmlformats.org/officeDocument/2006/relationships/hyperlink" Target="https://www.funcionpublica.gov.co/eva/gestornormativo/norma.php?i=144938" TargetMode="External"/><Relationship Id="rId341" Type="http://schemas.openxmlformats.org/officeDocument/2006/relationships/hyperlink" Target="https://www.bcn.cl/leychile/navegar?idNorma=1010903&amp;idParte=8869193." TargetMode="External"/><Relationship Id="rId439" Type="http://schemas.openxmlformats.org/officeDocument/2006/relationships/hyperlink" Target="https://pdba.georgetown.edu/Electoral/Belize/belize.html" TargetMode="External"/><Relationship Id="rId646" Type="http://schemas.openxmlformats.org/officeDocument/2006/relationships/hyperlink" Target="https://www.bcn.cl/leychile/navegar?idNorma=1010903&amp;idParte=" TargetMode="External"/><Relationship Id="rId201" Type="http://schemas.openxmlformats.org/officeDocument/2006/relationships/hyperlink" Target="https://www.diputados.gob.mx/LeyesBiblio/pdf/LGIPD.pdf" TargetMode="External"/><Relationship Id="rId285" Type="http://schemas.openxmlformats.org/officeDocument/2006/relationships/hyperlink" Target="https://www.ilo.org/dyn/natlex/docs/ELECTRONIC/99459/118738/F-157637669/GUY99459%25202012.pdf" TargetMode="External"/><Relationship Id="rId506" Type="http://schemas.openxmlformats.org/officeDocument/2006/relationships/hyperlink" Target="https://equalopportunity.gov.tt/downloads/publications/National_Policy_Persons%2520_with_Disabilities.pdf" TargetMode="External"/><Relationship Id="rId853" Type="http://schemas.openxmlformats.org/officeDocument/2006/relationships/hyperlink" Target="https://documents-dds-ny.un.org/doc/UNDOC/GEN/G14/198/71/PDF/G1419871.pdf?OpenElement" TargetMode="External"/><Relationship Id="rId492" Type="http://schemas.openxmlformats.org/officeDocument/2006/relationships/hyperlink" Target="https://medicalcouncil.org.gy/doctors/Medical_Practioners_Act_Ch3202.pdf" TargetMode="External"/><Relationship Id="rId713" Type="http://schemas.openxmlformats.org/officeDocument/2006/relationships/hyperlink" Target="http://www.derechoshumanos.unlp.edu.ar/assets/files/documentos/informe-de-la-relatora-especial-de-las-personas-con-discapacidad-diciembre-2016.pdf" TargetMode="External"/><Relationship Id="rId797" Type="http://schemas.openxmlformats.org/officeDocument/2006/relationships/hyperlink" Target="https://www.congreso.gob.gt/detalle_pdf/iniciativas/963" TargetMode="External"/><Relationship Id="rId920" Type="http://schemas.openxmlformats.org/officeDocument/2006/relationships/hyperlink" Target="https://arpas.org.sv/wp-content/uploads/2020/06/Decreto-n.%25C2%25B0-672-Ley-Especial-de-Inclusio%25CC%2581n.pdf" TargetMode="External"/><Relationship Id="rId145" Type="http://schemas.openxmlformats.org/officeDocument/2006/relationships/hyperlink" Target="http://www.un.org/esa/socdev/enable/documents/tccconvs.pdf" TargetMode="External"/><Relationship Id="rId352" Type="http://schemas.openxmlformats.org/officeDocument/2006/relationships/hyperlink" Target="https://www2.scjn.gob.mx/ConsultaTematica/PaginasPub/DetallePub.aspx?AsuntoID=238991" TargetMode="External"/><Relationship Id="rId212" Type="http://schemas.openxmlformats.org/officeDocument/2006/relationships/hyperlink" Target="https://www.boletinoficial.gob.ar/detalleAviso/primera/285603/20230503" TargetMode="External"/><Relationship Id="rId657" Type="http://schemas.openxmlformats.org/officeDocument/2006/relationships/hyperlink" Target="https://mppp.gob.ve/wp-content/uploads/2023/07/decreto-n0-8938-mediante-el-cual-se-dicta-el-decreto-con-rango-valor-y-fuerza-de-la-ley-organica-del-trabajo-los-trabajadores-y-las-trabajadoras-20211109135532.pdf" TargetMode="External"/><Relationship Id="rId864" Type="http://schemas.openxmlformats.org/officeDocument/2006/relationships/hyperlink" Target="http://laws.bahamas.gov.bs/cms/images/LEGISLATION/PRINCIPAL/1969/1969-0016/MentalHealthAct_1.pdf" TargetMode="External"/><Relationship Id="rId296" Type="http://schemas.openxmlformats.org/officeDocument/2006/relationships/hyperlink" Target="https://www.impo.com.uy/bases/leyes/18651-2010" TargetMode="External"/><Relationship Id="rId517" Type="http://schemas.openxmlformats.org/officeDocument/2006/relationships/hyperlink" Target="https://caricom.org/caricom-special-rapporteur-on-disability-calls-for-special-considerations-for-persons-with-disabilities-during-and-after-covid-pandemic-in-the-caribbean/" TargetMode="External"/><Relationship Id="rId724" Type="http://schemas.openxmlformats.org/officeDocument/2006/relationships/hyperlink" Target="http://www.derechoshumanos.unlp.edu.ar/assets/files/documentos/informe-de-la-relatora-especial-de-las-personas-con-discapacidad-diciembre-2016.pdf" TargetMode="External"/><Relationship Id="rId931" Type="http://schemas.openxmlformats.org/officeDocument/2006/relationships/hyperlink" Target="https://quadernsdepsicologia.cat/article/view/v22-n2-cea-castillo/1521-pdf-es" TargetMode="External"/><Relationship Id="rId60" Type="http://schemas.openxmlformats.org/officeDocument/2006/relationships/hyperlink" Target="https://www.oas.org/dil/esp/Declaracion_AG-26-2856_1971.pdf" TargetMode="External"/><Relationship Id="rId156" Type="http://schemas.openxmlformats.org/officeDocument/2006/relationships/hyperlink" Target="https://siteal.iiep.unesco.org/sites/default/files/sit_accion_files/hn_0295.pdf" TargetMode="External"/><Relationship Id="rId363" Type="http://schemas.openxmlformats.org/officeDocument/2006/relationships/hyperlink" Target="https://documents.un.org/doc/undoc/gen/g18/336/57/pdf/g1833657.pdf?token=oazgRxw0ROnOEoWTAw&amp;fe=true" TargetMode="External"/><Relationship Id="rId570" Type="http://schemas.openxmlformats.org/officeDocument/2006/relationships/hyperlink" Target="https://www.minsalud.gov.co/sites/rid/Lists/BibliotecaDigital/RIDE/DE/PS/documento-balance-1618-2013-240517.pdf" TargetMode="External"/><Relationship Id="rId223" Type="http://schemas.openxmlformats.org/officeDocument/2006/relationships/hyperlink" Target="https://www.senadis.gob.cl/pag/696/1756/fondo_nacional_de_proyectos_inclusivos_fonapi_2023" TargetMode="External"/><Relationship Id="rId430" Type="http://schemas.openxmlformats.org/officeDocument/2006/relationships/hyperlink" Target="https://www.oas.org/dil/esp/constitucion_venezuela.pdf" TargetMode="External"/><Relationship Id="rId668" Type="http://schemas.openxmlformats.org/officeDocument/2006/relationships/hyperlink" Target="https://www.un.org/esa/socdev/enable/documents/tccconvs.pdf" TargetMode="External"/><Relationship Id="rId875" Type="http://schemas.openxmlformats.org/officeDocument/2006/relationships/hyperlink" Target="https://agla.gov.tt/downloads/laws/28.02.pdf" TargetMode="External"/><Relationship Id="rId18" Type="http://schemas.openxmlformats.org/officeDocument/2006/relationships/hyperlink" Target="https://www.uv.mx/cendhiu/files/2021/11/Elmodelosocialdediscapacidad.pdf" TargetMode="External"/><Relationship Id="rId528" Type="http://schemas.openxmlformats.org/officeDocument/2006/relationships/hyperlink" Target="https://www.oas.org/es/cidh/decisiones/pdf/resolucion-4-20-es.pdf" TargetMode="External"/><Relationship Id="rId735" Type="http://schemas.openxmlformats.org/officeDocument/2006/relationships/hyperlink" Target="https://www.oas.org/es/sadye/publicaciones/GUIA_PRACTICA_CEDDIS_ESP.pdf" TargetMode="External"/><Relationship Id="rId942" Type="http://schemas.openxmlformats.org/officeDocument/2006/relationships/hyperlink" Target="https://www.minsalud.gov.co/sites/rid/Lists/BibliotecaDigital/RIDE/DE/PS/documento-lectura-facil-resolucion-1904.pdf" TargetMode="External"/><Relationship Id="rId167" Type="http://schemas.openxmlformats.org/officeDocument/2006/relationships/hyperlink" Target="https://www.consejodiscapacidades.gob.ec/wp-content/uploads/downloads/2014/02/ley_organica_discapacidades.pdf" TargetMode="External"/><Relationship Id="rId374" Type="http://schemas.openxmlformats.org/officeDocument/2006/relationships/hyperlink" Target="https://arpas.org.sv/wp-content/uploads/2020/06/Decreto-n.%25C2%25B0-672-Ley-Especial-de-Inclusio%25CC%2581n.pdf" TargetMode="External"/><Relationship Id="rId581" Type="http://schemas.openxmlformats.org/officeDocument/2006/relationships/hyperlink" Target="https://tbinternet.ohchr.org/_layouts/15/treatybodyexternal/Download.aspx?symbolno=CRPD/C/GC/4&amp;Lang=en" TargetMode="External"/><Relationship Id="rId71" Type="http://schemas.openxmlformats.org/officeDocument/2006/relationships/hyperlink" Target="https://www.oas.org/juridico/spanish/tratados/a-65.html" TargetMode="External"/><Relationship Id="rId234" Type="http://schemas.openxmlformats.org/officeDocument/2006/relationships/hyperlink" Target="https://www.suin-juriscol.gov.co/index.html" TargetMode="External"/><Relationship Id="rId679" Type="http://schemas.openxmlformats.org/officeDocument/2006/relationships/hyperlink" Target="http://www.oas.org/juridico/spanish/tratados/a-65.html" TargetMode="External"/><Relationship Id="rId802" Type="http://schemas.openxmlformats.org/officeDocument/2006/relationships/hyperlink" Target="http://sil.gobernacion.gob.mx/Archivos/Documentos/2020/09/asun_4071872_20200915_1600189878.pdf" TargetMode="External"/><Relationship Id="rId886" Type="http://schemas.openxmlformats.org/officeDocument/2006/relationships/hyperlink" Target="https://www.acnur.org/fileadmin/Documentos/BDL/2016/10268.pdf" TargetMode="External"/><Relationship Id="rId2" Type="http://schemas.openxmlformats.org/officeDocument/2006/relationships/hyperlink" Target="https://www.oas.org/es/sedi/ddse/paginas/documentos/discapacidad/DESTACADOS/ResumenInformeMundial.pdf" TargetMode="External"/><Relationship Id="rId29" Type="http://schemas.openxmlformats.org/officeDocument/2006/relationships/hyperlink" Target="https://www.corteidh.or.cr/tablas/r24905.pdf" TargetMode="External"/><Relationship Id="rId441" Type="http://schemas.openxmlformats.org/officeDocument/2006/relationships/hyperlink" Target="https://www.tse.org.gt/images/LEPP.pdf" TargetMode="External"/><Relationship Id="rId539" Type="http://schemas.openxmlformats.org/officeDocument/2006/relationships/hyperlink" Target="https://www.corteidh.or.cr/docs/casos/articulos/Seriec_149_esp.pdf" TargetMode="External"/><Relationship Id="rId746" Type="http://schemas.openxmlformats.org/officeDocument/2006/relationships/hyperlink" Target="https://www.oas.org/dil/esp/codigo_civil_el_salvador.pdf" TargetMode="External"/><Relationship Id="rId178" Type="http://schemas.openxmlformats.org/officeDocument/2006/relationships/hyperlink" Target="https://pdba.georgetown.edu/Constitutions/Guyana/guyana70.html" TargetMode="External"/><Relationship Id="rId301" Type="http://schemas.openxmlformats.org/officeDocument/2006/relationships/hyperlink" Target="https://www.oopp.gob.bo/wp-content/uploads/2020/antiguos/Guia_Nacional_17_Normas_Bolivianas.pdf" TargetMode="External"/><Relationship Id="rId953" Type="http://schemas.openxmlformats.org/officeDocument/2006/relationships/hyperlink" Target="https://www.oas.org/es/cidh/jsForm/?File=/es/CIDH/r/DPD/Default.asp" TargetMode="External"/><Relationship Id="rId82" Type="http://schemas.openxmlformats.org/officeDocument/2006/relationships/hyperlink" Target="https://social.desa.un.org/issues/disability/resources/handbook-for-parliamentarians/convention-on-the-rights-of-persons-with" TargetMode="External"/><Relationship Id="rId385" Type="http://schemas.openxmlformats.org/officeDocument/2006/relationships/hyperlink" Target="https://reformaspoliticas.org/wp-content/uploads/2015/03/republica-dominicana-leydecuotas-1997-ley275.pdf" TargetMode="External"/><Relationship Id="rId592" Type="http://schemas.openxmlformats.org/officeDocument/2006/relationships/hyperlink" Target="https://www.un.org/esa/socdev/enable/documents/tccconvs.pdf" TargetMode="External"/><Relationship Id="rId606" Type="http://schemas.openxmlformats.org/officeDocument/2006/relationships/hyperlink" Target="https://www.bcn.cl/leychile/navegar?idNorma=1042092&amp;idVersion=Diferido" TargetMode="External"/><Relationship Id="rId813" Type="http://schemas.openxmlformats.org/officeDocument/2006/relationships/hyperlink" Target="https://www2.scjn.gob.mx/ConsultaTematica/PaginasPub/DetallePub.aspx?AsuntoID=229186" TargetMode="External"/><Relationship Id="rId245" Type="http://schemas.openxmlformats.org/officeDocument/2006/relationships/hyperlink" Target="https://senadis.gov.py/application/files/2216/0682/4842/AT_Sistematizacion_PANDPCD_VF.pdf" TargetMode="External"/><Relationship Id="rId452" Type="http://schemas.openxmlformats.org/officeDocument/2006/relationships/hyperlink" Target="https://www.bcn.cl/procesoconstituyente/comparadordeconstituciones/constitucion/tto" TargetMode="External"/><Relationship Id="rId897" Type="http://schemas.openxmlformats.org/officeDocument/2006/relationships/hyperlink" Target="https://laws.moj.gov.jm/legislation/statutes/M/Mental%2520Health%2520Act_1.pdf" TargetMode="External"/><Relationship Id="rId105" Type="http://schemas.openxmlformats.org/officeDocument/2006/relationships/hyperlink" Target="https://www.corteidh.or.cr/docs/casos/guachala_chimbo_ec/alefcom.pdf" TargetMode="External"/><Relationship Id="rId312" Type="http://schemas.openxmlformats.org/officeDocument/2006/relationships/hyperlink" Target="https://www.funcionpublica.gov.co/eva/gestornormativo/norma.php?i=77889" TargetMode="External"/><Relationship Id="rId757" Type="http://schemas.openxmlformats.org/officeDocument/2006/relationships/hyperlink" Target="https://www.registrocivil.gob.ec/wp-content/uploads/downloads/2017/05/Codificacion_del_Codigo_Civil.pdf" TargetMode="External"/><Relationship Id="rId93" Type="http://schemas.openxmlformats.org/officeDocument/2006/relationships/hyperlink" Target="https://www.corteidh.or.cr/docs/casos/articulos/seriec_246_esp.pdf" TargetMode="External"/><Relationship Id="rId189" Type="http://schemas.openxmlformats.org/officeDocument/2006/relationships/hyperlink" Target="https://leyes.congreso.gob.pe/Documentos/Leyes/29973.pdf" TargetMode="External"/><Relationship Id="rId396" Type="http://schemas.openxmlformats.org/officeDocument/2006/relationships/hyperlink" Target="https://www.argentina.gob.ar/andis/accion-nacional-por-el-voto-accesible/campana-por-el-derecho-al-voto-de-las-personas-que-se" TargetMode="External"/><Relationship Id="rId617" Type="http://schemas.openxmlformats.org/officeDocument/2006/relationships/hyperlink" Target="https://www.ilo.org/dyn/natlex/docs/ELECTRONIC/86697/98271/F1787421735/GTM86697.pdf" TargetMode="External"/><Relationship Id="rId824" Type="http://schemas.openxmlformats.org/officeDocument/2006/relationships/hyperlink" Target="https://www.bcn.cl/leychile/navegar?idNorma=1010903" TargetMode="External"/><Relationship Id="rId256" Type="http://schemas.openxmlformats.org/officeDocument/2006/relationships/hyperlink" Target="https://docstore.ohchr.org/SelfServices/FilesHandler.ashx?enc=6QkG1d/PPRiCAqhKb7yhsnbHatvuFkZ+t93Y3D+aa2oLCHc5Ye5y0yX37Gpo/kmBZl1QeKTg7cNEuS/zKc3xGM7PD4P8YrjsNLHbSyyH3+pDNGpobvX+6Zw74L1Z2GWT" TargetMode="External"/><Relationship Id="rId463" Type="http://schemas.openxmlformats.org/officeDocument/2006/relationships/hyperlink" Target="https://www.un.org/esa/socdev/enable/documents/tccconvs.pdf" TargetMode="External"/><Relationship Id="rId670" Type="http://schemas.openxmlformats.org/officeDocument/2006/relationships/hyperlink" Target="http://www.corteidh.or.cr/docs/casos/articulos/seriec_375_esp.pdf" TargetMode="External"/><Relationship Id="rId116" Type="http://schemas.openxmlformats.org/officeDocument/2006/relationships/hyperlink" Target="https://iris.who.int/bitstream/handle/10665/43360/9241545445_spa.pdf" TargetMode="External"/><Relationship Id="rId323" Type="http://schemas.openxmlformats.org/officeDocument/2006/relationships/hyperlink" Target="https://centroderelevo.gov.co/" TargetMode="External"/><Relationship Id="rId530" Type="http://schemas.openxmlformats.org/officeDocument/2006/relationships/hyperlink" Target="https://www.oas.org/dil/esp/1969_Convenci%25C3%25B3n_Americana_sobre_Derechos_Humanos.pdf" TargetMode="External"/><Relationship Id="rId768" Type="http://schemas.openxmlformats.org/officeDocument/2006/relationships/hyperlink" Target="https://www.impo.com.uy/bases/codigo-civil/16603-1994" TargetMode="External"/><Relationship Id="rId20" Type="http://schemas.openxmlformats.org/officeDocument/2006/relationships/hyperlink" Target="https://es.scribd.com/document/202011092/Visiones-y-Revisiones-de-La-Discapacidad-Terminado" TargetMode="External"/><Relationship Id="rId628" Type="http://schemas.openxmlformats.org/officeDocument/2006/relationships/hyperlink" Target="https://www.gob.mx/capacidadesyempleo/documentos/norma-oficial-mexicana-nom-034-stps-2016-condiciones-de-seguridad-para-el-acceso-y-desarrollo-de-actividades-de-trabajadores-con-discapacidad-en-los-centros-de-trabajo-169519" TargetMode="External"/><Relationship Id="rId835" Type="http://schemas.openxmlformats.org/officeDocument/2006/relationships/hyperlink" Target="https://arpas.org.sv/wp-content/uploads/2020/06/Decreto-n.%25C2%25B0-672-Ley-Especial-de-Inclusio%25CC%2581n.pdf" TargetMode="External"/><Relationship Id="rId267" Type="http://schemas.openxmlformats.org/officeDocument/2006/relationships/hyperlink" Target="https://tbinternet.ohchr.org/_layouts/15/treatybodyexternal/Download.aspx?symbolno=CRPD/C/GC/2&amp;Lang=en" TargetMode="External"/><Relationship Id="rId474" Type="http://schemas.openxmlformats.org/officeDocument/2006/relationships/hyperlink" Target="https://www.barbadoslawcourts.gov.bb/assets/content/pdfs/statutes/MedicalTerminationofPregnancyCAP044A.pdf" TargetMode="External"/><Relationship Id="rId127" Type="http://schemas.openxmlformats.org/officeDocument/2006/relationships/hyperlink" Target="https://dane.maps.arcgis.com/apps/MapJournal/index.html?appid=89c0c288cb2845c6ac87d9cf07508f0e" TargetMode="External"/><Relationship Id="rId681" Type="http://schemas.openxmlformats.org/officeDocument/2006/relationships/hyperlink" Target="https://www.oas.org/es/cidh/decisiones/corte/12.576fondoesp.pdf" TargetMode="External"/><Relationship Id="rId779" Type="http://schemas.openxmlformats.org/officeDocument/2006/relationships/hyperlink" Target="https://www.parlamentocubano.gob.cu/sites/default/files/documento/2022-09/goc-2022-o99.pdf" TargetMode="External"/><Relationship Id="rId902" Type="http://schemas.openxmlformats.org/officeDocument/2006/relationships/hyperlink" Target="https://www.funcionpublica.gov.co/eva/gestornormativo/norma.php?i=52081" TargetMode="External"/><Relationship Id="rId31" Type="http://schemas.openxmlformats.org/officeDocument/2006/relationships/hyperlink" Target="https://www.goodreads.com/book/show/2169901.The_Disability_Business" TargetMode="External"/><Relationship Id="rId334" Type="http://schemas.openxmlformats.org/officeDocument/2006/relationships/hyperlink" Target="https://www.argentina.gob.ar/normativa/nacional/ley-24204-601" TargetMode="External"/><Relationship Id="rId541" Type="http://schemas.openxmlformats.org/officeDocument/2006/relationships/hyperlink" Target="https://docplayer.es/155912520-A-hrc-37-56-asamblea-general-naciones-unidas-informe-de-la-relatora-especial-sobre-los-derechos-de-las-personas-con-discapacidad.html" TargetMode="External"/><Relationship Id="rId639" Type="http://schemas.openxmlformats.org/officeDocument/2006/relationships/hyperlink" Target="https://siteal.iiep.unesco.org/sites/default/files/sit_accion_files/ve_0449.pdf" TargetMode="External"/><Relationship Id="rId180" Type="http://schemas.openxmlformats.org/officeDocument/2006/relationships/hyperlink" Target="https://siteal.iiep.unesco.org/sites/default/files/sit_accion_files/br_3015.pdf" TargetMode="External"/><Relationship Id="rId278" Type="http://schemas.openxmlformats.org/officeDocument/2006/relationships/hyperlink" Target="https://www.ilo.org/dyn/natlex/docs/ELECTRONIC/100279/120260/F-1594449767/LEY%252013146%2520BRASIL.pdf" TargetMode="External"/><Relationship Id="rId401" Type="http://schemas.openxmlformats.org/officeDocument/2006/relationships/hyperlink" Target="https://www.funcionpublica.gov.co/eva/gestornormativo/norma.php?i=65335" TargetMode="External"/><Relationship Id="rId846" Type="http://schemas.openxmlformats.org/officeDocument/2006/relationships/hyperlink" Target="https://www2.scjn.gob.mx/ConsultaTematica/PaginasPub/DetallePub.aspx?AsuntoID=186707" TargetMode="External"/><Relationship Id="rId485" Type="http://schemas.openxmlformats.org/officeDocument/2006/relationships/hyperlink" Target="http://www.minsalud.gov.co/sites/rid/Lists/BibliotecaDigital/RIDE/DE/PS/documento-balance-1618-2013-240517.pdf" TargetMode="External"/><Relationship Id="rId692" Type="http://schemas.openxmlformats.org/officeDocument/2006/relationships/hyperlink" Target="https://www.mpba.gov.ar/files/documents/Comite-_CEDDIS-_1er_reunion_extraord_-_Mayo_2011.pdf" TargetMode="External"/><Relationship Id="rId706" Type="http://schemas.openxmlformats.org/officeDocument/2006/relationships/hyperlink" Target="https://documents-dds-ny.un.org/doc/UNDOC/GEN/G17/360/35/PDF/G1736035.pdf?OpenElement" TargetMode="External"/><Relationship Id="rId913" Type="http://schemas.openxmlformats.org/officeDocument/2006/relationships/hyperlink" Target="http://www.convenciondiscapacidad.es/wp-content/uploads/2019/01/Observaci%25C3%25B3n-1-Art%25C3%25ADculo-12-Capacidad-jur%25C3%25ADdica.pdf" TargetMode="External"/><Relationship Id="rId42" Type="http://schemas.openxmlformats.org/officeDocument/2006/relationships/hyperlink" Target="https://disability-studies.leeds.ac.uk/wp-content/uploads/sites/40/library/UPIAS-fundamental-principles.pdf" TargetMode="External"/><Relationship Id="rId138" Type="http://schemas.openxmlformats.org/officeDocument/2006/relationships/hyperlink" Target="https://www.coneval.org.mx/Medicion/MP/Documents/MMP_2018_2020/Notas_pobreza_2020/Nota_tecnica_identificacion_de_personas_con_discapacidad_2020.pdf" TargetMode="External"/><Relationship Id="rId345" Type="http://schemas.openxmlformats.org/officeDocument/2006/relationships/hyperlink" Target="https://www.bcn.cl/leychile/navegar?idNorma=8201&amp;idVersion=2022-02-28&amp;idParte=." TargetMode="External"/><Relationship Id="rId552" Type="http://schemas.openxmlformats.org/officeDocument/2006/relationships/hyperlink" Target="http://laws.bahamas.gov.bs/cms/images/LEGISLATION/PRINCIPAL/1962/1962-0015/EducationAct_1.pdf" TargetMode="External"/><Relationship Id="rId191" Type="http://schemas.openxmlformats.org/officeDocument/2006/relationships/hyperlink" Target="https://www.ilo.org/dyn/natlex/docs/ELECTRONIC/99560/118895/F1050124846/HTI-99560.pdf" TargetMode="External"/><Relationship Id="rId205" Type="http://schemas.openxmlformats.org/officeDocument/2006/relationships/hyperlink" Target="https://www.un.org/esa/socdev/enable/documents/tccconvs.pdf" TargetMode="External"/><Relationship Id="rId412" Type="http://schemas.openxmlformats.org/officeDocument/2006/relationships/hyperlink" Target="https://servicios.infoleg.gob.ar/infolegInternet/anexos/15000-19999/19442/texact.htm" TargetMode="External"/><Relationship Id="rId857" Type="http://schemas.openxmlformats.org/officeDocument/2006/relationships/hyperlink" Target="https://www.corteidh.or.cr/docs/casos/articulos/seriec_423_esp.pdf" TargetMode="External"/><Relationship Id="rId289" Type="http://schemas.openxmlformats.org/officeDocument/2006/relationships/hyperlink" Target="https://siteal.iiep.unesco.org/sites/default/files/sit_accion_files/hn_0295.pdf" TargetMode="External"/><Relationship Id="rId496" Type="http://schemas.openxmlformats.org/officeDocument/2006/relationships/hyperlink" Target="https://publications.iadb.org/es/marco-legal-de-los-derechos-de-las-personas-con-discapacidad-america-latina-y-el-caribe" TargetMode="External"/><Relationship Id="rId717" Type="http://schemas.openxmlformats.org/officeDocument/2006/relationships/hyperlink" Target="http://www.convenciondiscapacidad.es/wp-content/uploads/2019/01/Observaci%25C3%25B3n-1-Art%25C3%25ADculo-12-Capacidad-jur%25C3%25ADdica.pdf" TargetMode="External"/><Relationship Id="rId924" Type="http://schemas.openxmlformats.org/officeDocument/2006/relationships/hyperlink" Target="https://www.ilo.org/dyn/natlex/docs/ELECTRONIC/100279/120260/F-1594449767/LEY%252013146%2520BRASIL.pdf" TargetMode="External"/><Relationship Id="rId53" Type="http://schemas.openxmlformats.org/officeDocument/2006/relationships/hyperlink" Target="https://www.oas.org/juridico/spanish/tratados/a-65.html" TargetMode="External"/><Relationship Id="rId149" Type="http://schemas.openxmlformats.org/officeDocument/2006/relationships/hyperlink" Target="https://www.bahamas.gov.bs/wps/wcm/connect/678cadc1-08d9-43d3-bc55-d10c99f9064c/Final+Clean+1+July+2014+Persons+With+Disabilities+(Equal+Opportunities)+Bill.pdf?MOD=AJPERES" TargetMode="External"/><Relationship Id="rId356" Type="http://schemas.openxmlformats.org/officeDocument/2006/relationships/hyperlink" Target="http://www.asamblea.gob.pa/APPS/LEGISPAN/PDF_NORMAS/2010/2016/2016_625_0251.pdf" TargetMode="External"/><Relationship Id="rId563" Type="http://schemas.openxmlformats.org/officeDocument/2006/relationships/hyperlink" Target="https://www.minedu.gob.bo/index.php?option=com_content&amp;view=article&amp;id=1525:constitucion-politica-del-estado&amp;catid=233&amp;Itemid=933#:~:text=ESTADO%2520PLURINACIONAL%2520DE%2520BOLIVIA,intercultural%252C%2520descentralizado%2520y%2520con%2520autonom%25C3%25ADas." TargetMode="External"/><Relationship Id="rId770" Type="http://schemas.openxmlformats.org/officeDocument/2006/relationships/hyperlink" Target="https://publications.iadb.org/es/marco-legal-de-los-derechos-de-las-personas-con-discapacidad-america-latina-y-el-caribe" TargetMode="External"/><Relationship Id="rId216" Type="http://schemas.openxmlformats.org/officeDocument/2006/relationships/hyperlink" Target="https://www.bcb.gob.bo/webdocs/normativa/2011%2520-%2520DS%25200762%2520-%2520Reglamento%2520Ley%2520contra%2520Racismo.pdf" TargetMode="External"/><Relationship Id="rId423" Type="http://schemas.openxmlformats.org/officeDocument/2006/relationships/hyperlink" Target="https://www.bacn.gov.py/leyes-paraguayas/9580/constitucion-nacional-" TargetMode="External"/><Relationship Id="rId868" Type="http://schemas.openxmlformats.org/officeDocument/2006/relationships/hyperlink" Target="http://www.pgrweb.go.cr/scij/Busqueda/Normativa/Normas/nrm_texto_completo.aspx?param1=NRTC&amp;nValor1=1&amp;nValor2=76956&amp;nValor3=96255&amp;strTipM=TC" TargetMode="External"/><Relationship Id="rId630" Type="http://schemas.openxmlformats.org/officeDocument/2006/relationships/hyperlink" Target="https://mire.gob.pa/images/ministerios/leyes-decretos/ley42-1999.pdf" TargetMode="External"/><Relationship Id="rId728" Type="http://schemas.openxmlformats.org/officeDocument/2006/relationships/hyperlink" Target="http://www.oas.org/es/sadye/publicaciones/GUIA_PRACTICA_CEDDIS_ESP.pdf" TargetMode="External"/><Relationship Id="rId935" Type="http://schemas.openxmlformats.org/officeDocument/2006/relationships/hyperlink" Target="https://documents-dds-ny.un.org/doc/UNDOC/GEN/N17/214/66/PDF/N1721466.pdf?OpenElement" TargetMode="External"/><Relationship Id="rId64" Type="http://schemas.openxmlformats.org/officeDocument/2006/relationships/hyperlink" Target="https://www.oas.org/dil/esp/tratados_b-32_convencion_americana_sobre_derechos_humanos.htm" TargetMode="External"/><Relationship Id="rId367" Type="http://schemas.openxmlformats.org/officeDocument/2006/relationships/hyperlink" Target="https://www.bahamas.gov.bs/wps/wcm/connect/678cadc1-08d9-43d3-bc55-d10c99f9064c/Final+Clean+1+July+2014+Persons+With+Disabilities+(Equal+Opportunities)+Bill.pdf?MOD=AJPERES" TargetMode="External"/><Relationship Id="rId574" Type="http://schemas.openxmlformats.org/officeDocument/2006/relationships/hyperlink" Target="https://colombiaaprende.edu.co/sites/default/files/files_public/2020-12/Documento%2520Educacio%25CC%2581n%2520Media%2520accesible.pdf" TargetMode="External"/><Relationship Id="rId227" Type="http://schemas.openxmlformats.org/officeDocument/2006/relationships/hyperlink" Target="https://www.bcn.cl/leychile/navegar?idNorma=1010903&amp;idParte=" TargetMode="External"/><Relationship Id="rId781" Type="http://schemas.openxmlformats.org/officeDocument/2006/relationships/hyperlink" Target="https://www.parlamentocubano.gob.cu/sites/default/files/documento/2022-09/goc-2022-o99.pdf" TargetMode="External"/><Relationship Id="rId879" Type="http://schemas.openxmlformats.org/officeDocument/2006/relationships/hyperlink" Target="https://siteal.iiep.unesco.org/sites/default/files/sit_accion_files/bo_0268.pdf" TargetMode="External"/><Relationship Id="rId434" Type="http://schemas.openxmlformats.org/officeDocument/2006/relationships/hyperlink" Target="https://www.oas.org/dil/the_constitution_of_barbados.pdf" TargetMode="External"/><Relationship Id="rId641" Type="http://schemas.openxmlformats.org/officeDocument/2006/relationships/hyperlink" Target="https://www.bahamas.gov.bs/wps/wcm/connect/678cadc1-08d9-43d3-bc55-d10c99f9064c/Final+Clean+1+July+2014+Persons+With+Disabilities+(Equal+Opportunities)+Bill.pdf?MOD=AJPERES" TargetMode="External"/><Relationship Id="rId739" Type="http://schemas.openxmlformats.org/officeDocument/2006/relationships/hyperlink" Target="http://www.pgrweb.go.cr/scij/Busqueda/Normativa/Normas/nrm_texto_completo.aspx?param1=NRTC&amp;nValor1=1&amp;nValor2=82244&amp;nValor3=105179&amp;strTipM=TC" TargetMode="External"/><Relationship Id="rId280" Type="http://schemas.openxmlformats.org/officeDocument/2006/relationships/hyperlink" Target="https://www.minsalud.gov.co/sites/rid/Lists/BibliotecaDigital/RIDE/DE/PS/documento-balance-1618-2013-240517.pdf" TargetMode="External"/><Relationship Id="rId501" Type="http://schemas.openxmlformats.org/officeDocument/2006/relationships/hyperlink" Target="https://www.gob.mx/inmujeres/acciones-y-programas/cartilla-de-derechos-sexuales-y-derechos-reproductivos-de-las-personas-con-discapacidad-180927" TargetMode="External"/><Relationship Id="rId946" Type="http://schemas.openxmlformats.org/officeDocument/2006/relationships/hyperlink" Target="https://www.planalto.gov.br/ccivil_03/leis/l9263.htm" TargetMode="External"/><Relationship Id="rId75" Type="http://schemas.openxmlformats.org/officeDocument/2006/relationships/hyperlink" Target="https://www.un.org/esa/socdev/enable/documents/tccconvs.pdf" TargetMode="External"/><Relationship Id="rId140" Type="http://schemas.openxmlformats.org/officeDocument/2006/relationships/hyperlink" Target="http://www.inei.gob.pe/media/MenuRecursivo/publicaciones_digitales/Est/Lib1675/libro.pdf." TargetMode="External"/><Relationship Id="rId378" Type="http://schemas.openxmlformats.org/officeDocument/2006/relationships/hyperlink" Target="https://www.ilo.org/dyn/natlex/docs/ELECTRONIC/99560/118895/F1050124846/HTI-99560.pdf" TargetMode="External"/><Relationship Id="rId585" Type="http://schemas.openxmlformats.org/officeDocument/2006/relationships/hyperlink" Target="https://documents-dds-ny.un.org/doc/UNDOC/GEN/G16/263/03/PDF/G1626303.pdf?OpenElement" TargetMode="External"/><Relationship Id="rId792" Type="http://schemas.openxmlformats.org/officeDocument/2006/relationships/hyperlink" Target="http://www.scielo.org.co/scielo.php?script=sci_arttext&amp;pid=S0123-43662023000100015" TargetMode="External"/><Relationship Id="rId806" Type="http://schemas.openxmlformats.org/officeDocument/2006/relationships/hyperlink" Target="https://www2.scjn.gob.mx/ConsultaTematica/PaginasPub/DetallePub.aspx?AsuntoID=281413" TargetMode="External"/><Relationship Id="rId6" Type="http://schemas.openxmlformats.org/officeDocument/2006/relationships/hyperlink" Target="https://www.uv.mx/cendhiu/files/2021/11/Elmodelosocialdediscapacidad.pdf" TargetMode="External"/><Relationship Id="rId238" Type="http://schemas.openxmlformats.org/officeDocument/2006/relationships/hyperlink" Target="https://escuelajudicial.cjf.gob.mx/" TargetMode="External"/><Relationship Id="rId445" Type="http://schemas.openxmlformats.org/officeDocument/2006/relationships/hyperlink" Target="https://www.oas.org/dil/esp/constitucion_de_honduras.pdf" TargetMode="External"/><Relationship Id="rId652" Type="http://schemas.openxmlformats.org/officeDocument/2006/relationships/hyperlink" Target="https://leyes.congreso.gob.pe/Documentos/Leyes/29973.pdf" TargetMode="External"/><Relationship Id="rId291" Type="http://schemas.openxmlformats.org/officeDocument/2006/relationships/hyperlink" Target="http://www.diputados.gob.mx/LeyesBiblio/pdf/LGIPD.pdf" TargetMode="External"/><Relationship Id="rId305" Type="http://schemas.openxmlformats.org/officeDocument/2006/relationships/hyperlink" Target="https://www.legisweb.com.br/legislacao/?id=324262" TargetMode="External"/><Relationship Id="rId512" Type="http://schemas.openxmlformats.org/officeDocument/2006/relationships/hyperlink" Target="http://www.corteidh.or.cr/docs/casos/articulos/resumen_329_esp.pdf" TargetMode="External"/><Relationship Id="rId86" Type="http://schemas.openxmlformats.org/officeDocument/2006/relationships/hyperlink" Target="https://www.oas.org/juridico/spanish/firmas/a-65.html" TargetMode="External"/><Relationship Id="rId151" Type="http://schemas.openxmlformats.org/officeDocument/2006/relationships/hyperlink" Target="https://www.ilo.org/dyn/natlex/docs/ELECTRONIC/100279/120260/F-1594449767/LEY%252013146%2520BRASIL.pdf" TargetMode="External"/><Relationship Id="rId389" Type="http://schemas.openxmlformats.org/officeDocument/2006/relationships/hyperlink" Target="http://www.cne.gob.ve/web/normativa_electoral/ley_organica_procesos_electorales/titulo1.php" TargetMode="External"/><Relationship Id="rId596" Type="http://schemas.openxmlformats.org/officeDocument/2006/relationships/hyperlink" Target="http://laws.bahamas.gov.bs/cms/images/LEGISLATION/PRINCIPAL/2001/2001-0027/EmploymentAct_1.pdf" TargetMode="External"/><Relationship Id="rId817" Type="http://schemas.openxmlformats.org/officeDocument/2006/relationships/hyperlink" Target="http://www.oas.org/es/sadye/publicaciones/GUIA_PRACTICA_CEDDIS_ESP.pdf" TargetMode="External"/><Relationship Id="rId249" Type="http://schemas.openxmlformats.org/officeDocument/2006/relationships/hyperlink" Target="https://www.gob.pe/institucion/minjus/normas-legales/190877-1384" TargetMode="External"/><Relationship Id="rId456" Type="http://schemas.openxmlformats.org/officeDocument/2006/relationships/hyperlink" Target="https://www.oas.org/dil/esp/constitucion_venezuela.pdf" TargetMode="External"/><Relationship Id="rId663" Type="http://schemas.openxmlformats.org/officeDocument/2006/relationships/hyperlink" Target="https://img.lpderecho.pe/wp-content/uploads/2016/07/Descarga-en-PDF-la-norma-t%25C3%25A9cnica-para-el-dise%25C3%25B1o-implementaci%25C3%25B3n-y-ejecuci%25C3%25B3n-de-los-ajustes-razonables-para-el-empleo-con-discapacidad-en-el-sector-privado.pdf" TargetMode="External"/><Relationship Id="rId870" Type="http://schemas.openxmlformats.org/officeDocument/2006/relationships/hyperlink" Target="https://laws.moj.gov.jm/legislation/statutes/M/Mental%2520Health%2520Act_1.pdf" TargetMode="External"/><Relationship Id="rId13" Type="http://schemas.openxmlformats.org/officeDocument/2006/relationships/hyperlink" Target="https://www.un.org/esa/socdev/enable/documents/tccconvs.pdf" TargetMode="External"/><Relationship Id="rId109" Type="http://schemas.openxmlformats.org/officeDocument/2006/relationships/hyperlink" Target="https://www.researchgate.net/publication/228698804_Ain't_IA_Woman_Revisiting_Intersectionality" TargetMode="External"/><Relationship Id="rId316" Type="http://schemas.openxmlformats.org/officeDocument/2006/relationships/hyperlink" Target="https://www.funcionpublica.gov.co/eva/gestornormativo/norma.php?i=60556" TargetMode="External"/><Relationship Id="rId523" Type="http://schemas.openxmlformats.org/officeDocument/2006/relationships/hyperlink" Target="https://www.minsal.cl/wp-content/uploads/2020/07/ConsideracionesPersonasconDiscapacidad130720.pdf" TargetMode="External"/><Relationship Id="rId97" Type="http://schemas.openxmlformats.org/officeDocument/2006/relationships/hyperlink" Target="http://www.corteidh.or.cr/docs/casos/articulos/seriec_423_esp.pdf" TargetMode="External"/><Relationship Id="rId730" Type="http://schemas.openxmlformats.org/officeDocument/2006/relationships/hyperlink" Target="https://www.oas.org/es/sadye/publicaciones/GUIA_PRACTICA_CEDDIS_ESP.pdf" TargetMode="External"/><Relationship Id="rId828" Type="http://schemas.openxmlformats.org/officeDocument/2006/relationships/hyperlink" Target="https://oig.cepal.org/sites/default/files/2011_ley763_nic_0.pdf" TargetMode="External"/><Relationship Id="rId162" Type="http://schemas.openxmlformats.org/officeDocument/2006/relationships/hyperlink" Target="http://barbadosparliament-laws.com/en/showdoc/cs/45" TargetMode="External"/><Relationship Id="rId467" Type="http://schemas.openxmlformats.org/officeDocument/2006/relationships/hyperlink" Target="http://www.bnm.me.gov.ar/giga1/normas/5940.pdf" TargetMode="External"/><Relationship Id="rId674" Type="http://schemas.openxmlformats.org/officeDocument/2006/relationships/hyperlink" Target="https://www.oas.org/es/sla/ddi/tratados_multilaterales_interamericanos_A-41_carta_OEA.asp#Cap%25C3%25ADtulo%2520I" TargetMode="External"/><Relationship Id="rId881" Type="http://schemas.openxmlformats.org/officeDocument/2006/relationships/hyperlink" Target="https://www.acnur.org/fileadmin/Documentos/BDL/2002/1803.pdf" TargetMode="External"/><Relationship Id="rId24" Type="http://schemas.openxmlformats.org/officeDocument/2006/relationships/hyperlink" Target="https://www.iidh.ed.cr/BibliotecaWeb/Varios/Documentos.Interno/BD_125911109/modulo_derechos_discapacidad_m6.pdf" TargetMode="External"/><Relationship Id="rId327" Type="http://schemas.openxmlformats.org/officeDocument/2006/relationships/hyperlink" Target="https://www.argentina.gob.ar/sites/default/files/ley-de-educ-nac-58ac89392ea4c.pdf;" TargetMode="External"/><Relationship Id="rId534" Type="http://schemas.openxmlformats.org/officeDocument/2006/relationships/hyperlink" Target="https://www.corteidh.or.cr/docs/casos/articulos/seriec_423_esp.pdf" TargetMode="External"/><Relationship Id="rId741" Type="http://schemas.openxmlformats.org/officeDocument/2006/relationships/hyperlink" Target="https://www.diputados.gob.mx/LeyesBiblio/pdf/CNPCF.pdf" TargetMode="External"/><Relationship Id="rId839" Type="http://schemas.openxmlformats.org/officeDocument/2006/relationships/hyperlink" Target="https://www.minjusticia.gov.co/programas-co/tejiendo-justicia/Documents/publicaciones/discapacidad/Protocolo%2520de%2520Atencio%25CC%2581n%2520Personas%2520con%2520Discapacidad%2520(2).pdf" TargetMode="External"/><Relationship Id="rId173" Type="http://schemas.openxmlformats.org/officeDocument/2006/relationships/hyperlink" Target="https://siteal.iiep.unesco.org/sites/default/files/sit_accion_files/siteal_panama_0042.pdf" TargetMode="External"/><Relationship Id="rId380" Type="http://schemas.openxmlformats.org/officeDocument/2006/relationships/hyperlink" Target="http://www.tse.hn/web/documentos/Acu-2017/Acuerdo_18_2017_Reglamento_electores_con_discapacidad.PDF" TargetMode="External"/><Relationship Id="rId601" Type="http://schemas.openxmlformats.org/officeDocument/2006/relationships/hyperlink" Target="https://www.bcn.cl/leychile/navegar?idNorma=1010903" TargetMode="External"/><Relationship Id="rId240" Type="http://schemas.openxmlformats.org/officeDocument/2006/relationships/hyperlink" Target="https://www.diputados.gob.mx/LeyesBiblio/pdf/LFPED.pdf" TargetMode="External"/><Relationship Id="rId478" Type="http://schemas.openxmlformats.org/officeDocument/2006/relationships/hyperlink" Target="https://www.state.gov/reports/2022-country-reports-on-human-rights-practices/belize/" TargetMode="External"/><Relationship Id="rId685" Type="http://schemas.openxmlformats.org/officeDocument/2006/relationships/hyperlink" Target="https://www.corteidh.or.cr/docs/casos/articulos/seriec_127_esp.pdf" TargetMode="External"/><Relationship Id="rId892" Type="http://schemas.openxmlformats.org/officeDocument/2006/relationships/hyperlink" Target="https://www.diputados.gob.mx/LeyesBiblio/pdf/2_110121.pdf" TargetMode="External"/><Relationship Id="rId906" Type="http://schemas.openxmlformats.org/officeDocument/2006/relationships/hyperlink" Target="https://cdn.www.gob.pe/uploads/document/file/176451/Resolucion-Ministerial-701-2018-MINSA.pdf" TargetMode="External"/><Relationship Id="rId35" Type="http://schemas.openxmlformats.org/officeDocument/2006/relationships/hyperlink" Target="https://documents.un.org/doc/undoc/gen/g19/346/57/pdf/g1934657.pdf" TargetMode="External"/><Relationship Id="rId100" Type="http://schemas.openxmlformats.org/officeDocument/2006/relationships/hyperlink" Target="https://www.corteidh.or.cr/docs/casos/articulos/seriec_246_esp.pdf" TargetMode="External"/><Relationship Id="rId338" Type="http://schemas.openxmlformats.org/officeDocument/2006/relationships/hyperlink" Target="https://www.argentina.gob.ar/normativa/nacional/ley-27710-383041" TargetMode="External"/><Relationship Id="rId545" Type="http://schemas.openxmlformats.org/officeDocument/2006/relationships/hyperlink" Target="https://www.ohchr.org/es/instruments-mechanisms/instruments/convention-rights-persons-disabilities" TargetMode="External"/><Relationship Id="rId752" Type="http://schemas.openxmlformats.org/officeDocument/2006/relationships/hyperlink" Target="https://extranet.who.int/mindbank/item/1483" TargetMode="External"/><Relationship Id="rId184" Type="http://schemas.openxmlformats.org/officeDocument/2006/relationships/hyperlink" Target="https://www.funcionpublica.gov.co/eva/gestornormativo/norma.php?i=52081" TargetMode="External"/><Relationship Id="rId391" Type="http://schemas.openxmlformats.org/officeDocument/2006/relationships/hyperlink" Target="https://www.argentina.gob.ar/justicia/derechofacil/leysimple/voto-accesible" TargetMode="External"/><Relationship Id="rId405" Type="http://schemas.openxmlformats.org/officeDocument/2006/relationships/hyperlink" Target="https://www.corteconstitucional.gov.co/relatoria/2016/t-573-16.htm" TargetMode="External"/><Relationship Id="rId612" Type="http://schemas.openxmlformats.org/officeDocument/2006/relationships/hyperlink" Target="https://www.oas.org/juridico/pdfs/mesicic4_ecu_const.pdf" TargetMode="External"/><Relationship Id="rId251" Type="http://schemas.openxmlformats.org/officeDocument/2006/relationships/hyperlink" Target="https://www.gob.pe/institucion/conadis/informes-publicaciones/1952667-politica-nacional-multisectorial-en-discapacidad-para-el-desarrollo-al-2030" TargetMode="External"/><Relationship Id="rId489" Type="http://schemas.openxmlformats.org/officeDocument/2006/relationships/hyperlink" Target="https://extranet.who.int/mindbank/item/2513" TargetMode="External"/><Relationship Id="rId696" Type="http://schemas.openxmlformats.org/officeDocument/2006/relationships/hyperlink" Target="https://www.corteidh.or.cr/docs/casos/articulos/seriec_332_esp.pdf" TargetMode="External"/><Relationship Id="rId917" Type="http://schemas.openxmlformats.org/officeDocument/2006/relationships/hyperlink" Target="https://siteal.iiep.unesco.org/sites/default/files/sit_accion_files/bo_0268.pdf" TargetMode="External"/><Relationship Id="rId46" Type="http://schemas.openxmlformats.org/officeDocument/2006/relationships/hyperlink" Target="https://www.scielo.org.mx/scielo.php?script=sci_arttext&amp;pid=S0041-86332013000300008#notas" TargetMode="External"/><Relationship Id="rId349" Type="http://schemas.openxmlformats.org/officeDocument/2006/relationships/hyperlink" Target="https://infosen.senado.gob.mx/sgsp/gaceta/65/1/2022-04-05-1/assets/documentos/Dic_ZMyM_LGMySV.pdf" TargetMode="External"/><Relationship Id="rId556" Type="http://schemas.openxmlformats.org/officeDocument/2006/relationships/hyperlink" Target="https://www.dof.gob.mx/nota_detalle.php?codigo=5560457&amp;fecha=15/05/2019&amp;print=true" TargetMode="External"/><Relationship Id="rId763" Type="http://schemas.openxmlformats.org/officeDocument/2006/relationships/hyperlink" Target="https://www.diputados.gob.mx/LeyesBiblio/pdf/2_110121.pdf" TargetMode="External"/><Relationship Id="rId111" Type="http://schemas.openxmlformats.org/officeDocument/2006/relationships/hyperlink" Target="https://www.minsalud.gov.co/sites/rid/Lists/BibliotecaDigital/RIDE/DE/PS/Recomendaciones-comite-colombia-2016.pdf" TargetMode="External"/><Relationship Id="rId195" Type="http://schemas.openxmlformats.org/officeDocument/2006/relationships/hyperlink" Target="https://siteal.iiep.unesco.org/sites/default/files/sit_accion_files/bo_0268.pdf" TargetMode="External"/><Relationship Id="rId209" Type="http://schemas.openxmlformats.org/officeDocument/2006/relationships/hyperlink" Target="https://www.boletinoficial.gob.ar/detalleAviso/primera/252007/20211029" TargetMode="External"/><Relationship Id="rId416" Type="http://schemas.openxmlformats.org/officeDocument/2006/relationships/hyperlink" Target="https://www.oas.org/juridico/pdfs/mesicic4_ecu_const.pdf" TargetMode="External"/><Relationship Id="rId623" Type="http://schemas.openxmlformats.org/officeDocument/2006/relationships/hyperlink" Target="https://mola.gov.gy/sites/default/files/Cap.%25209601%2520Termination%2520of%2520Employment%2520and%2520Severance%2520Pay.pdf" TargetMode="External"/><Relationship Id="rId830" Type="http://schemas.openxmlformats.org/officeDocument/2006/relationships/hyperlink" Target="https://www.comunicacion.gob.bo/sites/default/files/dale_vida_a_tus_derechos/archivos/LEY%2520223%2520ACTUALIZACION%25202018%2520WEB.pdf" TargetMode="External"/><Relationship Id="rId928" Type="http://schemas.openxmlformats.org/officeDocument/2006/relationships/hyperlink" Target="https://quadernsdepsicologia.cat/article/view/v22-n2-cea-castillo/1521-pdf-es" TargetMode="External"/><Relationship Id="rId57" Type="http://schemas.openxmlformats.org/officeDocument/2006/relationships/hyperlink" Target="https://www.bienestaryproteccioninfantil.es/imagenes/tablaContenidos03SubSec/declaracionimpedidos.pdf" TargetMode="External"/><Relationship Id="rId262" Type="http://schemas.openxmlformats.org/officeDocument/2006/relationships/hyperlink" Target="https://documents1.worldbank.org/curated/en/099015012012140135/pdf/P17538307bf8530ef0b57005d4d17d157f6.pdf" TargetMode="External"/><Relationship Id="rId567" Type="http://schemas.openxmlformats.org/officeDocument/2006/relationships/hyperlink" Target="https://www.minsalud.gov.co/sites/rid/Lists/BibliotecaDigital/RIDE/DE/PS/documento-balance-1618-2013-240517.pdf" TargetMode="External"/><Relationship Id="rId122" Type="http://schemas.openxmlformats.org/officeDocument/2006/relationships/hyperlink" Target="https://poblacion-indigena.iniciativa2025alc.org/wp-content/uploads/2017/08/CENSO-2012.pdf" TargetMode="External"/><Relationship Id="rId774" Type="http://schemas.openxmlformats.org/officeDocument/2006/relationships/hyperlink" Target="https://www.stf.jus.br/arquivo/cms/legislacaoConstituicao/anexo/CF_espanhol_web.pdf" TargetMode="External"/><Relationship Id="rId427" Type="http://schemas.openxmlformats.org/officeDocument/2006/relationships/hyperlink" Target="https://pdba.georgetown.edu/Electoral/Sur/suriname.html" TargetMode="External"/><Relationship Id="rId634" Type="http://schemas.openxmlformats.org/officeDocument/2006/relationships/hyperlink" Target="https://www.sfp.gov.py/sfp/archivos/documentos/Ley%25203585%25202008.compressed_oi8nirr8.pdf" TargetMode="External"/><Relationship Id="rId841" Type="http://schemas.openxmlformats.org/officeDocument/2006/relationships/hyperlink" Target="https://www2.scjn.gob.mx/ConsultaTematica/PaginasPub/DetallePub.aspx?AsuntoID=190473" TargetMode="External"/><Relationship Id="rId273" Type="http://schemas.openxmlformats.org/officeDocument/2006/relationships/hyperlink" Target="https://tbinternet.ohchr.org/_layouts/15/treatybodyexternal/Download.aspx?symbolno=CRPD/C/GC/2&amp;Lang=en" TargetMode="External"/><Relationship Id="rId480" Type="http://schemas.openxmlformats.org/officeDocument/2006/relationships/hyperlink" Target="http://www.ilo.org/dyn/natlex/docs/ELECTRONIC/108764/134617/F1982550071/LEY%25201152%2520BOLIVIA.pdf" TargetMode="External"/><Relationship Id="rId701" Type="http://schemas.openxmlformats.org/officeDocument/2006/relationships/hyperlink" Target="https://documents-dds-ny.un.org/doc/UNDOC/GEN/G17/360/35/PDF/G1736035.pdf?OpenElement" TargetMode="External"/><Relationship Id="rId939" Type="http://schemas.openxmlformats.org/officeDocument/2006/relationships/hyperlink" Target="https://www.boletinoficial.gob.ar/detalleAviso/primera/239807/20210115" TargetMode="External"/><Relationship Id="rId68" Type="http://schemas.openxmlformats.org/officeDocument/2006/relationships/hyperlink" Target="https://www.oas.org/juridico/spanish/tratados/a-61.html" TargetMode="External"/><Relationship Id="rId133" Type="http://schemas.openxmlformats.org/officeDocument/2006/relationships/hyperlink" Target="https://www.censopoblacion.gt/explorador" TargetMode="External"/><Relationship Id="rId340" Type="http://schemas.openxmlformats.org/officeDocument/2006/relationships/hyperlink" Target="https://www.argentina.gob.ar/normativa/nacional/ley-22431-20620/texto#:~:text=%252D%2520Las%2520empresas%2520de%2520transpone%2520colectivo,a%2520los%2520que%2520deban%2520concurrir." TargetMode="External"/><Relationship Id="rId578" Type="http://schemas.openxmlformats.org/officeDocument/2006/relationships/hyperlink" Target="http://digesto.senado.gov.py/detalles&amp;id=8798" TargetMode="External"/><Relationship Id="rId785" Type="http://schemas.openxmlformats.org/officeDocument/2006/relationships/hyperlink" Target="https://www.funcionpublica.gov.co/eva/gestornormativo/norma.php?i=99712" TargetMode="External"/><Relationship Id="rId200" Type="http://schemas.openxmlformats.org/officeDocument/2006/relationships/hyperlink" Target="https://siteal.iiep.unesco.org/sites/default/files/sit_accion_files/hn_0295.pdf" TargetMode="External"/><Relationship Id="rId438" Type="http://schemas.openxmlformats.org/officeDocument/2006/relationships/hyperlink" Target="https://www.bcn.cl/procesoconstituyente/comparadordeconstituciones/constitucion/blz" TargetMode="External"/><Relationship Id="rId645" Type="http://schemas.openxmlformats.org/officeDocument/2006/relationships/hyperlink" Target="https://www.lexivox.org/norms/BO-L-N977.html" TargetMode="External"/><Relationship Id="rId852" Type="http://schemas.openxmlformats.org/officeDocument/2006/relationships/hyperlink" Target="https://documents-dds-ny.un.org/doc/UNDOC/GEN/G14/198/71/PDF/G1419871.pdf?OpenElement" TargetMode="External"/><Relationship Id="rId284" Type="http://schemas.openxmlformats.org/officeDocument/2006/relationships/hyperlink" Target="https://www.ilo.org/dyn/natlex/docs/ELECTRONIC/86697/98271/F1787421735/GTM86697.pdf" TargetMode="External"/><Relationship Id="rId491" Type="http://schemas.openxmlformats.org/officeDocument/2006/relationships/hyperlink" Target="https://medicalcouncil.org.gy/doctors/Medical_Practioners_Act_Ch3202.pdf" TargetMode="External"/><Relationship Id="rId505" Type="http://schemas.openxmlformats.org/officeDocument/2006/relationships/hyperlink" Target="https://es.scribd.com/document/601163297/Guia-de-Atencion-en-SSyR-para-adolescentes-con-discapacidad-1ra-Ed-2021-compressed" TargetMode="External"/><Relationship Id="rId712" Type="http://schemas.openxmlformats.org/officeDocument/2006/relationships/hyperlink" Target="http://www.derechoshumanos.unlp.edu.ar/assets/files/documentos/informe-de-la-relatora-especial-de-las-personas-con-discapacidad-diciembre-2016.pdf" TargetMode="External"/><Relationship Id="rId79" Type="http://schemas.openxmlformats.org/officeDocument/2006/relationships/hyperlink" Target="https://www.un.org/esa/socdev/enable/documents/tccconvs.pdf" TargetMode="External"/><Relationship Id="rId144" Type="http://schemas.openxmlformats.org/officeDocument/2006/relationships/hyperlink" Target="https://www.oas.org/juridico/spanish/tratados/a-65.html" TargetMode="External"/><Relationship Id="rId589" Type="http://schemas.openxmlformats.org/officeDocument/2006/relationships/hyperlink" Target="https://www.oas.org/juridico/spanish/tratados/a-65.html" TargetMode="External"/><Relationship Id="rId796" Type="http://schemas.openxmlformats.org/officeDocument/2006/relationships/hyperlink" Target="https://www.consejodiscapacidades.gob.ec/wp-content/uploads/downloads/2018/03/Resol_-011-ST-2018.pdf" TargetMode="External"/><Relationship Id="rId351" Type="http://schemas.openxmlformats.org/officeDocument/2006/relationships/hyperlink" Target="https://www2.scjn.gob.mx/ConsultaTematica/PaginasPub/DetallePub.aspx?AsuntoID=236191" TargetMode="External"/><Relationship Id="rId449" Type="http://schemas.openxmlformats.org/officeDocument/2006/relationships/hyperlink" Target="https://www.bacn.gov.py/leyes-paraguayas/9580/constitucion-nacional-" TargetMode="External"/><Relationship Id="rId656" Type="http://schemas.openxmlformats.org/officeDocument/2006/relationships/hyperlink" Target="https://www.opp.gub.uy/sites/default/files/cspd/Ley_de_Empleo_Juvenil_Num_19.133-2013.pdf" TargetMode="External"/><Relationship Id="rId863" Type="http://schemas.openxmlformats.org/officeDocument/2006/relationships/hyperlink" Target="http://www.comisionporlamemoria.org/archivos/cpm/normativa/saludmental/ley_nac_salud_mental_26657.pdf" TargetMode="External"/><Relationship Id="rId211" Type="http://schemas.openxmlformats.org/officeDocument/2006/relationships/hyperlink" Target="https://www.youtube.com/watch?v=rr9v1nuok-4" TargetMode="External"/><Relationship Id="rId295" Type="http://schemas.openxmlformats.org/officeDocument/2006/relationships/hyperlink" Target="https://repositorio.msp.gob.do/bitstream/handle/123456789/1191/LeyNo.5-13.pdf?sequence=1&amp;isAllowed=y" TargetMode="External"/><Relationship Id="rId309" Type="http://schemas.openxmlformats.org/officeDocument/2006/relationships/hyperlink" Target="https://www.oas.org/juridico/spanish/mesicic2_col_ley_769_2002.pdf" TargetMode="External"/><Relationship Id="rId516" Type="http://schemas.openxmlformats.org/officeDocument/2006/relationships/hyperlink" Target="https://www.boletinoficial.gob.ar/detalleAviso/primera/227248/20200329" TargetMode="External"/><Relationship Id="rId723" Type="http://schemas.openxmlformats.org/officeDocument/2006/relationships/hyperlink" Target="http://www.oas.org/es/sadye/publicaciones/GUIA_PRACTICA_CEDDIS_ESP.pdf" TargetMode="External"/><Relationship Id="rId930" Type="http://schemas.openxmlformats.org/officeDocument/2006/relationships/hyperlink" Target="https://quadernsdepsicologia.cat/article/view/v22-n2-cea-castillo/1521-pdf-es" TargetMode="External"/><Relationship Id="rId155" Type="http://schemas.openxmlformats.org/officeDocument/2006/relationships/hyperlink" Target="https://arpas.org.sv/wp-content/uploads/2020/06/Decreto-n.%25C2%25B0-672-Ley-Especial-de-Inclusio%25CC%2581n.pdf" TargetMode="External"/><Relationship Id="rId362" Type="http://schemas.openxmlformats.org/officeDocument/2006/relationships/hyperlink" Target="http://www.stp.gov.py/v1/wp-content/uploads/2019/08/Ley-6354-que-garantiza-el-derecho-de-las-pesonas-sordas.pdf" TargetMode="External"/><Relationship Id="rId222" Type="http://schemas.openxmlformats.org/officeDocument/2006/relationships/hyperlink" Target="https://www.planalto.gov.br/ccivil_03/_ato2015-2018/2015/lei/l13146.htm" TargetMode="External"/><Relationship Id="rId667" Type="http://schemas.openxmlformats.org/officeDocument/2006/relationships/hyperlink" Target="https://www.un.org/esa/socdev/enable/documents/tccconvs.pdf" TargetMode="External"/><Relationship Id="rId874" Type="http://schemas.openxmlformats.org/officeDocument/2006/relationships/hyperlink" Target="https://docs.republica-dominicana.justia.com/nacionales/leyes/ley-12-06.pdf" TargetMode="External"/><Relationship Id="rId17" Type="http://schemas.openxmlformats.org/officeDocument/2006/relationships/hyperlink" Target="https://es.scribd.com/document/202011092/Visiones-y-Revisiones-de-La-Discapacidad-Terminado" TargetMode="External"/><Relationship Id="rId527" Type="http://schemas.openxmlformats.org/officeDocument/2006/relationships/hyperlink" Target="https://www.oas.org/es/cidh/decisiones/pdf/Resolucion-1-20-es.pdf" TargetMode="External"/><Relationship Id="rId734" Type="http://schemas.openxmlformats.org/officeDocument/2006/relationships/hyperlink" Target="https://www.oas.org/es/sadye/publicaciones/GUIA_PRACTICA_CEDDIS_ESP.pdf" TargetMode="External"/><Relationship Id="rId941" Type="http://schemas.openxmlformats.org/officeDocument/2006/relationships/hyperlink" Target="https://www.bcn.cl/leychile/navegar?idNorma=1039348" TargetMode="External"/><Relationship Id="rId70" Type="http://schemas.openxmlformats.org/officeDocument/2006/relationships/hyperlink" Target="https://www.oas.org/juridico/spanish/tratados/a-61.html" TargetMode="External"/><Relationship Id="rId166" Type="http://schemas.openxmlformats.org/officeDocument/2006/relationships/hyperlink" Target="https://www.wipo.int/wipolex/es/text/209492" TargetMode="External"/><Relationship Id="rId373" Type="http://schemas.openxmlformats.org/officeDocument/2006/relationships/hyperlink" Target="https://es.slideshare.net/roxanasilvach/reglamento-para" TargetMode="External"/><Relationship Id="rId580" Type="http://schemas.openxmlformats.org/officeDocument/2006/relationships/hyperlink" Target="https://www.stvincenttimes.com/st-vincent-advances-an-inclusive-education-system/" TargetMode="External"/><Relationship Id="rId801" Type="http://schemas.openxmlformats.org/officeDocument/2006/relationships/hyperlink" Target="http://sil.gobernacion.gob.mx/Archivos/Documentos/2020/09/asun_4071872_20200915_1600189878.pdf" TargetMode="External"/><Relationship Id="rId1" Type="http://schemas.openxmlformats.org/officeDocument/2006/relationships/hyperlink" Target="https://www.oas.org/es/cidh/jsForm/?File=/es/CIDH/r/DPD/Audiencias.asp" TargetMode="External"/><Relationship Id="rId233" Type="http://schemas.openxmlformats.org/officeDocument/2006/relationships/hyperlink" Target="https://www.minjusticia.gov.co/programas-co/tejiendo-justicia" TargetMode="External"/><Relationship Id="rId440" Type="http://schemas.openxmlformats.org/officeDocument/2006/relationships/hyperlink" Target="https://www.oas.org/juridico/pdfs/mesicic4_ecu_const.pdf" TargetMode="External"/><Relationship Id="rId678" Type="http://schemas.openxmlformats.org/officeDocument/2006/relationships/hyperlink" Target="https://www.oas.org/juridico/spanish/tratados/a-61.html" TargetMode="External"/><Relationship Id="rId885" Type="http://schemas.openxmlformats.org/officeDocument/2006/relationships/hyperlink" Target="https://www.registrocivil.gob.ec/wp-content/uploads/downloads/2017/05/Codificacion_del_Codigo_Civil.pdf" TargetMode="External"/><Relationship Id="rId28" Type="http://schemas.openxmlformats.org/officeDocument/2006/relationships/hyperlink" Target="https://www.uv.mx/cendhiu/files/2021/11/Elmodelosocialdediscapacidad.pdf" TargetMode="External"/><Relationship Id="rId300" Type="http://schemas.openxmlformats.org/officeDocument/2006/relationships/hyperlink" Target="https://www.oas.org/juridico/pdfs/mesicic4_ecu_const.pdf" TargetMode="External"/><Relationship Id="rId538" Type="http://schemas.openxmlformats.org/officeDocument/2006/relationships/hyperlink" Target="https://www.corteidh.or.cr/docs/casos/articulos/Seriec_149_esp.pdf" TargetMode="External"/><Relationship Id="rId745" Type="http://schemas.openxmlformats.org/officeDocument/2006/relationships/hyperlink" Target="https://www.diputados.gob.mx/LeyesBiblio/pdf/CNPCF.pdf" TargetMode="External"/><Relationship Id="rId952" Type="http://schemas.openxmlformats.org/officeDocument/2006/relationships/hyperlink" Target="https://www.asdra.org.ar/destacados/la-eliminacion-de-restricciones-al-aborto-deriva-en-practicas-eugenesicas-en-personas-con-sindrome-de-down/" TargetMode="External"/><Relationship Id="rId81" Type="http://schemas.openxmlformats.org/officeDocument/2006/relationships/hyperlink" Target="https://www.ohchr.org/en/treaty-bodies/crpd/general-comments" TargetMode="External"/><Relationship Id="rId177" Type="http://schemas.openxmlformats.org/officeDocument/2006/relationships/hyperlink" Target="https://www.oas.org/dil/the_constitution_of_barbados.pdf" TargetMode="External"/><Relationship Id="rId384" Type="http://schemas.openxmlformats.org/officeDocument/2006/relationships/hyperlink" Target="https://cdn.www.gob.pe/uploads/document/file/440998/Ley_Organica_de_Elecciones__Ley_N_26859.pdf?v=1576170785" TargetMode="External"/><Relationship Id="rId591" Type="http://schemas.openxmlformats.org/officeDocument/2006/relationships/hyperlink" Target="https://www.oas.org/es/sadye/inclusion-social/protocolo-ssv/docs/protocolo-san-salvador-es.pdf" TargetMode="External"/><Relationship Id="rId605" Type="http://schemas.openxmlformats.org/officeDocument/2006/relationships/hyperlink" Target="https://www.bcn.cl/leychile/navegar?idNorma=207436&amp;idParte=8795359" TargetMode="External"/><Relationship Id="rId812" Type="http://schemas.openxmlformats.org/officeDocument/2006/relationships/hyperlink" Target="https://www2.scjn.gob.mx/ConsultaTematica/PaginasPub/DetallePub.aspx?AsuntoID=229186" TargetMode="External"/><Relationship Id="rId202" Type="http://schemas.openxmlformats.org/officeDocument/2006/relationships/hyperlink" Target="https://siteal.iiep.unesco.org/sites/default/files/sit_accion_files/ni_0003.pdf" TargetMode="External"/><Relationship Id="rId244" Type="http://schemas.openxmlformats.org/officeDocument/2006/relationships/hyperlink" Target="https://senadis.gov.py/application/files/2216/0682/4842/AT_Sistematizacion_PANDPCD_VF.pdf" TargetMode="External"/><Relationship Id="rId647" Type="http://schemas.openxmlformats.org/officeDocument/2006/relationships/hyperlink" Target="https://www.funcionpublica.gov.co/eva/gestornormativo/norma.php?i=84502" TargetMode="External"/><Relationship Id="rId689" Type="http://schemas.openxmlformats.org/officeDocument/2006/relationships/hyperlink" Target="https://www.corteidh.or.cr/tablas/17229a.pdf" TargetMode="External"/><Relationship Id="rId854" Type="http://schemas.openxmlformats.org/officeDocument/2006/relationships/hyperlink" Target="https://documents-dds-ny.un.org/doc/UNDOC/GEN/G14/198/71/PDF/G1419871.pdf?OpenElement" TargetMode="External"/><Relationship Id="rId896" Type="http://schemas.openxmlformats.org/officeDocument/2006/relationships/hyperlink" Target="http://www.comisionporlamemoria.org/archivos/cpm/normativa/saludmental/ley_nac_salud_mental_26657.pdf" TargetMode="External"/><Relationship Id="rId39" Type="http://schemas.openxmlformats.org/officeDocument/2006/relationships/hyperlink" Target="https://documents.un.org/doc/undoc/gen/g24/166/93/pdf/g2416693.pdf" TargetMode="External"/><Relationship Id="rId286" Type="http://schemas.openxmlformats.org/officeDocument/2006/relationships/hyperlink" Target="https://www.ilo.org/dyn/natlex/docs/ELECTRONIC/99560/118895/F1050124846/HTI-99560.pdf" TargetMode="External"/><Relationship Id="rId451" Type="http://schemas.openxmlformats.org/officeDocument/2006/relationships/hyperlink" Target="https://reformaspoliticas.org/wp-content/uploads/2015/03/republica-dominicana-leydecuotas-1997-ley275.pdf" TargetMode="External"/><Relationship Id="rId493" Type="http://schemas.openxmlformats.org/officeDocument/2006/relationships/hyperlink" Target="https://scm.oas.org/pdfs/2010/CIM02920T-6.pdf" TargetMode="External"/><Relationship Id="rId507" Type="http://schemas.openxmlformats.org/officeDocument/2006/relationships/hyperlink" Target="https://agla.gov.tt/downloads/laws/28.02.pdf" TargetMode="External"/><Relationship Id="rId549" Type="http://schemas.openxmlformats.org/officeDocument/2006/relationships/hyperlink" Target="https://www.argentina.gob.ar/sites/default/files/res-311-cfe-58add7585fbc4.pdf" TargetMode="External"/><Relationship Id="rId714" Type="http://schemas.openxmlformats.org/officeDocument/2006/relationships/hyperlink" Target="http://www.convenciondiscapacidad.es/wp-content/uploads/2019/01/Observaci%25C3%25B3n-1-Art%25C3%25ADculo-12-Capacidad-jur%25C3%25ADdica.pdf" TargetMode="External"/><Relationship Id="rId756" Type="http://schemas.openxmlformats.org/officeDocument/2006/relationships/hyperlink" Target="https://www.bcn.cl/leychile/navegar?idNorma=172986&amp;idVersion=Diferido" TargetMode="External"/><Relationship Id="rId921" Type="http://schemas.openxmlformats.org/officeDocument/2006/relationships/hyperlink" Target="https://www.asamblea.gob.pa/APPS/LEGISPAN/PDF_NORMAS/2010/2016/2016_625_0251.pdf" TargetMode="External"/><Relationship Id="rId50" Type="http://schemas.openxmlformats.org/officeDocument/2006/relationships/hyperlink" Target="http://www.derechoshumanos.unlp.edu.ar/assets/files/documentos/informe-de-la-relatora-especial-de-las-personas-con-discapacidad-diciembre-2016.pdf" TargetMode="External"/><Relationship Id="rId104" Type="http://schemas.openxmlformats.org/officeDocument/2006/relationships/hyperlink" Target="https://www.corteidh.or.cr/docs/casos/articulos/seriec_423_esp.pdf" TargetMode="External"/><Relationship Id="rId146" Type="http://schemas.openxmlformats.org/officeDocument/2006/relationships/hyperlink" Target="https://indicators.ohchr.org/" TargetMode="External"/><Relationship Id="rId188" Type="http://schemas.openxmlformats.org/officeDocument/2006/relationships/hyperlink" Target="https://siteal.iiep.unesco.org/sites/default/files/sit_accion_files/siteal_panama_0042.pdf" TargetMode="External"/><Relationship Id="rId311" Type="http://schemas.openxmlformats.org/officeDocument/2006/relationships/hyperlink" Target="https://www.funcionpublica.gov.co/eva/gestornormativo/norma.php?i=35367#:~:text=Establece%2520las%2520sanciones%2520para%2520las,Ley%2520361%2520de%25201997%252C%2520y" TargetMode="External"/><Relationship Id="rId353" Type="http://schemas.openxmlformats.org/officeDocument/2006/relationships/hyperlink" Target="https://www2.scjn.gob.mx/ConsultaTematica/PaginasPub/DetallePub.aspx?AsuntoID=240695" TargetMode="External"/><Relationship Id="rId395" Type="http://schemas.openxmlformats.org/officeDocument/2006/relationships/hyperlink" Target="https://www.argentina.gob.ar/andis/accion-nacional-por-el-voto-accesible/campana-por-el-derecho-al-voto-de-las-personas-que-se" TargetMode="External"/><Relationship Id="rId409" Type="http://schemas.openxmlformats.org/officeDocument/2006/relationships/hyperlink" Target="https://repositoriodocumental.ine.mx/xmlui/bitstream/handle/123456789/133590/CGex202204-27-ap-23-Anexo.pdf" TargetMode="External"/><Relationship Id="rId560" Type="http://schemas.openxmlformats.org/officeDocument/2006/relationships/hyperlink" Target="https://www.diputados.gob.mx/LeyesBiblio/pdf/LGE.pdf" TargetMode="External"/><Relationship Id="rId798" Type="http://schemas.openxmlformats.org/officeDocument/2006/relationships/hyperlink" Target="https://www.congreso.gob.gt/detalle_pdf/iniciativas/963" TargetMode="External"/><Relationship Id="rId92" Type="http://schemas.openxmlformats.org/officeDocument/2006/relationships/hyperlink" Target="https://nam10.safelinks.protection.outlook.com/?url=https://www.corteidh.or.cr/docs/casos/articulos/Seriec_149_esp.pdf&amp;data=05%257C01%257CPMolina@oas.org%257Cfe21474a727b4cb7d11c08db8ef290ab%257C4fdc3f2315064175958c37999cee0941%257C1%257C0%257C638260944698713764%257CUnknown%257CTWFpbGZsb3d8eyJWIjoiMC4wLjAwMDAiLCJQIjoiV2luMzIiLCJBTiI6Ik1haWwiLCJXVCI6Mn0=%257C3000%257C%257C%257C&amp;sdata=PAOAtEXV58j8F/keCp9AOhuoCvnEERTZ6wSliubDobI=&amp;reserved=0" TargetMode="External"/><Relationship Id="rId213" Type="http://schemas.openxmlformats.org/officeDocument/2006/relationships/hyperlink" Target="http://www.ilo.org/dyn/natlex/docs/ELECTRONIC/110880/138067/F-244367874/BBD110880.pdf." TargetMode="External"/><Relationship Id="rId420" Type="http://schemas.openxmlformats.org/officeDocument/2006/relationships/hyperlink" Target="https://www.bcn.cl/procesoconstituyente/comparadordeconstituciones/constitucion/guy" TargetMode="External"/><Relationship Id="rId616" Type="http://schemas.openxmlformats.org/officeDocument/2006/relationships/hyperlink" Target="https://www.ilo.org/dyn/natlex/docs/ELECTRONIC/86697/98271/F1787421735/GTM86697.pdf" TargetMode="External"/><Relationship Id="rId658" Type="http://schemas.openxmlformats.org/officeDocument/2006/relationships/hyperlink" Target="https://www.argentina.gob.ar/normativa/nacional/ley-24013-412/actualizacion" TargetMode="External"/><Relationship Id="rId823" Type="http://schemas.openxmlformats.org/officeDocument/2006/relationships/hyperlink" Target="https://www.planalto.gov.br/ccivil_03/_ato2015-2018/2015/lei/l13146.htm" TargetMode="External"/><Relationship Id="rId865" Type="http://schemas.openxmlformats.org/officeDocument/2006/relationships/hyperlink" Target="http://barbadosparliament-laws.com/en/showdoc/cs/45" TargetMode="External"/><Relationship Id="rId255" Type="http://schemas.openxmlformats.org/officeDocument/2006/relationships/hyperlink" Target="https://www.refworld.org.es/pdfid/59b6de1c4.pdf" TargetMode="External"/><Relationship Id="rId297" Type="http://schemas.openxmlformats.org/officeDocument/2006/relationships/hyperlink" Target="https://siteal.iiep.unesco.org/sites/default/files/sit_accion_files/ve_0449.pdf" TargetMode="External"/><Relationship Id="rId462" Type="http://schemas.openxmlformats.org/officeDocument/2006/relationships/hyperlink" Target="https://www.mpba.gov.ar/files/documents/Comite-_CEDDIS-_1er_reunion_extraord_-_Mayo_2011.pdf" TargetMode="External"/><Relationship Id="rId518" Type="http://schemas.openxmlformats.org/officeDocument/2006/relationships/hyperlink" Target="https://caricom.org/declaration-of-petion-ville/#:~:text=We%2520are%2520determined%2520to%2520continue,the%2520diversity%2520of%2520our%2520societies." TargetMode="External"/><Relationship Id="rId725" Type="http://schemas.openxmlformats.org/officeDocument/2006/relationships/hyperlink" Target="http://www.convenciondiscapacidad.es/wp-content/uploads/2019/01/Observaci%25C3%25B3n-1-Art%25C3%25ADculo-12-Capacidad-jur%25C3%25ADdica.pdf" TargetMode="External"/><Relationship Id="rId932" Type="http://schemas.openxmlformats.org/officeDocument/2006/relationships/hyperlink" Target="https://www.diputados.gob.mx/LeyesBiblio/pdf/LGS.pdf" TargetMode="External"/><Relationship Id="rId115" Type="http://schemas.openxmlformats.org/officeDocument/2006/relationships/hyperlink" Target="https://documents1.worldbank.org/curated/en/099015012012140135/pdf/P17538307bf8530ef0b57005d4d17d157f6.pdf" TargetMode="External"/><Relationship Id="rId157" Type="http://schemas.openxmlformats.org/officeDocument/2006/relationships/hyperlink" Target="https://www.diputados.gob.mx/LeyesBiblio/pdf/LGIPD.pdf" TargetMode="External"/><Relationship Id="rId322" Type="http://schemas.openxmlformats.org/officeDocument/2006/relationships/hyperlink" Target="https://www.funcionpublica.gov.co/eva/gestornormativo/norma.php?i=14932." TargetMode="External"/><Relationship Id="rId364" Type="http://schemas.openxmlformats.org/officeDocument/2006/relationships/hyperlink" Target="https://www.wipo.int/wipolex/es/text/302979" TargetMode="External"/><Relationship Id="rId767" Type="http://schemas.openxmlformats.org/officeDocument/2006/relationships/hyperlink" Target="https://agla.gov.tt/downloads/laws/28.02.pdf" TargetMode="External"/><Relationship Id="rId61" Type="http://schemas.openxmlformats.org/officeDocument/2006/relationships/hyperlink" Target="https://www.un.org/es/about-us/universal-declaration-of-human-rights" TargetMode="External"/><Relationship Id="rId199" Type="http://schemas.openxmlformats.org/officeDocument/2006/relationships/hyperlink" Target="https://arpas.org.sv/wp-content/uploads/2020/06/Decreto-n.%25C2%25B0-672-Ley-Especial-de-Inclusio%25CC%2581n.pdf" TargetMode="External"/><Relationship Id="rId571" Type="http://schemas.openxmlformats.org/officeDocument/2006/relationships/hyperlink" Target="https://www.funcionpublica.gov.co/eva/gestornormativo/norma.php?i=35084" TargetMode="External"/><Relationship Id="rId627" Type="http://schemas.openxmlformats.org/officeDocument/2006/relationships/hyperlink" Target="https://www.gob.mx/capacidadesyempleo/documentos/norma-oficial-mexicana-nom-034-stps-2016-condiciones-de-seguridad-para-el-acceso-y-desarrollo-de-actividades-de-trabajadores-con-discapacidad-en-los-centros-de-trabajo-169519" TargetMode="External"/><Relationship Id="rId669" Type="http://schemas.openxmlformats.org/officeDocument/2006/relationships/hyperlink" Target="https://www.un.org/esa/socdev/enable/documents/tccconvs.pdf" TargetMode="External"/><Relationship Id="rId834" Type="http://schemas.openxmlformats.org/officeDocument/2006/relationships/hyperlink" Target="https://www.funcionpublica.gov.co/eva/gestornormativo/norma.php?i=52081" TargetMode="External"/><Relationship Id="rId876" Type="http://schemas.openxmlformats.org/officeDocument/2006/relationships/hyperlink" Target="https://www.impo.com.uy/bases/leyes/19529-2017" TargetMode="External"/><Relationship Id="rId19" Type="http://schemas.openxmlformats.org/officeDocument/2006/relationships/hyperlink" Target="https://www.iidh.ed.cr/BibliotecaWeb/Varios/Documentos.Interno/BD_125911109/modulo_derechos_discapacidad_m6.pdf" TargetMode="External"/><Relationship Id="rId224" Type="http://schemas.openxmlformats.org/officeDocument/2006/relationships/hyperlink" Target="https://www.senadis.gob.cl/pag/329/1594/programa_acceso_a_la_justicia_para_personas_con_discapacidad" TargetMode="External"/><Relationship Id="rId266" Type="http://schemas.openxmlformats.org/officeDocument/2006/relationships/hyperlink" Target="https://www.ohchr.org/en/documents/thematic-reports/ahrc5252-support-systems-ensure-community-inclusion-persons-disabilities?fbclid=IwAR3pY8_bSSZEkQkG-CCWQUJ3S2EAimvj2nImiqMMpf7CG8w_BX20g_83we4." TargetMode="External"/><Relationship Id="rId431" Type="http://schemas.openxmlformats.org/officeDocument/2006/relationships/hyperlink" Target="http://servicios.infoleg.gob.ar/infolegInternet/anexos/20000-24999/23893/texact.htm" TargetMode="External"/><Relationship Id="rId473" Type="http://schemas.openxmlformats.org/officeDocument/2006/relationships/hyperlink" Target="https://publications.iadb.org/es/marco-legal-de-los-derechos-de-las-personas-con-discapacidad-america-latina-y-el-caribe" TargetMode="External"/><Relationship Id="rId529" Type="http://schemas.openxmlformats.org/officeDocument/2006/relationships/hyperlink" Target="https://www.oas.org/es/cidh/informes/pdfs/2023/PandemiaDDHH_ES.pdf" TargetMode="External"/><Relationship Id="rId680" Type="http://schemas.openxmlformats.org/officeDocument/2006/relationships/hyperlink" Target="https://www.oas.org/es/cidh/decisiones/corte/12.576fondoesp.pdf" TargetMode="External"/><Relationship Id="rId736" Type="http://schemas.openxmlformats.org/officeDocument/2006/relationships/hyperlink" Target="https://publications.iadb.org/es/marco-legal-de-los-derechos-de-las-personas-con-discapacidad-america-latina-y-el-caribe" TargetMode="External"/><Relationship Id="rId901" Type="http://schemas.openxmlformats.org/officeDocument/2006/relationships/hyperlink" Target="https://www.argentina.gob.ar/normativa/nacional/ley-26657-175977/texto" TargetMode="External"/><Relationship Id="rId30" Type="http://schemas.openxmlformats.org/officeDocument/2006/relationships/hyperlink" Target="https://www.redalyc.org/journal/1270/127063728009/127063728009.pdf" TargetMode="External"/><Relationship Id="rId126" Type="http://schemas.openxmlformats.org/officeDocument/2006/relationships/hyperlink" Target="https://www.senadis.gob.cl/pag/693/2004/iii_estudio_nacional_de_la_discapacidad" TargetMode="External"/><Relationship Id="rId168" Type="http://schemas.openxmlformats.org/officeDocument/2006/relationships/hyperlink" Target="http://www.oj.gob.gt/files/DECRETO%2520135-96%2520LEY%2520DE%2520ATENCION%2520A%2520LAS%2520PERSONAS%2520CON%2520DISCAPACIDAD.pdf" TargetMode="External"/><Relationship Id="rId333" Type="http://schemas.openxmlformats.org/officeDocument/2006/relationships/hyperlink" Target="http://servicios.infoleg.gob.ar/infolegInternet/anexos/175000-179999/175694/norma.htm." TargetMode="External"/><Relationship Id="rId540" Type="http://schemas.openxmlformats.org/officeDocument/2006/relationships/hyperlink" Target="https://www.corteidh.or.cr/docs/casos/articulos/Seriec_149_esp.pdf" TargetMode="External"/><Relationship Id="rId778" Type="http://schemas.openxmlformats.org/officeDocument/2006/relationships/hyperlink" Target="https://cuba.vlex.com/vid/ley-no-156-2022-909018941" TargetMode="External"/><Relationship Id="rId943" Type="http://schemas.openxmlformats.org/officeDocument/2006/relationships/hyperlink" Target="https://www.minsalud.gov.co/sites/rid/Lists/BibliotecaDigital/RIDE/DE/PS/documento-lectura-facil-resolucion-1904.pdf" TargetMode="External"/><Relationship Id="rId72" Type="http://schemas.openxmlformats.org/officeDocument/2006/relationships/hyperlink" Target="https://www.un.org/esa/socdev/enable/documents/tccconvs.pdf" TargetMode="External"/><Relationship Id="rId375" Type="http://schemas.openxmlformats.org/officeDocument/2006/relationships/hyperlink" Target="https://www.ilo.org/dyn/natlex/docs/ELECTRONIC/99459/118738/F-157637669/GUY99459%25202012.pdf" TargetMode="External"/><Relationship Id="rId582" Type="http://schemas.openxmlformats.org/officeDocument/2006/relationships/hyperlink" Target="https://tbinternet.ohchr.org/_layouts/15/treatybodyexternal/Download.aspx?symbolno=CRPD/C/GC/4&amp;Lang=en" TargetMode="External"/><Relationship Id="rId638" Type="http://schemas.openxmlformats.org/officeDocument/2006/relationships/hyperlink" Target="https://www.oas.org/juridico/PDFs/mesicic4_per_dec728.pdf" TargetMode="External"/><Relationship Id="rId803" Type="http://schemas.openxmlformats.org/officeDocument/2006/relationships/hyperlink" Target="https://www.diputados.gob.mx/LeyesBiblio/pdf/CNPCF.pdf" TargetMode="External"/><Relationship Id="rId845" Type="http://schemas.openxmlformats.org/officeDocument/2006/relationships/hyperlink" Target="https://www2.scjn.gob.mx/ConsultaTematica/PaginasPub/DetallePub.aspx?AsuntoID=241562" TargetMode="External"/><Relationship Id="rId3" Type="http://schemas.openxmlformats.org/officeDocument/2006/relationships/hyperlink" Target="http://www.oas.org/es/cidh/informes/pdfs/pobrezaddhh2017.pdf" TargetMode="External"/><Relationship Id="rId235" Type="http://schemas.openxmlformats.org/officeDocument/2006/relationships/hyperlink" Target="https://www.funcionpublica.gov.co/eva/gestornormativo/norma.php?i=61858#:~:text=Esta%2520ley%2520tiene%2520por%2520objeto,y%2520dem%25C3%25A1s%2520razones%2520de%2520discriminaci%25C3%25B3n." TargetMode="External"/><Relationship Id="rId277" Type="http://schemas.openxmlformats.org/officeDocument/2006/relationships/hyperlink" Target="https://siteal.iiep.unesco.org/sites/default/files/sit_accion_files/bo_0268.pdf" TargetMode="External"/><Relationship Id="rId400" Type="http://schemas.openxmlformats.org/officeDocument/2006/relationships/hyperlink" Target="https://www.bcn.cl/leychile/navegar?idLey=20422" TargetMode="External"/><Relationship Id="rId442" Type="http://schemas.openxmlformats.org/officeDocument/2006/relationships/hyperlink" Target="https://www.bcn.cl/procesoconstituyente/comparadordeconstituciones/constitucion/guy" TargetMode="External"/><Relationship Id="rId484" Type="http://schemas.openxmlformats.org/officeDocument/2006/relationships/hyperlink" Target="https://www.bcn.cl/leychile/navegar?idNorma=1039348" TargetMode="External"/><Relationship Id="rId705" Type="http://schemas.openxmlformats.org/officeDocument/2006/relationships/hyperlink" Target="https://documents-dds-ny.un.org/doc/UNDOC/GEN/G17/360/35/PDF/G1736035.pdf?OpenElement" TargetMode="External"/><Relationship Id="rId887" Type="http://schemas.openxmlformats.org/officeDocument/2006/relationships/hyperlink" Target="https://asisehace.gt/media/A-001%2520Decreto%2520Ley%2520106%2520C%25C3%25B3digo%2520Civil.pdf" TargetMode="External"/><Relationship Id="rId137" Type="http://schemas.openxmlformats.org/officeDocument/2006/relationships/hyperlink" Target="https://www.inegi.org.mx/programas/ccpv/2020/" TargetMode="External"/><Relationship Id="rId302" Type="http://schemas.openxmlformats.org/officeDocument/2006/relationships/hyperlink" Target="https://www.oopp.gob.bo/wp-content/uploads/2021/07/ATT-DJ-RAR-TL-LP-420_2018.-Tarifa-Solidaria-para-Personas-con-Discapacidad.pdf" TargetMode="External"/><Relationship Id="rId344" Type="http://schemas.openxmlformats.org/officeDocument/2006/relationships/hyperlink" Target="https://www.bcn.cl/leychile/navegar?i=1078308." TargetMode="External"/><Relationship Id="rId691" Type="http://schemas.openxmlformats.org/officeDocument/2006/relationships/hyperlink" Target="https://www.un.org/esa/socdev/enable/documents/tccconvs.pdf" TargetMode="External"/><Relationship Id="rId747" Type="http://schemas.openxmlformats.org/officeDocument/2006/relationships/hyperlink" Target="https://www.acnur.org/fileadmin/Documentos/BDL/2016/10268.pdf" TargetMode="External"/><Relationship Id="rId789" Type="http://schemas.openxmlformats.org/officeDocument/2006/relationships/hyperlink" Target="https://cdn.www.gob.pe/uploads/document/file/192139/DL_1384.pdf?v=1593814894" TargetMode="External"/><Relationship Id="rId912" Type="http://schemas.openxmlformats.org/officeDocument/2006/relationships/hyperlink" Target="https://siteal.iiep.unesco.org/sites/default/files/sit_accion_files/bo_0268.pdf" TargetMode="External"/><Relationship Id="rId954" Type="http://schemas.openxmlformats.org/officeDocument/2006/relationships/hyperlink" Target="https://www.ohchr.org/Documents/HRBodies/CCPR/GCArticle6/CRPD.docx" TargetMode="External"/><Relationship Id="rId41" Type="http://schemas.openxmlformats.org/officeDocument/2006/relationships/hyperlink" Target="https://documents.un.org/doc/undoc/gen/g19/346/57/pdf/g1934657.pdf" TargetMode="External"/><Relationship Id="rId83" Type="http://schemas.openxmlformats.org/officeDocument/2006/relationships/hyperlink" Target="https://www.ohchr.org/es/special-procedures/sr-disability" TargetMode="External"/><Relationship Id="rId179" Type="http://schemas.openxmlformats.org/officeDocument/2006/relationships/hyperlink" Target="https://www.wipo.int/wipolex/es/text/209492" TargetMode="External"/><Relationship Id="rId386" Type="http://schemas.openxmlformats.org/officeDocument/2006/relationships/hyperlink" Target="https://agla.gov.tt/downloads/laws/2.01.pdf" TargetMode="External"/><Relationship Id="rId551" Type="http://schemas.openxmlformats.org/officeDocument/2006/relationships/hyperlink" Target="http://laws.bahamas.gov.bs/cms/images/LEGISLATION/PRINCIPAL/1962/1962-0015/EducationAct_1.pdf" TargetMode="External"/><Relationship Id="rId593" Type="http://schemas.openxmlformats.org/officeDocument/2006/relationships/hyperlink" Target="https://www.argentina.gob.ar/normativa/nacional/ley-22431-20620/texto#:~:text=%252D%2520Las%2520empresas%2520de%2520transpone%2520colectivo,a%2520los%2520que%2520deban%2520concurrir." TargetMode="External"/><Relationship Id="rId607" Type="http://schemas.openxmlformats.org/officeDocument/2006/relationships/hyperlink" Target="https://www.minsalud.gov.co/sites/rid/Lists/BibliotecaDigital/RIDE/DE/PS/documento-balance-1618-2013-240517.pdf" TargetMode="External"/><Relationship Id="rId649" Type="http://schemas.openxmlformats.org/officeDocument/2006/relationships/hyperlink" Target="https://arpas.org.sv/wp-content/uploads/2020/06/Decreto-n.%25C2%25B0-672-Ley-Especial-de-Inclusio%25CC%2581n.pdf" TargetMode="External"/><Relationship Id="rId814" Type="http://schemas.openxmlformats.org/officeDocument/2006/relationships/hyperlink" Target="https://www2.scjn.gob.mx/ConsultaTematica/PaginasPub/DetallePub.aspx?AsuntoID=248402" TargetMode="External"/><Relationship Id="rId856" Type="http://schemas.openxmlformats.org/officeDocument/2006/relationships/hyperlink" Target="https://www.ohchr.org/es/documents/reports/report-committee-rights-persons-disabilities-thirteenth-session-25-march-17-april" TargetMode="External"/><Relationship Id="rId190" Type="http://schemas.openxmlformats.org/officeDocument/2006/relationships/hyperlink" Target="https://www.bcn.cl/leychile/navegar?idNorma=1010903&amp;idParte=" TargetMode="External"/><Relationship Id="rId204" Type="http://schemas.openxmlformats.org/officeDocument/2006/relationships/hyperlink" Target="https://leyes.congreso.gob.pe/Documentos/Leyes/29973.pdf" TargetMode="External"/><Relationship Id="rId246" Type="http://schemas.openxmlformats.org/officeDocument/2006/relationships/hyperlink" Target="https://senadis.gov.py/application/files/2216/0682/4842/AT_Sistematizacion_PANDPCD_VF.pdf" TargetMode="External"/><Relationship Id="rId288" Type="http://schemas.openxmlformats.org/officeDocument/2006/relationships/hyperlink" Target="https://siteal.iiep.unesco.org/sites/default/files/sit_accion_files/hn_0295.pdf" TargetMode="External"/><Relationship Id="rId411" Type="http://schemas.openxmlformats.org/officeDocument/2006/relationships/hyperlink" Target="https://www.ohchr.org/es/documents/general-comments-and-recommendations/general-comment-no7-article-43-and-333-participation" TargetMode="External"/><Relationship Id="rId453" Type="http://schemas.openxmlformats.org/officeDocument/2006/relationships/hyperlink" Target="https://agla.gov.tt/downloads/laws/28.02.pdf" TargetMode="External"/><Relationship Id="rId509" Type="http://schemas.openxmlformats.org/officeDocument/2006/relationships/hyperlink" Target="https://www.corteidh.or.cr/docs/casos/articulos/seriec_312_esp.pdf" TargetMode="External"/><Relationship Id="rId660" Type="http://schemas.openxmlformats.org/officeDocument/2006/relationships/hyperlink" Target="https://www.mintrabajo.gov.co/documents/20147/59111836/GUIA+PARA+EL+PROCESO+DE+INCLUSION+LABORAL+DE+PCD.pdf/1d8631c0-58d5-8626-69cb-780b169fcdf7?version=1.0" TargetMode="External"/><Relationship Id="rId898" Type="http://schemas.openxmlformats.org/officeDocument/2006/relationships/hyperlink" Target="https://www.bacn.gov.py/leyes-paraguayas/2399/ley-n-836-codigo-sanitario" TargetMode="External"/><Relationship Id="rId106" Type="http://schemas.openxmlformats.org/officeDocument/2006/relationships/hyperlink" Target="https://documents1.worldbank.org/curated/en/233841468337796448/pdf/322040SPANISH0101OFFICIAL0USE0ONLY1.pdf." TargetMode="External"/><Relationship Id="rId313" Type="http://schemas.openxmlformats.org/officeDocument/2006/relationships/hyperlink" Target="https://www.minambiente.gov.co/wp-content/uploads/2021/06/Decreto-1504-de-1998-Espacio-Publico.pdf" TargetMode="External"/><Relationship Id="rId495" Type="http://schemas.openxmlformats.org/officeDocument/2006/relationships/hyperlink" Target="https://publications.iadb.org/es/marco-legal-de-los-derechos-de-las-personas-con-discapacidad-america-latina-y-el-caribe" TargetMode="External"/><Relationship Id="rId716" Type="http://schemas.openxmlformats.org/officeDocument/2006/relationships/hyperlink" Target="http://www.derechoshumanos.unlp.edu.ar/assets/files/documentos/informe-de-la-relatora-especial-de-las-personas-con-discapacidad-diciembre-2016.pdf" TargetMode="External"/><Relationship Id="rId758" Type="http://schemas.openxmlformats.org/officeDocument/2006/relationships/hyperlink" Target="http://ww2.oj.gob.gt/es/QueEsOJ/EstructuraOJ/UnidadesAdministrativas/CentroAnalisisDocumentacionJudicial/cds/CDs%2520de%2520leyes/2017/pdfs/decretos/D13-2017.pdf" TargetMode="External"/><Relationship Id="rId923" Type="http://schemas.openxmlformats.org/officeDocument/2006/relationships/hyperlink" Target="https://www.comisionporlamemoria.org/archivos/cpm/normativa/saludmental/ley_nac_salud_mental_26657.pdf" TargetMode="External"/><Relationship Id="rId10" Type="http://schemas.openxmlformats.org/officeDocument/2006/relationships/hyperlink" Target="https://repositorio.cepal.org/server/api/core/bitstreams/c3d22634-859a-4f83-8c88-d7c233ac9bfc/content" TargetMode="External"/><Relationship Id="rId52" Type="http://schemas.openxmlformats.org/officeDocument/2006/relationships/hyperlink" Target="https://www.oas.org/juridico/spanish/tratados/a-65.html" TargetMode="External"/><Relationship Id="rId94" Type="http://schemas.openxmlformats.org/officeDocument/2006/relationships/hyperlink" Target="http://www.corteidh.or.cr/docs/casos/articulos/seriec_260_esp.pdf" TargetMode="External"/><Relationship Id="rId148" Type="http://schemas.openxmlformats.org/officeDocument/2006/relationships/hyperlink" Target="https://www.bahamas.gov.bs/wps/wcm/connect/678cadc1-08d9-43d3-bc55-d10c99f9064c/Final+Clean+1+July+2014+Persons+With+Disabilities+(Equal+Opportunities)+Bill.pdf?MOD=AJPERES" TargetMode="External"/><Relationship Id="rId355" Type="http://schemas.openxmlformats.org/officeDocument/2006/relationships/hyperlink" Target="https://www2.scjn.gob.mx/ConsultaTematica/PaginasPub/DetallePub.aspx?AsuntoID=241935" TargetMode="External"/><Relationship Id="rId397" Type="http://schemas.openxmlformats.org/officeDocument/2006/relationships/hyperlink" Target="https://www.cedib.org/wp-content/uploads/2020/10/Compendio_EG_2020.pdf" TargetMode="External"/><Relationship Id="rId520" Type="http://schemas.openxmlformats.org/officeDocument/2006/relationships/hyperlink" Target="https://www.senadis.gob.cl/sala_prensa/d/noticias/8226/recomendaciones-para-la-atencion-de-personas-con-discapacidad-en-el-contexto-de-la-pandemia-por-covid-19" TargetMode="External"/><Relationship Id="rId562" Type="http://schemas.openxmlformats.org/officeDocument/2006/relationships/hyperlink" Target="https://siteal.iiep.unesco.org/sites/default/files/sit_accion_files/bo_0268.pdf" TargetMode="External"/><Relationship Id="rId618" Type="http://schemas.openxmlformats.org/officeDocument/2006/relationships/hyperlink" Target="https://www.ilo.org/dyn/natlex/docs/ELECTRONIC/86697/98271/F1787421735/GTM86697.pdf" TargetMode="External"/><Relationship Id="rId825" Type="http://schemas.openxmlformats.org/officeDocument/2006/relationships/hyperlink" Target="https://www.funcionpublica.gov.co/eva/gestornormativo/norma.php?i=52081" TargetMode="External"/><Relationship Id="rId215" Type="http://schemas.openxmlformats.org/officeDocument/2006/relationships/hyperlink" Target="https://www.produccion.gob.bo/?p=7514" TargetMode="External"/><Relationship Id="rId257" Type="http://schemas.openxmlformats.org/officeDocument/2006/relationships/hyperlink" Target="https://documents1.worldbank.org/curated/en/099015012012140135/pdf/P17538307bf8530ef0b57005d4d17d157f6.pdf" TargetMode="External"/><Relationship Id="rId422" Type="http://schemas.openxmlformats.org/officeDocument/2006/relationships/hyperlink" Target="https://www.oas.org/juridico/spanish/mesicic3_nic_const.pdf" TargetMode="External"/><Relationship Id="rId464" Type="http://schemas.openxmlformats.org/officeDocument/2006/relationships/hyperlink" Target="https://www.un.org/esa/socdev/enable/documents/tccconvs.pdf" TargetMode="External"/><Relationship Id="rId867" Type="http://schemas.openxmlformats.org/officeDocument/2006/relationships/hyperlink" Target="https://www.planalto.gov.br/ccivil_03/leis/leis_2001/l10216.htm" TargetMode="External"/><Relationship Id="rId299" Type="http://schemas.openxmlformats.org/officeDocument/2006/relationships/hyperlink" Target="https://www.acnur.org/fileadmin/Documentos/BDL/2001/0507.pdf" TargetMode="External"/><Relationship Id="rId727" Type="http://schemas.openxmlformats.org/officeDocument/2006/relationships/hyperlink" Target="http://www.convenciondiscapacidad.es/wp-content/uploads/2019/01/Observaci%25C3%25B3n-1-Art%25C3%25ADculo-12-Capacidad-jur%25C3%25ADdica.pdf" TargetMode="External"/><Relationship Id="rId934" Type="http://schemas.openxmlformats.org/officeDocument/2006/relationships/hyperlink" Target="http://www.convenciondiscapacidad.es/wp-content/uploads/2019/01/Observaci%25C3%25B3n-1-Art%25C3%25ADculo-12-Capacidad-jur%25C3%25ADdica.pdf" TargetMode="External"/><Relationship Id="rId63" Type="http://schemas.openxmlformats.org/officeDocument/2006/relationships/hyperlink" Target="https://www.ohchr.org/en/instruments-mechanisms/instruments/international-covenant-economic-social-and-cultural-rights" TargetMode="External"/><Relationship Id="rId159" Type="http://schemas.openxmlformats.org/officeDocument/2006/relationships/hyperlink" Target="https://leyes.congreso.gob.pe/Documentos/Leyes/29973.pdf" TargetMode="External"/><Relationship Id="rId366" Type="http://schemas.openxmlformats.org/officeDocument/2006/relationships/hyperlink" Target="https://servicios.infoleg.gob.ar/infolegInternet/anexos/15000-19999/19442/texact.htm" TargetMode="External"/><Relationship Id="rId573" Type="http://schemas.openxmlformats.org/officeDocument/2006/relationships/hyperlink" Target="https://www.argentina.gob.ar/normativa/nacional/ley-25573-73892/texto" TargetMode="External"/><Relationship Id="rId780" Type="http://schemas.openxmlformats.org/officeDocument/2006/relationships/hyperlink" Target="http://juriscuba.com/wp-content/uploads/2015/10/Ley-No.-059-Codigo-Civil.pdf" TargetMode="External"/><Relationship Id="rId226" Type="http://schemas.openxmlformats.org/officeDocument/2006/relationships/hyperlink" Target="https://www.bcn.cl/leychile/navegar?idNorma=1042092&amp;idVersion=Diferido" TargetMode="External"/><Relationship Id="rId433" Type="http://schemas.openxmlformats.org/officeDocument/2006/relationships/hyperlink" Target="http://laws.bahamas.gov.bs/cms/images/LEGISLATION/PRINCIPAL/1996/1996-0005/LocalGovernmentAct_1.pdf" TargetMode="External"/><Relationship Id="rId878" Type="http://schemas.openxmlformats.org/officeDocument/2006/relationships/hyperlink" Target="https://www.oas.org/dil/esp/codigo_civil_bolivia.pdf" TargetMode="External"/><Relationship Id="rId640" Type="http://schemas.openxmlformats.org/officeDocument/2006/relationships/hyperlink" Target="https://www.argentina.gob.ar/normativa/nacional/ley-22431-20620/texto#:~:text=%252D%2520Las%2520empresas%2520de%2520transpone%2520colectivo,a%2520los%2520que%2520deban%2520concurrir." TargetMode="External"/><Relationship Id="rId738" Type="http://schemas.openxmlformats.org/officeDocument/2006/relationships/hyperlink" Target="https://www.ilo.org/dyn/natlex/docs/ELECTRONIC/100279/120260/F-1594449767/LEY%252013146%2520BRASIL.pdf" TargetMode="External"/><Relationship Id="rId945" Type="http://schemas.openxmlformats.org/officeDocument/2006/relationships/hyperlink" Target="https://www.corteconstitucional.gov.co/Relatoria/2022/T-357-22.htm" TargetMode="External"/><Relationship Id="rId74" Type="http://schemas.openxmlformats.org/officeDocument/2006/relationships/hyperlink" Target="https://www.un.org/esa/socdev/enable/documents/tccconvs.pdf" TargetMode="External"/><Relationship Id="rId377" Type="http://schemas.openxmlformats.org/officeDocument/2006/relationships/hyperlink" Target="https://pdba.georgetown.edu/Electoral/Guyana/guyrep01.html" TargetMode="External"/><Relationship Id="rId500" Type="http://schemas.openxmlformats.org/officeDocument/2006/relationships/hyperlink" Target="https://laws.moj.gov.jm/legislation/statutes/M/Mental%2520Health%2520Act_1.pdf" TargetMode="External"/><Relationship Id="rId584" Type="http://schemas.openxmlformats.org/officeDocument/2006/relationships/hyperlink" Target="https://documents-dds-ny.un.org/doc/UNDOC/GEN/G16/263/03/PDF/G1626303.pdf?OpenElement" TargetMode="External"/><Relationship Id="rId805" Type="http://schemas.openxmlformats.org/officeDocument/2006/relationships/hyperlink" Target="https://www2.scjn.gob.mx/ConsultaTematica/PaginasPub/DetallePub.aspx?AsuntoID=190473" TargetMode="External"/><Relationship Id="rId5" Type="http://schemas.openxmlformats.org/officeDocument/2006/relationships/hyperlink" Target="https://es.scribd.com/document/202011092/Visiones-y-Revisiones-de-La-Discapacidad-Terminado" TargetMode="External"/><Relationship Id="rId237" Type="http://schemas.openxmlformats.org/officeDocument/2006/relationships/hyperlink" Target="https://www.asambleanacional.gob.ec/es/system/files/document.pdf" TargetMode="External"/><Relationship Id="rId791" Type="http://schemas.openxmlformats.org/officeDocument/2006/relationships/hyperlink" Target="https://www.mimp.gob.pe/files/direcciones/dgfc/diff/normatividad_nacional_general/2_Codigo_Civil.pdf" TargetMode="External"/><Relationship Id="rId889" Type="http://schemas.openxmlformats.org/officeDocument/2006/relationships/hyperlink" Target="https://parliament.gov.gy/documents/acts/3621-act_no._5.pdf" TargetMode="External"/><Relationship Id="rId444" Type="http://schemas.openxmlformats.org/officeDocument/2006/relationships/hyperlink" Target="https://aceproject.org/ero-en/regions/americas/HT/haiti-decreto-electoral-de-2015-espanol" TargetMode="External"/><Relationship Id="rId651" Type="http://schemas.openxmlformats.org/officeDocument/2006/relationships/hyperlink" Target="https://www.tsc.gob.hn/web/leyes/LEY%2520DE%2520EQUIDAD%2520Y%2520DESARROLLO%2520INTEGRAL%2520PARA%2520LAS%2520PERSONAS%2520CON%2520DISCAPACIDAD..pdf" TargetMode="External"/><Relationship Id="rId749" Type="http://schemas.openxmlformats.org/officeDocument/2006/relationships/hyperlink" Target="https://www.oas.org/dil/esp/C%25C3%25B3digo%2520Civil%2520de%2520la%2520Rep%25C3%25BAblica%2520Dominicana.pdf" TargetMode="External"/><Relationship Id="rId290" Type="http://schemas.openxmlformats.org/officeDocument/2006/relationships/hyperlink" Target="https://siteal.iiep.unesco.org/sites/default/files/sit_accion_files/hn_0295.pdf" TargetMode="External"/><Relationship Id="rId304" Type="http://schemas.openxmlformats.org/officeDocument/2006/relationships/hyperlink" Target="https://www.stf.jus.br/arquivo/cms/legislacaoConstituicao/anexo/CF_espanhol_web.pdf" TargetMode="External"/><Relationship Id="rId388" Type="http://schemas.openxmlformats.org/officeDocument/2006/relationships/hyperlink" Target="https://www.impo.com.uy/bases/leyes-originales/7812-1925" TargetMode="External"/><Relationship Id="rId511" Type="http://schemas.openxmlformats.org/officeDocument/2006/relationships/hyperlink" Target="http://www.corteidh.or.cr/docs/casos/articulos/resumen_329_esp.pdf" TargetMode="External"/><Relationship Id="rId609" Type="http://schemas.openxmlformats.org/officeDocument/2006/relationships/hyperlink" Target="https://www.mep.go.cr/ley-reglamento/ley-n%25C2%25BA-7600-ley-igualdad-oportunidades-para-personas-discapacidad#:~:text=LEYES%2520Y%2520REGLAMENTOS-,Ley%2520N%25C2%25BA%25207600%252C%2520Ley%2520de%2520Igualdad%2520de,para%2520las%2520Personas%2520con%2520Discapacidad&amp;text=La%2520Ley%2520No.,el%2520resto%2520de%2520los%2520habitantes." TargetMode="External"/><Relationship Id="rId85" Type="http://schemas.openxmlformats.org/officeDocument/2006/relationships/hyperlink" Target="https://www.ohchr.org/es/special-procedures/sr-disability/annual-thematic-reports-special-rapporteur-rights-persons-disabilities" TargetMode="External"/><Relationship Id="rId150" Type="http://schemas.openxmlformats.org/officeDocument/2006/relationships/hyperlink" Target="https://siteal.iiep.unesco.org/sites/default/files/sit_accion_files/bo_0268.pdf" TargetMode="External"/><Relationship Id="rId595" Type="http://schemas.openxmlformats.org/officeDocument/2006/relationships/hyperlink" Target="https://www.ilo.org/dyn/natlex/docs/ELECTRONIC/90308/120377/F-1133270545/BHS90308.pdf" TargetMode="External"/><Relationship Id="rId816" Type="http://schemas.openxmlformats.org/officeDocument/2006/relationships/hyperlink" Target="http://www.convenciondiscapacidad.es/wp-content/uploads/2019/01/Observaci%25C3%25B3n-1-Art%25C3%25ADculo-12-Capacidad-jur%25C3%25ADdica.pdf" TargetMode="External"/><Relationship Id="rId248" Type="http://schemas.openxmlformats.org/officeDocument/2006/relationships/hyperlink" Target="https://www.bacn.gov.py/leyes-paraguayas/9475/ley-n-6667-promueve-la-implementacion-permanente-de-campanas-masivas-de-difusion-y-sensibilizacion-sobre-los-derechos-de-las-personas-con-discapacidad-y-todo-aquello-relacionado-con-la-inclusion-de-las-mismas#:~:text=DE%2520LAS%2520MISMAS-,Ley%2520N%25C2%25BA%25206667%2520%252F%2520PROMUEVE%2520LA%2520IMPLEMENTACI%25C3%2593N%2520PERMANENTE%2520DE%2520CAMPA%25C3%2591AS%2520MASIVAS,LA%2520INCLUSI%25C3%2593N%2520DE%2520LAS%2520MISMAS" TargetMode="External"/><Relationship Id="rId455" Type="http://schemas.openxmlformats.org/officeDocument/2006/relationships/hyperlink" Target="https://www.impo.com.uy/bases/leyes-originales/7812-1925" TargetMode="External"/><Relationship Id="rId662" Type="http://schemas.openxmlformats.org/officeDocument/2006/relationships/hyperlink" Target="https://www.gob.mx/conadis/acciones-y-programas/programa-nacional-de-trabajo-y-empleo-para-las-personas-con-discapacidad-2014-2018" TargetMode="External"/><Relationship Id="rId12" Type="http://schemas.openxmlformats.org/officeDocument/2006/relationships/hyperlink" Target="https://www.oas.org/juridico/spanish/tratados/a-65.html" TargetMode="External"/><Relationship Id="rId108" Type="http://schemas.openxmlformats.org/officeDocument/2006/relationships/hyperlink" Target="https://chicagounbound.uchicago.edu/cgi/viewcontent.cgi?article=1052&amp;context=uclf" TargetMode="External"/><Relationship Id="rId315" Type="http://schemas.openxmlformats.org/officeDocument/2006/relationships/hyperlink" Target="https://www.funcionpublica.gov.co/eva/gestornormativo/norma.php?i=16540" TargetMode="External"/><Relationship Id="rId522" Type="http://schemas.openxmlformats.org/officeDocument/2006/relationships/hyperlink" Target="https://www.minsal.cl/wp-content/uploads/2020/07/ConsideracionesPersonasconDiscapacidad130720.pdf" TargetMode="External"/><Relationship Id="rId96" Type="http://schemas.openxmlformats.org/officeDocument/2006/relationships/hyperlink" Target="http://www.corteidh.or.cr/docs/casos/articulos/seriec_375_esp.pdf" TargetMode="External"/><Relationship Id="rId161" Type="http://schemas.openxmlformats.org/officeDocument/2006/relationships/hyperlink" Target="https://www.argentina.gob.ar/normativa/nacional/ley-22431-20620/texto#:~:text=%252D%2520Los%2520empleadores%2520que%2520concedan%2520empleo,discapacitado%2520en%2520cada%2520per%25C3%25ADodo%2520fiscal." TargetMode="External"/><Relationship Id="rId399" Type="http://schemas.openxmlformats.org/officeDocument/2006/relationships/hyperlink" Target="http://siteal.iiep.unesco.org/sites/default/files/sit_accion_files/br_0521.pdf" TargetMode="External"/><Relationship Id="rId827" Type="http://schemas.openxmlformats.org/officeDocument/2006/relationships/hyperlink" Target="https://www.diputados.gob.mx/LeyesBiblio/pdf/LGIPD.pdf" TargetMode="External"/><Relationship Id="rId259" Type="http://schemas.openxmlformats.org/officeDocument/2006/relationships/hyperlink" Target="https://documents1.worldbank.org/curated/en/099015012012140135/pdf/P17538307bf8530ef0b57005d4d17d157f6.pdf" TargetMode="External"/><Relationship Id="rId466" Type="http://schemas.openxmlformats.org/officeDocument/2006/relationships/hyperlink" Target="https://www.un.org/esa/socdev/enable/documents/tccconvs.pdf" TargetMode="External"/><Relationship Id="rId673" Type="http://schemas.openxmlformats.org/officeDocument/2006/relationships/hyperlink" Target="https://www.un.org/esa/socdev/enable/documents/tccconvs.pdf" TargetMode="External"/><Relationship Id="rId880" Type="http://schemas.openxmlformats.org/officeDocument/2006/relationships/hyperlink" Target="https://www.bcn.cl/leychile/navegar?idNorma=1039348" TargetMode="External"/><Relationship Id="rId23" Type="http://schemas.openxmlformats.org/officeDocument/2006/relationships/hyperlink" Target="https://www.uv.mx/cendhiu/files/2021/11/Elmodelosocialdediscapacidad.pdf" TargetMode="External"/><Relationship Id="rId119" Type="http://schemas.openxmlformats.org/officeDocument/2006/relationships/hyperlink" Target="https://www.oas.org/es/sedi/ddse/paginas/documentos/discapacidad/CEDDIS_REUNIONES/NY/2011/CEDDIS_NY_ES.pdf" TargetMode="External"/><Relationship Id="rId326" Type="http://schemas.openxmlformats.org/officeDocument/2006/relationships/hyperlink" Target="https://www.argentina.gob.ar/normativa/nacional/ley-25643-77719/texto." TargetMode="External"/><Relationship Id="rId533" Type="http://schemas.openxmlformats.org/officeDocument/2006/relationships/hyperlink" Target="http://www.oas.org/es/sadye/publicaciones/GUIA_PRACTICA_CEDDIS_ESP.pdf" TargetMode="External"/><Relationship Id="rId740" Type="http://schemas.openxmlformats.org/officeDocument/2006/relationships/hyperlink" Target="https://busquedas.elperuano.pe/dispositivo/NL/1687393-2" TargetMode="External"/><Relationship Id="rId838" Type="http://schemas.openxmlformats.org/officeDocument/2006/relationships/hyperlink" Target="https://mire.gob.pa/images/ministerios/leyes-decretos/ley42-1999.pdf" TargetMode="External"/><Relationship Id="rId172" Type="http://schemas.openxmlformats.org/officeDocument/2006/relationships/hyperlink" Target="https://www.ilo.org/dyn/natlex/docs/ELECTRONIC/98288/116893/F-1639331683/JAM98288.pdf" TargetMode="External"/><Relationship Id="rId477" Type="http://schemas.openxmlformats.org/officeDocument/2006/relationships/hyperlink" Target="https://www.state.gov/reports/2022-country-reports-on-human-rights-practices/belize/" TargetMode="External"/><Relationship Id="rId600" Type="http://schemas.openxmlformats.org/officeDocument/2006/relationships/hyperlink" Target="https://www.ilo.org/dyn/natlex/docs/ELECTRONIC/100279/120260/F-1594449767/LEY%252013146%2520BRASIL.pdf" TargetMode="External"/><Relationship Id="rId684" Type="http://schemas.openxmlformats.org/officeDocument/2006/relationships/hyperlink" Target="https://www.acnur.org/fileadmin/Documentos/BDL/2003/2351.pdf" TargetMode="External"/><Relationship Id="rId337" Type="http://schemas.openxmlformats.org/officeDocument/2006/relationships/hyperlink" Target="https://www.argentina.gob.ar/sites/default/files/26_01_21_informe_plazas.pdf" TargetMode="External"/><Relationship Id="rId891" Type="http://schemas.openxmlformats.org/officeDocument/2006/relationships/hyperlink" Target="https://www.diputados.gob.mx/LeyesBiblio/pdf/LGS.pdf" TargetMode="External"/><Relationship Id="rId905" Type="http://schemas.openxmlformats.org/officeDocument/2006/relationships/hyperlink" Target="https://www.datosabiertos.gob.pe/sites/default/files/recursos/2017/09/IMPLEMENTACION_CSMC_RM_N574-2017-MINSA%2520NTCSMC.pdf" TargetMode="External"/><Relationship Id="rId34" Type="http://schemas.openxmlformats.org/officeDocument/2006/relationships/hyperlink" Target="https://www.corteconstitucional.gov.co/relatoria/2018/su096-18.htm" TargetMode="External"/><Relationship Id="rId544" Type="http://schemas.openxmlformats.org/officeDocument/2006/relationships/hyperlink" Target="https://www.ohchr.org/es/instruments-mechanisms/instruments/convention-rights-persons-disabilities" TargetMode="External"/><Relationship Id="rId751" Type="http://schemas.openxmlformats.org/officeDocument/2006/relationships/hyperlink" Target="http://barbadosparliament-laws.com/en/showdoc/cs/45" TargetMode="External"/><Relationship Id="rId849" Type="http://schemas.openxmlformats.org/officeDocument/2006/relationships/hyperlink" Target="https://www.un.org/esa/socdev/enable/documents/tccconvs.pdf" TargetMode="External"/><Relationship Id="rId183" Type="http://schemas.openxmlformats.org/officeDocument/2006/relationships/hyperlink" Target="https://www.ilo.org/dyn/natlex/docs/ELECTRONIC/100279/120260/F-1594449767/LEY%252013146%2520BRASIL.pdf" TargetMode="External"/><Relationship Id="rId390" Type="http://schemas.openxmlformats.org/officeDocument/2006/relationships/hyperlink" Target="https://www.electoral.gob.ar/nuevo_legislacion/pdf/26571.pdf" TargetMode="External"/><Relationship Id="rId404" Type="http://schemas.openxmlformats.org/officeDocument/2006/relationships/hyperlink" Target="https://www.funcionpublica.gov.co/eva/gestornormativo/norma.php?i=87722" TargetMode="External"/><Relationship Id="rId611" Type="http://schemas.openxmlformats.org/officeDocument/2006/relationships/hyperlink" Target="http://www.pgrweb.go.cr/scij/Busqueda/Normativa/Normas/nrm_texto_completo.aspx?param1=NRTC&amp;nValor1=1&amp;nValor2=69886&amp;nValor3=0&amp;strTipM=TC#:~:text=2%25C2%25BA%252DQue%2520la%2520Ley%2520N%25C2%25BA,del%2520sector%2520p%25C3%25BAblico%252C%2520con%2520el" TargetMode="External"/><Relationship Id="rId250" Type="http://schemas.openxmlformats.org/officeDocument/2006/relationships/hyperlink" Target="https://www.mimp.gob.pe/adultomayor/archivos/Ley28867.pdf" TargetMode="External"/><Relationship Id="rId488" Type="http://schemas.openxmlformats.org/officeDocument/2006/relationships/hyperlink" Target="https://www.bcn.cl/procesoconstituyente/comparadordeconstituciones/constitucion/guy" TargetMode="External"/><Relationship Id="rId695" Type="http://schemas.openxmlformats.org/officeDocument/2006/relationships/hyperlink" Target="https://www.corteidh.or.cr/docs/casos/articulos/seriec_70_esp.pdf" TargetMode="External"/><Relationship Id="rId709" Type="http://schemas.openxmlformats.org/officeDocument/2006/relationships/hyperlink" Target="http://www.convenciondiscapacidad.es/wp-content/uploads/2019/01/Observaci%25C3%25B3n-1-Art%25C3%25ADculo-12-Capacidad-jur%25C3%25ADdica.pdf" TargetMode="External"/><Relationship Id="rId916" Type="http://schemas.openxmlformats.org/officeDocument/2006/relationships/hyperlink" Target="https://www.tse.go.cr/pdf/normativa/promocionautonomiapersonal.pdf" TargetMode="External"/><Relationship Id="rId45" Type="http://schemas.openxmlformats.org/officeDocument/2006/relationships/hyperlink" Target="https://www.scielo.org.mx/scielo.php?script=sci_arttext&amp;pid=S0041-86332013000300008#notas" TargetMode="External"/><Relationship Id="rId110" Type="http://schemas.openxmlformats.org/officeDocument/2006/relationships/hyperlink" Target="https://www.corteidh.or.cr/docs/casos/articulos/resumen_298_esp.pdf" TargetMode="External"/><Relationship Id="rId348" Type="http://schemas.openxmlformats.org/officeDocument/2006/relationships/hyperlink" Target="https://www.bcn.cl/leychile/navegar?idNorma=1088117." TargetMode="External"/><Relationship Id="rId555" Type="http://schemas.openxmlformats.org/officeDocument/2006/relationships/hyperlink" Target="https://www.dof.gob.mx/nota_detalle.php?codigo=5560457&amp;fecha=15/05/2019&amp;print=true" TargetMode="External"/><Relationship Id="rId762" Type="http://schemas.openxmlformats.org/officeDocument/2006/relationships/hyperlink" Target="https://laws.moj.gov.jm/legislation/statutes/M/Mental%2520Health%2520Act_1.pdf" TargetMode="External"/><Relationship Id="rId194" Type="http://schemas.openxmlformats.org/officeDocument/2006/relationships/hyperlink" Target="https://www.impo.com.uy/bases/leyes/18651-2010" TargetMode="External"/><Relationship Id="rId208" Type="http://schemas.openxmlformats.org/officeDocument/2006/relationships/hyperlink" Target="https://www.argentina.gob.ar/normativa/nacional/resoluci%25C3%25B3n-1200-2021-352891/texto" TargetMode="External"/><Relationship Id="rId415" Type="http://schemas.openxmlformats.org/officeDocument/2006/relationships/hyperlink" Target="https://www.oas.org/dil/esp/constitucion_chile.pdf" TargetMode="External"/><Relationship Id="rId622" Type="http://schemas.openxmlformats.org/officeDocument/2006/relationships/hyperlink" Target="https://mola.gov.gy/sites/default/files/Cap.%25209601%2520Termination%2520of%2520Employment%2520and%2520Severance%2520Pay.pdf" TargetMode="External"/><Relationship Id="rId261" Type="http://schemas.openxmlformats.org/officeDocument/2006/relationships/hyperlink" Target="https://documents1.worldbank.org/curated/en/099015012012140135/pdf/P17538307bf8530ef0b57005d4d17d157f6.pdf" TargetMode="External"/><Relationship Id="rId499" Type="http://schemas.openxmlformats.org/officeDocument/2006/relationships/hyperlink" Target="https://jcpd.gov.jm/wp-content/uploads/2023/07/DISABILITIESACT2014.pdf" TargetMode="External"/><Relationship Id="rId927" Type="http://schemas.openxmlformats.org/officeDocument/2006/relationships/hyperlink" Target="https://www.elmostrador.cl/destacado/2023/02/25/lo-que-no-se-dijo-de-la-terapia-electroconvulsiva-psiquiatricos-la-aplican-a-menores-de-edad-y-personas-con-autismo/" TargetMode="External"/><Relationship Id="rId56" Type="http://schemas.openxmlformats.org/officeDocument/2006/relationships/hyperlink" Target="https://www.oas.org/dil/esp/Declaracion_AG-26-2856_1971.pdf" TargetMode="External"/><Relationship Id="rId359" Type="http://schemas.openxmlformats.org/officeDocument/2006/relationships/hyperlink" Target="https://www.bacn.gov.py/leyes-paraguayas/1143/ley-n-4934-accesibilidad-al-medio-fisico-para-las-personas-con-discapacidad" TargetMode="External"/><Relationship Id="rId566" Type="http://schemas.openxmlformats.org/officeDocument/2006/relationships/hyperlink" Target="https://www.planalto.gov.br/ccivil_03/leis/l9394.htm" TargetMode="External"/><Relationship Id="rId773" Type="http://schemas.openxmlformats.org/officeDocument/2006/relationships/hyperlink" Target="https://www.ilo.org/dyn/natlex/docs/ELECTRONIC/100279/120260/F-1594449767/LEY%252013146%2520BRASIL.pdf" TargetMode="External"/><Relationship Id="rId121" Type="http://schemas.openxmlformats.org/officeDocument/2006/relationships/hyperlink" Target="https://censo.ine.gob.bo/boletas-censales/" TargetMode="External"/><Relationship Id="rId219" Type="http://schemas.openxmlformats.org/officeDocument/2006/relationships/hyperlink" Target="https://www.bcb.gob.bo/webdocs/normativa/2011%2520-%2520DS%25200762%2520-%2520Reglamento%2520Ley%2520contra%2520Racismo.pdf" TargetMode="External"/><Relationship Id="rId426" Type="http://schemas.openxmlformats.org/officeDocument/2006/relationships/hyperlink" Target="https://www.bcn.cl/procesoconstituyente/comparadordeconstituciones/constitucion/sur" TargetMode="External"/><Relationship Id="rId633" Type="http://schemas.openxmlformats.org/officeDocument/2006/relationships/hyperlink" Target="https://www.bacn.gov.py/leyes-paraguayas/2541/establece-la-obligatoriedad-de-la-incorporacion-de-personas-con-discapacidad-en-las-instituciones-publicas" TargetMode="External"/><Relationship Id="rId840" Type="http://schemas.openxmlformats.org/officeDocument/2006/relationships/hyperlink" Target="https://www2.scjn.gob.mx/ConsultaTematica/PaginasPub/DetallePub.aspx?AsuntoID=150598" TargetMode="External"/><Relationship Id="rId938" Type="http://schemas.openxmlformats.org/officeDocument/2006/relationships/hyperlink" Target="https://www.oas.org/es/sadye/publicaciones/GUIA_PRACTICA_CEDDIS_ESP.pdf" TargetMode="External"/><Relationship Id="rId67" Type="http://schemas.openxmlformats.org/officeDocument/2006/relationships/hyperlink" Target="https://www.oas.org/juridico/spanish/tratados/a-61.html" TargetMode="External"/><Relationship Id="rId272" Type="http://schemas.openxmlformats.org/officeDocument/2006/relationships/hyperlink" Target="https://www.un.org/esa/socdev/enable/documents/tccconvs.pdf" TargetMode="External"/><Relationship Id="rId577" Type="http://schemas.openxmlformats.org/officeDocument/2006/relationships/hyperlink" Target="https://www.bacn.gov.py/leyes-paraguayas/2698/educacion-inclusiva" TargetMode="External"/><Relationship Id="rId700" Type="http://schemas.openxmlformats.org/officeDocument/2006/relationships/hyperlink" Target="http://www.convenciondiscapacidad.es/wp-content/uploads/2019/01/Observaci%25C3%25B3n-1-Art%25C3%25ADculo-12-Capacidad-jur%25C3%25ADdica.pdf" TargetMode="External"/><Relationship Id="rId132" Type="http://schemas.openxmlformats.org/officeDocument/2006/relationships/hyperlink" Target="https://www.funcionpublica.gov.co/eva/gestornormativo/norma.php?i=172488." TargetMode="External"/><Relationship Id="rId784" Type="http://schemas.openxmlformats.org/officeDocument/2006/relationships/hyperlink" Target="https://www.funcionpublica.gov.co/eva/gestornormativo/norma.php?i=99712" TargetMode="External"/><Relationship Id="rId437" Type="http://schemas.openxmlformats.org/officeDocument/2006/relationships/hyperlink" Target="https://www.barbadosparliament.com/htmlarea/uploaded/File/referendum%2520bill.pdf" TargetMode="External"/><Relationship Id="rId644" Type="http://schemas.openxmlformats.org/officeDocument/2006/relationships/hyperlink" Target="https://www.planalto.gov.br/ccivil_03/leis/l8213cons.htm" TargetMode="External"/><Relationship Id="rId851" Type="http://schemas.openxmlformats.org/officeDocument/2006/relationships/hyperlink" Target="https://www.ohchr.org/es/documents/general-comments-and-recommendations/general-comment-no-5-article-19-living-independently" TargetMode="External"/><Relationship Id="rId283" Type="http://schemas.openxmlformats.org/officeDocument/2006/relationships/hyperlink" Target="https://arpas.org.sv/wp-content/uploads/2020/06/Decreto-n.%25C2%25B0-672-Ley-Especial-de-Inclusio%25CC%2581n.pdf" TargetMode="External"/><Relationship Id="rId490" Type="http://schemas.openxmlformats.org/officeDocument/2006/relationships/hyperlink" Target="https://docs.bvsalud.org/leisref/2018/12/2390/guy_2007_p_act-26_health-facilities-licensing-act.pdf" TargetMode="External"/><Relationship Id="rId504" Type="http://schemas.openxmlformats.org/officeDocument/2006/relationships/hyperlink" Target="https://www.sijusa.com/wp-content/uploads/2021/12/de_129_2021.pdf" TargetMode="External"/><Relationship Id="rId711" Type="http://schemas.openxmlformats.org/officeDocument/2006/relationships/hyperlink" Target="http://www.convenciondiscapacidad.es/wp-content/uploads/2019/01/Observaci%25C3%25B3n-1-Art%25C3%25ADculo-12-Capacidad-jur%25C3%25ADdica.pdf" TargetMode="External"/><Relationship Id="rId949" Type="http://schemas.openxmlformats.org/officeDocument/2006/relationships/hyperlink" Target="https://www.gob.mx/cms/uploads/attachment/file/53633/NOM-005-SSA2-1993.pdf" TargetMode="External"/><Relationship Id="rId78" Type="http://schemas.openxmlformats.org/officeDocument/2006/relationships/hyperlink" Target="https://www.un.org/esa/socdev/enable/documents/tccconvs.pdf" TargetMode="External"/><Relationship Id="rId143" Type="http://schemas.openxmlformats.org/officeDocument/2006/relationships/hyperlink" Target="https://www.oas.org/juridico/spanish/tratados/a-65.html" TargetMode="External"/><Relationship Id="rId350" Type="http://schemas.openxmlformats.org/officeDocument/2006/relationships/hyperlink" Target="http://www.scjn.gob.mx/sites/default/files/acuerdos_presidenciales/documento/2022-04/AGA-III-2022-inclusion-FINAL.pdf" TargetMode="External"/><Relationship Id="rId588" Type="http://schemas.openxmlformats.org/officeDocument/2006/relationships/hyperlink" Target="https://www.oas.org/juridico/spanish/tratados/a-65.html" TargetMode="External"/><Relationship Id="rId795" Type="http://schemas.openxmlformats.org/officeDocument/2006/relationships/hyperlink" Target="https://www.camara.cl/legislacion/ProyectosDeLey/tramitacion.aspx?prmID=12972&amp;prmBoletin=12441-17" TargetMode="External"/><Relationship Id="rId809" Type="http://schemas.openxmlformats.org/officeDocument/2006/relationships/hyperlink" Target="https://www2.scjn.gob.mx/ConsultaTematica/PaginasPub/DetallePub.aspx?AsuntoID=229186" TargetMode="External"/><Relationship Id="rId9" Type="http://schemas.openxmlformats.org/officeDocument/2006/relationships/hyperlink" Target="https://documents1.worldbank.org/curated/en/099140012012142009/pdf/P1753830860ccc05c0a4400a141537f3421.pdf" TargetMode="External"/><Relationship Id="rId210" Type="http://schemas.openxmlformats.org/officeDocument/2006/relationships/hyperlink" Target="https://www.youtube.com/watch?v=I6OmXq_rZ6c" TargetMode="External"/><Relationship Id="rId448" Type="http://schemas.openxmlformats.org/officeDocument/2006/relationships/hyperlink" Target="https://www.oas.org/juridico/spanish/mesicic3_nic_const.pdf" TargetMode="External"/><Relationship Id="rId655" Type="http://schemas.openxmlformats.org/officeDocument/2006/relationships/hyperlink" Target="https://repositorio.msp.gob.do/bitstream/handle/123456789/1191/LeyNo.5-13.pdf?sequence=1&amp;isAllowed=y" TargetMode="External"/><Relationship Id="rId862" Type="http://schemas.openxmlformats.org/officeDocument/2006/relationships/hyperlink" Target="https://www.argentina.gob.ar/normativa/nacional/ley-26657-175977/texto" TargetMode="External"/><Relationship Id="rId294" Type="http://schemas.openxmlformats.org/officeDocument/2006/relationships/hyperlink" Target="https://leyes.congreso.gob.pe/Documentos/Leyes/29973.pdf" TargetMode="External"/><Relationship Id="rId308" Type="http://schemas.openxmlformats.org/officeDocument/2006/relationships/hyperlink" Target="https://www.consejodiscapacidades.gob.ec/wp-content/uploads/downloads/2014/02/ley_organica_discapacidades.pdf." TargetMode="External"/><Relationship Id="rId515" Type="http://schemas.openxmlformats.org/officeDocument/2006/relationships/hyperlink" Target="https://www.facebook.com/Copidisgcba/videos/235746131154622/%2520UzpfSTc5NTYONTA4NDoxMDE2MzYwNzUyNzczMDA4NQ?/id=795645084" TargetMode="External"/><Relationship Id="rId722" Type="http://schemas.openxmlformats.org/officeDocument/2006/relationships/hyperlink" Target="http://www.convenciondiscapacidad.es/wp-content/uploads/2019/01/Observaci%25C3%25B3n-1-Art%25C3%25ADculo-12-Capacidad-jur%25C3%25ADdica.pdf" TargetMode="External"/><Relationship Id="rId89" Type="http://schemas.openxmlformats.org/officeDocument/2006/relationships/hyperlink" Target="https://www.oas.org/juridico/spanish/tratados/a-65.html" TargetMode="External"/><Relationship Id="rId154" Type="http://schemas.openxmlformats.org/officeDocument/2006/relationships/hyperlink" Target="http://www.pgrweb.go.cr/scij/Busqueda/Normativa/Normas/nrm_texto_completo.aspx?nValor1=1&amp;nValor2=23261" TargetMode="External"/><Relationship Id="rId361" Type="http://schemas.openxmlformats.org/officeDocument/2006/relationships/hyperlink" Target="https://www.bacn.gov.py/leyes-paraguayas/3687/ley-n-4336-establece-la-obligatoriedad-del-lenguaje-de-senas-en-los" TargetMode="External"/><Relationship Id="rId599" Type="http://schemas.openxmlformats.org/officeDocument/2006/relationships/hyperlink" Target="https://oig.cepal.org/sites/default/files/2017_ley977_bol.pdf" TargetMode="External"/><Relationship Id="rId459" Type="http://schemas.openxmlformats.org/officeDocument/2006/relationships/hyperlink" Target="https://www.oas.org/juridico/spanish/tratados/a-65.html" TargetMode="External"/><Relationship Id="rId666" Type="http://schemas.openxmlformats.org/officeDocument/2006/relationships/hyperlink" Target="https://www.ilo.org/dyn/natlex/docs/ELECTRONIC/83289/91846/F1369872121/URY83289.pdf" TargetMode="External"/><Relationship Id="rId873" Type="http://schemas.openxmlformats.org/officeDocument/2006/relationships/hyperlink" Target="https://www.gob.pe/institucion/congreso-de-la-republica/normas-legales/1423694-30947" TargetMode="External"/><Relationship Id="rId16" Type="http://schemas.openxmlformats.org/officeDocument/2006/relationships/hyperlink" Target="https://www.iidh.ed.cr/BibliotecaWeb/Varios/Documentos.Interno/BD_125911109/modulo_derechos_discapacidad_m6.pdf" TargetMode="External"/><Relationship Id="rId221" Type="http://schemas.openxmlformats.org/officeDocument/2006/relationships/hyperlink" Target="https://www.youtube.com/watch?v=w2G91O1eYic" TargetMode="External"/><Relationship Id="rId319" Type="http://schemas.openxmlformats.org/officeDocument/2006/relationships/hyperlink" Target="https://www.mincit.gov.co/ministerio/ministerio-en-breve/docs/4145.aspx#:~:text=Esta%2520norma%2520establece%2520las%2520dimensiones,logro%2520de%2520la%2520accesibilidad%2520plena." TargetMode="External"/><Relationship Id="rId526" Type="http://schemas.openxmlformats.org/officeDocument/2006/relationships/hyperlink" Target="https://leyes.congreso.gob.pe/Documentos/Leyes/29535.pdf" TargetMode="External"/><Relationship Id="rId733" Type="http://schemas.openxmlformats.org/officeDocument/2006/relationships/hyperlink" Target="https://www.oas.org/es/sadye/publicaciones/GUIA_PRACTICA_CEDDIS_ESP.pdf" TargetMode="External"/><Relationship Id="rId940" Type="http://schemas.openxmlformats.org/officeDocument/2006/relationships/hyperlink" Target="https://www.bcn.cl/leychile/navegar?idNorma=1159383&amp;idParte=10225522" TargetMode="External"/><Relationship Id="rId165" Type="http://schemas.openxmlformats.org/officeDocument/2006/relationships/hyperlink" Target="https://www.wipo.int/wipolex/es/text/209492" TargetMode="External"/><Relationship Id="rId372" Type="http://schemas.openxmlformats.org/officeDocument/2006/relationships/hyperlink" Target="https://www.bcn.cl/leychile/navegar?idNorma=1010903" TargetMode="External"/><Relationship Id="rId677" Type="http://schemas.openxmlformats.org/officeDocument/2006/relationships/hyperlink" Target="http://www.oas.org/es/sadye/inclusion-social/protocolo-ssv/docs/protocolo-san-salvador-es.pdf" TargetMode="External"/><Relationship Id="rId800" Type="http://schemas.openxmlformats.org/officeDocument/2006/relationships/hyperlink" Target="http://sil.gobernacion.gob.mx/Archivos/Documentos/2020/09/asun_4071872_20200915_1600189878.pdf" TargetMode="External"/><Relationship Id="rId232" Type="http://schemas.openxmlformats.org/officeDocument/2006/relationships/hyperlink" Target="https://www.minsalud.gov.co/sites/rid/Lists/BibliotecaDigital/RIDE/DE/PS/politica-publica-discapacidad-2013-2022.pdf" TargetMode="External"/><Relationship Id="rId884" Type="http://schemas.openxmlformats.org/officeDocument/2006/relationships/hyperlink" Target="https://www.gob.ec/sites/default/files/regulations/2023-06/Ley-de-Derechos-y-Amparo-del-Paciente%25202014.pdf" TargetMode="External"/><Relationship Id="rId27" Type="http://schemas.openxmlformats.org/officeDocument/2006/relationships/hyperlink" Target="https://www.goodreads.com/book/show/2169901.The_Disability_Business" TargetMode="External"/><Relationship Id="rId537" Type="http://schemas.openxmlformats.org/officeDocument/2006/relationships/hyperlink" Target="https://www.corteidh.or.cr/docs/casos/articulos/seriec_423_esp.pdf" TargetMode="External"/><Relationship Id="rId744" Type="http://schemas.openxmlformats.org/officeDocument/2006/relationships/hyperlink" Target="https://www.ilo.org/dyn/natlex/docs/ELECTRONIC/92617/108003/F-1478699047/DOM92617.pdf" TargetMode="External"/><Relationship Id="rId951" Type="http://schemas.openxmlformats.org/officeDocument/2006/relationships/hyperlink" Target="https://obgyn.onlinelibrary.wiley.com/doi/10.1111/j.1471-0528.2008.01700.x" TargetMode="External"/><Relationship Id="rId80" Type="http://schemas.openxmlformats.org/officeDocument/2006/relationships/hyperlink" Target="https://www.ohchr.org/es/treaty-bodies/crpd" TargetMode="External"/><Relationship Id="rId176" Type="http://schemas.openxmlformats.org/officeDocument/2006/relationships/hyperlink" Target="https://pdba.georgetown.edu/Constitutions/Bahamas/bah73.html" TargetMode="External"/><Relationship Id="rId383" Type="http://schemas.openxmlformats.org/officeDocument/2006/relationships/hyperlink" Target="https://tsje.gov.py/static/ups/legislaciones/2022_resolucion_reglamento_de_voto_accesible.pdf" TargetMode="External"/><Relationship Id="rId590" Type="http://schemas.openxmlformats.org/officeDocument/2006/relationships/hyperlink" Target="https://www.oas.org/juridico/spanish/tratados/a-65.html" TargetMode="External"/><Relationship Id="rId604" Type="http://schemas.openxmlformats.org/officeDocument/2006/relationships/hyperlink" Target="https://www.bcn.cl/leychile/navegar?idNorma=1114288&amp;idParte=9881741" TargetMode="External"/><Relationship Id="rId811" Type="http://schemas.openxmlformats.org/officeDocument/2006/relationships/hyperlink" Target="https://www2.scjn.gob.mx/ConsultaTematica/PaginasPub/DetallePub.aspx?AsuntoID=241686" TargetMode="External"/><Relationship Id="rId243" Type="http://schemas.openxmlformats.org/officeDocument/2006/relationships/hyperlink" Target="https://www.diputados.gob.mx/LeyesBiblio/pdf/LFPED.pdf" TargetMode="External"/><Relationship Id="rId450" Type="http://schemas.openxmlformats.org/officeDocument/2006/relationships/hyperlink" Target="https://www.cijc.org/es/NuestrasConstituciones/REP%25C3%259ABLICA-DOMINICANA-Constitucion.pdf" TargetMode="External"/><Relationship Id="rId688" Type="http://schemas.openxmlformats.org/officeDocument/2006/relationships/hyperlink" Target="https://www.oas.org/juridico/spanish/tratados/a-65.html" TargetMode="External"/><Relationship Id="rId895" Type="http://schemas.openxmlformats.org/officeDocument/2006/relationships/hyperlink" Target="https://www.argentina.gob.ar/normativa/nacional/ley-26657-175977/texto" TargetMode="External"/><Relationship Id="rId909" Type="http://schemas.openxmlformats.org/officeDocument/2006/relationships/hyperlink" Target="http://www.oas.org/es/sadye/publicaciones/GUIA_PRACTICA_CEDDIS_ESP.pdf" TargetMode="External"/><Relationship Id="rId38" Type="http://schemas.openxmlformats.org/officeDocument/2006/relationships/hyperlink" Target="https://iris.who.int/bitstream/handle/10665/349316/9789240039483-eng.pdf?sequence=1" TargetMode="External"/><Relationship Id="rId103" Type="http://schemas.openxmlformats.org/officeDocument/2006/relationships/hyperlink" Target="http://www.corteidh.or.cr/docs/casos/articulos/seriec_423_esp.pdf" TargetMode="External"/><Relationship Id="rId310" Type="http://schemas.openxmlformats.org/officeDocument/2006/relationships/hyperlink" Target="https://www.funcionpublica.gov.co/eva/gestornormativo/norma.php?i=20869" TargetMode="External"/><Relationship Id="rId548" Type="http://schemas.openxmlformats.org/officeDocument/2006/relationships/hyperlink" Target="https://www.argentina.gob.ar/sites/default/files/ley-de-educ-nac-58ac89392ea4c.pdf" TargetMode="External"/><Relationship Id="rId755" Type="http://schemas.openxmlformats.org/officeDocument/2006/relationships/hyperlink" Target="https://www.bcn.cl/leychile/navegar?idNorma=172986&amp;idVersion=Diferido" TargetMode="External"/><Relationship Id="rId91" Type="http://schemas.openxmlformats.org/officeDocument/2006/relationships/hyperlink" Target="https://scm.oas.org/References/Ref_doc_web_page/SPANISH/PROGRAMA_DE_ACCI%25C3%2593N_..._PERSONAS_CON_DISCAPACIDAD_2016-2026.pdf" TargetMode="External"/><Relationship Id="rId187" Type="http://schemas.openxmlformats.org/officeDocument/2006/relationships/hyperlink" Target="https://www.diputados.gob.mx/LeyesBiblio/pdf/LGIPD.pdf" TargetMode="External"/><Relationship Id="rId394" Type="http://schemas.openxmlformats.org/officeDocument/2006/relationships/hyperlink" Target="https://www.argentina.gob.ar/sites/default/files/campana_por_el_derecho_al_voto_de_las_personas_que_se_encuentran_en_establecimientos_de_salud_mental_y-o_de_discapacidad.pdf" TargetMode="External"/><Relationship Id="rId408" Type="http://schemas.openxmlformats.org/officeDocument/2006/relationships/hyperlink" Target="https://igualdad.ine.mx/wp-content/uploads/2021/06/Micrositio_DECEyEC-Protocolo-Discapacidad.pdf" TargetMode="External"/><Relationship Id="rId615" Type="http://schemas.openxmlformats.org/officeDocument/2006/relationships/hyperlink" Target="https://www.ilo.org/dyn/natlex/docs/ELECTRONIC/86697/98271/F1787421735/GTM86697.pdf" TargetMode="External"/><Relationship Id="rId822" Type="http://schemas.openxmlformats.org/officeDocument/2006/relationships/hyperlink" Target="https://www.comunicacion.gob.bo/sites/default/files/dale_vida_a_tus_derechos/archivos/LEY%2520223%2520ACTUALIZACION%25202018%2520WEB.pdf" TargetMode="External"/><Relationship Id="rId254" Type="http://schemas.openxmlformats.org/officeDocument/2006/relationships/hyperlink" Target="https://www.ohchr.org/es/documents/general-comments-and-recommendations/general-comment-no-6-article-5-equality-and-non" TargetMode="External"/><Relationship Id="rId699" Type="http://schemas.openxmlformats.org/officeDocument/2006/relationships/hyperlink" Target="https://www.corteidh.or.cr/docs/casos/articulos/seriec_423_esp.pdf" TargetMode="External"/><Relationship Id="rId49" Type="http://schemas.openxmlformats.org/officeDocument/2006/relationships/hyperlink" Target="http://www.derechoshumanos.unlp.edu.ar/assets/files/documentos/informe-de-la-relatora-especial-de-las-personas-con-discapacidad-diciembre-2016.pdf" TargetMode="External"/><Relationship Id="rId114" Type="http://schemas.openxmlformats.org/officeDocument/2006/relationships/hyperlink" Target="https://www.cepal.org/sites/default/files/presentations/01_daniela_gonzalez_celade.pdf" TargetMode="External"/><Relationship Id="rId461" Type="http://schemas.openxmlformats.org/officeDocument/2006/relationships/hyperlink" Target="https://www.mpba.gov.ar/files/documents/Comite-_CEDDIS-_1er_reunion_extraord_-_Mayo_2011.pdf" TargetMode="External"/><Relationship Id="rId559" Type="http://schemas.openxmlformats.org/officeDocument/2006/relationships/hyperlink" Target="https://www.diputados.gob.mx/LeyesBiblio/pdf/LGIPD.pdf" TargetMode="External"/><Relationship Id="rId766" Type="http://schemas.openxmlformats.org/officeDocument/2006/relationships/hyperlink" Target="https://www.wipo.int/wipolex/es/legislation/details/8826" TargetMode="External"/><Relationship Id="rId198" Type="http://schemas.openxmlformats.org/officeDocument/2006/relationships/hyperlink" Target="http://www.pgrweb.go.cr/scij/Busqueda/Normativa/Normas/nrm_texto_completo.aspx?nValor1=1&amp;nValor2=23261" TargetMode="External"/><Relationship Id="rId321" Type="http://schemas.openxmlformats.org/officeDocument/2006/relationships/hyperlink" Target="https://www.alcaldiabogota.gov.co/sisjur/normas/Norma1.jsp?i=125045" TargetMode="External"/><Relationship Id="rId419" Type="http://schemas.openxmlformats.org/officeDocument/2006/relationships/hyperlink" Target="https://www.tse.org.gt/images/LEPP.pdf" TargetMode="External"/><Relationship Id="rId626" Type="http://schemas.openxmlformats.org/officeDocument/2006/relationships/hyperlink" Target="https://www.gob.mx/cms/uploads/attachment/file/156203/1044_Ley_Federal_del_Trabajo.pdf" TargetMode="External"/><Relationship Id="rId833" Type="http://schemas.openxmlformats.org/officeDocument/2006/relationships/hyperlink" Target="https://www.bcn.cl/leychile/navegar?idNorma=1010903" TargetMode="External"/><Relationship Id="rId265" Type="http://schemas.openxmlformats.org/officeDocument/2006/relationships/hyperlink" Target="http://www.convenciondiscapacidad.es/wp-content/uploads/2019/01/Observaci%25C3%25B3n-1-Art%25C3%25ADculo-12-Capacidad-jur%25C3%25ADdica.pdf" TargetMode="External"/><Relationship Id="rId472" Type="http://schemas.openxmlformats.org/officeDocument/2006/relationships/hyperlink" Target="https://publications.iadb.org/es/marco-legal-de-los-derechos-de-las-personas-con-discapacidad-america-latina-y-el-caribe" TargetMode="External"/><Relationship Id="rId900" Type="http://schemas.openxmlformats.org/officeDocument/2006/relationships/hyperlink" Target="http://www.comisionporlamemoria.org/archivos/cpm/normativa/saludmental/ley_nac_salud_mental_26657.pdf" TargetMode="External"/><Relationship Id="rId125" Type="http://schemas.openxmlformats.org/officeDocument/2006/relationships/hyperlink" Target="https://www.senadis.gob.cl/pag/693/2004/iii_estudio_nacional_de_la_discapacidad" TargetMode="External"/><Relationship Id="rId332" Type="http://schemas.openxmlformats.org/officeDocument/2006/relationships/hyperlink" Target="https://www.argentina.gob.ar/normativa/nacional/ley-25573-2002-73892." TargetMode="External"/><Relationship Id="rId777" Type="http://schemas.openxmlformats.org/officeDocument/2006/relationships/hyperlink" Target="http://www.pgrweb.go.cr/scij/Busqueda/Normativa/Normas/nrm_texto_completo.aspx?param1=NRTC&amp;nValor1=1&amp;nValor2=82244&amp;nValor3=105179&amp;strTipM=TC" TargetMode="External"/><Relationship Id="rId637" Type="http://schemas.openxmlformats.org/officeDocument/2006/relationships/hyperlink" Target="https://leyes.congreso.gob.pe/Documentos/Leyes/29973.pdf" TargetMode="External"/><Relationship Id="rId844" Type="http://schemas.openxmlformats.org/officeDocument/2006/relationships/hyperlink" Target="https://www2.scjn.gob.mx/ConsultaTematica/PaginasPub/DetallePub.aspx?AsuntoID=241686" TargetMode="External"/><Relationship Id="rId276" Type="http://schemas.openxmlformats.org/officeDocument/2006/relationships/hyperlink" Target="https://www.bahamas.gov.bs/wps/wcm/connect/678cadc1-08d9-43d3-bc55-d10c99f9064c/Final+Clean+1+July+2014+Persons+With+Disabilities+(Equal+Opportunities)+Bill.pdf?MOD=AJPERES" TargetMode="External"/><Relationship Id="rId483" Type="http://schemas.openxmlformats.org/officeDocument/2006/relationships/hyperlink" Target="https://acnudh.org/load/2016/04/CRPD_C_CHL_CO_1_23679_S.pdf" TargetMode="External"/><Relationship Id="rId690" Type="http://schemas.openxmlformats.org/officeDocument/2006/relationships/hyperlink" Target="https://www.oas.org/36ag/espanol/doc_referencia/convencion_viena.pdf" TargetMode="External"/><Relationship Id="rId704" Type="http://schemas.openxmlformats.org/officeDocument/2006/relationships/hyperlink" Target="https://documents-dds-ny.un.org/doc/UNDOC/GEN/G17/360/35/PDF/G1736035.pdf?OpenElement" TargetMode="External"/><Relationship Id="rId911" Type="http://schemas.openxmlformats.org/officeDocument/2006/relationships/hyperlink" Target="https://www.bahamas.gov.bs/wps/wcm/connect/678cadc1-08d9-43d3-bc55-d10c99f9064c/Final+Clean+1+July+2014+Persons+With+Disabilities+(Equal+Opportunities)+Bill.pdf?MOD=AJPERES" TargetMode="External"/><Relationship Id="rId40" Type="http://schemas.openxmlformats.org/officeDocument/2006/relationships/hyperlink" Target="https://documents.un.org/doc/undoc/gen/g19/346/57/pdf/g1934657.pdf" TargetMode="External"/><Relationship Id="rId136" Type="http://schemas.openxmlformats.org/officeDocument/2006/relationships/hyperlink" Target="https://www.coneval.org.mx/Medicion/MP/Documents/MMP_2018_2020/Notas_pobreza_2020/Nota_tecnica_identificacion_de_personas_con_discapacidad_2020.pdf" TargetMode="External"/><Relationship Id="rId343" Type="http://schemas.openxmlformats.org/officeDocument/2006/relationships/hyperlink" Target="https://vlex.cl/vid/posibiliten-programacion-televisiva-365456322." TargetMode="External"/><Relationship Id="rId550" Type="http://schemas.openxmlformats.org/officeDocument/2006/relationships/hyperlink" Target="https://www.bahamas.gov.bs/wps/wcm/connect/678cadc1-08d9-43d3-bc55-d10c99f9064c/Final+Clean+1+July+2014+Persons+With+Disabilities+(Equal+Opportunities)+Bill.pdf?MOD=AJPERES" TargetMode="External"/><Relationship Id="rId788" Type="http://schemas.openxmlformats.org/officeDocument/2006/relationships/hyperlink" Target="http://snd.gov.co/documentos/lineamientos-valoraciones-apoyo.pdf" TargetMode="External"/><Relationship Id="rId203" Type="http://schemas.openxmlformats.org/officeDocument/2006/relationships/hyperlink" Target="https://www.bacn.gov.py/leyes-paraguayas/9475/ley-n-6667-promueve-la-implementacion-permanente-de-campanas-masivas-de-difusion-y-sensibilizacion-sobre-los-derechos-de-las-personas-con-discapacidad-y-todo-aquello-relacionado-con-la-inclusion-de-las-mismas" TargetMode="External"/><Relationship Id="rId648" Type="http://schemas.openxmlformats.org/officeDocument/2006/relationships/hyperlink" Target="http://www.pgrweb.go.cr/scij/Busqueda/Normativa/Normas/nrm_texto_completo.aspx?param1=NRTC&amp;nValor1=1&amp;nValor2=69886&amp;nValor3=0&amp;strTipM=TC" TargetMode="External"/><Relationship Id="rId855" Type="http://schemas.openxmlformats.org/officeDocument/2006/relationships/hyperlink" Target="https://www.ohchr.org/es/documents/reports/report-committee-rights-persons-disabilities-thirteenth-session-25-march-17-april" TargetMode="External"/><Relationship Id="rId287" Type="http://schemas.openxmlformats.org/officeDocument/2006/relationships/hyperlink" Target="https://www.ilo.org/dyn/natlex/docs/ELECTRONIC/99560/118895/F1050124846/HTI-99560.pdf" TargetMode="External"/><Relationship Id="rId410" Type="http://schemas.openxmlformats.org/officeDocument/2006/relationships/hyperlink" Target="https://evaluaciondocente.perueduca.pe/media/2016/06/Reglamento_de_la_Ley_de_la_Persona_con_Discapacidad.pdf" TargetMode="External"/><Relationship Id="rId494" Type="http://schemas.openxmlformats.org/officeDocument/2006/relationships/hyperlink" Target="https://extranet.who.int/mindbank/item/2455" TargetMode="External"/><Relationship Id="rId508" Type="http://schemas.openxmlformats.org/officeDocument/2006/relationships/hyperlink" Target="https://agla.gov.tt/downloads/laws/29.03.pdf" TargetMode="External"/><Relationship Id="rId715" Type="http://schemas.openxmlformats.org/officeDocument/2006/relationships/hyperlink" Target="http://www.oas.org/es/sadye/publicaciones/GUIA_PRACTICA_CEDDIS_ESP.pdf" TargetMode="External"/><Relationship Id="rId922" Type="http://schemas.openxmlformats.org/officeDocument/2006/relationships/hyperlink" Target="https://asamblea.gob.pa/APPS/SEG_LEGIS/PDF_SEG/PDF_SEG_2020/PDF_SEG_2022/2022_A_245.pdf" TargetMode="External"/><Relationship Id="rId147" Type="http://schemas.openxmlformats.org/officeDocument/2006/relationships/hyperlink" Target="https://www.oas.org/juridico/spanish/firmas/a-65.html" TargetMode="External"/><Relationship Id="rId354" Type="http://schemas.openxmlformats.org/officeDocument/2006/relationships/hyperlink" Target="https://www2.scjn.gob.mx/ConsultaTematica/PaginasPub/DetallePub.aspx?AsuntoID=238942" TargetMode="External"/><Relationship Id="rId799" Type="http://schemas.openxmlformats.org/officeDocument/2006/relationships/hyperlink" Target="http://sil.gobernacion.gob.mx/Archivos/Documentos/2020/09/asun_4071872_20200915_1600189878.pdf" TargetMode="External"/><Relationship Id="rId51" Type="http://schemas.openxmlformats.org/officeDocument/2006/relationships/hyperlink" Target="https://www.oas.org/juridico/spanish/tratados/a-65.html" TargetMode="External"/><Relationship Id="rId561" Type="http://schemas.openxmlformats.org/officeDocument/2006/relationships/hyperlink" Target="https://aaps.gob.bo/images/MarcoLegal/Leyes/CPE.pdf" TargetMode="External"/><Relationship Id="rId659" Type="http://schemas.openxmlformats.org/officeDocument/2006/relationships/hyperlink" Target="https://www.senadis.gob.cl/pag/615/1917/convocatoria_acotada_programa_apoyo_a_la_inclusion_laboral_de_personas_con_discapacidad_2021." TargetMode="External"/><Relationship Id="rId866" Type="http://schemas.openxmlformats.org/officeDocument/2006/relationships/hyperlink" Target="https://www.nationalassembly.gov.bz/wp-content/uploads/2021/11/Act-No-33-of-2021-Medical-Services-and-Institutions-Amendment-Act-2021.pdf" TargetMode="External"/><Relationship Id="rId214" Type="http://schemas.openxmlformats.org/officeDocument/2006/relationships/hyperlink" Target="https://www.ilo.org/dyn/natlex/docs/ELECTRONIC/85095/95072/F803428365/BOL85095.pdf" TargetMode="External"/><Relationship Id="rId298" Type="http://schemas.openxmlformats.org/officeDocument/2006/relationships/hyperlink" Target="https://www.oas.org/dil/esp/constitucion_bolivia.pdf" TargetMode="External"/><Relationship Id="rId421" Type="http://schemas.openxmlformats.org/officeDocument/2006/relationships/hyperlink" Target="https://www.haitilibre.com/docs/decretelectoral2015.pdf" TargetMode="External"/><Relationship Id="rId519" Type="http://schemas.openxmlformats.org/officeDocument/2006/relationships/hyperlink" Target="https://www.unesco.org/en/articles/covid-19-and-tackling-inequalities-caribbean-small-islands-states-perspective-persons-disabilities" TargetMode="External"/><Relationship Id="rId158" Type="http://schemas.openxmlformats.org/officeDocument/2006/relationships/hyperlink" Target="https://siteal.iiep.unesco.org/sites/default/files/sit_accion_files/ni_0003.pdf" TargetMode="External"/><Relationship Id="rId726" Type="http://schemas.openxmlformats.org/officeDocument/2006/relationships/hyperlink" Target="http://www.oas.org/es/sadye/publicaciones/GUIA_PRACTICA_CEDDIS_ESP.pdf" TargetMode="External"/><Relationship Id="rId933" Type="http://schemas.openxmlformats.org/officeDocument/2006/relationships/hyperlink" Target="http://www.convenciondiscapacidad.es/wp-content/uploads/2019/01/Observaci%25C3%25B3n-1-Art%25C3%25ADculo-12-Capacidad-jur%25C3%25ADdica.pdf" TargetMode="External"/><Relationship Id="rId62" Type="http://schemas.openxmlformats.org/officeDocument/2006/relationships/hyperlink" Target="https://www.ohchr.org/es/instruments-mechanisms/instruments/international-covenant-civil-and-political-rights" TargetMode="External"/><Relationship Id="rId365" Type="http://schemas.openxmlformats.org/officeDocument/2006/relationships/hyperlink" Target="https://www.oas.org/dil/esp/1969_Convenci%25C3%25B3n_Americana_sobre_Derechos_Humanos.pdf" TargetMode="External"/><Relationship Id="rId572" Type="http://schemas.openxmlformats.org/officeDocument/2006/relationships/hyperlink" Target="https://www.suin-juriscol.gov.co/viewDocument.asp?ruta=Decretos/30033428" TargetMode="External"/><Relationship Id="rId225" Type="http://schemas.openxmlformats.org/officeDocument/2006/relationships/hyperlink" Target="https://www.desarrollosocialyfamilia.gob.cl/programas-sociales/personas-con-discapacidad/estrategia-de-desarrollo-local-inclusivo-edli#:~:text=La%2520Estrategia%2520de%2520Desarrollo%2520Local,los%2520territorios%252C%2520desde%2520los%2520municipios" TargetMode="External"/><Relationship Id="rId432" Type="http://schemas.openxmlformats.org/officeDocument/2006/relationships/hyperlink" Target="https://www.bcn.cl/procesoconstituyente/comparadordeconstituciones/constitucion/bhs" TargetMode="External"/><Relationship Id="rId877" Type="http://schemas.openxmlformats.org/officeDocument/2006/relationships/hyperlink" Target="http://www.cicad.oas.org/fortalecimiento_institucional/legislations/PDF/EC/ley_organica_de_salud.pdf" TargetMode="External"/><Relationship Id="rId737" Type="http://schemas.openxmlformats.org/officeDocument/2006/relationships/hyperlink" Target="http://www.saij.gob.ar/docs-f/codigo/Codigo_Civil_y_Comercial_de_la_Nacion.pdf" TargetMode="External"/><Relationship Id="rId944" Type="http://schemas.openxmlformats.org/officeDocument/2006/relationships/hyperlink" Target="https://www.corteconstitucional.gov.co/relatoria/2016/t-573-16.htm" TargetMode="External"/><Relationship Id="rId73" Type="http://schemas.openxmlformats.org/officeDocument/2006/relationships/hyperlink" Target="https://www.un.org/esa/socdev/enable/documents/tccconvs.pdf" TargetMode="External"/><Relationship Id="rId169" Type="http://schemas.openxmlformats.org/officeDocument/2006/relationships/hyperlink" Target="https://pdba.georgetown.edu/Constitutions/Guyana/guyana70.html" TargetMode="External"/><Relationship Id="rId376" Type="http://schemas.openxmlformats.org/officeDocument/2006/relationships/hyperlink" Target="https://www.ilo.org/dyn/natlex/docs/ELECTRONIC/99459/118738/F-157637669/GUY99459%25202012.pdf" TargetMode="External"/><Relationship Id="rId583" Type="http://schemas.openxmlformats.org/officeDocument/2006/relationships/hyperlink" Target="https://tbinternet.ohchr.org/_layouts/15/treatybodyexternal/Download.aspx?symbolno=CRPD/C/GC/4&amp;Lang=en" TargetMode="External"/><Relationship Id="rId790" Type="http://schemas.openxmlformats.org/officeDocument/2006/relationships/hyperlink" Target="https://cdn.www.gob.pe/uploads/document/file/192139/DL_1384.pdf?v=1593814894" TargetMode="External"/><Relationship Id="rId804" Type="http://schemas.openxmlformats.org/officeDocument/2006/relationships/hyperlink" Target="https://www.documenta.org.mx/decidir-es-mi-derecho/" TargetMode="External"/><Relationship Id="rId4" Type="http://schemas.openxmlformats.org/officeDocument/2006/relationships/hyperlink" Target="https://es.scribd.com/document/202011092/Visiones-y-Revisiones-de-La-Discapacidad-Terminado" TargetMode="External"/><Relationship Id="rId236" Type="http://schemas.openxmlformats.org/officeDocument/2006/relationships/hyperlink" Target="http://www.plataformaconadis.gob.ec/~platafor/sensibiliza-a-tu-empresa-o-institucion/" TargetMode="External"/><Relationship Id="rId443" Type="http://schemas.openxmlformats.org/officeDocument/2006/relationships/hyperlink" Target="https://www.constituteproject.org/constitution/Haiti_2012?lang=es" TargetMode="External"/><Relationship Id="rId650" Type="http://schemas.openxmlformats.org/officeDocument/2006/relationships/hyperlink" Target="https://www.ilo.org/dyn/natlex/docs/ELECTRONIC/99560/118895/F1050124846/HTI-99560.pdf" TargetMode="External"/><Relationship Id="rId888" Type="http://schemas.openxmlformats.org/officeDocument/2006/relationships/hyperlink" Target="https://www.minfin.gob.gt/images/archivos/leyes/tesoreria/Decretos/DECRETO%2520LEY%2520107.pdf" TargetMode="External"/><Relationship Id="rId303" Type="http://schemas.openxmlformats.org/officeDocument/2006/relationships/hyperlink" Target="https://siteal.iiep.unesco.org/sites/default/files/sit_accion_files/bo_0268.pdf" TargetMode="External"/><Relationship Id="rId748" Type="http://schemas.openxmlformats.org/officeDocument/2006/relationships/hyperlink" Target="https://www.oas.org/dil/esp/codigo_civil_nicaragua.pdf" TargetMode="External"/><Relationship Id="rId955" Type="http://schemas.openxmlformats.org/officeDocument/2006/relationships/hyperlink" Target="https://undocs.org/es/A/HRC/34/50" TargetMode="External"/><Relationship Id="rId84" Type="http://schemas.openxmlformats.org/officeDocument/2006/relationships/hyperlink" Target="https://www.ohchr.org/es/special-procedures/sr-disability/mandate-special-rapporteur-rights-persons-disabilities" TargetMode="External"/><Relationship Id="rId387" Type="http://schemas.openxmlformats.org/officeDocument/2006/relationships/hyperlink" Target="https://agla.gov.tt/downloads/laws/2.01.pdf" TargetMode="External"/><Relationship Id="rId510" Type="http://schemas.openxmlformats.org/officeDocument/2006/relationships/hyperlink" Target="http://www.corteidh.or.cr/docs/casos/articulos/resumen_329_esp.pdf" TargetMode="External"/><Relationship Id="rId594" Type="http://schemas.openxmlformats.org/officeDocument/2006/relationships/hyperlink" Target="http://servicios.infoleg.gob.ar/infolegInternet/anexos/80000-84999/81041/norma.htm" TargetMode="External"/><Relationship Id="rId608" Type="http://schemas.openxmlformats.org/officeDocument/2006/relationships/hyperlink" Target="https://www.funcionpublica.gov.co/eva/gestornormativo/norma.php?i=343#:~:text=%252D%2520El%2520presente%2520t%25C3%25ADtulo%2520establece%2520las,%252C%2520analfabetismo%252C%2520limitaci%25C3%25B3n%2520o%2520enfermedad." TargetMode="External"/><Relationship Id="rId815" Type="http://schemas.openxmlformats.org/officeDocument/2006/relationships/hyperlink" Target="https://www2.scjn.gob.mx/ConsultaTematica/PaginasPub/DetallePub.aspx?AsuntoID=241686" TargetMode="External"/><Relationship Id="rId247" Type="http://schemas.openxmlformats.org/officeDocument/2006/relationships/hyperlink" Target="https://www.bacn.gov.py/leyes-paraguayas/9475/ley-n-6667-promueve-la-implementacion-permanente-de-campanas-masivas-de-difusion-y-sensibilizacion-sobre-los-derechos-de-las-personas-con-discapacidad-y-todo-aquello-relacionado-con-la-inclusion-de-las-mismas#:~:text=DE%2520LAS%2520MISMAS-,Ley%2520N%25C2%25BA%25206667%2520%252F%2520PROMUEVE%2520LA%2520IMPLEMENTACI%25C3%2593N%2520PERMANENTE%2520DE%2520CAMPA%25C3%2591AS%2520MASIVAS,LA%2520INCLUSI%25C3%2593N%2520DE%2520LAS%2520MISMAS" TargetMode="External"/><Relationship Id="rId899" Type="http://schemas.openxmlformats.org/officeDocument/2006/relationships/hyperlink" Target="https://docstore.ohchr.org/SelfServices/FilesHandler.ashx?enc=6QkG1d/PPRiCAqhKb7yhsrUSo2TlYtHaYAWJ+yrd8Skkty8+xJZ8vIbGxhck1kHBIKay8anA0Rxj78wGfLbNT0y/VBSKwd+hB4FMoo5JyTg=" TargetMode="External"/><Relationship Id="rId107" Type="http://schemas.openxmlformats.org/officeDocument/2006/relationships/hyperlink" Target="https://docstore.ohchr.org/SelfServices/FilesHandler.ashx?enc=6QkG1d/PPRiCAqhKb7yhsnbHatvuFkZ+t93Y3D+aa2oLCHc5Ye5y0yX37Gpo/kmBZl1QeKTg7cNEuS/zKc3xGM7PD4P8YrjsNLHbSyyH3+pDNGpobvX+6Zw74L1Z2GWT" TargetMode="External"/><Relationship Id="rId454" Type="http://schemas.openxmlformats.org/officeDocument/2006/relationships/hyperlink" Target="https://agla.gov.tt/downloads/laws/28.02.pdf" TargetMode="External"/><Relationship Id="rId661" Type="http://schemas.openxmlformats.org/officeDocument/2006/relationships/hyperlink" Target="https://www.oas.org/en/iachr/docs/annual/2022/Chapters/6-IA2022_Cap_4A_EN.pdf" TargetMode="External"/><Relationship Id="rId759" Type="http://schemas.openxmlformats.org/officeDocument/2006/relationships/hyperlink" Target="https://parliament.gov.gy/documents/acts/3621-act_no._5.pdf" TargetMode="External"/><Relationship Id="rId11" Type="http://schemas.openxmlformats.org/officeDocument/2006/relationships/hyperlink" Target="https://www.ohchr.org/es/documents/general-comments-and-recommendations/general-comment-no-6-article-5-equality-and-non" TargetMode="External"/><Relationship Id="rId314" Type="http://schemas.openxmlformats.org/officeDocument/2006/relationships/hyperlink" Target="https://www.funcionpublica.gov.co/eva/gestornormativo/norma.php?i=8799" TargetMode="External"/><Relationship Id="rId398" Type="http://schemas.openxmlformats.org/officeDocument/2006/relationships/hyperlink" Target="https://www.stf.jus.br/arquivo/cms/legislacaoConstituicao/anexo/CF_espanhol_web.pdf" TargetMode="External"/><Relationship Id="rId521" Type="http://schemas.openxmlformats.org/officeDocument/2006/relationships/hyperlink" Target="https://www.senadis.gob.cl/sala_prensa/d/noticias/8186/conoce-que-es-el-estado-de-excepcion-de-catastrofe-en-lectura-facil" TargetMode="External"/><Relationship Id="rId619" Type="http://schemas.openxmlformats.org/officeDocument/2006/relationships/hyperlink" Target="https://www.ilo.org/dyn/natlex/docs/ELECTRONIC/99459/118738/F-157637669/GUY99459%25202012.pdf" TargetMode="External"/><Relationship Id="rId95" Type="http://schemas.openxmlformats.org/officeDocument/2006/relationships/hyperlink" Target="http://www.corteidh.or.cr/docs/casos/articulos/seriec_312_esp.pdf" TargetMode="External"/><Relationship Id="rId160" Type="http://schemas.openxmlformats.org/officeDocument/2006/relationships/hyperlink" Target="https://www.impo.com.uy/bases/leyes/18651-2010" TargetMode="External"/><Relationship Id="rId826" Type="http://schemas.openxmlformats.org/officeDocument/2006/relationships/hyperlink" Target="https://www.ilo.org/dyn/natlex/docs/ELECTRONIC/110888/138082/F1994753732/decreto%2520672%25202020%2520el%2520salvador.pdf" TargetMode="External"/><Relationship Id="rId258" Type="http://schemas.openxmlformats.org/officeDocument/2006/relationships/hyperlink" Target="https://documents1.worldbank.org/curated/en/099015012012140135/pdf/P17538307bf8530ef0b57005d4d17d157f6.pdf" TargetMode="External"/><Relationship Id="rId465" Type="http://schemas.openxmlformats.org/officeDocument/2006/relationships/hyperlink" Target="https://www.oas.org/es/sadye/inclusion-social/protocolo-ssv/docs/protocolo-san-salvador-es.pdf" TargetMode="External"/><Relationship Id="rId672" Type="http://schemas.openxmlformats.org/officeDocument/2006/relationships/hyperlink" Target="https://www.mpba.gov.ar/files/documents/Comite-_CEDDIS-_1er_reunion_extraord_-_Mayo_2011.pdf" TargetMode="External"/><Relationship Id="rId22" Type="http://schemas.openxmlformats.org/officeDocument/2006/relationships/hyperlink" Target="http://www.oas.org/es/cidh/decisiones/2021/HOSA11.545ES.pdf" TargetMode="External"/><Relationship Id="rId118" Type="http://schemas.openxmlformats.org/officeDocument/2006/relationships/hyperlink" Target="https://www.oas.org/es/sedi/ddse/paginas/index-4_medicion.asp" TargetMode="External"/><Relationship Id="rId325" Type="http://schemas.openxmlformats.org/officeDocument/2006/relationships/hyperlink" Target="https://www.argentina.gob.ar/normativa/nacional/ley-24314-713/texto#:~:text=Las%2520empresas%2520de%2520transporte%2520colectivo,a%2520los%2520que%2520deban%2520concurrir." TargetMode="External"/><Relationship Id="rId532" Type="http://schemas.openxmlformats.org/officeDocument/2006/relationships/hyperlink" Target="https://tbinternet.ohchr.org/_layouts/15/treatybodyexternal/Download.aspx?symbolno=CRPD/C/GC/1&amp;Lang=en" TargetMode="External"/><Relationship Id="rId171" Type="http://schemas.openxmlformats.org/officeDocument/2006/relationships/hyperlink" Target="https://www.ilo.org/dyn/natlex/docs/ELECTRONIC/98288/116893/F-1639331683/JAM98288.pdf" TargetMode="External"/><Relationship Id="rId837" Type="http://schemas.openxmlformats.org/officeDocument/2006/relationships/hyperlink" Target="https://oig.cepal.org/sites/default/files/2011_ley763_nic_0.pdf" TargetMode="External"/><Relationship Id="rId269" Type="http://schemas.openxmlformats.org/officeDocument/2006/relationships/hyperlink" Target="https://www.oas.org/juridico/spanish/tratados/a-65.html" TargetMode="External"/><Relationship Id="rId476" Type="http://schemas.openxmlformats.org/officeDocument/2006/relationships/hyperlink" Target="https://publications.iadb.org/es/marco-legal-de-los-derechos-de-las-personas-con-discapacidad-america-latina-y-el-caribe" TargetMode="External"/><Relationship Id="rId683" Type="http://schemas.openxmlformats.org/officeDocument/2006/relationships/hyperlink" Target="https://www.acnur.org/fileadmin/Documentos/BDL/2003/2351.pdf" TargetMode="External"/><Relationship Id="rId890" Type="http://schemas.openxmlformats.org/officeDocument/2006/relationships/hyperlink" Target="https://www.ilo.org/dyn/natlex/docs/ELECTRONIC/99560/118895/F1050124846/HTI-99560.pdf" TargetMode="External"/><Relationship Id="rId904" Type="http://schemas.openxmlformats.org/officeDocument/2006/relationships/hyperlink" Target="https://www.diputados.gob.mx/LeyesBiblio/pdf/LGS.pdf" TargetMode="External"/><Relationship Id="rId33" Type="http://schemas.openxmlformats.org/officeDocument/2006/relationships/hyperlink" Target="https://www.corteidh.or.cr/tablas/32092.pdf" TargetMode="External"/><Relationship Id="rId129" Type="http://schemas.openxmlformats.org/officeDocument/2006/relationships/hyperlink" Target="https://www.minsalud.gov.co/proteccionsocial/promocion-social/Discapacidad/Paginas/registro-localizacion.aspx" TargetMode="External"/><Relationship Id="rId336" Type="http://schemas.openxmlformats.org/officeDocument/2006/relationships/hyperlink" Target="http://mepriv.mecon.gov.ar/Normas3/26522.html#:~:text=El%2520objeto%2520de%2520la%2520presente,abaratamiento%252C%2520democratizaci%25C3%25B3n1%2520y%2520universalizaci%25C3%25B3n%2520del" TargetMode="External"/><Relationship Id="rId543" Type="http://schemas.openxmlformats.org/officeDocument/2006/relationships/hyperlink" Target="https://www.oas.org/juridico/spanish/tratados/a-65.html" TargetMode="External"/><Relationship Id="rId182" Type="http://schemas.openxmlformats.org/officeDocument/2006/relationships/hyperlink" Target="https://www.bahamas.gov.bs/wps/wcm/connect/678cadc1-08d9-43d3-bc55-d10c99f9064c/Final+Clean+1+July+2014+Persons+With+Disabilities+(Equal+Opportunities)+Bill.pdf?MOD=AJPERES" TargetMode="External"/><Relationship Id="rId403" Type="http://schemas.openxmlformats.org/officeDocument/2006/relationships/hyperlink" Target="https://www.inci.gov.co/blog/el-inci-y-la-registraduria-garantizan-el-voto-para-los-ciegos#:~:text=La%2520misma%2520Circular%2520097%2520de,discapacidad%2520que%2520as%25C3%25AD%2520lo%2520requieran." TargetMode="External"/><Relationship Id="rId750" Type="http://schemas.openxmlformats.org/officeDocument/2006/relationships/hyperlink" Target="http://laws.bahamas.gov.bs/cms/images/LEGISLATION/PRINCIPAL/1969/1969-0016/MentalHealthAct_1.pdf" TargetMode="External"/><Relationship Id="rId848" Type="http://schemas.openxmlformats.org/officeDocument/2006/relationships/hyperlink" Target="https://www.oas.org/es/cidh/mandato/basicos/declaracion.asp" TargetMode="External"/><Relationship Id="rId487" Type="http://schemas.openxmlformats.org/officeDocument/2006/relationships/hyperlink" Target="https://www.oas.org/juridico/pdfs/mesicic4_ecu_const.pdf" TargetMode="External"/><Relationship Id="rId610" Type="http://schemas.openxmlformats.org/officeDocument/2006/relationships/hyperlink" Target="http://www.pgrweb.go.cr/scij/Busqueda/Normativa/Normas/nrm_texto_completo.aspx?param1=NRTC&amp;nValor1=1&amp;nValor2=69031&amp;nValor3=82737&amp;strTipM=TC" TargetMode="External"/><Relationship Id="rId694" Type="http://schemas.openxmlformats.org/officeDocument/2006/relationships/hyperlink" Target="https://documents-dds-ny.un.org/doc/UNDOC/GEN/G17/360/35/PDF/G1736035.pdf?OpenElement" TargetMode="External"/><Relationship Id="rId708" Type="http://schemas.openxmlformats.org/officeDocument/2006/relationships/hyperlink" Target="http://www.convenciondiscapacidad.es/wp-content/uploads/2019/01/Observaci%25C3%25B3n-1-Art%25C3%25ADculo-12-Capacidad-jur%25C3%25ADdica.pdf" TargetMode="External"/><Relationship Id="rId915" Type="http://schemas.openxmlformats.org/officeDocument/2006/relationships/hyperlink" Target="https://busquedas.elperuano.pe/dispositivo/NL/1687393-2" TargetMode="External"/><Relationship Id="rId347" Type="http://schemas.openxmlformats.org/officeDocument/2006/relationships/hyperlink" Target="https://www.bcn.cl/leychile/navegar?idNorma=1154963." TargetMode="External"/><Relationship Id="rId44" Type="http://schemas.openxmlformats.org/officeDocument/2006/relationships/hyperlink" Target="https://www.un.org/esa/socdev/enable/documents/tccconvs.pdf" TargetMode="External"/><Relationship Id="rId554" Type="http://schemas.openxmlformats.org/officeDocument/2006/relationships/hyperlink" Target="https://www.bcn.cl/leychile/navegar?idNorma=1074511" TargetMode="External"/><Relationship Id="rId761" Type="http://schemas.openxmlformats.org/officeDocument/2006/relationships/hyperlink" Target="https://www.oas.org/dil/esp/Codigo_Civil_Honduras.pdf" TargetMode="External"/><Relationship Id="rId859" Type="http://schemas.openxmlformats.org/officeDocument/2006/relationships/hyperlink" Target="https://www.oas.org/es/sadye/publicaciones/GUIA_PRACTICA_CEDDIS_ESP.pdf" TargetMode="External"/><Relationship Id="rId193" Type="http://schemas.openxmlformats.org/officeDocument/2006/relationships/hyperlink" Target="https://www.ilo.org/dyn/natlex/docs/ELECTRONIC/92617/108003/F-1478699047/DOM92617.pdf" TargetMode="External"/><Relationship Id="rId207" Type="http://schemas.openxmlformats.org/officeDocument/2006/relationships/hyperlink" Target="https://www.boletinoficial.gob.ar/detalleAviso/primera/252007/20211029" TargetMode="External"/><Relationship Id="rId414" Type="http://schemas.openxmlformats.org/officeDocument/2006/relationships/hyperlink" Target="https://www.barbadosparliament.com/uploads/bill_resolution/1352205dba1c920585faa9b7da0da8db.pdf" TargetMode="External"/><Relationship Id="rId498" Type="http://schemas.openxmlformats.org/officeDocument/2006/relationships/hyperlink" Target="https://jcpd.gov.jm/wp-content/uploads/2023/07/DISABILITIESACT2014.pdf" TargetMode="External"/><Relationship Id="rId621" Type="http://schemas.openxmlformats.org/officeDocument/2006/relationships/hyperlink" Target="https://www.ilo.org/dyn/natlex/docs/ELECTRONIC/51603/95835/F1569709570/GUY51603%25202012.pdf" TargetMode="External"/><Relationship Id="rId260" Type="http://schemas.openxmlformats.org/officeDocument/2006/relationships/hyperlink" Target="https://documents1.worldbank.org/curated/en/099015012012140135/pdf/P17538307bf8530ef0b57005d4d17d157f6.pdf" TargetMode="External"/><Relationship Id="rId719" Type="http://schemas.openxmlformats.org/officeDocument/2006/relationships/hyperlink" Target="http://www.derechoshumanos.unlp.edu.ar/assets/files/documentos/informe-de-la-relatora-especial-de-las-personas-con-discapacidad-diciembre-2016.pdf" TargetMode="External"/><Relationship Id="rId926" Type="http://schemas.openxmlformats.org/officeDocument/2006/relationships/hyperlink" Target="https://www.bcn.cl/leychile/navegar?idNorma=1039348" TargetMode="External"/><Relationship Id="rId55" Type="http://schemas.openxmlformats.org/officeDocument/2006/relationships/hyperlink" Target="https://www.corteidh.or.cr/docs/casos/articulos/seriec_246_esp.pdf" TargetMode="External"/><Relationship Id="rId120" Type="http://schemas.openxmlformats.org/officeDocument/2006/relationships/hyperlink" Target="https://censo.gob.ar/" TargetMode="External"/><Relationship Id="rId358" Type="http://schemas.openxmlformats.org/officeDocument/2006/relationships/hyperlink" Target="http://www.senacyt.gob.pa/wp-content/uploads/2017/04/Plan-de-Seguridad-para-las-personas-con-discapacidad.pdf" TargetMode="External"/><Relationship Id="rId565" Type="http://schemas.openxmlformats.org/officeDocument/2006/relationships/hyperlink" Target="https://www.ilo.org/dyn/natlex/docs/ELECTRONIC/100279/120260/F-1594449767/LEY%252013146%2520BRASIL.pdf" TargetMode="External"/><Relationship Id="rId772" Type="http://schemas.openxmlformats.org/officeDocument/2006/relationships/hyperlink" Target="http://www.saij.gob.ar/docs-f/codigo/Codigo_Civil_y_Comercial_de_la_Nacion.pdf" TargetMode="External"/><Relationship Id="rId218" Type="http://schemas.openxmlformats.org/officeDocument/2006/relationships/hyperlink" Target="https://www.produccion.gob.bo/?p=7514" TargetMode="External"/><Relationship Id="rId425" Type="http://schemas.openxmlformats.org/officeDocument/2006/relationships/hyperlink" Target="https://www.cijc.org/es/NuestrasConstituciones/REP%25C3%259ABLICA-DOMINICANA-Constitucion.pdf" TargetMode="External"/><Relationship Id="rId632" Type="http://schemas.openxmlformats.org/officeDocument/2006/relationships/hyperlink" Target="https://www.bacn.gov.py/leyes-paraguayas/3132/crea-la-secretaria-nacional-por-los-derechos-humanos-de-las-personas-con-discapacidad-senadis#:~:text=Ley%2520N%25C2%25BA%25204720%2520%252F%2520CREA%2520LA,LAS%2520PERSONAS%2520CON%2520DISCAPACIDAD%2520(SENADIS)" TargetMode="External"/><Relationship Id="rId271" Type="http://schemas.openxmlformats.org/officeDocument/2006/relationships/hyperlink" Target="https://www.un.org/esa/socdev/enable/documents/tccconvs.pdf" TargetMode="External"/><Relationship Id="rId937" Type="http://schemas.openxmlformats.org/officeDocument/2006/relationships/hyperlink" Target="https://documents-dds-ny.un.org/doc/UNDOC/GEN/N17/214/66/PDF/N1721466.pdf?OpenElement" TargetMode="External"/><Relationship Id="rId66" Type="http://schemas.openxmlformats.org/officeDocument/2006/relationships/hyperlink" Target="https://www.oas.org/juridico/spanish/tratados/a-61.html" TargetMode="External"/><Relationship Id="rId131" Type="http://schemas.openxmlformats.org/officeDocument/2006/relationships/hyperlink" Target="https://www.funcionpublica.gov.co/eva/gestornormativo/norma.php?i=199964#:~:text=La%2520presente%2520resoluci%25C3%25B3n%2520tiene%2520por,manual%2520para%2520efectos%2520de%2520la" TargetMode="External"/><Relationship Id="rId369" Type="http://schemas.openxmlformats.org/officeDocument/2006/relationships/hyperlink" Target="http://laws.bahamas.gov.bs/cms/images/LEGISLATION/PRINCIPAL/1992/1992-0001/ParliamentaryElectionsAct_1.pdf" TargetMode="External"/><Relationship Id="rId576" Type="http://schemas.openxmlformats.org/officeDocument/2006/relationships/hyperlink" Target="https://www.diputados.gob.mx/LeyesBiblio/pdf/LGES_200421.pdf" TargetMode="External"/><Relationship Id="rId783" Type="http://schemas.openxmlformats.org/officeDocument/2006/relationships/hyperlink" Target="https://busquedas.elperuano.pe/dispositivo/NL/1687393-2" TargetMode="External"/><Relationship Id="rId229" Type="http://schemas.openxmlformats.org/officeDocument/2006/relationships/hyperlink" Target="https://bcn.cl/2nw2z" TargetMode="External"/><Relationship Id="rId436" Type="http://schemas.openxmlformats.org/officeDocument/2006/relationships/hyperlink" Target="http://barbadosparliament-laws.com/en/showdoc/cs/115B" TargetMode="External"/><Relationship Id="rId643" Type="http://schemas.openxmlformats.org/officeDocument/2006/relationships/hyperlink" Target="https://www.planalto.gov.br/ccivil_03/_ato2015-2018/2018/decreto/d9508.htm" TargetMode="External"/><Relationship Id="rId850" Type="http://schemas.openxmlformats.org/officeDocument/2006/relationships/hyperlink" Target="http://www.convenciondiscapacidad.es/wp-content/uploads/2019/01/Observaci%25C3%25B3n-1-Art%25C3%25ADculo-12-Capacidad-jur%25C3%25ADdica.pdf" TargetMode="External"/><Relationship Id="rId948" Type="http://schemas.openxmlformats.org/officeDocument/2006/relationships/hyperlink" Target="https://www.salud.gob.ec/wp-content/uploads/downloads/2017/09/manual-ss-discapacidades-FINALWEB-1.pdf" TargetMode="External"/><Relationship Id="rId77" Type="http://schemas.openxmlformats.org/officeDocument/2006/relationships/hyperlink" Target="https://www.ohchr.org/es/treaty-bodies/crpd" TargetMode="External"/><Relationship Id="rId282" Type="http://schemas.openxmlformats.org/officeDocument/2006/relationships/hyperlink" Target="https://www.consejodiscapacidades.gob.ec/wp-content/uploads/downloads/2014/02/ley_organica_discapacidades.pdf" TargetMode="External"/><Relationship Id="rId503" Type="http://schemas.openxmlformats.org/officeDocument/2006/relationships/hyperlink" Target="https://www.mingob.gob.pa/wp-content/uploads/2018/02/Ley-No.-15-de-31-de-mayo-de-2016-que-reforma-la-Ley-No.-42-de-1999-sobre-equiparaci%25C3%25B3n-de-oportunidades-para-PcD.pdf" TargetMode="External"/><Relationship Id="rId587" Type="http://schemas.openxmlformats.org/officeDocument/2006/relationships/hyperlink" Target="https://www.un.org/esa/socdev/enable/documents/tccconvs.pdf" TargetMode="External"/><Relationship Id="rId710" Type="http://schemas.openxmlformats.org/officeDocument/2006/relationships/hyperlink" Target="http://www.convenciondiscapacidad.es/wp-content/uploads/2019/01/Observaci%25C3%25B3n-1-Art%25C3%25ADculo-12-Capacidad-jur%25C3%25ADdica.pdf" TargetMode="External"/><Relationship Id="rId808" Type="http://schemas.openxmlformats.org/officeDocument/2006/relationships/hyperlink" Target="https://www2.scjn.gob.mx/ConsultaTematica/PaginasPub/DetallePub.aspx?AsuntoID=229186" TargetMode="External"/><Relationship Id="rId8" Type="http://schemas.openxmlformats.org/officeDocument/2006/relationships/hyperlink" Target="https://www.goodreads.com/book/show/2169901.The_Disability_Business" TargetMode="External"/><Relationship Id="rId142" Type="http://schemas.openxmlformats.org/officeDocument/2006/relationships/hyperlink" Target="https://www.oas.org/juridico/spanish/tratados/a-65.html" TargetMode="External"/><Relationship Id="rId447" Type="http://schemas.openxmlformats.org/officeDocument/2006/relationships/hyperlink" Target="https://www.diputados.gob.mx/LeyesBiblio/pdf/LGIPE.pdf" TargetMode="External"/><Relationship Id="rId794" Type="http://schemas.openxmlformats.org/officeDocument/2006/relationships/hyperlink" Target="https://aldiaargentina.microjuris.com/2023/06/01/fallos-se-dispone-el-cese-de-la-restriccion-de-la-capacidad-juridica-de-una-persona-que-padece-esquizofrenia/" TargetMode="External"/><Relationship Id="rId654" Type="http://schemas.openxmlformats.org/officeDocument/2006/relationships/hyperlink" Target="https://www.bacn.gov.py/leyes-paraguayas/2541/establece-la-obligatoriedad-de-la-incorporacion-de-personas-con-discapacidad-en-las-instituciones-publicas" TargetMode="External"/><Relationship Id="rId861" Type="http://schemas.openxmlformats.org/officeDocument/2006/relationships/hyperlink" Target="https://www.oas.org/es/sadye/publicaciones/GUIA_PRACTICA_CEDDIS_ESP.pdf" TargetMode="External"/><Relationship Id="rId293" Type="http://schemas.openxmlformats.org/officeDocument/2006/relationships/hyperlink" Target="https://siteal.iiep.unesco.org/sites/default/files/sit_accion_files/siteal_panama_0042.pdf" TargetMode="External"/><Relationship Id="rId307" Type="http://schemas.openxmlformats.org/officeDocument/2006/relationships/hyperlink" Target="https://www.planalto.gov.br/ccivil_03/_ato2004-2006/2004/decreto/d5296.htm" TargetMode="External"/><Relationship Id="rId514" Type="http://schemas.openxmlformats.org/officeDocument/2006/relationships/hyperlink" Target="https://www.corteidh.or.cr/docs/casos/articulos/seriec_439_esp.pdf" TargetMode="External"/><Relationship Id="rId721" Type="http://schemas.openxmlformats.org/officeDocument/2006/relationships/hyperlink" Target="http://www.derechoshumanos.unlp.edu.ar/assets/files/documentos/informe-de-la-relatora-especial-de-las-personas-con-discapacidad-diciembre-2016.pdf" TargetMode="External"/><Relationship Id="rId88" Type="http://schemas.openxmlformats.org/officeDocument/2006/relationships/hyperlink" Target="https://www.oas.org/juridico/spanish/tratados/a-65.html" TargetMode="External"/><Relationship Id="rId153" Type="http://schemas.openxmlformats.org/officeDocument/2006/relationships/hyperlink" Target="https://www.funcionpublica.gov.co/eva/gestornormativo/norma.php?i=52081" TargetMode="External"/><Relationship Id="rId360" Type="http://schemas.openxmlformats.org/officeDocument/2006/relationships/hyperlink" Target="https://www.bacn.gov.py/leyes-paraguayas/8583/ley-n-6057-derecho-al-acceso-deambulacion-y-permanencia-en-lugares-publicos-y-a-los-servicios-de-transporte-publico-a-toda-persona-con-discapacidad-acompanada-por-un-perro-guia-o-de-asistencia#:~:text=CONSTITUCION%2520Y%2520...-,Ley%2520N%25C2%25BA%25206057%2520%252F%2520DERECHO%2520AL%2520ACCESO%252C%2520DEAMBULACI%25C3%2593N%2520Y%2520PERMANENCIA%2520EN,PERRO%2520GU%25C3%258DA%2520O%2520DE%2520ASISTENCIA." TargetMode="External"/><Relationship Id="rId598" Type="http://schemas.openxmlformats.org/officeDocument/2006/relationships/hyperlink" Target="https://www.lexivox.org/norms/BO-DS-N213.html" TargetMode="External"/><Relationship Id="rId819" Type="http://schemas.openxmlformats.org/officeDocument/2006/relationships/hyperlink" Target="https://www.corteidh.or.cr/docs/casos/articulos/seriec_246_esp.pdf" TargetMode="External"/><Relationship Id="rId220" Type="http://schemas.openxmlformats.org/officeDocument/2006/relationships/hyperlink" Target="https://www.oas.org/dil/esp/Codigo_Penal_Bolivia.pdf" TargetMode="External"/><Relationship Id="rId458" Type="http://schemas.openxmlformats.org/officeDocument/2006/relationships/hyperlink" Target="https://www.oas.org/dil/esp/1969_Convenci%25C3%25B3n_Americana_sobre_Derechos_Humanos.pdf" TargetMode="External"/><Relationship Id="rId665" Type="http://schemas.openxmlformats.org/officeDocument/2006/relationships/hyperlink" Target="https://laboraperu.blogspot.com/2016/06/resolucion-ministerial-n-127-2016-tr.html" TargetMode="External"/><Relationship Id="rId872" Type="http://schemas.openxmlformats.org/officeDocument/2006/relationships/hyperlink" Target="https://www.bacn.gov.py/leyes-paraguayas/2399/ley-n-836-codigo-sanitario" TargetMode="External"/><Relationship Id="rId15" Type="http://schemas.openxmlformats.org/officeDocument/2006/relationships/hyperlink" Target="https://www.uv.mx/cendhiu/files/2021/11/Elmodelosocialdediscapacidad.pdf" TargetMode="External"/><Relationship Id="rId318" Type="http://schemas.openxmlformats.org/officeDocument/2006/relationships/hyperlink" Target="https://colaboracion.dnp.gov.co/CDT/Programa%2520Nacional%2520del%2520Servicio%2520al%2520Ciudadano/NTC6047.pdf" TargetMode="External"/><Relationship Id="rId525" Type="http://schemas.openxmlformats.org/officeDocument/2006/relationships/hyperlink" Target="https://busquedas.elperuano.pe/normaslegales/decreto-legislativo-que-establece-disposiciones-de-prevencio-decreto-legislativo-n-1468-1865717-2/" TargetMode="External"/><Relationship Id="rId732" Type="http://schemas.openxmlformats.org/officeDocument/2006/relationships/hyperlink" Target="http://www.convenciondiscapacidad.es/wp-content/uploads/2019/01/Observaci%25C3%25B3n-1-Art%25C3%25ADculo-12-Capacidad-jur%25C3%25ADdica.pdf" TargetMode="External"/><Relationship Id="rId99" Type="http://schemas.openxmlformats.org/officeDocument/2006/relationships/hyperlink" Target="http://www.corteidh.or.cr/docs/casos/articulos/seriec_453_esp.pdf" TargetMode="External"/><Relationship Id="rId164" Type="http://schemas.openxmlformats.org/officeDocument/2006/relationships/hyperlink" Target="https://pdba.georgetown.edu/Constitutions/Bahamas/bah73.html" TargetMode="External"/><Relationship Id="rId371" Type="http://schemas.openxmlformats.org/officeDocument/2006/relationships/hyperlink" Target="https://www.bcn.cl/leychile/navegar?idNorma=30082" TargetMode="External"/><Relationship Id="rId469" Type="http://schemas.openxmlformats.org/officeDocument/2006/relationships/hyperlink" Target="https://www.bahamas.gov.bs/wps/wcm/connect/678cadc1-08d9-43d3-bc55-d10c99f9064c/Final+Clean+1+July+2014+Persons+With+Disabilities+(Equal+Opportunities)+Bill.pdf?MOD=AJPERES" TargetMode="External"/><Relationship Id="rId676" Type="http://schemas.openxmlformats.org/officeDocument/2006/relationships/hyperlink" Target="https://www.oas.org/es/cidh/mandato/basicos/declaracion.asp#:~:text=Todos%2520los%2520hombres%2520nacen%2520libres,exigencia%2520del%2520derecho%2520de%2520todos." TargetMode="External"/><Relationship Id="rId883" Type="http://schemas.openxmlformats.org/officeDocument/2006/relationships/hyperlink" Target="https://www.acnur.org/fileadmin/Documentos/BDL/2002/1803.pdf" TargetMode="External"/><Relationship Id="rId26" Type="http://schemas.openxmlformats.org/officeDocument/2006/relationships/hyperlink" Target="https://www.redalyc.org/journal/1270/127063728009/127063728009.pdf" TargetMode="External"/><Relationship Id="rId231" Type="http://schemas.openxmlformats.org/officeDocument/2006/relationships/hyperlink" Target="https://bcn.cl/2nw2z" TargetMode="External"/><Relationship Id="rId329" Type="http://schemas.openxmlformats.org/officeDocument/2006/relationships/hyperlink" Target="https://www.argentina.gob.ar/normativa/nacional/ley-25573-2002-73892." TargetMode="External"/><Relationship Id="rId536" Type="http://schemas.openxmlformats.org/officeDocument/2006/relationships/hyperlink" Target="https://www.corteidh.or.cr/docs/casos/articulos/Seriec_149_esp.pdf" TargetMode="External"/><Relationship Id="rId175" Type="http://schemas.openxmlformats.org/officeDocument/2006/relationships/hyperlink" Target="https://siteal.iiep.unesco.org/sites/default/files/sit_accion_files/ve_0449.pdf" TargetMode="External"/><Relationship Id="rId743" Type="http://schemas.openxmlformats.org/officeDocument/2006/relationships/hyperlink" Target="http://legislacion.asamblea.gob.ni/Normaweb.nsf/b92aaea87dac762406257265005d21f7/c9379d54ccde27400625791200572c84?OpenDocument" TargetMode="External"/><Relationship Id="rId950" Type="http://schemas.openxmlformats.org/officeDocument/2006/relationships/hyperlink" Target="https://www.google.com/url?sa=t&amp;source=web&amp;rct=j&amp;opi=89978449&amp;url=https://www.ohchr.org/Documents/HRBodies/CCPR/GCArticle6/CRPD.docx&amp;ved=2ahUKEwiY0d2F34CHAxXzm7AFHb1SA4gQFnoECBsQAQ&amp;usg=AOvVaw3qW2p0X84AyzEaLRYgfNgl" TargetMode="External"/><Relationship Id="rId382" Type="http://schemas.openxmlformats.org/officeDocument/2006/relationships/hyperlink" Target="https://siteal.iiep.unesco.org/sites/default/files/sit_accion_files/siteal_panama_0042.pdf" TargetMode="External"/><Relationship Id="rId603" Type="http://schemas.openxmlformats.org/officeDocument/2006/relationships/hyperlink" Target="https://www.bcn.cl/leychile/consulta/vinculaciones/reglamento?idNorma=1103997&amp;fechaVigencia=2018-04-01&amp;clase_vinculacion=REGLAMENTO" TargetMode="External"/><Relationship Id="rId687" Type="http://schemas.openxmlformats.org/officeDocument/2006/relationships/hyperlink" Target="https://www.corteidh.or.cr/docs/casos/articulos/seriec_127_esp.pdf" TargetMode="External"/><Relationship Id="rId810" Type="http://schemas.openxmlformats.org/officeDocument/2006/relationships/hyperlink" Target="https://www2.scjn.gob.mx/ConsultaTematica/PaginasPub/DetallePub.aspx?AsuntoID=248402" TargetMode="External"/><Relationship Id="rId908" Type="http://schemas.openxmlformats.org/officeDocument/2006/relationships/hyperlink" Target="https://www.gub.uy/ministerio-salud-publica/sites/ministerio-salud-publica/files/2022-01/Res%25201165%25202021.pdf" TargetMode="External"/><Relationship Id="rId242" Type="http://schemas.openxmlformats.org/officeDocument/2006/relationships/hyperlink" Target="https://informe.cndh.org.mx/menu.aspx?id=40068" TargetMode="External"/><Relationship Id="rId894" Type="http://schemas.openxmlformats.org/officeDocument/2006/relationships/hyperlink" Target="https://docs.panama.justia.com/federales/codigos/codigo-civil.pdf" TargetMode="External"/><Relationship Id="rId37" Type="http://schemas.openxmlformats.org/officeDocument/2006/relationships/hyperlink" Target="https://documents.un.org/doc/undoc/gen/g17/289/29/pdf/g1728929.pdf" TargetMode="External"/><Relationship Id="rId102" Type="http://schemas.openxmlformats.org/officeDocument/2006/relationships/hyperlink" Target="https://www.corteidh.or.cr/docs/casos/articulos/seriec_246_esp.pdf" TargetMode="External"/><Relationship Id="rId547" Type="http://schemas.openxmlformats.org/officeDocument/2006/relationships/hyperlink" Target="https://publications.iadb.org/es/marco-legal-de-los-derechos-de-las-personas-con-discapacidad-america-latina-y-el-caribe" TargetMode="External"/><Relationship Id="rId754" Type="http://schemas.openxmlformats.org/officeDocument/2006/relationships/hyperlink" Target="https://www.comunicacion.gob.bo/sites/default/files/dale_vida_a_tus_derechos/archivos/Ley%2520603%2520C%25C3%25B3digo%2520de%2520las%2520Familias%2520y%2520del%2520Proceso%2520Familiar.pdf" TargetMode="External"/><Relationship Id="rId90" Type="http://schemas.openxmlformats.org/officeDocument/2006/relationships/hyperlink" Target="https://www.oas.org/es/cidh/mandato/basicos/declaracion.asp" TargetMode="External"/><Relationship Id="rId186" Type="http://schemas.openxmlformats.org/officeDocument/2006/relationships/hyperlink" Target="https://www.ilo.org/dyn/natlex/docs/ELECTRONIC/98288/116893/F-1639331683/JAM98288.pdf" TargetMode="External"/><Relationship Id="rId393" Type="http://schemas.openxmlformats.org/officeDocument/2006/relationships/hyperlink" Target="https://servicios.infoleg.gob.ar/infolegInternet/anexos/15000-19999/19442/texact.htm" TargetMode="External"/><Relationship Id="rId407" Type="http://schemas.openxmlformats.org/officeDocument/2006/relationships/hyperlink" Target="https://dpi.gov.gy/report-of-the-commission-of-inquiry-into-the-general-and-regional-elections-of-guyana-on-march-2-2020/" TargetMode="External"/><Relationship Id="rId614" Type="http://schemas.openxmlformats.org/officeDocument/2006/relationships/hyperlink" Target="https://conaipd.gob.sv/wp-content/uploads/2021/01/Ley-Especial-de-Inclusi%25C3%25B3n-de-las-Personas-con-Discapacidad.pdf" TargetMode="External"/><Relationship Id="rId821" Type="http://schemas.openxmlformats.org/officeDocument/2006/relationships/hyperlink" Target="http://www.scielo.org.co/scielo.php?script=sci_arttext&amp;pid=S0123-43662023000100015" TargetMode="External"/><Relationship Id="rId253" Type="http://schemas.openxmlformats.org/officeDocument/2006/relationships/hyperlink" Target="https://www.ohchr.org/es/documents/general-comments-and-recommendations/general-comment-no-6-article-5-equality-and-non" TargetMode="External"/><Relationship Id="rId460" Type="http://schemas.openxmlformats.org/officeDocument/2006/relationships/hyperlink" Target="https://www.un.org/esa/socdev/enable/documents/tccconvs.pdf" TargetMode="External"/><Relationship Id="rId698" Type="http://schemas.openxmlformats.org/officeDocument/2006/relationships/hyperlink" Target="https://www.corteidh.or.cr/docs/casos/articulos/seriec_146_esp2.pdf" TargetMode="External"/><Relationship Id="rId919" Type="http://schemas.openxmlformats.org/officeDocument/2006/relationships/hyperlink" Target="https://www.tse.go.cr/pdf/normativa/promocionautonomiapersonal.pdf" TargetMode="External"/><Relationship Id="rId48" Type="http://schemas.openxmlformats.org/officeDocument/2006/relationships/hyperlink" Target="https://docplayer.es/10449728-Ministerio-de-inclusion-economica-y-social-subsecretaria-de-discapacidades-y-familia-direccion-de-prestacion-de-servicios.html" TargetMode="External"/><Relationship Id="rId113" Type="http://schemas.openxmlformats.org/officeDocument/2006/relationships/hyperlink" Target="https://www.minsalud.gov.co/sites/rid/Lists/BibliotecaDigital/RIDE/DE/PS/Recomendaciones-comite-colombia-2016.pdf" TargetMode="External"/><Relationship Id="rId320" Type="http://schemas.openxmlformats.org/officeDocument/2006/relationships/hyperlink" Target="https://www.mincit.gov.co/ministerio/ministerio-en-breve/docs/4140.aspx#:~:text=Esta%2520norma%2520establece%2520las%2520dimensiones,y%2520espacios%2520urbanos%2520y%2520rurales.&amp;text=Los%2520siguientes%2520documentos%2520normativos%2520referenciados,aplicaci%25C3%25B3n%2520de%2520este%2520documento%2520normativo." TargetMode="External"/><Relationship Id="rId558" Type="http://schemas.openxmlformats.org/officeDocument/2006/relationships/hyperlink" Target="https://www.diputados.gob.mx/LeyesBiblio/pdf/CPEUM.pdf" TargetMode="External"/><Relationship Id="rId765" Type="http://schemas.openxmlformats.org/officeDocument/2006/relationships/hyperlink" Target="https://www.bacn.gov.py/leyes-paraguayas/5293/codigo-civil" TargetMode="External"/><Relationship Id="rId197" Type="http://schemas.openxmlformats.org/officeDocument/2006/relationships/hyperlink" Target="https://www.funcionpublica.gov.co/eva/gestornormativo/norma.php?i=52081" TargetMode="External"/><Relationship Id="rId418" Type="http://schemas.openxmlformats.org/officeDocument/2006/relationships/hyperlink" Target="https://pdba.georgetown.edu/Electoral/ElSal/code92.html" TargetMode="External"/><Relationship Id="rId625" Type="http://schemas.openxmlformats.org/officeDocument/2006/relationships/hyperlink" Target="https://www.diputados.gob.mx/LeyesBiblio/pdf/LGIPD.pdf" TargetMode="External"/><Relationship Id="rId832" Type="http://schemas.openxmlformats.org/officeDocument/2006/relationships/hyperlink" Target="https://nam10.safelinks.protection.outlook.com/?url=https://thecajo.org/newcajo/wp-content/uploads/2023/03/Consolidated-Disability-and-Inclusion-Awareness-Guidelines.pdf&amp;data=05%257C02%257CPMolina@oas.org%257Ce629b96b265d4aa8685e08dd12d535fb%257C4fdc3f2315064175958c37999cee0941%257C1%257C0%257C638687429254096132%257CUnknown%257CTWFpbGZsb3d8eyJFbXB0eU1hcGkiOnRydWUsIlYiOiIwLjAuMDAwMCIsIlAiOiJXaW4zMiIsIkFOIjoiTWFpbCIsIldUIjoyfQ==%257C0%257C%257C%257C&amp;sdata=70bYd3axZBBS8qlb8/NRSbBiQ/Imaqweg8ziYpgEUEc=&amp;reserved=0" TargetMode="External"/><Relationship Id="rId264" Type="http://schemas.openxmlformats.org/officeDocument/2006/relationships/hyperlink" Target="https://www.ohchr.org/es/stories/2023/02/care-and-support-systems-matter-human-rights" TargetMode="External"/><Relationship Id="rId471" Type="http://schemas.openxmlformats.org/officeDocument/2006/relationships/hyperlink" Target="https://www.health.gov.bb/attachments/Code%2520of%2520Conduct%2520Revised%2520Final_Jan%25202017%2520(4).pdf" TargetMode="External"/><Relationship Id="rId59" Type="http://schemas.openxmlformats.org/officeDocument/2006/relationships/hyperlink" Target="https://www.oas.org/dil/esp/declaracion_ag-26-2856_1971.pdf" TargetMode="External"/><Relationship Id="rId124" Type="http://schemas.openxmlformats.org/officeDocument/2006/relationships/hyperlink" Target="https://www.senadis.gob.cl/pag/693/2004/iii_estudio_nacional_de_la_discapacidad" TargetMode="External"/><Relationship Id="rId569" Type="http://schemas.openxmlformats.org/officeDocument/2006/relationships/hyperlink" Target="https://www.suin-juriscol.gov.co/viewDocument.asp?ruta=Decretos/30033428" TargetMode="External"/><Relationship Id="rId776" Type="http://schemas.openxmlformats.org/officeDocument/2006/relationships/hyperlink" Target="http://www.pgrweb.go.cr/scij/Busqueda/Normativa/Normas/nrm_texto_completo.aspx?param1=NRTC&amp;nValor1=1&amp;nValor2=82244&amp;nValor3=105179&amp;strTipM=TC" TargetMode="External"/><Relationship Id="rId331" Type="http://schemas.openxmlformats.org/officeDocument/2006/relationships/hyperlink" Target="https://www.argentina.gob.ar/normativa/nacional/ley-25573-2002-73892." TargetMode="External"/><Relationship Id="rId429" Type="http://schemas.openxmlformats.org/officeDocument/2006/relationships/hyperlink" Target="https://www.impo.com.uy/bases/constitucion/1967-1967" TargetMode="External"/><Relationship Id="rId636" Type="http://schemas.openxmlformats.org/officeDocument/2006/relationships/hyperlink" Target="https://py.vlex.com/vid/decreto-no-3379-reglamenta-841167638#:~:text=Decreto%2520No.-,3379.,discapacidad%2520en%2520el%2520sector%2520privado'" TargetMode="External"/><Relationship Id="rId843" Type="http://schemas.openxmlformats.org/officeDocument/2006/relationships/hyperlink" Target="https://www2.scjn.gob.mx/ConsultaTematica/PaginasPub/DetallePub.aspx?AsuntoID=229186" TargetMode="External"/><Relationship Id="rId275" Type="http://schemas.openxmlformats.org/officeDocument/2006/relationships/hyperlink" Target="https://www.argentina.gob.ar/normativa/nacional/ley-22431-20620/texto#:~:text=-%2520Las%2520empresas%2520de%2520transpone%2520colectivo,a%2520los%2520que%2520deban%2520concurrir." TargetMode="External"/><Relationship Id="rId482" Type="http://schemas.openxmlformats.org/officeDocument/2006/relationships/hyperlink" Target="https://diprece.minsal.cl/wrdprss_minsal/wp-content/uploads/2018/03/POLITICA-NACIONAL-DE-SALUD-SEXUAL-Y-REPRODUCTIVA-..pdf" TargetMode="External"/><Relationship Id="rId703" Type="http://schemas.openxmlformats.org/officeDocument/2006/relationships/hyperlink" Target="https://www.corteidh.or.cr/docs/casos/vasquez_durand_y_otros_ec/alefcom.pdf" TargetMode="External"/><Relationship Id="rId910" Type="http://schemas.openxmlformats.org/officeDocument/2006/relationships/hyperlink" Target="http://www.oas.org/es/sadye/publicaciones/GUIA_PRACTICA_CEDDIS_ESP.pdf" TargetMode="External"/><Relationship Id="rId135" Type="http://schemas.openxmlformats.org/officeDocument/2006/relationships/hyperlink" Target="https://conadi.gob.gt/web/wp-content/uploads/2022/08/REVISTA-CONADI-WEB.pdf" TargetMode="External"/><Relationship Id="rId342" Type="http://schemas.openxmlformats.org/officeDocument/2006/relationships/hyperlink" Target="https://www.bcn.cl/leychile/navegar?idNorma=1027577." TargetMode="External"/><Relationship Id="rId787" Type="http://schemas.openxmlformats.org/officeDocument/2006/relationships/hyperlink" Target="https://www.funcionpublica.gov.co/eva/gestornormativo/norma.php?i=185226"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LT Std Bold"/>
        <a:ea typeface="Helvetica LT Std Bold"/>
        <a:cs typeface="Helvetica LT Std Bold"/>
      </a:majorFont>
      <a:minorFont>
        <a:latin typeface="Helvetica LT Std Bold"/>
        <a:ea typeface="Helvetica LT Std Bold"/>
        <a:cs typeface="Helvetica LT Std Bold"/>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LT Std Fractions"/>
            <a:ea typeface="Helvetica LT Std Fractions"/>
            <a:cs typeface="Helvetica LT Std Fractions"/>
            <a:sym typeface="Helvetica LT Std Fractio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ctr" defTabSz="914400" rtl="0" fontAlgn="auto" latinLnBrk="0" hangingPunct="0">
          <a:lnSpc>
            <a:spcPct val="100000"/>
          </a:lnSpc>
          <a:spcBef>
            <a:spcPts val="0"/>
          </a:spcBef>
          <a:spcAft>
            <a:spcPts val="0"/>
          </a:spcAft>
          <a:buClrTx/>
          <a:buSzTx/>
          <a:buFontTx/>
          <a:buNone/>
          <a:tabLst/>
          <a:defRPr kumimoji="0" sz="2500" b="0" i="0" u="none" strike="noStrike" cap="none" spc="0" normalizeH="0" baseline="0">
            <a:ln>
              <a:noFill/>
            </a:ln>
            <a:solidFill>
              <a:srgbClr val="FFFFFF"/>
            </a:solidFill>
            <a:effectLst/>
            <a:uFillTx/>
            <a:latin typeface="+mn-lt"/>
            <a:ea typeface="+mn-ea"/>
            <a:cs typeface="+mn-cs"/>
            <a:sym typeface="Helvetica LT Std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312</Pages>
  <Words>54396</Words>
  <Characters>302987</Characters>
  <Application>Microsoft Office Word</Application>
  <DocSecurity>0</DocSecurity>
  <Lines>6446</Lines>
  <Paragraphs>1051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Camilo, Yolanda</cp:lastModifiedBy>
  <cp:revision>3</cp:revision>
  <dcterms:created xsi:type="dcterms:W3CDTF">2025-06-03T23:11:00Z</dcterms:created>
  <dcterms:modified xsi:type="dcterms:W3CDTF">2025-06-04T13:35:00Z</dcterms:modified>
</cp:coreProperties>
</file>