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CF5D0" w14:textId="77777777" w:rsidR="00B81A4F" w:rsidRPr="0009182C" w:rsidRDefault="00B81A4F" w:rsidP="00B81A4F">
      <w:pPr>
        <w:spacing w:after="0" w:line="240" w:lineRule="auto"/>
        <w:jc w:val="center"/>
        <w:rPr>
          <w:rFonts w:ascii="Cambria" w:hAnsi="Cambria"/>
          <w:b/>
          <w:color w:val="000000" w:themeColor="text1"/>
          <w:lang w:val="es-CO"/>
        </w:rPr>
      </w:pPr>
      <w:r w:rsidRPr="0009182C">
        <w:rPr>
          <w:rFonts w:ascii="Cambria" w:hAnsi="Cambria"/>
          <w:b/>
          <w:color w:val="000000" w:themeColor="text1"/>
          <w:lang w:val="es-CO"/>
        </w:rPr>
        <w:t>FICHA TÉCNICA INFORMATIVA</w:t>
      </w:r>
    </w:p>
    <w:p w14:paraId="748F21AC" w14:textId="77777777" w:rsidR="00B81A4F" w:rsidRPr="0009182C" w:rsidRDefault="00B81A4F" w:rsidP="00B81A4F">
      <w:pPr>
        <w:spacing w:after="0" w:line="240" w:lineRule="auto"/>
        <w:jc w:val="center"/>
        <w:rPr>
          <w:rFonts w:ascii="Cambria" w:eastAsia="Batang" w:hAnsi="Cambria"/>
          <w:b/>
          <w:color w:val="000000" w:themeColor="text1"/>
          <w:lang w:val="es-CO"/>
        </w:rPr>
      </w:pPr>
      <w:r w:rsidRPr="0009182C">
        <w:rPr>
          <w:rFonts w:ascii="Cambria" w:eastAsia="Batang" w:hAnsi="Cambria" w:cs="Calibri Light"/>
          <w:b/>
          <w:color w:val="000000" w:themeColor="text1"/>
          <w:lang w:val="es-CO"/>
        </w:rPr>
        <w:t>CASO 13.011 GRACIELA RAMOS ROCHA Y FAMILIA</w:t>
      </w:r>
    </w:p>
    <w:p w14:paraId="320BC004" w14:textId="77777777" w:rsidR="00B81A4F" w:rsidRPr="0009182C" w:rsidRDefault="00B81A4F" w:rsidP="00B81A4F">
      <w:pPr>
        <w:spacing w:after="0" w:line="240" w:lineRule="auto"/>
        <w:jc w:val="center"/>
        <w:rPr>
          <w:rFonts w:ascii="Cambria" w:eastAsia="Batang" w:hAnsi="Cambria"/>
          <w:b/>
          <w:color w:val="000000" w:themeColor="text1"/>
          <w:lang w:val="es-CO"/>
        </w:rPr>
      </w:pPr>
      <w:r w:rsidRPr="0009182C">
        <w:rPr>
          <w:rFonts w:ascii="Cambria" w:eastAsia="Batang" w:hAnsi="Cambria"/>
          <w:b/>
          <w:color w:val="000000" w:themeColor="text1"/>
          <w:lang w:val="es-CO"/>
        </w:rPr>
        <w:t>INFORME DE SOLUCIÓN AMISTOSA No.</w:t>
      </w:r>
      <w:hyperlink r:id="rId7" w:history="1">
        <w:r w:rsidRPr="0009182C">
          <w:rPr>
            <w:rStyle w:val="Hyperlink"/>
            <w:rFonts w:ascii="Cambria" w:eastAsia="Batang" w:hAnsi="Cambria"/>
            <w:b/>
            <w:bCs/>
            <w:color w:val="000000" w:themeColor="text1"/>
            <w:lang w:val="es-CO"/>
          </w:rPr>
          <w:t>197/20</w:t>
        </w:r>
      </w:hyperlink>
    </w:p>
    <w:p w14:paraId="07D22F1A" w14:textId="77777777" w:rsidR="00B81A4F" w:rsidRPr="0009182C" w:rsidRDefault="00B81A4F" w:rsidP="00B81A4F">
      <w:pPr>
        <w:spacing w:after="0" w:line="240" w:lineRule="auto"/>
        <w:jc w:val="center"/>
        <w:rPr>
          <w:rFonts w:ascii="Cambria" w:eastAsia="Batang" w:hAnsi="Cambria"/>
          <w:b/>
          <w:color w:val="000000" w:themeColor="text1"/>
          <w:lang w:val="es-CO"/>
        </w:rPr>
      </w:pPr>
      <w:r w:rsidRPr="0009182C">
        <w:rPr>
          <w:rFonts w:ascii="Cambria" w:eastAsia="Batang" w:hAnsi="Cambria"/>
          <w:b/>
          <w:color w:val="000000" w:themeColor="text1"/>
          <w:lang w:val="es-CO"/>
        </w:rPr>
        <w:t>CUMPLIMIENTO TOTAL</w:t>
      </w:r>
    </w:p>
    <w:p w14:paraId="25659D2A" w14:textId="77777777" w:rsidR="00B81A4F" w:rsidRPr="0009182C" w:rsidRDefault="00B81A4F" w:rsidP="00B81A4F">
      <w:pPr>
        <w:spacing w:after="0" w:line="240" w:lineRule="auto"/>
        <w:jc w:val="center"/>
        <w:rPr>
          <w:rFonts w:ascii="Cambria" w:eastAsia="Batang" w:hAnsi="Cambria"/>
          <w:b/>
          <w:color w:val="000000" w:themeColor="text1"/>
          <w:lang w:val="es-CO"/>
        </w:rPr>
      </w:pPr>
      <w:r w:rsidRPr="0009182C">
        <w:rPr>
          <w:rFonts w:ascii="Cambria" w:eastAsia="Batang" w:hAnsi="Cambria"/>
          <w:b/>
          <w:color w:val="000000" w:themeColor="text1"/>
          <w:lang w:val="es-CO"/>
        </w:rPr>
        <w:t xml:space="preserve"> (ARGENTINA)</w:t>
      </w:r>
    </w:p>
    <w:p w14:paraId="464B07E2" w14:textId="77777777" w:rsidR="00B81A4F" w:rsidRPr="0009182C" w:rsidRDefault="00B81A4F" w:rsidP="00B81A4F">
      <w:pPr>
        <w:spacing w:after="0" w:line="240" w:lineRule="auto"/>
        <w:jc w:val="center"/>
        <w:rPr>
          <w:rFonts w:ascii="Cambria" w:eastAsia="Batang" w:hAnsi="Cambria"/>
          <w:b/>
          <w:color w:val="000000" w:themeColor="text1"/>
          <w:lang w:val="es-CO"/>
        </w:rPr>
      </w:pPr>
    </w:p>
    <w:p w14:paraId="477A48B6" w14:textId="77777777" w:rsidR="00B81A4F" w:rsidRPr="0009182C" w:rsidRDefault="00B81A4F" w:rsidP="00B81A4F">
      <w:pPr>
        <w:numPr>
          <w:ilvl w:val="0"/>
          <w:numId w:val="2"/>
        </w:numPr>
        <w:spacing w:after="0" w:line="240" w:lineRule="auto"/>
        <w:ind w:left="0" w:firstLine="709"/>
        <w:rPr>
          <w:rFonts w:ascii="Cambria" w:eastAsia="Batang" w:hAnsi="Cambria"/>
          <w:b/>
          <w:color w:val="000000" w:themeColor="text1"/>
          <w:lang w:val="es-CO"/>
        </w:rPr>
      </w:pPr>
      <w:r w:rsidRPr="0009182C">
        <w:rPr>
          <w:rFonts w:ascii="Cambria" w:eastAsia="Batang" w:hAnsi="Cambria" w:cs="Calibri Light"/>
          <w:b/>
          <w:color w:val="000000" w:themeColor="text1"/>
          <w:lang w:val="es-CO"/>
        </w:rPr>
        <w:t xml:space="preserve">RESUMEN DEL CASO </w:t>
      </w:r>
    </w:p>
    <w:p w14:paraId="39443F44" w14:textId="77777777" w:rsidR="00B81A4F" w:rsidRPr="0009182C" w:rsidRDefault="00B81A4F" w:rsidP="00B81A4F">
      <w:pPr>
        <w:spacing w:after="0" w:line="240" w:lineRule="auto"/>
        <w:jc w:val="both"/>
        <w:rPr>
          <w:rFonts w:ascii="Cambria" w:eastAsia="Batang" w:hAnsi="Cambria" w:cs="Calibri Light"/>
          <w:b/>
          <w:color w:val="080808"/>
          <w:lang w:val="es-CO"/>
        </w:rPr>
      </w:pP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595"/>
      </w:tblGrid>
      <w:tr w:rsidR="00B81A4F" w:rsidRPr="00BC529A" w14:paraId="6B52D0AA" w14:textId="77777777" w:rsidTr="00B67A4A">
        <w:trPr>
          <w:trHeight w:val="5728"/>
          <w:jc w:val="center"/>
        </w:trPr>
        <w:tc>
          <w:tcPr>
            <w:tcW w:w="9595" w:type="dxa"/>
            <w:shd w:val="clear" w:color="auto" w:fill="F2F2F2"/>
          </w:tcPr>
          <w:p w14:paraId="0A3BE2AE" w14:textId="77777777" w:rsidR="00B81A4F" w:rsidRPr="0009182C" w:rsidRDefault="00B81A4F" w:rsidP="00B67A4A">
            <w:pPr>
              <w:spacing w:after="0" w:line="240" w:lineRule="auto"/>
              <w:jc w:val="both"/>
              <w:rPr>
                <w:rFonts w:ascii="Cambria" w:eastAsia="Batang" w:hAnsi="Cambria"/>
                <w:b/>
                <w:color w:val="080808"/>
                <w:lang w:val="es-CO"/>
              </w:rPr>
            </w:pPr>
            <w:r w:rsidRPr="0009182C">
              <w:rPr>
                <w:rFonts w:ascii="Cambria" w:eastAsia="Batang" w:hAnsi="Cambria"/>
                <w:b/>
                <w:color w:val="080808"/>
                <w:lang w:val="es-CO"/>
              </w:rPr>
              <w:t xml:space="preserve">Víctima (s): </w:t>
            </w:r>
            <w:r w:rsidRPr="0009182C">
              <w:rPr>
                <w:rFonts w:ascii="Cambria" w:eastAsia="Batang" w:hAnsi="Cambria"/>
                <w:bCs/>
                <w:color w:val="080808"/>
                <w:lang w:val="es-CO"/>
              </w:rPr>
              <w:t>Graciela Ramos Rocha y familia</w:t>
            </w:r>
          </w:p>
          <w:p w14:paraId="3673F1EC" w14:textId="77777777" w:rsidR="00B81A4F" w:rsidRPr="0009182C" w:rsidRDefault="00B81A4F" w:rsidP="00B67A4A">
            <w:pPr>
              <w:spacing w:after="0" w:line="240" w:lineRule="auto"/>
              <w:jc w:val="both"/>
              <w:rPr>
                <w:rFonts w:ascii="Cambria" w:eastAsia="Batang" w:hAnsi="Cambria"/>
                <w:color w:val="080808"/>
                <w:lang w:val="es-CO"/>
              </w:rPr>
            </w:pPr>
            <w:r w:rsidRPr="0009182C">
              <w:rPr>
                <w:rFonts w:ascii="Cambria" w:eastAsia="Batang" w:hAnsi="Cambria"/>
                <w:b/>
                <w:color w:val="080808"/>
                <w:lang w:val="es-CO"/>
              </w:rPr>
              <w:t xml:space="preserve">Peticionario (s): </w:t>
            </w:r>
            <w:r w:rsidRPr="0009182C">
              <w:rPr>
                <w:rFonts w:ascii="Cambria" w:eastAsia="Batang" w:hAnsi="Cambria"/>
                <w:color w:val="080808"/>
                <w:lang w:val="es-CO"/>
              </w:rPr>
              <w:t>Stella Maris Martínez</w:t>
            </w:r>
          </w:p>
          <w:p w14:paraId="1914B3DE" w14:textId="77777777" w:rsidR="00B81A4F" w:rsidRPr="0009182C" w:rsidRDefault="00B81A4F" w:rsidP="00B67A4A">
            <w:pPr>
              <w:spacing w:after="0" w:line="240" w:lineRule="auto"/>
              <w:jc w:val="both"/>
              <w:rPr>
                <w:rFonts w:ascii="Cambria" w:eastAsia="Batang" w:hAnsi="Cambria"/>
                <w:b/>
                <w:color w:val="000000" w:themeColor="text1"/>
                <w:lang w:val="es-CO"/>
              </w:rPr>
            </w:pPr>
            <w:r w:rsidRPr="0009182C">
              <w:rPr>
                <w:rFonts w:ascii="Cambria" w:eastAsia="Batang" w:hAnsi="Cambria"/>
                <w:b/>
                <w:color w:val="080808"/>
                <w:lang w:val="es-CO"/>
              </w:rPr>
              <w:t xml:space="preserve">Estado: </w:t>
            </w:r>
            <w:r w:rsidRPr="0009182C">
              <w:rPr>
                <w:rFonts w:ascii="Cambria" w:eastAsia="Batang" w:hAnsi="Cambria"/>
                <w:bCs/>
                <w:color w:val="080808"/>
                <w:lang w:val="es-CO"/>
              </w:rPr>
              <w:t>Argentina</w:t>
            </w:r>
          </w:p>
          <w:p w14:paraId="4A4509EA" w14:textId="77777777" w:rsidR="00B81A4F" w:rsidRPr="0009182C" w:rsidRDefault="00B81A4F" w:rsidP="00B67A4A">
            <w:pPr>
              <w:spacing w:after="0" w:line="240" w:lineRule="auto"/>
              <w:jc w:val="both"/>
              <w:rPr>
                <w:rFonts w:ascii="Cambria" w:eastAsia="Batang" w:hAnsi="Cambria"/>
                <w:b/>
                <w:color w:val="000000" w:themeColor="text1"/>
                <w:lang w:val="es-CO"/>
              </w:rPr>
            </w:pPr>
            <w:r w:rsidRPr="0009182C">
              <w:rPr>
                <w:rFonts w:ascii="Cambria" w:eastAsia="Batang" w:hAnsi="Cambria"/>
                <w:b/>
                <w:bCs/>
                <w:color w:val="000000" w:themeColor="text1"/>
                <w:lang w:val="es-CO"/>
              </w:rPr>
              <w:t>Fecha de inicio de las negociaciones</w:t>
            </w:r>
            <w:r w:rsidRPr="0009182C">
              <w:rPr>
                <w:rFonts w:ascii="Cambria" w:eastAsia="Batang" w:hAnsi="Cambria"/>
                <w:color w:val="000000" w:themeColor="text1"/>
                <w:lang w:val="es-CO"/>
              </w:rPr>
              <w:t>: 4 de abril de 2019</w:t>
            </w:r>
          </w:p>
          <w:p w14:paraId="559A2DAC" w14:textId="77777777" w:rsidR="00B81A4F" w:rsidRPr="0009182C" w:rsidRDefault="00B81A4F" w:rsidP="00B67A4A">
            <w:pPr>
              <w:spacing w:after="0" w:line="240" w:lineRule="auto"/>
              <w:jc w:val="both"/>
              <w:rPr>
                <w:rFonts w:ascii="Cambria" w:eastAsia="Batang" w:hAnsi="Cambria"/>
                <w:bCs/>
                <w:color w:val="000000" w:themeColor="text1"/>
                <w:lang w:val="es-CO"/>
              </w:rPr>
            </w:pPr>
            <w:r w:rsidRPr="0009182C">
              <w:rPr>
                <w:rFonts w:ascii="Cambria" w:eastAsia="Batang" w:hAnsi="Cambria"/>
                <w:b/>
                <w:bCs/>
                <w:color w:val="000000" w:themeColor="text1"/>
                <w:lang w:val="es-CO"/>
              </w:rPr>
              <w:t xml:space="preserve">Fecha de Firma de ASA: </w:t>
            </w:r>
            <w:r w:rsidRPr="0009182C">
              <w:rPr>
                <w:rFonts w:ascii="Cambria" w:eastAsia="Batang" w:hAnsi="Cambria"/>
                <w:bCs/>
                <w:color w:val="000000" w:themeColor="text1"/>
                <w:lang w:val="es-CO"/>
              </w:rPr>
              <w:t>29 de mayo de 2020</w:t>
            </w:r>
          </w:p>
          <w:p w14:paraId="16D70D42" w14:textId="77777777" w:rsidR="00B81A4F" w:rsidRPr="0009182C" w:rsidRDefault="00B81A4F" w:rsidP="00B67A4A">
            <w:pPr>
              <w:spacing w:after="0" w:line="240" w:lineRule="auto"/>
              <w:jc w:val="both"/>
              <w:rPr>
                <w:rFonts w:ascii="Cambria" w:eastAsia="Batang" w:hAnsi="Cambria"/>
                <w:bCs/>
                <w:color w:val="000000" w:themeColor="text1"/>
                <w:lang w:val="es-CO"/>
              </w:rPr>
            </w:pPr>
            <w:r w:rsidRPr="0009182C">
              <w:rPr>
                <w:rFonts w:ascii="Cambria" w:eastAsia="Batang" w:hAnsi="Cambria"/>
                <w:b/>
                <w:color w:val="000000" w:themeColor="text1"/>
                <w:lang w:val="es-CO"/>
              </w:rPr>
              <w:t>Informe de Admisibilidad</w:t>
            </w:r>
            <w:r w:rsidRPr="0009182C">
              <w:rPr>
                <w:rFonts w:ascii="Cambria" w:eastAsia="Batang" w:hAnsi="Cambria"/>
                <w:bCs/>
                <w:color w:val="000000" w:themeColor="text1"/>
                <w:lang w:val="es-CO"/>
              </w:rPr>
              <w:t xml:space="preserve"> </w:t>
            </w:r>
            <w:r w:rsidRPr="0009182C">
              <w:rPr>
                <w:rFonts w:ascii="Cambria" w:eastAsia="Batang" w:hAnsi="Cambria"/>
                <w:b/>
                <w:color w:val="000000" w:themeColor="text1"/>
                <w:lang w:val="es-CO"/>
              </w:rPr>
              <w:t>Nº</w:t>
            </w:r>
            <w:r w:rsidRPr="0009182C">
              <w:rPr>
                <w:rFonts w:ascii="Cambria" w:eastAsia="Batang" w:hAnsi="Cambria"/>
                <w:bCs/>
                <w:color w:val="000000" w:themeColor="text1"/>
                <w:lang w:val="es-CO"/>
              </w:rPr>
              <w:t xml:space="preserve">: </w:t>
            </w:r>
            <w:hyperlink r:id="rId8" w:history="1">
              <w:r w:rsidRPr="0009182C">
                <w:rPr>
                  <w:rStyle w:val="Hyperlink"/>
                  <w:rFonts w:ascii="Cambria" w:hAnsi="Cambria"/>
                  <w:b/>
                  <w:lang w:val="es-CO"/>
                </w:rPr>
                <w:t>62/15</w:t>
              </w:r>
            </w:hyperlink>
          </w:p>
          <w:p w14:paraId="5324546C" w14:textId="77777777" w:rsidR="00B81A4F" w:rsidRPr="0009182C" w:rsidRDefault="00B81A4F" w:rsidP="00B67A4A">
            <w:pPr>
              <w:spacing w:after="0" w:line="240" w:lineRule="auto"/>
              <w:jc w:val="both"/>
              <w:rPr>
                <w:rFonts w:ascii="Cambria" w:eastAsia="Batang" w:hAnsi="Cambria"/>
                <w:b/>
                <w:color w:val="000000" w:themeColor="text1"/>
                <w:lang w:val="es-CO"/>
              </w:rPr>
            </w:pPr>
            <w:r w:rsidRPr="0009182C">
              <w:rPr>
                <w:rFonts w:ascii="Cambria" w:eastAsia="Batang" w:hAnsi="Cambria"/>
                <w:b/>
                <w:color w:val="000000" w:themeColor="text1"/>
                <w:lang w:val="es-CO"/>
              </w:rPr>
              <w:t xml:space="preserve">Informe de Acuerdo de Solución Amistosa Nº: </w:t>
            </w:r>
            <w:hyperlink r:id="rId9" w:history="1">
              <w:r w:rsidRPr="0009182C">
                <w:rPr>
                  <w:rStyle w:val="Hyperlink"/>
                  <w:rFonts w:ascii="Cambria" w:eastAsia="Batang" w:hAnsi="Cambria"/>
                  <w:b/>
                  <w:bCs/>
                  <w:color w:val="000000" w:themeColor="text1"/>
                  <w:lang w:val="es-CO"/>
                </w:rPr>
                <w:t>197/20</w:t>
              </w:r>
            </w:hyperlink>
            <w:r w:rsidRPr="0009182C">
              <w:rPr>
                <w:rFonts w:ascii="Cambria" w:eastAsia="Batang" w:hAnsi="Cambria"/>
                <w:b/>
                <w:bCs/>
                <w:color w:val="000000" w:themeColor="text1"/>
                <w:lang w:val="es-CO"/>
              </w:rPr>
              <w:t>,</w:t>
            </w:r>
            <w:r w:rsidRPr="0009182C">
              <w:rPr>
                <w:rFonts w:ascii="Cambria" w:eastAsia="Batang" w:hAnsi="Cambria"/>
                <w:bCs/>
                <w:color w:val="000000" w:themeColor="text1"/>
                <w:lang w:val="es-CO"/>
              </w:rPr>
              <w:t xml:space="preserve"> publicado el 12 de julio de 2020</w:t>
            </w:r>
          </w:p>
          <w:p w14:paraId="33C79CF6" w14:textId="77777777" w:rsidR="00B81A4F" w:rsidRPr="0009182C" w:rsidRDefault="00B81A4F" w:rsidP="00B67A4A">
            <w:pPr>
              <w:spacing w:after="0" w:line="240" w:lineRule="auto"/>
              <w:jc w:val="both"/>
              <w:rPr>
                <w:rFonts w:ascii="Cambria" w:eastAsia="Batang" w:hAnsi="Cambria"/>
                <w:b/>
                <w:color w:val="000000" w:themeColor="text1"/>
                <w:lang w:val="es-CO"/>
              </w:rPr>
            </w:pPr>
            <w:r w:rsidRPr="0009182C">
              <w:rPr>
                <w:rFonts w:ascii="Cambria" w:eastAsia="Batang" w:hAnsi="Cambria"/>
                <w:b/>
                <w:bCs/>
                <w:color w:val="000000" w:themeColor="text1"/>
                <w:lang w:val="es-CO"/>
              </w:rPr>
              <w:t xml:space="preserve">Duración estimada de la fase de negociación: </w:t>
            </w:r>
            <w:r w:rsidRPr="0009182C">
              <w:rPr>
                <w:rFonts w:ascii="Cambria" w:eastAsia="Batang" w:hAnsi="Cambria"/>
                <w:color w:val="000000" w:themeColor="text1"/>
                <w:lang w:val="es-CO"/>
              </w:rPr>
              <w:t>1 año y 2 meses</w:t>
            </w:r>
          </w:p>
          <w:p w14:paraId="0BDD4829" w14:textId="77777777" w:rsidR="00B81A4F" w:rsidRPr="0009182C" w:rsidRDefault="00B81A4F" w:rsidP="00B67A4A">
            <w:pPr>
              <w:spacing w:after="0" w:line="240" w:lineRule="auto"/>
              <w:jc w:val="both"/>
              <w:rPr>
                <w:rFonts w:ascii="Cambria" w:eastAsia="Batang" w:hAnsi="Cambria"/>
                <w:b/>
                <w:color w:val="080808"/>
                <w:lang w:val="es-CO"/>
              </w:rPr>
            </w:pPr>
            <w:r w:rsidRPr="0009182C">
              <w:rPr>
                <w:rFonts w:ascii="Cambria" w:eastAsia="Batang" w:hAnsi="Cambria"/>
                <w:b/>
                <w:color w:val="000000" w:themeColor="text1"/>
                <w:lang w:val="es-CO"/>
              </w:rPr>
              <w:t xml:space="preserve">Relatoría vinculada: </w:t>
            </w:r>
            <w:r w:rsidRPr="0009182C">
              <w:rPr>
                <w:rFonts w:ascii="Cambria" w:eastAsia="Batang" w:hAnsi="Cambria"/>
                <w:bCs/>
                <w:color w:val="000000" w:themeColor="text1"/>
                <w:lang w:val="es-CO"/>
              </w:rPr>
              <w:t xml:space="preserve">Relatoría sobre los Derechos de las Mujeres/ Relatoría </w:t>
            </w:r>
            <w:r w:rsidRPr="0009182C">
              <w:rPr>
                <w:rFonts w:ascii="Cambria" w:eastAsia="Batang" w:hAnsi="Cambria"/>
                <w:bCs/>
                <w:color w:val="080808"/>
                <w:lang w:val="es-CO"/>
              </w:rPr>
              <w:t>sobre los derechos de las Personas Privadas de la Libertad/ Relatoría Especial sobre los Derechos Económicos, Sociales, Culturales y Ambientales.</w:t>
            </w:r>
          </w:p>
          <w:p w14:paraId="4326089D" w14:textId="77777777" w:rsidR="00B81A4F" w:rsidRPr="0009182C" w:rsidRDefault="00B81A4F" w:rsidP="00B67A4A">
            <w:pPr>
              <w:spacing w:after="0" w:line="240" w:lineRule="auto"/>
              <w:jc w:val="both"/>
              <w:rPr>
                <w:rFonts w:ascii="Cambria" w:eastAsia="Batang" w:hAnsi="Cambria"/>
                <w:bCs/>
                <w:color w:val="080808"/>
                <w:lang w:val="es-CO"/>
              </w:rPr>
            </w:pPr>
            <w:r w:rsidRPr="0009182C">
              <w:rPr>
                <w:rFonts w:ascii="Cambria" w:eastAsia="Batang" w:hAnsi="Cambria"/>
                <w:b/>
                <w:color w:val="080808"/>
                <w:lang w:val="es-CO"/>
              </w:rPr>
              <w:t xml:space="preserve">Temas: </w:t>
            </w:r>
            <w:r w:rsidRPr="0009182C">
              <w:rPr>
                <w:rFonts w:ascii="Cambria" w:eastAsia="Batang" w:hAnsi="Cambria"/>
                <w:bCs/>
                <w:color w:val="080808"/>
                <w:lang w:val="es-CO"/>
              </w:rPr>
              <w:t>Garantías de Protección Judicial/ Pobreza y Derechos Humanos/ Principio de Legalidad y Retroactividad/ Violencia Basada en Género/ Derecho a la Vivienda</w:t>
            </w:r>
          </w:p>
          <w:p w14:paraId="25253FF6" w14:textId="77777777" w:rsidR="00B81A4F" w:rsidRPr="0009182C" w:rsidRDefault="00B81A4F" w:rsidP="00B67A4A">
            <w:pPr>
              <w:spacing w:after="0" w:line="240" w:lineRule="auto"/>
              <w:jc w:val="both"/>
              <w:rPr>
                <w:rFonts w:ascii="Cambria" w:eastAsia="Batang" w:hAnsi="Cambria"/>
                <w:b/>
                <w:color w:val="080808"/>
                <w:lang w:val="es-CO"/>
              </w:rPr>
            </w:pPr>
          </w:p>
          <w:p w14:paraId="21137A70" w14:textId="77777777" w:rsidR="00B81A4F" w:rsidRPr="0009182C" w:rsidRDefault="00B81A4F" w:rsidP="00B67A4A">
            <w:pPr>
              <w:spacing w:after="0" w:line="240" w:lineRule="auto"/>
              <w:jc w:val="both"/>
              <w:rPr>
                <w:rFonts w:ascii="Cambria" w:eastAsia="Batang" w:hAnsi="Cambria"/>
                <w:bCs/>
                <w:color w:val="080808"/>
                <w:lang w:val="es-CO"/>
              </w:rPr>
            </w:pPr>
            <w:r w:rsidRPr="0009182C">
              <w:rPr>
                <w:rFonts w:ascii="Cambria" w:eastAsia="Batang" w:hAnsi="Cambria"/>
                <w:b/>
                <w:color w:val="080808"/>
                <w:lang w:val="es-CO"/>
              </w:rPr>
              <w:t xml:space="preserve">Hechos: </w:t>
            </w:r>
            <w:r w:rsidRPr="0009182C">
              <w:rPr>
                <w:rFonts w:ascii="Cambria" w:eastAsia="Batang" w:hAnsi="Cambria"/>
                <w:bCs/>
                <w:color w:val="080808"/>
                <w:lang w:val="es-CO"/>
              </w:rPr>
              <w:t>La parte peticionaria indicó que, en el año 2001, la señora Graciela Ramos Rocha se encontraba embarazada y en una situación de casi indigencia, con tres niños menores de edad, una de las cuales padece una discapacidad severa. Siendo víctima de violencia doméstica, la señora Ramos Rocha habría ingresado a una casa desocupada buscando refugio. Los peticionarios alegaron que la conducta de Graciela Ramos Rocha no cumplió con los elementos de tipicidad, antijuridicidad y culpabilidad, por lo cual la condena habría sido impuesta con violación al principio de legalidad. A la víctima se le habría impuesto la pena de un año de prisión de ejecución condicional, como autora penalmente responsable del delito de usurpación.</w:t>
            </w:r>
          </w:p>
          <w:p w14:paraId="034CEBC4" w14:textId="77777777" w:rsidR="00B81A4F" w:rsidRPr="0009182C" w:rsidRDefault="00B81A4F" w:rsidP="00B67A4A">
            <w:pPr>
              <w:spacing w:after="0" w:line="240" w:lineRule="auto"/>
              <w:jc w:val="both"/>
              <w:rPr>
                <w:rFonts w:ascii="Cambria" w:eastAsia="Batang" w:hAnsi="Cambria"/>
                <w:b/>
                <w:color w:val="080808"/>
                <w:lang w:val="es-CO"/>
              </w:rPr>
            </w:pPr>
          </w:p>
          <w:p w14:paraId="38FD5FD9" w14:textId="77777777" w:rsidR="00B81A4F" w:rsidRPr="0009182C" w:rsidRDefault="00B81A4F" w:rsidP="00B67A4A">
            <w:pPr>
              <w:autoSpaceDE w:val="0"/>
              <w:autoSpaceDN w:val="0"/>
              <w:adjustRightInd w:val="0"/>
              <w:spacing w:after="0" w:line="240" w:lineRule="auto"/>
              <w:jc w:val="both"/>
              <w:rPr>
                <w:rFonts w:ascii="Cambria" w:eastAsia="Batang" w:hAnsi="Cambria" w:cs="Cambria"/>
                <w:color w:val="080808"/>
                <w:lang w:val="es-CO" w:eastAsia="pt-BR"/>
              </w:rPr>
            </w:pPr>
            <w:r w:rsidRPr="0009182C">
              <w:rPr>
                <w:rFonts w:ascii="Cambria" w:eastAsia="Batang" w:hAnsi="Cambria"/>
                <w:b/>
                <w:color w:val="080808"/>
                <w:lang w:val="es-CO"/>
              </w:rPr>
              <w:t xml:space="preserve">Derechos declarados admisibles: </w:t>
            </w:r>
            <w:r w:rsidRPr="0009182C">
              <w:rPr>
                <w:rFonts w:ascii="Cambria" w:eastAsia="Batang" w:hAnsi="Cambria"/>
                <w:bCs/>
                <w:color w:val="080808"/>
                <w:lang w:val="es-CO"/>
              </w:rPr>
              <w:t>El 26 de octubre de 2015, la CIDH declaró admisible la petición en relación con los artículos 8 (derecho a las garantías judiciales), 9 (principio de legalidad y retroactividad) y 25 (garantías de protección judicial) de la Convención Americana en conexión con las obligaciones establecidas en los artículos 1.1 y 2 del mismo instrumento.</w:t>
            </w:r>
          </w:p>
        </w:tc>
      </w:tr>
    </w:tbl>
    <w:p w14:paraId="631BE984" w14:textId="77777777" w:rsidR="00B81A4F" w:rsidRPr="0009182C" w:rsidRDefault="00B81A4F" w:rsidP="00B81A4F">
      <w:pPr>
        <w:spacing w:after="0" w:line="240" w:lineRule="auto"/>
        <w:contextualSpacing/>
        <w:jc w:val="both"/>
        <w:rPr>
          <w:rFonts w:ascii="Cambria" w:eastAsia="Batang" w:hAnsi="Cambria" w:cs="Calibri Light"/>
          <w:b/>
          <w:color w:val="080808"/>
          <w:lang w:val="es-CO"/>
        </w:rPr>
      </w:pPr>
    </w:p>
    <w:p w14:paraId="40DA4C30" w14:textId="77777777" w:rsidR="00B81A4F" w:rsidRPr="0009182C" w:rsidRDefault="00B81A4F" w:rsidP="00B81A4F">
      <w:pPr>
        <w:numPr>
          <w:ilvl w:val="0"/>
          <w:numId w:val="2"/>
        </w:numPr>
        <w:spacing w:after="0" w:line="240" w:lineRule="auto"/>
        <w:ind w:left="0" w:firstLine="720"/>
        <w:contextualSpacing/>
        <w:rPr>
          <w:rFonts w:ascii="Cambria" w:eastAsia="Batang" w:hAnsi="Cambria"/>
          <w:b/>
          <w:color w:val="080808"/>
          <w:lang w:val="es-CO"/>
        </w:rPr>
      </w:pPr>
      <w:r w:rsidRPr="0009182C">
        <w:rPr>
          <w:rFonts w:ascii="Cambria" w:eastAsia="Batang" w:hAnsi="Cambria"/>
          <w:b/>
          <w:color w:val="080808"/>
          <w:lang w:val="es-CO"/>
        </w:rPr>
        <w:t>ACTIVIDAD PROCESAL</w:t>
      </w:r>
    </w:p>
    <w:p w14:paraId="11A9A21C" w14:textId="77777777" w:rsidR="00B81A4F" w:rsidRPr="0009182C" w:rsidRDefault="00B81A4F" w:rsidP="00B81A4F">
      <w:pPr>
        <w:spacing w:after="0" w:line="240" w:lineRule="auto"/>
        <w:ind w:firstLine="720"/>
        <w:jc w:val="both"/>
        <w:rPr>
          <w:rFonts w:ascii="Cambria" w:hAnsi="Cambria"/>
          <w:color w:val="080808"/>
          <w:lang w:val="es-CO"/>
        </w:rPr>
      </w:pPr>
    </w:p>
    <w:p w14:paraId="09205A00" w14:textId="7F55E54C" w:rsidR="00B81A4F" w:rsidRPr="00BC529A" w:rsidRDefault="00B81A4F" w:rsidP="00B81A4F">
      <w:pPr>
        <w:numPr>
          <w:ilvl w:val="0"/>
          <w:numId w:val="3"/>
        </w:numPr>
        <w:spacing w:after="0" w:line="240" w:lineRule="auto"/>
        <w:ind w:left="0" w:firstLine="720"/>
        <w:jc w:val="both"/>
        <w:rPr>
          <w:rFonts w:ascii="Cambria" w:eastAsia="Batang" w:hAnsi="Cambria" w:cs="Calibri Light"/>
          <w:b/>
          <w:color w:val="080808"/>
          <w:lang w:val="es-CO"/>
        </w:rPr>
      </w:pPr>
      <w:r w:rsidRPr="00BC529A">
        <w:rPr>
          <w:rFonts w:ascii="Cambria" w:eastAsia="Batang" w:hAnsi="Cambria" w:cs="Calibri Light"/>
          <w:bCs/>
          <w:color w:val="080808"/>
          <w:lang w:val="es-CO"/>
        </w:rPr>
        <w:t>El</w:t>
      </w:r>
      <w:r w:rsidR="00BC529A">
        <w:rPr>
          <w:rFonts w:ascii="Cambria" w:eastAsia="Batang" w:hAnsi="Cambria" w:cs="Calibri Light"/>
          <w:bCs/>
          <w:color w:val="080808"/>
          <w:lang w:val="es-CO"/>
        </w:rPr>
        <w:t xml:space="preserve"> </w:t>
      </w:r>
      <w:r w:rsidRPr="00BC529A">
        <w:rPr>
          <w:rFonts w:ascii="Cambria" w:hAnsi="Cambria"/>
          <w:color w:val="080808"/>
          <w:lang w:val="es-CO"/>
        </w:rPr>
        <w:t>29 de mayo de 2020, las partes firmaron un acuerdo de solución amistosa.</w:t>
      </w:r>
    </w:p>
    <w:p w14:paraId="39296447" w14:textId="77777777" w:rsidR="00B81A4F" w:rsidRPr="0009182C" w:rsidRDefault="00B81A4F" w:rsidP="00B81A4F">
      <w:pPr>
        <w:spacing w:after="0" w:line="240" w:lineRule="auto"/>
        <w:ind w:firstLine="720"/>
        <w:jc w:val="both"/>
        <w:rPr>
          <w:rFonts w:ascii="Cambria" w:hAnsi="Cambria"/>
          <w:color w:val="080808"/>
          <w:lang w:val="es-CO"/>
        </w:rPr>
      </w:pPr>
    </w:p>
    <w:p w14:paraId="7ADFAD69" w14:textId="0BF240B8" w:rsidR="00B81A4F" w:rsidRPr="00B81A4F" w:rsidRDefault="00B81A4F" w:rsidP="00B81A4F">
      <w:pPr>
        <w:numPr>
          <w:ilvl w:val="0"/>
          <w:numId w:val="3"/>
        </w:numPr>
        <w:autoSpaceDE w:val="0"/>
        <w:autoSpaceDN w:val="0"/>
        <w:adjustRightInd w:val="0"/>
        <w:spacing w:after="0" w:line="240" w:lineRule="auto"/>
        <w:ind w:left="0" w:firstLine="720"/>
        <w:jc w:val="both"/>
        <w:rPr>
          <w:rFonts w:ascii="Cambria" w:eastAsia="Batang" w:hAnsi="Cambria" w:cs="Calibri Light"/>
          <w:color w:val="080808"/>
          <w:lang w:val="es-CO"/>
        </w:rPr>
      </w:pPr>
      <w:r w:rsidRPr="00B81A4F">
        <w:rPr>
          <w:rFonts w:ascii="Cambria" w:eastAsia="Batang" w:hAnsi="Cambria" w:cs="Calibri Light"/>
          <w:color w:val="080808"/>
          <w:lang w:val="es-CO"/>
        </w:rPr>
        <w:t xml:space="preserve">El 12 de julio de 2020, la Comisión aprobó el acuerdo suscrito por las partes, mediante el </w:t>
      </w:r>
      <w:r w:rsidRPr="00B81A4F">
        <w:rPr>
          <w:rFonts w:ascii="Cambria" w:hAnsi="Cambria"/>
          <w:color w:val="080808"/>
          <w:lang w:val="es-CO"/>
        </w:rPr>
        <w:t>Informe No. 197/20.</w:t>
      </w:r>
      <w:r w:rsidRPr="00B81A4F">
        <w:rPr>
          <w:rFonts w:ascii="Cambria" w:eastAsia="Batang" w:hAnsi="Cambria"/>
          <w:color w:val="080808"/>
          <w:lang w:val="es-CO"/>
        </w:rPr>
        <w:t xml:space="preserve"> </w:t>
      </w:r>
    </w:p>
    <w:p w14:paraId="720C83BC" w14:textId="77777777" w:rsidR="00B81A4F" w:rsidRPr="0009182C" w:rsidRDefault="00B81A4F" w:rsidP="00B81A4F">
      <w:pPr>
        <w:numPr>
          <w:ilvl w:val="0"/>
          <w:numId w:val="2"/>
        </w:numPr>
        <w:spacing w:after="0" w:line="240" w:lineRule="auto"/>
        <w:ind w:left="0" w:firstLine="720"/>
        <w:contextualSpacing/>
        <w:jc w:val="both"/>
        <w:rPr>
          <w:rFonts w:ascii="Cambria" w:eastAsia="Batang" w:hAnsi="Cambria" w:cs="Calibri Light"/>
          <w:b/>
          <w:color w:val="080808"/>
          <w:lang w:val="es-CO"/>
        </w:rPr>
        <w:sectPr w:rsidR="00B81A4F" w:rsidRPr="0009182C" w:rsidSect="00A366BE">
          <w:headerReference w:type="default"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pPr>
    </w:p>
    <w:p w14:paraId="6526C765" w14:textId="77777777" w:rsidR="00B81A4F" w:rsidRPr="0009182C" w:rsidRDefault="00B81A4F" w:rsidP="00B81A4F">
      <w:pPr>
        <w:numPr>
          <w:ilvl w:val="0"/>
          <w:numId w:val="2"/>
        </w:numPr>
        <w:spacing w:after="0" w:line="240" w:lineRule="auto"/>
        <w:ind w:left="0" w:firstLine="720"/>
        <w:contextualSpacing/>
        <w:jc w:val="both"/>
        <w:rPr>
          <w:rFonts w:ascii="Cambria" w:eastAsia="Batang" w:hAnsi="Cambria" w:cs="Calibri Light"/>
          <w:b/>
          <w:color w:val="080808"/>
          <w:lang w:val="es-CO"/>
        </w:rPr>
      </w:pPr>
      <w:r w:rsidRPr="0009182C">
        <w:rPr>
          <w:rFonts w:ascii="Cambria" w:eastAsia="Batang" w:hAnsi="Cambria" w:cs="Calibri Light"/>
          <w:b/>
          <w:color w:val="080808"/>
          <w:lang w:val="es-CO"/>
        </w:rPr>
        <w:lastRenderedPageBreak/>
        <w:t>ANÁLISIS DEL CUMPLIMIENTO DE LAS CLÁUSULAS DEL ACUERDO DE SOLUCIÓN AMISTOSA</w:t>
      </w:r>
    </w:p>
    <w:p w14:paraId="1BBC5086" w14:textId="77777777" w:rsidR="00B81A4F" w:rsidRPr="0009182C" w:rsidRDefault="00B81A4F" w:rsidP="00B81A4F">
      <w:pPr>
        <w:spacing w:after="0" w:line="240" w:lineRule="auto"/>
        <w:ind w:left="720"/>
        <w:contextualSpacing/>
        <w:jc w:val="both"/>
        <w:rPr>
          <w:rFonts w:ascii="Cambria" w:eastAsia="Batang" w:hAnsi="Cambria" w:cs="Calibri Light"/>
          <w:b/>
          <w:color w:val="080808"/>
          <w:lang w:val="es-CO"/>
        </w:rPr>
      </w:pP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2"/>
        <w:gridCol w:w="1701"/>
      </w:tblGrid>
      <w:tr w:rsidR="00B81A4F" w:rsidRPr="0009182C" w14:paraId="599A7996" w14:textId="77777777" w:rsidTr="00B67A4A">
        <w:trPr>
          <w:jc w:val="center"/>
        </w:trPr>
        <w:tc>
          <w:tcPr>
            <w:tcW w:w="7632" w:type="dxa"/>
            <w:tcBorders>
              <w:top w:val="single" w:sz="4" w:space="0" w:color="auto"/>
              <w:left w:val="single" w:sz="4" w:space="0" w:color="auto"/>
              <w:bottom w:val="single" w:sz="4" w:space="0" w:color="auto"/>
              <w:right w:val="single" w:sz="4" w:space="0" w:color="auto"/>
            </w:tcBorders>
            <w:shd w:val="clear" w:color="auto" w:fill="D9D9D9"/>
            <w:vAlign w:val="center"/>
          </w:tcPr>
          <w:p w14:paraId="2269EE90" w14:textId="77777777" w:rsidR="00B81A4F" w:rsidRPr="0009182C" w:rsidRDefault="00B81A4F" w:rsidP="00B67A4A">
            <w:pPr>
              <w:tabs>
                <w:tab w:val="center" w:pos="2049"/>
              </w:tabs>
              <w:spacing w:after="0" w:line="240" w:lineRule="auto"/>
              <w:jc w:val="center"/>
              <w:rPr>
                <w:rFonts w:ascii="Cambria" w:eastAsia="Batang" w:hAnsi="Cambria"/>
                <w:b/>
                <w:color w:val="080808"/>
                <w:lang w:val="es-CO"/>
              </w:rPr>
            </w:pPr>
            <w:r w:rsidRPr="0009182C">
              <w:rPr>
                <w:rFonts w:ascii="Cambria" w:eastAsia="Batang" w:hAnsi="Cambria"/>
                <w:b/>
                <w:color w:val="080808"/>
                <w:lang w:val="es-CO"/>
              </w:rPr>
              <w:t>Cláusula del Acuerdo</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4F1C189" w14:textId="77777777" w:rsidR="00B81A4F" w:rsidRPr="0009182C" w:rsidRDefault="00B81A4F" w:rsidP="00B67A4A">
            <w:pPr>
              <w:spacing w:after="0" w:line="240" w:lineRule="auto"/>
              <w:jc w:val="center"/>
              <w:rPr>
                <w:rFonts w:ascii="Cambria" w:eastAsia="Batang" w:hAnsi="Cambria"/>
                <w:b/>
                <w:color w:val="080808"/>
                <w:lang w:val="es-CO"/>
              </w:rPr>
            </w:pPr>
            <w:r w:rsidRPr="0009182C">
              <w:rPr>
                <w:rFonts w:ascii="Cambria" w:eastAsia="Batang" w:hAnsi="Cambria"/>
                <w:b/>
                <w:color w:val="080808"/>
                <w:lang w:val="es-CO"/>
              </w:rPr>
              <w:t>Estado de Cumplimiento</w:t>
            </w:r>
          </w:p>
        </w:tc>
      </w:tr>
      <w:tr w:rsidR="00B81A4F" w:rsidRPr="0009182C" w14:paraId="65916AAF" w14:textId="77777777" w:rsidTr="00B67A4A">
        <w:trPr>
          <w:trHeight w:val="269"/>
          <w:jc w:val="center"/>
        </w:trPr>
        <w:tc>
          <w:tcPr>
            <w:tcW w:w="9333" w:type="dxa"/>
            <w:gridSpan w:val="2"/>
            <w:tcBorders>
              <w:top w:val="single" w:sz="4" w:space="0" w:color="auto"/>
              <w:left w:val="single" w:sz="4" w:space="0" w:color="auto"/>
              <w:bottom w:val="single" w:sz="4" w:space="0" w:color="auto"/>
              <w:right w:val="single" w:sz="4" w:space="0" w:color="auto"/>
            </w:tcBorders>
            <w:vAlign w:val="center"/>
          </w:tcPr>
          <w:p w14:paraId="16376103" w14:textId="77777777" w:rsidR="00B81A4F" w:rsidRPr="0009182C" w:rsidRDefault="00B81A4F" w:rsidP="00B81A4F">
            <w:pPr>
              <w:numPr>
                <w:ilvl w:val="0"/>
                <w:numId w:val="4"/>
              </w:numPr>
              <w:spacing w:after="0" w:line="240" w:lineRule="auto"/>
              <w:ind w:left="296" w:hanging="296"/>
              <w:jc w:val="both"/>
              <w:rPr>
                <w:rFonts w:ascii="Cambria" w:hAnsi="Cambria"/>
                <w:b/>
                <w:bCs/>
                <w:lang w:val="es-CO"/>
              </w:rPr>
            </w:pPr>
            <w:r w:rsidRPr="0009182C">
              <w:rPr>
                <w:rFonts w:ascii="Cambria" w:hAnsi="Cambria"/>
                <w:b/>
                <w:bCs/>
                <w:lang w:val="es-CO"/>
              </w:rPr>
              <w:t>Situación habitacional</w:t>
            </w:r>
          </w:p>
        </w:tc>
      </w:tr>
      <w:tr w:rsidR="00B81A4F" w:rsidRPr="0009182C" w14:paraId="7DA238B1" w14:textId="77777777" w:rsidTr="00B67A4A">
        <w:trPr>
          <w:trHeight w:val="269"/>
          <w:jc w:val="center"/>
        </w:trPr>
        <w:tc>
          <w:tcPr>
            <w:tcW w:w="7632" w:type="dxa"/>
            <w:tcBorders>
              <w:top w:val="single" w:sz="4" w:space="0" w:color="auto"/>
              <w:left w:val="single" w:sz="4" w:space="0" w:color="auto"/>
              <w:bottom w:val="single" w:sz="4" w:space="0" w:color="auto"/>
              <w:right w:val="single" w:sz="4" w:space="0" w:color="auto"/>
            </w:tcBorders>
            <w:vAlign w:val="center"/>
          </w:tcPr>
          <w:p w14:paraId="16B69711" w14:textId="77777777" w:rsidR="00B81A4F" w:rsidRPr="0009182C" w:rsidRDefault="00B81A4F" w:rsidP="00B67A4A">
            <w:pPr>
              <w:spacing w:after="0" w:line="240" w:lineRule="auto"/>
              <w:jc w:val="both"/>
              <w:rPr>
                <w:rFonts w:ascii="Cambria" w:eastAsia="Times New Roman" w:hAnsi="Cambria"/>
                <w:color w:val="080808"/>
                <w:lang w:val="es-CO"/>
              </w:rPr>
            </w:pPr>
            <w:r w:rsidRPr="0009182C">
              <w:rPr>
                <w:rFonts w:ascii="Cambria" w:hAnsi="Cambria"/>
                <w:color w:val="080808"/>
                <w:lang w:val="es-CO"/>
              </w:rPr>
              <w:t>1. El Gobierno de la Provincia de Mendoza se compromete a entregar a la señora Graciela Ramos Rocha la posesión y propiedad de la vivienda [en la] Provincia de Mendoza, constante de una superficie total de CIENTO CUARENTA Y SEIS METROS CUARENTA CENTIMETROS CUADRADOS (146,40), SEGUN NOMENCLATURA CATASTRAL N° XXX, y que fuera adjudicada por medio de Resolución N° XXX. de fecha 11 de septiembre de 2018. El inmueble se entregará a la peticionaria en propiedad, sin que le corresponda a ella o a su grupo familiar pago alguno, y sin ningún tipo de deudas ni gravámenes.</w:t>
            </w:r>
          </w:p>
        </w:tc>
        <w:tc>
          <w:tcPr>
            <w:tcW w:w="1701" w:type="dxa"/>
            <w:tcBorders>
              <w:top w:val="single" w:sz="4" w:space="0" w:color="auto"/>
              <w:left w:val="single" w:sz="4" w:space="0" w:color="auto"/>
              <w:bottom w:val="single" w:sz="4" w:space="0" w:color="auto"/>
              <w:right w:val="single" w:sz="4" w:space="0" w:color="auto"/>
            </w:tcBorders>
            <w:vAlign w:val="center"/>
          </w:tcPr>
          <w:p w14:paraId="75CE1255" w14:textId="77777777" w:rsidR="00B81A4F" w:rsidRPr="0009182C" w:rsidRDefault="00B81A4F" w:rsidP="00B67A4A">
            <w:pPr>
              <w:spacing w:after="0" w:line="240" w:lineRule="auto"/>
              <w:jc w:val="center"/>
              <w:rPr>
                <w:rFonts w:ascii="Cambria" w:eastAsia="Batang" w:hAnsi="Cambria"/>
                <w:b/>
                <w:color w:val="080808"/>
                <w:lang w:val="es-CO"/>
              </w:rPr>
            </w:pPr>
            <w:r w:rsidRPr="0009182C">
              <w:rPr>
                <w:rFonts w:ascii="Cambria" w:eastAsia="Batang" w:hAnsi="Cambria"/>
                <w:b/>
                <w:color w:val="080808"/>
                <w:lang w:val="es-CO"/>
              </w:rPr>
              <w:t>Total</w:t>
            </w:r>
            <w:r w:rsidRPr="0009182C">
              <w:rPr>
                <w:rFonts w:ascii="Cambria" w:eastAsia="Batang" w:hAnsi="Cambria"/>
                <w:b/>
                <w:color w:val="080808"/>
                <w:vertAlign w:val="superscript"/>
                <w:lang w:val="es-CO"/>
              </w:rPr>
              <w:footnoteReference w:id="1"/>
            </w:r>
          </w:p>
        </w:tc>
      </w:tr>
      <w:tr w:rsidR="00B81A4F" w:rsidRPr="0009182C" w14:paraId="193D29D8" w14:textId="77777777" w:rsidTr="00B67A4A">
        <w:trPr>
          <w:trHeight w:val="1574"/>
          <w:jc w:val="center"/>
        </w:trPr>
        <w:tc>
          <w:tcPr>
            <w:tcW w:w="7632" w:type="dxa"/>
            <w:tcBorders>
              <w:top w:val="single" w:sz="4" w:space="0" w:color="auto"/>
              <w:left w:val="single" w:sz="4" w:space="0" w:color="auto"/>
              <w:bottom w:val="single" w:sz="4" w:space="0" w:color="auto"/>
              <w:right w:val="single" w:sz="4" w:space="0" w:color="auto"/>
            </w:tcBorders>
            <w:vAlign w:val="center"/>
          </w:tcPr>
          <w:p w14:paraId="5365DB35" w14:textId="77777777" w:rsidR="00B81A4F" w:rsidRPr="0009182C" w:rsidRDefault="00B81A4F" w:rsidP="00B67A4A">
            <w:pPr>
              <w:spacing w:after="0" w:line="240" w:lineRule="auto"/>
              <w:jc w:val="both"/>
              <w:rPr>
                <w:rFonts w:ascii="Cambria" w:hAnsi="Cambria"/>
                <w:color w:val="080808"/>
                <w:lang w:val="es-CO"/>
              </w:rPr>
            </w:pPr>
            <w:r w:rsidRPr="0009182C">
              <w:rPr>
                <w:rFonts w:ascii="Cambria" w:hAnsi="Cambria"/>
                <w:color w:val="080808"/>
                <w:lang w:val="es-CO"/>
              </w:rPr>
              <w:t>2. El Gobierno de la Provincia de Mendoza entrega el inmueble refaccionado y acondicionado, tomando como guía los lineamientos oportunamente señalados en el informe técnico arquitectónico realizado por la Defensoría General de la Nación, que se incluye como anexo de la presente. Esos lineamientos se dirigen a garantizar condiciones satisfactorias de habitabilidad para el grupo familiar, y adecuadas a la condición de salud de C.M.</w:t>
            </w:r>
          </w:p>
        </w:tc>
        <w:tc>
          <w:tcPr>
            <w:tcW w:w="1701" w:type="dxa"/>
            <w:tcBorders>
              <w:top w:val="single" w:sz="4" w:space="0" w:color="auto"/>
              <w:left w:val="single" w:sz="4" w:space="0" w:color="auto"/>
              <w:bottom w:val="single" w:sz="4" w:space="0" w:color="auto"/>
              <w:right w:val="single" w:sz="4" w:space="0" w:color="auto"/>
            </w:tcBorders>
            <w:vAlign w:val="center"/>
          </w:tcPr>
          <w:p w14:paraId="0597524E" w14:textId="77777777" w:rsidR="00B81A4F" w:rsidRPr="0009182C" w:rsidRDefault="00B81A4F" w:rsidP="00B67A4A">
            <w:pPr>
              <w:spacing w:after="0" w:line="240" w:lineRule="auto"/>
              <w:jc w:val="center"/>
              <w:rPr>
                <w:rFonts w:ascii="Cambria" w:eastAsia="Batang" w:hAnsi="Cambria"/>
                <w:b/>
                <w:color w:val="080808"/>
                <w:lang w:val="es-CO"/>
              </w:rPr>
            </w:pPr>
            <w:r w:rsidRPr="0009182C">
              <w:rPr>
                <w:rFonts w:ascii="Cambria" w:eastAsia="Batang" w:hAnsi="Cambria"/>
                <w:b/>
                <w:color w:val="080808"/>
                <w:lang w:val="es-CO"/>
              </w:rPr>
              <w:t>Total</w:t>
            </w:r>
            <w:r w:rsidRPr="0009182C">
              <w:rPr>
                <w:rFonts w:ascii="Cambria" w:eastAsia="Batang" w:hAnsi="Cambria"/>
                <w:b/>
                <w:color w:val="080808"/>
                <w:vertAlign w:val="superscript"/>
                <w:lang w:val="es-CO"/>
              </w:rPr>
              <w:footnoteReference w:id="2"/>
            </w:r>
          </w:p>
        </w:tc>
      </w:tr>
      <w:tr w:rsidR="00B81A4F" w:rsidRPr="0009182C" w14:paraId="73CD05EA" w14:textId="77777777" w:rsidTr="00B67A4A">
        <w:trPr>
          <w:trHeight w:val="985"/>
          <w:jc w:val="center"/>
        </w:trPr>
        <w:tc>
          <w:tcPr>
            <w:tcW w:w="7632" w:type="dxa"/>
            <w:tcBorders>
              <w:top w:val="single" w:sz="4" w:space="0" w:color="auto"/>
              <w:left w:val="single" w:sz="4" w:space="0" w:color="auto"/>
              <w:bottom w:val="single" w:sz="4" w:space="0" w:color="auto"/>
              <w:right w:val="single" w:sz="4" w:space="0" w:color="auto"/>
            </w:tcBorders>
          </w:tcPr>
          <w:p w14:paraId="5A7AFD16" w14:textId="77777777" w:rsidR="00B81A4F" w:rsidRPr="0009182C" w:rsidRDefault="00B81A4F" w:rsidP="00B67A4A">
            <w:pPr>
              <w:spacing w:after="0" w:line="240" w:lineRule="auto"/>
              <w:jc w:val="both"/>
              <w:rPr>
                <w:rFonts w:ascii="Cambria" w:hAnsi="Cambria"/>
                <w:color w:val="080808"/>
                <w:lang w:val="es-CO"/>
              </w:rPr>
            </w:pPr>
            <w:r w:rsidRPr="0009182C">
              <w:rPr>
                <w:rFonts w:ascii="Cambria" w:eastAsia="Times New Roman" w:hAnsi="Cambria"/>
                <w:lang w:val="es-CO"/>
              </w:rPr>
              <w:t xml:space="preserve">3. La entrega de la posesión en favor de la señora Graciela Ramos Rocha deberá́ realizarse en el plazo máximo de 15 días, contados a partir de la firma de la presente, mediante Actuación Notarial a realizarse por la Escribanía General de Gobierno de la Provincia de Mendoza. </w:t>
            </w:r>
          </w:p>
        </w:tc>
        <w:tc>
          <w:tcPr>
            <w:tcW w:w="1701" w:type="dxa"/>
            <w:tcBorders>
              <w:top w:val="single" w:sz="4" w:space="0" w:color="auto"/>
              <w:left w:val="single" w:sz="4" w:space="0" w:color="auto"/>
              <w:bottom w:val="single" w:sz="4" w:space="0" w:color="auto"/>
              <w:right w:val="single" w:sz="4" w:space="0" w:color="auto"/>
            </w:tcBorders>
            <w:vAlign w:val="center"/>
          </w:tcPr>
          <w:p w14:paraId="3B4C28FB" w14:textId="77777777" w:rsidR="00B81A4F" w:rsidRPr="0009182C" w:rsidRDefault="00B81A4F" w:rsidP="00B67A4A">
            <w:pPr>
              <w:spacing w:after="0" w:line="240" w:lineRule="auto"/>
              <w:jc w:val="center"/>
              <w:rPr>
                <w:rFonts w:ascii="Cambria" w:eastAsia="Batang" w:hAnsi="Cambria"/>
                <w:b/>
                <w:color w:val="080808"/>
                <w:lang w:val="es-CO"/>
              </w:rPr>
            </w:pPr>
            <w:r w:rsidRPr="0009182C">
              <w:rPr>
                <w:rFonts w:ascii="Cambria" w:eastAsia="Batang" w:hAnsi="Cambria"/>
                <w:b/>
                <w:color w:val="000000"/>
                <w:lang w:val="es-CO"/>
              </w:rPr>
              <w:t>Total</w:t>
            </w:r>
            <w:r w:rsidRPr="0009182C">
              <w:rPr>
                <w:rFonts w:ascii="Cambria" w:eastAsia="Batang" w:hAnsi="Cambria"/>
                <w:b/>
                <w:color w:val="000000"/>
                <w:vertAlign w:val="superscript"/>
                <w:lang w:val="es-CO"/>
              </w:rPr>
              <w:footnoteReference w:id="3"/>
            </w:r>
          </w:p>
        </w:tc>
      </w:tr>
      <w:tr w:rsidR="00B81A4F" w:rsidRPr="0009182C" w14:paraId="69CF791C" w14:textId="77777777" w:rsidTr="00B67A4A">
        <w:trPr>
          <w:trHeight w:val="1097"/>
          <w:jc w:val="center"/>
        </w:trPr>
        <w:tc>
          <w:tcPr>
            <w:tcW w:w="7632" w:type="dxa"/>
            <w:tcBorders>
              <w:top w:val="single" w:sz="4" w:space="0" w:color="auto"/>
              <w:left w:val="single" w:sz="4" w:space="0" w:color="auto"/>
              <w:bottom w:val="single" w:sz="4" w:space="0" w:color="auto"/>
              <w:right w:val="single" w:sz="4" w:space="0" w:color="auto"/>
            </w:tcBorders>
            <w:vAlign w:val="center"/>
          </w:tcPr>
          <w:p w14:paraId="1B68CEF5" w14:textId="77777777" w:rsidR="00B81A4F" w:rsidRPr="0009182C" w:rsidRDefault="00B81A4F" w:rsidP="00B67A4A">
            <w:pPr>
              <w:spacing w:after="0" w:line="240" w:lineRule="auto"/>
              <w:jc w:val="both"/>
              <w:rPr>
                <w:rFonts w:ascii="Cambria" w:hAnsi="Cambria"/>
                <w:color w:val="080808"/>
                <w:lang w:val="es-CO"/>
              </w:rPr>
            </w:pPr>
            <w:r w:rsidRPr="0009182C">
              <w:rPr>
                <w:rFonts w:ascii="Cambria" w:hAnsi="Cambria"/>
                <w:color w:val="080808"/>
                <w:lang w:val="es-CO"/>
              </w:rPr>
              <w:t>4. La señora Graciela Ramos Rocha deberá́ iniciar los trámites correspondientes a la escrituración y transmisión del dominio del inmueble referido ante el I.P.V. El trámite de escrituración será́ sin ningún costo para la peticionaria, debiendo el Gobierno de la Provincia colaborar a fin de que la escrituración se concrete en el tiempo más breve posible. Una vez cumplidos los trámites referidos y notificada la adopción por parte de la CIDH del Informe del artículo 49 de la Convención Americana de Derechos Humanos, el Gobierno de Mendoza otorgará a favor de la peticionaria la escritura respectiva.</w:t>
            </w:r>
          </w:p>
        </w:tc>
        <w:tc>
          <w:tcPr>
            <w:tcW w:w="1701" w:type="dxa"/>
            <w:tcBorders>
              <w:top w:val="single" w:sz="4" w:space="0" w:color="auto"/>
              <w:left w:val="single" w:sz="4" w:space="0" w:color="auto"/>
              <w:bottom w:val="single" w:sz="4" w:space="0" w:color="auto"/>
              <w:right w:val="single" w:sz="4" w:space="0" w:color="auto"/>
            </w:tcBorders>
            <w:vAlign w:val="center"/>
          </w:tcPr>
          <w:p w14:paraId="1ED844AE" w14:textId="77777777" w:rsidR="00B81A4F" w:rsidRPr="0009182C" w:rsidRDefault="00B81A4F" w:rsidP="00B67A4A">
            <w:pPr>
              <w:spacing w:after="0" w:line="240" w:lineRule="auto"/>
              <w:jc w:val="center"/>
              <w:rPr>
                <w:rFonts w:ascii="Cambria" w:eastAsia="Batang" w:hAnsi="Cambria"/>
                <w:b/>
                <w:color w:val="080808"/>
                <w:lang w:val="es-CO"/>
              </w:rPr>
            </w:pPr>
            <w:r w:rsidRPr="0009182C">
              <w:rPr>
                <w:rFonts w:ascii="Cambria" w:eastAsia="Batang" w:hAnsi="Cambria"/>
                <w:b/>
                <w:color w:val="080808"/>
                <w:lang w:val="es-CO"/>
              </w:rPr>
              <w:t>Total</w:t>
            </w:r>
            <w:r w:rsidRPr="0009182C">
              <w:rPr>
                <w:rFonts w:ascii="Cambria" w:eastAsia="Batang" w:hAnsi="Cambria"/>
                <w:b/>
                <w:color w:val="080808"/>
                <w:vertAlign w:val="superscript"/>
                <w:lang w:val="es-CO"/>
              </w:rPr>
              <w:footnoteReference w:id="4"/>
            </w:r>
          </w:p>
        </w:tc>
      </w:tr>
      <w:tr w:rsidR="00B81A4F" w:rsidRPr="0009182C" w14:paraId="18E18CC8" w14:textId="77777777" w:rsidTr="00B67A4A">
        <w:trPr>
          <w:trHeight w:val="868"/>
          <w:jc w:val="center"/>
        </w:trPr>
        <w:tc>
          <w:tcPr>
            <w:tcW w:w="7632" w:type="dxa"/>
            <w:tcBorders>
              <w:top w:val="single" w:sz="4" w:space="0" w:color="auto"/>
              <w:left w:val="single" w:sz="4" w:space="0" w:color="auto"/>
              <w:bottom w:val="single" w:sz="4" w:space="0" w:color="auto"/>
              <w:right w:val="single" w:sz="4" w:space="0" w:color="auto"/>
            </w:tcBorders>
            <w:vAlign w:val="center"/>
          </w:tcPr>
          <w:p w14:paraId="57662653" w14:textId="77777777" w:rsidR="00B81A4F" w:rsidRPr="0009182C" w:rsidRDefault="00B81A4F" w:rsidP="00B67A4A">
            <w:pPr>
              <w:spacing w:after="0" w:line="240" w:lineRule="auto"/>
              <w:jc w:val="both"/>
              <w:rPr>
                <w:rFonts w:ascii="Cambria" w:hAnsi="Cambria"/>
                <w:color w:val="080808"/>
                <w:lang w:val="es-CO"/>
              </w:rPr>
            </w:pPr>
            <w:r w:rsidRPr="0009182C">
              <w:rPr>
                <w:rFonts w:ascii="Cambria" w:eastAsia="Times New Roman" w:hAnsi="Cambria"/>
                <w:lang w:val="es-CO"/>
              </w:rPr>
              <w:t>5. El traslado de personas y bienes al inmueble indicado quedará a cargo de la peticionaria, debiendo dar aviso a las autoridades de la Provincia de Mendoza como mínimo 48 hrs antes.</w:t>
            </w:r>
          </w:p>
        </w:tc>
        <w:tc>
          <w:tcPr>
            <w:tcW w:w="1701" w:type="dxa"/>
            <w:tcBorders>
              <w:top w:val="single" w:sz="4" w:space="0" w:color="auto"/>
              <w:left w:val="single" w:sz="4" w:space="0" w:color="auto"/>
              <w:bottom w:val="single" w:sz="4" w:space="0" w:color="auto"/>
              <w:right w:val="single" w:sz="4" w:space="0" w:color="auto"/>
            </w:tcBorders>
            <w:vAlign w:val="center"/>
          </w:tcPr>
          <w:p w14:paraId="04D9215D" w14:textId="77777777" w:rsidR="00B81A4F" w:rsidRPr="0009182C" w:rsidRDefault="00B81A4F" w:rsidP="00B67A4A">
            <w:pPr>
              <w:spacing w:after="0" w:line="240" w:lineRule="auto"/>
              <w:jc w:val="center"/>
              <w:rPr>
                <w:rFonts w:ascii="Cambria" w:eastAsia="Batang" w:hAnsi="Cambria"/>
                <w:b/>
                <w:color w:val="080808"/>
                <w:lang w:val="es-CO"/>
              </w:rPr>
            </w:pPr>
            <w:r w:rsidRPr="0009182C">
              <w:rPr>
                <w:rFonts w:ascii="Cambria" w:eastAsia="Batang" w:hAnsi="Cambria"/>
                <w:b/>
                <w:color w:val="000000"/>
                <w:lang w:val="es-CO"/>
              </w:rPr>
              <w:t>Total</w:t>
            </w:r>
            <w:r w:rsidRPr="0009182C">
              <w:rPr>
                <w:rFonts w:ascii="Cambria" w:eastAsia="Batang" w:hAnsi="Cambria"/>
                <w:b/>
                <w:color w:val="000000"/>
                <w:vertAlign w:val="superscript"/>
                <w:lang w:val="es-CO"/>
              </w:rPr>
              <w:footnoteReference w:id="5"/>
            </w:r>
          </w:p>
        </w:tc>
      </w:tr>
      <w:tr w:rsidR="00B81A4F" w:rsidRPr="00BC529A" w14:paraId="53C64CE8" w14:textId="77777777" w:rsidTr="00B67A4A">
        <w:trPr>
          <w:trHeight w:val="49"/>
          <w:jc w:val="center"/>
        </w:trPr>
        <w:tc>
          <w:tcPr>
            <w:tcW w:w="9333" w:type="dxa"/>
            <w:gridSpan w:val="2"/>
            <w:tcBorders>
              <w:top w:val="single" w:sz="4" w:space="0" w:color="auto"/>
              <w:left w:val="single" w:sz="4" w:space="0" w:color="auto"/>
              <w:bottom w:val="single" w:sz="4" w:space="0" w:color="auto"/>
              <w:right w:val="single" w:sz="4" w:space="0" w:color="auto"/>
            </w:tcBorders>
            <w:vAlign w:val="center"/>
          </w:tcPr>
          <w:p w14:paraId="1FE29DA4" w14:textId="77777777" w:rsidR="00B81A4F" w:rsidRPr="0009182C" w:rsidRDefault="00B81A4F" w:rsidP="00B67A4A">
            <w:pPr>
              <w:spacing w:after="0" w:line="240" w:lineRule="auto"/>
              <w:rPr>
                <w:rFonts w:ascii="Cambria" w:eastAsia="Batang" w:hAnsi="Cambria"/>
                <w:b/>
                <w:color w:val="000000"/>
                <w:lang w:val="es-CO"/>
              </w:rPr>
            </w:pPr>
            <w:r w:rsidRPr="0009182C">
              <w:rPr>
                <w:rFonts w:ascii="Cambria" w:hAnsi="Cambria"/>
                <w:b/>
                <w:bCs/>
                <w:lang w:val="es-CO"/>
              </w:rPr>
              <w:t>B. Inserción escolar y social</w:t>
            </w:r>
          </w:p>
        </w:tc>
      </w:tr>
      <w:tr w:rsidR="00B81A4F" w:rsidRPr="0009182C" w14:paraId="009C9370" w14:textId="77777777" w:rsidTr="00B67A4A">
        <w:trPr>
          <w:trHeight w:val="49"/>
          <w:jc w:val="center"/>
        </w:trPr>
        <w:tc>
          <w:tcPr>
            <w:tcW w:w="7632" w:type="dxa"/>
            <w:tcBorders>
              <w:top w:val="single" w:sz="4" w:space="0" w:color="auto"/>
              <w:left w:val="single" w:sz="4" w:space="0" w:color="auto"/>
              <w:bottom w:val="single" w:sz="4" w:space="0" w:color="auto"/>
              <w:right w:val="single" w:sz="4" w:space="0" w:color="auto"/>
            </w:tcBorders>
          </w:tcPr>
          <w:p w14:paraId="79814030" w14:textId="77777777" w:rsidR="00B81A4F" w:rsidRPr="0009182C" w:rsidRDefault="00B81A4F" w:rsidP="00B67A4A">
            <w:pPr>
              <w:spacing w:after="0" w:line="240" w:lineRule="auto"/>
              <w:jc w:val="both"/>
              <w:rPr>
                <w:rFonts w:ascii="Cambria" w:eastAsia="Times New Roman" w:hAnsi="Cambria"/>
                <w:lang w:val="es-CO"/>
              </w:rPr>
            </w:pPr>
            <w:r w:rsidRPr="0009182C">
              <w:rPr>
                <w:rFonts w:ascii="Cambria" w:eastAsia="Times New Roman" w:hAnsi="Cambria"/>
                <w:lang w:val="es-CO"/>
              </w:rPr>
              <w:t xml:space="preserve">1. El Gobierno de la Provincia de Mendoza se compromete a garantizar dentro del nuevo lugar de arraigo, el derecho a la educación de los integrantes del grupo familiar en edad escolar, en el marco de la normativa vigente. Específicamente, </w:t>
            </w:r>
            <w:r w:rsidRPr="0009182C">
              <w:rPr>
                <w:rFonts w:ascii="Cambria" w:eastAsia="Times New Roman" w:hAnsi="Cambria"/>
                <w:lang w:val="es-CO"/>
              </w:rPr>
              <w:lastRenderedPageBreak/>
              <w:t xml:space="preserve">garantizar la inserción escolar en el radio de la vivienda detallada precedentemente, asistiendo a la peticionaria y a su grupo familiar en lo que sea necesario a los fines de la inscripción, y en todo otro trámite accesorio. Para lo cual, el día de la entrega de posesión, se relevarán los datos correspondientes de los integrantes del grupo familiar, y con ello se dará́ intervención a la Dirección General de Escuelas de la Provincia de Mendoza, quien le notificará los requisitos y trámites que deberán cumplir los integrantes para iniciar la escolarización. </w:t>
            </w:r>
          </w:p>
        </w:tc>
        <w:tc>
          <w:tcPr>
            <w:tcW w:w="1701" w:type="dxa"/>
            <w:tcBorders>
              <w:top w:val="single" w:sz="4" w:space="0" w:color="auto"/>
              <w:left w:val="single" w:sz="4" w:space="0" w:color="auto"/>
              <w:bottom w:val="single" w:sz="4" w:space="0" w:color="auto"/>
              <w:right w:val="single" w:sz="4" w:space="0" w:color="auto"/>
            </w:tcBorders>
            <w:vAlign w:val="center"/>
          </w:tcPr>
          <w:p w14:paraId="6E885E75" w14:textId="77777777" w:rsidR="00B81A4F" w:rsidRPr="0009182C" w:rsidRDefault="00B81A4F" w:rsidP="00B67A4A">
            <w:pPr>
              <w:spacing w:after="0" w:line="240" w:lineRule="auto"/>
              <w:jc w:val="center"/>
              <w:rPr>
                <w:rFonts w:ascii="Cambria" w:eastAsia="Batang" w:hAnsi="Cambria"/>
                <w:b/>
                <w:color w:val="000000"/>
                <w:lang w:val="es-CO"/>
              </w:rPr>
            </w:pPr>
            <w:r w:rsidRPr="0009182C">
              <w:rPr>
                <w:rFonts w:ascii="Cambria" w:eastAsia="Batang" w:hAnsi="Cambria"/>
                <w:b/>
                <w:color w:val="000000"/>
                <w:lang w:val="es-CO"/>
              </w:rPr>
              <w:lastRenderedPageBreak/>
              <w:t>Total</w:t>
            </w:r>
            <w:r w:rsidRPr="0009182C">
              <w:rPr>
                <w:rFonts w:ascii="Cambria" w:eastAsia="Batang" w:hAnsi="Cambria"/>
                <w:b/>
                <w:color w:val="000000"/>
                <w:vertAlign w:val="superscript"/>
                <w:lang w:val="es-CO"/>
              </w:rPr>
              <w:footnoteReference w:id="6"/>
            </w:r>
          </w:p>
        </w:tc>
      </w:tr>
      <w:tr w:rsidR="00B81A4F" w:rsidRPr="0009182C" w14:paraId="7AAD78B8" w14:textId="77777777" w:rsidTr="00B67A4A">
        <w:trPr>
          <w:trHeight w:val="49"/>
          <w:jc w:val="center"/>
        </w:trPr>
        <w:tc>
          <w:tcPr>
            <w:tcW w:w="7632" w:type="dxa"/>
            <w:tcBorders>
              <w:top w:val="single" w:sz="4" w:space="0" w:color="auto"/>
              <w:left w:val="single" w:sz="4" w:space="0" w:color="auto"/>
              <w:bottom w:val="single" w:sz="4" w:space="0" w:color="auto"/>
              <w:right w:val="single" w:sz="4" w:space="0" w:color="auto"/>
            </w:tcBorders>
          </w:tcPr>
          <w:p w14:paraId="11D0D694" w14:textId="77777777" w:rsidR="00B81A4F" w:rsidRPr="0009182C" w:rsidRDefault="00B81A4F" w:rsidP="00B67A4A">
            <w:pPr>
              <w:spacing w:after="0" w:line="240" w:lineRule="auto"/>
              <w:jc w:val="both"/>
              <w:rPr>
                <w:rFonts w:ascii="Cambria" w:eastAsia="Times New Roman" w:hAnsi="Cambria"/>
                <w:lang w:val="es-CO"/>
              </w:rPr>
            </w:pPr>
            <w:r w:rsidRPr="0009182C">
              <w:rPr>
                <w:rFonts w:ascii="Cambria" w:eastAsia="Times New Roman" w:hAnsi="Cambria"/>
                <w:lang w:val="es-CO"/>
              </w:rPr>
              <w:t xml:space="preserve">2. El Gobierno de la Provincia de Mendoza se compromete a poner a disposición de la peticionaria la oferta de actividades recreativas, comunitarias y culturales existente en la zona, quedando a cargo de la interesada los trámites atinentes a su inscripción, con intervención del Subsecretario de Deportes de la Provincia de Mendoza. </w:t>
            </w:r>
          </w:p>
        </w:tc>
        <w:tc>
          <w:tcPr>
            <w:tcW w:w="1701" w:type="dxa"/>
            <w:tcBorders>
              <w:top w:val="single" w:sz="4" w:space="0" w:color="auto"/>
              <w:left w:val="single" w:sz="4" w:space="0" w:color="auto"/>
              <w:bottom w:val="single" w:sz="4" w:space="0" w:color="auto"/>
              <w:right w:val="single" w:sz="4" w:space="0" w:color="auto"/>
            </w:tcBorders>
            <w:vAlign w:val="center"/>
          </w:tcPr>
          <w:p w14:paraId="13C4A9A9" w14:textId="77777777" w:rsidR="00B81A4F" w:rsidRPr="0009182C" w:rsidRDefault="00B81A4F" w:rsidP="00B67A4A">
            <w:pPr>
              <w:spacing w:after="0" w:line="240" w:lineRule="auto"/>
              <w:jc w:val="center"/>
              <w:rPr>
                <w:rFonts w:ascii="Cambria" w:eastAsia="Batang" w:hAnsi="Cambria"/>
                <w:b/>
                <w:color w:val="000000"/>
                <w:lang w:val="es-CO"/>
              </w:rPr>
            </w:pPr>
            <w:r w:rsidRPr="0009182C">
              <w:rPr>
                <w:rFonts w:ascii="Cambria" w:eastAsia="Batang" w:hAnsi="Cambria"/>
                <w:b/>
                <w:color w:val="000000"/>
                <w:lang w:val="es-CO"/>
              </w:rPr>
              <w:t>Total</w:t>
            </w:r>
            <w:r w:rsidRPr="0009182C">
              <w:rPr>
                <w:rFonts w:ascii="Cambria" w:eastAsia="Batang" w:hAnsi="Cambria"/>
                <w:b/>
                <w:color w:val="000000"/>
                <w:vertAlign w:val="superscript"/>
                <w:lang w:val="es-CO"/>
              </w:rPr>
              <w:footnoteReference w:id="7"/>
            </w:r>
          </w:p>
        </w:tc>
      </w:tr>
      <w:tr w:rsidR="00B81A4F" w:rsidRPr="0009182C" w14:paraId="672ED23F" w14:textId="77777777" w:rsidTr="00B67A4A">
        <w:trPr>
          <w:trHeight w:val="49"/>
          <w:jc w:val="center"/>
        </w:trPr>
        <w:tc>
          <w:tcPr>
            <w:tcW w:w="9333" w:type="dxa"/>
            <w:gridSpan w:val="2"/>
            <w:tcBorders>
              <w:top w:val="single" w:sz="4" w:space="0" w:color="auto"/>
              <w:left w:val="single" w:sz="4" w:space="0" w:color="auto"/>
              <w:bottom w:val="single" w:sz="4" w:space="0" w:color="auto"/>
              <w:right w:val="single" w:sz="4" w:space="0" w:color="auto"/>
            </w:tcBorders>
            <w:vAlign w:val="center"/>
          </w:tcPr>
          <w:p w14:paraId="6BFD1580" w14:textId="77777777" w:rsidR="00B81A4F" w:rsidRPr="0009182C" w:rsidRDefault="00B81A4F" w:rsidP="00B67A4A">
            <w:pPr>
              <w:spacing w:after="0" w:line="240" w:lineRule="auto"/>
              <w:rPr>
                <w:rFonts w:ascii="Cambria" w:eastAsia="Batang" w:hAnsi="Cambria"/>
                <w:b/>
                <w:color w:val="000000"/>
                <w:lang w:val="es-CO"/>
              </w:rPr>
            </w:pPr>
            <w:r w:rsidRPr="0009182C">
              <w:rPr>
                <w:rFonts w:ascii="Cambria" w:eastAsia="Times New Roman" w:hAnsi="Cambria"/>
                <w:b/>
                <w:bCs/>
                <w:lang w:val="es-CO"/>
              </w:rPr>
              <w:t>C. Asistencia médica</w:t>
            </w:r>
          </w:p>
        </w:tc>
      </w:tr>
      <w:tr w:rsidR="00B81A4F" w:rsidRPr="0009182C" w14:paraId="6C20FAE6" w14:textId="77777777" w:rsidTr="00B67A4A">
        <w:trPr>
          <w:trHeight w:val="49"/>
          <w:jc w:val="center"/>
        </w:trPr>
        <w:tc>
          <w:tcPr>
            <w:tcW w:w="7632" w:type="dxa"/>
            <w:tcBorders>
              <w:top w:val="single" w:sz="4" w:space="0" w:color="auto"/>
              <w:left w:val="single" w:sz="4" w:space="0" w:color="auto"/>
              <w:bottom w:val="single" w:sz="4" w:space="0" w:color="auto"/>
              <w:right w:val="single" w:sz="4" w:space="0" w:color="auto"/>
            </w:tcBorders>
          </w:tcPr>
          <w:p w14:paraId="0A44B9BE" w14:textId="77777777" w:rsidR="00B81A4F" w:rsidRPr="0009182C" w:rsidRDefault="00B81A4F" w:rsidP="00B67A4A">
            <w:pPr>
              <w:spacing w:after="0" w:line="240" w:lineRule="auto"/>
              <w:jc w:val="both"/>
              <w:rPr>
                <w:rFonts w:ascii="Cambria" w:eastAsia="Times New Roman" w:hAnsi="Cambria"/>
                <w:lang w:val="es-CO"/>
              </w:rPr>
            </w:pPr>
            <w:r w:rsidRPr="0009182C">
              <w:rPr>
                <w:rFonts w:ascii="Cambria" w:eastAsia="Times New Roman" w:hAnsi="Cambria"/>
                <w:lang w:val="es-CO"/>
              </w:rPr>
              <w:t xml:space="preserve">1. El Gobierno de la Provincia de Mendoza asume el compromiso de prestar de forma inmediata, efectiva y de acuerdo con la normativa vigente, en los efectores públicos existentes, asistencia médica en favor de la señora Ramos Rocha y su grupo familiar, integrado por C.M., M.L.O.R., I.M.M.O.R., S.A.O.R. y S.A.O.R. Los tratamientos que se requieran deberán ser provistos por el tiempo que sea necesario, y deben incluir los medicamentos y otros recursos que estén directamente relacionados con aquellos, con intervención del Subsecretario de Salud para que por su intermedio se garantice el acceso a los servicios, asimismo, la intervención de la Directora de Atención a las Personas con Discapacidad, para que por su intermedio se garantice el pleno ejercicio de los derechos de la joven con discapacidad. </w:t>
            </w:r>
          </w:p>
        </w:tc>
        <w:tc>
          <w:tcPr>
            <w:tcW w:w="1701" w:type="dxa"/>
            <w:tcBorders>
              <w:top w:val="single" w:sz="4" w:space="0" w:color="auto"/>
              <w:left w:val="single" w:sz="4" w:space="0" w:color="auto"/>
              <w:bottom w:val="single" w:sz="4" w:space="0" w:color="auto"/>
              <w:right w:val="single" w:sz="4" w:space="0" w:color="auto"/>
            </w:tcBorders>
            <w:vAlign w:val="center"/>
          </w:tcPr>
          <w:p w14:paraId="0996755C" w14:textId="77777777" w:rsidR="00B81A4F" w:rsidRPr="0009182C" w:rsidRDefault="00B81A4F" w:rsidP="00B67A4A">
            <w:pPr>
              <w:spacing w:after="0" w:line="240" w:lineRule="auto"/>
              <w:jc w:val="center"/>
              <w:rPr>
                <w:rFonts w:ascii="Cambria" w:eastAsia="Batang" w:hAnsi="Cambria"/>
                <w:b/>
                <w:color w:val="000000"/>
                <w:lang w:val="es-CO"/>
              </w:rPr>
            </w:pPr>
            <w:r w:rsidRPr="0009182C">
              <w:rPr>
                <w:rFonts w:ascii="Cambria" w:eastAsia="Batang" w:hAnsi="Cambria"/>
                <w:b/>
                <w:color w:val="000000"/>
                <w:lang w:val="es-CO"/>
              </w:rPr>
              <w:t>Total</w:t>
            </w:r>
            <w:r w:rsidRPr="0009182C">
              <w:rPr>
                <w:rFonts w:ascii="Cambria" w:eastAsia="Batang" w:hAnsi="Cambria"/>
                <w:b/>
                <w:color w:val="000000"/>
                <w:vertAlign w:val="superscript"/>
                <w:lang w:val="es-CO"/>
              </w:rPr>
              <w:footnoteReference w:id="8"/>
            </w:r>
          </w:p>
        </w:tc>
      </w:tr>
    </w:tbl>
    <w:p w14:paraId="48463766" w14:textId="77777777" w:rsidR="00B81A4F" w:rsidRPr="0009182C" w:rsidRDefault="00B81A4F" w:rsidP="00B81A4F">
      <w:pPr>
        <w:spacing w:after="0" w:line="240" w:lineRule="auto"/>
        <w:rPr>
          <w:rFonts w:ascii="Cambria" w:eastAsia="Batang" w:hAnsi="Cambria"/>
          <w:color w:val="080808"/>
          <w:lang w:val="es-CO"/>
        </w:rPr>
      </w:pPr>
    </w:p>
    <w:p w14:paraId="48C828FC" w14:textId="77777777" w:rsidR="00B81A4F" w:rsidRPr="0009182C" w:rsidRDefault="00B81A4F" w:rsidP="00B81A4F">
      <w:pPr>
        <w:numPr>
          <w:ilvl w:val="0"/>
          <w:numId w:val="2"/>
        </w:numPr>
        <w:autoSpaceDE w:val="0"/>
        <w:autoSpaceDN w:val="0"/>
        <w:adjustRightInd w:val="0"/>
        <w:spacing w:after="0" w:line="240" w:lineRule="auto"/>
        <w:ind w:left="0" w:firstLine="720"/>
        <w:jc w:val="both"/>
        <w:rPr>
          <w:rFonts w:ascii="Cambria" w:eastAsia="Batang" w:hAnsi="Cambria" w:cs="Calibri Light"/>
          <w:b/>
          <w:color w:val="080808"/>
          <w:lang w:val="es-CO"/>
        </w:rPr>
      </w:pPr>
      <w:r w:rsidRPr="0009182C">
        <w:rPr>
          <w:rFonts w:ascii="Cambria" w:eastAsia="Batang" w:hAnsi="Cambria" w:cs="Calibri Light"/>
          <w:b/>
          <w:color w:val="080808"/>
          <w:lang w:val="es-CO"/>
        </w:rPr>
        <w:t>NIVEL DE CUMPLIMIENTO DEL CASO</w:t>
      </w:r>
    </w:p>
    <w:p w14:paraId="41D918B9" w14:textId="77777777" w:rsidR="00B81A4F" w:rsidRPr="0009182C" w:rsidRDefault="00B81A4F" w:rsidP="00B81A4F">
      <w:pPr>
        <w:spacing w:after="0" w:line="240" w:lineRule="auto"/>
        <w:ind w:firstLine="720"/>
        <w:jc w:val="both"/>
        <w:rPr>
          <w:rFonts w:ascii="Cambria" w:eastAsia="Batang" w:hAnsi="Cambria" w:cs="Calibri Light"/>
          <w:color w:val="080808"/>
          <w:lang w:val="es-CO"/>
        </w:rPr>
      </w:pPr>
    </w:p>
    <w:p w14:paraId="40964E7E" w14:textId="672354C7" w:rsidR="00B81A4F" w:rsidRPr="00BC529A" w:rsidRDefault="00B81A4F" w:rsidP="00BC529A">
      <w:pPr>
        <w:pStyle w:val="ListParagraph"/>
        <w:numPr>
          <w:ilvl w:val="0"/>
          <w:numId w:val="3"/>
        </w:numPr>
        <w:spacing w:after="0" w:line="240" w:lineRule="auto"/>
        <w:ind w:left="0" w:firstLine="720"/>
        <w:jc w:val="both"/>
        <w:rPr>
          <w:rFonts w:ascii="Cambria" w:eastAsia="Batang" w:hAnsi="Cambria" w:cs="Calibri Light"/>
          <w:bCs/>
          <w:color w:val="080808"/>
          <w:lang w:val="es-CO"/>
        </w:rPr>
      </w:pPr>
      <w:r w:rsidRPr="00BC529A">
        <w:rPr>
          <w:rFonts w:ascii="Cambria" w:eastAsia="Batang" w:hAnsi="Cambria" w:cs="Calibri Light"/>
          <w:bCs/>
          <w:color w:val="080808"/>
          <w:lang w:val="es-CO"/>
        </w:rPr>
        <w:t>La Comisión declaró el cumplimiento total del asunto y el cese del seguimiento del acuerdo de solución amistosa en el Informe Anual de 2021.</w:t>
      </w:r>
    </w:p>
    <w:p w14:paraId="614E1715" w14:textId="77777777" w:rsidR="00B81A4F" w:rsidRPr="0009182C" w:rsidRDefault="00B81A4F" w:rsidP="00B81A4F">
      <w:pPr>
        <w:spacing w:after="0" w:line="240" w:lineRule="auto"/>
        <w:ind w:firstLine="720"/>
        <w:jc w:val="both"/>
        <w:rPr>
          <w:rFonts w:ascii="Cambria" w:eastAsia="Batang" w:hAnsi="Cambria" w:cs="Calibri Light"/>
          <w:b/>
          <w:color w:val="080808"/>
          <w:lang w:val="es-CO"/>
        </w:rPr>
      </w:pPr>
    </w:p>
    <w:p w14:paraId="0BD85C45" w14:textId="77777777" w:rsidR="00B81A4F" w:rsidRPr="0009182C" w:rsidRDefault="00B81A4F" w:rsidP="00B81A4F">
      <w:pPr>
        <w:numPr>
          <w:ilvl w:val="0"/>
          <w:numId w:val="2"/>
        </w:numPr>
        <w:spacing w:after="0" w:line="240" w:lineRule="auto"/>
        <w:ind w:left="0" w:firstLine="720"/>
        <w:contextualSpacing/>
        <w:jc w:val="both"/>
        <w:rPr>
          <w:rFonts w:ascii="Cambria" w:eastAsia="Batang" w:hAnsi="Cambria" w:cs="Calibri Light"/>
          <w:b/>
          <w:color w:val="080808"/>
          <w:lang w:val="es-CO"/>
        </w:rPr>
      </w:pPr>
      <w:r w:rsidRPr="0009182C">
        <w:rPr>
          <w:rFonts w:ascii="Cambria" w:eastAsia="Batang" w:hAnsi="Cambria" w:cs="Calibri Light"/>
          <w:b/>
          <w:color w:val="080808"/>
          <w:lang w:val="es-CO"/>
        </w:rPr>
        <w:t xml:space="preserve">RESULTADOS INDIVIDUALES Y ESTRUCTURALES DEL CASO </w:t>
      </w:r>
    </w:p>
    <w:p w14:paraId="06587C2A" w14:textId="77777777" w:rsidR="00B81A4F" w:rsidRPr="0009182C" w:rsidRDefault="00B81A4F" w:rsidP="00B81A4F">
      <w:pPr>
        <w:spacing w:after="0" w:line="240" w:lineRule="auto"/>
        <w:ind w:firstLine="720"/>
        <w:contextualSpacing/>
        <w:jc w:val="both"/>
        <w:rPr>
          <w:rFonts w:ascii="Cambria" w:eastAsia="Batang" w:hAnsi="Cambria" w:cs="Calibri Light"/>
          <w:b/>
          <w:color w:val="080808"/>
          <w:lang w:val="es-CO"/>
        </w:rPr>
      </w:pPr>
    </w:p>
    <w:p w14:paraId="0BA01A79" w14:textId="77777777" w:rsidR="00B81A4F" w:rsidRPr="0009182C" w:rsidRDefault="00B81A4F" w:rsidP="00B81A4F">
      <w:pPr>
        <w:numPr>
          <w:ilvl w:val="1"/>
          <w:numId w:val="2"/>
        </w:numPr>
        <w:spacing w:after="0" w:line="240" w:lineRule="auto"/>
        <w:ind w:left="0" w:firstLine="720"/>
        <w:contextualSpacing/>
        <w:jc w:val="both"/>
        <w:rPr>
          <w:rFonts w:ascii="Cambria" w:eastAsia="Batang" w:hAnsi="Cambria" w:cs="Calibri Light"/>
          <w:b/>
          <w:color w:val="080808"/>
          <w:lang w:val="es-CO"/>
        </w:rPr>
      </w:pPr>
      <w:r w:rsidRPr="0009182C">
        <w:rPr>
          <w:rFonts w:ascii="Cambria" w:eastAsia="Batang" w:hAnsi="Cambria" w:cs="Calibri Light"/>
          <w:b/>
          <w:color w:val="080808"/>
          <w:lang w:val="es-CO"/>
        </w:rPr>
        <w:t>Resultados individuales del caso</w:t>
      </w:r>
    </w:p>
    <w:p w14:paraId="182444D0" w14:textId="77777777" w:rsidR="00B81A4F" w:rsidRPr="0009182C" w:rsidRDefault="00B81A4F" w:rsidP="00B81A4F">
      <w:pPr>
        <w:spacing w:after="0" w:line="240" w:lineRule="auto"/>
        <w:ind w:left="1440"/>
        <w:contextualSpacing/>
        <w:jc w:val="both"/>
        <w:rPr>
          <w:rFonts w:ascii="Cambria" w:eastAsia="Batang" w:hAnsi="Cambria" w:cs="Calibri Light"/>
          <w:b/>
          <w:color w:val="080808"/>
          <w:lang w:val="es-CO"/>
        </w:rPr>
      </w:pPr>
    </w:p>
    <w:p w14:paraId="4270A386" w14:textId="77777777" w:rsidR="00B81A4F" w:rsidRPr="0009182C" w:rsidRDefault="00B81A4F" w:rsidP="00B81A4F">
      <w:pPr>
        <w:numPr>
          <w:ilvl w:val="0"/>
          <w:numId w:val="1"/>
        </w:numPr>
        <w:spacing w:after="0" w:line="240" w:lineRule="auto"/>
        <w:ind w:left="1440" w:hanging="720"/>
        <w:contextualSpacing/>
        <w:jc w:val="both"/>
        <w:rPr>
          <w:rFonts w:ascii="Cambria" w:hAnsi="Cambria"/>
          <w:lang w:val="es-CO"/>
        </w:rPr>
      </w:pPr>
      <w:r w:rsidRPr="0009182C">
        <w:rPr>
          <w:rFonts w:ascii="Cambria" w:eastAsia="Batang" w:hAnsi="Cambria"/>
          <w:color w:val="000000"/>
          <w:lang w:val="es-CO"/>
        </w:rPr>
        <w:t>El Estado formalizó la entrega en posesión de un inmueble a favor de la peticionaria Graciela Ramos.</w:t>
      </w:r>
    </w:p>
    <w:p w14:paraId="763E1BDA" w14:textId="77777777" w:rsidR="00B81A4F" w:rsidRPr="0009182C" w:rsidRDefault="00B81A4F" w:rsidP="00B81A4F">
      <w:pPr>
        <w:numPr>
          <w:ilvl w:val="0"/>
          <w:numId w:val="1"/>
        </w:numPr>
        <w:spacing w:after="0" w:line="240" w:lineRule="auto"/>
        <w:ind w:left="1440" w:hanging="720"/>
        <w:contextualSpacing/>
        <w:jc w:val="both"/>
        <w:rPr>
          <w:rFonts w:ascii="Cambria" w:hAnsi="Cambria"/>
          <w:lang w:val="es-CO"/>
        </w:rPr>
      </w:pPr>
      <w:r w:rsidRPr="0009182C">
        <w:rPr>
          <w:rFonts w:ascii="Cambria" w:hAnsi="Cambria"/>
          <w:lang w:val="es-CO"/>
        </w:rPr>
        <w:t>El Estado garantizó la inserción escolar en el radio de la vivienda de la peticionaria y a su grupo familiar, a los fines de la inscripción, y en todo otro trámite accesorio.</w:t>
      </w:r>
    </w:p>
    <w:p w14:paraId="47BF61AC" w14:textId="77777777" w:rsidR="00B81A4F" w:rsidRPr="0009182C" w:rsidRDefault="00B81A4F" w:rsidP="00B81A4F">
      <w:pPr>
        <w:numPr>
          <w:ilvl w:val="0"/>
          <w:numId w:val="1"/>
        </w:numPr>
        <w:spacing w:after="0" w:line="240" w:lineRule="auto"/>
        <w:ind w:left="1440" w:hanging="720"/>
        <w:contextualSpacing/>
        <w:jc w:val="both"/>
        <w:rPr>
          <w:rFonts w:ascii="Cambria" w:hAnsi="Cambria"/>
          <w:lang w:val="es-CO"/>
        </w:rPr>
      </w:pPr>
      <w:r w:rsidRPr="0009182C">
        <w:rPr>
          <w:rFonts w:ascii="Cambria" w:hAnsi="Cambria"/>
          <w:lang w:val="es-CO"/>
        </w:rPr>
        <w:t xml:space="preserve">Se realizaron todas las obras necesarias de refacción y acondicionamiento del inmueble entregado a la Sra. Ramos Rocha. </w:t>
      </w:r>
    </w:p>
    <w:p w14:paraId="61C3B686" w14:textId="58DA60F7" w:rsidR="00730587" w:rsidRPr="00B81A4F" w:rsidRDefault="00B81A4F" w:rsidP="00B81A4F">
      <w:pPr>
        <w:numPr>
          <w:ilvl w:val="0"/>
          <w:numId w:val="1"/>
        </w:numPr>
        <w:spacing w:after="0" w:line="240" w:lineRule="auto"/>
        <w:ind w:left="1440" w:hanging="720"/>
        <w:contextualSpacing/>
        <w:jc w:val="both"/>
        <w:rPr>
          <w:lang w:val="es-CO"/>
        </w:rPr>
      </w:pPr>
      <w:r w:rsidRPr="00B81A4F">
        <w:rPr>
          <w:rFonts w:ascii="Cambria" w:eastAsia="Batang" w:hAnsi="Cambria"/>
          <w:color w:val="000000"/>
          <w:lang w:val="es-CO"/>
        </w:rPr>
        <w:t>Se suscribió la escritura de transferencia de dominio del inmueble a favor de la Sra. Ramos Rocha.</w:t>
      </w:r>
    </w:p>
    <w:sectPr w:rsidR="00730587" w:rsidRPr="00B81A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98CA3" w14:textId="77777777" w:rsidR="00B81A4F" w:rsidRDefault="00B81A4F" w:rsidP="00B81A4F">
      <w:pPr>
        <w:spacing w:after="0" w:line="240" w:lineRule="auto"/>
      </w:pPr>
      <w:r>
        <w:separator/>
      </w:r>
    </w:p>
  </w:endnote>
  <w:endnote w:type="continuationSeparator" w:id="0">
    <w:p w14:paraId="1867E3DB" w14:textId="77777777" w:rsidR="00B81A4F" w:rsidRDefault="00B81A4F" w:rsidP="00B81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611F" w14:textId="77777777" w:rsidR="00B81A4F" w:rsidRPr="00A72869" w:rsidRDefault="00B81A4F">
    <w:pPr>
      <w:pStyle w:val="Footer"/>
      <w:jc w:val="center"/>
      <w:rPr>
        <w:color w:val="7F7F7F"/>
        <w:sz w:val="16"/>
      </w:rPr>
    </w:pPr>
  </w:p>
  <w:p w14:paraId="4D18BC66" w14:textId="77777777" w:rsidR="00B81A4F" w:rsidRDefault="00B81A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C9B9C" w14:textId="77777777" w:rsidR="00B81A4F" w:rsidRDefault="00650FD0" w:rsidP="00B81A4F">
    <w:pPr>
      <w:pStyle w:val="Footer"/>
      <w:spacing w:line="360" w:lineRule="auto"/>
      <w:jc w:val="right"/>
    </w:pPr>
    <w:bookmarkStart w:id="20" w:name="_Hlk129090884"/>
    <w:bookmarkStart w:id="21" w:name="_Hlk129090885"/>
    <w:bookmarkStart w:id="22" w:name="_Hlk129091044"/>
    <w:bookmarkStart w:id="23" w:name="_Hlk129091045"/>
    <w:bookmarkStart w:id="24" w:name="_Hlk129091049"/>
    <w:bookmarkStart w:id="25" w:name="_Hlk129091050"/>
    <w:bookmarkStart w:id="26" w:name="_Hlk129091188"/>
    <w:bookmarkStart w:id="27" w:name="_Hlk129091189"/>
    <w:bookmarkStart w:id="28" w:name="_Hlk129091982"/>
    <w:bookmarkStart w:id="29" w:name="_Hlk129091983"/>
    <w:r>
      <w:pict w14:anchorId="646D43B6">
        <v:rect id="_x0000_i1027" style="width:0;height:1.5pt" o:hralign="center" o:hrstd="t" o:hr="t" fillcolor="#a0a0a0" stroked="f"/>
      </w:pict>
    </w:r>
  </w:p>
  <w:p w14:paraId="65CA91D3" w14:textId="41885CB2" w:rsidR="00B81A4F" w:rsidRDefault="00B81A4F" w:rsidP="00B81A4F">
    <w:pPr>
      <w:pStyle w:val="Footer"/>
      <w:jc w:val="center"/>
    </w:pPr>
    <w:r w:rsidRPr="008A5CB5">
      <w:rPr>
        <w:noProof/>
      </w:rPr>
      <w:drawing>
        <wp:inline distT="0" distB="0" distL="0" distR="0" wp14:anchorId="4ECB8FE8" wp14:editId="5B8968DA">
          <wp:extent cx="5117465" cy="324485"/>
          <wp:effectExtent l="0" t="0" r="6985" b="0"/>
          <wp:docPr id="8" name="Picture 8"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7465" cy="324485"/>
                  </a:xfrm>
                  <a:prstGeom prst="rect">
                    <a:avLst/>
                  </a:prstGeom>
                  <a:noFill/>
                  <a:ln>
                    <a:noFill/>
                  </a:ln>
                </pic:spPr>
              </pic:pic>
            </a:graphicData>
          </a:graphic>
        </wp:inline>
      </w:drawing>
    </w:r>
    <w:bookmarkEnd w:id="20"/>
    <w:bookmarkEnd w:id="21"/>
    <w:bookmarkEnd w:id="22"/>
    <w:bookmarkEnd w:id="23"/>
    <w:bookmarkEnd w:id="24"/>
    <w:bookmarkEnd w:id="25"/>
    <w:bookmarkEnd w:id="26"/>
    <w:bookmarkEnd w:id="27"/>
    <w:bookmarkEnd w:id="28"/>
    <w:bookmarkEnd w:id="29"/>
  </w:p>
  <w:p w14:paraId="260BCFED" w14:textId="77777777" w:rsidR="00B81A4F" w:rsidRDefault="00B81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CF315" w14:textId="77777777" w:rsidR="00B81A4F" w:rsidRDefault="00B81A4F" w:rsidP="00B81A4F">
      <w:pPr>
        <w:spacing w:after="0" w:line="240" w:lineRule="auto"/>
      </w:pPr>
      <w:r>
        <w:separator/>
      </w:r>
    </w:p>
  </w:footnote>
  <w:footnote w:type="continuationSeparator" w:id="0">
    <w:p w14:paraId="2095CFD6" w14:textId="77777777" w:rsidR="00B81A4F" w:rsidRDefault="00B81A4F" w:rsidP="00B81A4F">
      <w:pPr>
        <w:spacing w:after="0" w:line="240" w:lineRule="auto"/>
      </w:pPr>
      <w:r>
        <w:continuationSeparator/>
      </w:r>
    </w:p>
  </w:footnote>
  <w:footnote w:id="1">
    <w:p w14:paraId="31E154EA" w14:textId="77777777" w:rsidR="00B81A4F" w:rsidRPr="00254A60" w:rsidRDefault="00B81A4F" w:rsidP="00B81A4F">
      <w:pPr>
        <w:pStyle w:val="FootnoteText"/>
        <w:spacing w:after="0" w:line="240" w:lineRule="auto"/>
        <w:ind w:firstLine="709"/>
        <w:jc w:val="both"/>
        <w:rPr>
          <w:rFonts w:ascii="Cambria" w:hAnsi="Cambria"/>
          <w:color w:val="000000" w:themeColor="text1"/>
          <w:sz w:val="16"/>
          <w:szCs w:val="16"/>
          <w:lang w:val="es-ES"/>
        </w:rPr>
      </w:pPr>
      <w:r w:rsidRPr="00254A60">
        <w:rPr>
          <w:rStyle w:val="FootnoteReference"/>
          <w:rFonts w:ascii="Cambria" w:hAnsi="Cambria"/>
          <w:sz w:val="16"/>
          <w:szCs w:val="16"/>
        </w:rPr>
        <w:footnoteRef/>
      </w:r>
      <w:r w:rsidRPr="00254A60">
        <w:rPr>
          <w:rFonts w:ascii="Cambria" w:hAnsi="Cambria"/>
          <w:sz w:val="16"/>
          <w:szCs w:val="16"/>
          <w:lang w:val="es-ES"/>
        </w:rPr>
        <w:t xml:space="preserve"> </w:t>
      </w:r>
      <w:r w:rsidRPr="00254A60">
        <w:rPr>
          <w:rFonts w:ascii="Cambria" w:hAnsi="Cambria"/>
          <w:color w:val="000000" w:themeColor="text1"/>
          <w:sz w:val="16"/>
          <w:szCs w:val="16"/>
          <w:lang w:val="es-ES"/>
        </w:rPr>
        <w:t xml:space="preserve">Ver CIDH, Informe Anual 2021, Capítulo II, Sección F: </w:t>
      </w:r>
      <w:r w:rsidRPr="00254A60">
        <w:rPr>
          <w:rFonts w:ascii="Cambria" w:hAnsi="Cambria"/>
          <w:color w:val="000000" w:themeColor="text1"/>
          <w:sz w:val="16"/>
          <w:szCs w:val="16"/>
          <w:lang w:val="es-CO"/>
        </w:rPr>
        <w:t xml:space="preserve">Avances y retrocesos en materia de negociación e implementación de acuerdos de solución amistosa, Disponible en: </w:t>
      </w:r>
      <w:hyperlink r:id="rId1" w:history="1">
        <w:r w:rsidRPr="00254A60">
          <w:rPr>
            <w:rStyle w:val="Hyperlink"/>
            <w:rFonts w:ascii="Cambria" w:hAnsi="Cambria"/>
            <w:color w:val="000000" w:themeColor="text1"/>
            <w:sz w:val="16"/>
            <w:szCs w:val="16"/>
            <w:lang w:val="es-CO"/>
          </w:rPr>
          <w:t>https://www.oas.org/es/cidh/docs/anual/2021/capitulos/IA2021cap2-es.pdf</w:t>
        </w:r>
      </w:hyperlink>
    </w:p>
  </w:footnote>
  <w:footnote w:id="2">
    <w:p w14:paraId="2C835692" w14:textId="77777777" w:rsidR="00B81A4F" w:rsidRPr="00254A60" w:rsidRDefault="00B81A4F" w:rsidP="00B81A4F">
      <w:pPr>
        <w:pStyle w:val="FootnoteText"/>
        <w:spacing w:after="0" w:line="240" w:lineRule="auto"/>
        <w:ind w:firstLine="709"/>
        <w:jc w:val="both"/>
        <w:rPr>
          <w:rFonts w:ascii="Cambria" w:hAnsi="Cambria"/>
          <w:color w:val="000000" w:themeColor="text1"/>
          <w:sz w:val="16"/>
          <w:szCs w:val="16"/>
          <w:lang w:val="es-ES"/>
        </w:rPr>
      </w:pPr>
      <w:r w:rsidRPr="00254A60">
        <w:rPr>
          <w:rStyle w:val="FootnoteReference"/>
          <w:rFonts w:ascii="Cambria" w:hAnsi="Cambria"/>
          <w:color w:val="000000" w:themeColor="text1"/>
          <w:sz w:val="16"/>
          <w:szCs w:val="16"/>
        </w:rPr>
        <w:footnoteRef/>
      </w:r>
      <w:r w:rsidRPr="00254A60">
        <w:rPr>
          <w:rFonts w:ascii="Cambria" w:hAnsi="Cambria"/>
          <w:color w:val="000000" w:themeColor="text1"/>
          <w:sz w:val="16"/>
          <w:szCs w:val="16"/>
          <w:lang w:val="es-ES"/>
        </w:rPr>
        <w:t xml:space="preserve"> Ver CIDH, Informe Anual 2021, Capítulo II, Sección F: </w:t>
      </w:r>
      <w:r w:rsidRPr="00254A60">
        <w:rPr>
          <w:rFonts w:ascii="Cambria" w:hAnsi="Cambria"/>
          <w:color w:val="000000" w:themeColor="text1"/>
          <w:sz w:val="16"/>
          <w:szCs w:val="16"/>
          <w:lang w:val="es-CO"/>
        </w:rPr>
        <w:t xml:space="preserve">Avances y retrocesos en materia de negociación e implementación de acuerdos de solución amistosa, Disponible en: </w:t>
      </w:r>
      <w:hyperlink r:id="rId2" w:history="1">
        <w:r w:rsidRPr="00254A60">
          <w:rPr>
            <w:rStyle w:val="Hyperlink"/>
            <w:rFonts w:ascii="Cambria" w:hAnsi="Cambria"/>
            <w:color w:val="000000" w:themeColor="text1"/>
            <w:sz w:val="16"/>
            <w:szCs w:val="16"/>
            <w:lang w:val="es-CO"/>
          </w:rPr>
          <w:t>https://www.oas.org/es/cidh/docs/anual/2021/capitulos/IA2021cap2-es.pdf</w:t>
        </w:r>
      </w:hyperlink>
    </w:p>
  </w:footnote>
  <w:footnote w:id="3">
    <w:p w14:paraId="459CF668" w14:textId="77777777" w:rsidR="00B81A4F" w:rsidRPr="00254A60" w:rsidRDefault="00B81A4F" w:rsidP="00B81A4F">
      <w:pPr>
        <w:pStyle w:val="NormalWeb"/>
        <w:spacing w:before="0" w:beforeAutospacing="0" w:after="0" w:afterAutospacing="0"/>
        <w:ind w:firstLine="709"/>
        <w:contextualSpacing/>
        <w:jc w:val="both"/>
        <w:rPr>
          <w:rFonts w:ascii="Cambria" w:hAnsi="Cambria"/>
          <w:color w:val="000000" w:themeColor="text1"/>
          <w:sz w:val="16"/>
          <w:szCs w:val="16"/>
          <w:lang w:val="es-MX" w:eastAsia="es-ES_tradnl"/>
        </w:rPr>
      </w:pPr>
      <w:r w:rsidRPr="00254A60">
        <w:rPr>
          <w:rStyle w:val="FootnoteReference"/>
          <w:rFonts w:ascii="Cambria" w:hAnsi="Cambria"/>
          <w:color w:val="000000" w:themeColor="text1"/>
          <w:sz w:val="16"/>
          <w:szCs w:val="16"/>
        </w:rPr>
        <w:footnoteRef/>
      </w:r>
      <w:r w:rsidRPr="00254A60">
        <w:rPr>
          <w:rFonts w:ascii="Cambria" w:hAnsi="Cambria"/>
          <w:color w:val="000000" w:themeColor="text1"/>
          <w:sz w:val="16"/>
          <w:szCs w:val="16"/>
          <w:lang w:val="es-VE"/>
        </w:rPr>
        <w:t xml:space="preserve"> </w:t>
      </w:r>
      <w:r w:rsidRPr="00254A60">
        <w:rPr>
          <w:rFonts w:ascii="Cambria" w:hAnsi="Cambria"/>
          <w:color w:val="000000" w:themeColor="text1"/>
          <w:sz w:val="16"/>
          <w:szCs w:val="16"/>
          <w:lang w:val="es-MX" w:eastAsia="es-ES_tradnl"/>
        </w:rPr>
        <w:t xml:space="preserve">CIDH, Informe No. 197/20, Caso 13.011. Solución Amistosa. Graciela Ramos Rocha y familia. Argentina. 12 de julio de 2020. </w:t>
      </w:r>
      <w:hyperlink r:id="rId3" w:history="1">
        <w:r w:rsidRPr="00254A60">
          <w:rPr>
            <w:rStyle w:val="Hyperlink"/>
            <w:rFonts w:ascii="Cambria" w:hAnsi="Cambria"/>
            <w:color w:val="000000" w:themeColor="text1"/>
            <w:sz w:val="16"/>
            <w:szCs w:val="16"/>
            <w:lang w:val="es-MX" w:eastAsia="es-ES_tradnl"/>
          </w:rPr>
          <w:t>http://www.oas.org/es/cidh/decisiones/2020/arsa13011es.pdf</w:t>
        </w:r>
      </w:hyperlink>
      <w:r w:rsidRPr="00254A60">
        <w:rPr>
          <w:rFonts w:ascii="Cambria" w:hAnsi="Cambria"/>
          <w:color w:val="000000" w:themeColor="text1"/>
          <w:sz w:val="16"/>
          <w:szCs w:val="16"/>
          <w:lang w:val="es-MX" w:eastAsia="es-ES_tradnl"/>
        </w:rPr>
        <w:t xml:space="preserve"> </w:t>
      </w:r>
    </w:p>
  </w:footnote>
  <w:footnote w:id="4">
    <w:p w14:paraId="31A5C5AE" w14:textId="77777777" w:rsidR="00B81A4F" w:rsidRPr="00254A60" w:rsidRDefault="00B81A4F" w:rsidP="00B81A4F">
      <w:pPr>
        <w:pStyle w:val="FootnoteText"/>
        <w:spacing w:after="0" w:line="240" w:lineRule="auto"/>
        <w:ind w:firstLine="709"/>
        <w:jc w:val="both"/>
        <w:rPr>
          <w:rFonts w:ascii="Cambria" w:hAnsi="Cambria"/>
          <w:color w:val="000000" w:themeColor="text1"/>
          <w:sz w:val="16"/>
          <w:szCs w:val="16"/>
          <w:lang w:val="es-ES"/>
        </w:rPr>
      </w:pPr>
      <w:r w:rsidRPr="00254A60">
        <w:rPr>
          <w:rStyle w:val="FootnoteReference"/>
          <w:rFonts w:ascii="Cambria" w:hAnsi="Cambria"/>
          <w:color w:val="000000" w:themeColor="text1"/>
          <w:sz w:val="16"/>
          <w:szCs w:val="16"/>
        </w:rPr>
        <w:footnoteRef/>
      </w:r>
      <w:r w:rsidRPr="00254A60">
        <w:rPr>
          <w:rFonts w:ascii="Cambria" w:hAnsi="Cambria"/>
          <w:color w:val="000000" w:themeColor="text1"/>
          <w:sz w:val="16"/>
          <w:szCs w:val="16"/>
          <w:lang w:val="es-ES"/>
        </w:rPr>
        <w:t xml:space="preserve"> Ver CIDH, Informe Anual 2021, Capítulo II, Sección F: </w:t>
      </w:r>
      <w:r w:rsidRPr="00254A60">
        <w:rPr>
          <w:rFonts w:ascii="Cambria" w:hAnsi="Cambria"/>
          <w:color w:val="000000" w:themeColor="text1"/>
          <w:sz w:val="16"/>
          <w:szCs w:val="16"/>
          <w:lang w:val="es-CO"/>
        </w:rPr>
        <w:t xml:space="preserve">Avances y retrocesos en materia de negociación e implementación de acuerdos de solución amistosa, Disponible en: </w:t>
      </w:r>
      <w:hyperlink r:id="rId4" w:history="1">
        <w:r w:rsidRPr="00254A60">
          <w:rPr>
            <w:rStyle w:val="Hyperlink"/>
            <w:rFonts w:ascii="Cambria" w:hAnsi="Cambria"/>
            <w:color w:val="000000" w:themeColor="text1"/>
            <w:sz w:val="16"/>
            <w:szCs w:val="16"/>
            <w:lang w:val="es-CO"/>
          </w:rPr>
          <w:t>https://www.oas.org/es/cidh/docs/anual/2021/capitulos/IA2021cap2-es.pdf</w:t>
        </w:r>
      </w:hyperlink>
    </w:p>
  </w:footnote>
  <w:footnote w:id="5">
    <w:p w14:paraId="3F9D6C24" w14:textId="77777777" w:rsidR="00B81A4F" w:rsidRPr="00254A60" w:rsidRDefault="00B81A4F" w:rsidP="00B81A4F">
      <w:pPr>
        <w:pStyle w:val="NoSpacing"/>
        <w:ind w:firstLine="709"/>
        <w:jc w:val="both"/>
        <w:rPr>
          <w:rFonts w:ascii="Cambria" w:hAnsi="Cambria"/>
          <w:color w:val="000000" w:themeColor="text1"/>
          <w:sz w:val="16"/>
          <w:szCs w:val="16"/>
          <w:lang w:val="es-MX" w:eastAsia="es-ES_tradnl"/>
        </w:rPr>
      </w:pPr>
      <w:r w:rsidRPr="00254A60">
        <w:rPr>
          <w:rStyle w:val="FootnoteReference"/>
          <w:rFonts w:ascii="Cambria" w:hAnsi="Cambria"/>
          <w:color w:val="000000" w:themeColor="text1"/>
          <w:sz w:val="16"/>
          <w:szCs w:val="16"/>
        </w:rPr>
        <w:footnoteRef/>
      </w:r>
      <w:r w:rsidRPr="00254A60">
        <w:rPr>
          <w:rFonts w:ascii="Cambria" w:hAnsi="Cambria"/>
          <w:color w:val="000000" w:themeColor="text1"/>
          <w:sz w:val="16"/>
          <w:szCs w:val="16"/>
          <w:lang w:val="es-MX"/>
        </w:rPr>
        <w:t xml:space="preserve"> </w:t>
      </w:r>
      <w:r w:rsidRPr="00254A60">
        <w:rPr>
          <w:rFonts w:ascii="Cambria" w:hAnsi="Cambria"/>
          <w:color w:val="000000" w:themeColor="text1"/>
          <w:sz w:val="16"/>
          <w:szCs w:val="16"/>
          <w:lang w:val="es-MX" w:eastAsia="es-ES_tradnl"/>
        </w:rPr>
        <w:t xml:space="preserve">CIDH, Informe No. 197/20, Caso 13.011. Solución Amistosa. Graciela Ramos Rocha y familia. Argentina. 12 de julio de 2020. </w:t>
      </w:r>
      <w:hyperlink r:id="rId5" w:history="1">
        <w:r w:rsidRPr="00254A60">
          <w:rPr>
            <w:rStyle w:val="Hyperlink"/>
            <w:rFonts w:ascii="Cambria" w:hAnsi="Cambria"/>
            <w:color w:val="000000" w:themeColor="text1"/>
            <w:sz w:val="16"/>
            <w:szCs w:val="16"/>
            <w:lang w:val="es-MX" w:eastAsia="es-ES_tradnl"/>
          </w:rPr>
          <w:t>http://www.oas.org/es/cidh/decisiones/2020/arsa13011es.pdf</w:t>
        </w:r>
      </w:hyperlink>
      <w:r w:rsidRPr="00254A60">
        <w:rPr>
          <w:rFonts w:ascii="Cambria" w:hAnsi="Cambria"/>
          <w:color w:val="000000" w:themeColor="text1"/>
          <w:sz w:val="16"/>
          <w:szCs w:val="16"/>
          <w:lang w:val="es-MX" w:eastAsia="es-ES_tradnl"/>
        </w:rPr>
        <w:t xml:space="preserve"> </w:t>
      </w:r>
    </w:p>
  </w:footnote>
  <w:footnote w:id="6">
    <w:p w14:paraId="154A894E" w14:textId="77777777" w:rsidR="00B81A4F" w:rsidRPr="00254A60" w:rsidRDefault="00B81A4F" w:rsidP="00B81A4F">
      <w:pPr>
        <w:pStyle w:val="NoSpacing"/>
        <w:ind w:firstLine="709"/>
        <w:jc w:val="both"/>
        <w:rPr>
          <w:rFonts w:ascii="Cambria" w:hAnsi="Cambria"/>
          <w:sz w:val="16"/>
          <w:szCs w:val="16"/>
          <w:lang w:val="es-MX"/>
        </w:rPr>
      </w:pPr>
      <w:r w:rsidRPr="00254A60">
        <w:rPr>
          <w:rStyle w:val="FootnoteReference"/>
          <w:rFonts w:ascii="Cambria" w:hAnsi="Cambria"/>
          <w:color w:val="000000" w:themeColor="text1"/>
          <w:sz w:val="16"/>
          <w:szCs w:val="16"/>
        </w:rPr>
        <w:footnoteRef/>
      </w:r>
      <w:r w:rsidRPr="00254A60">
        <w:rPr>
          <w:rFonts w:ascii="Cambria" w:hAnsi="Cambria"/>
          <w:color w:val="000000" w:themeColor="text1"/>
          <w:sz w:val="16"/>
          <w:szCs w:val="16"/>
          <w:lang w:val="es-MX"/>
        </w:rPr>
        <w:t xml:space="preserve"> </w:t>
      </w:r>
      <w:r w:rsidRPr="00254A60">
        <w:rPr>
          <w:rFonts w:ascii="Cambria" w:hAnsi="Cambria"/>
          <w:color w:val="000000" w:themeColor="text1"/>
          <w:sz w:val="16"/>
          <w:szCs w:val="16"/>
          <w:lang w:val="es-MX" w:eastAsia="es-ES_tradnl"/>
        </w:rPr>
        <w:t xml:space="preserve">CIDH, Informe No. 197/20, Caso 13.011. Solución Amistosa. Graciela Ramos Rocha y familia. Argentina. 12 de julio de 2020. </w:t>
      </w:r>
      <w:hyperlink r:id="rId6" w:history="1">
        <w:r w:rsidRPr="00254A60">
          <w:rPr>
            <w:rStyle w:val="Hyperlink"/>
            <w:rFonts w:ascii="Cambria" w:hAnsi="Cambria"/>
            <w:color w:val="000000" w:themeColor="text1"/>
            <w:sz w:val="16"/>
            <w:szCs w:val="16"/>
            <w:lang w:val="es-MX" w:eastAsia="es-ES_tradnl"/>
          </w:rPr>
          <w:t>http://www.oas.org/es/cidh/decisiones/2020/arsa13011es.pdf</w:t>
        </w:r>
      </w:hyperlink>
    </w:p>
  </w:footnote>
  <w:footnote w:id="7">
    <w:p w14:paraId="67824236" w14:textId="77777777" w:rsidR="00B81A4F" w:rsidRPr="00254A60" w:rsidRDefault="00B81A4F" w:rsidP="00B81A4F">
      <w:pPr>
        <w:pStyle w:val="NoSpacing"/>
        <w:ind w:firstLine="709"/>
        <w:jc w:val="both"/>
        <w:rPr>
          <w:rFonts w:ascii="Cambria" w:hAnsi="Cambria"/>
          <w:color w:val="000000" w:themeColor="text1"/>
          <w:sz w:val="16"/>
          <w:szCs w:val="16"/>
          <w:lang w:val="es-MX"/>
        </w:rPr>
      </w:pPr>
      <w:r w:rsidRPr="00254A60">
        <w:rPr>
          <w:rStyle w:val="FootnoteReference"/>
          <w:rFonts w:ascii="Cambria" w:hAnsi="Cambria"/>
          <w:color w:val="000000" w:themeColor="text1"/>
          <w:sz w:val="16"/>
          <w:szCs w:val="16"/>
        </w:rPr>
        <w:footnoteRef/>
      </w:r>
      <w:r w:rsidRPr="00254A60">
        <w:rPr>
          <w:rFonts w:ascii="Cambria" w:hAnsi="Cambria"/>
          <w:color w:val="000000" w:themeColor="text1"/>
          <w:sz w:val="16"/>
          <w:szCs w:val="16"/>
          <w:lang w:val="es-MX"/>
        </w:rPr>
        <w:t xml:space="preserve"> </w:t>
      </w:r>
      <w:r w:rsidRPr="00254A60">
        <w:rPr>
          <w:rFonts w:ascii="Cambria" w:hAnsi="Cambria"/>
          <w:color w:val="000000" w:themeColor="text1"/>
          <w:sz w:val="16"/>
          <w:szCs w:val="16"/>
          <w:lang w:val="es-MX" w:eastAsia="es-ES_tradnl"/>
        </w:rPr>
        <w:t xml:space="preserve">CIDH, Informe No. 197/20, Caso 13.011. Solución Amistosa. Graciela Ramos Rocha y familia. Argentina. 12 de julio de 2020. </w:t>
      </w:r>
      <w:hyperlink r:id="rId7" w:history="1">
        <w:r w:rsidRPr="00254A60">
          <w:rPr>
            <w:rStyle w:val="Hyperlink"/>
            <w:rFonts w:ascii="Cambria" w:hAnsi="Cambria"/>
            <w:color w:val="000000" w:themeColor="text1"/>
            <w:sz w:val="16"/>
            <w:szCs w:val="16"/>
            <w:lang w:val="es-MX" w:eastAsia="es-ES_tradnl"/>
          </w:rPr>
          <w:t>http://www.oas.org/es/cidh/decisiones/2020/arsa13011es.pdf</w:t>
        </w:r>
      </w:hyperlink>
    </w:p>
  </w:footnote>
  <w:footnote w:id="8">
    <w:p w14:paraId="0B32F965" w14:textId="77777777" w:rsidR="00B81A4F" w:rsidRPr="00254A60" w:rsidRDefault="00B81A4F" w:rsidP="00B81A4F">
      <w:pPr>
        <w:pStyle w:val="NoSpacing"/>
        <w:ind w:firstLine="709"/>
        <w:jc w:val="both"/>
        <w:rPr>
          <w:rFonts w:ascii="Cambria" w:hAnsi="Cambria"/>
          <w:sz w:val="16"/>
          <w:szCs w:val="16"/>
          <w:lang w:val="es-ES_tradnl"/>
        </w:rPr>
      </w:pPr>
      <w:r w:rsidRPr="00254A60">
        <w:rPr>
          <w:rStyle w:val="FootnoteReference"/>
          <w:rFonts w:ascii="Cambria" w:hAnsi="Cambria"/>
          <w:color w:val="000000" w:themeColor="text1"/>
          <w:sz w:val="16"/>
          <w:szCs w:val="16"/>
        </w:rPr>
        <w:footnoteRef/>
      </w:r>
      <w:r w:rsidRPr="00254A60">
        <w:rPr>
          <w:rFonts w:ascii="Cambria" w:hAnsi="Cambria"/>
          <w:color w:val="000000" w:themeColor="text1"/>
          <w:sz w:val="16"/>
          <w:szCs w:val="16"/>
          <w:lang w:val="es-MX"/>
        </w:rPr>
        <w:t xml:space="preserve"> </w:t>
      </w:r>
      <w:r w:rsidRPr="00254A60">
        <w:rPr>
          <w:rFonts w:ascii="Cambria" w:hAnsi="Cambria"/>
          <w:color w:val="000000" w:themeColor="text1"/>
          <w:sz w:val="16"/>
          <w:szCs w:val="16"/>
          <w:lang w:val="es-MX" w:eastAsia="es-ES_tradnl"/>
        </w:rPr>
        <w:t xml:space="preserve">CIDH, Informe No. 197/20, Caso 13.011. Solución Amistosa. Graciela Ramos Rocha y familia. Argentina. 12 de julio de 2020. </w:t>
      </w:r>
      <w:hyperlink r:id="rId8" w:history="1">
        <w:r w:rsidRPr="00254A60">
          <w:rPr>
            <w:rStyle w:val="Hyperlink"/>
            <w:rFonts w:ascii="Cambria" w:hAnsi="Cambria"/>
            <w:color w:val="000000" w:themeColor="text1"/>
            <w:sz w:val="16"/>
            <w:szCs w:val="16"/>
            <w:lang w:val="es-MX" w:eastAsia="es-ES_tradnl"/>
          </w:rPr>
          <w:t>http://www.oas.org/es/cidh/decisiones/2020/arsa13011es.pdf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D5887" w14:textId="75262675" w:rsidR="00B81A4F" w:rsidRPr="0058688A" w:rsidRDefault="00B81A4F" w:rsidP="00B81A4F">
    <w:pPr>
      <w:pStyle w:val="Header"/>
      <w:jc w:val="center"/>
      <w:rPr>
        <w:lang w:val="es-ES_tradnl"/>
      </w:rPr>
    </w:pPr>
    <w:bookmarkStart w:id="0" w:name="_Hlk129090305"/>
    <w:bookmarkStart w:id="1" w:name="_Hlk129090306"/>
    <w:bookmarkStart w:id="2" w:name="_Hlk129090399"/>
    <w:bookmarkStart w:id="3" w:name="_Hlk129090400"/>
    <w:bookmarkStart w:id="4" w:name="_Hlk129090413"/>
    <w:bookmarkStart w:id="5" w:name="_Hlk129090414"/>
    <w:bookmarkStart w:id="6" w:name="_Hlk129090871"/>
    <w:bookmarkStart w:id="7" w:name="_Hlk129090872"/>
    <w:bookmarkStart w:id="8" w:name="_Hlk129091030"/>
    <w:bookmarkStart w:id="9" w:name="_Hlk129091031"/>
    <w:bookmarkStart w:id="10" w:name="_Hlk129091177"/>
    <w:bookmarkStart w:id="11" w:name="_Hlk129091178"/>
    <w:r>
      <w:rPr>
        <w:noProof/>
        <w:lang w:val="es-ES_tradnl"/>
      </w:rPr>
      <w:drawing>
        <wp:inline distT="0" distB="0" distL="0" distR="0" wp14:anchorId="2C7A3509" wp14:editId="36D3C480">
          <wp:extent cx="2286000" cy="123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3825"/>
                  </a:xfrm>
                  <a:prstGeom prst="rect">
                    <a:avLst/>
                  </a:prstGeom>
                  <a:noFill/>
                  <a:ln>
                    <a:noFill/>
                  </a:ln>
                </pic:spPr>
              </pic:pic>
            </a:graphicData>
          </a:graphic>
        </wp:inline>
      </w:drawing>
    </w:r>
  </w:p>
  <w:p w14:paraId="32EA06F7" w14:textId="77777777" w:rsidR="00B81A4F" w:rsidRDefault="00650FD0" w:rsidP="00B81A4F">
    <w:pPr>
      <w:pStyle w:val="Header"/>
    </w:pPr>
    <w:r>
      <w:pict w14:anchorId="67516A71">
        <v:rect id="_x0000_i1025" style="width:0;height:1.5pt" o:hralign="center" o:hrstd="t" o:hr="t" fillcolor="#a0a0a0" stroked="f"/>
      </w:pict>
    </w:r>
    <w:bookmarkEnd w:id="0"/>
    <w:bookmarkEnd w:id="1"/>
    <w:bookmarkEnd w:id="2"/>
    <w:bookmarkEnd w:id="3"/>
    <w:bookmarkEnd w:id="4"/>
    <w:bookmarkEnd w:id="5"/>
    <w:bookmarkEnd w:id="6"/>
    <w:bookmarkEnd w:id="7"/>
    <w:bookmarkEnd w:id="8"/>
    <w:bookmarkEnd w:id="9"/>
    <w:bookmarkEnd w:id="10"/>
    <w:bookmarkEnd w:id="11"/>
  </w:p>
  <w:p w14:paraId="324322DE" w14:textId="77777777" w:rsidR="00B81A4F" w:rsidRDefault="00B81A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37770" w14:textId="6BA7E0D1" w:rsidR="00B81A4F" w:rsidRDefault="00B81A4F" w:rsidP="00B81A4F">
    <w:pPr>
      <w:pStyle w:val="Header"/>
    </w:pPr>
    <w:bookmarkStart w:id="12" w:name="_Hlk129090378"/>
    <w:bookmarkStart w:id="13" w:name="_Hlk129090379"/>
    <w:bookmarkStart w:id="14" w:name="_Hlk129090860"/>
    <w:bookmarkStart w:id="15" w:name="_Hlk129090861"/>
    <w:bookmarkStart w:id="16" w:name="_Hlk129091020"/>
    <w:bookmarkStart w:id="17" w:name="_Hlk129091021"/>
    <w:bookmarkStart w:id="18" w:name="_Hlk129091166"/>
    <w:bookmarkStart w:id="19" w:name="_Hlk129091167"/>
    <w:r w:rsidRPr="008A5CB5">
      <w:rPr>
        <w:noProof/>
      </w:rPr>
      <w:drawing>
        <wp:inline distT="0" distB="0" distL="0" distR="0" wp14:anchorId="30DD020B" wp14:editId="6AA349C6">
          <wp:extent cx="2352675" cy="457200"/>
          <wp:effectExtent l="0" t="0" r="9525" b="0"/>
          <wp:docPr id="6" name="Picture 6"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457200"/>
                  </a:xfrm>
                  <a:prstGeom prst="rect">
                    <a:avLst/>
                  </a:prstGeom>
                  <a:noFill/>
                  <a:ln>
                    <a:noFill/>
                  </a:ln>
                </pic:spPr>
              </pic:pic>
            </a:graphicData>
          </a:graphic>
        </wp:inline>
      </w:drawing>
    </w:r>
    <w:r>
      <w:tab/>
    </w:r>
    <w:r>
      <w:tab/>
    </w:r>
    <w:r>
      <w:rPr>
        <w:noProof/>
      </w:rPr>
      <w:drawing>
        <wp:inline distT="0" distB="0" distL="0" distR="0" wp14:anchorId="2E348B9E" wp14:editId="59BE113B">
          <wp:extent cx="19431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14:paraId="4EA6E4B7" w14:textId="77777777" w:rsidR="00B81A4F" w:rsidRDefault="00650FD0" w:rsidP="00B81A4F">
    <w:pPr>
      <w:pStyle w:val="Header"/>
    </w:pPr>
    <w:r>
      <w:pict w14:anchorId="1A1551E5">
        <v:rect id="_x0000_i1026" style="width:0;height:1.5pt" o:hralign="center" o:hrstd="t" o:hr="t" fillcolor="#a0a0a0" stroked="f"/>
      </w:pict>
    </w:r>
    <w:bookmarkEnd w:id="12"/>
    <w:bookmarkEnd w:id="13"/>
    <w:bookmarkEnd w:id="14"/>
    <w:bookmarkEnd w:id="15"/>
    <w:bookmarkEnd w:id="16"/>
    <w:bookmarkEnd w:id="17"/>
    <w:bookmarkEnd w:id="18"/>
    <w:bookmarkEnd w:id="19"/>
  </w:p>
  <w:p w14:paraId="46EB17F1" w14:textId="77777777" w:rsidR="00B81A4F" w:rsidRDefault="00B81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7C6"/>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 w15:restartNumberingAfterBreak="0">
    <w:nsid w:val="06367BDB"/>
    <w:multiLevelType w:val="hybridMultilevel"/>
    <w:tmpl w:val="61D47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520190"/>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66023739">
    <w:abstractNumId w:val="2"/>
  </w:num>
  <w:num w:numId="2" w16cid:durableId="536313001">
    <w:abstractNumId w:val="0"/>
  </w:num>
  <w:num w:numId="3" w16cid:durableId="703209608">
    <w:abstractNumId w:val="3"/>
  </w:num>
  <w:num w:numId="4" w16cid:durableId="958294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222"/>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A4F"/>
    <w:rsid w:val="00650FD0"/>
    <w:rsid w:val="00730587"/>
    <w:rsid w:val="00B81A4F"/>
    <w:rsid w:val="00BC5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37D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A4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81A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A4F"/>
    <w:rPr>
      <w:rFonts w:ascii="Calibri" w:eastAsia="Calibri" w:hAnsi="Calibri" w:cs="Times New Roman"/>
    </w:rPr>
  </w:style>
  <w:style w:type="paragraph" w:styleId="NoSpacing">
    <w:name w:val="No Spacing"/>
    <w:link w:val="NoSpacingChar"/>
    <w:uiPriority w:val="1"/>
    <w:qFormat/>
    <w:rsid w:val="00B81A4F"/>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B81A4F"/>
    <w:rPr>
      <w:rFonts w:ascii="Calibri" w:eastAsia="MS Mincho" w:hAnsi="Calibri" w:cs="Arial"/>
      <w:lang w:eastAsia="ja-JP"/>
    </w:rPr>
  </w:style>
  <w:style w:type="paragraph" w:styleId="NormalWeb">
    <w:name w:val="Normal (Web)"/>
    <w:basedOn w:val="Normal"/>
    <w:uiPriority w:val="99"/>
    <w:unhideWhenUsed/>
    <w:rsid w:val="00B81A4F"/>
    <w:pPr>
      <w:spacing w:before="100" w:beforeAutospacing="1" w:after="100" w:afterAutospacing="1" w:line="240" w:lineRule="auto"/>
    </w:pPr>
    <w:rPr>
      <w:rFonts w:ascii="Times New Roman" w:eastAsia="Times New Roman" w:hAnsi="Times New Roman"/>
      <w:sz w:val="24"/>
      <w:szCs w:val="24"/>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iPriority w:val="99"/>
    <w:unhideWhenUsed/>
    <w:qFormat/>
    <w:rsid w:val="00B81A4F"/>
    <w:rPr>
      <w:vertAlign w:val="superscript"/>
    </w:rPr>
  </w:style>
  <w:style w:type="paragraph" w:customStyle="1" w:styleId="Appelnotedebasde">
    <w:name w:val="Appel note de bas de..."/>
    <w:basedOn w:val="Normal"/>
    <w:link w:val="FootnoteReference"/>
    <w:uiPriority w:val="99"/>
    <w:rsid w:val="00B81A4F"/>
    <w:pPr>
      <w:spacing w:after="160" w:line="240" w:lineRule="exact"/>
    </w:pPr>
    <w:rPr>
      <w:rFonts w:asciiTheme="minorHAnsi" w:eastAsiaTheme="minorHAnsi" w:hAnsiTheme="minorHAnsi" w:cstheme="minorBidi"/>
      <w:vertAlign w:val="superscript"/>
    </w:rPr>
  </w:style>
  <w:style w:type="character" w:styleId="Hyperlink">
    <w:name w:val="Hyperlink"/>
    <w:uiPriority w:val="99"/>
    <w:unhideWhenUsed/>
    <w:rsid w:val="00B81A4F"/>
    <w:rPr>
      <w:color w:val="0000FF"/>
      <w:u w:val="single"/>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B81A4F"/>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rsid w:val="00B81A4F"/>
    <w:rPr>
      <w:rFonts w:ascii="Calibri" w:eastAsia="Calibri" w:hAnsi="Calibri" w:cs="Times New Roman"/>
      <w:sz w:val="20"/>
      <w:szCs w:val="20"/>
    </w:rPr>
  </w:style>
  <w:style w:type="paragraph" w:styleId="Header">
    <w:name w:val="header"/>
    <w:basedOn w:val="Normal"/>
    <w:link w:val="HeaderChar"/>
    <w:uiPriority w:val="99"/>
    <w:unhideWhenUsed/>
    <w:rsid w:val="00B81A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A4F"/>
    <w:rPr>
      <w:rFonts w:ascii="Calibri" w:eastAsia="Calibri" w:hAnsi="Calibri" w:cs="Times New Roman"/>
    </w:rPr>
  </w:style>
  <w:style w:type="paragraph" w:styleId="ListParagraph">
    <w:name w:val="List Paragraph"/>
    <w:basedOn w:val="Normal"/>
    <w:uiPriority w:val="34"/>
    <w:qFormat/>
    <w:rsid w:val="00BC52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as.org/es/cidh/decisiones/2015/ARAD1213-07ES.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oas.org/es/cidh/decisiones/2020/arsa13011es.pd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as.org/es/cidh/decisiones/2020/arsa13011es.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8" Type="http://schemas.openxmlformats.org/officeDocument/2006/relationships/hyperlink" Target="http://www.oas.org/es/cidh/decisiones/2020/arsa13011es.pdf" TargetMode="External"/><Relationship Id="rId3" Type="http://schemas.openxmlformats.org/officeDocument/2006/relationships/hyperlink" Target="http://www.oas.org/es/cidh/decisiones/2020/arsa13011es.pdf" TargetMode="External"/><Relationship Id="rId7" Type="http://schemas.openxmlformats.org/officeDocument/2006/relationships/hyperlink" Target="http://www.oas.org/es/cidh/decisiones/2020/arsa13011es.pdf" TargetMode="External"/><Relationship Id="rId2" Type="http://schemas.openxmlformats.org/officeDocument/2006/relationships/hyperlink" Target="https://www.oas.org/es/cidh/docs/anual/2021/capitulos/IA2021cap2-es.pdf" TargetMode="External"/><Relationship Id="rId1" Type="http://schemas.openxmlformats.org/officeDocument/2006/relationships/hyperlink" Target="https://www.oas.org/es/cidh/docs/anual/2021/capitulos/IA2021cap2-es.pdf" TargetMode="External"/><Relationship Id="rId6" Type="http://schemas.openxmlformats.org/officeDocument/2006/relationships/hyperlink" Target="http://www.oas.org/es/cidh/decisiones/2020/arsa13011es.pdf" TargetMode="External"/><Relationship Id="rId5" Type="http://schemas.openxmlformats.org/officeDocument/2006/relationships/hyperlink" Target="http://www.oas.org/es/cidh/decisiones/2020/arsa13011es.pdf" TargetMode="External"/><Relationship Id="rId4" Type="http://schemas.openxmlformats.org/officeDocument/2006/relationships/hyperlink" Target="https://www.oas.org/es/cidh/docs/anual/2021/capitulos/IA2021cap2-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1119</Words>
  <Characters>6381</Characters>
  <Application>Microsoft Office Word</Application>
  <DocSecurity>0</DocSecurity>
  <Lines>53</Lines>
  <Paragraphs>14</Paragraphs>
  <ScaleCrop>false</ScaleCrop>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2023-03-07T20:30:00Z</dcterms:created>
  <dcterms:modified xsi:type="dcterms:W3CDTF">2023-03-07T20:30:00Z</dcterms:modified>
</cp:coreProperties>
</file>