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D3FF" w14:textId="77777777" w:rsidR="00006E60" w:rsidRPr="0009182C" w:rsidRDefault="00006E60" w:rsidP="00006E60">
      <w:pPr>
        <w:spacing w:after="0" w:line="240" w:lineRule="auto"/>
        <w:jc w:val="center"/>
        <w:rPr>
          <w:rFonts w:ascii="Cambria" w:hAnsi="Cambria"/>
          <w:b/>
          <w:color w:val="000000" w:themeColor="text1"/>
          <w:lang w:val="es-CO"/>
        </w:rPr>
      </w:pPr>
      <w:r w:rsidRPr="0009182C">
        <w:rPr>
          <w:rFonts w:ascii="Cambria" w:hAnsi="Cambria"/>
          <w:b/>
          <w:color w:val="000000" w:themeColor="text1"/>
          <w:lang w:val="es-CO"/>
        </w:rPr>
        <w:t>FICHA TÉCNICA INFORMATIVA</w:t>
      </w:r>
    </w:p>
    <w:p w14:paraId="46DDDBF7" w14:textId="77777777" w:rsidR="00006E60" w:rsidRPr="0009182C" w:rsidRDefault="00006E60" w:rsidP="00006E60">
      <w:pPr>
        <w:spacing w:after="0" w:line="240" w:lineRule="auto"/>
        <w:jc w:val="center"/>
        <w:rPr>
          <w:rFonts w:ascii="Cambria" w:eastAsia="Batang" w:hAnsi="Cambria" w:cs="Calibri Light"/>
          <w:b/>
          <w:color w:val="000000" w:themeColor="text1"/>
          <w:lang w:val="es-CO"/>
        </w:rPr>
      </w:pPr>
      <w:r w:rsidRPr="0009182C">
        <w:rPr>
          <w:rFonts w:ascii="Cambria" w:eastAsia="Batang" w:hAnsi="Cambria" w:cs="Calibri Light"/>
          <w:b/>
          <w:color w:val="000000" w:themeColor="text1"/>
          <w:lang w:val="es-CO"/>
        </w:rPr>
        <w:t>PETICIÓN P-245-03 WALTER MAURO YÁÑEZ</w:t>
      </w:r>
    </w:p>
    <w:p w14:paraId="484C7603" w14:textId="77777777" w:rsidR="00006E60" w:rsidRPr="0009182C" w:rsidRDefault="00006E60" w:rsidP="00006E60">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 xml:space="preserve">INFORME DE SOLUCIÓN AMISTOSA No. </w:t>
      </w:r>
      <w:hyperlink r:id="rId7" w:history="1">
        <w:r w:rsidRPr="0009182C">
          <w:rPr>
            <w:rStyle w:val="Hyperlink"/>
            <w:rFonts w:ascii="Cambria" w:eastAsia="Batang" w:hAnsi="Cambria"/>
            <w:b/>
            <w:bCs/>
            <w:color w:val="000000" w:themeColor="text1"/>
            <w:lang w:val="es-CO"/>
          </w:rPr>
          <w:t>39/21</w:t>
        </w:r>
      </w:hyperlink>
    </w:p>
    <w:p w14:paraId="38581E6B" w14:textId="77777777" w:rsidR="00006E60" w:rsidRPr="0009182C" w:rsidRDefault="00006E60" w:rsidP="00006E60">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CUMPLIMIENTO TOTAL</w:t>
      </w:r>
    </w:p>
    <w:p w14:paraId="2793B3BB" w14:textId="77777777" w:rsidR="00006E60" w:rsidRPr="0009182C" w:rsidRDefault="00006E60" w:rsidP="00006E60">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 xml:space="preserve"> (ARGENTINA)</w:t>
      </w:r>
    </w:p>
    <w:p w14:paraId="6862E400" w14:textId="77777777" w:rsidR="00006E60" w:rsidRPr="0009182C" w:rsidRDefault="00006E60" w:rsidP="00006E60">
      <w:pPr>
        <w:spacing w:after="0" w:line="240" w:lineRule="auto"/>
        <w:jc w:val="center"/>
        <w:rPr>
          <w:rFonts w:ascii="Cambria" w:eastAsia="Batang" w:hAnsi="Cambria"/>
          <w:b/>
          <w:color w:val="080808"/>
          <w:lang w:val="es-CO"/>
        </w:rPr>
      </w:pPr>
    </w:p>
    <w:p w14:paraId="34D1B063" w14:textId="77777777" w:rsidR="00006E60" w:rsidRPr="0009182C" w:rsidRDefault="00006E60" w:rsidP="00006E60">
      <w:pPr>
        <w:numPr>
          <w:ilvl w:val="0"/>
          <w:numId w:val="1"/>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6B689E61" w14:textId="77777777" w:rsidR="00006E60" w:rsidRPr="0009182C" w:rsidRDefault="00006E60" w:rsidP="00006E60">
      <w:pPr>
        <w:spacing w:after="0" w:line="240" w:lineRule="auto"/>
        <w:jc w:val="both"/>
        <w:rPr>
          <w:rFonts w:ascii="Cambria" w:eastAsia="Batang" w:hAnsi="Cambria" w:cs="Calibri Light"/>
          <w:b/>
          <w:color w:val="080808"/>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006E60" w:rsidRPr="001873B5" w14:paraId="23E5E653" w14:textId="77777777" w:rsidTr="00B67A4A">
        <w:trPr>
          <w:trHeight w:val="4517"/>
          <w:jc w:val="center"/>
        </w:trPr>
        <w:tc>
          <w:tcPr>
            <w:tcW w:w="9963" w:type="dxa"/>
            <w:shd w:val="clear" w:color="auto" w:fill="F2F2F2"/>
          </w:tcPr>
          <w:p w14:paraId="2790D5F7" w14:textId="77777777" w:rsidR="00006E60" w:rsidRPr="0009182C" w:rsidRDefault="00006E60" w:rsidP="00B67A4A">
            <w:pPr>
              <w:autoSpaceDE w:val="0"/>
              <w:autoSpaceDN w:val="0"/>
              <w:adjustRightInd w:val="0"/>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Víctima (s): </w:t>
            </w:r>
            <w:r w:rsidRPr="0009182C">
              <w:rPr>
                <w:rFonts w:ascii="Cambria" w:eastAsia="Batang" w:hAnsi="Cambria"/>
                <w:bCs/>
                <w:color w:val="080808"/>
                <w:lang w:val="es-CO"/>
              </w:rPr>
              <w:t>Walter Mauro Yáñez</w:t>
            </w:r>
          </w:p>
          <w:p w14:paraId="7A6D3FC4" w14:textId="77777777" w:rsidR="00006E60" w:rsidRPr="0009182C" w:rsidRDefault="00006E60" w:rsidP="00B67A4A">
            <w:pPr>
              <w:autoSpaceDE w:val="0"/>
              <w:autoSpaceDN w:val="0"/>
              <w:adjustRightInd w:val="0"/>
              <w:spacing w:after="0" w:line="240" w:lineRule="auto"/>
              <w:jc w:val="both"/>
              <w:rPr>
                <w:rFonts w:ascii="Cambria" w:eastAsia="Batang" w:hAnsi="Cambria"/>
                <w:b/>
                <w:bCs/>
                <w:color w:val="000000" w:themeColor="text1"/>
                <w:lang w:val="es-CO"/>
              </w:rPr>
            </w:pPr>
            <w:r w:rsidRPr="0009182C">
              <w:rPr>
                <w:rFonts w:ascii="Cambria" w:eastAsia="Batang" w:hAnsi="Cambria"/>
                <w:b/>
                <w:color w:val="080808"/>
                <w:lang w:val="es-CO"/>
              </w:rPr>
              <w:t xml:space="preserve">Peticionario (s): </w:t>
            </w:r>
            <w:r w:rsidRPr="0009182C">
              <w:rPr>
                <w:rFonts w:ascii="Cambria" w:eastAsia="Batang" w:hAnsi="Cambria"/>
                <w:color w:val="080808"/>
                <w:lang w:val="es-CO"/>
              </w:rPr>
              <w:t>Pablo Gabriel Salinas Cavalotti, Alfredo Ramón Guevara, Carlos Valera Álvarez y Diego Jorge Lavado</w:t>
            </w:r>
          </w:p>
          <w:p w14:paraId="4C3436A4" w14:textId="77777777" w:rsidR="00006E60" w:rsidRPr="0009182C" w:rsidRDefault="00006E60" w:rsidP="00B67A4A">
            <w:pPr>
              <w:autoSpaceDE w:val="0"/>
              <w:autoSpaceDN w:val="0"/>
              <w:adjustRightInd w:val="0"/>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Estado: </w:t>
            </w:r>
            <w:r w:rsidRPr="0009182C">
              <w:rPr>
                <w:rFonts w:ascii="Cambria" w:eastAsia="Batang" w:hAnsi="Cambria"/>
                <w:bCs/>
                <w:color w:val="000000" w:themeColor="text1"/>
                <w:lang w:val="es-CO"/>
              </w:rPr>
              <w:t>Argentina</w:t>
            </w:r>
          </w:p>
          <w:p w14:paraId="0A2115E9" w14:textId="77777777" w:rsidR="00006E60" w:rsidRPr="0009182C" w:rsidRDefault="00006E60" w:rsidP="00B67A4A">
            <w:pPr>
              <w:autoSpaceDE w:val="0"/>
              <w:autoSpaceDN w:val="0"/>
              <w:adjustRightInd w:val="0"/>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Fecha de inicio de las negociaciones: </w:t>
            </w:r>
            <w:r w:rsidRPr="0009182C">
              <w:rPr>
                <w:rFonts w:ascii="Cambria" w:eastAsia="Batang" w:hAnsi="Cambria"/>
                <w:bCs/>
                <w:color w:val="000000" w:themeColor="text1"/>
                <w:lang w:val="es-CO"/>
              </w:rPr>
              <w:t>21 de julio de 2005</w:t>
            </w:r>
          </w:p>
          <w:p w14:paraId="32524770" w14:textId="77777777" w:rsidR="00006E60" w:rsidRPr="0009182C" w:rsidRDefault="00006E60" w:rsidP="00B67A4A">
            <w:pPr>
              <w:autoSpaceDE w:val="0"/>
              <w:autoSpaceDN w:val="0"/>
              <w:adjustRightInd w:val="0"/>
              <w:spacing w:after="0" w:line="240" w:lineRule="auto"/>
              <w:jc w:val="both"/>
              <w:rPr>
                <w:rFonts w:ascii="Cambria" w:eastAsia="Batang" w:hAnsi="Cambria"/>
                <w:b/>
                <w:bCs/>
                <w:color w:val="000000" w:themeColor="text1"/>
                <w:lang w:val="es-CO"/>
              </w:rPr>
            </w:pPr>
            <w:r w:rsidRPr="0009182C">
              <w:rPr>
                <w:rFonts w:ascii="Cambria" w:eastAsia="Batang" w:hAnsi="Cambria"/>
                <w:b/>
                <w:bCs/>
                <w:color w:val="000000" w:themeColor="text1"/>
                <w:lang w:val="es-CO"/>
              </w:rPr>
              <w:t xml:space="preserve">Fecha de Firma de ASA: </w:t>
            </w:r>
            <w:r w:rsidRPr="0009182C">
              <w:rPr>
                <w:rFonts w:ascii="Cambria" w:eastAsia="Batang" w:hAnsi="Cambria"/>
                <w:bCs/>
                <w:color w:val="000000" w:themeColor="text1"/>
                <w:lang w:val="es-CO"/>
              </w:rPr>
              <w:t>29 de julio de 2020</w:t>
            </w:r>
          </w:p>
          <w:p w14:paraId="198B6B95" w14:textId="77777777" w:rsidR="00006E60" w:rsidRPr="0009182C" w:rsidRDefault="00006E60" w:rsidP="00B67A4A">
            <w:pPr>
              <w:autoSpaceDE w:val="0"/>
              <w:autoSpaceDN w:val="0"/>
              <w:adjustRightInd w:val="0"/>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Informe de Acuerdo de Solución Amistosa Nº:</w:t>
            </w:r>
            <w:r w:rsidRPr="0009182C">
              <w:rPr>
                <w:rFonts w:ascii="Cambria" w:eastAsia="Batang" w:hAnsi="Cambria"/>
                <w:bCs/>
                <w:color w:val="000000" w:themeColor="text1"/>
                <w:lang w:val="es-CO"/>
              </w:rPr>
              <w:t xml:space="preserve"> </w:t>
            </w:r>
            <w:hyperlink r:id="rId8" w:history="1">
              <w:r w:rsidRPr="0009182C">
                <w:rPr>
                  <w:rStyle w:val="Hyperlink"/>
                  <w:rFonts w:ascii="Cambria" w:eastAsia="Batang" w:hAnsi="Cambria"/>
                  <w:b/>
                  <w:bCs/>
                  <w:color w:val="000000" w:themeColor="text1"/>
                  <w:lang w:val="es-CO"/>
                </w:rPr>
                <w:t>39/21</w:t>
              </w:r>
            </w:hyperlink>
            <w:r w:rsidRPr="0009182C">
              <w:rPr>
                <w:rFonts w:ascii="Cambria" w:eastAsia="Batang" w:hAnsi="Cambria"/>
                <w:bCs/>
                <w:color w:val="000000" w:themeColor="text1"/>
                <w:lang w:val="es-CO"/>
              </w:rPr>
              <w:t xml:space="preserve"> publicado el 19 de marzo de 2021</w:t>
            </w:r>
          </w:p>
          <w:p w14:paraId="14AAE915" w14:textId="77777777" w:rsidR="00006E60" w:rsidRPr="0009182C" w:rsidRDefault="00006E60" w:rsidP="00B67A4A">
            <w:pPr>
              <w:autoSpaceDE w:val="0"/>
              <w:autoSpaceDN w:val="0"/>
              <w:adjustRightInd w:val="0"/>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Duración estimada de la fase de negociación: </w:t>
            </w:r>
            <w:r w:rsidRPr="0009182C">
              <w:rPr>
                <w:rFonts w:ascii="Cambria" w:eastAsia="Batang" w:hAnsi="Cambria"/>
                <w:bCs/>
                <w:color w:val="000000" w:themeColor="text1"/>
                <w:lang w:val="es-CO"/>
              </w:rPr>
              <w:t>15 años</w:t>
            </w:r>
          </w:p>
          <w:p w14:paraId="7BBC75B6" w14:textId="77777777" w:rsidR="00006E60" w:rsidRPr="0009182C" w:rsidRDefault="00006E60" w:rsidP="00B67A4A">
            <w:pPr>
              <w:autoSpaceDE w:val="0"/>
              <w:autoSpaceDN w:val="0"/>
              <w:adjustRightInd w:val="0"/>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Relatoría vinculada: </w:t>
            </w:r>
            <w:r w:rsidRPr="0009182C">
              <w:rPr>
                <w:rFonts w:ascii="Cambria" w:eastAsia="Batang" w:hAnsi="Cambria"/>
                <w:bCs/>
                <w:color w:val="000000" w:themeColor="text1"/>
                <w:lang w:val="es-CO"/>
              </w:rPr>
              <w:t>N/A</w:t>
            </w:r>
          </w:p>
          <w:p w14:paraId="07FCB1F8" w14:textId="77777777" w:rsidR="00006E60" w:rsidRPr="0009182C" w:rsidRDefault="00006E60" w:rsidP="00B67A4A">
            <w:pPr>
              <w:autoSpaceDE w:val="0"/>
              <w:autoSpaceDN w:val="0"/>
              <w:adjustRightInd w:val="0"/>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Temas: </w:t>
            </w:r>
            <w:r w:rsidRPr="0009182C">
              <w:rPr>
                <w:rFonts w:ascii="Cambria" w:eastAsia="Batang" w:hAnsi="Cambria"/>
                <w:color w:val="080808"/>
                <w:lang w:val="es-CO"/>
              </w:rPr>
              <w:t>Protección judicial / Derecho a la vida</w:t>
            </w:r>
          </w:p>
          <w:p w14:paraId="04442B79" w14:textId="77777777" w:rsidR="00006E60" w:rsidRPr="0009182C" w:rsidRDefault="00006E60" w:rsidP="00B67A4A">
            <w:pPr>
              <w:autoSpaceDE w:val="0"/>
              <w:autoSpaceDN w:val="0"/>
              <w:adjustRightInd w:val="0"/>
              <w:spacing w:after="0" w:line="240" w:lineRule="auto"/>
              <w:jc w:val="both"/>
              <w:rPr>
                <w:rFonts w:ascii="Cambria" w:eastAsia="Batang" w:hAnsi="Cambria"/>
                <w:b/>
                <w:color w:val="080808"/>
                <w:lang w:val="es-CO"/>
              </w:rPr>
            </w:pPr>
          </w:p>
          <w:p w14:paraId="46447329" w14:textId="77777777" w:rsidR="00006E60" w:rsidRPr="0009182C" w:rsidRDefault="00006E60" w:rsidP="00B67A4A">
            <w:pPr>
              <w:autoSpaceDE w:val="0"/>
              <w:autoSpaceDN w:val="0"/>
              <w:adjustRightInd w:val="0"/>
              <w:spacing w:after="0" w:line="240" w:lineRule="auto"/>
              <w:jc w:val="both"/>
              <w:rPr>
                <w:rFonts w:ascii="Cambria" w:eastAsia="Batang" w:hAnsi="Cambria"/>
                <w:bCs/>
                <w:color w:val="080808"/>
                <w:lang w:val="es-CO"/>
              </w:rPr>
            </w:pPr>
            <w:r w:rsidRPr="0009182C">
              <w:rPr>
                <w:rFonts w:ascii="Cambria" w:eastAsia="Batang" w:hAnsi="Cambria"/>
                <w:b/>
                <w:color w:val="080808"/>
                <w:lang w:val="es-CO"/>
              </w:rPr>
              <w:t xml:space="preserve">Hechos: </w:t>
            </w:r>
            <w:r w:rsidRPr="0009182C">
              <w:rPr>
                <w:rFonts w:ascii="Cambria" w:eastAsia="Batang" w:hAnsi="Cambria"/>
                <w:bCs/>
                <w:color w:val="080808"/>
                <w:lang w:val="es-CO"/>
              </w:rPr>
              <w:t>Los peticionarios alegaron la responsabilidad internacional del Estado argentino por los hechos ocurridos el 11 de marzo de 2001, en perjuicio de Walter Mauro Yáñez, quien habría fallecido como consecuencia de un impacto de arma de fuego perpetrado, presuntamente, por un Agente de la Infantería de la Comisaría de Mendoza quien, en compañía de su padre, figuraban como propietarios de un local tipo despensa, el cual habría sido irrumpido por cuatro jóvenes, incluyendo a la presunta víctima. De acuerdo con la parte peticionaria, Daniel Alejandro Cabrillana, Agente de la Infantería de la Comisaría de Mendoza, habría abierto fuego sin haber dado la voz de "alto policía". Según lo relatado por los peticionarios, en el consecuente proceso judicial se habría dictado el levantamiento de arresto domiciliario y, posteriormente, planteado la nulidad de las declaraciones testimoniales de quienes habrían participado de la tentativa de robo agravado, por ser imputados en las actuaciones del caso. Según lo indicado por la parte peticionaria, el 26 de noviembre de 2001, se habría dictado el sobreseimiento del imputado, por haberse vencido el plazo de la prórroga extraordinaria y no haberse modificado la situación de duda respecto de los hechos investigados. Los peticionarios informaron que habrían apelado este sobreseimiento y que les habría sido denegado este recurso; por lo anterior, habrían interpuesto una nueva apelación, la cual habría sido también rechazada por el Juez.  Al no recibir una respuesta favorable, los peticionarios habrían interpuesto un recurso de queja ante la Suprema Corte de Justicia de la Providencia de Mendoza, que también habría rechazado el recurso planteado por los peticionarios.</w:t>
            </w:r>
          </w:p>
          <w:p w14:paraId="4B02BA32" w14:textId="77777777" w:rsidR="00006E60" w:rsidRPr="0009182C" w:rsidRDefault="00006E60" w:rsidP="00B67A4A">
            <w:pPr>
              <w:autoSpaceDE w:val="0"/>
              <w:autoSpaceDN w:val="0"/>
              <w:adjustRightInd w:val="0"/>
              <w:spacing w:after="0" w:line="240" w:lineRule="auto"/>
              <w:jc w:val="both"/>
              <w:rPr>
                <w:rFonts w:ascii="Cambria" w:eastAsia="Batang" w:hAnsi="Cambria"/>
                <w:b/>
                <w:color w:val="080808"/>
                <w:lang w:val="es-CO"/>
              </w:rPr>
            </w:pPr>
          </w:p>
          <w:p w14:paraId="42ADE2E3" w14:textId="77777777" w:rsidR="00006E60" w:rsidRPr="0009182C" w:rsidRDefault="00006E60" w:rsidP="00B67A4A">
            <w:pPr>
              <w:autoSpaceDE w:val="0"/>
              <w:autoSpaceDN w:val="0"/>
              <w:adjustRightInd w:val="0"/>
              <w:spacing w:after="0" w:line="240" w:lineRule="auto"/>
              <w:jc w:val="both"/>
              <w:rPr>
                <w:rFonts w:ascii="Cambria" w:eastAsia="Batang" w:hAnsi="Cambria" w:cs="Cambria"/>
                <w:color w:val="080808"/>
                <w:lang w:val="es-CO" w:eastAsia="pt-BR"/>
              </w:rPr>
            </w:pPr>
            <w:r w:rsidRPr="0009182C">
              <w:rPr>
                <w:rFonts w:ascii="Cambria" w:eastAsia="Batang" w:hAnsi="Cambria"/>
                <w:b/>
                <w:color w:val="080808"/>
                <w:lang w:val="es-CO"/>
              </w:rPr>
              <w:t xml:space="preserve">Derechos alegados: </w:t>
            </w:r>
            <w:r w:rsidRPr="0009182C">
              <w:rPr>
                <w:rFonts w:ascii="Cambria" w:eastAsia="Batang" w:hAnsi="Cambria"/>
                <w:color w:val="080808"/>
                <w:lang w:val="es-CO"/>
              </w:rPr>
              <w:t>Los peticionarios alegaron que el Estado argentino violó los artículos 4 (derecho a la Vida), 8 (garantías judiciales) y 25 (protección Judicial) de la Convención Americana sobre Derechos Humanos en relación con los artículos 1.1 y 2 del mismo instrumento.</w:t>
            </w:r>
          </w:p>
        </w:tc>
      </w:tr>
    </w:tbl>
    <w:p w14:paraId="45C1B90C" w14:textId="410AD1D0" w:rsidR="00006E60" w:rsidRDefault="00006E60" w:rsidP="00006E60">
      <w:pPr>
        <w:spacing w:after="0" w:line="240" w:lineRule="auto"/>
        <w:contextualSpacing/>
        <w:jc w:val="both"/>
        <w:rPr>
          <w:rFonts w:ascii="Cambria" w:eastAsia="Batang" w:hAnsi="Cambria" w:cs="Calibri Light"/>
          <w:b/>
          <w:color w:val="080808"/>
          <w:lang w:val="es-CO"/>
        </w:rPr>
      </w:pPr>
    </w:p>
    <w:p w14:paraId="571FE091" w14:textId="7CF709DE" w:rsidR="00006E60" w:rsidRDefault="00006E60" w:rsidP="00006E60">
      <w:pPr>
        <w:spacing w:after="0" w:line="240" w:lineRule="auto"/>
        <w:contextualSpacing/>
        <w:jc w:val="both"/>
        <w:rPr>
          <w:rFonts w:ascii="Cambria" w:eastAsia="Batang" w:hAnsi="Cambria" w:cs="Calibri Light"/>
          <w:b/>
          <w:color w:val="080808"/>
          <w:lang w:val="es-CO"/>
        </w:rPr>
      </w:pPr>
    </w:p>
    <w:p w14:paraId="2C4278C5" w14:textId="0D1FDF6F" w:rsidR="00006E60" w:rsidRDefault="00006E60" w:rsidP="00006E60">
      <w:pPr>
        <w:spacing w:after="0" w:line="240" w:lineRule="auto"/>
        <w:contextualSpacing/>
        <w:jc w:val="both"/>
        <w:rPr>
          <w:rFonts w:ascii="Cambria" w:eastAsia="Batang" w:hAnsi="Cambria" w:cs="Calibri Light"/>
          <w:b/>
          <w:color w:val="080808"/>
          <w:lang w:val="es-CO"/>
        </w:rPr>
      </w:pPr>
    </w:p>
    <w:p w14:paraId="1ACB4BD7" w14:textId="04293886" w:rsidR="00006E60" w:rsidRDefault="00006E60" w:rsidP="00006E60">
      <w:pPr>
        <w:spacing w:after="0" w:line="240" w:lineRule="auto"/>
        <w:contextualSpacing/>
        <w:jc w:val="both"/>
        <w:rPr>
          <w:rFonts w:ascii="Cambria" w:eastAsia="Batang" w:hAnsi="Cambria" w:cs="Calibri Light"/>
          <w:b/>
          <w:color w:val="080808"/>
          <w:lang w:val="es-CO"/>
        </w:rPr>
      </w:pPr>
    </w:p>
    <w:p w14:paraId="3C6A0FBF" w14:textId="77777777" w:rsidR="00006E60" w:rsidRPr="0009182C" w:rsidRDefault="00006E60" w:rsidP="00006E60">
      <w:pPr>
        <w:spacing w:after="0" w:line="240" w:lineRule="auto"/>
        <w:contextualSpacing/>
        <w:jc w:val="both"/>
        <w:rPr>
          <w:rFonts w:ascii="Cambria" w:eastAsia="Batang" w:hAnsi="Cambria" w:cs="Calibri Light"/>
          <w:b/>
          <w:color w:val="080808"/>
          <w:lang w:val="es-CO"/>
        </w:rPr>
      </w:pPr>
    </w:p>
    <w:p w14:paraId="33E4D25C" w14:textId="77777777" w:rsidR="00006E60" w:rsidRPr="0009182C" w:rsidRDefault="00006E60" w:rsidP="00006E60">
      <w:pPr>
        <w:numPr>
          <w:ilvl w:val="0"/>
          <w:numId w:val="1"/>
        </w:numPr>
        <w:spacing w:after="0" w:line="240" w:lineRule="auto"/>
        <w:ind w:left="0" w:firstLine="720"/>
        <w:contextualSpacing/>
        <w:rPr>
          <w:rFonts w:ascii="Cambria" w:eastAsia="Batang" w:hAnsi="Cambria"/>
          <w:b/>
          <w:color w:val="080808"/>
          <w:lang w:val="es-CO"/>
        </w:rPr>
      </w:pPr>
      <w:r w:rsidRPr="0009182C">
        <w:rPr>
          <w:rFonts w:ascii="Cambria" w:eastAsia="Batang" w:hAnsi="Cambria"/>
          <w:b/>
          <w:color w:val="080808"/>
          <w:lang w:val="es-CO"/>
        </w:rPr>
        <w:lastRenderedPageBreak/>
        <w:t>ACTIVIDAD PROCESAL</w:t>
      </w:r>
    </w:p>
    <w:p w14:paraId="6C66D475" w14:textId="77777777" w:rsidR="00006E60" w:rsidRPr="0009182C" w:rsidRDefault="00006E60" w:rsidP="00006E60">
      <w:pPr>
        <w:spacing w:after="0" w:line="240" w:lineRule="auto"/>
        <w:ind w:firstLine="720"/>
        <w:jc w:val="both"/>
        <w:rPr>
          <w:rFonts w:ascii="Cambria" w:hAnsi="Cambria"/>
          <w:color w:val="080808"/>
          <w:lang w:val="es-CO"/>
        </w:rPr>
      </w:pPr>
    </w:p>
    <w:p w14:paraId="3FF17FD2" w14:textId="77777777" w:rsidR="00006E60" w:rsidRPr="0009182C" w:rsidRDefault="00006E60" w:rsidP="00006E60">
      <w:pPr>
        <w:numPr>
          <w:ilvl w:val="0"/>
          <w:numId w:val="3"/>
        </w:numPr>
        <w:spacing w:after="0" w:line="240" w:lineRule="auto"/>
        <w:ind w:left="0" w:firstLine="720"/>
        <w:jc w:val="both"/>
        <w:rPr>
          <w:rFonts w:ascii="Cambria" w:eastAsia="Batang" w:hAnsi="Cambria" w:cs="Calibri Light"/>
          <w:color w:val="080808"/>
          <w:lang w:val="es-CO"/>
        </w:rPr>
      </w:pPr>
      <w:r w:rsidRPr="0009182C">
        <w:rPr>
          <w:rFonts w:ascii="Cambria" w:eastAsia="Batang" w:hAnsi="Cambria" w:cs="Calibri Light"/>
          <w:color w:val="080808"/>
          <w:lang w:val="es-CO"/>
        </w:rPr>
        <w:t>La CIDH publicó el informe de homologación en fecha 19 de marzo de 2021, dando cuenta del cumplimiento total del acuerdo de solución amistosa y consecuentemente dispuso el cese de su supervisión y cierre del caso</w:t>
      </w:r>
    </w:p>
    <w:p w14:paraId="2EC163BF" w14:textId="77777777" w:rsidR="00006E60" w:rsidRPr="0009182C" w:rsidRDefault="00006E60" w:rsidP="00006E60">
      <w:pPr>
        <w:autoSpaceDE w:val="0"/>
        <w:autoSpaceDN w:val="0"/>
        <w:adjustRightInd w:val="0"/>
        <w:spacing w:after="0" w:line="240" w:lineRule="auto"/>
        <w:jc w:val="both"/>
        <w:rPr>
          <w:rFonts w:ascii="Cambria" w:eastAsia="Batang" w:hAnsi="Cambria" w:cs="Calibri Light"/>
          <w:color w:val="080808"/>
          <w:lang w:val="es-CO"/>
        </w:rPr>
      </w:pPr>
    </w:p>
    <w:p w14:paraId="4C1C62AA" w14:textId="77777777" w:rsidR="00006E60" w:rsidRPr="0009182C" w:rsidRDefault="00006E60" w:rsidP="00006E60">
      <w:pPr>
        <w:numPr>
          <w:ilvl w:val="0"/>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ANÁLISIS DEL CUMPLIMIENTO DE LAS CLÁUSULAS DEL ACUERDO DE SOLUCIÓN AMISTOSA</w:t>
      </w:r>
    </w:p>
    <w:p w14:paraId="7801EA26" w14:textId="77777777" w:rsidR="00006E60" w:rsidRPr="0009182C" w:rsidRDefault="00006E60" w:rsidP="00006E60">
      <w:pPr>
        <w:spacing w:after="0" w:line="240" w:lineRule="auto"/>
        <w:rPr>
          <w:rFonts w:ascii="Cambria" w:eastAsia="Batang" w:hAnsi="Cambria"/>
          <w:color w:val="080808"/>
          <w:lang w:val="es-C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24"/>
      </w:tblGrid>
      <w:tr w:rsidR="00006E60" w:rsidRPr="0009182C" w14:paraId="193AFE57" w14:textId="77777777" w:rsidTr="00B67A4A">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7C809E33" w14:textId="77777777" w:rsidR="00006E60" w:rsidRPr="0009182C" w:rsidRDefault="00006E60" w:rsidP="00B67A4A">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24" w:type="dxa"/>
            <w:tcBorders>
              <w:top w:val="single" w:sz="4" w:space="0" w:color="auto"/>
              <w:left w:val="single" w:sz="4" w:space="0" w:color="auto"/>
              <w:bottom w:val="single" w:sz="4" w:space="0" w:color="auto"/>
              <w:right w:val="single" w:sz="4" w:space="0" w:color="auto"/>
            </w:tcBorders>
            <w:shd w:val="clear" w:color="auto" w:fill="D9D9D9"/>
            <w:vAlign w:val="center"/>
          </w:tcPr>
          <w:p w14:paraId="6D420808" w14:textId="77777777" w:rsidR="00006E60" w:rsidRPr="0009182C" w:rsidRDefault="00006E60"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006E60" w:rsidRPr="001873B5" w14:paraId="24888BB7" w14:textId="77777777" w:rsidTr="00B67A4A">
        <w:trPr>
          <w:trHeight w:val="269"/>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73C0495" w14:textId="77777777" w:rsidR="00006E60" w:rsidRPr="0009182C" w:rsidRDefault="00006E60" w:rsidP="00B67A4A">
            <w:pPr>
              <w:spacing w:after="0" w:line="240" w:lineRule="auto"/>
              <w:jc w:val="both"/>
              <w:rPr>
                <w:rFonts w:ascii="Cambria" w:eastAsia="Batang" w:hAnsi="Cambria"/>
                <w:b/>
                <w:color w:val="080808"/>
                <w:lang w:val="es-CO"/>
              </w:rPr>
            </w:pPr>
            <w:r w:rsidRPr="0009182C">
              <w:rPr>
                <w:rFonts w:ascii="Cambria" w:eastAsia="Batang" w:hAnsi="Cambria"/>
                <w:b/>
                <w:bCs/>
                <w:color w:val="000000"/>
                <w:lang w:val="es-CO"/>
              </w:rPr>
              <w:t>3) De acuerdo con el expuesto en el punto precedente, el Gobierno de la Provincia de Mendoza se compromete a reparar plenamente a los causahabientes de Walter Mauro Yáñez, previo acuerdo de Fiscalía de Estado, de la siguiente manera:</w:t>
            </w:r>
          </w:p>
        </w:tc>
      </w:tr>
      <w:tr w:rsidR="00006E60" w:rsidRPr="0009182C" w14:paraId="1741193A" w14:textId="77777777" w:rsidTr="00B67A4A">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2564BF2D" w14:textId="77777777" w:rsidR="00006E60" w:rsidRPr="0009182C" w:rsidRDefault="00006E60" w:rsidP="00006E60">
            <w:pPr>
              <w:pStyle w:val="ListParagraph"/>
              <w:numPr>
                <w:ilvl w:val="0"/>
                <w:numId w:val="2"/>
              </w:numPr>
              <w:spacing w:after="0" w:line="240" w:lineRule="auto"/>
              <w:ind w:left="13" w:firstLine="0"/>
              <w:jc w:val="both"/>
              <w:rPr>
                <w:rFonts w:ascii="Cambria" w:eastAsia="Times New Roman" w:hAnsi="Cambria"/>
                <w:color w:val="080808"/>
                <w:lang w:val="es-CO"/>
              </w:rPr>
            </w:pPr>
            <w:r w:rsidRPr="0009182C">
              <w:rPr>
                <w:rFonts w:ascii="Cambria" w:eastAsia="Batang" w:hAnsi="Cambria" w:cs="Calibri Light"/>
                <w:color w:val="000000"/>
                <w:lang w:val="es-CO"/>
              </w:rPr>
              <w:t>Realizando un pedido público de disculpas a los familiares de la víctima, por parte de las máximas autoridades de la Provincia de Mendoza;</w:t>
            </w:r>
          </w:p>
        </w:tc>
        <w:tc>
          <w:tcPr>
            <w:tcW w:w="1724" w:type="dxa"/>
            <w:tcBorders>
              <w:top w:val="single" w:sz="4" w:space="0" w:color="auto"/>
              <w:left w:val="single" w:sz="4" w:space="0" w:color="auto"/>
              <w:bottom w:val="single" w:sz="4" w:space="0" w:color="auto"/>
              <w:right w:val="single" w:sz="4" w:space="0" w:color="auto"/>
            </w:tcBorders>
            <w:vAlign w:val="center"/>
          </w:tcPr>
          <w:p w14:paraId="2506F711" w14:textId="77777777" w:rsidR="00006E60" w:rsidRPr="0009182C" w:rsidRDefault="00006E60" w:rsidP="00B67A4A">
            <w:pPr>
              <w:spacing w:after="0" w:line="240" w:lineRule="auto"/>
              <w:jc w:val="center"/>
              <w:rPr>
                <w:rFonts w:ascii="Cambria" w:eastAsia="Batang" w:hAnsi="Cambria"/>
                <w:b/>
                <w:color w:val="080808"/>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1"/>
            </w:r>
          </w:p>
        </w:tc>
      </w:tr>
      <w:tr w:rsidR="00006E60" w:rsidRPr="0009182C" w14:paraId="3B896B97" w14:textId="77777777" w:rsidTr="00B67A4A">
        <w:trPr>
          <w:trHeight w:val="832"/>
          <w:jc w:val="center"/>
        </w:trPr>
        <w:tc>
          <w:tcPr>
            <w:tcW w:w="7632" w:type="dxa"/>
            <w:tcBorders>
              <w:top w:val="single" w:sz="4" w:space="0" w:color="auto"/>
              <w:left w:val="single" w:sz="4" w:space="0" w:color="auto"/>
              <w:bottom w:val="single" w:sz="4" w:space="0" w:color="auto"/>
              <w:right w:val="single" w:sz="4" w:space="0" w:color="auto"/>
            </w:tcBorders>
            <w:vAlign w:val="center"/>
          </w:tcPr>
          <w:p w14:paraId="37717593" w14:textId="77777777" w:rsidR="00006E60" w:rsidRPr="0009182C" w:rsidRDefault="00006E60" w:rsidP="00006E60">
            <w:pPr>
              <w:pStyle w:val="ListParagraph"/>
              <w:numPr>
                <w:ilvl w:val="0"/>
                <w:numId w:val="2"/>
              </w:numPr>
              <w:spacing w:after="0" w:line="240" w:lineRule="auto"/>
              <w:ind w:left="13" w:firstLine="0"/>
              <w:jc w:val="both"/>
              <w:rPr>
                <w:rFonts w:ascii="Cambria" w:eastAsia="Batang" w:hAnsi="Cambria" w:cs="Calibri Light"/>
                <w:color w:val="000000"/>
                <w:lang w:val="es-CO"/>
              </w:rPr>
            </w:pPr>
            <w:r w:rsidRPr="0009182C">
              <w:rPr>
                <w:rFonts w:ascii="Cambria" w:eastAsia="Batang" w:hAnsi="Cambria" w:cs="Calibri Light"/>
                <w:color w:val="000000"/>
                <w:lang w:val="es-CO"/>
              </w:rPr>
              <w:t>Iniciar los trámites correspondientes para crear en el ámbito del Ministerio Público Fiscal una Unidad Fiscal de Derechos Humanos, que sea la encargada de realizar la investigación penal preparatoria de los delitos cometidos por miembros de Fuerza de Seguridad y Penitenciarias.</w:t>
            </w:r>
          </w:p>
        </w:tc>
        <w:tc>
          <w:tcPr>
            <w:tcW w:w="1724" w:type="dxa"/>
            <w:tcBorders>
              <w:top w:val="single" w:sz="4" w:space="0" w:color="auto"/>
              <w:left w:val="single" w:sz="4" w:space="0" w:color="auto"/>
              <w:bottom w:val="single" w:sz="4" w:space="0" w:color="auto"/>
              <w:right w:val="single" w:sz="4" w:space="0" w:color="auto"/>
            </w:tcBorders>
            <w:vAlign w:val="center"/>
          </w:tcPr>
          <w:p w14:paraId="16B86863" w14:textId="77777777" w:rsidR="00006E60" w:rsidRPr="0009182C" w:rsidRDefault="00006E60"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2"/>
            </w:r>
          </w:p>
        </w:tc>
      </w:tr>
      <w:tr w:rsidR="00006E60" w:rsidRPr="0009182C" w14:paraId="32A87193" w14:textId="77777777" w:rsidTr="00B67A4A">
        <w:trPr>
          <w:trHeight w:val="493"/>
          <w:jc w:val="center"/>
        </w:trPr>
        <w:tc>
          <w:tcPr>
            <w:tcW w:w="7632" w:type="dxa"/>
            <w:tcBorders>
              <w:top w:val="single" w:sz="4" w:space="0" w:color="auto"/>
              <w:left w:val="single" w:sz="4" w:space="0" w:color="auto"/>
              <w:bottom w:val="single" w:sz="4" w:space="0" w:color="auto"/>
              <w:right w:val="single" w:sz="4" w:space="0" w:color="auto"/>
            </w:tcBorders>
            <w:vAlign w:val="center"/>
          </w:tcPr>
          <w:p w14:paraId="21F16097" w14:textId="77777777" w:rsidR="00006E60" w:rsidRPr="0009182C" w:rsidRDefault="00006E60" w:rsidP="00006E60">
            <w:pPr>
              <w:pStyle w:val="ListParagraph"/>
              <w:numPr>
                <w:ilvl w:val="0"/>
                <w:numId w:val="2"/>
              </w:numPr>
              <w:spacing w:after="0" w:line="240" w:lineRule="auto"/>
              <w:ind w:left="13" w:firstLine="0"/>
              <w:jc w:val="both"/>
              <w:rPr>
                <w:rFonts w:ascii="Cambria" w:eastAsia="Batang" w:hAnsi="Cambria" w:cs="Calibri Light"/>
                <w:color w:val="000000"/>
                <w:lang w:val="es-CO"/>
              </w:rPr>
            </w:pPr>
            <w:r w:rsidRPr="0009182C">
              <w:rPr>
                <w:rFonts w:ascii="Cambria" w:eastAsia="Batang" w:hAnsi="Cambria" w:cs="Calibri Light"/>
                <w:color w:val="000000"/>
                <w:lang w:val="es-CO"/>
              </w:rPr>
              <w:t xml:space="preserve"> Capacitar en forma permanente a los miembros de Fuerza de Seguridad y Penitenciarias en materia de Derechos Humanos.</w:t>
            </w:r>
          </w:p>
        </w:tc>
        <w:tc>
          <w:tcPr>
            <w:tcW w:w="1724" w:type="dxa"/>
            <w:tcBorders>
              <w:top w:val="single" w:sz="4" w:space="0" w:color="auto"/>
              <w:left w:val="single" w:sz="4" w:space="0" w:color="auto"/>
              <w:bottom w:val="single" w:sz="4" w:space="0" w:color="auto"/>
              <w:right w:val="single" w:sz="4" w:space="0" w:color="auto"/>
            </w:tcBorders>
            <w:vAlign w:val="center"/>
          </w:tcPr>
          <w:p w14:paraId="44134770" w14:textId="77777777" w:rsidR="00006E60" w:rsidRPr="0009182C" w:rsidRDefault="00006E60"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3"/>
            </w:r>
          </w:p>
        </w:tc>
      </w:tr>
      <w:tr w:rsidR="00006E60" w:rsidRPr="0009182C" w14:paraId="3566C231" w14:textId="77777777" w:rsidTr="00B67A4A">
        <w:trPr>
          <w:trHeight w:val="493"/>
          <w:jc w:val="center"/>
        </w:trPr>
        <w:tc>
          <w:tcPr>
            <w:tcW w:w="7632" w:type="dxa"/>
            <w:tcBorders>
              <w:top w:val="single" w:sz="4" w:space="0" w:color="auto"/>
              <w:left w:val="single" w:sz="4" w:space="0" w:color="auto"/>
              <w:bottom w:val="single" w:sz="4" w:space="0" w:color="auto"/>
              <w:right w:val="single" w:sz="4" w:space="0" w:color="auto"/>
            </w:tcBorders>
            <w:vAlign w:val="center"/>
          </w:tcPr>
          <w:p w14:paraId="0319DEBC" w14:textId="77777777" w:rsidR="00006E60" w:rsidRPr="0009182C" w:rsidRDefault="00006E60" w:rsidP="00006E60">
            <w:pPr>
              <w:pStyle w:val="ListParagraph"/>
              <w:numPr>
                <w:ilvl w:val="0"/>
                <w:numId w:val="2"/>
              </w:numPr>
              <w:spacing w:after="0" w:line="240" w:lineRule="auto"/>
              <w:ind w:left="13" w:firstLine="0"/>
              <w:jc w:val="both"/>
              <w:rPr>
                <w:rFonts w:ascii="Cambria" w:eastAsia="Batang" w:hAnsi="Cambria" w:cs="Calibri Light"/>
                <w:color w:val="000000"/>
                <w:lang w:val="es-CO"/>
              </w:rPr>
            </w:pPr>
            <w:r w:rsidRPr="0009182C">
              <w:rPr>
                <w:rFonts w:ascii="Cambria" w:eastAsia="Batang" w:hAnsi="Cambria" w:cs="Calibri Light"/>
                <w:color w:val="000000"/>
                <w:lang w:val="es-CO"/>
              </w:rPr>
              <w:t>Indemnizar por daño material e inmaterial a la Sra. Norma del Carmen Yáñez por la suma de $ 135.000 (Pesos ciento treinta y cinco mil) por la violación a las garantías judiciales y protección judicial en la investigación por la muerte de su hijo Walter Mauro Yáñez.</w:t>
            </w:r>
          </w:p>
        </w:tc>
        <w:tc>
          <w:tcPr>
            <w:tcW w:w="1724" w:type="dxa"/>
            <w:tcBorders>
              <w:top w:val="single" w:sz="4" w:space="0" w:color="auto"/>
              <w:left w:val="single" w:sz="4" w:space="0" w:color="auto"/>
              <w:bottom w:val="single" w:sz="4" w:space="0" w:color="auto"/>
              <w:right w:val="single" w:sz="4" w:space="0" w:color="auto"/>
            </w:tcBorders>
            <w:vAlign w:val="center"/>
          </w:tcPr>
          <w:p w14:paraId="12828CF8" w14:textId="77777777" w:rsidR="00006E60" w:rsidRPr="0009182C" w:rsidRDefault="00006E60"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4"/>
            </w:r>
          </w:p>
        </w:tc>
      </w:tr>
      <w:tr w:rsidR="00006E60" w:rsidRPr="0009182C" w14:paraId="2737EF35" w14:textId="77777777" w:rsidTr="00B67A4A">
        <w:trPr>
          <w:trHeight w:val="493"/>
          <w:jc w:val="center"/>
        </w:trPr>
        <w:tc>
          <w:tcPr>
            <w:tcW w:w="7632" w:type="dxa"/>
            <w:tcBorders>
              <w:top w:val="single" w:sz="4" w:space="0" w:color="auto"/>
              <w:left w:val="single" w:sz="4" w:space="0" w:color="auto"/>
              <w:bottom w:val="single" w:sz="4" w:space="0" w:color="auto"/>
              <w:right w:val="single" w:sz="4" w:space="0" w:color="auto"/>
            </w:tcBorders>
            <w:vAlign w:val="center"/>
          </w:tcPr>
          <w:p w14:paraId="42348FD7" w14:textId="77777777" w:rsidR="00006E60" w:rsidRPr="0009182C" w:rsidRDefault="00006E60" w:rsidP="00006E60">
            <w:pPr>
              <w:pStyle w:val="ListParagraph"/>
              <w:numPr>
                <w:ilvl w:val="0"/>
                <w:numId w:val="2"/>
              </w:numPr>
              <w:spacing w:after="0" w:line="240" w:lineRule="auto"/>
              <w:ind w:left="13" w:firstLine="0"/>
              <w:jc w:val="both"/>
              <w:rPr>
                <w:rFonts w:ascii="Cambria" w:eastAsia="Batang" w:hAnsi="Cambria" w:cs="Calibri Light"/>
                <w:color w:val="000000"/>
                <w:lang w:val="es-CO"/>
              </w:rPr>
            </w:pPr>
            <w:r w:rsidRPr="0009182C">
              <w:rPr>
                <w:rFonts w:ascii="Cambria" w:eastAsia="Batang" w:hAnsi="Cambria" w:cs="Calibri Light"/>
                <w:color w:val="000000"/>
                <w:lang w:val="es-CO"/>
              </w:rPr>
              <w:t>Pagar en concepto de honorarios profesionales, costas y gastos a la Sra. Norma del Carmen Yáñez la cantidad de $ 40.000 (Pesos cuarenta mil).</w:t>
            </w:r>
          </w:p>
        </w:tc>
        <w:tc>
          <w:tcPr>
            <w:tcW w:w="1724" w:type="dxa"/>
            <w:tcBorders>
              <w:top w:val="single" w:sz="4" w:space="0" w:color="auto"/>
              <w:left w:val="single" w:sz="4" w:space="0" w:color="auto"/>
              <w:bottom w:val="single" w:sz="4" w:space="0" w:color="auto"/>
              <w:right w:val="single" w:sz="4" w:space="0" w:color="auto"/>
            </w:tcBorders>
            <w:vAlign w:val="center"/>
          </w:tcPr>
          <w:p w14:paraId="757F143A" w14:textId="77777777" w:rsidR="00006E60" w:rsidRPr="0009182C" w:rsidRDefault="00006E60" w:rsidP="00B67A4A">
            <w:pPr>
              <w:spacing w:after="0" w:line="240" w:lineRule="auto"/>
              <w:jc w:val="center"/>
              <w:rPr>
                <w:rFonts w:ascii="Cambria" w:eastAsia="Batang" w:hAnsi="Cambria"/>
                <w:b/>
                <w:color w:val="000000"/>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5"/>
            </w:r>
          </w:p>
        </w:tc>
      </w:tr>
    </w:tbl>
    <w:p w14:paraId="27E07ABB" w14:textId="77777777" w:rsidR="00006E60" w:rsidRPr="0009182C" w:rsidRDefault="00006E60" w:rsidP="00006E60">
      <w:pPr>
        <w:spacing w:after="0" w:line="240" w:lineRule="auto"/>
        <w:rPr>
          <w:rFonts w:ascii="Cambria" w:eastAsia="Batang" w:hAnsi="Cambria"/>
          <w:color w:val="080808"/>
          <w:lang w:val="es-CO"/>
        </w:rPr>
      </w:pPr>
    </w:p>
    <w:p w14:paraId="69D10D6E" w14:textId="77777777" w:rsidR="00006E60" w:rsidRPr="0009182C" w:rsidRDefault="00006E60" w:rsidP="00006E60">
      <w:pPr>
        <w:numPr>
          <w:ilvl w:val="0"/>
          <w:numId w:val="1"/>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13FD2954" w14:textId="77777777" w:rsidR="00006E60" w:rsidRPr="0009182C" w:rsidRDefault="00006E60" w:rsidP="00006E60">
      <w:pPr>
        <w:spacing w:after="0" w:line="240" w:lineRule="auto"/>
        <w:ind w:firstLine="720"/>
        <w:jc w:val="both"/>
        <w:rPr>
          <w:rFonts w:ascii="Cambria" w:eastAsia="Batang" w:hAnsi="Cambria" w:cs="Calibri Light"/>
          <w:color w:val="080808"/>
          <w:highlight w:val="yellow"/>
          <w:lang w:val="es-CO"/>
        </w:rPr>
      </w:pPr>
    </w:p>
    <w:p w14:paraId="7227325C" w14:textId="77777777" w:rsidR="00006E60" w:rsidRPr="0009182C" w:rsidRDefault="00006E60" w:rsidP="00006E60">
      <w:pPr>
        <w:pStyle w:val="ListParagraph"/>
        <w:numPr>
          <w:ilvl w:val="0"/>
          <w:numId w:val="3"/>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hAnsi="Cambria"/>
          <w:color w:val="080808"/>
          <w:lang w:val="es-CO"/>
        </w:rPr>
        <w:t>La Comisión declaró el cumplimiento total del asunto y el cese del seguimiento del acuerdo de solución amistosa en el Informe de Homologación 39/21.</w:t>
      </w:r>
    </w:p>
    <w:p w14:paraId="64C3F220" w14:textId="77777777" w:rsidR="00006E60" w:rsidRPr="0009182C" w:rsidRDefault="00006E60" w:rsidP="00006E60">
      <w:pPr>
        <w:spacing w:after="0" w:line="240" w:lineRule="auto"/>
        <w:ind w:firstLine="720"/>
        <w:jc w:val="both"/>
        <w:rPr>
          <w:rFonts w:ascii="Cambria" w:eastAsia="Batang" w:hAnsi="Cambria" w:cs="Calibri Light"/>
          <w:b/>
          <w:color w:val="080808"/>
          <w:lang w:val="es-CO"/>
        </w:rPr>
      </w:pPr>
    </w:p>
    <w:p w14:paraId="4C2C9575" w14:textId="77777777" w:rsidR="00006E60" w:rsidRPr="0009182C" w:rsidRDefault="00006E60" w:rsidP="00006E60">
      <w:pPr>
        <w:numPr>
          <w:ilvl w:val="0"/>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656E8F8E" w14:textId="77777777" w:rsidR="00006E60" w:rsidRPr="0009182C" w:rsidRDefault="00006E60" w:rsidP="00006E60">
      <w:pPr>
        <w:spacing w:after="0" w:line="240" w:lineRule="auto"/>
        <w:ind w:firstLine="720"/>
        <w:contextualSpacing/>
        <w:jc w:val="both"/>
        <w:rPr>
          <w:rFonts w:ascii="Cambria" w:eastAsia="Batang" w:hAnsi="Cambria" w:cs="Calibri Light"/>
          <w:b/>
          <w:color w:val="080808"/>
          <w:lang w:val="es-CO"/>
        </w:rPr>
      </w:pPr>
    </w:p>
    <w:p w14:paraId="5D86238F" w14:textId="77777777" w:rsidR="00006E60" w:rsidRPr="0009182C" w:rsidRDefault="00006E60" w:rsidP="00006E60">
      <w:pPr>
        <w:numPr>
          <w:ilvl w:val="1"/>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7E0F1124" w14:textId="77777777" w:rsidR="00006E60" w:rsidRPr="0009182C" w:rsidRDefault="00006E60" w:rsidP="00006E60">
      <w:pPr>
        <w:spacing w:after="0" w:line="240" w:lineRule="auto"/>
        <w:ind w:left="1440" w:hanging="720"/>
        <w:contextualSpacing/>
        <w:jc w:val="both"/>
        <w:rPr>
          <w:rFonts w:ascii="Cambria" w:eastAsia="Batang" w:hAnsi="Cambria" w:cs="Calibri Light"/>
          <w:b/>
          <w:color w:val="080808"/>
          <w:lang w:val="es-CO"/>
        </w:rPr>
      </w:pPr>
    </w:p>
    <w:p w14:paraId="23119D5F" w14:textId="77777777" w:rsidR="00006E60" w:rsidRPr="0009182C" w:rsidRDefault="00006E60" w:rsidP="00006E60">
      <w:pPr>
        <w:numPr>
          <w:ilvl w:val="0"/>
          <w:numId w:val="4"/>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Estado realizó un acto público de disculpas a los familiares de la víctima.</w:t>
      </w:r>
    </w:p>
    <w:p w14:paraId="75CF12C3" w14:textId="77777777" w:rsidR="00006E60" w:rsidRPr="0009182C" w:rsidRDefault="00006E60" w:rsidP="00006E60">
      <w:pPr>
        <w:numPr>
          <w:ilvl w:val="0"/>
          <w:numId w:val="4"/>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Estado indemnizó a la señora Norma del Carmen Yáñez por concepto de los daños materiales e inmateriales sufridos con ocasión de los hechos denunciados.</w:t>
      </w:r>
    </w:p>
    <w:p w14:paraId="240FA719" w14:textId="77777777" w:rsidR="00006E60" w:rsidRPr="0009182C" w:rsidRDefault="00006E60" w:rsidP="00006E60">
      <w:pPr>
        <w:numPr>
          <w:ilvl w:val="0"/>
          <w:numId w:val="4"/>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lastRenderedPageBreak/>
        <w:t>El Estado asumió el pago por concepto de las costas, gastos y honorarios en los que incurrió la señora Yánez con ocasión del trámite de la petición.</w:t>
      </w:r>
    </w:p>
    <w:p w14:paraId="078A1F0F" w14:textId="77777777" w:rsidR="00006E60" w:rsidRPr="0009182C" w:rsidRDefault="00006E60" w:rsidP="00006E60">
      <w:pPr>
        <w:tabs>
          <w:tab w:val="left" w:pos="0"/>
        </w:tabs>
        <w:spacing w:after="0" w:line="240" w:lineRule="auto"/>
        <w:ind w:left="709"/>
        <w:contextualSpacing/>
        <w:jc w:val="both"/>
        <w:rPr>
          <w:rFonts w:ascii="Cambria" w:hAnsi="Cambria"/>
          <w:color w:val="080808"/>
          <w:lang w:val="es-CO"/>
        </w:rPr>
      </w:pPr>
    </w:p>
    <w:p w14:paraId="58D64609" w14:textId="77777777" w:rsidR="00006E60" w:rsidRPr="0009182C" w:rsidRDefault="00006E60" w:rsidP="00006E60">
      <w:pPr>
        <w:numPr>
          <w:ilvl w:val="1"/>
          <w:numId w:val="1"/>
        </w:numPr>
        <w:spacing w:after="0" w:line="240" w:lineRule="auto"/>
        <w:ind w:left="709" w:firstLine="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estructurales del caso</w:t>
      </w:r>
    </w:p>
    <w:p w14:paraId="2F499AF7" w14:textId="77777777" w:rsidR="00006E60" w:rsidRPr="0009182C" w:rsidRDefault="00006E60" w:rsidP="00006E60">
      <w:pPr>
        <w:tabs>
          <w:tab w:val="left" w:pos="0"/>
        </w:tabs>
        <w:spacing w:after="0" w:line="240" w:lineRule="auto"/>
        <w:contextualSpacing/>
        <w:jc w:val="both"/>
        <w:rPr>
          <w:rFonts w:ascii="Cambria" w:eastAsia="Batang" w:hAnsi="Cambria" w:cs="Calibri Light"/>
          <w:color w:val="080808"/>
          <w:lang w:val="es-CO"/>
        </w:rPr>
      </w:pPr>
    </w:p>
    <w:p w14:paraId="35CACB73" w14:textId="77777777" w:rsidR="00006E60" w:rsidRPr="0009182C" w:rsidRDefault="00006E60" w:rsidP="00006E60">
      <w:pPr>
        <w:numPr>
          <w:ilvl w:val="0"/>
          <w:numId w:val="4"/>
        </w:numPr>
        <w:spacing w:after="0" w:line="240" w:lineRule="auto"/>
        <w:ind w:left="1440" w:hanging="731"/>
        <w:contextualSpacing/>
        <w:jc w:val="both"/>
        <w:rPr>
          <w:rFonts w:ascii="Cambria" w:eastAsia="Batang" w:hAnsi="Cambria"/>
          <w:color w:val="000000"/>
          <w:lang w:val="es-CO"/>
        </w:rPr>
      </w:pPr>
      <w:r w:rsidRPr="0009182C">
        <w:rPr>
          <w:rFonts w:ascii="Cambria" w:eastAsia="Batang" w:hAnsi="Cambria"/>
          <w:color w:val="000000"/>
          <w:lang w:val="es-CO"/>
        </w:rPr>
        <w:t>El Estado inició los trámites correspondientes para crear una Unidad Fiscal de Derechos Humanos encargada de realizar la investigación penal preparatoria de los delitos cometidos por miembros de Fuerza de Seguridad y Penitenciarias.</w:t>
      </w:r>
    </w:p>
    <w:p w14:paraId="55E09AFB" w14:textId="3C41D906" w:rsidR="00730587" w:rsidRPr="00006E60" w:rsidRDefault="00006E60" w:rsidP="00006E60">
      <w:pPr>
        <w:numPr>
          <w:ilvl w:val="0"/>
          <w:numId w:val="4"/>
        </w:numPr>
        <w:spacing w:after="0" w:line="240" w:lineRule="auto"/>
        <w:ind w:left="1440" w:hanging="731"/>
        <w:contextualSpacing/>
        <w:jc w:val="both"/>
        <w:rPr>
          <w:lang w:val="es-CO"/>
        </w:rPr>
      </w:pPr>
      <w:r w:rsidRPr="00006E60">
        <w:rPr>
          <w:rFonts w:ascii="Cambria" w:eastAsia="Batang" w:hAnsi="Cambria"/>
          <w:color w:val="000000"/>
          <w:lang w:val="es-CO"/>
        </w:rPr>
        <w:t>El Estado ha capacitado en forma permanente a los miembros de Fuerza de Seguridad y Penitenciarias en materia de Derechos Humanos.</w:t>
      </w:r>
    </w:p>
    <w:sectPr w:rsidR="00730587" w:rsidRPr="00006E60" w:rsidSect="00006E60">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36BE" w14:textId="77777777" w:rsidR="00006E60" w:rsidRDefault="00006E60" w:rsidP="00006E60">
      <w:pPr>
        <w:spacing w:after="0" w:line="240" w:lineRule="auto"/>
      </w:pPr>
      <w:r>
        <w:separator/>
      </w:r>
    </w:p>
  </w:endnote>
  <w:endnote w:type="continuationSeparator" w:id="0">
    <w:p w14:paraId="30EBDCA8" w14:textId="77777777" w:rsidR="00006E60" w:rsidRDefault="00006E60" w:rsidP="0000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1B9C" w14:textId="77777777" w:rsidR="00006E60" w:rsidRPr="00A72869" w:rsidRDefault="00006E60">
    <w:pPr>
      <w:pStyle w:val="Footer"/>
      <w:jc w:val="center"/>
      <w:rPr>
        <w:color w:val="7F7F7F"/>
        <w:sz w:val="16"/>
      </w:rPr>
    </w:pPr>
  </w:p>
  <w:p w14:paraId="7D87206F" w14:textId="77777777" w:rsidR="00006E60" w:rsidRDefault="00006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DA1" w14:textId="77777777" w:rsidR="00006E60" w:rsidRDefault="00A15420" w:rsidP="00006E60">
    <w:pPr>
      <w:pStyle w:val="Footer"/>
      <w:spacing w:line="360" w:lineRule="auto"/>
      <w:jc w:val="right"/>
    </w:pPr>
    <w:bookmarkStart w:id="34" w:name="_Hlk129090884"/>
    <w:bookmarkStart w:id="35" w:name="_Hlk129090885"/>
    <w:bookmarkStart w:id="36" w:name="_Hlk129091044"/>
    <w:bookmarkStart w:id="37" w:name="_Hlk129091045"/>
    <w:bookmarkStart w:id="38" w:name="_Hlk129091049"/>
    <w:bookmarkStart w:id="39" w:name="_Hlk129091050"/>
    <w:bookmarkStart w:id="40" w:name="_Hlk129091188"/>
    <w:bookmarkStart w:id="41" w:name="_Hlk129091189"/>
    <w:r>
      <w:pict w14:anchorId="6BCF6DCC">
        <v:rect id="_x0000_i1027" style="width:0;height:1.5pt" o:hralign="center" o:hrstd="t" o:hr="t" fillcolor="#a0a0a0" stroked="f"/>
      </w:pict>
    </w:r>
  </w:p>
  <w:p w14:paraId="174DBD75" w14:textId="6FBC981E" w:rsidR="00006E60" w:rsidRDefault="00006E60" w:rsidP="00006E60">
    <w:pPr>
      <w:pStyle w:val="Footer"/>
      <w:jc w:val="center"/>
    </w:pPr>
    <w:r w:rsidRPr="008A5CB5">
      <w:rPr>
        <w:noProof/>
      </w:rPr>
      <w:drawing>
        <wp:inline distT="0" distB="0" distL="0" distR="0" wp14:anchorId="0FB418E2" wp14:editId="6DCD1572">
          <wp:extent cx="5114925" cy="323850"/>
          <wp:effectExtent l="0" t="0" r="9525" b="0"/>
          <wp:docPr id="8" name="Picture 8"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bookmarkEnd w:id="34"/>
    <w:bookmarkEnd w:id="35"/>
    <w:bookmarkEnd w:id="36"/>
    <w:bookmarkEnd w:id="37"/>
    <w:bookmarkEnd w:id="38"/>
    <w:bookmarkEnd w:id="39"/>
    <w:bookmarkEnd w:id="40"/>
    <w:bookmarkEnd w:id="41"/>
  </w:p>
  <w:p w14:paraId="1EC706A7" w14:textId="77777777" w:rsidR="00006E60" w:rsidRDefault="00006E60" w:rsidP="00006E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0C27" w14:textId="77777777" w:rsidR="00006E60" w:rsidRDefault="00006E60" w:rsidP="00006E60">
      <w:pPr>
        <w:spacing w:after="0" w:line="240" w:lineRule="auto"/>
      </w:pPr>
      <w:r>
        <w:separator/>
      </w:r>
    </w:p>
  </w:footnote>
  <w:footnote w:type="continuationSeparator" w:id="0">
    <w:p w14:paraId="209DAA8E" w14:textId="77777777" w:rsidR="00006E60" w:rsidRDefault="00006E60" w:rsidP="00006E60">
      <w:pPr>
        <w:spacing w:after="0" w:line="240" w:lineRule="auto"/>
      </w:pPr>
      <w:r>
        <w:continuationSeparator/>
      </w:r>
    </w:p>
  </w:footnote>
  <w:footnote w:id="1">
    <w:p w14:paraId="541D9085" w14:textId="77777777" w:rsidR="00006E60" w:rsidRPr="00254A60" w:rsidRDefault="00006E60" w:rsidP="00006E60">
      <w:pPr>
        <w:pStyle w:val="NormalWeb"/>
        <w:spacing w:before="0" w:beforeAutospacing="0" w:after="0" w:afterAutospacing="0"/>
        <w:ind w:firstLine="709"/>
        <w:contextualSpacing/>
        <w:jc w:val="both"/>
        <w:rPr>
          <w:rFonts w:ascii="Cambria" w:hAnsi="Cambria"/>
          <w:color w:val="000000" w:themeColor="text1"/>
          <w:sz w:val="16"/>
          <w:szCs w:val="16"/>
          <w:lang w:val="es-MX" w:eastAsia="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MX" w:eastAsia="es-ES_tradnl"/>
        </w:rPr>
        <w:t xml:space="preserve">CIDH, Informe No. 39/21, Petición 245-03. Solución Amistosa. Walter Mauro Yáñez. Argentina. 19 de marzo de 2021. </w:t>
      </w:r>
      <w:hyperlink r:id="rId1" w:history="1">
        <w:r w:rsidRPr="00254A60">
          <w:rPr>
            <w:rStyle w:val="Hyperlink"/>
            <w:rFonts w:ascii="Cambria" w:hAnsi="Cambria"/>
            <w:color w:val="000000" w:themeColor="text1"/>
            <w:sz w:val="16"/>
            <w:szCs w:val="16"/>
            <w:lang w:val="es-MX"/>
          </w:rPr>
          <w:t>https://www.oas.org/es/cidh/decisiones/2021/ARSA245-03ES.pdf</w:t>
        </w:r>
      </w:hyperlink>
      <w:r w:rsidRPr="00254A60">
        <w:rPr>
          <w:rFonts w:ascii="Cambria" w:hAnsi="Cambria"/>
          <w:color w:val="000000" w:themeColor="text1"/>
          <w:sz w:val="16"/>
          <w:szCs w:val="16"/>
          <w:lang w:val="es-MX"/>
        </w:rPr>
        <w:t xml:space="preserve"> </w:t>
      </w:r>
    </w:p>
  </w:footnote>
  <w:footnote w:id="2">
    <w:p w14:paraId="0D3E1E4E" w14:textId="77777777" w:rsidR="00006E60" w:rsidRPr="00254A60" w:rsidRDefault="00006E60" w:rsidP="00006E60">
      <w:pPr>
        <w:pStyle w:val="NormalWeb"/>
        <w:spacing w:before="0" w:beforeAutospacing="0" w:after="0" w:afterAutospacing="0"/>
        <w:ind w:firstLine="709"/>
        <w:contextualSpacing/>
        <w:jc w:val="both"/>
        <w:rPr>
          <w:rFonts w:ascii="Cambria" w:hAnsi="Cambria"/>
          <w:color w:val="000000" w:themeColor="text1"/>
          <w:sz w:val="16"/>
          <w:szCs w:val="16"/>
          <w:lang w:val="es-MX" w:eastAsia="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MX" w:eastAsia="es-ES_tradnl"/>
        </w:rPr>
        <w:t xml:space="preserve"> CIDH, Informe No. 39/21, Petición 245-03. Solución Amistosa. Walter Mauro Yáñez. Argentina. 19 de marzo de 2021. </w:t>
      </w:r>
      <w:hyperlink r:id="rId2" w:history="1">
        <w:r w:rsidRPr="00254A60">
          <w:rPr>
            <w:rStyle w:val="Hyperlink"/>
            <w:rFonts w:ascii="Cambria" w:hAnsi="Cambria"/>
            <w:color w:val="000000" w:themeColor="text1"/>
            <w:sz w:val="16"/>
            <w:szCs w:val="16"/>
            <w:lang w:val="es-ES_tradnl"/>
          </w:rPr>
          <w:t>https://www.oas.org/es/cidh/decisiones/2021/ARSA245-03ES.pdf</w:t>
        </w:r>
      </w:hyperlink>
      <w:r w:rsidRPr="00254A60">
        <w:rPr>
          <w:rFonts w:ascii="Cambria" w:hAnsi="Cambria"/>
          <w:color w:val="000000" w:themeColor="text1"/>
          <w:sz w:val="16"/>
          <w:szCs w:val="16"/>
          <w:lang w:val="es-ES_tradnl"/>
        </w:rPr>
        <w:t xml:space="preserve"> </w:t>
      </w:r>
    </w:p>
  </w:footnote>
  <w:footnote w:id="3">
    <w:p w14:paraId="231D3D9A" w14:textId="77777777" w:rsidR="00006E60" w:rsidRPr="00254A60" w:rsidRDefault="00006E60" w:rsidP="00006E60">
      <w:pPr>
        <w:pStyle w:val="NormalWeb"/>
        <w:spacing w:before="0" w:beforeAutospacing="0" w:after="0" w:afterAutospacing="0"/>
        <w:ind w:firstLine="709"/>
        <w:contextualSpacing/>
        <w:jc w:val="both"/>
        <w:rPr>
          <w:rFonts w:ascii="Cambria" w:hAnsi="Cambria"/>
          <w:color w:val="000000" w:themeColor="text1"/>
          <w:sz w:val="16"/>
          <w:szCs w:val="16"/>
          <w:lang w:val="es-MX" w:eastAsia="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MX" w:eastAsia="es-ES_tradnl"/>
        </w:rPr>
        <w:t xml:space="preserve"> CIDH, Informe No. 39/21, Petición 245-03. Solución Amistosa. Walter Mauro Yáñez. Argentina. 19 de marzo de 2021. </w:t>
      </w:r>
      <w:hyperlink r:id="rId3" w:history="1">
        <w:r w:rsidRPr="00254A60">
          <w:rPr>
            <w:rStyle w:val="Hyperlink"/>
            <w:rFonts w:ascii="Cambria" w:hAnsi="Cambria"/>
            <w:color w:val="000000" w:themeColor="text1"/>
            <w:sz w:val="16"/>
            <w:szCs w:val="16"/>
            <w:lang w:val="es-MX"/>
          </w:rPr>
          <w:t>https://www.oas.org/es/cidh/decisiones/2021/ARSA245-03ES.pdf</w:t>
        </w:r>
      </w:hyperlink>
      <w:r w:rsidRPr="00254A60">
        <w:rPr>
          <w:rFonts w:ascii="Cambria" w:hAnsi="Cambria"/>
          <w:color w:val="000000" w:themeColor="text1"/>
          <w:sz w:val="16"/>
          <w:szCs w:val="16"/>
          <w:lang w:val="es-MX"/>
        </w:rPr>
        <w:t xml:space="preserve"> </w:t>
      </w:r>
    </w:p>
  </w:footnote>
  <w:footnote w:id="4">
    <w:p w14:paraId="33D0F751" w14:textId="77777777" w:rsidR="00006E60" w:rsidRPr="00254A60" w:rsidRDefault="00006E60" w:rsidP="00006E60">
      <w:pPr>
        <w:pStyle w:val="NormalWeb"/>
        <w:spacing w:before="0" w:beforeAutospacing="0" w:after="0" w:afterAutospacing="0"/>
        <w:ind w:firstLine="709"/>
        <w:contextualSpacing/>
        <w:jc w:val="both"/>
        <w:rPr>
          <w:rFonts w:ascii="Cambria" w:hAnsi="Cambria"/>
          <w:color w:val="000000" w:themeColor="text1"/>
          <w:sz w:val="16"/>
          <w:szCs w:val="16"/>
          <w:lang w:val="es-MX" w:eastAsia="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VE"/>
        </w:rPr>
        <w:t xml:space="preserve"> </w:t>
      </w:r>
      <w:r w:rsidRPr="00254A60">
        <w:rPr>
          <w:rFonts w:ascii="Cambria" w:hAnsi="Cambria"/>
          <w:color w:val="000000" w:themeColor="text1"/>
          <w:sz w:val="16"/>
          <w:szCs w:val="16"/>
          <w:lang w:val="es-MX" w:eastAsia="es-ES_tradnl"/>
        </w:rPr>
        <w:t xml:space="preserve">CIDH, Informe No. 39/21, Petición 245-03. Solución Amistosa. Walter Mauro Yáñez. Argentina. 19 de marzo de 2021. </w:t>
      </w:r>
      <w:hyperlink r:id="rId4" w:history="1">
        <w:r w:rsidRPr="00254A60">
          <w:rPr>
            <w:rStyle w:val="Hyperlink"/>
            <w:rFonts w:ascii="Cambria" w:hAnsi="Cambria"/>
            <w:color w:val="000000" w:themeColor="text1"/>
            <w:sz w:val="16"/>
            <w:szCs w:val="16"/>
            <w:lang w:val="es-ES_tradnl"/>
          </w:rPr>
          <w:t>https://www.oas.org/es/cidh/decisiones/2021/ARSA245-03ES.pdf</w:t>
        </w:r>
      </w:hyperlink>
      <w:r w:rsidRPr="00254A60">
        <w:rPr>
          <w:rFonts w:ascii="Cambria" w:hAnsi="Cambria"/>
          <w:color w:val="000000" w:themeColor="text1"/>
          <w:sz w:val="16"/>
          <w:szCs w:val="16"/>
          <w:lang w:val="es-ES_tradnl"/>
        </w:rPr>
        <w:t xml:space="preserve"> </w:t>
      </w:r>
    </w:p>
  </w:footnote>
  <w:footnote w:id="5">
    <w:p w14:paraId="72ACA501" w14:textId="77777777" w:rsidR="00006E60" w:rsidRPr="00254A60" w:rsidRDefault="00006E60" w:rsidP="00006E60">
      <w:pPr>
        <w:pStyle w:val="NormalWeb"/>
        <w:spacing w:before="0" w:beforeAutospacing="0" w:after="0" w:afterAutospacing="0"/>
        <w:ind w:firstLine="709"/>
        <w:contextualSpacing/>
        <w:jc w:val="both"/>
        <w:rPr>
          <w:rFonts w:ascii="Cambria" w:hAnsi="Cambria"/>
          <w:sz w:val="16"/>
          <w:szCs w:val="16"/>
          <w:lang w:val="es-MX" w:eastAsia="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MX"/>
        </w:rPr>
        <w:t xml:space="preserve"> </w:t>
      </w:r>
      <w:r w:rsidRPr="00254A60">
        <w:rPr>
          <w:rFonts w:ascii="Cambria" w:hAnsi="Cambria"/>
          <w:color w:val="000000" w:themeColor="text1"/>
          <w:sz w:val="16"/>
          <w:szCs w:val="16"/>
          <w:lang w:val="es-MX" w:eastAsia="es-ES_tradnl"/>
        </w:rPr>
        <w:t xml:space="preserve">CIDH, Informe No. 39/21, Petición 245-03. Solución Amistosa. Walter Mauro Yáñez. Argentina. 19 de marzo de 2021. </w:t>
      </w:r>
      <w:hyperlink r:id="rId5" w:history="1">
        <w:r w:rsidRPr="00254A60">
          <w:rPr>
            <w:rStyle w:val="Hyperlink"/>
            <w:rFonts w:ascii="Cambria" w:hAnsi="Cambria"/>
            <w:color w:val="000000" w:themeColor="text1"/>
            <w:sz w:val="16"/>
            <w:szCs w:val="16"/>
            <w:lang w:val="es-CO"/>
          </w:rPr>
          <w:t>https://www.oas.org/es/cidh/decisiones/2021/ARSA245-03ES.pdf</w:t>
        </w:r>
      </w:hyperlink>
      <w:r w:rsidRPr="00254A60">
        <w:rPr>
          <w:rFonts w:ascii="Cambria" w:hAnsi="Cambria"/>
          <w:color w:val="000000" w:themeColor="text1"/>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7FB1" w14:textId="74B89714" w:rsidR="00006E60" w:rsidRPr="0058688A" w:rsidRDefault="00006E60" w:rsidP="00006E60">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bookmarkStart w:id="12" w:name="_Hlk129091943"/>
    <w:bookmarkStart w:id="13" w:name="_Hlk129091944"/>
    <w:bookmarkStart w:id="14" w:name="_Hlk129091951"/>
    <w:bookmarkStart w:id="15" w:name="_Hlk129091952"/>
    <w:bookmarkStart w:id="16" w:name="_Hlk129091955"/>
    <w:bookmarkStart w:id="17" w:name="_Hlk129091956"/>
    <w:bookmarkStart w:id="18" w:name="_Hlk129091959"/>
    <w:bookmarkStart w:id="19" w:name="_Hlk129091960"/>
    <w:bookmarkStart w:id="20" w:name="_Hlk129091963"/>
    <w:bookmarkStart w:id="21" w:name="_Hlk129091964"/>
    <w:bookmarkStart w:id="22" w:name="_Hlk129091966"/>
    <w:bookmarkStart w:id="23" w:name="_Hlk129091967"/>
    <w:bookmarkStart w:id="24" w:name="_Hlk129091970"/>
    <w:bookmarkStart w:id="25" w:name="_Hlk129091971"/>
    <w:r>
      <w:rPr>
        <w:noProof/>
        <w:lang w:val="es-ES_tradnl"/>
      </w:rPr>
      <w:drawing>
        <wp:inline distT="0" distB="0" distL="0" distR="0" wp14:anchorId="05A6E354" wp14:editId="543447F0">
          <wp:extent cx="2286000" cy="123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76297773" w14:textId="77777777" w:rsidR="00006E60" w:rsidRDefault="00A15420" w:rsidP="00006E60">
    <w:pPr>
      <w:pStyle w:val="Header"/>
    </w:pPr>
    <w:r>
      <w:pict w14:anchorId="6E6BAFC1">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F80B533" w14:textId="77777777" w:rsidR="00006E60" w:rsidRPr="00006E60" w:rsidRDefault="00006E60" w:rsidP="00006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11A4" w14:textId="3683BF88" w:rsidR="00006E60" w:rsidRDefault="00006E60" w:rsidP="00006E60">
    <w:pPr>
      <w:pStyle w:val="Header"/>
    </w:pPr>
    <w:bookmarkStart w:id="26" w:name="_Hlk129090378"/>
    <w:bookmarkStart w:id="27" w:name="_Hlk129090379"/>
    <w:bookmarkStart w:id="28" w:name="_Hlk129090860"/>
    <w:bookmarkStart w:id="29" w:name="_Hlk129090861"/>
    <w:bookmarkStart w:id="30" w:name="_Hlk129091020"/>
    <w:bookmarkStart w:id="31" w:name="_Hlk129091021"/>
    <w:bookmarkStart w:id="32" w:name="_Hlk129091166"/>
    <w:bookmarkStart w:id="33" w:name="_Hlk129091167"/>
    <w:r w:rsidRPr="008A5CB5">
      <w:rPr>
        <w:noProof/>
      </w:rPr>
      <w:drawing>
        <wp:inline distT="0" distB="0" distL="0" distR="0" wp14:anchorId="260BD9FE" wp14:editId="0C202C9A">
          <wp:extent cx="2352675" cy="457200"/>
          <wp:effectExtent l="0" t="0" r="9525" b="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5456EE96" wp14:editId="459D16E2">
          <wp:extent cx="19431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51F5124" w14:textId="77777777" w:rsidR="00006E60" w:rsidRDefault="00A15420" w:rsidP="00006E60">
    <w:pPr>
      <w:pStyle w:val="Header"/>
    </w:pPr>
    <w:r>
      <w:pict w14:anchorId="0F5E9DC4">
        <v:rect id="_x0000_i1026" style="width:0;height:1.5pt" o:hralign="center" o:hrstd="t" o:hr="t" fillcolor="#a0a0a0" stroked="f"/>
      </w:pict>
    </w:r>
    <w:bookmarkEnd w:id="26"/>
    <w:bookmarkEnd w:id="27"/>
    <w:bookmarkEnd w:id="28"/>
    <w:bookmarkEnd w:id="29"/>
    <w:bookmarkEnd w:id="30"/>
    <w:bookmarkEnd w:id="31"/>
    <w:bookmarkEnd w:id="32"/>
    <w:bookmarkEnd w:id="33"/>
  </w:p>
  <w:p w14:paraId="284EB56F" w14:textId="77777777" w:rsidR="00006E60" w:rsidRDefault="00006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8001903">
    <w:abstractNumId w:val="2"/>
  </w:num>
  <w:num w:numId="2" w16cid:durableId="378012321">
    <w:abstractNumId w:val="1"/>
  </w:num>
  <w:num w:numId="3" w16cid:durableId="429475631">
    <w:abstractNumId w:val="3"/>
  </w:num>
  <w:num w:numId="4" w16cid:durableId="44585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60"/>
    <w:rsid w:val="00006E60"/>
    <w:rsid w:val="00730587"/>
    <w:rsid w:val="00A1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74F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E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6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E60"/>
    <w:rPr>
      <w:rFonts w:ascii="Calibri" w:eastAsia="Calibri" w:hAnsi="Calibri" w:cs="Times New Roman"/>
    </w:rPr>
  </w:style>
  <w:style w:type="paragraph" w:styleId="NormalWeb">
    <w:name w:val="Normal (Web)"/>
    <w:basedOn w:val="Normal"/>
    <w:uiPriority w:val="99"/>
    <w:unhideWhenUsed/>
    <w:rsid w:val="00006E60"/>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006E60"/>
    <w:rPr>
      <w:vertAlign w:val="superscript"/>
    </w:rPr>
  </w:style>
  <w:style w:type="paragraph" w:customStyle="1" w:styleId="Appelnotedebasde">
    <w:name w:val="Appel note de bas de..."/>
    <w:basedOn w:val="Normal"/>
    <w:link w:val="FootnoteReference"/>
    <w:uiPriority w:val="99"/>
    <w:rsid w:val="00006E60"/>
    <w:pPr>
      <w:spacing w:after="160" w:line="240" w:lineRule="exact"/>
    </w:pPr>
    <w:rPr>
      <w:rFonts w:asciiTheme="minorHAnsi" w:eastAsiaTheme="minorHAnsi" w:hAnsiTheme="minorHAnsi" w:cstheme="minorBidi"/>
      <w:vertAlign w:val="superscript"/>
    </w:rPr>
  </w:style>
  <w:style w:type="character" w:styleId="Hyperlink">
    <w:name w:val="Hyperlink"/>
    <w:uiPriority w:val="99"/>
    <w:unhideWhenUsed/>
    <w:rsid w:val="00006E60"/>
    <w:rPr>
      <w:color w:val="0000FF"/>
      <w:u w:val="single"/>
    </w:rPr>
  </w:style>
  <w:style w:type="paragraph" w:styleId="ListParagraph">
    <w:name w:val="List Paragraph"/>
    <w:basedOn w:val="Normal"/>
    <w:link w:val="ListParagraphChar"/>
    <w:uiPriority w:val="34"/>
    <w:qFormat/>
    <w:rsid w:val="00006E60"/>
    <w:pPr>
      <w:ind w:left="720"/>
      <w:contextualSpacing/>
    </w:pPr>
  </w:style>
  <w:style w:type="character" w:customStyle="1" w:styleId="ListParagraphChar">
    <w:name w:val="List Paragraph Char"/>
    <w:link w:val="ListParagraph"/>
    <w:uiPriority w:val="34"/>
    <w:rsid w:val="00006E60"/>
    <w:rPr>
      <w:rFonts w:ascii="Calibri" w:eastAsia="Calibri" w:hAnsi="Calibri" w:cs="Times New Roman"/>
    </w:rPr>
  </w:style>
  <w:style w:type="paragraph" w:styleId="Header">
    <w:name w:val="header"/>
    <w:basedOn w:val="Normal"/>
    <w:link w:val="HeaderChar"/>
    <w:uiPriority w:val="99"/>
    <w:unhideWhenUsed/>
    <w:rsid w:val="00006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E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2021/ARSA245-03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as.org/es/cidh/decisiones/2021/ARSA245-03E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SA245-03ES.pdf" TargetMode="External"/><Relationship Id="rId2" Type="http://schemas.openxmlformats.org/officeDocument/2006/relationships/hyperlink" Target="https://www.oas.org/es/cidh/decisiones/2021/ARSA245-03ES.pdf" TargetMode="External"/><Relationship Id="rId1" Type="http://schemas.openxmlformats.org/officeDocument/2006/relationships/hyperlink" Target="https://www.oas.org/es/cidh/decisiones/2021/ARSA245-03ES.pdf" TargetMode="External"/><Relationship Id="rId5" Type="http://schemas.openxmlformats.org/officeDocument/2006/relationships/hyperlink" Target="https://www.oas.org/es/cidh/decisiones/2021/ARSA245-03ES.pdf" TargetMode="External"/><Relationship Id="rId4" Type="http://schemas.openxmlformats.org/officeDocument/2006/relationships/hyperlink" Target="https://www.oas.org/es/cidh/decisiones/2021/ARSA245-03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2023-03-07T20:31:00Z</dcterms:created>
  <dcterms:modified xsi:type="dcterms:W3CDTF">2023-03-07T20:31:00Z</dcterms:modified>
</cp:coreProperties>
</file>