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A583" w14:textId="77777777" w:rsidR="004B6622" w:rsidRPr="0009182C" w:rsidRDefault="004B6622" w:rsidP="008E0DEF">
      <w:pPr>
        <w:spacing w:after="0" w:line="240" w:lineRule="auto"/>
        <w:jc w:val="center"/>
        <w:rPr>
          <w:rFonts w:ascii="Cambria" w:hAnsi="Cambria"/>
          <w:b/>
          <w:color w:val="080808"/>
          <w:lang w:val="es-CO"/>
        </w:rPr>
      </w:pPr>
      <w:r w:rsidRPr="0009182C">
        <w:rPr>
          <w:rFonts w:ascii="Cambria" w:hAnsi="Cambria"/>
          <w:b/>
          <w:color w:val="080808"/>
          <w:lang w:val="es-CO"/>
        </w:rPr>
        <w:t>FICHA TÉCNICA INFORMATIVA</w:t>
      </w:r>
    </w:p>
    <w:p w14:paraId="0FF84B3D" w14:textId="351B05D9" w:rsidR="004B6622" w:rsidRPr="0009182C" w:rsidRDefault="004B6622" w:rsidP="008E0DEF">
      <w:pPr>
        <w:spacing w:after="0" w:line="240" w:lineRule="auto"/>
        <w:jc w:val="center"/>
        <w:rPr>
          <w:rFonts w:ascii="Cambria" w:eastAsia="Batang" w:hAnsi="Cambria"/>
          <w:b/>
          <w:color w:val="000000" w:themeColor="text1"/>
          <w:lang w:val="es-CO"/>
        </w:rPr>
      </w:pPr>
      <w:r w:rsidRPr="0009182C">
        <w:rPr>
          <w:rFonts w:ascii="Cambria" w:eastAsia="Batang" w:hAnsi="Cambria" w:cs="Calibri Light"/>
          <w:b/>
          <w:color w:val="080808"/>
          <w:lang w:val="es-CO"/>
        </w:rPr>
        <w:t xml:space="preserve">CASO </w:t>
      </w:r>
      <w:r w:rsidRPr="0009182C">
        <w:rPr>
          <w:rFonts w:ascii="Cambria" w:eastAsia="Batang" w:hAnsi="Cambria"/>
          <w:b/>
          <w:color w:val="080808"/>
          <w:lang w:val="es-CO"/>
        </w:rPr>
        <w:t>12.961 E ECAR FERN</w:t>
      </w:r>
      <w:r w:rsidRPr="0009182C">
        <w:rPr>
          <w:rFonts w:ascii="Cambria" w:eastAsia="Batang" w:hAnsi="Cambria"/>
          <w:b/>
          <w:color w:val="000000" w:themeColor="text1"/>
          <w:lang w:val="es-CO"/>
        </w:rPr>
        <w:t>ANDO ZAVALA VALLADARES Y OTROS</w:t>
      </w:r>
    </w:p>
    <w:p w14:paraId="436B22ED" w14:textId="0BC96101" w:rsidR="004B6622" w:rsidRPr="0009182C" w:rsidRDefault="004B6622" w:rsidP="008E0DE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INFORME DE SOLUCIÓN AMISTOSA No.</w:t>
      </w:r>
      <w:r w:rsidR="00863A25" w:rsidRPr="0009182C">
        <w:rPr>
          <w:rFonts w:ascii="Cambria" w:eastAsia="Batang" w:hAnsi="Cambria"/>
          <w:b/>
          <w:color w:val="000000" w:themeColor="text1"/>
          <w:lang w:val="es-CO"/>
        </w:rPr>
        <w:t xml:space="preserve"> </w:t>
      </w:r>
      <w:hyperlink r:id="rId11" w:history="1">
        <w:r w:rsidRPr="0009182C">
          <w:rPr>
            <w:rStyle w:val="Hyperlink"/>
            <w:rFonts w:ascii="Cambria" w:eastAsia="Batang" w:hAnsi="Cambria"/>
            <w:b/>
            <w:bCs/>
            <w:color w:val="000000" w:themeColor="text1"/>
            <w:u w:val="none"/>
            <w:lang w:val="es-CO"/>
          </w:rPr>
          <w:t>42/21</w:t>
        </w:r>
      </w:hyperlink>
    </w:p>
    <w:p w14:paraId="0027A7AE" w14:textId="77777777" w:rsidR="004B6622" w:rsidRPr="0009182C" w:rsidRDefault="004B6622" w:rsidP="008E0DE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0C587FED" w14:textId="77777777" w:rsidR="004B6622" w:rsidRPr="0009182C" w:rsidRDefault="004B6622" w:rsidP="008E0DEF">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(HONDURAS)</w:t>
      </w:r>
    </w:p>
    <w:p w14:paraId="3A30660A" w14:textId="77777777" w:rsidR="004B6622" w:rsidRPr="0009182C" w:rsidRDefault="004B6622" w:rsidP="004B6622">
      <w:pPr>
        <w:spacing w:after="0" w:line="240" w:lineRule="auto"/>
        <w:jc w:val="center"/>
        <w:rPr>
          <w:rFonts w:ascii="Cambria" w:eastAsia="Batang" w:hAnsi="Cambria"/>
          <w:b/>
          <w:color w:val="000000" w:themeColor="text1"/>
          <w:lang w:val="es-CO"/>
        </w:rPr>
      </w:pPr>
    </w:p>
    <w:p w14:paraId="6DC765A9" w14:textId="77777777" w:rsidR="004B6622" w:rsidRPr="0009182C" w:rsidRDefault="004B6622" w:rsidP="004B6622">
      <w:pPr>
        <w:numPr>
          <w:ilvl w:val="0"/>
          <w:numId w:val="6"/>
        </w:numPr>
        <w:spacing w:after="0" w:line="240" w:lineRule="auto"/>
        <w:ind w:left="0" w:firstLine="720"/>
        <w:rPr>
          <w:rFonts w:ascii="Cambria" w:eastAsia="Batang" w:hAnsi="Cambria"/>
          <w:b/>
          <w:color w:val="000000" w:themeColor="text1"/>
          <w:lang w:val="es-CO"/>
        </w:rPr>
      </w:pPr>
      <w:r w:rsidRPr="0009182C">
        <w:rPr>
          <w:rFonts w:ascii="Cambria" w:eastAsia="Batang" w:hAnsi="Cambria" w:cs="Calibri Light"/>
          <w:b/>
          <w:color w:val="000000" w:themeColor="text1"/>
          <w:lang w:val="es-CO"/>
        </w:rPr>
        <w:t xml:space="preserve">RESUMEN DEL CASO </w:t>
      </w:r>
    </w:p>
    <w:p w14:paraId="159405B9" w14:textId="77777777" w:rsidR="004B6622" w:rsidRPr="0009182C" w:rsidRDefault="004B6622" w:rsidP="004B6622">
      <w:pPr>
        <w:spacing w:after="0" w:line="240" w:lineRule="auto"/>
        <w:jc w:val="both"/>
        <w:rPr>
          <w:rFonts w:ascii="Cambria" w:eastAsia="Batang" w:hAnsi="Cambria" w:cs="Calibri Light"/>
          <w:b/>
          <w:color w:val="000000" w:themeColor="text1"/>
          <w:lang w:val="es-CO"/>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39"/>
      </w:tblGrid>
      <w:tr w:rsidR="008E0DEF" w:rsidRPr="00BF7310" w14:paraId="4F6754B5" w14:textId="77777777" w:rsidTr="00A366BE">
        <w:trPr>
          <w:trHeight w:val="4596"/>
          <w:jc w:val="center"/>
        </w:trPr>
        <w:tc>
          <w:tcPr>
            <w:tcW w:w="9339" w:type="dxa"/>
            <w:shd w:val="clear" w:color="auto" w:fill="F2F2F2"/>
          </w:tcPr>
          <w:p w14:paraId="6AAC5176" w14:textId="77777777" w:rsidR="004B6622" w:rsidRPr="0009182C" w:rsidRDefault="004B6622" w:rsidP="00EC45ED">
            <w:pPr>
              <w:spacing w:after="0" w:line="240" w:lineRule="auto"/>
              <w:jc w:val="both"/>
              <w:rPr>
                <w:rFonts w:ascii="Cambria" w:eastAsia="Batang" w:hAnsi="Cambria"/>
                <w:b/>
                <w:bCs/>
                <w:color w:val="000000" w:themeColor="text1"/>
                <w:lang w:val="es-CO"/>
              </w:rPr>
            </w:pPr>
            <w:r w:rsidRPr="0009182C">
              <w:rPr>
                <w:rFonts w:ascii="Cambria" w:eastAsia="Batang" w:hAnsi="Cambria"/>
                <w:b/>
                <w:color w:val="000000" w:themeColor="text1"/>
                <w:lang w:val="es-CO"/>
              </w:rPr>
              <w:t>Víctima (s):</w:t>
            </w:r>
            <w:r w:rsidRPr="0009182C">
              <w:rPr>
                <w:rFonts w:ascii="Cambria" w:eastAsia="Batang" w:hAnsi="Cambria"/>
                <w:color w:val="000000" w:themeColor="text1"/>
                <w:lang w:val="es-CO"/>
              </w:rPr>
              <w:t xml:space="preserve"> Ecar Fernando Zavala Valladares y Otros</w:t>
            </w:r>
          </w:p>
          <w:p w14:paraId="6FBE121A" w14:textId="77777777" w:rsidR="004B6622" w:rsidRPr="0009182C" w:rsidRDefault="004B6622" w:rsidP="00EC45ED">
            <w:pPr>
              <w:spacing w:after="0" w:line="240" w:lineRule="auto"/>
              <w:jc w:val="both"/>
              <w:rPr>
                <w:rFonts w:ascii="Cambria" w:eastAsia="Batang" w:hAnsi="Cambria"/>
                <w:b/>
                <w:bCs/>
                <w:color w:val="000000" w:themeColor="text1"/>
                <w:lang w:val="es-CO"/>
              </w:rPr>
            </w:pPr>
            <w:r w:rsidRPr="0009182C">
              <w:rPr>
                <w:rFonts w:ascii="Cambria" w:eastAsia="Batang" w:hAnsi="Cambria"/>
                <w:b/>
                <w:color w:val="000000" w:themeColor="text1"/>
                <w:lang w:val="es-CO"/>
              </w:rPr>
              <w:t xml:space="preserve">Peticionario (s): </w:t>
            </w:r>
            <w:r w:rsidRPr="0009182C">
              <w:rPr>
                <w:rFonts w:ascii="Cambria" w:eastAsia="Batang" w:hAnsi="Cambria"/>
                <w:color w:val="000000" w:themeColor="text1"/>
                <w:lang w:val="es-CO"/>
              </w:rPr>
              <w:t>Hugo Ramón Maldonado, Leonel Casco Gutiérrez, Fredy Omar Madrid y Gladys Ondina Matamoros</w:t>
            </w:r>
          </w:p>
          <w:p w14:paraId="69C96169"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Estado: </w:t>
            </w:r>
            <w:r w:rsidRPr="0009182C">
              <w:rPr>
                <w:rFonts w:ascii="Cambria" w:eastAsia="Batang" w:hAnsi="Cambria"/>
                <w:bCs/>
                <w:color w:val="000000" w:themeColor="text1"/>
                <w:lang w:val="es-CO"/>
              </w:rPr>
              <w:t>Honduras</w:t>
            </w:r>
          </w:p>
          <w:p w14:paraId="6DAADD9F"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Fecha de inicio de las negociaciones: </w:t>
            </w:r>
            <w:r w:rsidRPr="0009182C">
              <w:rPr>
                <w:rFonts w:ascii="Cambria" w:eastAsia="Batang" w:hAnsi="Cambria"/>
                <w:bCs/>
                <w:color w:val="000000" w:themeColor="text1"/>
                <w:lang w:val="es-CO"/>
              </w:rPr>
              <w:t>Noviembre de 2014</w:t>
            </w:r>
          </w:p>
          <w:p w14:paraId="4F050CDB"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Fecha de Firma de ASA: </w:t>
            </w:r>
            <w:r w:rsidRPr="0009182C">
              <w:rPr>
                <w:rFonts w:ascii="Cambria" w:eastAsia="Batang" w:hAnsi="Cambria"/>
                <w:bCs/>
                <w:color w:val="000000" w:themeColor="text1"/>
                <w:lang w:val="es-CO"/>
              </w:rPr>
              <w:t>12 de junio de 2019</w:t>
            </w:r>
          </w:p>
          <w:p w14:paraId="0FCAFD36"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Informe de Admisibilidad </w:t>
            </w:r>
            <w:r w:rsidRPr="0009182C">
              <w:rPr>
                <w:rFonts w:ascii="Cambria" w:eastAsia="Batang" w:hAnsi="Cambria"/>
                <w:b/>
                <w:color w:val="000000" w:themeColor="text1"/>
                <w:lang w:val="es-CO"/>
              </w:rPr>
              <w:t>Nº</w:t>
            </w:r>
            <w:r w:rsidRPr="0009182C">
              <w:rPr>
                <w:rFonts w:ascii="Cambria" w:eastAsia="Batang" w:hAnsi="Cambria"/>
                <w:b/>
                <w:bCs/>
                <w:color w:val="000000" w:themeColor="text1"/>
                <w:lang w:val="es-CO"/>
              </w:rPr>
              <w:t>:</w:t>
            </w:r>
            <w:r w:rsidRPr="0009182C">
              <w:rPr>
                <w:rFonts w:ascii="Cambria" w:eastAsia="Batang" w:hAnsi="Cambria"/>
                <w:b/>
                <w:color w:val="000000" w:themeColor="text1"/>
                <w:lang w:val="es-CO"/>
              </w:rPr>
              <w:t xml:space="preserve"> </w:t>
            </w:r>
            <w:hyperlink r:id="rId12" w:history="1">
              <w:r w:rsidRPr="0009182C">
                <w:rPr>
                  <w:rStyle w:val="Hyperlink"/>
                  <w:rFonts w:ascii="Cambria" w:eastAsia="Batang" w:hAnsi="Cambria"/>
                  <w:b/>
                  <w:bCs/>
                  <w:color w:val="000000" w:themeColor="text1"/>
                  <w:lang w:val="es-CO"/>
                </w:rPr>
                <w:t>57/14</w:t>
              </w:r>
            </w:hyperlink>
            <w:r w:rsidRPr="0009182C">
              <w:rPr>
                <w:rFonts w:ascii="Cambria" w:eastAsia="Batang" w:hAnsi="Cambria"/>
                <w:bCs/>
                <w:color w:val="000000" w:themeColor="text1"/>
                <w:lang w:val="es-CO"/>
              </w:rPr>
              <w:t>, aprobado el 21 de junio de 2014</w:t>
            </w:r>
            <w:r w:rsidRPr="0009182C">
              <w:rPr>
                <w:rFonts w:ascii="Cambria" w:eastAsia="Batang" w:hAnsi="Cambria"/>
                <w:b/>
                <w:color w:val="000000" w:themeColor="text1"/>
                <w:lang w:val="es-CO"/>
              </w:rPr>
              <w:t xml:space="preserve"> </w:t>
            </w:r>
          </w:p>
          <w:p w14:paraId="7960B750" w14:textId="77777777" w:rsidR="004B6622" w:rsidRPr="0009182C" w:rsidRDefault="004B6622" w:rsidP="00EC45ED">
            <w:pPr>
              <w:spacing w:after="0" w:line="240" w:lineRule="auto"/>
              <w:jc w:val="both"/>
              <w:rPr>
                <w:rFonts w:ascii="Cambria" w:eastAsia="Batang" w:hAnsi="Cambria"/>
                <w:bCs/>
                <w:color w:val="000000" w:themeColor="text1"/>
                <w:lang w:val="es-CO"/>
              </w:rPr>
            </w:pPr>
            <w:r w:rsidRPr="0009182C">
              <w:rPr>
                <w:rFonts w:ascii="Cambria" w:eastAsia="Batang" w:hAnsi="Cambria"/>
                <w:b/>
                <w:color w:val="000000" w:themeColor="text1"/>
                <w:lang w:val="es-CO"/>
              </w:rPr>
              <w:t xml:space="preserve">Informe de Acuerdo de Solución Amistosa Nº: </w:t>
            </w:r>
            <w:hyperlink r:id="rId13" w:history="1">
              <w:r w:rsidRPr="0009182C">
                <w:rPr>
                  <w:rStyle w:val="Hyperlink"/>
                  <w:rFonts w:ascii="Cambria" w:eastAsia="Batang" w:hAnsi="Cambria"/>
                  <w:b/>
                  <w:bCs/>
                  <w:color w:val="000000" w:themeColor="text1"/>
                  <w:lang w:val="es-CO"/>
                </w:rPr>
                <w:t>42/21</w:t>
              </w:r>
            </w:hyperlink>
            <w:r w:rsidRPr="0009182C">
              <w:rPr>
                <w:rFonts w:ascii="Cambria" w:eastAsia="Batang" w:hAnsi="Cambria"/>
                <w:bCs/>
                <w:color w:val="000000" w:themeColor="text1"/>
                <w:lang w:val="es-CO"/>
              </w:rPr>
              <w:t>, publicado el 20 de marzo de 2021</w:t>
            </w:r>
          </w:p>
          <w:p w14:paraId="0E6568D5"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Duración estimada de la fase de negociación: </w:t>
            </w:r>
            <w:r w:rsidRPr="0009182C">
              <w:rPr>
                <w:rFonts w:ascii="Cambria" w:eastAsia="Batang" w:hAnsi="Cambria"/>
                <w:bCs/>
                <w:color w:val="000000" w:themeColor="text1"/>
                <w:lang w:val="es-CO"/>
              </w:rPr>
              <w:t>6 años y 4 meses</w:t>
            </w:r>
          </w:p>
          <w:p w14:paraId="63737517"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Relatoría vinculada: </w:t>
            </w:r>
            <w:r w:rsidRPr="0009182C">
              <w:rPr>
                <w:rFonts w:ascii="Cambria" w:eastAsia="Batang" w:hAnsi="Cambria"/>
                <w:bCs/>
                <w:color w:val="000000" w:themeColor="text1"/>
                <w:lang w:val="es-CO"/>
              </w:rPr>
              <w:t>N/A</w:t>
            </w:r>
          </w:p>
          <w:p w14:paraId="5F5FD8A8" w14:textId="77777777" w:rsidR="004B6622" w:rsidRPr="0009182C" w:rsidRDefault="004B6622" w:rsidP="00EC45ED">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Temas</w:t>
            </w:r>
            <w:r w:rsidRPr="0009182C">
              <w:rPr>
                <w:rFonts w:ascii="Cambria" w:eastAsia="Batang" w:hAnsi="Cambria"/>
                <w:bCs/>
                <w:color w:val="000000" w:themeColor="text1"/>
                <w:lang w:val="es-CO"/>
              </w:rPr>
              <w:t>: Garantías judiciales / Protección judicial</w:t>
            </w:r>
          </w:p>
          <w:p w14:paraId="7B07950C" w14:textId="77777777" w:rsidR="004B6622" w:rsidRPr="0009182C" w:rsidRDefault="004B6622" w:rsidP="00EC45ED">
            <w:pPr>
              <w:tabs>
                <w:tab w:val="left" w:pos="9270"/>
              </w:tabs>
              <w:spacing w:after="0" w:line="240" w:lineRule="auto"/>
              <w:jc w:val="both"/>
              <w:rPr>
                <w:rFonts w:ascii="Cambria" w:eastAsia="Batang" w:hAnsi="Cambria"/>
                <w:color w:val="000000" w:themeColor="text1"/>
                <w:lang w:val="es-CO"/>
              </w:rPr>
            </w:pPr>
          </w:p>
          <w:p w14:paraId="6CEDDC67" w14:textId="77777777" w:rsidR="004B6622" w:rsidRPr="0009182C" w:rsidRDefault="004B6622" w:rsidP="00EC45ED">
            <w:pPr>
              <w:autoSpaceDE w:val="0"/>
              <w:autoSpaceDN w:val="0"/>
              <w:adjustRightInd w:val="0"/>
              <w:spacing w:after="0" w:line="240" w:lineRule="auto"/>
              <w:jc w:val="both"/>
              <w:rPr>
                <w:rFonts w:ascii="Cambria" w:hAnsi="Cambria" w:cs="Cambria"/>
                <w:color w:val="000000" w:themeColor="text1"/>
                <w:lang w:val="es-CO" w:eastAsia="pt-BR"/>
              </w:rPr>
            </w:pPr>
            <w:r w:rsidRPr="0009182C">
              <w:rPr>
                <w:rFonts w:ascii="Cambria" w:eastAsia="Batang" w:hAnsi="Cambria" w:cs="Cambria"/>
                <w:b/>
                <w:color w:val="000000" w:themeColor="text1"/>
                <w:lang w:val="es-CO" w:eastAsia="pt-BR"/>
              </w:rPr>
              <w:t>Hechos:</w:t>
            </w:r>
            <w:r w:rsidRPr="0009182C">
              <w:rPr>
                <w:rFonts w:ascii="Cambria" w:eastAsia="Batang" w:hAnsi="Cambria" w:cs="Cambria"/>
                <w:color w:val="000000" w:themeColor="text1"/>
                <w:lang w:val="es-CO" w:eastAsia="pt-BR"/>
              </w:rPr>
              <w:t xml:space="preserve"> </w:t>
            </w:r>
            <w:r w:rsidRPr="0009182C">
              <w:rPr>
                <w:rFonts w:ascii="Cambria" w:eastAsia="Batang" w:hAnsi="Cambria"/>
                <w:bCs/>
                <w:color w:val="000000" w:themeColor="text1"/>
                <w:lang w:val="es-CO"/>
              </w:rPr>
              <w:t>Los peticionarios alegaron la presunta violación por parte del Estado del derecho al debido proceso, contenido en los artículos 8 y 25 de la Convención Americana, ya que las presuntas víctimas habrían sido despedidas de forma injustificada con base en el decreto 58-2001. De acuerdo con los peticionarios, este decreto habría autorizado al Congreso de la República a “</w:t>
            </w:r>
            <w:r w:rsidRPr="0009182C">
              <w:rPr>
                <w:rFonts w:ascii="Cambria" w:eastAsia="Batang" w:hAnsi="Cambria"/>
                <w:bCs/>
                <w:i/>
                <w:color w:val="000000" w:themeColor="text1"/>
                <w:lang w:val="es-CO"/>
              </w:rPr>
              <w:t>que sin consideraciones de ninguna naturaleza pudiera despedir al personal de la policía</w:t>
            </w:r>
            <w:r w:rsidRPr="0009182C">
              <w:rPr>
                <w:rFonts w:ascii="Cambria" w:eastAsia="Batang" w:hAnsi="Cambria"/>
                <w:bCs/>
                <w:color w:val="000000" w:themeColor="text1"/>
                <w:lang w:val="es-CO"/>
              </w:rPr>
              <w:t>”. Al respecto, los peticionarios manifestaron que a pesar de que la depuración permanente de la Policía Nacional era necesaria para su mejor funcionamiento, debió seguirse el procedimiento legal establecido para la misma. En este sentido, indicaron que el despido debió estar precedido de un proceso administrativo regular, que revistiera todas las garantías con las que cuenta cualquier proceso penal.</w:t>
            </w:r>
          </w:p>
          <w:p w14:paraId="7C2D3CBF" w14:textId="77777777" w:rsidR="004B6622" w:rsidRPr="0009182C" w:rsidRDefault="004B6622" w:rsidP="00EC45ED">
            <w:pPr>
              <w:autoSpaceDE w:val="0"/>
              <w:autoSpaceDN w:val="0"/>
              <w:adjustRightInd w:val="0"/>
              <w:spacing w:after="0" w:line="240" w:lineRule="auto"/>
              <w:jc w:val="both"/>
              <w:rPr>
                <w:rFonts w:ascii="Cambria" w:hAnsi="Cambria" w:cs="Cambria"/>
                <w:color w:val="000000" w:themeColor="text1"/>
                <w:lang w:val="es-CO" w:eastAsia="pt-BR"/>
              </w:rPr>
            </w:pPr>
          </w:p>
          <w:p w14:paraId="6E8069CA" w14:textId="77777777" w:rsidR="004B6622" w:rsidRPr="0009182C" w:rsidRDefault="004B6622" w:rsidP="00EC45ED">
            <w:pPr>
              <w:autoSpaceDE w:val="0"/>
              <w:autoSpaceDN w:val="0"/>
              <w:adjustRightInd w:val="0"/>
              <w:spacing w:after="0" w:line="240" w:lineRule="auto"/>
              <w:jc w:val="both"/>
              <w:rPr>
                <w:rFonts w:ascii="Cambria" w:eastAsia="Batang" w:hAnsi="Cambria" w:cs="Cambria"/>
                <w:color w:val="000000" w:themeColor="text1"/>
                <w:lang w:val="es-CO" w:eastAsia="pt-BR"/>
              </w:rPr>
            </w:pPr>
            <w:r w:rsidRPr="0009182C">
              <w:rPr>
                <w:rFonts w:ascii="Cambria" w:eastAsia="Batang" w:hAnsi="Cambria" w:cs="Cambria"/>
                <w:b/>
                <w:color w:val="000000" w:themeColor="text1"/>
                <w:lang w:val="es-CO" w:eastAsia="pt-BR"/>
              </w:rPr>
              <w:t>Derechos declarados admisibles:</w:t>
            </w:r>
            <w:r w:rsidRPr="0009182C">
              <w:rPr>
                <w:rFonts w:ascii="Cambria" w:eastAsia="Batang" w:hAnsi="Cambria" w:cs="Cambria"/>
                <w:color w:val="000000" w:themeColor="text1"/>
                <w:lang w:val="es-CO" w:eastAsia="pt-BR"/>
              </w:rPr>
              <w:t xml:space="preserve"> </w:t>
            </w:r>
            <w:r w:rsidRPr="0009182C">
              <w:rPr>
                <w:rFonts w:ascii="Cambria" w:eastAsia="Batang" w:hAnsi="Cambria"/>
                <w:bCs/>
                <w:color w:val="000000" w:themeColor="text1"/>
                <w:lang w:val="es-CO"/>
              </w:rPr>
              <w:t>El 21 de julio de 2014, la CIDH emitió el Informe de Admisibilidad No. 57/14 sobre el caso 12.961 Juan González y otros, relacionado con distintas peticiones respecto a los hechos anteriormente descritos y que fueron acumuladas en dicho asunto. En su informe, la CIDH concluyó que era competente para examinar la presunta violación de los artículos 8 (garantías judiciales) y 25 (protección judicial) de la Convención Americana sobre Derechos Humanos en conexión con los artículos 1.1 y 2 de dicho instrumento.</w:t>
            </w:r>
          </w:p>
        </w:tc>
      </w:tr>
    </w:tbl>
    <w:p w14:paraId="4A297400" w14:textId="77777777" w:rsidR="004B6622" w:rsidRPr="0009182C" w:rsidRDefault="004B6622" w:rsidP="004B6622">
      <w:pPr>
        <w:spacing w:after="0" w:line="240" w:lineRule="auto"/>
        <w:contextualSpacing/>
        <w:jc w:val="both"/>
        <w:rPr>
          <w:rFonts w:ascii="Cambria" w:eastAsia="Batang" w:hAnsi="Cambria" w:cs="Calibri Light"/>
          <w:b/>
          <w:color w:val="080808"/>
          <w:lang w:val="es-CO"/>
        </w:rPr>
      </w:pPr>
    </w:p>
    <w:p w14:paraId="33541272" w14:textId="77777777" w:rsidR="004B6622" w:rsidRPr="0009182C" w:rsidRDefault="004B6622" w:rsidP="004B6622">
      <w:pPr>
        <w:numPr>
          <w:ilvl w:val="0"/>
          <w:numId w:val="6"/>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3B546F37" w14:textId="77777777" w:rsidR="004B6622" w:rsidRPr="0009182C" w:rsidRDefault="004B6622" w:rsidP="004B6622">
      <w:pPr>
        <w:spacing w:after="0" w:line="240" w:lineRule="auto"/>
        <w:ind w:firstLine="720"/>
        <w:jc w:val="both"/>
        <w:rPr>
          <w:rFonts w:ascii="Cambria" w:hAnsi="Cambria"/>
          <w:color w:val="080808"/>
          <w:lang w:val="es-CO"/>
        </w:rPr>
      </w:pPr>
    </w:p>
    <w:p w14:paraId="313B559E" w14:textId="561CDE98" w:rsidR="004B6622" w:rsidRDefault="004B6622" w:rsidP="004B6622">
      <w:pPr>
        <w:numPr>
          <w:ilvl w:val="0"/>
          <w:numId w:val="5"/>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t>La CIDH publicó el informe de homologación en fecha 20 de marzo de 2021 dando cuenta del cumplimiento total del acuerdo de solución amistosa y consecuentemente dispuso el cese de su supervisión y cierre del caso.</w:t>
      </w:r>
    </w:p>
    <w:p w14:paraId="2C946255" w14:textId="77777777" w:rsidR="0007138E" w:rsidRPr="0009182C" w:rsidRDefault="0007138E" w:rsidP="0007138E">
      <w:pPr>
        <w:spacing w:after="0" w:line="240" w:lineRule="auto"/>
        <w:ind w:left="720"/>
        <w:jc w:val="both"/>
        <w:rPr>
          <w:rFonts w:ascii="Cambria" w:eastAsia="Batang" w:hAnsi="Cambria" w:cs="Calibri Light"/>
          <w:color w:val="080808"/>
          <w:lang w:val="es-CO"/>
        </w:rPr>
      </w:pPr>
    </w:p>
    <w:p w14:paraId="402F66B3" w14:textId="77777777" w:rsidR="004B6622" w:rsidRPr="0009182C" w:rsidRDefault="004B6622" w:rsidP="004B6622">
      <w:pPr>
        <w:numPr>
          <w:ilvl w:val="0"/>
          <w:numId w:val="6"/>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7583B851" w14:textId="77777777" w:rsidR="004B6622" w:rsidRPr="0009182C" w:rsidRDefault="004B6622" w:rsidP="004B6622">
      <w:pPr>
        <w:spacing w:after="0" w:line="240" w:lineRule="auto"/>
        <w:rPr>
          <w:rFonts w:ascii="Cambria" w:eastAsia="Batang" w:hAnsi="Cambria"/>
          <w:color w:val="080808"/>
          <w:lang w:val="es-CO"/>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63"/>
      </w:tblGrid>
      <w:tr w:rsidR="004B6622" w:rsidRPr="0009182C" w14:paraId="0894AB0C" w14:textId="77777777" w:rsidTr="008E0DEF">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5942ECB7" w14:textId="77777777" w:rsidR="004B6622" w:rsidRPr="0009182C" w:rsidRDefault="004B6622" w:rsidP="00EC45ED">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63" w:type="dxa"/>
            <w:tcBorders>
              <w:top w:val="single" w:sz="4" w:space="0" w:color="auto"/>
              <w:left w:val="single" w:sz="4" w:space="0" w:color="auto"/>
              <w:bottom w:val="single" w:sz="4" w:space="0" w:color="auto"/>
              <w:right w:val="single" w:sz="4" w:space="0" w:color="auto"/>
            </w:tcBorders>
            <w:shd w:val="clear" w:color="auto" w:fill="D9D9D9"/>
            <w:vAlign w:val="center"/>
          </w:tcPr>
          <w:p w14:paraId="77801AE5" w14:textId="77777777" w:rsidR="004B6622" w:rsidRPr="0009182C" w:rsidRDefault="004B6622" w:rsidP="00EC45ED">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4B6622" w:rsidRPr="00BF7310" w14:paraId="28DFD974" w14:textId="77777777" w:rsidTr="008E0DEF">
        <w:trPr>
          <w:trHeight w:val="269"/>
          <w:jc w:val="center"/>
        </w:trPr>
        <w:tc>
          <w:tcPr>
            <w:tcW w:w="9395" w:type="dxa"/>
            <w:gridSpan w:val="2"/>
            <w:tcBorders>
              <w:top w:val="single" w:sz="4" w:space="0" w:color="auto"/>
              <w:left w:val="single" w:sz="4" w:space="0" w:color="auto"/>
              <w:bottom w:val="single" w:sz="4" w:space="0" w:color="auto"/>
              <w:right w:val="single" w:sz="4" w:space="0" w:color="auto"/>
            </w:tcBorders>
            <w:vAlign w:val="center"/>
          </w:tcPr>
          <w:p w14:paraId="4A72958B" w14:textId="77777777" w:rsidR="004B6622" w:rsidRPr="0009182C" w:rsidRDefault="004B6622" w:rsidP="00EC45ED">
            <w:pPr>
              <w:spacing w:after="0" w:line="240" w:lineRule="auto"/>
              <w:jc w:val="both"/>
              <w:rPr>
                <w:rFonts w:ascii="Cambria" w:eastAsia="Batang" w:hAnsi="Cambria"/>
                <w:b/>
                <w:color w:val="080808"/>
                <w:lang w:val="es-CO"/>
              </w:rPr>
            </w:pPr>
            <w:r w:rsidRPr="0009182C">
              <w:rPr>
                <w:rFonts w:ascii="Cambria" w:eastAsia="Batang" w:hAnsi="Cambria"/>
                <w:b/>
                <w:bCs/>
                <w:color w:val="000000"/>
                <w:lang w:val="es-CO"/>
              </w:rPr>
              <w:t>SEXTO: SATISFACCIÓN DE LOS PETICIONARIOS</w:t>
            </w:r>
          </w:p>
        </w:tc>
      </w:tr>
      <w:tr w:rsidR="004B6622" w:rsidRPr="0009182C" w14:paraId="7298F538" w14:textId="77777777" w:rsidTr="008E0DEF">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2EA5F675" w14:textId="77777777" w:rsidR="004B6622" w:rsidRPr="0009182C" w:rsidRDefault="004B6622" w:rsidP="00EC45ED">
            <w:pPr>
              <w:spacing w:after="0" w:line="240" w:lineRule="auto"/>
              <w:jc w:val="both"/>
              <w:rPr>
                <w:rFonts w:ascii="Cambria" w:eastAsia="Batang" w:hAnsi="Cambria" w:cs="Calibri Light"/>
                <w:color w:val="000000"/>
                <w:lang w:val="es-CO"/>
              </w:rPr>
            </w:pPr>
            <w:r w:rsidRPr="0009182C">
              <w:rPr>
                <w:rFonts w:ascii="Cambria" w:eastAsia="Batang" w:hAnsi="Cambria" w:cs="Calibri Light"/>
                <w:color w:val="000000"/>
                <w:lang w:val="es-CO"/>
              </w:rPr>
              <w:t>La parte peticionaria considera que el cumplimiento de los compromisos de carácter económico asumidos mediante el presente acuerdo de solución amistoso, implica la satisfacción total de sus pretensiones en el caso Juan González y otros (caso CIDH No. 12.961).</w:t>
            </w:r>
          </w:p>
          <w:p w14:paraId="2FECACA3" w14:textId="77777777" w:rsidR="004B6622" w:rsidRPr="0009182C" w:rsidRDefault="004B6622" w:rsidP="00EC45ED">
            <w:pPr>
              <w:spacing w:after="0" w:line="240" w:lineRule="auto"/>
              <w:jc w:val="both"/>
              <w:rPr>
                <w:rFonts w:ascii="Cambria" w:eastAsia="Batang" w:hAnsi="Cambria" w:cs="Calibri Light"/>
                <w:color w:val="000000"/>
                <w:lang w:val="es-CO"/>
              </w:rPr>
            </w:pPr>
            <w:r w:rsidRPr="0009182C">
              <w:rPr>
                <w:rFonts w:ascii="Cambria" w:eastAsia="Batang" w:hAnsi="Cambria" w:cs="Calibri Light"/>
                <w:color w:val="000000"/>
                <w:lang w:val="es-CO"/>
              </w:rPr>
              <w:t>El Estado de Honduras y los peticionarios a través de sus representantes legales, tomando como referencia la escala a la cual pertenecía el personal despedido al momento de la emisión del Decreto 58-2001 reconocen y aceptan como valor a indemnizar la suma individual que a continuación se detalla, en favor de los peticionarios:</w:t>
            </w:r>
          </w:p>
          <w:p w14:paraId="25A7C3A8" w14:textId="77777777" w:rsidR="004B6622" w:rsidRPr="0009182C" w:rsidRDefault="004B6622" w:rsidP="00EC45ED">
            <w:pPr>
              <w:spacing w:after="0" w:line="240" w:lineRule="auto"/>
              <w:ind w:left="706"/>
              <w:jc w:val="both"/>
              <w:rPr>
                <w:rFonts w:ascii="Cambria" w:eastAsia="Batang" w:hAnsi="Cambria" w:cs="Calibri Light"/>
                <w:color w:val="000000"/>
                <w:lang w:val="es-CO"/>
              </w:rPr>
            </w:pPr>
            <w:r w:rsidRPr="0009182C">
              <w:rPr>
                <w:rFonts w:ascii="Cambria" w:eastAsia="Batang" w:hAnsi="Cambria" w:cs="Calibri Light"/>
                <w:color w:val="000000"/>
                <w:lang w:val="es-CO"/>
              </w:rPr>
              <w:t>Policías y Administrativos: L. 320,000.00</w:t>
            </w:r>
          </w:p>
          <w:p w14:paraId="3009C0B9" w14:textId="77777777" w:rsidR="004B6622" w:rsidRPr="0009182C" w:rsidRDefault="004B6622" w:rsidP="00EC45ED">
            <w:pPr>
              <w:spacing w:after="0" w:line="240" w:lineRule="auto"/>
              <w:ind w:left="706"/>
              <w:jc w:val="both"/>
              <w:rPr>
                <w:rFonts w:ascii="Cambria" w:eastAsia="Batang" w:hAnsi="Cambria" w:cs="Calibri Light"/>
                <w:color w:val="000000"/>
                <w:lang w:val="es-CO"/>
              </w:rPr>
            </w:pPr>
            <w:r w:rsidRPr="0009182C">
              <w:rPr>
                <w:rFonts w:ascii="Cambria" w:eastAsia="Batang" w:hAnsi="Cambria" w:cs="Calibri Light"/>
                <w:color w:val="000000"/>
                <w:lang w:val="es-CO"/>
              </w:rPr>
              <w:t>Clases: L. 400,000.00</w:t>
            </w:r>
          </w:p>
          <w:p w14:paraId="013357FF" w14:textId="77777777" w:rsidR="004B6622" w:rsidRPr="0009182C" w:rsidRDefault="004B6622" w:rsidP="00EC45ED">
            <w:pPr>
              <w:spacing w:after="0" w:line="240" w:lineRule="auto"/>
              <w:ind w:left="706"/>
              <w:jc w:val="both"/>
              <w:rPr>
                <w:rFonts w:ascii="Cambria" w:eastAsia="Batang" w:hAnsi="Cambria" w:cs="Calibri Light"/>
                <w:color w:val="000000"/>
                <w:lang w:val="es-CO"/>
              </w:rPr>
            </w:pPr>
            <w:r w:rsidRPr="0009182C">
              <w:rPr>
                <w:rFonts w:ascii="Cambria" w:eastAsia="Batang" w:hAnsi="Cambria" w:cs="Calibri Light"/>
                <w:color w:val="000000"/>
                <w:lang w:val="es-CO"/>
              </w:rPr>
              <w:t>Oficiales: L. 700.000.00</w:t>
            </w:r>
          </w:p>
          <w:p w14:paraId="29C37C7F" w14:textId="77777777" w:rsidR="004B6622" w:rsidRPr="0009182C" w:rsidRDefault="004B6622" w:rsidP="00EC45ED">
            <w:pPr>
              <w:spacing w:after="0" w:line="240" w:lineRule="auto"/>
              <w:ind w:left="706"/>
              <w:jc w:val="both"/>
              <w:rPr>
                <w:rFonts w:ascii="Cambria" w:eastAsia="Batang" w:hAnsi="Cambria" w:cs="Calibri Light"/>
                <w:color w:val="000000"/>
                <w:lang w:val="es-CO"/>
              </w:rPr>
            </w:pPr>
          </w:p>
          <w:p w14:paraId="4B8BEA15" w14:textId="77777777" w:rsidR="004B6622" w:rsidRPr="0009182C" w:rsidRDefault="004B6622" w:rsidP="00EC45ED">
            <w:pPr>
              <w:spacing w:after="0" w:line="240" w:lineRule="auto"/>
              <w:jc w:val="both"/>
              <w:rPr>
                <w:rFonts w:ascii="Cambria" w:eastAsia="Batang" w:hAnsi="Cambria" w:cs="Calibri Light"/>
                <w:color w:val="000000"/>
                <w:lang w:val="es-CO"/>
              </w:rPr>
            </w:pPr>
            <w:r w:rsidRPr="0009182C">
              <w:rPr>
                <w:rFonts w:ascii="Cambria" w:eastAsia="Batang" w:hAnsi="Cambria" w:cs="Calibri Light"/>
                <w:color w:val="000000"/>
                <w:lang w:val="es-CO"/>
              </w:rPr>
              <w:t>El monto en la forma enunciada se efectuará en un solo pago a los peticionarios que han decidido acogerse al presente acuerdo.</w:t>
            </w:r>
          </w:p>
          <w:p w14:paraId="519FF3B8" w14:textId="77777777" w:rsidR="004B6622" w:rsidRPr="0009182C" w:rsidRDefault="004B6622" w:rsidP="00EC45ED">
            <w:pPr>
              <w:spacing w:after="0" w:line="240" w:lineRule="auto"/>
              <w:jc w:val="both"/>
              <w:rPr>
                <w:rFonts w:ascii="Cambria" w:eastAsia="Times New Roman" w:hAnsi="Cambria"/>
                <w:color w:val="080808"/>
                <w:lang w:val="es-CO"/>
              </w:rPr>
            </w:pPr>
            <w:r w:rsidRPr="0009182C">
              <w:rPr>
                <w:rFonts w:ascii="Cambria" w:eastAsia="Batang" w:hAnsi="Cambria" w:cs="Calibri Light"/>
                <w:color w:val="000000"/>
                <w:lang w:val="es-CO"/>
              </w:rPr>
              <w:t>En cuanto al porcentaje en concepto de honorarios profesionales estos serán asumidos por los peticionarios en base al acuerdo que hayan pactado con su apoderado.</w:t>
            </w:r>
          </w:p>
        </w:tc>
        <w:tc>
          <w:tcPr>
            <w:tcW w:w="1763" w:type="dxa"/>
            <w:tcBorders>
              <w:top w:val="single" w:sz="4" w:space="0" w:color="auto"/>
              <w:left w:val="single" w:sz="4" w:space="0" w:color="auto"/>
              <w:bottom w:val="single" w:sz="4" w:space="0" w:color="auto"/>
              <w:right w:val="single" w:sz="4" w:space="0" w:color="auto"/>
            </w:tcBorders>
            <w:vAlign w:val="center"/>
          </w:tcPr>
          <w:p w14:paraId="0055B1F7" w14:textId="77777777" w:rsidR="004B6622" w:rsidRPr="0009182C" w:rsidRDefault="004B6622" w:rsidP="00EC45ED">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Style w:val="FootnoteReference"/>
                <w:rFonts w:ascii="Cambria" w:eastAsia="Batang" w:hAnsi="Cambria"/>
                <w:b/>
                <w:color w:val="080808"/>
                <w:lang w:val="es-CO"/>
              </w:rPr>
              <w:footnoteReference w:id="1"/>
            </w:r>
          </w:p>
        </w:tc>
      </w:tr>
      <w:tr w:rsidR="004B6622" w:rsidRPr="00BF7310" w14:paraId="4D9C4FBD" w14:textId="77777777" w:rsidTr="008E0DEF">
        <w:trPr>
          <w:jc w:val="center"/>
        </w:trPr>
        <w:tc>
          <w:tcPr>
            <w:tcW w:w="9395" w:type="dxa"/>
            <w:gridSpan w:val="2"/>
            <w:tcBorders>
              <w:top w:val="single" w:sz="4" w:space="0" w:color="auto"/>
              <w:left w:val="single" w:sz="4" w:space="0" w:color="auto"/>
              <w:bottom w:val="single" w:sz="4" w:space="0" w:color="auto"/>
              <w:right w:val="single" w:sz="4" w:space="0" w:color="auto"/>
            </w:tcBorders>
            <w:vAlign w:val="center"/>
          </w:tcPr>
          <w:p w14:paraId="710450CA" w14:textId="77777777" w:rsidR="004B6622" w:rsidRPr="0009182C" w:rsidRDefault="004B6622" w:rsidP="00EC45ED">
            <w:pPr>
              <w:spacing w:after="0" w:line="240" w:lineRule="auto"/>
              <w:jc w:val="both"/>
              <w:rPr>
                <w:rFonts w:ascii="Cambria" w:eastAsia="Batang" w:hAnsi="Cambria"/>
                <w:b/>
                <w:color w:val="080808"/>
                <w:lang w:val="es-CO"/>
              </w:rPr>
            </w:pPr>
            <w:r w:rsidRPr="0009182C">
              <w:rPr>
                <w:rFonts w:ascii="Cambria" w:hAnsi="Cambria"/>
                <w:b/>
                <w:bCs/>
                <w:lang w:val="es-CO"/>
              </w:rPr>
              <w:t>SÉPTIMO: FORMA DE PAGO DE LA REPARACIÓN ECONÓMICA</w:t>
            </w:r>
          </w:p>
        </w:tc>
      </w:tr>
      <w:tr w:rsidR="004B6622" w:rsidRPr="0009182C" w14:paraId="7CC0119A" w14:textId="77777777" w:rsidTr="008E0DEF">
        <w:trPr>
          <w:trHeight w:val="1574"/>
          <w:jc w:val="center"/>
        </w:trPr>
        <w:tc>
          <w:tcPr>
            <w:tcW w:w="7632" w:type="dxa"/>
            <w:tcBorders>
              <w:top w:val="single" w:sz="4" w:space="0" w:color="auto"/>
              <w:left w:val="single" w:sz="4" w:space="0" w:color="auto"/>
              <w:bottom w:val="single" w:sz="4" w:space="0" w:color="auto"/>
              <w:right w:val="single" w:sz="4" w:space="0" w:color="auto"/>
            </w:tcBorders>
            <w:vAlign w:val="center"/>
          </w:tcPr>
          <w:p w14:paraId="00ABF755" w14:textId="77777777" w:rsidR="004B6622" w:rsidRPr="0009182C" w:rsidRDefault="004B6622" w:rsidP="00EC45ED">
            <w:pPr>
              <w:spacing w:after="0" w:line="240" w:lineRule="auto"/>
              <w:jc w:val="both"/>
              <w:rPr>
                <w:rFonts w:ascii="Cambria" w:hAnsi="Cambria"/>
                <w:color w:val="080808"/>
                <w:lang w:val="es-CO"/>
              </w:rPr>
            </w:pPr>
            <w:r w:rsidRPr="0009182C">
              <w:rPr>
                <w:rFonts w:ascii="Cambria" w:eastAsia="Batang" w:hAnsi="Cambria" w:cs="Calibri Light"/>
                <w:color w:val="000000"/>
                <w:lang w:val="es-CO"/>
              </w:rPr>
              <w:t xml:space="preserve">Conforme la solicitud efectuada por los peticionarios de que el monto ofrecido se efectúe en un solo pago; el Estado se compromete a hacer efectivos el valor anteriormente señalado, por intermedio de la Secretaría de Estado en el Despacho de Seguridad en un solo pago a más tardar el de 30 de agosto de 2021 y comprende en su totalidad la indemnización económica acordada y por ende con el pago del mismo, el Estado de Honduras queda completamente liberado de cualquier resarcimiento por los hechos alegados y de cualquier reclamación posterior. </w:t>
            </w:r>
            <w:r w:rsidRPr="0009182C">
              <w:rPr>
                <w:rFonts w:ascii="Cambria" w:eastAsia="Times New Roman" w:hAnsi="Cambria"/>
                <w:lang w:val="es-CO"/>
              </w:rPr>
              <w:t>[…]</w:t>
            </w:r>
          </w:p>
        </w:tc>
        <w:tc>
          <w:tcPr>
            <w:tcW w:w="1763" w:type="dxa"/>
            <w:tcBorders>
              <w:top w:val="single" w:sz="4" w:space="0" w:color="auto"/>
              <w:left w:val="single" w:sz="4" w:space="0" w:color="auto"/>
              <w:bottom w:val="single" w:sz="4" w:space="0" w:color="auto"/>
              <w:right w:val="single" w:sz="4" w:space="0" w:color="auto"/>
            </w:tcBorders>
            <w:vAlign w:val="center"/>
          </w:tcPr>
          <w:p w14:paraId="603C1A0B" w14:textId="77777777" w:rsidR="004B6622" w:rsidRPr="0009182C" w:rsidRDefault="004B6622" w:rsidP="00EC45ED">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Fonts w:ascii="Cambria" w:eastAsia="Batang" w:hAnsi="Cambria"/>
                <w:b/>
                <w:color w:val="080808"/>
                <w:vertAlign w:val="superscript"/>
                <w:lang w:val="es-CO"/>
              </w:rPr>
              <w:footnoteReference w:id="2"/>
            </w:r>
          </w:p>
        </w:tc>
      </w:tr>
    </w:tbl>
    <w:p w14:paraId="6F70450B" w14:textId="77777777" w:rsidR="004B6622" w:rsidRPr="0009182C" w:rsidRDefault="004B6622" w:rsidP="004B6622">
      <w:pPr>
        <w:spacing w:after="0" w:line="240" w:lineRule="auto"/>
        <w:rPr>
          <w:rFonts w:ascii="Cambria" w:eastAsia="Batang" w:hAnsi="Cambria"/>
          <w:color w:val="080808"/>
          <w:lang w:val="es-CO"/>
        </w:rPr>
      </w:pPr>
    </w:p>
    <w:p w14:paraId="411599D4" w14:textId="77777777" w:rsidR="004B6622" w:rsidRPr="0009182C" w:rsidRDefault="004B6622" w:rsidP="004B6622">
      <w:pPr>
        <w:numPr>
          <w:ilvl w:val="0"/>
          <w:numId w:val="6"/>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74BB23F8" w14:textId="77777777" w:rsidR="004B6622" w:rsidRPr="0009182C" w:rsidRDefault="004B6622" w:rsidP="004B6622">
      <w:pPr>
        <w:spacing w:after="0" w:line="240" w:lineRule="auto"/>
        <w:ind w:firstLine="720"/>
        <w:jc w:val="both"/>
        <w:rPr>
          <w:rFonts w:ascii="Cambria" w:eastAsia="Batang" w:hAnsi="Cambria" w:cs="Calibri Light"/>
          <w:color w:val="080808"/>
          <w:lang w:val="es-CO"/>
        </w:rPr>
      </w:pPr>
    </w:p>
    <w:p w14:paraId="4A5FC5A6" w14:textId="52A832D0" w:rsidR="004B6622" w:rsidRDefault="004B6622" w:rsidP="004B6622">
      <w:pPr>
        <w:numPr>
          <w:ilvl w:val="0"/>
          <w:numId w:val="5"/>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 xml:space="preserve"> La Comisión declaró el cumplimiento total del asunto y el cese del seguimiento del acuerdo de solución amistosa en el Informe de Homologación 42/21.</w:t>
      </w:r>
      <w:r w:rsidRPr="0009182C">
        <w:rPr>
          <w:rFonts w:ascii="Cambria" w:eastAsia="Batang" w:hAnsi="Cambria" w:cs="Calibri Light"/>
          <w:b/>
          <w:color w:val="080808"/>
          <w:lang w:val="es-CO"/>
        </w:rPr>
        <w:t xml:space="preserve"> </w:t>
      </w:r>
    </w:p>
    <w:p w14:paraId="19B243C9" w14:textId="77777777" w:rsidR="005C518C" w:rsidRPr="0009182C" w:rsidRDefault="005C518C" w:rsidP="005C518C">
      <w:pPr>
        <w:autoSpaceDE w:val="0"/>
        <w:autoSpaceDN w:val="0"/>
        <w:adjustRightInd w:val="0"/>
        <w:spacing w:after="0" w:line="240" w:lineRule="auto"/>
        <w:ind w:left="720"/>
        <w:jc w:val="both"/>
        <w:rPr>
          <w:rFonts w:ascii="Cambria" w:eastAsia="Batang" w:hAnsi="Cambria" w:cs="Calibri Light"/>
          <w:b/>
          <w:color w:val="080808"/>
          <w:lang w:val="es-CO"/>
        </w:rPr>
      </w:pPr>
    </w:p>
    <w:p w14:paraId="24ACABA2" w14:textId="77777777" w:rsidR="004B6622" w:rsidRPr="0009182C" w:rsidRDefault="004B6622" w:rsidP="004B6622">
      <w:pPr>
        <w:pStyle w:val="ListParagraph"/>
        <w:numPr>
          <w:ilvl w:val="0"/>
          <w:numId w:val="6"/>
        </w:numPr>
        <w:spacing w:after="0" w:line="240" w:lineRule="auto"/>
        <w:ind w:left="0" w:firstLine="709"/>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0F413B0C" w14:textId="77777777" w:rsidR="004B6622" w:rsidRPr="0009182C" w:rsidRDefault="004B6622" w:rsidP="004B6622">
      <w:pPr>
        <w:spacing w:after="0" w:line="240" w:lineRule="auto"/>
        <w:ind w:firstLine="709"/>
        <w:contextualSpacing/>
        <w:jc w:val="both"/>
        <w:rPr>
          <w:rFonts w:ascii="Cambria" w:eastAsia="Batang" w:hAnsi="Cambria" w:cs="Calibri Light"/>
          <w:b/>
          <w:color w:val="080808"/>
          <w:lang w:val="es-CO"/>
        </w:rPr>
      </w:pPr>
    </w:p>
    <w:p w14:paraId="548302FD" w14:textId="77777777" w:rsidR="004B6622" w:rsidRPr="0009182C" w:rsidRDefault="004B6622" w:rsidP="004B6622">
      <w:pPr>
        <w:pStyle w:val="ListParagraph"/>
        <w:numPr>
          <w:ilvl w:val="1"/>
          <w:numId w:val="6"/>
        </w:numPr>
        <w:spacing w:after="0" w:line="240" w:lineRule="auto"/>
        <w:ind w:left="0" w:firstLine="709"/>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411696A0" w14:textId="77777777" w:rsidR="004B6622" w:rsidRPr="0009182C" w:rsidRDefault="004B6622" w:rsidP="004B6622">
      <w:pPr>
        <w:tabs>
          <w:tab w:val="left" w:pos="720"/>
        </w:tabs>
        <w:spacing w:after="0" w:line="240" w:lineRule="auto"/>
        <w:ind w:firstLine="709"/>
        <w:contextualSpacing/>
        <w:jc w:val="both"/>
        <w:rPr>
          <w:rFonts w:ascii="Cambria" w:eastAsia="Batang" w:hAnsi="Cambria" w:cs="Calibri Light"/>
          <w:b/>
          <w:color w:val="080808"/>
          <w:lang w:val="es-CO"/>
        </w:rPr>
      </w:pPr>
    </w:p>
    <w:p w14:paraId="20E55C54" w14:textId="342B6526" w:rsidR="008E0DEF" w:rsidRPr="007752CD" w:rsidRDefault="004B6622" w:rsidP="0007138E">
      <w:pPr>
        <w:pStyle w:val="ListParagraph"/>
        <w:numPr>
          <w:ilvl w:val="0"/>
          <w:numId w:val="7"/>
        </w:numPr>
        <w:tabs>
          <w:tab w:val="left" w:pos="0"/>
        </w:tabs>
        <w:spacing w:after="0" w:line="240" w:lineRule="auto"/>
        <w:ind w:left="0" w:firstLine="1530"/>
        <w:jc w:val="both"/>
        <w:rPr>
          <w:rFonts w:ascii="Cambria" w:hAnsi="Cambria"/>
          <w:b/>
          <w:color w:val="000000" w:themeColor="text1"/>
          <w:lang w:val="es-CO"/>
        </w:rPr>
      </w:pPr>
      <w:r w:rsidRPr="007752CD">
        <w:rPr>
          <w:rFonts w:ascii="Cambria" w:eastAsia="Batang" w:hAnsi="Cambria" w:cs="Calibri Light"/>
          <w:color w:val="080808"/>
          <w:lang w:val="es-CO"/>
        </w:rPr>
        <w:t xml:space="preserve">El </w:t>
      </w:r>
      <w:r w:rsidRPr="007752CD">
        <w:rPr>
          <w:rFonts w:ascii="Cambria" w:eastAsia="Batang" w:hAnsi="Cambria"/>
          <w:color w:val="000000"/>
          <w:lang w:val="es-CO"/>
        </w:rPr>
        <w:t xml:space="preserve">Estado realizó el pago de compensación económica de un monto de 320.000L (trescientos veinte mil lempiras) a favor de 44 beneficiarios, el monto de 400.000L </w:t>
      </w:r>
      <w:r w:rsidRPr="007752CD">
        <w:rPr>
          <w:rFonts w:ascii="Cambria" w:eastAsia="Batang" w:hAnsi="Cambria"/>
          <w:color w:val="000000"/>
          <w:lang w:val="es-CO"/>
        </w:rPr>
        <w:lastRenderedPageBreak/>
        <w:t>(cuatrocientos mil lempiras) a favor de 11 beneficiarios y el monto de 700.000L (setecientos mil lempiras) a favor de 3 beneficiarios. Lo anterior correspondería a un monto total de 20.580.000L (veinte millones quinientos ochenta mil lempiras) o aproximadamente $854,495.59 (ochocientos cincuenta y cuatro mil cuatrocientos noventa y cinco dólares con cincuenta y nueve centavos pagados como compensación económica a favor de las 58 personas beneficiarias del ASA.</w:t>
      </w:r>
    </w:p>
    <w:sectPr w:rsidR="008E0DEF" w:rsidRPr="007752CD" w:rsidSect="007752CD">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4EEB" w14:textId="77777777" w:rsidR="009A00A8" w:rsidRDefault="009A00A8" w:rsidP="00A343FF">
      <w:pPr>
        <w:spacing w:after="0" w:line="240" w:lineRule="auto"/>
      </w:pPr>
      <w:r>
        <w:separator/>
      </w:r>
    </w:p>
  </w:endnote>
  <w:endnote w:type="continuationSeparator" w:id="0">
    <w:p w14:paraId="67793A4F" w14:textId="77777777" w:rsidR="009A00A8" w:rsidRDefault="009A00A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5FB5" w14:textId="77777777" w:rsidR="005C518C" w:rsidRDefault="00D102B0" w:rsidP="005C518C">
    <w:pPr>
      <w:pStyle w:val="Footer"/>
      <w:spacing w:line="360" w:lineRule="auto"/>
      <w:jc w:val="right"/>
    </w:pPr>
    <w:r>
      <w:pict w14:anchorId="65992896">
        <v:rect id="_x0000_i1027" style="width:0;height:1.5pt" o:hralign="center" o:hrstd="t" o:hr="t" fillcolor="#a0a0a0" stroked="f"/>
      </w:pict>
    </w:r>
  </w:p>
  <w:p w14:paraId="68A380DD" w14:textId="6BB0D4D7" w:rsidR="005C518C" w:rsidRDefault="005C518C" w:rsidP="005C518C">
    <w:pPr>
      <w:pStyle w:val="Footer"/>
      <w:jc w:val="center"/>
    </w:pPr>
    <w:r w:rsidRPr="008A5CB5">
      <w:rPr>
        <w:noProof/>
      </w:rPr>
      <w:drawing>
        <wp:inline distT="0" distB="0" distL="0" distR="0" wp14:anchorId="3FB6FE6D" wp14:editId="0CC48F0E">
          <wp:extent cx="5117465" cy="324485"/>
          <wp:effectExtent l="0" t="0" r="698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p>
  <w:p w14:paraId="67711679" w14:textId="77777777" w:rsidR="0004113F" w:rsidRDefault="0004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8F1B" w14:textId="77777777" w:rsidR="009A00A8" w:rsidRDefault="009A00A8" w:rsidP="00A343FF">
      <w:pPr>
        <w:spacing w:after="0" w:line="240" w:lineRule="auto"/>
      </w:pPr>
      <w:r>
        <w:separator/>
      </w:r>
    </w:p>
  </w:footnote>
  <w:footnote w:type="continuationSeparator" w:id="0">
    <w:p w14:paraId="56E30C00" w14:textId="77777777" w:rsidR="009A00A8" w:rsidRDefault="009A00A8" w:rsidP="00A343FF">
      <w:pPr>
        <w:spacing w:after="0" w:line="240" w:lineRule="auto"/>
      </w:pPr>
      <w:r>
        <w:continuationSeparator/>
      </w:r>
    </w:p>
  </w:footnote>
  <w:footnote w:id="1">
    <w:p w14:paraId="48757301" w14:textId="77777777" w:rsidR="004B6622" w:rsidRPr="00254A60" w:rsidRDefault="004B6622" w:rsidP="00254A60">
      <w:pPr>
        <w:pStyle w:val="FootnoteText"/>
        <w:spacing w:after="0" w:line="240" w:lineRule="auto"/>
        <w:ind w:firstLine="709"/>
        <w:jc w:val="both"/>
        <w:rPr>
          <w:rFonts w:ascii="Cambria" w:hAnsi="Cambria"/>
          <w:color w:val="000000" w:themeColor="text1"/>
          <w:sz w:val="16"/>
          <w:szCs w:val="16"/>
          <w:lang w:val="es-CO"/>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CO"/>
        </w:rPr>
        <w:t xml:space="preserve"> </w:t>
      </w:r>
      <w:r w:rsidRPr="00254A60">
        <w:rPr>
          <w:rFonts w:ascii="Cambria" w:hAnsi="Cambria"/>
          <w:color w:val="000000" w:themeColor="text1"/>
          <w:sz w:val="16"/>
          <w:szCs w:val="16"/>
          <w:lang w:val="es-MX"/>
        </w:rPr>
        <w:t xml:space="preserve">CIDH, Informe No. 42/21, Caso 12.961E. Solución Amistosa. Ecar Fernando Zavala Valladares. Honduras. 20 de marzo de 2021. </w:t>
      </w:r>
      <w:hyperlink r:id="rId1" w:history="1">
        <w:r w:rsidRPr="00254A60">
          <w:rPr>
            <w:rStyle w:val="Hyperlink"/>
            <w:rFonts w:ascii="Cambria" w:hAnsi="Cambria"/>
            <w:color w:val="000000" w:themeColor="text1"/>
            <w:sz w:val="16"/>
            <w:szCs w:val="16"/>
            <w:lang w:val="es-MX"/>
          </w:rPr>
          <w:t>https://www.oas.org/es/cidh/decisiones/2021/HOSA12961EES.pdf</w:t>
        </w:r>
      </w:hyperlink>
    </w:p>
  </w:footnote>
  <w:footnote w:id="2">
    <w:p w14:paraId="5CC9DC1B" w14:textId="77777777" w:rsidR="004B6622" w:rsidRPr="00254A60" w:rsidRDefault="004B6622" w:rsidP="00254A60">
      <w:pPr>
        <w:pStyle w:val="FootnoteText"/>
        <w:spacing w:after="0" w:line="240" w:lineRule="auto"/>
        <w:ind w:firstLine="709"/>
        <w:jc w:val="both"/>
        <w:rPr>
          <w:rFonts w:ascii="Cambria" w:hAnsi="Cambria"/>
          <w:sz w:val="16"/>
          <w:szCs w:val="16"/>
          <w:lang w:val="es-ES"/>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ES"/>
        </w:rPr>
        <w:t xml:space="preserve"> </w:t>
      </w:r>
      <w:r w:rsidRPr="00254A60">
        <w:rPr>
          <w:rFonts w:ascii="Cambria" w:hAnsi="Cambria"/>
          <w:color w:val="000000" w:themeColor="text1"/>
          <w:sz w:val="16"/>
          <w:szCs w:val="16"/>
          <w:lang w:val="es-MX" w:eastAsia="es-ES_tradnl"/>
        </w:rPr>
        <w:t xml:space="preserve">CIDH, Informe No. 42/21, Caso 12.961E. Solución Amistosa. Ecar Fernando Zavala Valladares. Honduras. 20 de marzo de 2021. </w:t>
      </w:r>
      <w:hyperlink r:id="rId2" w:history="1">
        <w:r w:rsidRPr="00254A60">
          <w:rPr>
            <w:rStyle w:val="Hyperlink"/>
            <w:rFonts w:ascii="Cambria" w:eastAsia="Times New Roman" w:hAnsi="Cambria"/>
            <w:color w:val="000000" w:themeColor="text1"/>
            <w:sz w:val="16"/>
            <w:szCs w:val="16"/>
            <w:lang w:val="es-MX" w:eastAsia="es-ES_tradnl"/>
          </w:rPr>
          <w:t>https://www.oas.org/es/cidh/decisiones/2021/HOSA12961EES.pdf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32B0" w14:textId="41BD989C" w:rsidR="00EA23F8" w:rsidRPr="0058688A" w:rsidRDefault="00EA23F8" w:rsidP="00EA23F8">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r>
      <w:rPr>
        <w:noProof/>
        <w:lang w:val="es-ES_tradnl"/>
      </w:rPr>
      <w:drawing>
        <wp:inline distT="0" distB="0" distL="0" distR="0" wp14:anchorId="134CCDC0" wp14:editId="611A1C53">
          <wp:extent cx="2286000" cy="11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632B8771" w14:textId="77777777" w:rsidR="00EA23F8" w:rsidRDefault="00D102B0" w:rsidP="00EA23F8">
    <w:pPr>
      <w:pStyle w:val="Header"/>
    </w:pPr>
    <w:r>
      <w:pict w14:anchorId="047DEEC8">
        <v:rect id="_x0000_i1025" style="width:0;height:1.5pt" o:hralign="center" o:hrstd="t" o:hr="t" fillcolor="#a0a0a0" stroked="f"/>
      </w:pict>
    </w:r>
    <w:bookmarkEnd w:id="0"/>
    <w:bookmarkEnd w:id="1"/>
    <w:bookmarkEnd w:id="2"/>
    <w:bookmarkEnd w:id="3"/>
    <w:bookmarkEnd w:id="4"/>
    <w:bookmarkEnd w:id="5"/>
  </w:p>
  <w:p w14:paraId="49D306D1" w14:textId="77777777" w:rsidR="0004113F" w:rsidRDefault="00041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88F8" w14:textId="2F0E1932" w:rsidR="0004113F" w:rsidRDefault="0004113F" w:rsidP="0004113F">
    <w:pPr>
      <w:pStyle w:val="Header"/>
    </w:pPr>
    <w:bookmarkStart w:id="6" w:name="_Hlk129090378"/>
    <w:bookmarkStart w:id="7" w:name="_Hlk129090379"/>
    <w:r w:rsidRPr="008A5CB5">
      <w:rPr>
        <w:noProof/>
      </w:rPr>
      <w:drawing>
        <wp:inline distT="0" distB="0" distL="0" distR="0" wp14:anchorId="32B8DF1A" wp14:editId="79AB2E56">
          <wp:extent cx="2345055" cy="457200"/>
          <wp:effectExtent l="0" t="0" r="0"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78781B36" wp14:editId="217560C5">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36B656E1" w14:textId="77777777" w:rsidR="0004113F" w:rsidRDefault="0004113F" w:rsidP="0004113F">
    <w:pPr>
      <w:pStyle w:val="Header"/>
    </w:pPr>
  </w:p>
  <w:p w14:paraId="0C2FC5D7" w14:textId="77777777" w:rsidR="0004113F" w:rsidRDefault="00D102B0" w:rsidP="0004113F">
    <w:pPr>
      <w:pStyle w:val="Header"/>
    </w:pPr>
    <w:r>
      <w:pict w14:anchorId="1DC43705">
        <v:rect id="_x0000_i1026" style="width:0;height:1.5pt" o:hralign="center" o:hrstd="t" o:hr="t" fillcolor="#a0a0a0" stroked="f"/>
      </w:pict>
    </w:r>
    <w:bookmarkEnd w:id="6"/>
    <w:bookmarkEnd w:id="7"/>
  </w:p>
  <w:p w14:paraId="4C172FE5" w14:textId="77777777" w:rsidR="0004113F" w:rsidRDefault="00041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9"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1"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6"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5"/>
  </w:num>
  <w:num w:numId="2" w16cid:durableId="1198784672">
    <w:abstractNumId w:val="3"/>
  </w:num>
  <w:num w:numId="3" w16cid:durableId="946815819">
    <w:abstractNumId w:val="34"/>
  </w:num>
  <w:num w:numId="4" w16cid:durableId="1735083488">
    <w:abstractNumId w:val="19"/>
  </w:num>
  <w:num w:numId="5" w16cid:durableId="1809080309">
    <w:abstractNumId w:val="16"/>
  </w:num>
  <w:num w:numId="6" w16cid:durableId="2000111282">
    <w:abstractNumId w:val="37"/>
  </w:num>
  <w:num w:numId="7" w16cid:durableId="1182233948">
    <w:abstractNumId w:val="8"/>
  </w:num>
  <w:num w:numId="8" w16cid:durableId="653609088">
    <w:abstractNumId w:val="30"/>
  </w:num>
  <w:num w:numId="9" w16cid:durableId="263657786">
    <w:abstractNumId w:val="10"/>
  </w:num>
  <w:num w:numId="10" w16cid:durableId="1629429028">
    <w:abstractNumId w:val="2"/>
  </w:num>
  <w:num w:numId="11" w16cid:durableId="1415277257">
    <w:abstractNumId w:val="7"/>
  </w:num>
  <w:num w:numId="12" w16cid:durableId="98719486">
    <w:abstractNumId w:val="9"/>
  </w:num>
  <w:num w:numId="13" w16cid:durableId="643854056">
    <w:abstractNumId w:val="28"/>
  </w:num>
  <w:num w:numId="14" w16cid:durableId="1517694182">
    <w:abstractNumId w:val="12"/>
  </w:num>
  <w:num w:numId="15" w16cid:durableId="815797891">
    <w:abstractNumId w:val="33"/>
  </w:num>
  <w:num w:numId="16" w16cid:durableId="251282083">
    <w:abstractNumId w:val="6"/>
  </w:num>
  <w:num w:numId="17" w16cid:durableId="1185630687">
    <w:abstractNumId w:val="20"/>
  </w:num>
  <w:num w:numId="18" w16cid:durableId="938754063">
    <w:abstractNumId w:val="26"/>
  </w:num>
  <w:num w:numId="19" w16cid:durableId="287009962">
    <w:abstractNumId w:val="22"/>
  </w:num>
  <w:num w:numId="20" w16cid:durableId="1427114931">
    <w:abstractNumId w:val="0"/>
  </w:num>
  <w:num w:numId="21" w16cid:durableId="1996837994">
    <w:abstractNumId w:val="15"/>
  </w:num>
  <w:num w:numId="22" w16cid:durableId="1249198344">
    <w:abstractNumId w:val="1"/>
  </w:num>
  <w:num w:numId="23" w16cid:durableId="1945647392">
    <w:abstractNumId w:val="24"/>
  </w:num>
  <w:num w:numId="24" w16cid:durableId="537162661">
    <w:abstractNumId w:val="27"/>
  </w:num>
  <w:num w:numId="25" w16cid:durableId="1989938239">
    <w:abstractNumId w:val="17"/>
  </w:num>
  <w:num w:numId="26" w16cid:durableId="1967273059">
    <w:abstractNumId w:val="31"/>
  </w:num>
  <w:num w:numId="27" w16cid:durableId="1065761970">
    <w:abstractNumId w:val="13"/>
  </w:num>
  <w:num w:numId="28" w16cid:durableId="45295993">
    <w:abstractNumId w:val="4"/>
  </w:num>
  <w:num w:numId="29" w16cid:durableId="698167985">
    <w:abstractNumId w:val="21"/>
  </w:num>
  <w:num w:numId="30" w16cid:durableId="1709643113">
    <w:abstractNumId w:val="32"/>
  </w:num>
  <w:num w:numId="31" w16cid:durableId="934480746">
    <w:abstractNumId w:val="29"/>
  </w:num>
  <w:num w:numId="32" w16cid:durableId="541211672">
    <w:abstractNumId w:val="11"/>
  </w:num>
  <w:num w:numId="33" w16cid:durableId="1345130465">
    <w:abstractNumId w:val="25"/>
  </w:num>
  <w:num w:numId="34" w16cid:durableId="1757743752">
    <w:abstractNumId w:val="23"/>
  </w:num>
  <w:num w:numId="35" w16cid:durableId="83184206">
    <w:abstractNumId w:val="5"/>
  </w:num>
  <w:num w:numId="36" w16cid:durableId="1037505896">
    <w:abstractNumId w:val="36"/>
  </w:num>
  <w:num w:numId="37" w16cid:durableId="1162084678">
    <w:abstractNumId w:val="14"/>
  </w:num>
  <w:num w:numId="38" w16cid:durableId="247926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7EE7"/>
    <w:rsid w:val="0004113F"/>
    <w:rsid w:val="0005228B"/>
    <w:rsid w:val="0006625E"/>
    <w:rsid w:val="0007138E"/>
    <w:rsid w:val="00080F92"/>
    <w:rsid w:val="00082741"/>
    <w:rsid w:val="000840A1"/>
    <w:rsid w:val="0009182C"/>
    <w:rsid w:val="000974AD"/>
    <w:rsid w:val="000A0354"/>
    <w:rsid w:val="000A1EFD"/>
    <w:rsid w:val="000F4520"/>
    <w:rsid w:val="00106C59"/>
    <w:rsid w:val="00120F76"/>
    <w:rsid w:val="00121A07"/>
    <w:rsid w:val="00132D55"/>
    <w:rsid w:val="00134455"/>
    <w:rsid w:val="00162E82"/>
    <w:rsid w:val="00163E52"/>
    <w:rsid w:val="00183508"/>
    <w:rsid w:val="001B1DFD"/>
    <w:rsid w:val="001C0A6D"/>
    <w:rsid w:val="001C230A"/>
    <w:rsid w:val="001C3868"/>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E1"/>
    <w:rsid w:val="002C446E"/>
    <w:rsid w:val="002D3FBD"/>
    <w:rsid w:val="002E03E0"/>
    <w:rsid w:val="00301A2A"/>
    <w:rsid w:val="00324282"/>
    <w:rsid w:val="00360412"/>
    <w:rsid w:val="00376A6A"/>
    <w:rsid w:val="00393310"/>
    <w:rsid w:val="003A30C8"/>
    <w:rsid w:val="003B3362"/>
    <w:rsid w:val="003B479F"/>
    <w:rsid w:val="003D4630"/>
    <w:rsid w:val="003E3690"/>
    <w:rsid w:val="00412204"/>
    <w:rsid w:val="0041423F"/>
    <w:rsid w:val="00425C1D"/>
    <w:rsid w:val="004506DA"/>
    <w:rsid w:val="0047175E"/>
    <w:rsid w:val="00477809"/>
    <w:rsid w:val="00483B3C"/>
    <w:rsid w:val="00483CF7"/>
    <w:rsid w:val="00497B73"/>
    <w:rsid w:val="004A15BA"/>
    <w:rsid w:val="004A2550"/>
    <w:rsid w:val="004B6622"/>
    <w:rsid w:val="004C0674"/>
    <w:rsid w:val="004C4D9C"/>
    <w:rsid w:val="004D7999"/>
    <w:rsid w:val="004F3537"/>
    <w:rsid w:val="004F3B49"/>
    <w:rsid w:val="00515370"/>
    <w:rsid w:val="00525898"/>
    <w:rsid w:val="00545027"/>
    <w:rsid w:val="0055600F"/>
    <w:rsid w:val="00565615"/>
    <w:rsid w:val="005664CA"/>
    <w:rsid w:val="0058266E"/>
    <w:rsid w:val="0058688A"/>
    <w:rsid w:val="00590BCD"/>
    <w:rsid w:val="00593BAE"/>
    <w:rsid w:val="005A32E4"/>
    <w:rsid w:val="005A5292"/>
    <w:rsid w:val="005A732D"/>
    <w:rsid w:val="005B23B6"/>
    <w:rsid w:val="005C518C"/>
    <w:rsid w:val="005C5563"/>
    <w:rsid w:val="005E11CE"/>
    <w:rsid w:val="005F4AAA"/>
    <w:rsid w:val="00604132"/>
    <w:rsid w:val="00604F1C"/>
    <w:rsid w:val="00617ED5"/>
    <w:rsid w:val="00622A27"/>
    <w:rsid w:val="006409F9"/>
    <w:rsid w:val="0064287C"/>
    <w:rsid w:val="006440B6"/>
    <w:rsid w:val="00650F99"/>
    <w:rsid w:val="0066572E"/>
    <w:rsid w:val="006753A9"/>
    <w:rsid w:val="00683740"/>
    <w:rsid w:val="006964C0"/>
    <w:rsid w:val="006A592E"/>
    <w:rsid w:val="006A6CAF"/>
    <w:rsid w:val="006A6F49"/>
    <w:rsid w:val="006A7144"/>
    <w:rsid w:val="006B4CEC"/>
    <w:rsid w:val="006C60F3"/>
    <w:rsid w:val="006F0429"/>
    <w:rsid w:val="006F4B6C"/>
    <w:rsid w:val="006F6BBC"/>
    <w:rsid w:val="0070714C"/>
    <w:rsid w:val="00745807"/>
    <w:rsid w:val="00747464"/>
    <w:rsid w:val="00754FFE"/>
    <w:rsid w:val="007752CD"/>
    <w:rsid w:val="007779B2"/>
    <w:rsid w:val="0078116D"/>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3A25"/>
    <w:rsid w:val="008641C8"/>
    <w:rsid w:val="008776EB"/>
    <w:rsid w:val="0089637D"/>
    <w:rsid w:val="008B0889"/>
    <w:rsid w:val="008B67EB"/>
    <w:rsid w:val="008E0DEF"/>
    <w:rsid w:val="008E3636"/>
    <w:rsid w:val="008F1859"/>
    <w:rsid w:val="00913BF3"/>
    <w:rsid w:val="00917950"/>
    <w:rsid w:val="00921645"/>
    <w:rsid w:val="00931D14"/>
    <w:rsid w:val="009331A5"/>
    <w:rsid w:val="00933A89"/>
    <w:rsid w:val="00944F57"/>
    <w:rsid w:val="009477D5"/>
    <w:rsid w:val="00977EF7"/>
    <w:rsid w:val="0099077E"/>
    <w:rsid w:val="009A00A8"/>
    <w:rsid w:val="009A542A"/>
    <w:rsid w:val="009B480D"/>
    <w:rsid w:val="009C4D87"/>
    <w:rsid w:val="009C56C0"/>
    <w:rsid w:val="009D20DE"/>
    <w:rsid w:val="009F0FEB"/>
    <w:rsid w:val="009F1C70"/>
    <w:rsid w:val="009F77BA"/>
    <w:rsid w:val="00A13D4B"/>
    <w:rsid w:val="00A179F1"/>
    <w:rsid w:val="00A25CA7"/>
    <w:rsid w:val="00A343FF"/>
    <w:rsid w:val="00A366BE"/>
    <w:rsid w:val="00A466C8"/>
    <w:rsid w:val="00A47FF7"/>
    <w:rsid w:val="00A56234"/>
    <w:rsid w:val="00A72869"/>
    <w:rsid w:val="00A74A1D"/>
    <w:rsid w:val="00A942E0"/>
    <w:rsid w:val="00AA0407"/>
    <w:rsid w:val="00AA4E4E"/>
    <w:rsid w:val="00AC2BAD"/>
    <w:rsid w:val="00AE1B0F"/>
    <w:rsid w:val="00AE2597"/>
    <w:rsid w:val="00AF0CEC"/>
    <w:rsid w:val="00AF37E4"/>
    <w:rsid w:val="00B02BDD"/>
    <w:rsid w:val="00B033A1"/>
    <w:rsid w:val="00B056D9"/>
    <w:rsid w:val="00B17D1F"/>
    <w:rsid w:val="00B2161A"/>
    <w:rsid w:val="00B6696C"/>
    <w:rsid w:val="00B75824"/>
    <w:rsid w:val="00B806AC"/>
    <w:rsid w:val="00B90B9D"/>
    <w:rsid w:val="00B91191"/>
    <w:rsid w:val="00B91D8E"/>
    <w:rsid w:val="00B93993"/>
    <w:rsid w:val="00BB5902"/>
    <w:rsid w:val="00BC19D9"/>
    <w:rsid w:val="00BF33B2"/>
    <w:rsid w:val="00BF7310"/>
    <w:rsid w:val="00C04C07"/>
    <w:rsid w:val="00C1382E"/>
    <w:rsid w:val="00C40F2C"/>
    <w:rsid w:val="00C6690B"/>
    <w:rsid w:val="00CA2777"/>
    <w:rsid w:val="00CA3AA8"/>
    <w:rsid w:val="00CB0CA0"/>
    <w:rsid w:val="00CC4274"/>
    <w:rsid w:val="00CC5359"/>
    <w:rsid w:val="00CD3889"/>
    <w:rsid w:val="00CF64FA"/>
    <w:rsid w:val="00D05BCC"/>
    <w:rsid w:val="00D102B0"/>
    <w:rsid w:val="00D13990"/>
    <w:rsid w:val="00D222B7"/>
    <w:rsid w:val="00D5166A"/>
    <w:rsid w:val="00D56F83"/>
    <w:rsid w:val="00D809FF"/>
    <w:rsid w:val="00D82E91"/>
    <w:rsid w:val="00DB1E4A"/>
    <w:rsid w:val="00DB2CDF"/>
    <w:rsid w:val="00DC20F2"/>
    <w:rsid w:val="00DD36BE"/>
    <w:rsid w:val="00DD4F27"/>
    <w:rsid w:val="00DD7443"/>
    <w:rsid w:val="00DD7AE6"/>
    <w:rsid w:val="00DF0FE5"/>
    <w:rsid w:val="00E04605"/>
    <w:rsid w:val="00E06D52"/>
    <w:rsid w:val="00E24DFC"/>
    <w:rsid w:val="00E26E89"/>
    <w:rsid w:val="00E3040C"/>
    <w:rsid w:val="00E30888"/>
    <w:rsid w:val="00E3614A"/>
    <w:rsid w:val="00E52331"/>
    <w:rsid w:val="00E62255"/>
    <w:rsid w:val="00E72BD0"/>
    <w:rsid w:val="00E77756"/>
    <w:rsid w:val="00E82BFD"/>
    <w:rsid w:val="00EA23F8"/>
    <w:rsid w:val="00EB1162"/>
    <w:rsid w:val="00EB3ACF"/>
    <w:rsid w:val="00EC03C5"/>
    <w:rsid w:val="00EC64BF"/>
    <w:rsid w:val="00ED4C58"/>
    <w:rsid w:val="00ED518E"/>
    <w:rsid w:val="00EF1BD7"/>
    <w:rsid w:val="00F0294F"/>
    <w:rsid w:val="00F06E69"/>
    <w:rsid w:val="00F07B09"/>
    <w:rsid w:val="00F52F31"/>
    <w:rsid w:val="00F54F60"/>
    <w:rsid w:val="00F62F2B"/>
    <w:rsid w:val="00F659FE"/>
    <w:rsid w:val="00F66FEE"/>
    <w:rsid w:val="00F72E41"/>
    <w:rsid w:val="00F8544E"/>
    <w:rsid w:val="00FC0266"/>
    <w:rsid w:val="00FC66C2"/>
    <w:rsid w:val="00FD09E6"/>
    <w:rsid w:val="00FD7ED8"/>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s.org/es/cidh/decisiones/2021/HOSA12961E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s.org/es/cidh/decisiones/2014/HOAD775.03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org/es/cidh/decisiones/2021/HOSA12961E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ecisiones/2021/HOSA12961EES.pdf" TargetMode="External"/><Relationship Id="rId1" Type="http://schemas.openxmlformats.org/officeDocument/2006/relationships/hyperlink" Target="https://www.oas.org/es/cidh/decisiones/2021/HOSA12961E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2023-03-07T20:31:00Z</dcterms:created>
  <dcterms:modified xsi:type="dcterms:W3CDTF">2023-03-07T20:31:00Z</dcterms:modified>
</cp:coreProperties>
</file>