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BEA4" w14:textId="77777777" w:rsidR="00FE3F57" w:rsidRPr="0009182C" w:rsidRDefault="00FE3F57" w:rsidP="00FE3F57">
      <w:pPr>
        <w:spacing w:after="0" w:line="240" w:lineRule="auto"/>
        <w:jc w:val="center"/>
        <w:rPr>
          <w:rFonts w:ascii="Cambria" w:hAnsi="Cambria"/>
          <w:b/>
          <w:lang w:val="es-CO"/>
        </w:rPr>
      </w:pPr>
      <w:r w:rsidRPr="0009182C">
        <w:rPr>
          <w:rFonts w:ascii="Cambria" w:hAnsi="Cambria"/>
          <w:b/>
          <w:lang w:val="es-CO"/>
        </w:rPr>
        <w:t>FICHA TÉCNICA INFORMATIVA</w:t>
      </w:r>
    </w:p>
    <w:p w14:paraId="3CA484E0" w14:textId="77777777" w:rsidR="00FE3F57" w:rsidRPr="0009182C" w:rsidRDefault="00FE3F57" w:rsidP="00FE3F57">
      <w:pPr>
        <w:pStyle w:val="MediumGrid21"/>
        <w:ind w:left="-270" w:right="-270"/>
        <w:jc w:val="center"/>
        <w:rPr>
          <w:rFonts w:ascii="Cambria" w:hAnsi="Cambria"/>
          <w:b/>
          <w:lang w:val="es-CO"/>
        </w:rPr>
      </w:pPr>
      <w:r w:rsidRPr="0009182C">
        <w:rPr>
          <w:rFonts w:ascii="Cambria" w:hAnsi="Cambria"/>
          <w:b/>
          <w:lang w:val="es-CO"/>
        </w:rPr>
        <w:t>CASO 12.627 MARÍA NICOLASA GARCÍA REYNOSO</w:t>
      </w:r>
    </w:p>
    <w:p w14:paraId="0E8A636A" w14:textId="77777777" w:rsidR="00FE3F57" w:rsidRPr="0009182C" w:rsidRDefault="00FE3F57" w:rsidP="00FE3F57">
      <w:pPr>
        <w:spacing w:after="0" w:line="240" w:lineRule="auto"/>
        <w:jc w:val="center"/>
        <w:rPr>
          <w:rFonts w:ascii="Cambria" w:eastAsia="Batang" w:hAnsi="Cambria"/>
          <w:b/>
          <w:lang w:val="es-CO"/>
        </w:rPr>
      </w:pPr>
      <w:r w:rsidRPr="0009182C">
        <w:rPr>
          <w:rFonts w:ascii="Cambria" w:eastAsia="Batang" w:hAnsi="Cambria"/>
          <w:b/>
          <w:lang w:val="es-CO"/>
        </w:rPr>
        <w:t xml:space="preserve">INFORME </w:t>
      </w:r>
      <w:r w:rsidRPr="0009182C">
        <w:rPr>
          <w:rFonts w:ascii="Cambria" w:eastAsia="Batang" w:hAnsi="Cambria"/>
          <w:b/>
          <w:color w:val="000000" w:themeColor="text1"/>
          <w:lang w:val="es-CO"/>
        </w:rPr>
        <w:t xml:space="preserve">DE SOLUCIÓN AMISTOSA No. </w:t>
      </w:r>
      <w:hyperlink r:id="rId7" w:history="1">
        <w:r w:rsidRPr="0009182C">
          <w:rPr>
            <w:rStyle w:val="Hyperlink"/>
            <w:rFonts w:ascii="Cambria" w:eastAsia="Batang" w:hAnsi="Cambria"/>
            <w:b/>
            <w:bCs/>
            <w:color w:val="000000" w:themeColor="text1"/>
            <w:lang w:val="es-CO"/>
          </w:rPr>
          <w:t>92/17</w:t>
        </w:r>
      </w:hyperlink>
    </w:p>
    <w:p w14:paraId="6E148B68" w14:textId="77777777" w:rsidR="00FE3F57" w:rsidRPr="0009182C" w:rsidRDefault="00FE3F57" w:rsidP="00FE3F57">
      <w:pPr>
        <w:spacing w:after="0" w:line="240" w:lineRule="auto"/>
        <w:jc w:val="center"/>
        <w:rPr>
          <w:rFonts w:ascii="Cambria" w:eastAsia="Batang" w:hAnsi="Cambria"/>
          <w:b/>
          <w:lang w:val="es-CO"/>
        </w:rPr>
      </w:pPr>
      <w:r w:rsidRPr="0009182C">
        <w:rPr>
          <w:rFonts w:ascii="Cambria" w:eastAsia="Batang" w:hAnsi="Cambria"/>
          <w:b/>
          <w:lang w:val="es-CO"/>
        </w:rPr>
        <w:t>CUMPLIMIENTO TOTAL</w:t>
      </w:r>
    </w:p>
    <w:p w14:paraId="253513F0" w14:textId="77777777" w:rsidR="00FE3F57" w:rsidRPr="0009182C" w:rsidRDefault="00FE3F57" w:rsidP="00FE3F57">
      <w:pPr>
        <w:spacing w:after="0" w:line="240" w:lineRule="auto"/>
        <w:jc w:val="center"/>
        <w:rPr>
          <w:rFonts w:ascii="Cambria" w:eastAsia="Batang" w:hAnsi="Cambria"/>
          <w:b/>
          <w:lang w:val="es-CO"/>
        </w:rPr>
      </w:pPr>
      <w:r w:rsidRPr="0009182C">
        <w:rPr>
          <w:rFonts w:ascii="Cambria" w:eastAsia="Batang" w:hAnsi="Cambria"/>
          <w:b/>
          <w:lang w:val="es-CO"/>
        </w:rPr>
        <w:t>(MÉXICO)</w:t>
      </w:r>
    </w:p>
    <w:p w14:paraId="004A9B1C" w14:textId="77777777" w:rsidR="00FE3F57" w:rsidRPr="0009182C" w:rsidRDefault="00FE3F57" w:rsidP="00FE3F57">
      <w:pPr>
        <w:spacing w:after="0" w:line="240" w:lineRule="auto"/>
        <w:jc w:val="center"/>
        <w:rPr>
          <w:rFonts w:ascii="Cambria" w:eastAsia="Batang" w:hAnsi="Cambria"/>
          <w:b/>
          <w:lang w:val="es-CO"/>
        </w:rPr>
      </w:pPr>
    </w:p>
    <w:p w14:paraId="492D2822" w14:textId="77777777" w:rsidR="00FE3F57" w:rsidRPr="0009182C" w:rsidRDefault="00FE3F57" w:rsidP="00FE3F57">
      <w:pPr>
        <w:numPr>
          <w:ilvl w:val="0"/>
          <w:numId w:val="1"/>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64698B93" w14:textId="77777777" w:rsidR="00FE3F57" w:rsidRPr="0009182C" w:rsidRDefault="00FE3F57" w:rsidP="00FE3F57">
      <w:pPr>
        <w:spacing w:after="0" w:line="240" w:lineRule="auto"/>
        <w:jc w:val="both"/>
        <w:rPr>
          <w:rFonts w:ascii="Cambria" w:eastAsia="Batang" w:hAnsi="Cambria" w:cs="Calibri Light"/>
          <w:b/>
          <w:color w:val="080808"/>
          <w:lang w:val="es-CO"/>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19"/>
      </w:tblGrid>
      <w:tr w:rsidR="00FE3F57" w:rsidRPr="001873B5" w14:paraId="4459ED6E" w14:textId="77777777" w:rsidTr="00B67A4A">
        <w:trPr>
          <w:trHeight w:val="4592"/>
          <w:jc w:val="center"/>
        </w:trPr>
        <w:tc>
          <w:tcPr>
            <w:tcW w:w="9319" w:type="dxa"/>
            <w:shd w:val="clear" w:color="auto" w:fill="F2F2F2"/>
          </w:tcPr>
          <w:p w14:paraId="401C6BDB" w14:textId="77777777" w:rsidR="00FE3F57" w:rsidRPr="0009182C" w:rsidRDefault="00FE3F57" w:rsidP="00B67A4A">
            <w:pPr>
              <w:pStyle w:val="MediumGrid21"/>
              <w:contextualSpacing/>
              <w:rPr>
                <w:rFonts w:ascii="Cambria" w:hAnsi="Cambria"/>
                <w:b/>
                <w:color w:val="000000"/>
                <w:lang w:val="es-CO"/>
              </w:rPr>
            </w:pPr>
            <w:r w:rsidRPr="0009182C">
              <w:rPr>
                <w:rFonts w:ascii="Cambria" w:hAnsi="Cambria"/>
                <w:b/>
                <w:color w:val="000000"/>
                <w:lang w:val="es-CO"/>
              </w:rPr>
              <w:t xml:space="preserve">Víctima (s): </w:t>
            </w:r>
            <w:r w:rsidRPr="0009182C">
              <w:rPr>
                <w:rFonts w:ascii="Cambria" w:hAnsi="Cambria"/>
                <w:bCs/>
                <w:color w:val="000000"/>
                <w:lang w:val="es-CO"/>
              </w:rPr>
              <w:t>María Nicolasa García Reynoso</w:t>
            </w:r>
          </w:p>
          <w:p w14:paraId="1D628827" w14:textId="77777777" w:rsidR="00FE3F57" w:rsidRPr="0009182C" w:rsidRDefault="00FE3F57" w:rsidP="00B67A4A">
            <w:pPr>
              <w:pStyle w:val="MediumGrid21"/>
              <w:contextualSpacing/>
              <w:rPr>
                <w:rFonts w:ascii="Cambria" w:hAnsi="Cambria"/>
                <w:b/>
                <w:color w:val="000000" w:themeColor="text1"/>
                <w:lang w:val="es-CO"/>
              </w:rPr>
            </w:pPr>
            <w:r w:rsidRPr="0009182C">
              <w:rPr>
                <w:rFonts w:ascii="Cambria" w:hAnsi="Cambria"/>
                <w:b/>
                <w:color w:val="000000" w:themeColor="text1"/>
                <w:lang w:val="es-CO"/>
              </w:rPr>
              <w:t xml:space="preserve">Peticionario (s): </w:t>
            </w:r>
            <w:r w:rsidRPr="0009182C">
              <w:rPr>
                <w:rFonts w:ascii="Cambria" w:hAnsi="Cambria"/>
                <w:bCs/>
                <w:color w:val="000000" w:themeColor="text1"/>
                <w:lang w:val="es-CO"/>
              </w:rPr>
              <w:t>Dinah Laureano, María Nicolasa García Reynoso</w:t>
            </w:r>
          </w:p>
          <w:p w14:paraId="680E009B" w14:textId="77777777" w:rsidR="00FE3F57" w:rsidRPr="0009182C" w:rsidRDefault="00FE3F57" w:rsidP="00B67A4A">
            <w:pPr>
              <w:pStyle w:val="MediumGrid21"/>
              <w:contextualSpacing/>
              <w:rPr>
                <w:rFonts w:ascii="Cambria" w:hAnsi="Cambria"/>
                <w:b/>
                <w:color w:val="000000" w:themeColor="text1"/>
                <w:lang w:val="es-CO"/>
              </w:rPr>
            </w:pPr>
            <w:r w:rsidRPr="0009182C">
              <w:rPr>
                <w:rFonts w:ascii="Cambria" w:hAnsi="Cambria"/>
                <w:b/>
                <w:color w:val="000000" w:themeColor="text1"/>
                <w:lang w:val="es-CO"/>
              </w:rPr>
              <w:t xml:space="preserve">Estado: </w:t>
            </w:r>
            <w:r w:rsidRPr="0009182C">
              <w:rPr>
                <w:rFonts w:ascii="Cambria" w:hAnsi="Cambria"/>
                <w:bCs/>
                <w:color w:val="000000" w:themeColor="text1"/>
                <w:lang w:val="es-CO"/>
              </w:rPr>
              <w:t>México</w:t>
            </w:r>
          </w:p>
          <w:p w14:paraId="7C3A1C3D" w14:textId="77777777" w:rsidR="00FE3F57" w:rsidRPr="0009182C" w:rsidRDefault="00FE3F57" w:rsidP="00B67A4A">
            <w:pPr>
              <w:pStyle w:val="MediumGrid21"/>
              <w:contextualSpacing/>
              <w:rPr>
                <w:rFonts w:ascii="Cambria" w:hAnsi="Cambria"/>
                <w:b/>
                <w:bCs/>
                <w:color w:val="000000" w:themeColor="text1"/>
                <w:lang w:val="es-CO"/>
              </w:rPr>
            </w:pPr>
            <w:r w:rsidRPr="0009182C">
              <w:rPr>
                <w:rFonts w:ascii="Cambria" w:hAnsi="Cambria"/>
                <w:b/>
                <w:bCs/>
                <w:color w:val="000000" w:themeColor="text1"/>
                <w:lang w:val="es-CO"/>
              </w:rPr>
              <w:t xml:space="preserve">Fecha de inicio de las negociaciones: </w:t>
            </w:r>
            <w:r w:rsidRPr="0009182C">
              <w:rPr>
                <w:rFonts w:ascii="Cambria" w:hAnsi="Cambria"/>
                <w:bCs/>
                <w:color w:val="000000" w:themeColor="text1"/>
                <w:lang w:val="es-CO"/>
              </w:rPr>
              <w:t>27 de noviembre de 2007</w:t>
            </w:r>
          </w:p>
          <w:p w14:paraId="5C5A3982" w14:textId="77777777" w:rsidR="00FE3F57" w:rsidRPr="0009182C" w:rsidRDefault="00FE3F57" w:rsidP="00B67A4A">
            <w:pPr>
              <w:pStyle w:val="MediumGrid21"/>
              <w:contextualSpacing/>
              <w:jc w:val="both"/>
              <w:rPr>
                <w:rFonts w:ascii="Cambria" w:hAnsi="Cambria"/>
                <w:b/>
                <w:bCs/>
                <w:color w:val="000000" w:themeColor="text1"/>
                <w:lang w:val="es-CO"/>
              </w:rPr>
            </w:pPr>
            <w:r w:rsidRPr="0009182C">
              <w:rPr>
                <w:rFonts w:ascii="Cambria" w:hAnsi="Cambria"/>
                <w:b/>
                <w:bCs/>
                <w:color w:val="000000" w:themeColor="text1"/>
                <w:lang w:val="es-CO"/>
              </w:rPr>
              <w:t xml:space="preserve">Fecha de Firma de ASA: </w:t>
            </w:r>
            <w:r w:rsidRPr="0009182C">
              <w:rPr>
                <w:rFonts w:ascii="Cambria" w:hAnsi="Cambria"/>
                <w:color w:val="000000" w:themeColor="text1"/>
                <w:lang w:val="es-CO"/>
              </w:rPr>
              <w:t>10 de octubre de 2012</w:t>
            </w:r>
            <w:r w:rsidRPr="0009182C">
              <w:rPr>
                <w:rFonts w:ascii="Cambria" w:hAnsi="Cambria"/>
                <w:b/>
                <w:bCs/>
                <w:color w:val="000000" w:themeColor="text1"/>
                <w:lang w:val="es-CO"/>
              </w:rPr>
              <w:t xml:space="preserve"> </w:t>
            </w:r>
          </w:p>
          <w:p w14:paraId="0C5D190E" w14:textId="77777777" w:rsidR="00FE3F57" w:rsidRPr="0009182C" w:rsidRDefault="00FE3F57" w:rsidP="00B67A4A">
            <w:pPr>
              <w:pStyle w:val="MediumGrid21"/>
              <w:contextualSpacing/>
              <w:rPr>
                <w:rFonts w:ascii="Cambria" w:hAnsi="Cambria"/>
                <w:b/>
                <w:color w:val="000000" w:themeColor="text1"/>
                <w:lang w:val="es-CO"/>
              </w:rPr>
            </w:pPr>
            <w:r w:rsidRPr="0009182C">
              <w:rPr>
                <w:rFonts w:ascii="Cambria" w:hAnsi="Cambria"/>
                <w:b/>
                <w:color w:val="000000" w:themeColor="text1"/>
                <w:lang w:val="es-CO"/>
              </w:rPr>
              <w:t xml:space="preserve">Informe de Admisibilidad: </w:t>
            </w:r>
            <w:hyperlink r:id="rId8" w:history="1">
              <w:r w:rsidRPr="0009182C">
                <w:rPr>
                  <w:rStyle w:val="Hyperlink"/>
                  <w:rFonts w:ascii="Cambria" w:hAnsi="Cambria"/>
                  <w:b/>
                  <w:bCs/>
                  <w:color w:val="000000" w:themeColor="text1"/>
                  <w:lang w:val="es-CO"/>
                </w:rPr>
                <w:t>53/07</w:t>
              </w:r>
            </w:hyperlink>
            <w:r w:rsidRPr="0009182C">
              <w:rPr>
                <w:rFonts w:ascii="Cambria" w:hAnsi="Cambria"/>
                <w:bCs/>
                <w:color w:val="000000" w:themeColor="text1"/>
                <w:lang w:val="es-CO"/>
              </w:rPr>
              <w:t xml:space="preserve"> publicado el 24 de julio de 2007</w:t>
            </w:r>
          </w:p>
          <w:p w14:paraId="6A96E5FB" w14:textId="77777777" w:rsidR="00FE3F57" w:rsidRPr="0009182C" w:rsidRDefault="00FE3F57" w:rsidP="00B67A4A">
            <w:pPr>
              <w:pStyle w:val="MediumGrid21"/>
              <w:contextualSpacing/>
              <w:rPr>
                <w:rFonts w:ascii="Cambria" w:hAnsi="Cambria"/>
                <w:bCs/>
                <w:color w:val="000000" w:themeColor="text1"/>
                <w:lang w:val="es-CO"/>
              </w:rPr>
            </w:pPr>
            <w:r w:rsidRPr="0009182C">
              <w:rPr>
                <w:rFonts w:ascii="Cambria" w:hAnsi="Cambria"/>
                <w:b/>
                <w:color w:val="000000" w:themeColor="text1"/>
                <w:lang w:val="es-CO"/>
              </w:rPr>
              <w:t xml:space="preserve">Informe de Acuerdo de Solución Amistosa:  </w:t>
            </w:r>
            <w:hyperlink r:id="rId9" w:history="1">
              <w:r w:rsidRPr="0009182C">
                <w:rPr>
                  <w:rStyle w:val="Hyperlink"/>
                  <w:rFonts w:ascii="Cambria" w:hAnsi="Cambria"/>
                  <w:b/>
                  <w:bCs/>
                  <w:color w:val="000000" w:themeColor="text1"/>
                  <w:lang w:val="es-CO"/>
                </w:rPr>
                <w:t>92/17</w:t>
              </w:r>
            </w:hyperlink>
            <w:r w:rsidRPr="0009182C">
              <w:rPr>
                <w:rFonts w:ascii="Cambria" w:hAnsi="Cambria"/>
                <w:bCs/>
                <w:color w:val="000000" w:themeColor="text1"/>
                <w:lang w:val="es-CO"/>
              </w:rPr>
              <w:t xml:space="preserve"> publicado el 7 de julio de 2017</w:t>
            </w:r>
          </w:p>
          <w:p w14:paraId="3A01BB5B" w14:textId="77777777" w:rsidR="00FE3F57" w:rsidRPr="0009182C" w:rsidRDefault="00FE3F57" w:rsidP="00B67A4A">
            <w:pPr>
              <w:pStyle w:val="MediumGrid21"/>
              <w:contextualSpacing/>
              <w:jc w:val="both"/>
              <w:rPr>
                <w:rFonts w:ascii="Cambria" w:hAnsi="Cambria"/>
                <w:b/>
                <w:bCs/>
                <w:color w:val="000000" w:themeColor="text1"/>
                <w:lang w:val="es-CO"/>
              </w:rPr>
            </w:pPr>
            <w:r w:rsidRPr="0009182C">
              <w:rPr>
                <w:rFonts w:ascii="Cambria" w:hAnsi="Cambria"/>
                <w:b/>
                <w:bCs/>
                <w:color w:val="000000" w:themeColor="text1"/>
                <w:lang w:val="es-CO"/>
              </w:rPr>
              <w:t xml:space="preserve">Duración estimada de la fase de negociación: </w:t>
            </w:r>
            <w:r w:rsidRPr="0009182C">
              <w:rPr>
                <w:rFonts w:ascii="Cambria" w:hAnsi="Cambria"/>
                <w:bCs/>
                <w:color w:val="000000" w:themeColor="text1"/>
                <w:lang w:val="es-CO"/>
              </w:rPr>
              <w:t>10 años</w:t>
            </w:r>
          </w:p>
          <w:p w14:paraId="6F7D5E7C" w14:textId="77777777" w:rsidR="00FE3F57" w:rsidRPr="0009182C" w:rsidRDefault="00FE3F57" w:rsidP="00B67A4A">
            <w:pPr>
              <w:pStyle w:val="MediumGrid21"/>
              <w:contextualSpacing/>
              <w:rPr>
                <w:rFonts w:ascii="Cambria" w:hAnsi="Cambria"/>
                <w:b/>
                <w:color w:val="000000" w:themeColor="text1"/>
                <w:lang w:val="es-CO"/>
              </w:rPr>
            </w:pPr>
            <w:r w:rsidRPr="0009182C">
              <w:rPr>
                <w:rFonts w:ascii="Cambria" w:hAnsi="Cambria"/>
                <w:b/>
                <w:color w:val="000000" w:themeColor="text1"/>
                <w:lang w:val="es-CO"/>
              </w:rPr>
              <w:t xml:space="preserve">Relatoría vinculada: </w:t>
            </w:r>
            <w:r w:rsidRPr="0009182C">
              <w:rPr>
                <w:rFonts w:ascii="Cambria" w:hAnsi="Cambria"/>
                <w:bCs/>
                <w:color w:val="000000" w:themeColor="text1"/>
                <w:lang w:val="es-CO"/>
              </w:rPr>
              <w:t>Defensores y Defensoras de Derechos Humanos</w:t>
            </w:r>
          </w:p>
          <w:p w14:paraId="379E9F60" w14:textId="77777777" w:rsidR="00FE3F57" w:rsidRPr="0009182C" w:rsidRDefault="00FE3F57" w:rsidP="00B67A4A">
            <w:pPr>
              <w:pStyle w:val="MediumGrid21"/>
              <w:contextualSpacing/>
              <w:rPr>
                <w:rFonts w:ascii="Cambria" w:hAnsi="Cambria"/>
                <w:b/>
                <w:color w:val="000000"/>
                <w:lang w:val="es-CO"/>
              </w:rPr>
            </w:pPr>
            <w:r w:rsidRPr="0009182C">
              <w:rPr>
                <w:rFonts w:ascii="Cambria" w:hAnsi="Cambria"/>
                <w:b/>
                <w:color w:val="000000"/>
                <w:lang w:val="es-CO"/>
              </w:rPr>
              <w:t xml:space="preserve">Temas: </w:t>
            </w:r>
            <w:r w:rsidRPr="0009182C">
              <w:rPr>
                <w:rFonts w:ascii="Cambria" w:hAnsi="Cambria"/>
                <w:bCs/>
                <w:color w:val="000000"/>
                <w:lang w:val="es-CO"/>
              </w:rPr>
              <w:t>Amenazas, actos de intimidación y acoso/ Investigación</w:t>
            </w:r>
          </w:p>
          <w:p w14:paraId="5B55081B" w14:textId="77777777" w:rsidR="00FE3F57" w:rsidRPr="0009182C" w:rsidRDefault="00FE3F57" w:rsidP="00B67A4A">
            <w:pPr>
              <w:pStyle w:val="MediumGrid21"/>
              <w:contextualSpacing/>
              <w:rPr>
                <w:rFonts w:ascii="Cambria" w:hAnsi="Cambria"/>
                <w:b/>
                <w:color w:val="000000"/>
                <w:lang w:val="es-CO"/>
              </w:rPr>
            </w:pPr>
          </w:p>
          <w:p w14:paraId="6824D2AA" w14:textId="77777777" w:rsidR="00FE3F57" w:rsidRPr="0009182C" w:rsidRDefault="00FE3F57" w:rsidP="00B67A4A">
            <w:pPr>
              <w:pStyle w:val="MediumGrid21"/>
              <w:jc w:val="both"/>
              <w:rPr>
                <w:rFonts w:ascii="Cambria" w:hAnsi="Cambria"/>
                <w:b/>
                <w:color w:val="000000"/>
                <w:lang w:val="es-CO"/>
              </w:rPr>
            </w:pPr>
            <w:r w:rsidRPr="0009182C">
              <w:rPr>
                <w:rFonts w:ascii="Cambria" w:hAnsi="Cambria"/>
                <w:b/>
                <w:color w:val="000000"/>
                <w:lang w:val="es-CO"/>
              </w:rPr>
              <w:t>Hechos</w:t>
            </w:r>
            <w:r w:rsidRPr="0009182C">
              <w:rPr>
                <w:rFonts w:ascii="Cambria" w:hAnsi="Cambria"/>
                <w:bCs/>
                <w:color w:val="000000"/>
                <w:lang w:val="es-CO"/>
              </w:rPr>
              <w:t>: El 4 de agosto de 2003, la Comisión Interamericana de Derechos Humanos recibió una denuncia presentada por el Frente Mexicano Pro Derechos Humanos, en la cual alega responsabilidad internacional de los Estados Unidos Mexicanos por presuntos ataques, actos de intimidación y amenazas en contra de la señora María Nicolasa García Reynoso, como represalia a su trabajo como defensora de derechos humanos en México y por la posterior falta de investigación efectiva de los mismos, particularmente, debido a su denuncia constante sobre la explotación sexual comercial de niños y niñas en Puerto Vallarta, Jalisco.</w:t>
            </w:r>
            <w:r w:rsidRPr="0009182C">
              <w:rPr>
                <w:rFonts w:ascii="Cambria" w:hAnsi="Cambria"/>
                <w:b/>
                <w:color w:val="000000"/>
                <w:lang w:val="es-CO"/>
              </w:rPr>
              <w:t xml:space="preserve"> </w:t>
            </w:r>
          </w:p>
          <w:p w14:paraId="67B2C24F" w14:textId="77777777" w:rsidR="00FE3F57" w:rsidRPr="0009182C" w:rsidRDefault="00FE3F57" w:rsidP="00B67A4A">
            <w:pPr>
              <w:pStyle w:val="MediumGrid21"/>
              <w:contextualSpacing/>
              <w:rPr>
                <w:rFonts w:ascii="Cambria" w:hAnsi="Cambria"/>
                <w:b/>
                <w:color w:val="000000"/>
                <w:lang w:val="es-CO"/>
              </w:rPr>
            </w:pPr>
          </w:p>
          <w:p w14:paraId="4FD548E2" w14:textId="77777777" w:rsidR="00FE3F57" w:rsidRPr="0009182C" w:rsidRDefault="00FE3F57"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MS Mincho" w:hAnsi="Cambria"/>
                <w:b/>
                <w:color w:val="000000"/>
                <w:lang w:val="es-CO"/>
              </w:rPr>
              <w:t xml:space="preserve">Derechos alegados: </w:t>
            </w:r>
            <w:r w:rsidRPr="0009182C">
              <w:rPr>
                <w:rFonts w:ascii="Cambria" w:eastAsia="MS Mincho" w:hAnsi="Cambria"/>
                <w:bCs/>
                <w:color w:val="000000"/>
                <w:lang w:val="es-CO"/>
              </w:rPr>
              <w:t>La Comisión concluyó que era competente para conocer el presente caso y que la petición era admisible con relación a los artículos 5 (integridad personal), 8.1 (garantías judiciales) y 25 (garantías de protección judicial) de la Convención Americana sobre Derechos Humanos en relación con las obligaciones derivadas del artículo 1.1 del mismo instrumento internacional.</w:t>
            </w:r>
          </w:p>
        </w:tc>
      </w:tr>
    </w:tbl>
    <w:p w14:paraId="48F65AF2" w14:textId="77777777" w:rsidR="00FE3F57" w:rsidRPr="0009182C" w:rsidRDefault="00FE3F57" w:rsidP="00FE3F57">
      <w:pPr>
        <w:spacing w:after="0" w:line="240" w:lineRule="auto"/>
        <w:contextualSpacing/>
        <w:jc w:val="both"/>
        <w:rPr>
          <w:rFonts w:ascii="Cambria" w:eastAsia="Batang" w:hAnsi="Cambria" w:cs="Calibri Light"/>
          <w:b/>
          <w:color w:val="080808"/>
          <w:lang w:val="es-CO"/>
        </w:rPr>
      </w:pPr>
    </w:p>
    <w:p w14:paraId="2E0BC26B" w14:textId="77777777" w:rsidR="00FE3F57" w:rsidRPr="0009182C" w:rsidRDefault="00FE3F57" w:rsidP="00FE3F57">
      <w:pPr>
        <w:numPr>
          <w:ilvl w:val="0"/>
          <w:numId w:val="1"/>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142E47CF" w14:textId="77777777" w:rsidR="00FE3F57" w:rsidRPr="0009182C" w:rsidRDefault="00FE3F57" w:rsidP="00FE3F57">
      <w:pPr>
        <w:spacing w:after="0" w:line="240" w:lineRule="auto"/>
        <w:ind w:firstLine="720"/>
        <w:jc w:val="both"/>
        <w:rPr>
          <w:rFonts w:ascii="Cambria" w:hAnsi="Cambria"/>
          <w:color w:val="080808"/>
          <w:lang w:val="es-CO"/>
        </w:rPr>
      </w:pPr>
    </w:p>
    <w:p w14:paraId="4E8587DF" w14:textId="77777777" w:rsidR="00FE3F57" w:rsidRPr="0009182C" w:rsidRDefault="00FE3F57" w:rsidP="00FE3F57">
      <w:pPr>
        <w:numPr>
          <w:ilvl w:val="0"/>
          <w:numId w:val="2"/>
        </w:numPr>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El 10 de octubre de 2012, las partes firmaron un acuerdo de solución amistosa.</w:t>
      </w:r>
    </w:p>
    <w:p w14:paraId="73BA4E46" w14:textId="77777777" w:rsidR="00FE3F57" w:rsidRPr="0009182C" w:rsidRDefault="00FE3F57" w:rsidP="00FE3F57">
      <w:pPr>
        <w:spacing w:after="0" w:line="240" w:lineRule="auto"/>
        <w:ind w:firstLine="720"/>
        <w:jc w:val="both"/>
        <w:rPr>
          <w:rFonts w:ascii="Cambria" w:hAnsi="Cambria"/>
          <w:color w:val="080808"/>
          <w:lang w:val="es-CO"/>
        </w:rPr>
      </w:pPr>
    </w:p>
    <w:p w14:paraId="4D59D295" w14:textId="77777777" w:rsidR="00FE3F57" w:rsidRPr="0009182C" w:rsidRDefault="00FE3F57" w:rsidP="00FE3F57">
      <w:pPr>
        <w:numPr>
          <w:ilvl w:val="0"/>
          <w:numId w:val="2"/>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7 de julio de 2017, la Comisión aprobó el acuerdo suscrito por las partes, mediante el </w:t>
      </w:r>
      <w:r w:rsidRPr="0009182C">
        <w:rPr>
          <w:rFonts w:ascii="Cambria" w:hAnsi="Cambria"/>
          <w:color w:val="080808"/>
          <w:lang w:val="es-CO"/>
        </w:rPr>
        <w:t>Informe No. 92</w:t>
      </w:r>
      <w:r w:rsidRPr="0009182C">
        <w:rPr>
          <w:rFonts w:ascii="Cambria" w:eastAsia="Batang" w:hAnsi="Cambria"/>
          <w:color w:val="080808"/>
          <w:lang w:val="es-CO"/>
        </w:rPr>
        <w:t xml:space="preserve">/17. </w:t>
      </w:r>
    </w:p>
    <w:p w14:paraId="09F0816A" w14:textId="77777777" w:rsidR="00FE3F57" w:rsidRPr="0009182C" w:rsidRDefault="00FE3F57" w:rsidP="00FE3F57">
      <w:pPr>
        <w:spacing w:after="0" w:line="240" w:lineRule="auto"/>
        <w:jc w:val="both"/>
        <w:rPr>
          <w:rFonts w:ascii="Cambria" w:eastAsia="Batang" w:hAnsi="Cambria" w:cs="Calibri Light"/>
          <w:b/>
          <w:color w:val="080808"/>
          <w:lang w:val="es-CO"/>
        </w:rPr>
        <w:sectPr w:rsidR="00FE3F57" w:rsidRPr="0009182C" w:rsidSect="00A366BE">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6AA16678" w14:textId="77777777" w:rsidR="00FE3F57" w:rsidRPr="0009182C" w:rsidRDefault="00FE3F57" w:rsidP="00FE3F57">
      <w:pPr>
        <w:pStyle w:val="ListParagraph"/>
        <w:numPr>
          <w:ilvl w:val="0"/>
          <w:numId w:val="1"/>
        </w:numPr>
        <w:spacing w:after="0" w:line="240" w:lineRule="auto"/>
        <w:ind w:left="0" w:firstLine="709"/>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4CE4F4D1" w14:textId="77777777" w:rsidR="00FE3F57" w:rsidRPr="0009182C" w:rsidRDefault="00FE3F57" w:rsidP="00FE3F57">
      <w:pPr>
        <w:spacing w:after="0" w:line="240" w:lineRule="auto"/>
        <w:rPr>
          <w:rFonts w:ascii="Cambria" w:eastAsia="Batang" w:hAnsi="Cambria"/>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FE3F57" w:rsidRPr="0009182C" w14:paraId="4DFA13CF"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690CCFF" w14:textId="77777777" w:rsidR="00FE3F57" w:rsidRPr="0009182C" w:rsidRDefault="00FE3F57"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1508A8" w14:textId="77777777" w:rsidR="00FE3F57" w:rsidRPr="0009182C" w:rsidRDefault="00FE3F57"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FE3F57" w:rsidRPr="001873B5" w14:paraId="0566A911" w14:textId="77777777" w:rsidTr="00B67A4A">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0DD6D2EE" w14:textId="77777777" w:rsidR="00FE3F57" w:rsidRPr="0009182C" w:rsidRDefault="00FE3F57" w:rsidP="00B67A4A">
            <w:pPr>
              <w:spacing w:after="0" w:line="240" w:lineRule="auto"/>
              <w:jc w:val="both"/>
              <w:rPr>
                <w:rFonts w:ascii="Cambria" w:eastAsia="Batang" w:hAnsi="Cambria"/>
                <w:b/>
                <w:color w:val="080808"/>
                <w:lang w:val="es-CO"/>
              </w:rPr>
            </w:pPr>
            <w:r w:rsidRPr="0009182C">
              <w:rPr>
                <w:rFonts w:ascii="Cambria" w:eastAsia="MS Mincho" w:hAnsi="Cambria"/>
                <w:b/>
                <w:bCs/>
                <w:color w:val="000000"/>
                <w:lang w:val="es-CO" w:eastAsia="es-ES_tradnl"/>
              </w:rPr>
              <w:t>VI. REPARACIÓN INTEGRAL DEL DAÑO</w:t>
            </w:r>
          </w:p>
        </w:tc>
      </w:tr>
      <w:tr w:rsidR="00FE3F57" w:rsidRPr="0009182C" w14:paraId="13D799CB"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tcPr>
          <w:p w14:paraId="4E7091EB" w14:textId="77777777" w:rsidR="00FE3F57" w:rsidRPr="0009182C" w:rsidRDefault="00FE3F57" w:rsidP="00B67A4A">
            <w:pPr>
              <w:tabs>
                <w:tab w:val="left" w:pos="4230"/>
              </w:tabs>
              <w:spacing w:after="0" w:line="240" w:lineRule="auto"/>
              <w:jc w:val="both"/>
              <w:rPr>
                <w:rFonts w:ascii="Cambria" w:eastAsia="MS Mincho" w:hAnsi="Cambria"/>
                <w:b/>
                <w:color w:val="000000"/>
                <w:lang w:val="es-CO" w:eastAsia="es-ES_tradnl"/>
              </w:rPr>
            </w:pPr>
            <w:r w:rsidRPr="0009182C">
              <w:rPr>
                <w:rFonts w:ascii="Cambria" w:eastAsia="MS Mincho" w:hAnsi="Cambria"/>
                <w:b/>
                <w:color w:val="000000"/>
                <w:lang w:val="es-CO" w:eastAsia="es-ES_tradnl"/>
              </w:rPr>
              <w:t xml:space="preserve">VIII.1 Indemnización compensatoria. </w:t>
            </w:r>
          </w:p>
          <w:p w14:paraId="4F9ACCAC" w14:textId="77777777" w:rsidR="00FE3F57" w:rsidRPr="0009182C" w:rsidRDefault="00FE3F57" w:rsidP="00B67A4A">
            <w:pPr>
              <w:tabs>
                <w:tab w:val="left" w:pos="4230"/>
              </w:tabs>
              <w:spacing w:after="0" w:line="240" w:lineRule="auto"/>
              <w:jc w:val="both"/>
              <w:rPr>
                <w:rFonts w:ascii="Cambria" w:eastAsia="MS Mincho" w:hAnsi="Cambria"/>
                <w:color w:val="000000"/>
                <w:lang w:val="es-CO" w:eastAsia="es-ES_tradnl"/>
              </w:rPr>
            </w:pPr>
            <w:r w:rsidRPr="0009182C">
              <w:rPr>
                <w:rFonts w:ascii="Cambria" w:eastAsia="MS Mincho" w:hAnsi="Cambria"/>
                <w:b/>
                <w:color w:val="000000"/>
                <w:lang w:val="es-CO" w:eastAsia="es-ES_tradnl"/>
              </w:rPr>
              <w:t xml:space="preserve">PRIMERO. - </w:t>
            </w:r>
            <w:r w:rsidRPr="0009182C">
              <w:rPr>
                <w:rFonts w:ascii="Cambria" w:eastAsia="MS Mincho" w:hAnsi="Cambria"/>
                <w:color w:val="000000"/>
                <w:lang w:val="es-CO" w:eastAsia="es-ES_tradnl"/>
              </w:rPr>
              <w:t xml:space="preserve">Con base en la jurisprudencia del Sistema interamericano de Protección de los Derechos Humanos, el Estado mexicano hará entrega de la cantidad de $465,400.00 (cuatrocientos sesenta y cinco mil cuatrocientos pesos mexicanos 00/100 M.N.) por concepto de indemnización por reparación integral del daño. </w:t>
            </w:r>
          </w:p>
          <w:p w14:paraId="00AAB655" w14:textId="77777777" w:rsidR="00FE3F57" w:rsidRPr="0009182C" w:rsidRDefault="00FE3F57" w:rsidP="00B67A4A">
            <w:pPr>
              <w:spacing w:after="0" w:line="240" w:lineRule="auto"/>
              <w:jc w:val="both"/>
              <w:rPr>
                <w:rFonts w:ascii="Cambria" w:eastAsia="Times New Roman" w:hAnsi="Cambria"/>
                <w:color w:val="080808"/>
                <w:lang w:val="es-CO"/>
              </w:rPr>
            </w:pPr>
            <w:r w:rsidRPr="0009182C">
              <w:rPr>
                <w:rFonts w:ascii="Cambria" w:eastAsia="MS Mincho" w:hAnsi="Cambria"/>
                <w:b/>
                <w:color w:val="000000"/>
                <w:lang w:val="es-CO" w:eastAsia="es-ES_tradnl"/>
              </w:rPr>
              <w:t>SEGUNDO. -</w:t>
            </w:r>
            <w:r w:rsidRPr="0009182C">
              <w:rPr>
                <w:rFonts w:ascii="Cambria" w:eastAsia="MS Mincho" w:hAnsi="Cambria"/>
                <w:color w:val="000000"/>
                <w:lang w:val="es-CO" w:eastAsia="es-ES_tradnl"/>
              </w:rPr>
              <w:t xml:space="preserve"> Las cantidades que por indemnización corresponden a la víctima serán pagadas por el Estado mexicano dentro de los 30 días hábiles siguientes a la firma del presente Acuerdo, a través de la Unidad para la Promoción y Defensa de los Derechos Humanos de la Secretaría de Gobernación.</w:t>
            </w:r>
          </w:p>
        </w:tc>
        <w:tc>
          <w:tcPr>
            <w:tcW w:w="1701" w:type="dxa"/>
            <w:tcBorders>
              <w:top w:val="single" w:sz="4" w:space="0" w:color="auto"/>
              <w:left w:val="single" w:sz="4" w:space="0" w:color="auto"/>
              <w:bottom w:val="single" w:sz="4" w:space="0" w:color="auto"/>
              <w:right w:val="single" w:sz="4" w:space="0" w:color="auto"/>
            </w:tcBorders>
            <w:vAlign w:val="center"/>
          </w:tcPr>
          <w:p w14:paraId="3021982C" w14:textId="77777777" w:rsidR="00FE3F57" w:rsidRPr="0009182C" w:rsidRDefault="00FE3F57"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1"/>
            </w:r>
          </w:p>
        </w:tc>
      </w:tr>
      <w:tr w:rsidR="00FE3F57" w:rsidRPr="001873B5" w14:paraId="48D36217" w14:textId="77777777" w:rsidTr="00B67A4A">
        <w:trPr>
          <w:jc w:val="center"/>
        </w:trPr>
        <w:tc>
          <w:tcPr>
            <w:tcW w:w="9333" w:type="dxa"/>
            <w:gridSpan w:val="2"/>
            <w:tcBorders>
              <w:top w:val="single" w:sz="4" w:space="0" w:color="auto"/>
              <w:left w:val="single" w:sz="4" w:space="0" w:color="auto"/>
              <w:bottom w:val="single" w:sz="4" w:space="0" w:color="auto"/>
              <w:right w:val="single" w:sz="4" w:space="0" w:color="auto"/>
            </w:tcBorders>
          </w:tcPr>
          <w:p w14:paraId="5133BC80" w14:textId="77777777" w:rsidR="00FE3F57" w:rsidRPr="0009182C" w:rsidRDefault="00FE3F57" w:rsidP="00B67A4A">
            <w:pPr>
              <w:spacing w:after="0" w:line="240" w:lineRule="auto"/>
              <w:jc w:val="both"/>
              <w:rPr>
                <w:rFonts w:ascii="Cambria" w:eastAsia="Batang" w:hAnsi="Cambria"/>
                <w:b/>
                <w:color w:val="080808"/>
                <w:lang w:val="es-CO"/>
              </w:rPr>
            </w:pPr>
            <w:r w:rsidRPr="0009182C">
              <w:rPr>
                <w:rFonts w:ascii="Cambria" w:eastAsia="MS Mincho" w:hAnsi="Cambria"/>
                <w:b/>
                <w:color w:val="000000"/>
                <w:lang w:val="es-CO" w:eastAsia="es-ES_tradnl"/>
              </w:rPr>
              <w:t>VIII.2 Medidas de satisfacción y garantías de no repetición</w:t>
            </w:r>
          </w:p>
        </w:tc>
      </w:tr>
      <w:tr w:rsidR="00FE3F57" w:rsidRPr="001873B5" w14:paraId="3469570E" w14:textId="77777777" w:rsidTr="00B67A4A">
        <w:trPr>
          <w:jc w:val="center"/>
        </w:trPr>
        <w:tc>
          <w:tcPr>
            <w:tcW w:w="9333" w:type="dxa"/>
            <w:gridSpan w:val="2"/>
            <w:tcBorders>
              <w:top w:val="single" w:sz="4" w:space="0" w:color="auto"/>
              <w:left w:val="single" w:sz="4" w:space="0" w:color="auto"/>
              <w:bottom w:val="single" w:sz="4" w:space="0" w:color="auto"/>
              <w:right w:val="single" w:sz="4" w:space="0" w:color="auto"/>
            </w:tcBorders>
          </w:tcPr>
          <w:p w14:paraId="7066D795" w14:textId="77777777" w:rsidR="00FE3F57" w:rsidRPr="0009182C" w:rsidRDefault="00FE3F57" w:rsidP="00B67A4A">
            <w:pPr>
              <w:spacing w:after="0" w:line="240" w:lineRule="auto"/>
              <w:jc w:val="both"/>
              <w:rPr>
                <w:rFonts w:ascii="Cambria" w:hAnsi="Cambria"/>
                <w:b/>
                <w:bCs/>
                <w:color w:val="080808"/>
                <w:lang w:val="es-CO"/>
              </w:rPr>
            </w:pPr>
            <w:r w:rsidRPr="0009182C">
              <w:rPr>
                <w:rFonts w:ascii="Cambria" w:eastAsia="MS Mincho" w:hAnsi="Cambria"/>
                <w:b/>
                <w:color w:val="000000"/>
                <w:lang w:val="es-CO" w:eastAsia="es-ES_tradnl"/>
              </w:rPr>
              <w:t xml:space="preserve">VIII.2.1 Investigación de los hechos del caso y sanción de los responsables. </w:t>
            </w:r>
          </w:p>
        </w:tc>
      </w:tr>
      <w:tr w:rsidR="00FE3F57" w:rsidRPr="0009182C" w14:paraId="3BF6B875" w14:textId="77777777" w:rsidTr="00B67A4A">
        <w:trPr>
          <w:trHeight w:val="1574"/>
          <w:jc w:val="center"/>
        </w:trPr>
        <w:tc>
          <w:tcPr>
            <w:tcW w:w="7632" w:type="dxa"/>
            <w:tcBorders>
              <w:top w:val="single" w:sz="4" w:space="0" w:color="auto"/>
              <w:left w:val="single" w:sz="4" w:space="0" w:color="auto"/>
              <w:bottom w:val="single" w:sz="4" w:space="0" w:color="auto"/>
              <w:right w:val="single" w:sz="4" w:space="0" w:color="auto"/>
            </w:tcBorders>
          </w:tcPr>
          <w:p w14:paraId="483D8B87" w14:textId="77777777" w:rsidR="00FE3F57" w:rsidRPr="0009182C" w:rsidRDefault="00FE3F57" w:rsidP="00B67A4A">
            <w:pPr>
              <w:spacing w:after="0" w:line="240" w:lineRule="auto"/>
              <w:jc w:val="both"/>
              <w:rPr>
                <w:rFonts w:ascii="Cambria" w:hAnsi="Cambria"/>
                <w:color w:val="080808"/>
                <w:lang w:val="es-CO"/>
              </w:rPr>
            </w:pPr>
            <w:r w:rsidRPr="0009182C">
              <w:rPr>
                <w:rFonts w:ascii="Cambria" w:hAnsi="Cambria"/>
                <w:color w:val="000000"/>
                <w:lang w:val="es-CO"/>
              </w:rPr>
              <w:t>PRIMERA. - La Procuraduría General de la República, a través de la Unidad Especializada en Terrorismo, Acopio y Tráfico de Armas, se compromete a mantener la investigación abierta dentro de la AC/PGR/SIEDO/UEITA/131/20D7, y continuar agotando líneas que se deriven de la misma, por la posible comisión de delitos de orden federal, investigación que ha realizado con diligencia, y que seguirá haciendo en forma pronta y expedita, la cual se resolverá conforme a derecho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7C1E92E8" w14:textId="77777777" w:rsidR="00FE3F57" w:rsidRPr="0009182C" w:rsidRDefault="00FE3F57"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2"/>
            </w:r>
            <w:r w:rsidRPr="0009182C">
              <w:rPr>
                <w:rFonts w:ascii="Cambria" w:eastAsia="MS Mincho" w:hAnsi="Cambria"/>
                <w:b/>
                <w:color w:val="000000"/>
                <w:lang w:val="es-CO" w:eastAsia="es-ES_tradnl"/>
              </w:rPr>
              <w:t xml:space="preserve"> </w:t>
            </w:r>
          </w:p>
        </w:tc>
      </w:tr>
      <w:tr w:rsidR="00FE3F57" w:rsidRPr="0009182C" w14:paraId="7826724C" w14:textId="77777777" w:rsidTr="00B67A4A">
        <w:trPr>
          <w:trHeight w:val="1097"/>
          <w:jc w:val="center"/>
        </w:trPr>
        <w:tc>
          <w:tcPr>
            <w:tcW w:w="7632" w:type="dxa"/>
            <w:tcBorders>
              <w:top w:val="single" w:sz="4" w:space="0" w:color="auto"/>
              <w:left w:val="single" w:sz="4" w:space="0" w:color="auto"/>
              <w:bottom w:val="single" w:sz="4" w:space="0" w:color="auto"/>
              <w:right w:val="single" w:sz="4" w:space="0" w:color="auto"/>
            </w:tcBorders>
          </w:tcPr>
          <w:p w14:paraId="030F22D2" w14:textId="77777777" w:rsidR="00FE3F57" w:rsidRPr="0009182C" w:rsidRDefault="00FE3F57" w:rsidP="00B67A4A">
            <w:pPr>
              <w:spacing w:after="0" w:line="240" w:lineRule="auto"/>
              <w:jc w:val="both"/>
              <w:rPr>
                <w:rFonts w:ascii="Cambria" w:hAnsi="Cambria"/>
                <w:color w:val="080808"/>
                <w:lang w:val="es-CO"/>
              </w:rPr>
            </w:pPr>
            <w:r w:rsidRPr="0009182C">
              <w:rPr>
                <w:rFonts w:ascii="Cambria" w:hAnsi="Cambria"/>
                <w:color w:val="000000"/>
                <w:lang w:val="es-CO"/>
              </w:rPr>
              <w:t>SEGUNDA.- La Unidad Especializada en Investigación de Terrorismo, Acopio y Tráfico de Armas (UEITA) mantendrá el servicio de escolta y protección de la señora María Nicolasa García Reynoso, en el entendido que este servicio podrá ser retirado únicamente, una vez que el Mecanismo que establece la Ley para la Protección de Personas Defensoras de Derechos Humanos y Periodistas esté operando y le otorgue medidas de protección a la señora García Reynoso en su calidad de defensora de derechos humanos.</w:t>
            </w:r>
          </w:p>
        </w:tc>
        <w:tc>
          <w:tcPr>
            <w:tcW w:w="1701" w:type="dxa"/>
            <w:tcBorders>
              <w:top w:val="single" w:sz="4" w:space="0" w:color="auto"/>
              <w:left w:val="single" w:sz="4" w:space="0" w:color="auto"/>
              <w:bottom w:val="single" w:sz="4" w:space="0" w:color="auto"/>
              <w:right w:val="single" w:sz="4" w:space="0" w:color="auto"/>
            </w:tcBorders>
            <w:vAlign w:val="center"/>
          </w:tcPr>
          <w:p w14:paraId="76B77C3F" w14:textId="77777777" w:rsidR="00FE3F57" w:rsidRPr="0009182C" w:rsidRDefault="00FE3F57"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3"/>
            </w:r>
          </w:p>
        </w:tc>
      </w:tr>
      <w:tr w:rsidR="00FE3F57" w:rsidRPr="0009182C" w14:paraId="5223643B" w14:textId="77777777" w:rsidTr="00B67A4A">
        <w:trPr>
          <w:trHeight w:val="558"/>
          <w:jc w:val="center"/>
        </w:trPr>
        <w:tc>
          <w:tcPr>
            <w:tcW w:w="7632" w:type="dxa"/>
            <w:tcBorders>
              <w:top w:val="single" w:sz="4" w:space="0" w:color="auto"/>
              <w:left w:val="single" w:sz="4" w:space="0" w:color="auto"/>
              <w:bottom w:val="single" w:sz="4" w:space="0" w:color="auto"/>
              <w:right w:val="single" w:sz="4" w:space="0" w:color="auto"/>
            </w:tcBorders>
          </w:tcPr>
          <w:p w14:paraId="75FBD6A6" w14:textId="77777777" w:rsidR="00FE3F57" w:rsidRPr="0009182C" w:rsidRDefault="00FE3F57" w:rsidP="00B67A4A">
            <w:pPr>
              <w:spacing w:after="0" w:line="240" w:lineRule="auto"/>
              <w:jc w:val="both"/>
              <w:rPr>
                <w:rFonts w:ascii="Cambria" w:hAnsi="Cambria"/>
                <w:color w:val="080808"/>
                <w:lang w:val="es-CO"/>
              </w:rPr>
            </w:pPr>
            <w:r w:rsidRPr="0009182C">
              <w:rPr>
                <w:rFonts w:ascii="Cambria" w:hAnsi="Cambria"/>
                <w:color w:val="000000"/>
                <w:lang w:val="es-CO"/>
              </w:rPr>
              <w:t>TERCERA.- La Unidad para la Promoción y Defensa de los Derechos Humanos de la Secretaría de Gobernación se compromete a llevar a cabo las diligencias necesarias a efecto de que, una vez que el Mecanismo mencionado en la cláusula anterior esté operando, se incorpore a la señora María Nicolasa García Reynoso al mismo en función del riesgo que presenta por su calidad de defensora de derechos humanos; y en ese sentido, se le otorgarán las medidas de prevención y/o protección que sean necesarias para proteger su vida e integridad, de conformidad con lo que establece la Ley para la Protección de Personas Defensoras de Derechos Humanos y Periodistas.</w:t>
            </w:r>
          </w:p>
        </w:tc>
        <w:tc>
          <w:tcPr>
            <w:tcW w:w="1701" w:type="dxa"/>
            <w:tcBorders>
              <w:top w:val="single" w:sz="4" w:space="0" w:color="auto"/>
              <w:left w:val="single" w:sz="4" w:space="0" w:color="auto"/>
              <w:bottom w:val="single" w:sz="4" w:space="0" w:color="auto"/>
              <w:right w:val="single" w:sz="4" w:space="0" w:color="auto"/>
            </w:tcBorders>
            <w:vAlign w:val="center"/>
          </w:tcPr>
          <w:p w14:paraId="5966A70C" w14:textId="77777777" w:rsidR="00FE3F57" w:rsidRPr="0009182C" w:rsidRDefault="00FE3F57"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4"/>
            </w:r>
          </w:p>
        </w:tc>
      </w:tr>
    </w:tbl>
    <w:p w14:paraId="32C9025A" w14:textId="77777777" w:rsidR="00FE3F57" w:rsidRPr="0009182C" w:rsidRDefault="00FE3F57" w:rsidP="00FE3F57">
      <w:pPr>
        <w:spacing w:after="0" w:line="240" w:lineRule="auto"/>
        <w:rPr>
          <w:rFonts w:ascii="Cambria" w:eastAsia="Batang" w:hAnsi="Cambria"/>
          <w:color w:val="080808"/>
          <w:lang w:val="es-CO"/>
        </w:rPr>
      </w:pPr>
    </w:p>
    <w:p w14:paraId="646C0525" w14:textId="77777777" w:rsidR="00FE3F57" w:rsidRPr="0009182C" w:rsidRDefault="00FE3F57" w:rsidP="00FE3F57">
      <w:pPr>
        <w:numPr>
          <w:ilvl w:val="0"/>
          <w:numId w:val="1"/>
        </w:numPr>
        <w:autoSpaceDE w:val="0"/>
        <w:autoSpaceDN w:val="0"/>
        <w:adjustRightInd w:val="0"/>
        <w:spacing w:after="0" w:line="240" w:lineRule="auto"/>
        <w:jc w:val="both"/>
        <w:rPr>
          <w:rFonts w:ascii="Cambria" w:eastAsia="Batang" w:hAnsi="Cambria" w:cs="Calibri Light"/>
          <w:b/>
          <w:color w:val="080808"/>
          <w:lang w:val="es-CO"/>
        </w:rPr>
        <w:sectPr w:rsidR="00FE3F57" w:rsidRPr="0009182C" w:rsidSect="00CB39FB">
          <w:pgSz w:w="12240" w:h="15840"/>
          <w:pgMar w:top="1440" w:right="1440" w:bottom="1440" w:left="1440" w:header="720" w:footer="720" w:gutter="0"/>
          <w:pgNumType w:start="1"/>
          <w:cols w:space="720"/>
          <w:docGrid w:linePitch="360"/>
        </w:sectPr>
      </w:pPr>
    </w:p>
    <w:p w14:paraId="1F0E3D1A" w14:textId="77777777" w:rsidR="00FE3F57" w:rsidRPr="0009182C" w:rsidRDefault="00FE3F57" w:rsidP="00FE3F57">
      <w:pPr>
        <w:numPr>
          <w:ilvl w:val="0"/>
          <w:numId w:val="1"/>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NIVEL DE CUMPLIMIENTO DEL CASO</w:t>
      </w:r>
    </w:p>
    <w:p w14:paraId="004ACE10" w14:textId="77777777" w:rsidR="00FE3F57" w:rsidRPr="0009182C" w:rsidRDefault="00FE3F57" w:rsidP="00FE3F57">
      <w:pPr>
        <w:spacing w:after="0" w:line="240" w:lineRule="auto"/>
        <w:ind w:firstLine="720"/>
        <w:jc w:val="both"/>
        <w:rPr>
          <w:rFonts w:ascii="Cambria" w:eastAsia="Batang" w:hAnsi="Cambria" w:cs="Calibri Light"/>
          <w:color w:val="080808"/>
          <w:lang w:val="es-CO"/>
        </w:rPr>
      </w:pPr>
    </w:p>
    <w:p w14:paraId="50CFF774" w14:textId="77777777" w:rsidR="00FE3F57" w:rsidRPr="0009182C" w:rsidRDefault="00FE3F57" w:rsidP="00FE3F57">
      <w:pPr>
        <w:numPr>
          <w:ilvl w:val="0"/>
          <w:numId w:val="2"/>
        </w:numPr>
        <w:spacing w:after="0" w:line="240" w:lineRule="auto"/>
        <w:ind w:left="0" w:firstLine="720"/>
        <w:jc w:val="both"/>
        <w:rPr>
          <w:rFonts w:ascii="Cambria" w:hAnsi="Cambria"/>
          <w:color w:val="080808"/>
          <w:lang w:val="es-CO"/>
        </w:rPr>
      </w:pPr>
      <w:r w:rsidRPr="0009182C">
        <w:rPr>
          <w:rFonts w:ascii="Cambria" w:hAnsi="Cambria"/>
          <w:color w:val="080808"/>
          <w:lang w:val="es-CO"/>
        </w:rPr>
        <w:t>La Comisión declaró el cumplimiento total del asunto y el cese del seguimiento del acuerdo de solución amistosa en el Informe Anual de 2021.</w:t>
      </w:r>
    </w:p>
    <w:p w14:paraId="55550D75" w14:textId="77777777" w:rsidR="00FE3F57" w:rsidRPr="0009182C" w:rsidRDefault="00FE3F57" w:rsidP="00FE3F57">
      <w:pPr>
        <w:spacing w:after="0" w:line="240" w:lineRule="auto"/>
        <w:jc w:val="both"/>
        <w:rPr>
          <w:rFonts w:ascii="Cambria" w:eastAsia="Batang" w:hAnsi="Cambria" w:cs="Calibri Light"/>
          <w:b/>
          <w:color w:val="080808"/>
          <w:lang w:val="es-CO"/>
        </w:rPr>
      </w:pPr>
    </w:p>
    <w:p w14:paraId="3AF23472" w14:textId="77777777" w:rsidR="00FE3F57" w:rsidRPr="0009182C" w:rsidRDefault="00FE3F57" w:rsidP="00FE3F57">
      <w:pPr>
        <w:numPr>
          <w:ilvl w:val="0"/>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78D2C550" w14:textId="77777777" w:rsidR="00FE3F57" w:rsidRPr="0009182C" w:rsidRDefault="00FE3F57" w:rsidP="00FE3F57">
      <w:pPr>
        <w:spacing w:after="0" w:line="240" w:lineRule="auto"/>
        <w:ind w:firstLine="720"/>
        <w:contextualSpacing/>
        <w:jc w:val="both"/>
        <w:rPr>
          <w:rFonts w:ascii="Cambria" w:eastAsia="Batang" w:hAnsi="Cambria" w:cs="Calibri Light"/>
          <w:b/>
          <w:color w:val="080808"/>
          <w:lang w:val="es-CO"/>
        </w:rPr>
      </w:pPr>
    </w:p>
    <w:p w14:paraId="48E88E57" w14:textId="77777777" w:rsidR="00FE3F57" w:rsidRPr="0009182C" w:rsidRDefault="00FE3F57" w:rsidP="00FE3F57">
      <w:pPr>
        <w:numPr>
          <w:ilvl w:val="1"/>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1CA97840" w14:textId="77777777" w:rsidR="00FE3F57" w:rsidRPr="0009182C" w:rsidRDefault="00FE3F57" w:rsidP="00FE3F57">
      <w:pPr>
        <w:spacing w:after="0" w:line="240" w:lineRule="auto"/>
        <w:ind w:left="1440" w:hanging="720"/>
        <w:contextualSpacing/>
        <w:jc w:val="both"/>
        <w:rPr>
          <w:rFonts w:ascii="Cambria" w:eastAsia="Batang" w:hAnsi="Cambria" w:cs="Calibri Light"/>
          <w:b/>
          <w:color w:val="080808"/>
          <w:lang w:val="es-CO"/>
        </w:rPr>
      </w:pPr>
    </w:p>
    <w:p w14:paraId="2C76DE28" w14:textId="77777777" w:rsidR="00FE3F57" w:rsidRPr="0009182C" w:rsidRDefault="00FE3F57" w:rsidP="00FE3F57">
      <w:pPr>
        <w:numPr>
          <w:ilvl w:val="0"/>
          <w:numId w:val="3"/>
        </w:numPr>
        <w:spacing w:after="0" w:line="240" w:lineRule="auto"/>
        <w:ind w:hanging="720"/>
        <w:jc w:val="both"/>
        <w:rPr>
          <w:rFonts w:ascii="Cambria" w:hAnsi="Cambria"/>
          <w:color w:val="000000"/>
          <w:lang w:val="es-CO"/>
        </w:rPr>
      </w:pPr>
      <w:r w:rsidRPr="0009182C">
        <w:rPr>
          <w:rFonts w:ascii="Cambria" w:hAnsi="Cambria"/>
          <w:color w:val="000000"/>
          <w:lang w:val="es-CO"/>
        </w:rPr>
        <w:t>Se hizo entrega de un cheque por la cantidad de cuatrocientos sesenta y cinco mil cuatrocientos pesos mexicanos ($465,400 P.M.) a la señora María García Reynoso, como compensación económica.</w:t>
      </w:r>
    </w:p>
    <w:p w14:paraId="67357321" w14:textId="77777777" w:rsidR="00FE3F57" w:rsidRPr="0009182C" w:rsidRDefault="00FE3F57" w:rsidP="00FE3F57">
      <w:pPr>
        <w:numPr>
          <w:ilvl w:val="0"/>
          <w:numId w:val="3"/>
        </w:numPr>
        <w:spacing w:after="0" w:line="240" w:lineRule="auto"/>
        <w:ind w:hanging="720"/>
        <w:jc w:val="both"/>
        <w:rPr>
          <w:rFonts w:ascii="Cambria" w:eastAsia="MS Mincho" w:hAnsi="Cambria"/>
          <w:color w:val="000000"/>
          <w:lang w:val="es-CO" w:eastAsia="es-ES_tradnl"/>
        </w:rPr>
      </w:pPr>
      <w:r w:rsidRPr="0009182C">
        <w:rPr>
          <w:rFonts w:ascii="Cambria" w:eastAsia="MS Mincho" w:hAnsi="Cambria"/>
          <w:color w:val="000000"/>
          <w:lang w:val="es-CO" w:eastAsia="es-ES_tradnl"/>
        </w:rPr>
        <w:t xml:space="preserve">Se le proporcionó a la beneficiaria medidas de protección que incluyen a) botón de pánico; b) instalación y operación del video portero con contra chapa electromagnéticas en su domicilio; c) instalación y operación de un sistema de alarma con módulo de alerta para su celular; d) se solicitó reestablecer el servicio de escolta a la beneficiaria, el cual se había provisto con anterioridad, pero había sido retirado.  </w:t>
      </w:r>
    </w:p>
    <w:p w14:paraId="088EA796" w14:textId="77777777" w:rsidR="00FE3F57" w:rsidRPr="0009182C" w:rsidRDefault="00FE3F57" w:rsidP="00FE3F57">
      <w:pPr>
        <w:numPr>
          <w:ilvl w:val="0"/>
          <w:numId w:val="3"/>
        </w:numPr>
        <w:spacing w:after="0" w:line="240" w:lineRule="auto"/>
        <w:ind w:hanging="720"/>
        <w:jc w:val="both"/>
        <w:rPr>
          <w:rFonts w:ascii="Cambria" w:eastAsia="MS Mincho" w:hAnsi="Cambria"/>
          <w:color w:val="000000"/>
          <w:lang w:val="es-CO" w:eastAsia="es-ES_tradnl"/>
        </w:rPr>
      </w:pPr>
      <w:r w:rsidRPr="0009182C">
        <w:rPr>
          <w:rFonts w:ascii="Cambria" w:eastAsia="MS Mincho" w:hAnsi="Cambria"/>
          <w:color w:val="000000"/>
          <w:lang w:val="es-CO" w:eastAsia="es-ES_tradnl"/>
        </w:rPr>
        <w:t xml:space="preserve">El Estado inscribió a la peticionaria en el </w:t>
      </w:r>
      <w:r w:rsidRPr="0009182C">
        <w:rPr>
          <w:rFonts w:ascii="Cambria" w:hAnsi="Cambria"/>
          <w:color w:val="000000"/>
          <w:lang w:val="es-CO"/>
        </w:rPr>
        <w:t>Mecanismo de Protección para Personas Defensoras de Derechos Humanos y Periodistas y bajo dicho mecanismo realizó periódicamente las evaluaciones de riesgo correspondientes y ha brindado las medidas de seguridad a la peticionaria.</w:t>
      </w:r>
    </w:p>
    <w:p w14:paraId="63BFDCDD" w14:textId="77777777" w:rsidR="00FE3F57" w:rsidRPr="0009182C" w:rsidRDefault="00FE3F57" w:rsidP="00FE3F57">
      <w:pPr>
        <w:numPr>
          <w:ilvl w:val="0"/>
          <w:numId w:val="3"/>
        </w:numPr>
        <w:spacing w:after="0" w:line="240" w:lineRule="auto"/>
        <w:ind w:hanging="720"/>
        <w:jc w:val="both"/>
        <w:rPr>
          <w:rFonts w:ascii="Cambria" w:eastAsia="MS Mincho" w:hAnsi="Cambria"/>
          <w:color w:val="000000"/>
          <w:lang w:val="es-CO" w:eastAsia="es-ES_tradnl"/>
        </w:rPr>
      </w:pPr>
      <w:r w:rsidRPr="0009182C">
        <w:rPr>
          <w:rFonts w:ascii="Cambria" w:hAnsi="Cambria"/>
          <w:color w:val="000000"/>
          <w:lang w:val="es-CO"/>
        </w:rPr>
        <w:t xml:space="preserve">El Estado realizó una evaluación de riesgo de la beneficiaria y la incorporó al </w:t>
      </w:r>
      <w:r w:rsidRPr="0009182C">
        <w:rPr>
          <w:rFonts w:ascii="Cambria" w:eastAsia="MS Mincho" w:hAnsi="Cambria"/>
          <w:color w:val="000000"/>
          <w:lang w:val="es-CO" w:eastAsia="es-ES_tradnl"/>
        </w:rPr>
        <w:t xml:space="preserve">Mecanismo de Protección para Personas Defensoras de Derechos Humanos y Periodistas. </w:t>
      </w:r>
    </w:p>
    <w:p w14:paraId="5288ED0A" w14:textId="77777777" w:rsidR="00FE3F57" w:rsidRPr="0009182C" w:rsidRDefault="00FE3F57" w:rsidP="00FE3F57">
      <w:pPr>
        <w:numPr>
          <w:ilvl w:val="0"/>
          <w:numId w:val="3"/>
        </w:numPr>
        <w:spacing w:after="0" w:line="240" w:lineRule="auto"/>
        <w:ind w:hanging="720"/>
        <w:jc w:val="both"/>
        <w:rPr>
          <w:rFonts w:ascii="Cambria" w:eastAsia="MS Mincho" w:hAnsi="Cambria"/>
          <w:color w:val="000000"/>
          <w:lang w:val="es-CO" w:eastAsia="es-ES_tradnl"/>
        </w:rPr>
      </w:pPr>
      <w:r w:rsidRPr="0009182C">
        <w:rPr>
          <w:rFonts w:ascii="Cambria" w:eastAsia="MS Mincho" w:hAnsi="Cambria"/>
          <w:color w:val="000000"/>
          <w:lang w:val="es-CO" w:eastAsia="es-ES_tradnl"/>
        </w:rPr>
        <w:t>El Estado brindó medidas de protección consistentes en la instalación de un circuito exterior de vigilancia para el CCTV con canalización de 5 cámaras y el arrendamiento de un circuito cerrado de televisión digital IP-CCTV (sin cámaras); visitas de verificación y llamadas periódicas de seguimiento.</w:t>
      </w:r>
    </w:p>
    <w:p w14:paraId="69FA81E8" w14:textId="77777777" w:rsidR="00FE3F57" w:rsidRPr="0009182C" w:rsidRDefault="00FE3F57" w:rsidP="00FE3F57">
      <w:pPr>
        <w:spacing w:after="0" w:line="240" w:lineRule="auto"/>
        <w:ind w:left="720"/>
        <w:jc w:val="both"/>
        <w:rPr>
          <w:rFonts w:ascii="Cambria" w:eastAsia="MS Mincho" w:hAnsi="Cambria"/>
          <w:color w:val="000000"/>
          <w:highlight w:val="yellow"/>
          <w:lang w:val="es-CO" w:eastAsia="es-ES_tradnl"/>
        </w:rPr>
      </w:pPr>
    </w:p>
    <w:p w14:paraId="4A5682FD" w14:textId="77777777" w:rsidR="00FE3F57" w:rsidRPr="0009182C" w:rsidRDefault="00FE3F57" w:rsidP="00FE3F57">
      <w:pPr>
        <w:numPr>
          <w:ilvl w:val="1"/>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estructurales del caso</w:t>
      </w:r>
    </w:p>
    <w:p w14:paraId="73EBF85A" w14:textId="77777777" w:rsidR="00FE3F57" w:rsidRPr="0009182C" w:rsidRDefault="00FE3F57" w:rsidP="00FE3F57">
      <w:pPr>
        <w:tabs>
          <w:tab w:val="left" w:pos="0"/>
        </w:tabs>
        <w:spacing w:after="0" w:line="240" w:lineRule="auto"/>
        <w:contextualSpacing/>
        <w:jc w:val="both"/>
        <w:rPr>
          <w:rFonts w:ascii="Cambria" w:eastAsia="Batang" w:hAnsi="Cambria" w:cs="Calibri Light"/>
          <w:color w:val="080808"/>
          <w:lang w:val="es-CO"/>
        </w:rPr>
      </w:pPr>
    </w:p>
    <w:p w14:paraId="3EA389BC" w14:textId="77777777" w:rsidR="00FE3F57" w:rsidRPr="0009182C" w:rsidRDefault="00FE3F57" w:rsidP="00FE3F57">
      <w:pPr>
        <w:numPr>
          <w:ilvl w:val="0"/>
          <w:numId w:val="4"/>
        </w:numPr>
        <w:spacing w:after="0" w:line="240" w:lineRule="auto"/>
        <w:ind w:hanging="731"/>
        <w:jc w:val="both"/>
        <w:rPr>
          <w:rFonts w:ascii="Cambria" w:eastAsia="MS Mincho" w:hAnsi="Cambria"/>
          <w:color w:val="000000"/>
          <w:lang w:val="es-CO" w:eastAsia="es-ES_tradnl"/>
        </w:rPr>
      </w:pPr>
      <w:r w:rsidRPr="0009182C">
        <w:rPr>
          <w:rFonts w:ascii="Cambria" w:hAnsi="Cambria" w:cs="Arial"/>
          <w:lang w:val="es-CO"/>
        </w:rPr>
        <w:t>El Estado informó a la señora María Nicolasa García Reynoso sobre los avances en las carpetas de investigación relacionadas con los hechos que dieron origen a la petición y que fueron objeto de denuncias por parte de la peticionaria, en su labor de defensora de los derechos humanos, así como la situación actual de las distintas indagatorias.</w:t>
      </w:r>
    </w:p>
    <w:p w14:paraId="21203F59" w14:textId="45B5B874" w:rsidR="00730587" w:rsidRPr="00FE3F57" w:rsidRDefault="00FE3F57" w:rsidP="00FE3F57">
      <w:pPr>
        <w:numPr>
          <w:ilvl w:val="0"/>
          <w:numId w:val="4"/>
        </w:numPr>
        <w:spacing w:after="0" w:line="240" w:lineRule="auto"/>
        <w:ind w:hanging="731"/>
        <w:jc w:val="both"/>
        <w:rPr>
          <w:lang w:val="es-CO"/>
        </w:rPr>
      </w:pPr>
      <w:r w:rsidRPr="00FE3F57">
        <w:rPr>
          <w:rFonts w:ascii="Cambria" w:hAnsi="Cambria" w:cs="Arial"/>
          <w:lang w:val="es-CO"/>
        </w:rPr>
        <w:t xml:space="preserve">Las partes reconocen conjuntamente la existencia de </w:t>
      </w:r>
      <w:r w:rsidRPr="00FE3F57">
        <w:rPr>
          <w:rFonts w:ascii="Cambria" w:eastAsia="Times New Roman" w:hAnsi="Cambria" w:cs="Calibri"/>
          <w:lang w:val="es-CO"/>
        </w:rPr>
        <w:t>varias sentencias condenatorias en casos de alto impacto, como resultados importantes de este proceso de solución amistosa.</w:t>
      </w:r>
    </w:p>
    <w:sectPr w:rsidR="00730587" w:rsidRPr="00FE3F5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728E" w14:textId="77777777" w:rsidR="00FE3F57" w:rsidRDefault="00FE3F57" w:rsidP="00FE3F57">
      <w:pPr>
        <w:spacing w:after="0" w:line="240" w:lineRule="auto"/>
      </w:pPr>
      <w:r>
        <w:separator/>
      </w:r>
    </w:p>
  </w:endnote>
  <w:endnote w:type="continuationSeparator" w:id="0">
    <w:p w14:paraId="1AF9D074" w14:textId="77777777" w:rsidR="00FE3F57" w:rsidRDefault="00FE3F57" w:rsidP="00FE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F692" w14:textId="77777777" w:rsidR="00FE3F57" w:rsidRDefault="001746B7" w:rsidP="00FE3F57">
    <w:pPr>
      <w:pStyle w:val="Footer"/>
      <w:spacing w:line="360" w:lineRule="auto"/>
      <w:jc w:val="right"/>
    </w:pPr>
    <w:bookmarkStart w:id="20" w:name="_Hlk129090884"/>
    <w:bookmarkStart w:id="21" w:name="_Hlk129090885"/>
    <w:bookmarkStart w:id="22" w:name="_Hlk129091044"/>
    <w:bookmarkStart w:id="23" w:name="_Hlk129091045"/>
    <w:bookmarkStart w:id="24" w:name="_Hlk129091049"/>
    <w:bookmarkStart w:id="25" w:name="_Hlk129091050"/>
    <w:bookmarkStart w:id="26" w:name="_Hlk129091188"/>
    <w:bookmarkStart w:id="27" w:name="_Hlk129091189"/>
    <w:bookmarkStart w:id="28" w:name="_Hlk129091982"/>
    <w:bookmarkStart w:id="29" w:name="_Hlk129091983"/>
    <w:r>
      <w:pict w14:anchorId="0CDC2882">
        <v:rect id="_x0000_i1027" style="width:0;height:1.5pt" o:hralign="center" o:hrstd="t" o:hr="t" fillcolor="#a0a0a0" stroked="f"/>
      </w:pict>
    </w:r>
  </w:p>
  <w:p w14:paraId="11C20AA5" w14:textId="3C1C96B2" w:rsidR="00FE3F57" w:rsidRDefault="00FE3F57" w:rsidP="00FE3F57">
    <w:pPr>
      <w:pStyle w:val="Footer"/>
      <w:jc w:val="center"/>
    </w:pPr>
    <w:r w:rsidRPr="008A5CB5">
      <w:rPr>
        <w:noProof/>
      </w:rPr>
      <w:drawing>
        <wp:inline distT="0" distB="0" distL="0" distR="0" wp14:anchorId="750AC16A" wp14:editId="3A7881E9">
          <wp:extent cx="5114925" cy="323850"/>
          <wp:effectExtent l="0" t="0" r="952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bookmarkEnd w:id="20"/>
    <w:bookmarkEnd w:id="21"/>
    <w:bookmarkEnd w:id="22"/>
    <w:bookmarkEnd w:id="23"/>
    <w:bookmarkEnd w:id="24"/>
    <w:bookmarkEnd w:id="25"/>
    <w:bookmarkEnd w:id="26"/>
    <w:bookmarkEnd w:id="27"/>
    <w:bookmarkEnd w:id="28"/>
    <w:bookmarkEnd w:id="29"/>
  </w:p>
  <w:p w14:paraId="2B5D5DA3" w14:textId="77777777" w:rsidR="00FE3F57" w:rsidRDefault="00FE3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16D" w14:textId="77777777" w:rsidR="00FE3F57" w:rsidRDefault="00FE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FB04" w14:textId="77777777" w:rsidR="00FE3F57" w:rsidRDefault="00FE3F57" w:rsidP="00FE3F57">
      <w:pPr>
        <w:spacing w:after="0" w:line="240" w:lineRule="auto"/>
      </w:pPr>
      <w:r>
        <w:separator/>
      </w:r>
    </w:p>
  </w:footnote>
  <w:footnote w:type="continuationSeparator" w:id="0">
    <w:p w14:paraId="628D6512" w14:textId="77777777" w:rsidR="00FE3F57" w:rsidRDefault="00FE3F57" w:rsidP="00FE3F57">
      <w:pPr>
        <w:spacing w:after="0" w:line="240" w:lineRule="auto"/>
      </w:pPr>
      <w:r>
        <w:continuationSeparator/>
      </w:r>
    </w:p>
  </w:footnote>
  <w:footnote w:id="1">
    <w:p w14:paraId="2FD6617E" w14:textId="77777777" w:rsidR="00FE3F57" w:rsidRPr="00254A60" w:rsidRDefault="00FE3F57" w:rsidP="00FE3F57">
      <w:pPr>
        <w:pStyle w:val="FootnoteText"/>
        <w:spacing w:after="0" w:line="240" w:lineRule="auto"/>
        <w:ind w:firstLine="709"/>
        <w:jc w:val="both"/>
        <w:rPr>
          <w:rFonts w:ascii="Cambria" w:hAnsi="Cambria"/>
          <w:color w:val="000000"/>
          <w:sz w:val="16"/>
          <w:szCs w:val="16"/>
          <w:lang w:val="es-ES"/>
        </w:rPr>
      </w:pPr>
      <w:r w:rsidRPr="00254A60">
        <w:rPr>
          <w:rStyle w:val="FootnoteReference"/>
          <w:rFonts w:ascii="Cambria" w:hAnsi="Cambria"/>
          <w:color w:val="000000"/>
          <w:sz w:val="16"/>
          <w:szCs w:val="16"/>
        </w:rPr>
        <w:footnoteRef/>
      </w:r>
      <w:r w:rsidRPr="00254A60">
        <w:rPr>
          <w:rFonts w:ascii="Cambria" w:hAnsi="Cambria"/>
          <w:color w:val="000000"/>
          <w:sz w:val="16"/>
          <w:szCs w:val="16"/>
          <w:lang w:val="es-ES"/>
        </w:rPr>
        <w:t xml:space="preserve"> CIDH, Informe No. 92/17, Caso 12.627, Solución Amistosa, María Nicolasa García Reynoso, México.</w:t>
      </w:r>
    </w:p>
  </w:footnote>
  <w:footnote w:id="2">
    <w:p w14:paraId="4E66F9A9" w14:textId="77777777" w:rsidR="00FE3F57" w:rsidRPr="00254A60" w:rsidRDefault="00FE3F57" w:rsidP="00FE3F57">
      <w:pPr>
        <w:pStyle w:val="FootnoteText"/>
        <w:spacing w:after="0" w:line="240" w:lineRule="auto"/>
        <w:ind w:firstLine="709"/>
        <w:jc w:val="both"/>
        <w:rPr>
          <w:rFonts w:ascii="Cambria" w:hAnsi="Cambria"/>
          <w:color w:val="000000" w:themeColor="text1"/>
          <w:sz w:val="16"/>
          <w:szCs w:val="16"/>
          <w:lang w:val="es-CO"/>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CO"/>
        </w:rPr>
        <w:t xml:space="preserve"> </w:t>
      </w:r>
      <w:r w:rsidRPr="00254A60">
        <w:rPr>
          <w:rFonts w:ascii="Cambria" w:hAnsi="Cambria"/>
          <w:color w:val="000000" w:themeColor="text1"/>
          <w:sz w:val="16"/>
          <w:szCs w:val="16"/>
          <w:lang w:val="es-ES"/>
        </w:rPr>
        <w:t xml:space="preserve">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1" w:history="1">
        <w:r w:rsidRPr="00254A60">
          <w:rPr>
            <w:rStyle w:val="Hyperlink"/>
            <w:rFonts w:ascii="Cambria" w:hAnsi="Cambria"/>
            <w:color w:val="000000" w:themeColor="text1"/>
            <w:sz w:val="16"/>
            <w:szCs w:val="16"/>
            <w:lang w:val="es-CO"/>
          </w:rPr>
          <w:t>https://www.oas.org/es/cidh/docs/anual/2021/capitulos/IA2021cap2-es.pdf</w:t>
        </w:r>
      </w:hyperlink>
    </w:p>
  </w:footnote>
  <w:footnote w:id="3">
    <w:p w14:paraId="5F84AEE5" w14:textId="77777777" w:rsidR="00FE3F57" w:rsidRPr="00254A60" w:rsidRDefault="00FE3F57" w:rsidP="00FE3F57">
      <w:pPr>
        <w:pStyle w:val="FootnoteText"/>
        <w:spacing w:after="0" w:line="240" w:lineRule="auto"/>
        <w:ind w:firstLine="709"/>
        <w:jc w:val="both"/>
        <w:rPr>
          <w:rFonts w:ascii="Cambria" w:hAnsi="Cambria"/>
          <w:color w:val="000000" w:themeColor="text1"/>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CIDH, Informe No. 92/17, Caso 12.627, Solución Amistosa, María Nicolasa García Reynoso, México.</w:t>
      </w:r>
    </w:p>
  </w:footnote>
  <w:footnote w:id="4">
    <w:p w14:paraId="0036739E" w14:textId="77777777" w:rsidR="00FE3F57" w:rsidRPr="00254A60" w:rsidRDefault="00FE3F57" w:rsidP="00FE3F57">
      <w:pPr>
        <w:spacing w:after="0" w:line="240" w:lineRule="auto"/>
        <w:ind w:firstLine="709"/>
        <w:jc w:val="both"/>
        <w:rPr>
          <w:rFonts w:ascii="Cambria" w:hAnsi="Cambria"/>
          <w:sz w:val="16"/>
          <w:szCs w:val="16"/>
          <w:lang w:val="es-VE"/>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Ver CIDH, Informe Anual 2019, Capítulo II, Sección G. Soluciones Amistosas, </w:t>
      </w:r>
      <w:r w:rsidRPr="00254A60">
        <w:rPr>
          <w:rFonts w:ascii="Cambria" w:hAnsi="Cambria"/>
          <w:color w:val="000000" w:themeColor="text1"/>
          <w:sz w:val="16"/>
          <w:szCs w:val="16"/>
          <w:lang w:val="es-CO"/>
        </w:rPr>
        <w:t xml:space="preserve">Disponible en: </w:t>
      </w:r>
      <w:hyperlink r:id="rId2" w:history="1">
        <w:r w:rsidRPr="00254A60">
          <w:rPr>
            <w:rStyle w:val="Hyperlink"/>
            <w:rFonts w:ascii="Cambria" w:hAnsi="Cambria"/>
            <w:color w:val="000000" w:themeColor="text1"/>
            <w:sz w:val="16"/>
            <w:szCs w:val="16"/>
            <w:lang w:val="es-VE"/>
          </w:rPr>
          <w:t>http://www.oas.org/es/cidh/docs/anual/2019/docs/IA2019cap2-es.pdf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0E1" w14:textId="47E16EB7" w:rsidR="00FE3F57" w:rsidRPr="0058688A" w:rsidRDefault="00FE3F57" w:rsidP="00FE3F57">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r>
      <w:rPr>
        <w:noProof/>
        <w:lang w:val="es-ES_tradnl"/>
      </w:rPr>
      <w:drawing>
        <wp:inline distT="0" distB="0" distL="0" distR="0" wp14:anchorId="7FCEC5BB" wp14:editId="76D4417E">
          <wp:extent cx="22860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6C03D9F0" w14:textId="77777777" w:rsidR="00FE3F57" w:rsidRDefault="001746B7" w:rsidP="00FE3F57">
    <w:pPr>
      <w:pStyle w:val="Header"/>
    </w:pPr>
    <w:r>
      <w:pict w14:anchorId="3A84A67F">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p>
  <w:p w14:paraId="39D2A55E" w14:textId="77777777" w:rsidR="00FE3F57" w:rsidRDefault="00FE3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3704" w14:textId="7CAB832B" w:rsidR="00FE3F57" w:rsidRDefault="00FE3F57" w:rsidP="00FE3F57">
    <w:pPr>
      <w:pStyle w:val="Header"/>
    </w:pPr>
    <w:bookmarkStart w:id="12" w:name="_Hlk129090378"/>
    <w:bookmarkStart w:id="13" w:name="_Hlk129090379"/>
    <w:bookmarkStart w:id="14" w:name="_Hlk129090860"/>
    <w:bookmarkStart w:id="15" w:name="_Hlk129090861"/>
    <w:bookmarkStart w:id="16" w:name="_Hlk129091020"/>
    <w:bookmarkStart w:id="17" w:name="_Hlk129091021"/>
    <w:bookmarkStart w:id="18" w:name="_Hlk129091166"/>
    <w:bookmarkStart w:id="19" w:name="_Hlk129091167"/>
    <w:r w:rsidRPr="008A5CB5">
      <w:rPr>
        <w:noProof/>
      </w:rPr>
      <w:drawing>
        <wp:inline distT="0" distB="0" distL="0" distR="0" wp14:anchorId="57ED9660" wp14:editId="4AF29730">
          <wp:extent cx="2352675" cy="457200"/>
          <wp:effectExtent l="0" t="0" r="9525"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37DDED83" wp14:editId="695BAA92">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6875F27B" w14:textId="77777777" w:rsidR="00FE3F57" w:rsidRDefault="001746B7" w:rsidP="00FE3F57">
    <w:pPr>
      <w:pStyle w:val="Header"/>
    </w:pPr>
    <w:r>
      <w:pict w14:anchorId="5D2C0E66">
        <v:rect id="_x0000_i1026" style="width:0;height:1.5pt" o:hralign="center" o:hrstd="t" o:hr="t" fillcolor="#a0a0a0" stroked="f"/>
      </w:pict>
    </w:r>
    <w:bookmarkEnd w:id="12"/>
    <w:bookmarkEnd w:id="13"/>
    <w:bookmarkEnd w:id="14"/>
    <w:bookmarkEnd w:id="15"/>
    <w:bookmarkEnd w:id="16"/>
    <w:bookmarkEnd w:id="17"/>
    <w:bookmarkEnd w:id="18"/>
    <w:bookmarkEnd w:id="19"/>
  </w:p>
  <w:p w14:paraId="2FED58D7" w14:textId="77777777" w:rsidR="00FE3F57" w:rsidRDefault="00FE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0277878">
    <w:abstractNumId w:val="1"/>
  </w:num>
  <w:num w:numId="2" w16cid:durableId="573050445">
    <w:abstractNumId w:val="3"/>
  </w:num>
  <w:num w:numId="3" w16cid:durableId="1077093351">
    <w:abstractNumId w:val="2"/>
  </w:num>
  <w:num w:numId="4" w16cid:durableId="7517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57"/>
    <w:rsid w:val="001746B7"/>
    <w:rsid w:val="00730587"/>
    <w:rsid w:val="00FE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4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3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7"/>
    <w:rPr>
      <w:rFonts w:ascii="Calibri" w:eastAsia="Calibri" w:hAnsi="Calibri" w:cs="Times New Roman"/>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FE3F57"/>
    <w:rPr>
      <w:vertAlign w:val="superscript"/>
    </w:rPr>
  </w:style>
  <w:style w:type="paragraph" w:customStyle="1" w:styleId="Appelnotedebasde">
    <w:name w:val="Appel note de bas de..."/>
    <w:basedOn w:val="Normal"/>
    <w:link w:val="FootnoteReference"/>
    <w:uiPriority w:val="99"/>
    <w:rsid w:val="00FE3F57"/>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FE3F57"/>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FE3F57"/>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FE3F57"/>
    <w:rPr>
      <w:rFonts w:ascii="Calibri" w:eastAsia="Calibri" w:hAnsi="Calibri" w:cs="Times New Roman"/>
      <w:sz w:val="20"/>
      <w:szCs w:val="20"/>
    </w:rPr>
  </w:style>
  <w:style w:type="paragraph" w:styleId="ListParagraph">
    <w:name w:val="List Paragraph"/>
    <w:basedOn w:val="Normal"/>
    <w:link w:val="ListParagraphChar"/>
    <w:uiPriority w:val="34"/>
    <w:qFormat/>
    <w:rsid w:val="00FE3F57"/>
    <w:pPr>
      <w:ind w:left="720"/>
      <w:contextualSpacing/>
    </w:pPr>
  </w:style>
  <w:style w:type="character" w:customStyle="1" w:styleId="ListParagraphChar">
    <w:name w:val="List Paragraph Char"/>
    <w:link w:val="ListParagraph"/>
    <w:uiPriority w:val="34"/>
    <w:rsid w:val="00FE3F57"/>
    <w:rPr>
      <w:rFonts w:ascii="Calibri" w:eastAsia="Calibri" w:hAnsi="Calibri" w:cs="Times New Roman"/>
    </w:rPr>
  </w:style>
  <w:style w:type="paragraph" w:customStyle="1" w:styleId="MediumGrid21">
    <w:name w:val="Medium Grid 21"/>
    <w:link w:val="MediumGrid2Char"/>
    <w:uiPriority w:val="1"/>
    <w:qFormat/>
    <w:rsid w:val="00FE3F57"/>
    <w:pPr>
      <w:spacing w:after="0" w:line="240" w:lineRule="auto"/>
    </w:pPr>
    <w:rPr>
      <w:rFonts w:ascii="Calibri" w:eastAsia="MS Mincho" w:hAnsi="Calibri" w:cs="Times New Roman"/>
      <w:lang w:val="pt-BR"/>
    </w:rPr>
  </w:style>
  <w:style w:type="character" w:customStyle="1" w:styleId="MediumGrid2Char">
    <w:name w:val="Medium Grid 2 Char"/>
    <w:link w:val="MediumGrid21"/>
    <w:uiPriority w:val="1"/>
    <w:rsid w:val="00FE3F57"/>
    <w:rPr>
      <w:rFonts w:ascii="Calibri" w:eastAsia="MS Mincho" w:hAnsi="Calibri" w:cs="Times New Roman"/>
      <w:lang w:val="pt-BR"/>
    </w:rPr>
  </w:style>
  <w:style w:type="paragraph" w:styleId="Header">
    <w:name w:val="header"/>
    <w:basedOn w:val="Normal"/>
    <w:link w:val="HeaderChar"/>
    <w:uiPriority w:val="99"/>
    <w:unhideWhenUsed/>
    <w:rsid w:val="00FE3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F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7sp/Mexico1193.03sp.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as.org/es/cidh/decisiones/2017/MXSA12627E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s/cidh/decisiones/2017/MXSA12627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9/docs/IA2019cap2-es.pdf" TargetMode="External"/><Relationship Id="rId1"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2023-03-07T20:32:00Z</dcterms:created>
  <dcterms:modified xsi:type="dcterms:W3CDTF">2023-03-07T20:32:00Z</dcterms:modified>
</cp:coreProperties>
</file>