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F299" w14:textId="77777777" w:rsidR="002F7D0D" w:rsidRPr="0009182C" w:rsidRDefault="002F7D0D" w:rsidP="002F7D0D">
      <w:pPr>
        <w:spacing w:after="0" w:line="240" w:lineRule="auto"/>
        <w:jc w:val="center"/>
        <w:rPr>
          <w:rFonts w:ascii="Cambria" w:hAnsi="Cambria"/>
          <w:b/>
          <w:lang w:val="es-CO"/>
        </w:rPr>
      </w:pPr>
      <w:r w:rsidRPr="0009182C">
        <w:rPr>
          <w:rFonts w:ascii="Cambria" w:hAnsi="Cambria"/>
          <w:b/>
          <w:lang w:val="es-CO"/>
        </w:rPr>
        <w:t>FICHA TÉCNICA INFORMATIVA</w:t>
      </w:r>
    </w:p>
    <w:p w14:paraId="31E1C846" w14:textId="77777777" w:rsidR="002F7D0D" w:rsidRPr="0009182C" w:rsidRDefault="002F7D0D" w:rsidP="002F7D0D">
      <w:pPr>
        <w:spacing w:after="0" w:line="240" w:lineRule="auto"/>
        <w:jc w:val="center"/>
        <w:rPr>
          <w:rFonts w:ascii="Cambria" w:hAnsi="Cambria"/>
          <w:b/>
          <w:color w:val="000000" w:themeColor="text1"/>
          <w:lang w:val="es-CO"/>
        </w:rPr>
      </w:pPr>
      <w:r w:rsidRPr="0009182C">
        <w:rPr>
          <w:rFonts w:ascii="Cambria" w:eastAsia="Batang" w:hAnsi="Cambria" w:cs="Calibri Light"/>
          <w:b/>
          <w:lang w:val="es-CO"/>
        </w:rPr>
        <w:t xml:space="preserve">CASO 12.847 VICENTA </w:t>
      </w:r>
      <w:r w:rsidRPr="0009182C">
        <w:rPr>
          <w:rFonts w:ascii="Cambria" w:eastAsia="Batang" w:hAnsi="Cambria" w:cs="Calibri Light"/>
          <w:b/>
          <w:color w:val="000000" w:themeColor="text1"/>
          <w:lang w:val="es-CO"/>
        </w:rPr>
        <w:t>SÁNCHEZ VALDIVIESO</w:t>
      </w:r>
    </w:p>
    <w:p w14:paraId="3DCD0676" w14:textId="77777777" w:rsidR="002F7D0D" w:rsidRPr="0009182C" w:rsidRDefault="002F7D0D" w:rsidP="002F7D0D">
      <w:pPr>
        <w:spacing w:after="0" w:line="240" w:lineRule="auto"/>
        <w:jc w:val="center"/>
        <w:rPr>
          <w:rFonts w:ascii="Cambria" w:hAnsi="Cambria"/>
          <w:b/>
          <w:color w:val="000000" w:themeColor="text1"/>
          <w:lang w:val="es-CO"/>
        </w:rPr>
      </w:pPr>
      <w:r w:rsidRPr="0009182C">
        <w:rPr>
          <w:rFonts w:ascii="Cambria" w:eastAsia="Batang" w:hAnsi="Cambria"/>
          <w:b/>
          <w:color w:val="000000" w:themeColor="text1"/>
          <w:lang w:val="es-CO"/>
        </w:rPr>
        <w:t xml:space="preserve">INFORME DE SOLUCIÓN AMISTOSA No. </w:t>
      </w:r>
      <w:hyperlink r:id="rId7" w:history="1">
        <w:r w:rsidRPr="0009182C">
          <w:rPr>
            <w:rStyle w:val="Hyperlink"/>
            <w:rFonts w:ascii="Cambria" w:eastAsia="Batang" w:hAnsi="Cambria"/>
            <w:b/>
            <w:bCs/>
            <w:color w:val="000000" w:themeColor="text1"/>
            <w:lang w:val="es-CO"/>
          </w:rPr>
          <w:t>16/16</w:t>
        </w:r>
      </w:hyperlink>
    </w:p>
    <w:p w14:paraId="7D7DBF52" w14:textId="77777777" w:rsidR="002F7D0D" w:rsidRPr="0009182C" w:rsidRDefault="002F7D0D" w:rsidP="002F7D0D">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5C21A08D" w14:textId="77777777" w:rsidR="002F7D0D" w:rsidRPr="0009182C" w:rsidRDefault="002F7D0D" w:rsidP="002F7D0D">
      <w:pPr>
        <w:spacing w:after="0" w:line="240" w:lineRule="auto"/>
        <w:jc w:val="center"/>
        <w:rPr>
          <w:rFonts w:ascii="Cambria" w:hAnsi="Cambria"/>
          <w:b/>
          <w:color w:val="000000" w:themeColor="text1"/>
          <w:lang w:val="es-CO"/>
        </w:rPr>
      </w:pPr>
      <w:r w:rsidRPr="0009182C">
        <w:rPr>
          <w:rFonts w:ascii="Cambria" w:eastAsia="Batang" w:hAnsi="Cambria"/>
          <w:b/>
          <w:color w:val="000000" w:themeColor="text1"/>
          <w:lang w:val="es-CO"/>
        </w:rPr>
        <w:t>(MÉXICO)</w:t>
      </w:r>
    </w:p>
    <w:p w14:paraId="1119337E" w14:textId="77777777" w:rsidR="002F7D0D" w:rsidRPr="0009182C" w:rsidRDefault="002F7D0D" w:rsidP="002F7D0D">
      <w:pPr>
        <w:spacing w:after="0" w:line="240" w:lineRule="auto"/>
        <w:jc w:val="center"/>
        <w:rPr>
          <w:rFonts w:ascii="Cambria" w:eastAsia="Batang" w:hAnsi="Cambria"/>
          <w:b/>
          <w:color w:val="080808"/>
          <w:lang w:val="es-CO"/>
        </w:rPr>
      </w:pPr>
    </w:p>
    <w:p w14:paraId="0ED91C54" w14:textId="77777777" w:rsidR="002F7D0D" w:rsidRPr="0009182C" w:rsidRDefault="002F7D0D" w:rsidP="002F7D0D">
      <w:pPr>
        <w:numPr>
          <w:ilvl w:val="0"/>
          <w:numId w:val="1"/>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3A2074CB" w14:textId="77777777" w:rsidR="002F7D0D" w:rsidRPr="0009182C" w:rsidRDefault="002F7D0D" w:rsidP="002F7D0D">
      <w:pPr>
        <w:spacing w:after="0" w:line="240" w:lineRule="auto"/>
        <w:jc w:val="both"/>
        <w:rPr>
          <w:rFonts w:ascii="Cambria" w:eastAsia="Batang" w:hAnsi="Cambria" w:cs="Calibri Light"/>
          <w:b/>
          <w:color w:val="080808"/>
          <w:lang w:val="es-CO"/>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5"/>
      </w:tblGrid>
      <w:tr w:rsidR="002F7D0D" w:rsidRPr="001873B5" w14:paraId="77E354AC" w14:textId="77777777" w:rsidTr="00B67A4A">
        <w:trPr>
          <w:trHeight w:val="4598"/>
          <w:jc w:val="center"/>
        </w:trPr>
        <w:tc>
          <w:tcPr>
            <w:tcW w:w="9375" w:type="dxa"/>
            <w:shd w:val="clear" w:color="auto" w:fill="F2F2F2"/>
          </w:tcPr>
          <w:p w14:paraId="0A2D6505" w14:textId="77777777" w:rsidR="002F7D0D" w:rsidRPr="0009182C" w:rsidRDefault="002F7D0D"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Víctima (s): </w:t>
            </w:r>
            <w:r w:rsidRPr="0009182C">
              <w:rPr>
                <w:rFonts w:ascii="Cambria" w:eastAsia="Batang" w:hAnsi="Cambria"/>
                <w:bCs/>
                <w:color w:val="080808"/>
                <w:lang w:val="es-CO"/>
              </w:rPr>
              <w:t>Vicenta Sánchez Valdivieso</w:t>
            </w:r>
          </w:p>
          <w:p w14:paraId="0A89190E" w14:textId="77777777" w:rsidR="002F7D0D" w:rsidRPr="0009182C" w:rsidRDefault="002F7D0D"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Peticionario (s): </w:t>
            </w:r>
            <w:r w:rsidRPr="0009182C">
              <w:rPr>
                <w:rFonts w:ascii="Cambria" w:eastAsia="Batang" w:hAnsi="Cambria"/>
                <w:bCs/>
                <w:color w:val="080808"/>
                <w:lang w:val="es-CO"/>
              </w:rPr>
              <w:t>Juan Carlos Santiago Sánchez y Isidro Santiago Sánchez</w:t>
            </w:r>
          </w:p>
          <w:p w14:paraId="4892F651" w14:textId="77777777" w:rsidR="002F7D0D" w:rsidRPr="0009182C" w:rsidRDefault="002F7D0D"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Estado: </w:t>
            </w:r>
            <w:r w:rsidRPr="0009182C">
              <w:rPr>
                <w:rFonts w:ascii="Cambria" w:eastAsia="Batang" w:hAnsi="Cambria"/>
                <w:bCs/>
                <w:color w:val="080808"/>
                <w:lang w:val="es-CO"/>
              </w:rPr>
              <w:t>México</w:t>
            </w:r>
          </w:p>
          <w:p w14:paraId="49005F29" w14:textId="77777777" w:rsidR="002F7D0D" w:rsidRPr="0009182C" w:rsidRDefault="002F7D0D" w:rsidP="00B67A4A">
            <w:pPr>
              <w:spacing w:after="0" w:line="240" w:lineRule="auto"/>
              <w:jc w:val="both"/>
              <w:rPr>
                <w:rFonts w:ascii="Cambria" w:eastAsia="Batang" w:hAnsi="Cambria"/>
                <w:b/>
                <w:bCs/>
                <w:color w:val="080808"/>
                <w:lang w:val="es-CO"/>
              </w:rPr>
            </w:pPr>
            <w:r w:rsidRPr="0009182C">
              <w:rPr>
                <w:rFonts w:ascii="Cambria" w:eastAsia="Batang" w:hAnsi="Cambria"/>
                <w:b/>
                <w:bCs/>
                <w:color w:val="080808"/>
                <w:lang w:val="es-CO"/>
              </w:rPr>
              <w:t xml:space="preserve">Fecha de inicio de las negociaciones: </w:t>
            </w:r>
            <w:r w:rsidRPr="0009182C">
              <w:rPr>
                <w:rFonts w:ascii="Cambria" w:eastAsia="Batang" w:hAnsi="Cambria"/>
                <w:color w:val="080808"/>
                <w:lang w:val="es-CO"/>
              </w:rPr>
              <w:t xml:space="preserve">Febrero 2012 </w:t>
            </w:r>
          </w:p>
          <w:p w14:paraId="2E4F8AA7" w14:textId="77777777" w:rsidR="002F7D0D" w:rsidRPr="0009182C" w:rsidRDefault="002F7D0D" w:rsidP="00B67A4A">
            <w:pPr>
              <w:spacing w:after="0" w:line="240" w:lineRule="auto"/>
              <w:jc w:val="both"/>
              <w:rPr>
                <w:rFonts w:ascii="Cambria" w:eastAsia="Batang" w:hAnsi="Cambria"/>
                <w:b/>
                <w:bCs/>
                <w:color w:val="000000" w:themeColor="text1"/>
                <w:lang w:val="es-CO"/>
              </w:rPr>
            </w:pPr>
            <w:r w:rsidRPr="0009182C">
              <w:rPr>
                <w:rFonts w:ascii="Cambria" w:eastAsia="Batang" w:hAnsi="Cambria"/>
                <w:b/>
                <w:bCs/>
                <w:color w:val="080808"/>
                <w:lang w:val="es-CO"/>
              </w:rPr>
              <w:t>Fecha de Firma de ASA</w:t>
            </w:r>
            <w:r w:rsidRPr="0009182C">
              <w:rPr>
                <w:rFonts w:ascii="Cambria" w:eastAsia="Batang" w:hAnsi="Cambria"/>
                <w:b/>
                <w:bCs/>
                <w:color w:val="000000" w:themeColor="text1"/>
                <w:lang w:val="es-CO"/>
              </w:rPr>
              <w:t xml:space="preserve">: </w:t>
            </w:r>
            <w:r w:rsidRPr="0009182C">
              <w:rPr>
                <w:rFonts w:ascii="Cambria" w:eastAsia="Batang" w:hAnsi="Cambria"/>
                <w:color w:val="000000" w:themeColor="text1"/>
                <w:lang w:val="es-CO"/>
              </w:rPr>
              <w:t>25 de septiembre de 2012</w:t>
            </w:r>
          </w:p>
          <w:p w14:paraId="3C86EB94" w14:textId="77777777" w:rsidR="002F7D0D" w:rsidRPr="0009182C" w:rsidRDefault="002F7D0D"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Admisibilidad: </w:t>
            </w:r>
            <w:hyperlink r:id="rId8" w:history="1">
              <w:r w:rsidRPr="0009182C">
                <w:rPr>
                  <w:rStyle w:val="Hyperlink"/>
                  <w:rFonts w:ascii="Cambria" w:eastAsia="Batang" w:hAnsi="Cambria"/>
                  <w:b/>
                  <w:bCs/>
                  <w:color w:val="000000" w:themeColor="text1"/>
                  <w:lang w:val="es-CO"/>
                </w:rPr>
                <w:t>159/11</w:t>
              </w:r>
            </w:hyperlink>
            <w:r w:rsidRPr="0009182C">
              <w:rPr>
                <w:rFonts w:ascii="Cambria" w:eastAsia="Batang" w:hAnsi="Cambria"/>
                <w:bCs/>
                <w:color w:val="000000" w:themeColor="text1"/>
                <w:lang w:val="es-CO"/>
              </w:rPr>
              <w:t>, publicado el 2 de noviembre de 2011</w:t>
            </w:r>
          </w:p>
          <w:p w14:paraId="1F086E79" w14:textId="77777777" w:rsidR="002F7D0D" w:rsidRPr="0009182C" w:rsidRDefault="002F7D0D"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Acuerdo de Solución Amistosa.: </w:t>
            </w:r>
            <w:hyperlink r:id="rId9" w:history="1">
              <w:r w:rsidRPr="0009182C">
                <w:rPr>
                  <w:rStyle w:val="Hyperlink"/>
                  <w:rFonts w:ascii="Cambria" w:eastAsia="Batang" w:hAnsi="Cambria"/>
                  <w:b/>
                  <w:bCs/>
                  <w:color w:val="000000" w:themeColor="text1"/>
                  <w:lang w:val="es-CO"/>
                </w:rPr>
                <w:t>16/16</w:t>
              </w:r>
            </w:hyperlink>
            <w:r w:rsidRPr="0009182C">
              <w:rPr>
                <w:rFonts w:ascii="Cambria" w:eastAsia="Batang" w:hAnsi="Cambria"/>
                <w:b/>
                <w:bCs/>
                <w:color w:val="000000" w:themeColor="text1"/>
                <w:lang w:val="es-CO"/>
              </w:rPr>
              <w:t>,</w:t>
            </w:r>
            <w:r w:rsidRPr="0009182C">
              <w:rPr>
                <w:rFonts w:ascii="Cambria" w:eastAsia="Batang" w:hAnsi="Cambria"/>
                <w:bCs/>
                <w:color w:val="000000" w:themeColor="text1"/>
                <w:lang w:val="es-CO"/>
              </w:rPr>
              <w:t xml:space="preserve"> publicado el 14 de abril de 2016</w:t>
            </w:r>
          </w:p>
          <w:p w14:paraId="2182EC67" w14:textId="77777777" w:rsidR="002F7D0D" w:rsidRPr="0009182C" w:rsidRDefault="002F7D0D" w:rsidP="00B67A4A">
            <w:pPr>
              <w:spacing w:after="0" w:line="240" w:lineRule="auto"/>
              <w:jc w:val="both"/>
              <w:rPr>
                <w:rFonts w:ascii="Cambria" w:eastAsia="Batang" w:hAnsi="Cambria"/>
                <w:b/>
                <w:bCs/>
                <w:color w:val="000000" w:themeColor="text1"/>
                <w:lang w:val="es-CO"/>
              </w:rPr>
            </w:pPr>
            <w:r w:rsidRPr="0009182C">
              <w:rPr>
                <w:rFonts w:ascii="Cambria" w:eastAsia="Batang" w:hAnsi="Cambria"/>
                <w:b/>
                <w:bCs/>
                <w:color w:val="000000" w:themeColor="text1"/>
                <w:lang w:val="es-CO"/>
              </w:rPr>
              <w:t>Duración estimada de la fase de negociación:</w:t>
            </w:r>
            <w:r w:rsidRPr="0009182C">
              <w:rPr>
                <w:rFonts w:ascii="Cambria" w:eastAsia="Batang" w:hAnsi="Cambria"/>
                <w:b/>
                <w:color w:val="000000" w:themeColor="text1"/>
                <w:lang w:val="es-CO"/>
              </w:rPr>
              <w:t xml:space="preserve"> </w:t>
            </w:r>
            <w:r w:rsidRPr="0009182C">
              <w:rPr>
                <w:rFonts w:ascii="Cambria" w:eastAsia="Batang" w:hAnsi="Cambria"/>
                <w:color w:val="000000" w:themeColor="text1"/>
                <w:lang w:val="es-CO"/>
              </w:rPr>
              <w:t>4 años</w:t>
            </w:r>
          </w:p>
          <w:p w14:paraId="36B3FA18" w14:textId="77777777" w:rsidR="002F7D0D" w:rsidRPr="0009182C" w:rsidRDefault="002F7D0D"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Relatoría vinculada</w:t>
            </w:r>
            <w:r w:rsidRPr="0009182C">
              <w:rPr>
                <w:rFonts w:ascii="Cambria" w:eastAsia="Batang" w:hAnsi="Cambria"/>
                <w:bCs/>
                <w:color w:val="080808"/>
                <w:lang w:val="es-CO"/>
              </w:rPr>
              <w:t>: N/A</w:t>
            </w:r>
          </w:p>
          <w:p w14:paraId="318E39EB" w14:textId="77777777" w:rsidR="002F7D0D" w:rsidRPr="0009182C" w:rsidRDefault="002F7D0D"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Temas: </w:t>
            </w:r>
            <w:r w:rsidRPr="0009182C">
              <w:rPr>
                <w:rFonts w:ascii="Cambria" w:eastAsia="Batang" w:hAnsi="Cambria"/>
                <w:bCs/>
                <w:color w:val="080808"/>
                <w:lang w:val="es-CO"/>
              </w:rPr>
              <w:t>Debido proceso legal/ Garantías judiciales</w:t>
            </w:r>
            <w:r w:rsidRPr="0009182C">
              <w:rPr>
                <w:rFonts w:ascii="Cambria" w:eastAsia="Batang" w:hAnsi="Cambria"/>
                <w:b/>
                <w:color w:val="080808"/>
                <w:lang w:val="es-CO"/>
              </w:rPr>
              <w:tab/>
            </w:r>
          </w:p>
          <w:p w14:paraId="3850C5FC" w14:textId="77777777" w:rsidR="002F7D0D" w:rsidRPr="0009182C" w:rsidRDefault="002F7D0D" w:rsidP="00B67A4A">
            <w:pPr>
              <w:spacing w:after="0" w:line="240" w:lineRule="auto"/>
              <w:jc w:val="both"/>
              <w:rPr>
                <w:rFonts w:ascii="Cambria" w:eastAsia="Batang" w:hAnsi="Cambria"/>
                <w:b/>
                <w:color w:val="080808"/>
                <w:lang w:val="es-CO"/>
              </w:rPr>
            </w:pPr>
          </w:p>
          <w:p w14:paraId="0DC837AE" w14:textId="77777777" w:rsidR="002F7D0D" w:rsidRPr="0009182C" w:rsidRDefault="002F7D0D" w:rsidP="00B67A4A">
            <w:pPr>
              <w:spacing w:after="0" w:line="240" w:lineRule="auto"/>
              <w:jc w:val="both"/>
              <w:rPr>
                <w:rFonts w:ascii="Cambria" w:eastAsia="Batang" w:hAnsi="Cambria"/>
                <w:b/>
                <w:color w:val="080808"/>
                <w:lang w:val="es-CO"/>
              </w:rPr>
            </w:pPr>
            <w:r w:rsidRPr="0009182C">
              <w:rPr>
                <w:rFonts w:ascii="Cambria" w:eastAsia="Batang" w:hAnsi="Cambria"/>
                <w:b/>
                <w:color w:val="080808"/>
                <w:lang w:val="es-CO"/>
              </w:rPr>
              <w:t xml:space="preserve">Hechos: </w:t>
            </w:r>
            <w:r w:rsidRPr="0009182C">
              <w:rPr>
                <w:rFonts w:ascii="Cambria" w:eastAsia="Batang" w:hAnsi="Cambria"/>
                <w:bCs/>
                <w:color w:val="080808"/>
                <w:lang w:val="es-CO"/>
              </w:rPr>
              <w:t>El caso se refiere a la violación de los derechos humanos de Vicenta Sánchez Valdivieso, mujer indígena zapoteca, derivada de la falta de ejecución de una decisión laboral emitida a su favor el 13 de agosto de 1999, la cual habría condenado a la parte patronal al pago de $97,827.60 pesos mexicanos. Ante la falta del referido pago, se habría instaurado un embargo sobre un automóvil del deudor y se nombró depositaria del bien a la señora Esther Jiménez Guerra; posteriormente el 2 de marzo de 2000, el empleador, habría acudido junto con un grupo de personas al domicilio de la depositaria del embargo y a través de la violencia habría sustraído el vehículo. Por lo anterior, Vicenta Sánchez habría presentado una acción penal por hurto el 3 de marzo de 2000, y dentro he dicho proceso se emitió una orden de aprehensión contra Santana Lopez, pero éste no habría sido aprehendido, toda vez habría sido favorecido por la investidura de candidato electoral a las elecciones federales.</w:t>
            </w:r>
            <w:r w:rsidRPr="0009182C">
              <w:rPr>
                <w:rFonts w:ascii="Cambria" w:eastAsia="Batang" w:hAnsi="Cambria"/>
                <w:b/>
                <w:color w:val="080808"/>
                <w:lang w:val="es-CO"/>
              </w:rPr>
              <w:t xml:space="preserve"> </w:t>
            </w:r>
          </w:p>
          <w:p w14:paraId="550CCD99" w14:textId="77777777" w:rsidR="002F7D0D" w:rsidRPr="0009182C" w:rsidRDefault="002F7D0D" w:rsidP="00B67A4A">
            <w:pPr>
              <w:spacing w:after="0" w:line="240" w:lineRule="auto"/>
              <w:jc w:val="both"/>
              <w:rPr>
                <w:rFonts w:ascii="Cambria" w:eastAsia="Batang" w:hAnsi="Cambria"/>
                <w:b/>
                <w:color w:val="080808"/>
                <w:lang w:val="es-CO"/>
              </w:rPr>
            </w:pPr>
          </w:p>
          <w:p w14:paraId="67385A0B" w14:textId="77777777" w:rsidR="002F7D0D" w:rsidRPr="0009182C" w:rsidRDefault="002F7D0D" w:rsidP="00B67A4A">
            <w:pPr>
              <w:autoSpaceDE w:val="0"/>
              <w:autoSpaceDN w:val="0"/>
              <w:adjustRightInd w:val="0"/>
              <w:spacing w:after="0" w:line="240" w:lineRule="auto"/>
              <w:jc w:val="both"/>
              <w:rPr>
                <w:rFonts w:ascii="Cambria" w:eastAsia="Batang" w:hAnsi="Cambria" w:cs="Cambria"/>
                <w:color w:val="080808"/>
                <w:lang w:val="es-CO" w:eastAsia="pt-BR"/>
              </w:rPr>
            </w:pPr>
            <w:r w:rsidRPr="0009182C">
              <w:rPr>
                <w:rFonts w:ascii="Cambria" w:eastAsia="Batang" w:hAnsi="Cambria"/>
                <w:b/>
                <w:color w:val="080808"/>
                <w:lang w:val="es-CO"/>
              </w:rPr>
              <w:t xml:space="preserve">Derechos declarados admisibles: </w:t>
            </w:r>
            <w:r w:rsidRPr="0009182C">
              <w:rPr>
                <w:rFonts w:ascii="Cambria" w:eastAsia="Batang" w:hAnsi="Cambria"/>
                <w:bCs/>
                <w:color w:val="080808"/>
                <w:lang w:val="es-CO"/>
              </w:rPr>
              <w:t>La Comisión concluyó que era competente para conocer el presente caso y que la petición era admisible con relación a los artículos 5 (derecho a la integridad personal), 8 (derecho a las garantías judiciales) y 25 (derecho a la protección judicial) de la Convención Americana en concordancia con su artículo 1.1, en cumplimiento con los requisitos previstos en sus artículos 46 y 47 y decidió notificar a las partes y publicar su informe en su informe anual.</w:t>
            </w:r>
          </w:p>
        </w:tc>
      </w:tr>
    </w:tbl>
    <w:p w14:paraId="67345447" w14:textId="77777777" w:rsidR="002F7D0D" w:rsidRPr="0009182C" w:rsidRDefault="002F7D0D" w:rsidP="002F7D0D">
      <w:pPr>
        <w:spacing w:after="0" w:line="240" w:lineRule="auto"/>
        <w:contextualSpacing/>
        <w:jc w:val="both"/>
        <w:rPr>
          <w:rFonts w:ascii="Cambria" w:eastAsia="Batang" w:hAnsi="Cambria" w:cs="Calibri Light"/>
          <w:b/>
          <w:color w:val="080808"/>
          <w:lang w:val="es-CO"/>
        </w:rPr>
      </w:pPr>
    </w:p>
    <w:p w14:paraId="5D920321" w14:textId="77777777" w:rsidR="002F7D0D" w:rsidRPr="0009182C" w:rsidRDefault="002F7D0D" w:rsidP="002F7D0D">
      <w:pPr>
        <w:numPr>
          <w:ilvl w:val="0"/>
          <w:numId w:val="1"/>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458EF2F0" w14:textId="77777777" w:rsidR="002F7D0D" w:rsidRPr="0009182C" w:rsidRDefault="002F7D0D" w:rsidP="002F7D0D">
      <w:pPr>
        <w:spacing w:after="0" w:line="240" w:lineRule="auto"/>
        <w:ind w:firstLine="720"/>
        <w:jc w:val="both"/>
        <w:rPr>
          <w:rFonts w:ascii="Cambria" w:hAnsi="Cambria"/>
          <w:color w:val="080808"/>
          <w:lang w:val="es-CO"/>
        </w:rPr>
      </w:pPr>
    </w:p>
    <w:p w14:paraId="180AB4E3" w14:textId="77777777" w:rsidR="002F7D0D" w:rsidRPr="0009182C" w:rsidRDefault="002F7D0D" w:rsidP="002F7D0D">
      <w:pPr>
        <w:numPr>
          <w:ilvl w:val="0"/>
          <w:numId w:val="2"/>
        </w:numPr>
        <w:spacing w:after="0" w:line="240" w:lineRule="auto"/>
        <w:ind w:left="0" w:firstLine="720"/>
        <w:jc w:val="both"/>
        <w:rPr>
          <w:rFonts w:ascii="Cambria" w:eastAsia="Batang" w:hAnsi="Cambria" w:cs="Calibri Light"/>
          <w:b/>
          <w:color w:val="080808"/>
          <w:lang w:val="es-CO"/>
        </w:rPr>
      </w:pPr>
      <w:r w:rsidRPr="0009182C">
        <w:rPr>
          <w:rFonts w:ascii="Cambria" w:hAnsi="Cambria"/>
          <w:color w:val="080808"/>
          <w:lang w:val="es-CO"/>
        </w:rPr>
        <w:t>El 25 de septiembre de 2012, las partes firmaron un acuerdo de solución amistosa.</w:t>
      </w:r>
    </w:p>
    <w:p w14:paraId="6DCA17D1" w14:textId="77777777" w:rsidR="002F7D0D" w:rsidRPr="0009182C" w:rsidRDefault="002F7D0D" w:rsidP="002F7D0D">
      <w:pPr>
        <w:spacing w:after="0" w:line="240" w:lineRule="auto"/>
        <w:ind w:firstLine="720"/>
        <w:jc w:val="both"/>
        <w:rPr>
          <w:rFonts w:ascii="Cambria" w:hAnsi="Cambria"/>
          <w:color w:val="080808"/>
          <w:lang w:val="es-CO"/>
        </w:rPr>
      </w:pPr>
    </w:p>
    <w:p w14:paraId="7D00A555" w14:textId="77777777" w:rsidR="002F7D0D" w:rsidRPr="0009182C" w:rsidRDefault="002F7D0D" w:rsidP="002F7D0D">
      <w:pPr>
        <w:numPr>
          <w:ilvl w:val="0"/>
          <w:numId w:val="2"/>
        </w:numPr>
        <w:spacing w:after="0" w:line="240" w:lineRule="auto"/>
        <w:ind w:left="0" w:firstLine="720"/>
        <w:jc w:val="both"/>
        <w:rPr>
          <w:rFonts w:ascii="Cambria" w:eastAsia="Batang" w:hAnsi="Cambria" w:cs="Calibri Light"/>
          <w:color w:val="080808"/>
          <w:lang w:val="es-CO"/>
        </w:rPr>
      </w:pPr>
      <w:r w:rsidRPr="0009182C">
        <w:rPr>
          <w:rFonts w:ascii="Cambria" w:eastAsia="Batang" w:hAnsi="Cambria" w:cs="Calibri Light"/>
          <w:color w:val="080808"/>
          <w:lang w:val="es-CO"/>
        </w:rPr>
        <w:t xml:space="preserve">El 14 de abril de 2016, la Comisión aprobó el acuerdo suscrito por las partes, mediante el </w:t>
      </w:r>
      <w:r w:rsidRPr="0009182C">
        <w:rPr>
          <w:rFonts w:ascii="Cambria" w:hAnsi="Cambria"/>
          <w:color w:val="080808"/>
          <w:lang w:val="es-CO"/>
        </w:rPr>
        <w:t>Informe No. 16</w:t>
      </w:r>
      <w:r w:rsidRPr="0009182C">
        <w:rPr>
          <w:rFonts w:ascii="Cambria" w:eastAsia="Batang" w:hAnsi="Cambria"/>
          <w:color w:val="080808"/>
          <w:lang w:val="es-CO"/>
        </w:rPr>
        <w:t xml:space="preserve">/16. </w:t>
      </w:r>
    </w:p>
    <w:p w14:paraId="1CD3AA30" w14:textId="77777777" w:rsidR="002F7D0D" w:rsidRPr="0009182C" w:rsidRDefault="002F7D0D" w:rsidP="002F7D0D">
      <w:pPr>
        <w:spacing w:after="0" w:line="240" w:lineRule="auto"/>
        <w:rPr>
          <w:rFonts w:ascii="Cambria" w:hAnsi="Cambria"/>
          <w:lang w:val="es-CO"/>
        </w:rPr>
        <w:sectPr w:rsidR="002F7D0D" w:rsidRPr="0009182C" w:rsidSect="008E0DEF">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7F34B419" w14:textId="77777777" w:rsidR="002F7D0D" w:rsidRPr="0009182C" w:rsidRDefault="002F7D0D" w:rsidP="002F7D0D">
      <w:pPr>
        <w:numPr>
          <w:ilvl w:val="0"/>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ANÁLISIS DEL CUMPLIMIENTO DE LAS CLÁUSULAS DEL ACUERDO DE SOLUCIÓN AMISTOSA</w:t>
      </w:r>
    </w:p>
    <w:p w14:paraId="23EE19EC" w14:textId="77777777" w:rsidR="002F7D0D" w:rsidRPr="0009182C" w:rsidRDefault="002F7D0D" w:rsidP="002F7D0D">
      <w:pPr>
        <w:spacing w:after="0" w:line="240" w:lineRule="auto"/>
        <w:rPr>
          <w:rFonts w:ascii="Cambria" w:eastAsia="Batang" w:hAnsi="Cambria"/>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2F7D0D" w:rsidRPr="0009182C" w14:paraId="56D99E76" w14:textId="77777777" w:rsidTr="00B67A4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0652983" w14:textId="77777777" w:rsidR="002F7D0D" w:rsidRPr="0009182C" w:rsidRDefault="002F7D0D" w:rsidP="00B67A4A">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3F63199" w14:textId="77777777" w:rsidR="002F7D0D" w:rsidRPr="0009182C" w:rsidRDefault="002F7D0D"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2F7D0D" w:rsidRPr="0009182C" w14:paraId="27A0A331" w14:textId="77777777" w:rsidTr="00B67A4A">
        <w:trPr>
          <w:trHeight w:val="1349"/>
          <w:jc w:val="center"/>
        </w:trPr>
        <w:tc>
          <w:tcPr>
            <w:tcW w:w="7632" w:type="dxa"/>
            <w:tcBorders>
              <w:top w:val="single" w:sz="4" w:space="0" w:color="auto"/>
              <w:left w:val="single" w:sz="4" w:space="0" w:color="auto"/>
              <w:bottom w:val="single" w:sz="4" w:space="0" w:color="auto"/>
              <w:right w:val="single" w:sz="4" w:space="0" w:color="auto"/>
            </w:tcBorders>
          </w:tcPr>
          <w:p w14:paraId="75A101F6" w14:textId="77777777" w:rsidR="002F7D0D" w:rsidRPr="0009182C" w:rsidRDefault="002F7D0D" w:rsidP="00B67A4A">
            <w:pPr>
              <w:tabs>
                <w:tab w:val="left" w:pos="4230"/>
              </w:tabs>
              <w:spacing w:after="0" w:line="240" w:lineRule="auto"/>
              <w:jc w:val="both"/>
              <w:rPr>
                <w:rFonts w:ascii="Cambria" w:eastAsia="MS Mincho" w:hAnsi="Cambria"/>
                <w:color w:val="000000"/>
                <w:lang w:val="es-CO" w:eastAsia="es-ES_tradnl"/>
              </w:rPr>
            </w:pPr>
            <w:r w:rsidRPr="0009182C">
              <w:rPr>
                <w:rFonts w:ascii="Cambria" w:eastAsia="MS Mincho" w:hAnsi="Cambria"/>
                <w:b/>
                <w:color w:val="000000"/>
                <w:lang w:val="es-CO" w:eastAsia="es-ES_tradnl"/>
              </w:rPr>
              <w:t>SEGUNDO.</w:t>
            </w:r>
            <w:r w:rsidRPr="0009182C">
              <w:rPr>
                <w:rFonts w:ascii="Cambria" w:eastAsia="MS Mincho" w:hAnsi="Cambria"/>
                <w:color w:val="000000"/>
                <w:lang w:val="es-CO" w:eastAsia="es-ES_tradnl"/>
              </w:rPr>
              <w:t xml:space="preserve"> El Estado se compromete a otorgar, de acuerdo a la jurisprudencia de la Corte Interamericana de Derechos Humanos, por concepto de reparación integral del daño la cantidad total de $498,927.00 (cuatrocientos noventa y ocho mil novecientos veintisiete pesos 00/100 M.N.).</w:t>
            </w:r>
          </w:p>
          <w:p w14:paraId="3CD52631" w14:textId="77777777" w:rsidR="002F7D0D" w:rsidRPr="0009182C" w:rsidRDefault="002F7D0D" w:rsidP="00B67A4A">
            <w:pPr>
              <w:tabs>
                <w:tab w:val="left" w:pos="4230"/>
              </w:tabs>
              <w:spacing w:after="0" w:line="240" w:lineRule="auto"/>
              <w:jc w:val="both"/>
              <w:rPr>
                <w:rFonts w:ascii="Cambria" w:eastAsia="MS Mincho" w:hAnsi="Cambria"/>
                <w:color w:val="000000"/>
                <w:lang w:val="es-CO" w:eastAsia="es-ES_tradnl"/>
              </w:rPr>
            </w:pPr>
            <w:r w:rsidRPr="0009182C">
              <w:rPr>
                <w:rFonts w:ascii="Cambria" w:eastAsia="MS Mincho" w:hAnsi="Cambria"/>
                <w:color w:val="000000"/>
                <w:lang w:val="es-CO" w:eastAsia="es-ES_tradnl"/>
              </w:rPr>
              <w:t>La cantidad de $378,927,00 (trescientos setenta y ocho mil novecientos veintisiete pesos 00/100 M.N.) serán pagadas por la Secretaría de Gobernación, a través de la Unidad para la Promoción y Defensa de los Derechos Humanos, mediante la entrega de los documentos mercantiles correspondientes dentro de los 30 días hábiles siguientes a la firma del presente acuerdo de solución amistosa.</w:t>
            </w:r>
          </w:p>
          <w:p w14:paraId="5826E7F6" w14:textId="77777777" w:rsidR="002F7D0D" w:rsidRPr="0009182C" w:rsidRDefault="002F7D0D" w:rsidP="00B67A4A">
            <w:pPr>
              <w:spacing w:after="0" w:line="240" w:lineRule="auto"/>
              <w:jc w:val="both"/>
              <w:rPr>
                <w:rFonts w:ascii="Cambria" w:eastAsia="Times New Roman" w:hAnsi="Cambria"/>
                <w:color w:val="080808"/>
                <w:lang w:val="es-CO"/>
              </w:rPr>
            </w:pPr>
            <w:r w:rsidRPr="0009182C">
              <w:rPr>
                <w:rFonts w:ascii="Cambria" w:eastAsia="MS Mincho" w:hAnsi="Cambria"/>
                <w:color w:val="000000"/>
                <w:lang w:val="es-CO" w:eastAsia="es-ES_tradnl"/>
              </w:rPr>
              <w:t>La cantidad de $120,000.00 (ciento veinte mil pesos 00/100 M.N.) serán pagadas por el Gobierno del Estado de Oaxaca, a través de la Coordinación de Atención a los Derechos Humanos, mediante la entrega de los documentos mercantiles correspondientes dentro de los 30 días hábiles siguientes a la firma del presente acuerdo de solución amistosa.</w:t>
            </w:r>
          </w:p>
        </w:tc>
        <w:tc>
          <w:tcPr>
            <w:tcW w:w="1701" w:type="dxa"/>
            <w:tcBorders>
              <w:top w:val="single" w:sz="4" w:space="0" w:color="auto"/>
              <w:left w:val="single" w:sz="4" w:space="0" w:color="auto"/>
              <w:bottom w:val="single" w:sz="4" w:space="0" w:color="auto"/>
              <w:right w:val="single" w:sz="4" w:space="0" w:color="auto"/>
            </w:tcBorders>
            <w:vAlign w:val="center"/>
          </w:tcPr>
          <w:p w14:paraId="679DB11D" w14:textId="77777777" w:rsidR="002F7D0D" w:rsidRPr="0009182C" w:rsidRDefault="002F7D0D"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1"/>
            </w:r>
          </w:p>
        </w:tc>
      </w:tr>
      <w:tr w:rsidR="002F7D0D" w:rsidRPr="001873B5" w14:paraId="40FC26FC" w14:textId="77777777" w:rsidTr="00B67A4A">
        <w:trPr>
          <w:jc w:val="center"/>
        </w:trPr>
        <w:tc>
          <w:tcPr>
            <w:tcW w:w="9333" w:type="dxa"/>
            <w:gridSpan w:val="2"/>
            <w:tcBorders>
              <w:top w:val="single" w:sz="4" w:space="0" w:color="auto"/>
              <w:left w:val="single" w:sz="4" w:space="0" w:color="auto"/>
              <w:bottom w:val="single" w:sz="4" w:space="0" w:color="auto"/>
              <w:right w:val="single" w:sz="4" w:space="0" w:color="auto"/>
            </w:tcBorders>
          </w:tcPr>
          <w:p w14:paraId="58A159BA" w14:textId="77777777" w:rsidR="002F7D0D" w:rsidRPr="0009182C" w:rsidRDefault="002F7D0D" w:rsidP="00B67A4A">
            <w:pPr>
              <w:spacing w:after="0" w:line="240" w:lineRule="auto"/>
              <w:contextualSpacing/>
              <w:jc w:val="both"/>
              <w:rPr>
                <w:rFonts w:ascii="Cambria" w:eastAsia="Batang" w:hAnsi="Cambria"/>
                <w:b/>
                <w:color w:val="080808"/>
                <w:lang w:val="es-CO"/>
              </w:rPr>
            </w:pPr>
            <w:r w:rsidRPr="0009182C">
              <w:rPr>
                <w:rFonts w:ascii="Cambria" w:eastAsia="MS Mincho" w:hAnsi="Cambria"/>
                <w:b/>
                <w:color w:val="000000"/>
                <w:lang w:val="es-CO" w:eastAsia="es-ES_tradnl"/>
              </w:rPr>
              <w:t xml:space="preserve">TERCERO. </w:t>
            </w:r>
            <w:r w:rsidRPr="0009182C">
              <w:rPr>
                <w:rFonts w:ascii="Cambria" w:eastAsia="MS Mincho" w:hAnsi="Cambria"/>
                <w:color w:val="000000"/>
                <w:lang w:val="es-CO" w:eastAsia="es-ES_tradnl"/>
              </w:rPr>
              <w:t>El Estado mexicano se compromete a incluir a la señora Vicenta Sánchez Valdivieso en los siguientes programas que ofrece el gobierno del estado de Oaxaca:</w:t>
            </w:r>
          </w:p>
        </w:tc>
      </w:tr>
      <w:tr w:rsidR="002F7D0D" w:rsidRPr="0009182C" w14:paraId="0CAD4E29" w14:textId="77777777" w:rsidTr="00B67A4A">
        <w:trPr>
          <w:trHeight w:val="648"/>
          <w:jc w:val="center"/>
        </w:trPr>
        <w:tc>
          <w:tcPr>
            <w:tcW w:w="7632" w:type="dxa"/>
            <w:tcBorders>
              <w:top w:val="single" w:sz="4" w:space="0" w:color="auto"/>
              <w:left w:val="single" w:sz="4" w:space="0" w:color="auto"/>
              <w:bottom w:val="single" w:sz="4" w:space="0" w:color="auto"/>
              <w:right w:val="single" w:sz="4" w:space="0" w:color="auto"/>
            </w:tcBorders>
            <w:vAlign w:val="center"/>
          </w:tcPr>
          <w:p w14:paraId="24707966" w14:textId="77777777" w:rsidR="002F7D0D" w:rsidRPr="0009182C" w:rsidRDefault="002F7D0D" w:rsidP="002F7D0D">
            <w:pPr>
              <w:pStyle w:val="ListParagraph"/>
              <w:numPr>
                <w:ilvl w:val="0"/>
                <w:numId w:val="3"/>
              </w:numPr>
              <w:spacing w:after="0" w:line="240" w:lineRule="auto"/>
              <w:ind w:left="0" w:firstLine="0"/>
              <w:jc w:val="both"/>
              <w:rPr>
                <w:rFonts w:ascii="Cambria" w:hAnsi="Cambria"/>
                <w:color w:val="080808"/>
                <w:lang w:val="es-CO"/>
              </w:rPr>
            </w:pPr>
            <w:r w:rsidRPr="0009182C">
              <w:rPr>
                <w:rFonts w:ascii="Cambria" w:eastAsia="MS Mincho" w:hAnsi="Cambria"/>
                <w:color w:val="000000"/>
                <w:lang w:val="es-CO"/>
              </w:rPr>
              <w:t>Programa productivo a cargo del Instituto de Capacitación y Productividad para el Trabajo del Estado de Oaxaca.</w:t>
            </w:r>
          </w:p>
        </w:tc>
        <w:tc>
          <w:tcPr>
            <w:tcW w:w="1701" w:type="dxa"/>
            <w:tcBorders>
              <w:top w:val="single" w:sz="4" w:space="0" w:color="auto"/>
              <w:left w:val="single" w:sz="4" w:space="0" w:color="auto"/>
              <w:bottom w:val="single" w:sz="4" w:space="0" w:color="auto"/>
              <w:right w:val="single" w:sz="4" w:space="0" w:color="auto"/>
            </w:tcBorders>
            <w:vAlign w:val="center"/>
          </w:tcPr>
          <w:p w14:paraId="09EE0E75" w14:textId="77777777" w:rsidR="002F7D0D" w:rsidRPr="0009182C" w:rsidRDefault="002F7D0D"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2"/>
            </w:r>
          </w:p>
        </w:tc>
      </w:tr>
      <w:tr w:rsidR="002F7D0D" w:rsidRPr="0009182C" w14:paraId="2B48F350" w14:textId="77777777" w:rsidTr="00B67A4A">
        <w:trPr>
          <w:trHeight w:val="416"/>
          <w:jc w:val="center"/>
        </w:trPr>
        <w:tc>
          <w:tcPr>
            <w:tcW w:w="7632" w:type="dxa"/>
            <w:tcBorders>
              <w:top w:val="single" w:sz="4" w:space="0" w:color="auto"/>
              <w:left w:val="single" w:sz="4" w:space="0" w:color="auto"/>
              <w:bottom w:val="single" w:sz="4" w:space="0" w:color="auto"/>
              <w:right w:val="single" w:sz="4" w:space="0" w:color="auto"/>
            </w:tcBorders>
            <w:vAlign w:val="center"/>
          </w:tcPr>
          <w:p w14:paraId="6F9C4273" w14:textId="77777777" w:rsidR="002F7D0D" w:rsidRPr="0009182C" w:rsidRDefault="002F7D0D" w:rsidP="002F7D0D">
            <w:pPr>
              <w:pStyle w:val="ListParagraph"/>
              <w:numPr>
                <w:ilvl w:val="0"/>
                <w:numId w:val="3"/>
              </w:numPr>
              <w:spacing w:after="0" w:line="240" w:lineRule="auto"/>
              <w:ind w:left="17" w:firstLine="0"/>
              <w:jc w:val="both"/>
              <w:rPr>
                <w:rFonts w:ascii="Cambria" w:hAnsi="Cambria"/>
                <w:color w:val="080808"/>
                <w:lang w:val="es-CO"/>
              </w:rPr>
            </w:pPr>
            <w:r w:rsidRPr="0009182C">
              <w:rPr>
                <w:rFonts w:ascii="Cambria" w:eastAsia="MS Mincho" w:hAnsi="Cambria"/>
                <w:color w:val="000000"/>
                <w:lang w:val="es-CO"/>
              </w:rPr>
              <w:t>Beca de capacitación para el empleo y Programa Semilla.</w:t>
            </w:r>
          </w:p>
        </w:tc>
        <w:tc>
          <w:tcPr>
            <w:tcW w:w="1701" w:type="dxa"/>
            <w:tcBorders>
              <w:top w:val="single" w:sz="4" w:space="0" w:color="auto"/>
              <w:left w:val="single" w:sz="4" w:space="0" w:color="auto"/>
              <w:bottom w:val="single" w:sz="4" w:space="0" w:color="auto"/>
              <w:right w:val="single" w:sz="4" w:space="0" w:color="auto"/>
            </w:tcBorders>
            <w:vAlign w:val="center"/>
          </w:tcPr>
          <w:p w14:paraId="58AE2186" w14:textId="77777777" w:rsidR="002F7D0D" w:rsidRPr="0009182C" w:rsidRDefault="002F7D0D"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3"/>
            </w:r>
          </w:p>
        </w:tc>
      </w:tr>
      <w:tr w:rsidR="002F7D0D" w:rsidRPr="0009182C" w14:paraId="58395249" w14:textId="77777777" w:rsidTr="00B67A4A">
        <w:trPr>
          <w:trHeight w:val="416"/>
          <w:jc w:val="center"/>
        </w:trPr>
        <w:tc>
          <w:tcPr>
            <w:tcW w:w="7632" w:type="dxa"/>
            <w:tcBorders>
              <w:top w:val="single" w:sz="4" w:space="0" w:color="auto"/>
              <w:left w:val="single" w:sz="4" w:space="0" w:color="auto"/>
              <w:bottom w:val="single" w:sz="4" w:space="0" w:color="auto"/>
              <w:right w:val="single" w:sz="4" w:space="0" w:color="auto"/>
            </w:tcBorders>
            <w:vAlign w:val="center"/>
          </w:tcPr>
          <w:p w14:paraId="28AB118A" w14:textId="77777777" w:rsidR="002F7D0D" w:rsidRPr="0009182C" w:rsidRDefault="002F7D0D" w:rsidP="002F7D0D">
            <w:pPr>
              <w:pStyle w:val="ListParagraph"/>
              <w:numPr>
                <w:ilvl w:val="0"/>
                <w:numId w:val="3"/>
              </w:numPr>
              <w:spacing w:after="0" w:line="240" w:lineRule="auto"/>
              <w:ind w:left="17" w:firstLine="0"/>
              <w:jc w:val="both"/>
              <w:rPr>
                <w:rFonts w:ascii="Cambria" w:eastAsia="MS Mincho" w:hAnsi="Cambria"/>
                <w:color w:val="000000"/>
                <w:lang w:val="es-CO"/>
              </w:rPr>
            </w:pPr>
            <w:r w:rsidRPr="0009182C">
              <w:rPr>
                <w:rFonts w:ascii="Cambria" w:eastAsia="MS Mincho" w:hAnsi="Cambria"/>
                <w:color w:val="000000"/>
                <w:lang w:val="es-CO"/>
              </w:rPr>
              <w:t>Seguro médico por medio del Seguro Popular del estado de Oaxaca.</w:t>
            </w:r>
          </w:p>
        </w:tc>
        <w:tc>
          <w:tcPr>
            <w:tcW w:w="1701" w:type="dxa"/>
            <w:tcBorders>
              <w:top w:val="single" w:sz="4" w:space="0" w:color="auto"/>
              <w:left w:val="single" w:sz="4" w:space="0" w:color="auto"/>
              <w:bottom w:val="single" w:sz="4" w:space="0" w:color="auto"/>
              <w:right w:val="single" w:sz="4" w:space="0" w:color="auto"/>
            </w:tcBorders>
            <w:vAlign w:val="center"/>
          </w:tcPr>
          <w:p w14:paraId="45CCADEE" w14:textId="77777777" w:rsidR="002F7D0D" w:rsidRPr="0009182C" w:rsidRDefault="002F7D0D" w:rsidP="00B67A4A">
            <w:pPr>
              <w:spacing w:after="0" w:line="240" w:lineRule="auto"/>
              <w:jc w:val="center"/>
              <w:rPr>
                <w:rFonts w:ascii="Cambria" w:eastAsia="MS Mincho" w:hAnsi="Cambria"/>
                <w:b/>
                <w:color w:val="000000"/>
                <w:lang w:val="es-CO" w:eastAsia="es-ES_tradnl"/>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4"/>
            </w:r>
          </w:p>
        </w:tc>
      </w:tr>
      <w:tr w:rsidR="002F7D0D" w:rsidRPr="0009182C" w14:paraId="7DD5284B" w14:textId="77777777" w:rsidTr="00B67A4A">
        <w:trPr>
          <w:trHeight w:val="409"/>
          <w:jc w:val="center"/>
        </w:trPr>
        <w:tc>
          <w:tcPr>
            <w:tcW w:w="7632" w:type="dxa"/>
            <w:tcBorders>
              <w:top w:val="single" w:sz="4" w:space="0" w:color="auto"/>
              <w:left w:val="single" w:sz="4" w:space="0" w:color="auto"/>
              <w:bottom w:val="single" w:sz="4" w:space="0" w:color="auto"/>
              <w:right w:val="single" w:sz="4" w:space="0" w:color="auto"/>
            </w:tcBorders>
            <w:vAlign w:val="center"/>
          </w:tcPr>
          <w:p w14:paraId="2A1697A8" w14:textId="77777777" w:rsidR="002F7D0D" w:rsidRPr="0009182C" w:rsidRDefault="002F7D0D" w:rsidP="002F7D0D">
            <w:pPr>
              <w:pStyle w:val="ListParagraph"/>
              <w:numPr>
                <w:ilvl w:val="0"/>
                <w:numId w:val="3"/>
              </w:numPr>
              <w:spacing w:after="0" w:line="240" w:lineRule="auto"/>
              <w:ind w:left="17" w:firstLine="0"/>
              <w:jc w:val="both"/>
              <w:rPr>
                <w:rFonts w:ascii="Cambria" w:hAnsi="Cambria"/>
                <w:color w:val="080808"/>
                <w:lang w:val="es-CO"/>
              </w:rPr>
            </w:pPr>
            <w:r w:rsidRPr="0009182C">
              <w:rPr>
                <w:rFonts w:ascii="Cambria" w:eastAsia="MS Mincho" w:hAnsi="Cambria"/>
                <w:color w:val="000000"/>
                <w:lang w:val="es-CO"/>
              </w:rPr>
              <w:t>Apoyo para mejoramiento de vivienda.</w:t>
            </w:r>
          </w:p>
        </w:tc>
        <w:tc>
          <w:tcPr>
            <w:tcW w:w="1701" w:type="dxa"/>
            <w:tcBorders>
              <w:top w:val="single" w:sz="4" w:space="0" w:color="auto"/>
              <w:left w:val="single" w:sz="4" w:space="0" w:color="auto"/>
              <w:bottom w:val="single" w:sz="4" w:space="0" w:color="auto"/>
              <w:right w:val="single" w:sz="4" w:space="0" w:color="auto"/>
            </w:tcBorders>
            <w:vAlign w:val="center"/>
          </w:tcPr>
          <w:p w14:paraId="3FC4D967" w14:textId="77777777" w:rsidR="002F7D0D" w:rsidRPr="0009182C" w:rsidRDefault="002F7D0D"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Total</w:t>
            </w:r>
            <w:r w:rsidRPr="0009182C">
              <w:rPr>
                <w:rStyle w:val="FootnoteReference"/>
                <w:rFonts w:ascii="Cambria" w:eastAsia="Batang" w:hAnsi="Cambria"/>
                <w:b/>
                <w:color w:val="080808"/>
                <w:lang w:val="es-CO"/>
              </w:rPr>
              <w:footnoteReference w:id="5"/>
            </w:r>
          </w:p>
        </w:tc>
      </w:tr>
      <w:tr w:rsidR="002F7D0D" w:rsidRPr="0009182C" w14:paraId="0D525E23" w14:textId="77777777" w:rsidTr="00B67A4A">
        <w:trPr>
          <w:trHeight w:val="409"/>
          <w:jc w:val="center"/>
        </w:trPr>
        <w:tc>
          <w:tcPr>
            <w:tcW w:w="7632" w:type="dxa"/>
            <w:tcBorders>
              <w:top w:val="single" w:sz="4" w:space="0" w:color="auto"/>
              <w:left w:val="single" w:sz="4" w:space="0" w:color="auto"/>
              <w:bottom w:val="single" w:sz="4" w:space="0" w:color="auto"/>
              <w:right w:val="single" w:sz="4" w:space="0" w:color="auto"/>
            </w:tcBorders>
            <w:vAlign w:val="center"/>
          </w:tcPr>
          <w:p w14:paraId="7577CA51" w14:textId="77777777" w:rsidR="002F7D0D" w:rsidRPr="0009182C" w:rsidRDefault="002F7D0D" w:rsidP="002F7D0D">
            <w:pPr>
              <w:pStyle w:val="ListParagraph"/>
              <w:numPr>
                <w:ilvl w:val="0"/>
                <w:numId w:val="3"/>
              </w:numPr>
              <w:spacing w:after="0" w:line="240" w:lineRule="auto"/>
              <w:ind w:left="17" w:firstLine="0"/>
              <w:jc w:val="both"/>
              <w:rPr>
                <w:rFonts w:ascii="Cambria" w:eastAsia="MS Mincho" w:hAnsi="Cambria"/>
                <w:color w:val="000000"/>
                <w:lang w:val="es-CO"/>
              </w:rPr>
            </w:pPr>
            <w:r w:rsidRPr="0009182C">
              <w:rPr>
                <w:rFonts w:ascii="Cambria" w:eastAsia="MS Mincho" w:hAnsi="Cambria"/>
                <w:color w:val="000000"/>
                <w:lang w:val="es-CO"/>
              </w:rPr>
              <w:t xml:space="preserve">Becas educativas para niñas y niños entre 4 y 14 años de edad. </w:t>
            </w:r>
          </w:p>
        </w:tc>
        <w:tc>
          <w:tcPr>
            <w:tcW w:w="1701" w:type="dxa"/>
            <w:tcBorders>
              <w:top w:val="single" w:sz="4" w:space="0" w:color="auto"/>
              <w:left w:val="single" w:sz="4" w:space="0" w:color="auto"/>
              <w:bottom w:val="single" w:sz="4" w:space="0" w:color="auto"/>
              <w:right w:val="single" w:sz="4" w:space="0" w:color="auto"/>
            </w:tcBorders>
            <w:vAlign w:val="center"/>
          </w:tcPr>
          <w:p w14:paraId="0F99760C" w14:textId="77777777" w:rsidR="002F7D0D" w:rsidRPr="0009182C" w:rsidRDefault="002F7D0D" w:rsidP="00B67A4A">
            <w:pPr>
              <w:spacing w:after="0" w:line="240" w:lineRule="auto"/>
              <w:jc w:val="center"/>
              <w:rPr>
                <w:rFonts w:ascii="Cambria" w:eastAsia="Batang" w:hAnsi="Cambria"/>
                <w:b/>
                <w:color w:val="080808"/>
                <w:lang w:val="es-CO"/>
              </w:rPr>
            </w:pPr>
            <w:r w:rsidRPr="0009182C">
              <w:rPr>
                <w:rFonts w:ascii="Cambria" w:eastAsia="MS Mincho" w:hAnsi="Cambria"/>
                <w:b/>
                <w:color w:val="000000"/>
                <w:lang w:val="es-CO" w:eastAsia="es-ES_tradnl"/>
              </w:rPr>
              <w:t>Total</w:t>
            </w:r>
            <w:r w:rsidRPr="0009182C">
              <w:rPr>
                <w:rStyle w:val="FootnoteReference"/>
                <w:rFonts w:ascii="Cambria" w:eastAsia="MS Mincho" w:hAnsi="Cambria"/>
                <w:b/>
                <w:color w:val="000000"/>
                <w:lang w:val="es-CO" w:eastAsia="es-ES_tradnl"/>
              </w:rPr>
              <w:footnoteReference w:id="6"/>
            </w:r>
          </w:p>
        </w:tc>
      </w:tr>
    </w:tbl>
    <w:p w14:paraId="2BF22BE6" w14:textId="77777777" w:rsidR="002F7D0D" w:rsidRPr="0009182C" w:rsidRDefault="002F7D0D" w:rsidP="002F7D0D">
      <w:pPr>
        <w:spacing w:after="0" w:line="240" w:lineRule="auto"/>
        <w:rPr>
          <w:rFonts w:ascii="Cambria" w:eastAsia="Batang" w:hAnsi="Cambria"/>
          <w:color w:val="080808"/>
          <w:lang w:val="es-CO"/>
        </w:rPr>
      </w:pPr>
    </w:p>
    <w:p w14:paraId="048ADF77" w14:textId="77777777" w:rsidR="002F7D0D" w:rsidRPr="0009182C" w:rsidRDefault="002F7D0D" w:rsidP="002F7D0D">
      <w:pPr>
        <w:numPr>
          <w:ilvl w:val="0"/>
          <w:numId w:val="1"/>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5EAB8197" w14:textId="77777777" w:rsidR="002F7D0D" w:rsidRPr="0009182C" w:rsidRDefault="002F7D0D" w:rsidP="002F7D0D">
      <w:pPr>
        <w:spacing w:after="0" w:line="240" w:lineRule="auto"/>
        <w:ind w:firstLine="720"/>
        <w:jc w:val="both"/>
        <w:rPr>
          <w:rFonts w:ascii="Cambria" w:eastAsia="Batang" w:hAnsi="Cambria" w:cs="Calibri Light"/>
          <w:color w:val="080808"/>
          <w:lang w:val="es-CO"/>
        </w:rPr>
      </w:pPr>
    </w:p>
    <w:p w14:paraId="749761E2" w14:textId="77777777" w:rsidR="002F7D0D" w:rsidRPr="0009182C" w:rsidRDefault="002F7D0D" w:rsidP="002F7D0D">
      <w:pPr>
        <w:pStyle w:val="ListParagraph"/>
        <w:numPr>
          <w:ilvl w:val="0"/>
          <w:numId w:val="2"/>
        </w:numPr>
        <w:spacing w:after="0" w:line="240" w:lineRule="auto"/>
        <w:ind w:left="0" w:firstLine="720"/>
        <w:jc w:val="both"/>
        <w:rPr>
          <w:rFonts w:ascii="Cambria" w:hAnsi="Cambria"/>
          <w:color w:val="080808"/>
          <w:lang w:val="es-CO"/>
        </w:rPr>
      </w:pPr>
      <w:r w:rsidRPr="0009182C">
        <w:rPr>
          <w:rFonts w:ascii="Cambria" w:hAnsi="Cambria"/>
          <w:color w:val="080808"/>
          <w:lang w:val="es-CO"/>
        </w:rPr>
        <w:t>La Comisión declaró el cumplimiento total del asunto y el cese del seguimiento del acuerdo de solución amistosa en el Informe Anual de 2021.</w:t>
      </w:r>
    </w:p>
    <w:p w14:paraId="6E9307BF" w14:textId="73EE7E88" w:rsidR="002F7D0D" w:rsidRDefault="002F7D0D" w:rsidP="002F7D0D">
      <w:pPr>
        <w:pStyle w:val="ListParagraph"/>
        <w:spacing w:after="0" w:line="240" w:lineRule="auto"/>
        <w:jc w:val="both"/>
        <w:rPr>
          <w:rFonts w:ascii="Cambria" w:hAnsi="Cambria"/>
          <w:color w:val="080808"/>
          <w:lang w:val="es-CO"/>
        </w:rPr>
      </w:pPr>
    </w:p>
    <w:p w14:paraId="1F790F7C" w14:textId="0253C711" w:rsidR="002F7D0D" w:rsidRDefault="002F7D0D" w:rsidP="002F7D0D">
      <w:pPr>
        <w:pStyle w:val="ListParagraph"/>
        <w:spacing w:after="0" w:line="240" w:lineRule="auto"/>
        <w:jc w:val="both"/>
        <w:rPr>
          <w:rFonts w:ascii="Cambria" w:hAnsi="Cambria"/>
          <w:color w:val="080808"/>
          <w:lang w:val="es-CO"/>
        </w:rPr>
      </w:pPr>
    </w:p>
    <w:p w14:paraId="6308816F" w14:textId="585A6A40" w:rsidR="002F7D0D" w:rsidRDefault="002F7D0D" w:rsidP="002F7D0D">
      <w:pPr>
        <w:pStyle w:val="ListParagraph"/>
        <w:spacing w:after="0" w:line="240" w:lineRule="auto"/>
        <w:jc w:val="both"/>
        <w:rPr>
          <w:rFonts w:ascii="Cambria" w:hAnsi="Cambria"/>
          <w:color w:val="080808"/>
          <w:lang w:val="es-CO"/>
        </w:rPr>
      </w:pPr>
    </w:p>
    <w:p w14:paraId="1FAAEB73" w14:textId="7B175837" w:rsidR="002F7D0D" w:rsidRDefault="002F7D0D" w:rsidP="002F7D0D">
      <w:pPr>
        <w:pStyle w:val="ListParagraph"/>
        <w:spacing w:after="0" w:line="240" w:lineRule="auto"/>
        <w:jc w:val="both"/>
        <w:rPr>
          <w:rFonts w:ascii="Cambria" w:hAnsi="Cambria"/>
          <w:color w:val="080808"/>
          <w:lang w:val="es-CO"/>
        </w:rPr>
      </w:pPr>
    </w:p>
    <w:p w14:paraId="49A03416" w14:textId="21FAFE72" w:rsidR="002F7D0D" w:rsidRDefault="002F7D0D" w:rsidP="002F7D0D">
      <w:pPr>
        <w:pStyle w:val="ListParagraph"/>
        <w:spacing w:after="0" w:line="240" w:lineRule="auto"/>
        <w:jc w:val="both"/>
        <w:rPr>
          <w:rFonts w:ascii="Cambria" w:hAnsi="Cambria"/>
          <w:color w:val="080808"/>
          <w:lang w:val="es-CO"/>
        </w:rPr>
      </w:pPr>
    </w:p>
    <w:p w14:paraId="350015B6" w14:textId="77777777" w:rsidR="002F7D0D" w:rsidRPr="0009182C" w:rsidRDefault="002F7D0D" w:rsidP="002F7D0D">
      <w:pPr>
        <w:pStyle w:val="ListParagraph"/>
        <w:spacing w:after="0" w:line="240" w:lineRule="auto"/>
        <w:jc w:val="both"/>
        <w:rPr>
          <w:rFonts w:ascii="Cambria" w:hAnsi="Cambria"/>
          <w:color w:val="080808"/>
          <w:lang w:val="es-CO"/>
        </w:rPr>
      </w:pPr>
    </w:p>
    <w:p w14:paraId="199D12EA" w14:textId="77777777" w:rsidR="002F7D0D" w:rsidRPr="0009182C" w:rsidRDefault="002F7D0D" w:rsidP="002F7D0D">
      <w:pPr>
        <w:numPr>
          <w:ilvl w:val="0"/>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 xml:space="preserve">RESULTADOS INDIVIDUALES Y ESTRUCTURALES DEL CASO </w:t>
      </w:r>
    </w:p>
    <w:p w14:paraId="39EB5D78" w14:textId="77777777" w:rsidR="002F7D0D" w:rsidRPr="0009182C" w:rsidRDefault="002F7D0D" w:rsidP="002F7D0D">
      <w:pPr>
        <w:spacing w:after="0" w:line="240" w:lineRule="auto"/>
        <w:ind w:firstLine="720"/>
        <w:contextualSpacing/>
        <w:jc w:val="both"/>
        <w:rPr>
          <w:rFonts w:ascii="Cambria" w:eastAsia="Batang" w:hAnsi="Cambria" w:cs="Calibri Light"/>
          <w:b/>
          <w:color w:val="080808"/>
          <w:lang w:val="es-CO"/>
        </w:rPr>
      </w:pPr>
    </w:p>
    <w:p w14:paraId="156DA2DB" w14:textId="77777777" w:rsidR="002F7D0D" w:rsidRPr="0009182C" w:rsidRDefault="002F7D0D" w:rsidP="002F7D0D">
      <w:pPr>
        <w:numPr>
          <w:ilvl w:val="1"/>
          <w:numId w:val="1"/>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2A0D725E" w14:textId="77777777" w:rsidR="002F7D0D" w:rsidRPr="0009182C" w:rsidRDefault="002F7D0D" w:rsidP="002F7D0D">
      <w:pPr>
        <w:spacing w:after="0" w:line="240" w:lineRule="auto"/>
        <w:ind w:left="1440" w:hanging="720"/>
        <w:contextualSpacing/>
        <w:jc w:val="both"/>
        <w:rPr>
          <w:rFonts w:ascii="Cambria" w:eastAsia="Batang" w:hAnsi="Cambria" w:cs="Calibri Light"/>
          <w:b/>
          <w:color w:val="080808"/>
          <w:lang w:val="es-CO"/>
        </w:rPr>
      </w:pPr>
    </w:p>
    <w:p w14:paraId="60E94C93" w14:textId="77777777" w:rsidR="002F7D0D" w:rsidRPr="0009182C" w:rsidRDefault="002F7D0D" w:rsidP="002F7D0D">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Se efectuó la entrega de dos cheques a favor de la señora Sánchez Valdivieso: un cheque emitido por el Gobierno de Oaxaca por la cantidad de ciento veinte mil pesos mexicanos (120.000.00 M.N.) y un cheque emitido por la Secretaría de la Gobernación por la cantidad de trescientos setenta y ocho mil novecientos veintisiete pesos mexicanos (378.927.00 M.N.).</w:t>
      </w:r>
    </w:p>
    <w:p w14:paraId="712B87BB" w14:textId="77777777" w:rsidR="002F7D0D" w:rsidRPr="0009182C" w:rsidRDefault="002F7D0D" w:rsidP="002F7D0D">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El 10 de diciembre de 2012, el gobierno de Oaxaca realizó la entrega de bienes a la víctima y su familia de la “Iniciativa Ocupacional por Cuenta Propia” que incluía un rosticero de pollo a favor de la señora Vicenta Sánchez Valdivieso y los equipos para iniciar su negocio propio “Rosticería Ña Vicenta”.</w:t>
      </w:r>
    </w:p>
    <w:p w14:paraId="2E02F317" w14:textId="77777777" w:rsidR="002F7D0D" w:rsidRPr="0009182C" w:rsidRDefault="002F7D0D" w:rsidP="002F7D0D">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Se realizó la capacitación a los peticionarios para la puesta en marcha y operación del rosticero para pollo de acuerdo con la modalidad de autoempleo. El programa semilla está enfocado al desarrollo de proyectos de negocio mediante el financiamiento de actividades para el despegue de actividades emprendedoras.</w:t>
      </w:r>
    </w:p>
    <w:p w14:paraId="1625D46D" w14:textId="77777777" w:rsidR="002F7D0D" w:rsidRDefault="002F7D0D" w:rsidP="002F7D0D">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09182C">
        <w:rPr>
          <w:rFonts w:ascii="Cambria" w:eastAsia="Batang" w:hAnsi="Cambria" w:cs="Calibri Light"/>
          <w:color w:val="080808"/>
          <w:lang w:val="es-CO"/>
        </w:rPr>
        <w:t>Se otorgaron cheques por concepto de beca a favor de los familiares de la peticionaria.</w:t>
      </w:r>
    </w:p>
    <w:p w14:paraId="4D5B2894" w14:textId="5056346B" w:rsidR="00730587" w:rsidRPr="002F7D0D" w:rsidRDefault="002F7D0D" w:rsidP="002F7D0D">
      <w:pPr>
        <w:numPr>
          <w:ilvl w:val="0"/>
          <w:numId w:val="4"/>
        </w:numPr>
        <w:tabs>
          <w:tab w:val="left" w:pos="720"/>
        </w:tabs>
        <w:spacing w:after="0" w:line="240" w:lineRule="auto"/>
        <w:ind w:left="1440" w:hanging="731"/>
        <w:contextualSpacing/>
        <w:jc w:val="both"/>
        <w:rPr>
          <w:rFonts w:ascii="Cambria" w:eastAsia="Batang" w:hAnsi="Cambria" w:cs="Calibri Light"/>
          <w:color w:val="080808"/>
          <w:lang w:val="es-CO"/>
        </w:rPr>
      </w:pPr>
      <w:r w:rsidRPr="002F7D0D">
        <w:rPr>
          <w:rFonts w:ascii="Cambria" w:eastAsia="Batang" w:hAnsi="Cambria" w:cs="Calibri Light"/>
          <w:color w:val="080808"/>
          <w:lang w:val="es-CO"/>
        </w:rPr>
        <w:t>El Estado brindó apoyo para el mejoramiento de vivienda por un monto de $15,000.00 pesos (quince mil pesos 00/100 M.N.</w:t>
      </w:r>
    </w:p>
    <w:sectPr w:rsidR="00730587" w:rsidRPr="002F7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0C4D" w14:textId="77777777" w:rsidR="002F7D0D" w:rsidRDefault="002F7D0D" w:rsidP="002F7D0D">
      <w:pPr>
        <w:spacing w:after="0" w:line="240" w:lineRule="auto"/>
      </w:pPr>
      <w:r>
        <w:separator/>
      </w:r>
    </w:p>
  </w:endnote>
  <w:endnote w:type="continuationSeparator" w:id="0">
    <w:p w14:paraId="5F65D5AB" w14:textId="77777777" w:rsidR="002F7D0D" w:rsidRDefault="002F7D0D" w:rsidP="002F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3EA1" w14:textId="77777777" w:rsidR="002F7D0D" w:rsidRPr="00A72869" w:rsidRDefault="002F7D0D">
    <w:pPr>
      <w:pStyle w:val="Footer"/>
      <w:jc w:val="center"/>
      <w:rPr>
        <w:color w:val="7F7F7F"/>
        <w:sz w:val="16"/>
      </w:rPr>
    </w:pPr>
  </w:p>
  <w:p w14:paraId="324F78D6" w14:textId="77777777" w:rsidR="002F7D0D" w:rsidRDefault="002F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7837" w14:textId="77777777" w:rsidR="002F7D0D" w:rsidRDefault="00267663" w:rsidP="002F7D0D">
    <w:pPr>
      <w:pStyle w:val="Footer"/>
      <w:spacing w:line="360" w:lineRule="auto"/>
      <w:jc w:val="right"/>
    </w:pPr>
    <w:bookmarkStart w:id="20" w:name="_Hlk129090884"/>
    <w:bookmarkStart w:id="21" w:name="_Hlk129090885"/>
    <w:bookmarkStart w:id="22" w:name="_Hlk129091044"/>
    <w:bookmarkStart w:id="23" w:name="_Hlk129091045"/>
    <w:bookmarkStart w:id="24" w:name="_Hlk129091049"/>
    <w:bookmarkStart w:id="25" w:name="_Hlk129091050"/>
    <w:bookmarkStart w:id="26" w:name="_Hlk129091188"/>
    <w:bookmarkStart w:id="27" w:name="_Hlk129091189"/>
    <w:bookmarkStart w:id="28" w:name="_Hlk129091982"/>
    <w:bookmarkStart w:id="29" w:name="_Hlk129091983"/>
    <w:r>
      <w:pict w14:anchorId="1AE136AE">
        <v:rect id="_x0000_i1027" style="width:0;height:1.5pt" o:hralign="center" o:hrstd="t" o:hr="t" fillcolor="#a0a0a0" stroked="f"/>
      </w:pict>
    </w:r>
  </w:p>
  <w:p w14:paraId="2267BAB0" w14:textId="0E86EA95" w:rsidR="002F7D0D" w:rsidRDefault="002F7D0D" w:rsidP="002F7D0D">
    <w:pPr>
      <w:pStyle w:val="Footer"/>
      <w:jc w:val="center"/>
    </w:pPr>
    <w:r w:rsidRPr="008A5CB5">
      <w:rPr>
        <w:noProof/>
      </w:rPr>
      <w:drawing>
        <wp:inline distT="0" distB="0" distL="0" distR="0" wp14:anchorId="4CFB7EFC" wp14:editId="47E3F04F">
          <wp:extent cx="5114925" cy="323850"/>
          <wp:effectExtent l="0" t="0" r="952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bookmarkEnd w:id="20"/>
    <w:bookmarkEnd w:id="21"/>
    <w:bookmarkEnd w:id="22"/>
    <w:bookmarkEnd w:id="23"/>
    <w:bookmarkEnd w:id="24"/>
    <w:bookmarkEnd w:id="25"/>
    <w:bookmarkEnd w:id="26"/>
    <w:bookmarkEnd w:id="27"/>
    <w:bookmarkEnd w:id="28"/>
    <w:bookmarkEnd w:id="29"/>
  </w:p>
  <w:p w14:paraId="220813BE" w14:textId="77777777" w:rsidR="002F7D0D" w:rsidRDefault="002F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D006" w14:textId="77777777" w:rsidR="002F7D0D" w:rsidRDefault="002F7D0D" w:rsidP="002F7D0D">
      <w:pPr>
        <w:spacing w:after="0" w:line="240" w:lineRule="auto"/>
      </w:pPr>
      <w:r>
        <w:separator/>
      </w:r>
    </w:p>
  </w:footnote>
  <w:footnote w:type="continuationSeparator" w:id="0">
    <w:p w14:paraId="4A282289" w14:textId="77777777" w:rsidR="002F7D0D" w:rsidRDefault="002F7D0D" w:rsidP="002F7D0D">
      <w:pPr>
        <w:spacing w:after="0" w:line="240" w:lineRule="auto"/>
      </w:pPr>
      <w:r>
        <w:continuationSeparator/>
      </w:r>
    </w:p>
  </w:footnote>
  <w:footnote w:id="1">
    <w:p w14:paraId="177C1BC2" w14:textId="77777777" w:rsidR="002F7D0D" w:rsidRPr="00824097" w:rsidRDefault="002F7D0D" w:rsidP="002F7D0D">
      <w:pPr>
        <w:pStyle w:val="FootnoteText"/>
        <w:spacing w:after="0" w:line="240" w:lineRule="auto"/>
        <w:ind w:firstLine="709"/>
        <w:jc w:val="both"/>
        <w:rPr>
          <w:rFonts w:ascii="Cambria" w:hAnsi="Cambria"/>
          <w:color w:val="000000"/>
          <w:sz w:val="16"/>
          <w:szCs w:val="16"/>
          <w:lang w:val="es-CO"/>
        </w:rPr>
      </w:pPr>
      <w:r w:rsidRPr="00824097">
        <w:rPr>
          <w:rStyle w:val="FootnoteReference"/>
          <w:rFonts w:ascii="Cambria" w:hAnsi="Cambria"/>
          <w:color w:val="000000"/>
          <w:sz w:val="16"/>
          <w:szCs w:val="16"/>
          <w:lang w:val="es-CO"/>
        </w:rPr>
        <w:footnoteRef/>
      </w:r>
      <w:r w:rsidRPr="00824097">
        <w:rPr>
          <w:rFonts w:ascii="Cambria" w:hAnsi="Cambria"/>
          <w:color w:val="000000"/>
          <w:sz w:val="16"/>
          <w:szCs w:val="16"/>
          <w:lang w:val="es-CO"/>
        </w:rPr>
        <w:t xml:space="preserve"> CIDH, Informe No. 16/16, Caso 12.847, Solución Amistosa, Vicenta Sanchez Valdivieso, México.</w:t>
      </w:r>
    </w:p>
  </w:footnote>
  <w:footnote w:id="2">
    <w:p w14:paraId="0F41A6CA" w14:textId="77777777" w:rsidR="002F7D0D" w:rsidRPr="00824097" w:rsidRDefault="002F7D0D" w:rsidP="002F7D0D">
      <w:pPr>
        <w:pStyle w:val="FootnoteText"/>
        <w:spacing w:after="0" w:line="240" w:lineRule="auto"/>
        <w:ind w:firstLine="709"/>
        <w:jc w:val="both"/>
        <w:rPr>
          <w:rFonts w:ascii="Cambria" w:hAnsi="Cambria"/>
          <w:color w:val="000000"/>
          <w:sz w:val="16"/>
          <w:szCs w:val="16"/>
          <w:lang w:val="es-CO"/>
        </w:rPr>
      </w:pPr>
      <w:r w:rsidRPr="00824097">
        <w:rPr>
          <w:rStyle w:val="FootnoteReference"/>
          <w:rFonts w:ascii="Cambria" w:hAnsi="Cambria"/>
          <w:color w:val="000000"/>
          <w:sz w:val="16"/>
          <w:szCs w:val="16"/>
          <w:lang w:val="es-CO"/>
        </w:rPr>
        <w:footnoteRef/>
      </w:r>
      <w:r w:rsidRPr="00824097">
        <w:rPr>
          <w:rFonts w:ascii="Cambria" w:hAnsi="Cambria"/>
          <w:color w:val="000000"/>
          <w:sz w:val="16"/>
          <w:szCs w:val="16"/>
          <w:lang w:val="es-CO"/>
        </w:rPr>
        <w:t xml:space="preserve"> CIDH, Informe No. 16/16, Caso 12.847, Solución Amistosa, Vicenta Sanchez Valdivieso, México. </w:t>
      </w:r>
    </w:p>
  </w:footnote>
  <w:footnote w:id="3">
    <w:p w14:paraId="64A84788" w14:textId="77777777" w:rsidR="002F7D0D" w:rsidRPr="00824097" w:rsidRDefault="002F7D0D" w:rsidP="002F7D0D">
      <w:pPr>
        <w:pStyle w:val="FootnoteText"/>
        <w:spacing w:after="0" w:line="240" w:lineRule="auto"/>
        <w:ind w:firstLine="709"/>
        <w:jc w:val="both"/>
        <w:rPr>
          <w:rFonts w:ascii="Cambria" w:hAnsi="Cambria"/>
          <w:color w:val="000000"/>
          <w:sz w:val="16"/>
          <w:szCs w:val="16"/>
          <w:lang w:val="es-CO"/>
        </w:rPr>
      </w:pPr>
      <w:r w:rsidRPr="00824097">
        <w:rPr>
          <w:rStyle w:val="FootnoteReference"/>
          <w:rFonts w:ascii="Cambria" w:hAnsi="Cambria"/>
          <w:color w:val="000000"/>
          <w:sz w:val="16"/>
          <w:szCs w:val="16"/>
          <w:lang w:val="es-CO"/>
        </w:rPr>
        <w:footnoteRef/>
      </w:r>
      <w:r w:rsidRPr="00824097">
        <w:rPr>
          <w:rFonts w:ascii="Cambria" w:hAnsi="Cambria"/>
          <w:color w:val="000000"/>
          <w:sz w:val="16"/>
          <w:szCs w:val="16"/>
          <w:lang w:val="es-CO"/>
        </w:rPr>
        <w:t xml:space="preserve"> CIDH, Informe No. 16/16, Caso 12.847, Solución Amistosa, Vicenta Sanchez Valdivieso, México.</w:t>
      </w:r>
    </w:p>
  </w:footnote>
  <w:footnote w:id="4">
    <w:p w14:paraId="26CD166F" w14:textId="77777777" w:rsidR="002F7D0D" w:rsidRPr="00824097" w:rsidRDefault="002F7D0D" w:rsidP="002F7D0D">
      <w:pPr>
        <w:pStyle w:val="FootnoteText"/>
        <w:spacing w:after="0" w:line="240" w:lineRule="auto"/>
        <w:ind w:firstLine="720"/>
        <w:rPr>
          <w:rFonts w:ascii="Cambria" w:hAnsi="Cambria"/>
          <w:sz w:val="16"/>
          <w:szCs w:val="16"/>
          <w:lang w:val="es-US"/>
        </w:rPr>
      </w:pPr>
      <w:r w:rsidRPr="00824097">
        <w:rPr>
          <w:rStyle w:val="FootnoteReference"/>
          <w:rFonts w:ascii="Cambria" w:hAnsi="Cambria"/>
          <w:sz w:val="16"/>
          <w:szCs w:val="16"/>
        </w:rPr>
        <w:footnoteRef/>
      </w:r>
      <w:r w:rsidRPr="00824097">
        <w:rPr>
          <w:rFonts w:ascii="Cambria" w:hAnsi="Cambria"/>
          <w:sz w:val="16"/>
          <w:szCs w:val="16"/>
          <w:lang w:val="es-US"/>
        </w:rPr>
        <w:t xml:space="preserve"> </w:t>
      </w:r>
      <w:r w:rsidRPr="00824097">
        <w:rPr>
          <w:rFonts w:ascii="Cambria" w:hAnsi="Cambria"/>
          <w:color w:val="000000"/>
          <w:sz w:val="16"/>
          <w:szCs w:val="16"/>
          <w:lang w:val="es-ES"/>
        </w:rPr>
        <w:t xml:space="preserve">Ver CIDH, Informe Anual 2019, Capítulo II, Sección G. Soluciones Amistosas, </w:t>
      </w:r>
      <w:r w:rsidRPr="00824097">
        <w:rPr>
          <w:rFonts w:ascii="Cambria" w:hAnsi="Cambria"/>
          <w:color w:val="000000"/>
          <w:sz w:val="16"/>
          <w:szCs w:val="16"/>
          <w:lang w:val="es-CO"/>
        </w:rPr>
        <w:t xml:space="preserve">Disponible en: </w:t>
      </w:r>
      <w:hyperlink r:id="rId1" w:history="1">
        <w:r w:rsidRPr="00824097">
          <w:rPr>
            <w:rStyle w:val="Hyperlink"/>
            <w:rFonts w:ascii="Cambria" w:hAnsi="Cambria"/>
            <w:sz w:val="16"/>
            <w:szCs w:val="16"/>
            <w:lang w:val="es-VE"/>
          </w:rPr>
          <w:t>http://www.oas.org/es/cidh/docs/anual/2019/docs/IA2019cap2-es.pdf</w:t>
        </w:r>
      </w:hyperlink>
    </w:p>
  </w:footnote>
  <w:footnote w:id="5">
    <w:p w14:paraId="24E254A0" w14:textId="77777777" w:rsidR="002F7D0D" w:rsidRPr="00824097" w:rsidRDefault="002F7D0D" w:rsidP="002F7D0D">
      <w:pPr>
        <w:pStyle w:val="FootnoteText"/>
        <w:spacing w:after="0" w:line="240" w:lineRule="auto"/>
        <w:ind w:firstLine="709"/>
        <w:jc w:val="both"/>
        <w:rPr>
          <w:rFonts w:ascii="Cambria" w:hAnsi="Cambria"/>
          <w:color w:val="000000" w:themeColor="text1"/>
          <w:sz w:val="16"/>
          <w:szCs w:val="16"/>
          <w:lang w:val="es-CO"/>
        </w:rPr>
      </w:pPr>
      <w:r w:rsidRPr="00824097">
        <w:rPr>
          <w:rStyle w:val="FootnoteReference"/>
          <w:rFonts w:ascii="Cambria" w:hAnsi="Cambria"/>
          <w:sz w:val="16"/>
          <w:szCs w:val="16"/>
        </w:rPr>
        <w:footnoteRef/>
      </w:r>
      <w:r w:rsidRPr="00824097">
        <w:rPr>
          <w:rFonts w:ascii="Cambria" w:hAnsi="Cambria"/>
          <w:sz w:val="16"/>
          <w:szCs w:val="16"/>
          <w:lang w:val="es-CO"/>
        </w:rPr>
        <w:t xml:space="preserve"> </w:t>
      </w:r>
      <w:r w:rsidRPr="00824097">
        <w:rPr>
          <w:rFonts w:ascii="Cambria" w:hAnsi="Cambria"/>
          <w:sz w:val="16"/>
          <w:szCs w:val="16"/>
          <w:lang w:val="es-ES"/>
        </w:rPr>
        <w:t xml:space="preserve">Ver </w:t>
      </w:r>
      <w:r w:rsidRPr="00824097">
        <w:rPr>
          <w:rFonts w:ascii="Cambria" w:hAnsi="Cambria"/>
          <w:color w:val="000000" w:themeColor="text1"/>
          <w:sz w:val="16"/>
          <w:szCs w:val="16"/>
          <w:lang w:val="es-ES"/>
        </w:rPr>
        <w:t xml:space="preserve">CIDH, Informe Anual 2021, Capítulo II, Sección F: </w:t>
      </w:r>
      <w:r w:rsidRPr="00824097">
        <w:rPr>
          <w:rFonts w:ascii="Cambria" w:hAnsi="Cambria"/>
          <w:color w:val="000000" w:themeColor="text1"/>
          <w:sz w:val="16"/>
          <w:szCs w:val="16"/>
          <w:lang w:val="es-CO"/>
        </w:rPr>
        <w:t xml:space="preserve">Avances y retrocesos en materia de negociación e implementación de acuerdos de solución amistosa, Disponible en: </w:t>
      </w:r>
      <w:hyperlink r:id="rId2" w:history="1">
        <w:r w:rsidRPr="00824097">
          <w:rPr>
            <w:rStyle w:val="Hyperlink"/>
            <w:rFonts w:ascii="Cambria" w:hAnsi="Cambria"/>
            <w:color w:val="000000" w:themeColor="text1"/>
            <w:sz w:val="16"/>
            <w:szCs w:val="16"/>
            <w:lang w:val="es-CO"/>
          </w:rPr>
          <w:t>https://www.oas.org/es/cidh/docs/anual/2021/capitulos/IA2021cap2-es.pdf</w:t>
        </w:r>
      </w:hyperlink>
    </w:p>
  </w:footnote>
  <w:footnote w:id="6">
    <w:p w14:paraId="19D54FB9" w14:textId="77777777" w:rsidR="002F7D0D" w:rsidRPr="00254A60" w:rsidRDefault="002F7D0D" w:rsidP="002F7D0D">
      <w:pPr>
        <w:pStyle w:val="FootnoteText"/>
        <w:spacing w:after="0" w:line="240" w:lineRule="auto"/>
        <w:ind w:firstLine="709"/>
        <w:jc w:val="both"/>
        <w:rPr>
          <w:rFonts w:ascii="Cambria" w:hAnsi="Cambria"/>
          <w:color w:val="000000"/>
          <w:sz w:val="16"/>
          <w:szCs w:val="16"/>
          <w:lang w:val="es-CO"/>
        </w:rPr>
      </w:pPr>
      <w:r w:rsidRPr="00824097">
        <w:rPr>
          <w:rStyle w:val="FootnoteReference"/>
          <w:rFonts w:ascii="Cambria" w:hAnsi="Cambria"/>
          <w:color w:val="000000" w:themeColor="text1"/>
          <w:sz w:val="16"/>
          <w:szCs w:val="16"/>
          <w:lang w:val="es-CO"/>
        </w:rPr>
        <w:footnoteRef/>
      </w:r>
      <w:r w:rsidRPr="00824097">
        <w:rPr>
          <w:rFonts w:ascii="Cambria" w:hAnsi="Cambria"/>
          <w:color w:val="000000" w:themeColor="text1"/>
          <w:sz w:val="16"/>
          <w:szCs w:val="16"/>
          <w:lang w:val="es-CO"/>
        </w:rPr>
        <w:t xml:space="preserve"> CIDH, Informe No. 16/16, Caso 12.847, Solución Amistosa, Vicenta Sanchez Valdivieso,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34D3" w14:textId="0AF1F849" w:rsidR="002F7D0D" w:rsidRPr="0058688A" w:rsidRDefault="002F7D0D" w:rsidP="002F7D0D">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r>
      <w:rPr>
        <w:noProof/>
        <w:lang w:val="es-ES_tradnl"/>
      </w:rPr>
      <w:drawing>
        <wp:inline distT="0" distB="0" distL="0" distR="0" wp14:anchorId="7D5699EF" wp14:editId="1A069E42">
          <wp:extent cx="22860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17C86689" w14:textId="77777777" w:rsidR="002F7D0D" w:rsidRDefault="00267663" w:rsidP="002F7D0D">
    <w:pPr>
      <w:pStyle w:val="Header"/>
    </w:pPr>
    <w:r>
      <w:pict w14:anchorId="7E5C6114">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p>
  <w:p w14:paraId="3CE8D696" w14:textId="77777777" w:rsidR="002F7D0D" w:rsidRDefault="002F7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E099" w14:textId="423E5BCA" w:rsidR="002F7D0D" w:rsidRDefault="002F7D0D" w:rsidP="002F7D0D">
    <w:pPr>
      <w:pStyle w:val="Header"/>
    </w:pPr>
    <w:bookmarkStart w:id="12" w:name="_Hlk129090378"/>
    <w:bookmarkStart w:id="13" w:name="_Hlk129090379"/>
    <w:bookmarkStart w:id="14" w:name="_Hlk129090860"/>
    <w:bookmarkStart w:id="15" w:name="_Hlk129090861"/>
    <w:bookmarkStart w:id="16" w:name="_Hlk129091020"/>
    <w:bookmarkStart w:id="17" w:name="_Hlk129091021"/>
    <w:bookmarkStart w:id="18" w:name="_Hlk129091166"/>
    <w:bookmarkStart w:id="19" w:name="_Hlk129091167"/>
    <w:r w:rsidRPr="008A5CB5">
      <w:rPr>
        <w:noProof/>
      </w:rPr>
      <w:drawing>
        <wp:inline distT="0" distB="0" distL="0" distR="0" wp14:anchorId="75227751" wp14:editId="4448A593">
          <wp:extent cx="2352675" cy="457200"/>
          <wp:effectExtent l="0" t="0" r="9525"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2AEA2F39" wp14:editId="33904F48">
          <wp:extent cx="1943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550F91A" w14:textId="77777777" w:rsidR="002F7D0D" w:rsidRDefault="00267663" w:rsidP="002F7D0D">
    <w:pPr>
      <w:pStyle w:val="Header"/>
    </w:pPr>
    <w:r>
      <w:pict w14:anchorId="62C78832">
        <v:rect id="_x0000_i1026" style="width:0;height:1.5pt" o:hralign="center" o:hrstd="t" o:hr="t" fillcolor="#a0a0a0" stroked="f"/>
      </w:pict>
    </w:r>
    <w:bookmarkEnd w:id="12"/>
    <w:bookmarkEnd w:id="13"/>
    <w:bookmarkEnd w:id="14"/>
    <w:bookmarkEnd w:id="15"/>
    <w:bookmarkEnd w:id="16"/>
    <w:bookmarkEnd w:id="17"/>
    <w:bookmarkEnd w:id="18"/>
    <w:bookmarkEnd w:id="19"/>
  </w:p>
  <w:p w14:paraId="064995F0" w14:textId="77777777" w:rsidR="002F7D0D" w:rsidRDefault="002F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2262120">
    <w:abstractNumId w:val="2"/>
  </w:num>
  <w:num w:numId="2" w16cid:durableId="763959385">
    <w:abstractNumId w:val="3"/>
  </w:num>
  <w:num w:numId="3" w16cid:durableId="895700719">
    <w:abstractNumId w:val="1"/>
  </w:num>
  <w:num w:numId="4" w16cid:durableId="179898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0D"/>
    <w:rsid w:val="00267663"/>
    <w:rsid w:val="002F7D0D"/>
    <w:rsid w:val="0073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F6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D0D"/>
    <w:rPr>
      <w:rFonts w:ascii="Calibri" w:eastAsia="Calibri" w:hAnsi="Calibri" w:cs="Times New Roman"/>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2F7D0D"/>
    <w:rPr>
      <w:vertAlign w:val="superscript"/>
    </w:rPr>
  </w:style>
  <w:style w:type="paragraph" w:customStyle="1" w:styleId="Appelnotedebasde">
    <w:name w:val="Appel note de bas de..."/>
    <w:basedOn w:val="Normal"/>
    <w:link w:val="FootnoteReference"/>
    <w:uiPriority w:val="99"/>
    <w:rsid w:val="002F7D0D"/>
    <w:pPr>
      <w:spacing w:after="160" w:line="240" w:lineRule="exact"/>
    </w:pPr>
    <w:rPr>
      <w:rFonts w:asciiTheme="minorHAnsi" w:eastAsiaTheme="minorHAnsi" w:hAnsiTheme="minorHAnsi" w:cstheme="minorBidi"/>
      <w:vertAlign w:val="superscript"/>
    </w:rPr>
  </w:style>
  <w:style w:type="character" w:styleId="Hyperlink">
    <w:name w:val="Hyperlink"/>
    <w:uiPriority w:val="99"/>
    <w:unhideWhenUsed/>
    <w:rsid w:val="002F7D0D"/>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2F7D0D"/>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2F7D0D"/>
    <w:rPr>
      <w:rFonts w:ascii="Calibri" w:eastAsia="Calibri" w:hAnsi="Calibri" w:cs="Times New Roman"/>
      <w:sz w:val="20"/>
      <w:szCs w:val="20"/>
    </w:rPr>
  </w:style>
  <w:style w:type="paragraph" w:styleId="ListParagraph">
    <w:name w:val="List Paragraph"/>
    <w:basedOn w:val="Normal"/>
    <w:link w:val="ListParagraphChar"/>
    <w:uiPriority w:val="34"/>
    <w:qFormat/>
    <w:rsid w:val="002F7D0D"/>
    <w:pPr>
      <w:ind w:left="720"/>
      <w:contextualSpacing/>
    </w:pPr>
  </w:style>
  <w:style w:type="character" w:customStyle="1" w:styleId="ListParagraphChar">
    <w:name w:val="List Paragraph Char"/>
    <w:link w:val="ListParagraph"/>
    <w:uiPriority w:val="34"/>
    <w:rsid w:val="002F7D0D"/>
    <w:rPr>
      <w:rFonts w:ascii="Calibri" w:eastAsia="Calibri" w:hAnsi="Calibri" w:cs="Times New Roman"/>
    </w:rPr>
  </w:style>
  <w:style w:type="paragraph" w:styleId="Header">
    <w:name w:val="header"/>
    <w:basedOn w:val="Normal"/>
    <w:link w:val="HeaderChar"/>
    <w:uiPriority w:val="99"/>
    <w:unhideWhenUsed/>
    <w:rsid w:val="002F7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D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admisibilidades.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as.org/es/cidh/decisiones/2016/MXSA12847ES.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s.org/es/cidh/decisiones/2016/MXSA12847E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ocs/anual/2021/capitulos/IA2021cap2-es.pdf" TargetMode="External"/><Relationship Id="rId1" Type="http://schemas.openxmlformats.org/officeDocument/2006/relationships/hyperlink" Target="http://www.oas.org/es/cidh/docs/anual/2019/docs/IA2019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2023-03-07T20:32:00Z</dcterms:created>
  <dcterms:modified xsi:type="dcterms:W3CDTF">2023-03-07T20:32:00Z</dcterms:modified>
</cp:coreProperties>
</file>