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D731" w14:textId="77777777" w:rsidR="005636C1" w:rsidRPr="0009182C" w:rsidRDefault="005636C1" w:rsidP="005636C1">
      <w:pPr>
        <w:spacing w:after="0" w:line="240" w:lineRule="auto"/>
        <w:jc w:val="center"/>
        <w:rPr>
          <w:rFonts w:ascii="Cambria" w:hAnsi="Cambria"/>
          <w:b/>
          <w:lang w:val="es-CO"/>
        </w:rPr>
      </w:pPr>
      <w:r w:rsidRPr="0009182C">
        <w:rPr>
          <w:rFonts w:ascii="Cambria" w:hAnsi="Cambria"/>
          <w:b/>
          <w:lang w:val="es-CO"/>
        </w:rPr>
        <w:t>FICHA TÉCNICA INFORMATIVA</w:t>
      </w:r>
    </w:p>
    <w:p w14:paraId="51916358" w14:textId="77777777" w:rsidR="005636C1" w:rsidRPr="0009182C" w:rsidRDefault="005636C1" w:rsidP="005636C1">
      <w:pPr>
        <w:spacing w:after="0" w:line="240" w:lineRule="auto"/>
        <w:ind w:right="-270"/>
        <w:jc w:val="center"/>
        <w:rPr>
          <w:rFonts w:ascii="Cambria" w:eastAsia="Batang" w:hAnsi="Cambria"/>
          <w:b/>
          <w:color w:val="000000" w:themeColor="text1"/>
          <w:lang w:val="es-CO"/>
        </w:rPr>
      </w:pPr>
      <w:r w:rsidRPr="0009182C">
        <w:rPr>
          <w:rFonts w:ascii="Cambria" w:eastAsia="Batang" w:hAnsi="Cambria"/>
          <w:b/>
          <w:lang w:val="es-CO"/>
        </w:rPr>
        <w:t xml:space="preserve">CASO 12.915 </w:t>
      </w:r>
      <w:r w:rsidRPr="0009182C">
        <w:rPr>
          <w:rFonts w:ascii="Cambria" w:hAnsi="Cambria"/>
          <w:b/>
          <w:bCs/>
          <w:lang w:val="es-CO"/>
        </w:rPr>
        <w:t xml:space="preserve">ÁNGEL DÍAZ </w:t>
      </w:r>
      <w:r w:rsidRPr="0009182C">
        <w:rPr>
          <w:rFonts w:ascii="Cambria" w:hAnsi="Cambria"/>
          <w:b/>
          <w:bCs/>
          <w:color w:val="000000" w:themeColor="text1"/>
          <w:lang w:val="es-CO"/>
        </w:rPr>
        <w:t>CRUZ Y OTROS</w:t>
      </w:r>
    </w:p>
    <w:p w14:paraId="519CFA10" w14:textId="77777777" w:rsidR="005636C1" w:rsidRPr="0009182C" w:rsidRDefault="005636C1" w:rsidP="005636C1">
      <w:pPr>
        <w:spacing w:after="0" w:line="240" w:lineRule="auto"/>
        <w:ind w:right="-270"/>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SOLUCIÓN AMISTOSA No. </w:t>
      </w:r>
      <w:hyperlink r:id="rId7" w:history="1">
        <w:r w:rsidRPr="0009182C">
          <w:rPr>
            <w:rStyle w:val="Hyperlink"/>
            <w:rFonts w:ascii="Cambria" w:eastAsia="Batang" w:hAnsi="Cambria"/>
            <w:b/>
            <w:bCs/>
            <w:color w:val="000000" w:themeColor="text1"/>
            <w:lang w:val="es-CO"/>
          </w:rPr>
          <w:t>2/20</w:t>
        </w:r>
      </w:hyperlink>
    </w:p>
    <w:p w14:paraId="0E322284" w14:textId="77777777" w:rsidR="005636C1" w:rsidRPr="0009182C" w:rsidRDefault="005636C1" w:rsidP="005636C1">
      <w:pPr>
        <w:spacing w:after="0" w:line="240" w:lineRule="auto"/>
        <w:ind w:right="-270"/>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3462C83E" w14:textId="77777777" w:rsidR="005636C1" w:rsidRPr="0009182C" w:rsidRDefault="005636C1" w:rsidP="005636C1">
      <w:pPr>
        <w:spacing w:after="0" w:line="240" w:lineRule="auto"/>
        <w:jc w:val="center"/>
        <w:rPr>
          <w:rFonts w:ascii="Cambria" w:eastAsia="Batang" w:hAnsi="Cambria"/>
          <w:b/>
          <w:lang w:val="es-CO"/>
        </w:rPr>
      </w:pPr>
      <w:r w:rsidRPr="0009182C">
        <w:rPr>
          <w:rFonts w:ascii="Cambria" w:eastAsia="Batang" w:hAnsi="Cambria"/>
          <w:b/>
          <w:lang w:val="es-CO"/>
        </w:rPr>
        <w:t xml:space="preserve"> (MÉXICO)</w:t>
      </w:r>
    </w:p>
    <w:p w14:paraId="4CA8C565" w14:textId="77777777" w:rsidR="005636C1" w:rsidRPr="0009182C" w:rsidRDefault="005636C1" w:rsidP="005636C1">
      <w:pPr>
        <w:spacing w:after="0" w:line="240" w:lineRule="auto"/>
        <w:jc w:val="center"/>
        <w:rPr>
          <w:rFonts w:ascii="Cambria" w:eastAsia="Batang" w:hAnsi="Cambria"/>
          <w:b/>
          <w:color w:val="080808"/>
          <w:lang w:val="es-CO"/>
        </w:rPr>
      </w:pPr>
    </w:p>
    <w:p w14:paraId="01A9897D" w14:textId="77777777" w:rsidR="005636C1" w:rsidRPr="0009182C" w:rsidRDefault="005636C1" w:rsidP="005636C1">
      <w:pPr>
        <w:numPr>
          <w:ilvl w:val="0"/>
          <w:numId w:val="2"/>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600C330F" w14:textId="77777777" w:rsidR="005636C1" w:rsidRPr="0009182C" w:rsidRDefault="005636C1" w:rsidP="005636C1">
      <w:pPr>
        <w:spacing w:after="0" w:line="240" w:lineRule="auto"/>
        <w:jc w:val="both"/>
        <w:rPr>
          <w:rFonts w:ascii="Cambria" w:eastAsia="Batang" w:hAnsi="Cambria" w:cs="Calibri Light"/>
          <w:b/>
          <w:color w:val="080808"/>
          <w:lang w:val="es-CO"/>
        </w:rPr>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1"/>
      </w:tblGrid>
      <w:tr w:rsidR="005636C1" w:rsidRPr="001873B5" w14:paraId="6210E160" w14:textId="77777777" w:rsidTr="00B67A4A">
        <w:trPr>
          <w:trHeight w:val="6321"/>
        </w:trPr>
        <w:tc>
          <w:tcPr>
            <w:tcW w:w="9351" w:type="dxa"/>
            <w:shd w:val="clear" w:color="auto" w:fill="F2F2F2"/>
          </w:tcPr>
          <w:p w14:paraId="4F0FBE8F" w14:textId="77777777" w:rsidR="005636C1" w:rsidRPr="0009182C" w:rsidRDefault="005636C1"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Víctima (s): </w:t>
            </w:r>
            <w:r w:rsidRPr="0009182C">
              <w:rPr>
                <w:rFonts w:ascii="Cambria" w:eastAsia="Batang" w:hAnsi="Cambria"/>
                <w:bCs/>
                <w:color w:val="080808"/>
                <w:lang w:val="es-CO"/>
              </w:rPr>
              <w:t>Ángel Díaz Cruz</w:t>
            </w:r>
            <w:r w:rsidRPr="0009182C">
              <w:rPr>
                <w:rFonts w:ascii="Cambria" w:eastAsia="Batang" w:hAnsi="Cambria"/>
                <w:b/>
                <w:color w:val="080808"/>
                <w:lang w:val="es-CO"/>
              </w:rPr>
              <w:t xml:space="preserve"> </w:t>
            </w:r>
          </w:p>
          <w:p w14:paraId="2A0E5FC6" w14:textId="77777777" w:rsidR="005636C1" w:rsidRPr="0009182C" w:rsidRDefault="005636C1" w:rsidP="00B67A4A">
            <w:pPr>
              <w:spacing w:after="0" w:line="240" w:lineRule="auto"/>
              <w:jc w:val="both"/>
              <w:rPr>
                <w:rFonts w:ascii="Cambria" w:eastAsia="Batang" w:hAnsi="Cambria"/>
                <w:bCs/>
                <w:color w:val="080808"/>
                <w:lang w:val="es-CO"/>
              </w:rPr>
            </w:pPr>
            <w:r w:rsidRPr="0009182C">
              <w:rPr>
                <w:rFonts w:ascii="Cambria" w:eastAsia="Batang" w:hAnsi="Cambria"/>
                <w:b/>
                <w:color w:val="080808"/>
                <w:lang w:val="es-CO"/>
              </w:rPr>
              <w:t xml:space="preserve">Peticionario (s): </w:t>
            </w:r>
            <w:r w:rsidRPr="0009182C">
              <w:rPr>
                <w:rFonts w:ascii="Cambria" w:eastAsia="Batang" w:hAnsi="Cambria"/>
                <w:bCs/>
                <w:color w:val="080808"/>
                <w:lang w:val="es-CO"/>
              </w:rPr>
              <w:t>Centro de Derechos Humanos Fray Bartolomé de las Casas Asociación Civil</w:t>
            </w:r>
          </w:p>
          <w:p w14:paraId="047CF105" w14:textId="77777777" w:rsidR="005636C1" w:rsidRPr="0009182C" w:rsidRDefault="005636C1" w:rsidP="00B67A4A">
            <w:pPr>
              <w:spacing w:after="0" w:line="240" w:lineRule="auto"/>
              <w:jc w:val="both"/>
              <w:rPr>
                <w:rFonts w:ascii="Cambria" w:eastAsia="Batang" w:hAnsi="Cambria"/>
                <w:bCs/>
                <w:color w:val="080808"/>
                <w:lang w:val="es-CO"/>
              </w:rPr>
            </w:pPr>
            <w:r w:rsidRPr="0009182C">
              <w:rPr>
                <w:rFonts w:ascii="Cambria" w:eastAsia="Batang" w:hAnsi="Cambria"/>
                <w:bCs/>
                <w:color w:val="080808"/>
                <w:lang w:val="es-CO"/>
              </w:rPr>
              <w:t>Estado: México</w:t>
            </w:r>
          </w:p>
          <w:p w14:paraId="4837083C" w14:textId="77777777" w:rsidR="005636C1" w:rsidRPr="0009182C" w:rsidRDefault="005636C1" w:rsidP="00B67A4A">
            <w:pPr>
              <w:spacing w:after="0" w:line="240" w:lineRule="auto"/>
              <w:jc w:val="both"/>
              <w:rPr>
                <w:rFonts w:ascii="Cambria" w:eastAsia="Batang" w:hAnsi="Cambria"/>
                <w:b/>
                <w:color w:val="080808"/>
                <w:lang w:val="es-CO"/>
              </w:rPr>
            </w:pPr>
            <w:r w:rsidRPr="0009182C">
              <w:rPr>
                <w:rFonts w:ascii="Cambria" w:eastAsia="Batang" w:hAnsi="Cambria"/>
                <w:b/>
                <w:bCs/>
                <w:color w:val="080808"/>
                <w:lang w:val="es-CO"/>
              </w:rPr>
              <w:t xml:space="preserve">Fecha de inicio de las negociaciones: </w:t>
            </w:r>
            <w:r w:rsidRPr="0009182C">
              <w:rPr>
                <w:rFonts w:ascii="Cambria" w:eastAsia="Batang" w:hAnsi="Cambria"/>
                <w:bCs/>
                <w:color w:val="080808"/>
                <w:lang w:val="es-CO"/>
              </w:rPr>
              <w:t>3 de septiembre de 2015</w:t>
            </w:r>
          </w:p>
          <w:p w14:paraId="0243C137" w14:textId="77777777" w:rsidR="005636C1" w:rsidRPr="0009182C" w:rsidRDefault="005636C1" w:rsidP="00B67A4A">
            <w:pPr>
              <w:spacing w:after="0" w:line="240" w:lineRule="auto"/>
              <w:jc w:val="both"/>
              <w:rPr>
                <w:rFonts w:ascii="Cambria" w:eastAsia="Batang" w:hAnsi="Cambria"/>
                <w:bCs/>
                <w:color w:val="000000" w:themeColor="text1"/>
                <w:lang w:val="es-CO"/>
              </w:rPr>
            </w:pPr>
            <w:r w:rsidRPr="0009182C">
              <w:rPr>
                <w:rFonts w:ascii="Cambria" w:eastAsia="Batang" w:hAnsi="Cambria"/>
                <w:b/>
                <w:bCs/>
                <w:color w:val="080808"/>
                <w:lang w:val="es-CO"/>
              </w:rPr>
              <w:t xml:space="preserve">Fecha de Firma de ASA: </w:t>
            </w:r>
            <w:r w:rsidRPr="0009182C">
              <w:rPr>
                <w:rFonts w:ascii="Cambria" w:eastAsia="Batang" w:hAnsi="Cambria"/>
                <w:bCs/>
                <w:color w:val="080808"/>
                <w:lang w:val="es-CO"/>
              </w:rPr>
              <w:t xml:space="preserve">28 de enero de </w:t>
            </w:r>
            <w:r w:rsidRPr="0009182C">
              <w:rPr>
                <w:rFonts w:ascii="Cambria" w:eastAsia="Batang" w:hAnsi="Cambria"/>
                <w:bCs/>
                <w:color w:val="000000" w:themeColor="text1"/>
                <w:lang w:val="es-CO"/>
              </w:rPr>
              <w:t>2016</w:t>
            </w:r>
          </w:p>
          <w:p w14:paraId="7C57FF2B" w14:textId="77777777" w:rsidR="005636C1" w:rsidRPr="0009182C" w:rsidRDefault="005636C1" w:rsidP="00B67A4A">
            <w:pPr>
              <w:spacing w:after="0" w:line="240" w:lineRule="auto"/>
              <w:jc w:val="both"/>
              <w:rPr>
                <w:rFonts w:ascii="Cambria" w:eastAsia="Batang" w:hAnsi="Cambria"/>
                <w:b/>
                <w:bCs/>
                <w:lang w:val="es-CO"/>
              </w:rPr>
            </w:pPr>
            <w:r w:rsidRPr="0009182C">
              <w:rPr>
                <w:rFonts w:ascii="Cambria" w:eastAsia="Batang" w:hAnsi="Cambria"/>
                <w:b/>
                <w:bCs/>
                <w:color w:val="000000" w:themeColor="text1"/>
                <w:lang w:val="es-CO"/>
              </w:rPr>
              <w:t xml:space="preserve">Informe de Admisibilidad </w:t>
            </w:r>
            <w:r w:rsidRPr="0009182C">
              <w:rPr>
                <w:rFonts w:ascii="Cambria" w:eastAsia="Batang" w:hAnsi="Cambria"/>
                <w:b/>
                <w:color w:val="000000" w:themeColor="text1"/>
                <w:lang w:val="es-CO"/>
              </w:rPr>
              <w:t>Nº</w:t>
            </w:r>
            <w:r w:rsidRPr="0009182C">
              <w:rPr>
                <w:rFonts w:ascii="Cambria" w:eastAsia="Batang" w:hAnsi="Cambria"/>
                <w:bCs/>
                <w:color w:val="000000" w:themeColor="text1"/>
                <w:lang w:val="es-CO"/>
              </w:rPr>
              <w:t xml:space="preserve">: </w:t>
            </w:r>
            <w:hyperlink r:id="rId8" w:history="1">
              <w:r w:rsidRPr="0009182C">
                <w:rPr>
                  <w:rStyle w:val="Hyperlink"/>
                  <w:rFonts w:ascii="Cambria" w:hAnsi="Cambria"/>
                  <w:b/>
                  <w:lang w:val="es-CO"/>
                </w:rPr>
                <w:t>47/13</w:t>
              </w:r>
            </w:hyperlink>
          </w:p>
          <w:p w14:paraId="56E50A8F" w14:textId="77777777" w:rsidR="005636C1" w:rsidRPr="0009182C" w:rsidRDefault="005636C1"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Informe de Acuerdo de Solución Amistosa Nº</w:t>
            </w:r>
            <w:r w:rsidRPr="0009182C">
              <w:rPr>
                <w:rFonts w:ascii="Cambria" w:eastAsia="Batang" w:hAnsi="Cambria"/>
                <w:bCs/>
                <w:color w:val="000000" w:themeColor="text1"/>
                <w:lang w:val="es-CO"/>
              </w:rPr>
              <w:t xml:space="preserve">: </w:t>
            </w:r>
            <w:hyperlink r:id="rId9" w:history="1">
              <w:r w:rsidRPr="0009182C">
                <w:rPr>
                  <w:rStyle w:val="Hyperlink"/>
                  <w:rFonts w:ascii="Cambria" w:eastAsia="Batang" w:hAnsi="Cambria"/>
                  <w:b/>
                  <w:bCs/>
                  <w:color w:val="000000" w:themeColor="text1"/>
                  <w:lang w:val="es-CO"/>
                </w:rPr>
                <w:t>2/20</w:t>
              </w:r>
            </w:hyperlink>
            <w:r w:rsidRPr="0009182C">
              <w:rPr>
                <w:rFonts w:ascii="Cambria" w:eastAsia="Batang" w:hAnsi="Cambria"/>
                <w:bCs/>
                <w:color w:val="000000" w:themeColor="text1"/>
                <w:lang w:val="es-CO"/>
              </w:rPr>
              <w:t xml:space="preserve"> publicado el 24 de febrero de 2020</w:t>
            </w:r>
          </w:p>
          <w:p w14:paraId="2BD2FD1F" w14:textId="77777777" w:rsidR="005636C1" w:rsidRPr="0009182C" w:rsidRDefault="005636C1" w:rsidP="00B67A4A">
            <w:pPr>
              <w:spacing w:after="0" w:line="240" w:lineRule="auto"/>
              <w:jc w:val="both"/>
              <w:rPr>
                <w:rFonts w:ascii="Cambria" w:eastAsia="Batang" w:hAnsi="Cambria"/>
                <w:b/>
                <w:bCs/>
                <w:color w:val="080808"/>
                <w:lang w:val="es-CO"/>
              </w:rPr>
            </w:pPr>
            <w:r w:rsidRPr="0009182C">
              <w:rPr>
                <w:rFonts w:ascii="Cambria" w:eastAsia="Batang" w:hAnsi="Cambria"/>
                <w:b/>
                <w:bCs/>
                <w:color w:val="000000" w:themeColor="text1"/>
                <w:lang w:val="es-CO"/>
              </w:rPr>
              <w:t xml:space="preserve">Duración estimada de la fase de negociación: </w:t>
            </w:r>
            <w:r w:rsidRPr="0009182C">
              <w:rPr>
                <w:rFonts w:ascii="Cambria" w:eastAsia="Batang" w:hAnsi="Cambria"/>
                <w:color w:val="000000" w:themeColor="text1"/>
                <w:lang w:val="es-CO"/>
              </w:rPr>
              <w:t xml:space="preserve">4 años </w:t>
            </w:r>
            <w:r w:rsidRPr="0009182C">
              <w:rPr>
                <w:rFonts w:ascii="Cambria" w:eastAsia="Batang" w:hAnsi="Cambria"/>
                <w:color w:val="080808"/>
                <w:lang w:val="es-CO"/>
              </w:rPr>
              <w:t>y 5 meses</w:t>
            </w:r>
          </w:p>
          <w:p w14:paraId="58455AB0" w14:textId="77777777" w:rsidR="005636C1" w:rsidRPr="0009182C" w:rsidRDefault="005636C1"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Relatoría vinculada:</w:t>
            </w:r>
            <w:r w:rsidRPr="0009182C">
              <w:rPr>
                <w:rFonts w:ascii="Cambria" w:eastAsia="Batang" w:hAnsi="Cambria"/>
                <w:b/>
                <w:bCs/>
                <w:color w:val="080808"/>
                <w:lang w:val="es-CO"/>
              </w:rPr>
              <w:t xml:space="preserve"> </w:t>
            </w:r>
            <w:r w:rsidRPr="0009182C">
              <w:rPr>
                <w:rFonts w:ascii="Cambria" w:eastAsia="Batang" w:hAnsi="Cambria"/>
                <w:color w:val="080808"/>
                <w:lang w:val="es-CO"/>
              </w:rPr>
              <w:t>Relatoría sobre los Derechos de los Pueblos Indígenas/ Relatoría sobre los Derechos de la Niñez.</w:t>
            </w:r>
          </w:p>
          <w:p w14:paraId="77B4F643" w14:textId="77777777" w:rsidR="005636C1" w:rsidRPr="0009182C" w:rsidRDefault="005636C1" w:rsidP="00B67A4A">
            <w:pPr>
              <w:spacing w:after="0" w:line="240" w:lineRule="auto"/>
              <w:jc w:val="both"/>
              <w:rPr>
                <w:rFonts w:ascii="Cambria" w:eastAsia="Batang" w:hAnsi="Cambria"/>
                <w:b/>
                <w:bCs/>
                <w:color w:val="080808"/>
                <w:lang w:val="es-CO"/>
              </w:rPr>
            </w:pPr>
            <w:r w:rsidRPr="0009182C">
              <w:rPr>
                <w:rFonts w:ascii="Cambria" w:eastAsia="Batang" w:hAnsi="Cambria"/>
                <w:b/>
                <w:color w:val="080808"/>
                <w:lang w:val="es-CO"/>
              </w:rPr>
              <w:t xml:space="preserve">Temas: </w:t>
            </w:r>
            <w:r w:rsidRPr="0009182C">
              <w:rPr>
                <w:rFonts w:ascii="Cambria" w:eastAsia="Batang" w:hAnsi="Cambria"/>
                <w:color w:val="080808"/>
                <w:lang w:val="es-CO"/>
              </w:rPr>
              <w:t>Derecho a la Vida/ Derechos de Niños, Niñas y Adolescentes/ Garantías Judiciales/ Investigación y Debida Diligencia/Jurisdicción Militar/ Protección Judicial</w:t>
            </w:r>
          </w:p>
          <w:p w14:paraId="745870DB" w14:textId="77777777" w:rsidR="005636C1" w:rsidRPr="0009182C" w:rsidRDefault="005636C1" w:rsidP="00B67A4A">
            <w:pPr>
              <w:spacing w:after="0" w:line="240" w:lineRule="auto"/>
              <w:jc w:val="both"/>
              <w:rPr>
                <w:rFonts w:ascii="Cambria" w:eastAsia="Batang" w:hAnsi="Cambria"/>
                <w:b/>
                <w:color w:val="080808"/>
                <w:lang w:val="es-CO"/>
              </w:rPr>
            </w:pPr>
          </w:p>
          <w:p w14:paraId="7FEE7FF6" w14:textId="77777777" w:rsidR="005636C1" w:rsidRPr="0009182C" w:rsidRDefault="005636C1"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Hechos: </w:t>
            </w:r>
            <w:r w:rsidRPr="0009182C">
              <w:rPr>
                <w:rFonts w:ascii="Cambria" w:eastAsia="Batang" w:hAnsi="Cambria"/>
                <w:bCs/>
                <w:color w:val="080808"/>
                <w:lang w:val="es-CO"/>
              </w:rPr>
              <w:t>El 16 de noviembre de 2006, la Comisión Interamericana de Derechos Humanos recibió una petición presentada por el Centro de Derechos Humanos Fray Bartolomé de las Casas Asociación Civil, en la que se alegaba la responsabilidad internacional del Estado mexicano por la muerte del niño Ángel Díaz Cruz, de entonces 9 años de edad, y las lesiones causadas al niño Ricardo López Hernández, de entonces 11 años y a José Leonardo López Hernández, indígenas Tsotsiles, presuntamente ocurridas el 17 de diciembre de 2000, en el municipio de San Cristóbal de las Casas, Estado de Chiapas, a causa de un artefacto explosivo perteneciente al Ejército Federal Mexicano. Asimismo, los peticionarios alegaron la impunidad en que permanecerían tales hechos en virtud de la remisión de la investigación al fuero militar y la falta de sanción de los responsables.</w:t>
            </w:r>
          </w:p>
          <w:p w14:paraId="7BAFEAB0" w14:textId="77777777" w:rsidR="005636C1" w:rsidRPr="0009182C" w:rsidRDefault="005636C1" w:rsidP="00B67A4A">
            <w:pPr>
              <w:spacing w:after="0" w:line="240" w:lineRule="auto"/>
              <w:jc w:val="both"/>
              <w:rPr>
                <w:rFonts w:ascii="Cambria" w:eastAsia="Batang" w:hAnsi="Cambria"/>
                <w:b/>
                <w:color w:val="080808"/>
                <w:lang w:val="es-CO"/>
              </w:rPr>
            </w:pPr>
          </w:p>
          <w:p w14:paraId="26CB588D" w14:textId="77777777" w:rsidR="005636C1" w:rsidRPr="0009182C" w:rsidRDefault="005636C1" w:rsidP="00B67A4A">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Batang" w:hAnsi="Cambria"/>
                <w:b/>
                <w:color w:val="080808"/>
                <w:lang w:val="es-CO"/>
              </w:rPr>
              <w:t xml:space="preserve">Derechos declarados admisibles: </w:t>
            </w:r>
            <w:r w:rsidRPr="0009182C">
              <w:rPr>
                <w:rFonts w:ascii="Cambria" w:eastAsia="Batang" w:hAnsi="Cambria"/>
                <w:bCs/>
                <w:color w:val="080808"/>
                <w:lang w:val="es-CO"/>
              </w:rPr>
              <w:t>El 12 de julio de 2013, la CIDH decidió declarar admisible la petición en su informe 47/13 por la presunta violación de los artículos 4 (derecho a la vida) y 5 (derecho a la integridad personal) de la Convención Americana, en relación al artículo 1.1 del mismo instrumento, en perjuicio de Ángel Díaz Cruz y; de los artículos 5 (derecho a la integridad personal), 8 (derecho a las garantía judiciales) y 25 (derecho a las garantía de protección judicial), en conexión con el artículo 1.1 de dicho instrumento, en perjuicio de las presuntas víctimas sobrevivientes y los familiares de las tres presuntas víctimas. Asimismo, declaró admisible la petición por la presunta violación del artículo 19 (derechos del niño) de la Convención Americana, en perjuicio de Ángel Díaz Cruz y Ricardo López Hernández.</w:t>
            </w:r>
          </w:p>
        </w:tc>
      </w:tr>
    </w:tbl>
    <w:p w14:paraId="3CA31D01" w14:textId="77777777" w:rsidR="005636C1" w:rsidRPr="0009182C" w:rsidRDefault="005636C1" w:rsidP="005636C1">
      <w:pPr>
        <w:spacing w:after="0" w:line="240" w:lineRule="auto"/>
        <w:contextualSpacing/>
        <w:jc w:val="both"/>
        <w:rPr>
          <w:rFonts w:ascii="Cambria" w:eastAsia="Batang" w:hAnsi="Cambria" w:cs="Calibri Light"/>
          <w:b/>
          <w:color w:val="080808"/>
          <w:lang w:val="es-CO"/>
        </w:rPr>
      </w:pPr>
    </w:p>
    <w:p w14:paraId="589C963D" w14:textId="77777777" w:rsidR="005636C1" w:rsidRPr="0009182C" w:rsidRDefault="005636C1" w:rsidP="005636C1">
      <w:pPr>
        <w:numPr>
          <w:ilvl w:val="0"/>
          <w:numId w:val="2"/>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0A3C8B10" w14:textId="77777777" w:rsidR="005636C1" w:rsidRPr="0009182C" w:rsidRDefault="005636C1" w:rsidP="005636C1">
      <w:pPr>
        <w:spacing w:after="0" w:line="240" w:lineRule="auto"/>
        <w:ind w:firstLine="720"/>
        <w:jc w:val="both"/>
        <w:rPr>
          <w:rFonts w:ascii="Cambria" w:hAnsi="Cambria"/>
          <w:color w:val="080808"/>
          <w:lang w:val="es-CO"/>
        </w:rPr>
      </w:pPr>
    </w:p>
    <w:p w14:paraId="4FAFA3AD" w14:textId="77777777" w:rsidR="005636C1" w:rsidRPr="0009182C" w:rsidRDefault="005636C1" w:rsidP="005636C1">
      <w:pPr>
        <w:numPr>
          <w:ilvl w:val="0"/>
          <w:numId w:val="3"/>
        </w:numPr>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El 28 de enero de 2016, las partes firmaron un acuerdo de solución amistosa.</w:t>
      </w:r>
    </w:p>
    <w:p w14:paraId="20270CE6" w14:textId="77777777" w:rsidR="005636C1" w:rsidRPr="0009182C" w:rsidRDefault="005636C1" w:rsidP="005636C1">
      <w:pPr>
        <w:spacing w:after="0" w:line="240" w:lineRule="auto"/>
        <w:ind w:firstLine="720"/>
        <w:jc w:val="both"/>
        <w:rPr>
          <w:rFonts w:ascii="Cambria" w:hAnsi="Cambria"/>
          <w:color w:val="080808"/>
          <w:lang w:val="es-CO"/>
        </w:rPr>
      </w:pPr>
    </w:p>
    <w:p w14:paraId="1526A05C" w14:textId="77777777" w:rsidR="005636C1" w:rsidRPr="0009182C" w:rsidRDefault="005636C1" w:rsidP="005636C1">
      <w:pPr>
        <w:numPr>
          <w:ilvl w:val="0"/>
          <w:numId w:val="3"/>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lastRenderedPageBreak/>
        <w:t xml:space="preserve">El 24 de febrero de 2020, la Comisión aprobó el acuerdo suscrito por las partes, mediante el </w:t>
      </w:r>
      <w:r w:rsidRPr="0009182C">
        <w:rPr>
          <w:rFonts w:ascii="Cambria" w:hAnsi="Cambria"/>
          <w:color w:val="080808"/>
          <w:lang w:val="es-CO"/>
        </w:rPr>
        <w:t>Informe No. 2</w:t>
      </w:r>
      <w:r w:rsidRPr="0009182C">
        <w:rPr>
          <w:rFonts w:ascii="Cambria" w:eastAsia="Batang" w:hAnsi="Cambria"/>
          <w:color w:val="080808"/>
          <w:lang w:val="es-CO"/>
        </w:rPr>
        <w:t xml:space="preserve">/20. </w:t>
      </w:r>
    </w:p>
    <w:p w14:paraId="05E2A3DF" w14:textId="77777777" w:rsidR="005636C1" w:rsidRPr="0009182C" w:rsidRDefault="005636C1" w:rsidP="005636C1">
      <w:pPr>
        <w:autoSpaceDE w:val="0"/>
        <w:autoSpaceDN w:val="0"/>
        <w:adjustRightInd w:val="0"/>
        <w:spacing w:after="0" w:line="240" w:lineRule="auto"/>
        <w:ind w:firstLine="720"/>
        <w:jc w:val="both"/>
        <w:rPr>
          <w:rFonts w:ascii="Cambria" w:eastAsia="Batang" w:hAnsi="Cambria" w:cs="Calibri Light"/>
          <w:color w:val="080808"/>
          <w:lang w:val="es-CO"/>
        </w:rPr>
      </w:pPr>
    </w:p>
    <w:p w14:paraId="62B54933" w14:textId="77777777" w:rsidR="005636C1" w:rsidRPr="0009182C" w:rsidRDefault="005636C1" w:rsidP="005636C1">
      <w:pPr>
        <w:numPr>
          <w:ilvl w:val="0"/>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ANÁLISIS DEL CUMPLIMIENTO DE LAS CLÁUSULAS DEL ACUERDO DE SOLUCIÓN AMISTOSA</w:t>
      </w:r>
    </w:p>
    <w:p w14:paraId="5FC6034A" w14:textId="77777777" w:rsidR="005636C1" w:rsidRPr="0009182C" w:rsidRDefault="005636C1" w:rsidP="005636C1">
      <w:pPr>
        <w:spacing w:after="0" w:line="240" w:lineRule="auto"/>
        <w:rPr>
          <w:rFonts w:ascii="Cambria" w:hAnsi="Cambria"/>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5636C1" w:rsidRPr="0009182C" w14:paraId="12DA6C3D"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4A791EF3" w14:textId="77777777" w:rsidR="005636C1" w:rsidRPr="0009182C" w:rsidRDefault="005636C1"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A52DCA" w14:textId="77777777" w:rsidR="005636C1" w:rsidRPr="0009182C" w:rsidRDefault="005636C1"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5636C1" w:rsidRPr="0009182C" w14:paraId="15A6FC46" w14:textId="77777777" w:rsidTr="00B67A4A">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60770912" w14:textId="77777777" w:rsidR="005636C1" w:rsidRPr="0009182C" w:rsidRDefault="005636C1" w:rsidP="00B67A4A">
            <w:pPr>
              <w:spacing w:after="0" w:line="240" w:lineRule="auto"/>
              <w:jc w:val="both"/>
              <w:rPr>
                <w:rFonts w:ascii="Cambria" w:eastAsia="Times New Roman" w:hAnsi="Cambria"/>
                <w:color w:val="080808"/>
                <w:lang w:val="es-CO"/>
              </w:rPr>
            </w:pPr>
            <w:r w:rsidRPr="0009182C">
              <w:rPr>
                <w:rFonts w:ascii="Cambria" w:hAnsi="Cambria"/>
                <w:b/>
                <w:bCs/>
                <w:lang w:val="es-CO"/>
              </w:rPr>
              <w:t>RECONOCIMIENTO DE RESPONSABILIDAD INTERNACIONAL</w:t>
            </w:r>
          </w:p>
        </w:tc>
        <w:tc>
          <w:tcPr>
            <w:tcW w:w="1701" w:type="dxa"/>
            <w:tcBorders>
              <w:top w:val="single" w:sz="4" w:space="0" w:color="auto"/>
              <w:left w:val="single" w:sz="4" w:space="0" w:color="auto"/>
              <w:bottom w:val="single" w:sz="4" w:space="0" w:color="auto"/>
              <w:right w:val="single" w:sz="4" w:space="0" w:color="auto"/>
            </w:tcBorders>
            <w:vAlign w:val="center"/>
          </w:tcPr>
          <w:p w14:paraId="51A3D81F" w14:textId="77777777" w:rsidR="005636C1" w:rsidRPr="0009182C" w:rsidRDefault="005636C1" w:rsidP="00B67A4A">
            <w:pPr>
              <w:spacing w:after="0" w:line="240" w:lineRule="auto"/>
              <w:jc w:val="center"/>
              <w:rPr>
                <w:rFonts w:ascii="Cambria" w:eastAsia="Batang" w:hAnsi="Cambria"/>
                <w:b/>
                <w:color w:val="080808"/>
                <w:lang w:val="es-CO"/>
              </w:rPr>
            </w:pPr>
            <w:r w:rsidRPr="0009182C">
              <w:rPr>
                <w:rFonts w:ascii="Cambria" w:eastAsia="Batang" w:hAnsi="Cambria"/>
                <w:b/>
                <w:color w:val="000000"/>
                <w:lang w:val="es-CO"/>
              </w:rPr>
              <w:t>Cláusula Declarativa</w:t>
            </w:r>
          </w:p>
        </w:tc>
      </w:tr>
      <w:tr w:rsidR="005636C1" w:rsidRPr="0009182C" w14:paraId="24A98D63" w14:textId="77777777" w:rsidTr="00B67A4A">
        <w:trPr>
          <w:trHeight w:val="1574"/>
          <w:jc w:val="center"/>
        </w:trPr>
        <w:tc>
          <w:tcPr>
            <w:tcW w:w="7632" w:type="dxa"/>
            <w:tcBorders>
              <w:top w:val="single" w:sz="4" w:space="0" w:color="auto"/>
              <w:left w:val="single" w:sz="4" w:space="0" w:color="auto"/>
              <w:bottom w:val="single" w:sz="4" w:space="0" w:color="auto"/>
              <w:right w:val="single" w:sz="4" w:space="0" w:color="auto"/>
            </w:tcBorders>
          </w:tcPr>
          <w:p w14:paraId="4228C932"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Clausula 2.1. Reconocimiento de responsabilidad internacional. </w:t>
            </w:r>
            <w:r w:rsidRPr="0009182C">
              <w:rPr>
                <w:rFonts w:ascii="Cambria" w:hAnsi="Cambria"/>
                <w:sz w:val="22"/>
                <w:szCs w:val="22"/>
                <w:lang w:val="es-CO"/>
              </w:rPr>
              <w:t xml:space="preserve">El “ESTADO MEXICANO” reconoce que los hechos narrados constituyen violaciones a los artículos 4, 5, 8, 19 y 25 de la Convención Americana sobre Derechos Humanos, con relación a los artículos 1.1 y 2 del mismo instrumento, en perjuicio de las presuntas víctimas y sus familiares. </w:t>
            </w:r>
          </w:p>
          <w:p w14:paraId="31BB4CBF" w14:textId="77777777" w:rsidR="005636C1" w:rsidRPr="0009182C" w:rsidRDefault="005636C1" w:rsidP="00B67A4A">
            <w:pPr>
              <w:spacing w:after="0" w:line="240" w:lineRule="auto"/>
              <w:jc w:val="both"/>
              <w:rPr>
                <w:rFonts w:ascii="Cambria" w:hAnsi="Cambria"/>
                <w:color w:val="080808"/>
                <w:lang w:val="es-CO"/>
              </w:rPr>
            </w:pPr>
            <w:r w:rsidRPr="0009182C">
              <w:rPr>
                <w:rFonts w:ascii="Cambria" w:hAnsi="Cambria"/>
                <w:lang w:val="es-CO"/>
              </w:rPr>
              <w:t xml:space="preserve">El </w:t>
            </w:r>
            <w:r w:rsidRPr="0009182C">
              <w:rPr>
                <w:rFonts w:ascii="Cambria" w:hAnsi="Cambria"/>
                <w:b/>
                <w:bCs/>
                <w:lang w:val="es-CO"/>
              </w:rPr>
              <w:t xml:space="preserve">"ESTADO MEXICANO" </w:t>
            </w:r>
            <w:r w:rsidRPr="0009182C">
              <w:rPr>
                <w:rFonts w:ascii="Cambria" w:hAnsi="Cambria"/>
                <w:lang w:val="es-CO"/>
              </w:rPr>
              <w:t xml:space="preserve">reconoce que las violaciones expresadas en el párrafo anterior le son atribuibles y generan su responsabilidad internacional frente a </w:t>
            </w:r>
            <w:r w:rsidRPr="0009182C">
              <w:rPr>
                <w:rFonts w:ascii="Cambria" w:hAnsi="Cambria"/>
                <w:b/>
                <w:bCs/>
                <w:lang w:val="es-CO"/>
              </w:rPr>
              <w:t xml:space="preserve">"LAS VÍCTIMAS", </w:t>
            </w:r>
            <w:r w:rsidRPr="0009182C">
              <w:rPr>
                <w:rFonts w:ascii="Cambria" w:hAnsi="Cambria"/>
                <w:lang w:val="es-CO"/>
              </w:rPr>
              <w:t xml:space="preserve">así como la obligación de repararlas. </w:t>
            </w:r>
          </w:p>
        </w:tc>
        <w:tc>
          <w:tcPr>
            <w:tcW w:w="1701" w:type="dxa"/>
            <w:tcBorders>
              <w:top w:val="single" w:sz="4" w:space="0" w:color="auto"/>
              <w:left w:val="single" w:sz="4" w:space="0" w:color="auto"/>
              <w:bottom w:val="single" w:sz="4" w:space="0" w:color="auto"/>
              <w:right w:val="single" w:sz="4" w:space="0" w:color="auto"/>
            </w:tcBorders>
            <w:vAlign w:val="center"/>
          </w:tcPr>
          <w:p w14:paraId="797BFD18" w14:textId="77777777" w:rsidR="005636C1" w:rsidRPr="0009182C" w:rsidRDefault="005636C1" w:rsidP="00B67A4A">
            <w:pPr>
              <w:spacing w:after="0" w:line="240" w:lineRule="auto"/>
              <w:jc w:val="center"/>
              <w:rPr>
                <w:rFonts w:ascii="Cambria" w:eastAsia="Batang" w:hAnsi="Cambria"/>
                <w:b/>
                <w:color w:val="080808"/>
                <w:lang w:val="es-CO"/>
              </w:rPr>
            </w:pPr>
            <w:r w:rsidRPr="0009182C">
              <w:rPr>
                <w:rFonts w:ascii="Cambria" w:eastAsia="Batang" w:hAnsi="Cambria"/>
                <w:b/>
                <w:bCs/>
                <w:color w:val="000000"/>
                <w:lang w:val="es-CO"/>
              </w:rPr>
              <w:t>Declarativa</w:t>
            </w:r>
          </w:p>
        </w:tc>
      </w:tr>
      <w:tr w:rsidR="005636C1" w:rsidRPr="0009182C" w14:paraId="4938892D" w14:textId="77777777" w:rsidTr="00B67A4A">
        <w:trPr>
          <w:trHeight w:val="1097"/>
          <w:jc w:val="center"/>
        </w:trPr>
        <w:tc>
          <w:tcPr>
            <w:tcW w:w="7632" w:type="dxa"/>
            <w:tcBorders>
              <w:top w:val="single" w:sz="4" w:space="0" w:color="auto"/>
              <w:left w:val="single" w:sz="4" w:space="0" w:color="auto"/>
              <w:bottom w:val="single" w:sz="4" w:space="0" w:color="auto"/>
              <w:right w:val="single" w:sz="4" w:space="0" w:color="auto"/>
            </w:tcBorders>
            <w:vAlign w:val="center"/>
          </w:tcPr>
          <w:p w14:paraId="17A1D89F"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A. OBLIGACIÓN DE INVESTIGAR LOS HECHOS DEL CASO </w:t>
            </w:r>
          </w:p>
          <w:p w14:paraId="37001471"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Clausula 3.2. "LAS PARTES" </w:t>
            </w:r>
            <w:r w:rsidRPr="0009182C">
              <w:rPr>
                <w:rFonts w:ascii="Cambria" w:hAnsi="Cambria"/>
                <w:sz w:val="22"/>
                <w:szCs w:val="22"/>
                <w:lang w:val="es-CO"/>
              </w:rPr>
              <w:t xml:space="preserve">reconocen que </w:t>
            </w:r>
            <w:r w:rsidRPr="0009182C">
              <w:rPr>
                <w:rFonts w:ascii="Cambria" w:hAnsi="Cambria"/>
                <w:b/>
                <w:bCs/>
                <w:sz w:val="22"/>
                <w:szCs w:val="22"/>
                <w:lang w:val="es-CO"/>
              </w:rPr>
              <w:t xml:space="preserve">"EL ESTADO MEXICANO" </w:t>
            </w:r>
            <w:r w:rsidRPr="0009182C">
              <w:rPr>
                <w:rFonts w:ascii="Cambria" w:hAnsi="Cambria"/>
                <w:sz w:val="22"/>
                <w:szCs w:val="22"/>
                <w:lang w:val="es-CO"/>
              </w:rPr>
              <w:t xml:space="preserve">llevó a cabo procedimientos sancionatorios de los responsables de los hechos del presente caso en el fuero militar, de conformidad con la legislación mexicana vigente en el momento de los hechos. </w:t>
            </w:r>
            <w:r w:rsidRPr="0009182C">
              <w:rPr>
                <w:rFonts w:ascii="Cambria" w:hAnsi="Cambria"/>
                <w:b/>
                <w:bCs/>
                <w:sz w:val="22"/>
                <w:szCs w:val="22"/>
                <w:lang w:val="es-CO"/>
              </w:rPr>
              <w:t xml:space="preserve">"LAS PARTES" </w:t>
            </w:r>
            <w:r w:rsidRPr="0009182C">
              <w:rPr>
                <w:rFonts w:ascii="Cambria" w:hAnsi="Cambria"/>
                <w:sz w:val="22"/>
                <w:szCs w:val="22"/>
                <w:lang w:val="es-CO"/>
              </w:rPr>
              <w:t xml:space="preserve">reconocen que actualmente el fuero militar no es el idóneo para juzgar violaciones de derechos humanos. Sin embargo, </w:t>
            </w:r>
            <w:r w:rsidRPr="0009182C">
              <w:rPr>
                <w:rFonts w:ascii="Cambria" w:hAnsi="Cambria"/>
                <w:b/>
                <w:bCs/>
                <w:sz w:val="22"/>
                <w:szCs w:val="22"/>
                <w:lang w:val="es-CO"/>
              </w:rPr>
              <w:t xml:space="preserve">"LAS PARTES" </w:t>
            </w:r>
            <w:r w:rsidRPr="0009182C">
              <w:rPr>
                <w:rFonts w:ascii="Cambria" w:hAnsi="Cambria"/>
                <w:sz w:val="22"/>
                <w:szCs w:val="22"/>
                <w:lang w:val="es-CO"/>
              </w:rPr>
              <w:t xml:space="preserve">también reconocen las limitantes que el principio </w:t>
            </w:r>
            <w:r w:rsidRPr="0009182C">
              <w:rPr>
                <w:rFonts w:ascii="Cambria" w:hAnsi="Cambria"/>
                <w:i/>
                <w:iCs/>
                <w:sz w:val="22"/>
                <w:szCs w:val="22"/>
                <w:lang w:val="es-CO"/>
              </w:rPr>
              <w:t xml:space="preserve">no bis in Ídem </w:t>
            </w:r>
            <w:r w:rsidRPr="0009182C">
              <w:rPr>
                <w:rFonts w:ascii="Cambria" w:hAnsi="Cambria"/>
                <w:sz w:val="22"/>
                <w:szCs w:val="22"/>
                <w:lang w:val="es-CO"/>
              </w:rPr>
              <w:t xml:space="preserve">plantea al presente caso. De acuerdo con lo anterior, </w:t>
            </w:r>
            <w:r w:rsidRPr="0009182C">
              <w:rPr>
                <w:rFonts w:ascii="Cambria" w:hAnsi="Cambria"/>
                <w:b/>
                <w:bCs/>
                <w:sz w:val="22"/>
                <w:szCs w:val="22"/>
                <w:lang w:val="es-CO"/>
              </w:rPr>
              <w:t xml:space="preserve">"EL ESTADO MEXICANO" </w:t>
            </w:r>
            <w:r w:rsidRPr="0009182C">
              <w:rPr>
                <w:rFonts w:ascii="Cambria" w:hAnsi="Cambria"/>
                <w:sz w:val="22"/>
                <w:szCs w:val="22"/>
                <w:lang w:val="es-CO"/>
              </w:rPr>
              <w:t xml:space="preserve">se compromete a realizar una reunión informativa con </w:t>
            </w:r>
            <w:r w:rsidRPr="0009182C">
              <w:rPr>
                <w:rFonts w:ascii="Cambria" w:hAnsi="Cambria"/>
                <w:b/>
                <w:bCs/>
                <w:sz w:val="22"/>
                <w:szCs w:val="22"/>
                <w:lang w:val="es-CO"/>
              </w:rPr>
              <w:t xml:space="preserve">"LAS VÍCTIMAS" </w:t>
            </w:r>
            <w:r w:rsidRPr="0009182C">
              <w:rPr>
                <w:rFonts w:ascii="Cambria" w:hAnsi="Cambria"/>
                <w:sz w:val="22"/>
                <w:szCs w:val="22"/>
                <w:lang w:val="es-CO"/>
              </w:rPr>
              <w:t xml:space="preserve">y </w:t>
            </w:r>
            <w:r w:rsidRPr="0009182C">
              <w:rPr>
                <w:rFonts w:ascii="Cambria" w:hAnsi="Cambria"/>
                <w:b/>
                <w:bCs/>
                <w:sz w:val="22"/>
                <w:szCs w:val="22"/>
                <w:lang w:val="es-CO"/>
              </w:rPr>
              <w:t xml:space="preserve">"LA REPRESENTACIÓN" </w:t>
            </w:r>
            <w:r w:rsidRPr="0009182C">
              <w:rPr>
                <w:rFonts w:ascii="Cambria" w:hAnsi="Cambria"/>
                <w:sz w:val="22"/>
                <w:szCs w:val="22"/>
                <w:lang w:val="es-CO"/>
              </w:rPr>
              <w:t xml:space="preserve">en la que se dé a conocer los procesos jurisdiccionales llevados a cabo dentro del fuero militar, las sanciones impuestas a los responsables y las medidas implementadas por las fuerzas de seguridad del Estado para evitar la repetición de un acto similar. 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dará respuesta por escrito a todos los planteamientos que presenten </w:t>
            </w:r>
            <w:r w:rsidRPr="0009182C">
              <w:rPr>
                <w:rFonts w:ascii="Cambria" w:hAnsi="Cambria"/>
                <w:b/>
                <w:bCs/>
                <w:sz w:val="22"/>
                <w:szCs w:val="22"/>
                <w:lang w:val="es-CO"/>
              </w:rPr>
              <w:t xml:space="preserve">LAS VÍCTIMAS" </w:t>
            </w:r>
            <w:r w:rsidRPr="0009182C">
              <w:rPr>
                <w:rFonts w:ascii="Cambria" w:hAnsi="Cambria"/>
                <w:sz w:val="22"/>
                <w:szCs w:val="22"/>
                <w:lang w:val="es-CO"/>
              </w:rPr>
              <w:t xml:space="preserve">y </w:t>
            </w:r>
            <w:r w:rsidRPr="0009182C">
              <w:rPr>
                <w:rFonts w:ascii="Cambria" w:hAnsi="Cambria"/>
                <w:b/>
                <w:bCs/>
                <w:sz w:val="22"/>
                <w:szCs w:val="22"/>
                <w:lang w:val="es-CO"/>
              </w:rPr>
              <w:t xml:space="preserve">"LA REPRESENTACIÓN". </w:t>
            </w:r>
            <w:r w:rsidRPr="0009182C">
              <w:rPr>
                <w:rFonts w:ascii="Cambria" w:hAnsi="Cambria"/>
                <w:sz w:val="22"/>
                <w:szCs w:val="22"/>
                <w:lang w:val="es-CO"/>
              </w:rPr>
              <w:t xml:space="preserve">En dicha reunión se hará entrega de una copia certificada de los expedientes penal militar y administrativos correspondientes y quedaran a salvo los derechos de las víctimas para ejercitar las acciones que a su derecho convenga. La reunión deberá llevarse a cabo más tardar dentro de los tres meses siguientes a la firma del </w:t>
            </w:r>
            <w:r w:rsidRPr="0009182C">
              <w:rPr>
                <w:rFonts w:ascii="Cambria" w:hAnsi="Cambria"/>
                <w:b/>
                <w:bCs/>
                <w:sz w:val="22"/>
                <w:szCs w:val="22"/>
                <w:lang w:val="es-CO"/>
              </w:rPr>
              <w:t>“ACUERDO”</w:t>
            </w:r>
            <w:r w:rsidRPr="0009182C">
              <w:rPr>
                <w:rFonts w:ascii="Cambria" w:hAnsi="Cambria"/>
                <w:sz w:val="22"/>
                <w:szCs w:val="22"/>
                <w:lang w:val="es-CO"/>
              </w:rPr>
              <w:t xml:space="preserve">. </w:t>
            </w:r>
          </w:p>
          <w:p w14:paraId="191D143C" w14:textId="77777777" w:rsidR="005636C1" w:rsidRPr="0009182C" w:rsidRDefault="005636C1" w:rsidP="00B67A4A">
            <w:pPr>
              <w:spacing w:after="0" w:line="240" w:lineRule="auto"/>
              <w:jc w:val="both"/>
              <w:rPr>
                <w:rFonts w:ascii="Cambria" w:hAnsi="Cambria"/>
                <w:color w:val="080808"/>
                <w:lang w:val="es-CO"/>
              </w:rPr>
            </w:pPr>
            <w:r w:rsidRPr="0009182C">
              <w:rPr>
                <w:rFonts w:ascii="Cambria" w:hAnsi="Cambria"/>
                <w:b/>
                <w:bCs/>
                <w:lang w:val="es-CO"/>
              </w:rPr>
              <w:t xml:space="preserve">“LAS PARTES” </w:t>
            </w:r>
            <w:r w:rsidRPr="0009182C">
              <w:rPr>
                <w:rFonts w:ascii="Cambria" w:hAnsi="Cambria"/>
                <w:lang w:val="es-CO"/>
              </w:rPr>
              <w:t>reconocen esta como la medida adecuada para satisfacer el derecho a la verdad y a la justicia de las víctimas.</w:t>
            </w:r>
          </w:p>
        </w:tc>
        <w:tc>
          <w:tcPr>
            <w:tcW w:w="1701" w:type="dxa"/>
            <w:tcBorders>
              <w:top w:val="single" w:sz="4" w:space="0" w:color="auto"/>
              <w:left w:val="single" w:sz="4" w:space="0" w:color="auto"/>
              <w:bottom w:val="single" w:sz="4" w:space="0" w:color="auto"/>
              <w:right w:val="single" w:sz="4" w:space="0" w:color="auto"/>
            </w:tcBorders>
            <w:vAlign w:val="center"/>
          </w:tcPr>
          <w:p w14:paraId="0B9E0BD4" w14:textId="77777777" w:rsidR="005636C1" w:rsidRPr="0009182C" w:rsidRDefault="005636C1"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1"/>
            </w:r>
          </w:p>
        </w:tc>
      </w:tr>
      <w:tr w:rsidR="005636C1" w:rsidRPr="0009182C" w14:paraId="494E0300" w14:textId="77777777" w:rsidTr="00B67A4A">
        <w:trPr>
          <w:trHeight w:val="393"/>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18F34FED" w14:textId="77777777" w:rsidR="005636C1" w:rsidRPr="0009182C" w:rsidRDefault="005636C1" w:rsidP="00B67A4A">
            <w:pPr>
              <w:spacing w:after="0" w:line="240" w:lineRule="auto"/>
              <w:rPr>
                <w:rFonts w:ascii="Cambria" w:eastAsia="Batang" w:hAnsi="Cambria"/>
                <w:b/>
                <w:color w:val="080808"/>
                <w:lang w:val="es-CO"/>
              </w:rPr>
            </w:pPr>
            <w:r w:rsidRPr="0009182C">
              <w:rPr>
                <w:rFonts w:ascii="Cambria" w:hAnsi="Cambria"/>
                <w:b/>
                <w:bCs/>
                <w:lang w:val="es-CO"/>
              </w:rPr>
              <w:t>B. MEDIDAS DE REHABILITACION</w:t>
            </w:r>
          </w:p>
        </w:tc>
      </w:tr>
      <w:tr w:rsidR="005636C1" w:rsidRPr="0009182C" w14:paraId="67E54698"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50D5F0EA"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Cláusula 3.3. Atención integral a la salud. El "ESTADO MEXICANO" </w:t>
            </w:r>
            <w:r w:rsidRPr="0009182C">
              <w:rPr>
                <w:rFonts w:ascii="Cambria" w:hAnsi="Cambria"/>
                <w:sz w:val="22"/>
                <w:szCs w:val="22"/>
                <w:lang w:val="es-CO"/>
              </w:rPr>
              <w:t xml:space="preserve">se obliga a otorgar a </w:t>
            </w:r>
            <w:r w:rsidRPr="0009182C">
              <w:rPr>
                <w:rFonts w:ascii="Cambria" w:hAnsi="Cambria"/>
                <w:b/>
                <w:bCs/>
                <w:sz w:val="22"/>
                <w:szCs w:val="22"/>
                <w:lang w:val="es-CO"/>
              </w:rPr>
              <w:t xml:space="preserve">"LAS VÍCTIMAS" </w:t>
            </w:r>
            <w:r w:rsidRPr="0009182C">
              <w:rPr>
                <w:rFonts w:ascii="Cambria" w:hAnsi="Cambria"/>
                <w:sz w:val="22"/>
                <w:szCs w:val="22"/>
                <w:lang w:val="es-CO"/>
              </w:rPr>
              <w:t xml:space="preserve">y a sus familiares directos atención integral a su salud, de forma preferencial y gratuita a través de los servicios que brinda el </w:t>
            </w:r>
            <w:r w:rsidRPr="0009182C">
              <w:rPr>
                <w:rFonts w:ascii="Cambria" w:hAnsi="Cambria"/>
                <w:sz w:val="22"/>
                <w:szCs w:val="22"/>
                <w:lang w:val="es-CO"/>
              </w:rPr>
              <w:lastRenderedPageBreak/>
              <w:t xml:space="preserve">Estado. Esta obligación se extiende tanto a la atención médica, como a la psicológica y psiquiátrica. </w:t>
            </w:r>
          </w:p>
          <w:p w14:paraId="3A8819A6"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La atención se proporcionará a través de las instituciones públicos del Estado mexicano. Solo cuando las instituciones públicas del Estado mexicano no puedan proporcionar la atención requerida por </w:t>
            </w:r>
            <w:r w:rsidRPr="0009182C">
              <w:rPr>
                <w:rFonts w:ascii="Cambria" w:hAnsi="Cambria"/>
                <w:b/>
                <w:bCs/>
                <w:sz w:val="22"/>
                <w:szCs w:val="22"/>
                <w:lang w:val="es-CO"/>
              </w:rPr>
              <w:t xml:space="preserve">"LAS VÍCTIMAS" </w:t>
            </w:r>
            <w:r w:rsidRPr="0009182C">
              <w:rPr>
                <w:rFonts w:ascii="Cambria" w:hAnsi="Cambria"/>
                <w:sz w:val="22"/>
                <w:szCs w:val="22"/>
                <w:lang w:val="es-CO"/>
              </w:rPr>
              <w:t xml:space="preserve">o sus familiares directos, se acudirá a una institución privada, en cuyo caso, los gastos serán cubiertos por el </w:t>
            </w:r>
            <w:r w:rsidRPr="0009182C">
              <w:rPr>
                <w:rFonts w:ascii="Cambria" w:hAnsi="Cambria"/>
                <w:b/>
                <w:bCs/>
                <w:sz w:val="22"/>
                <w:szCs w:val="22"/>
                <w:lang w:val="es-CO"/>
              </w:rPr>
              <w:t xml:space="preserve">"ESTADO MEXICANO". </w:t>
            </w:r>
          </w:p>
          <w:p w14:paraId="124CCA94"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t xml:space="preserve">En caso de que el servicio médico o psicológico que requieran </w:t>
            </w:r>
            <w:r w:rsidRPr="0009182C">
              <w:rPr>
                <w:rFonts w:ascii="Cambria" w:hAnsi="Cambria"/>
                <w:b/>
                <w:bCs/>
                <w:sz w:val="22"/>
                <w:szCs w:val="22"/>
                <w:lang w:val="es-CO"/>
              </w:rPr>
              <w:t xml:space="preserve">"LAS VÍCTIMAS" </w:t>
            </w:r>
            <w:r w:rsidRPr="0009182C">
              <w:rPr>
                <w:rFonts w:ascii="Cambria" w:hAnsi="Cambria"/>
                <w:sz w:val="22"/>
                <w:szCs w:val="22"/>
                <w:lang w:val="es-CO"/>
              </w:rPr>
              <w:t xml:space="preserve">o sus familiares directos deba ser brindado en instalaciones fuera de su lugar de residencia, 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erogará los gastos de traslado y viáticos respectivos, siempre y cuando sea dentro del territorio mexicano y estos servicios no sean viables en su lugar de residencia. </w:t>
            </w:r>
          </w:p>
        </w:tc>
        <w:tc>
          <w:tcPr>
            <w:tcW w:w="1701" w:type="dxa"/>
            <w:tcBorders>
              <w:top w:val="single" w:sz="4" w:space="0" w:color="auto"/>
              <w:left w:val="single" w:sz="4" w:space="0" w:color="auto"/>
              <w:bottom w:val="single" w:sz="4" w:space="0" w:color="auto"/>
              <w:right w:val="single" w:sz="4" w:space="0" w:color="auto"/>
            </w:tcBorders>
            <w:vAlign w:val="center"/>
          </w:tcPr>
          <w:p w14:paraId="27043801" w14:textId="77777777" w:rsidR="005636C1" w:rsidRPr="0009182C" w:rsidRDefault="005636C1" w:rsidP="00B67A4A">
            <w:pPr>
              <w:spacing w:after="0" w:line="240" w:lineRule="auto"/>
              <w:jc w:val="center"/>
              <w:rPr>
                <w:rFonts w:ascii="Cambria" w:eastAsia="Batang" w:hAnsi="Cambria"/>
                <w:b/>
                <w:color w:val="080808"/>
                <w:lang w:val="es-CO"/>
              </w:rPr>
            </w:pPr>
            <w:r w:rsidRPr="0009182C">
              <w:rPr>
                <w:rFonts w:ascii="Cambria" w:eastAsia="Batang" w:hAnsi="Cambria"/>
                <w:b/>
                <w:color w:val="000000"/>
                <w:lang w:val="es-CO"/>
              </w:rPr>
              <w:lastRenderedPageBreak/>
              <w:t>Total</w:t>
            </w:r>
            <w:r w:rsidRPr="0009182C">
              <w:rPr>
                <w:rStyle w:val="FootnoteReference"/>
                <w:rFonts w:ascii="Cambria" w:eastAsia="Batang" w:hAnsi="Cambria"/>
                <w:b/>
                <w:color w:val="000000"/>
                <w:lang w:val="es-CO"/>
              </w:rPr>
              <w:footnoteReference w:id="2"/>
            </w:r>
          </w:p>
        </w:tc>
      </w:tr>
      <w:tr w:rsidR="005636C1" w:rsidRPr="0009182C" w14:paraId="2AED6222"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61D212F4" w14:textId="77777777" w:rsidR="005636C1" w:rsidRPr="0009182C" w:rsidRDefault="005636C1" w:rsidP="00B67A4A">
            <w:pPr>
              <w:spacing w:after="0" w:line="240" w:lineRule="auto"/>
              <w:ind w:right="72"/>
              <w:jc w:val="both"/>
              <w:rPr>
                <w:rFonts w:ascii="Cambria" w:hAnsi="Cambria"/>
                <w:bCs/>
                <w:color w:val="000000"/>
                <w:kern w:val="36"/>
                <w:lang w:val="es-CO"/>
              </w:rPr>
            </w:pPr>
            <w:r w:rsidRPr="0009182C">
              <w:rPr>
                <w:rFonts w:ascii="Cambria" w:hAnsi="Cambria"/>
                <w:b/>
                <w:bCs/>
                <w:lang w:val="es-CO"/>
              </w:rPr>
              <w:t xml:space="preserve">Cláusula 3.4. Acuerdo sobre la ruta de salud. </w:t>
            </w:r>
            <w:r w:rsidRPr="0009182C">
              <w:rPr>
                <w:rFonts w:ascii="Cambria" w:hAnsi="Cambria"/>
                <w:lang w:val="es-CO"/>
              </w:rPr>
              <w:t xml:space="preserve">Las necesidades particulares de atención a </w:t>
            </w:r>
            <w:r w:rsidRPr="0009182C">
              <w:rPr>
                <w:rFonts w:ascii="Cambria" w:hAnsi="Cambria"/>
                <w:b/>
                <w:bCs/>
                <w:lang w:val="es-CO"/>
              </w:rPr>
              <w:t xml:space="preserve">"LAS VÍCTIMAS" </w:t>
            </w:r>
            <w:r w:rsidRPr="0009182C">
              <w:rPr>
                <w:rFonts w:ascii="Cambria" w:hAnsi="Cambria"/>
                <w:lang w:val="es-CO"/>
              </w:rPr>
              <w:t xml:space="preserve">y a los familiares directos, se encontrarán incorporadas al presente </w:t>
            </w:r>
            <w:r w:rsidRPr="0009182C">
              <w:rPr>
                <w:rFonts w:ascii="Cambria" w:hAnsi="Cambria"/>
                <w:b/>
                <w:bCs/>
                <w:lang w:val="es-CO"/>
              </w:rPr>
              <w:t xml:space="preserve">"ACUERDO" </w:t>
            </w:r>
            <w:r w:rsidRPr="0009182C">
              <w:rPr>
                <w:rFonts w:ascii="Cambria" w:hAnsi="Cambria"/>
                <w:lang w:val="es-CO"/>
              </w:rPr>
              <w:t xml:space="preserve">en el Anexo 1. El Anexo 1 se definirá con base en análisis médicos y psicológicos de </w:t>
            </w:r>
            <w:r w:rsidRPr="0009182C">
              <w:rPr>
                <w:rFonts w:ascii="Cambria" w:hAnsi="Cambria"/>
                <w:b/>
                <w:bCs/>
                <w:lang w:val="es-CO"/>
              </w:rPr>
              <w:t xml:space="preserve">"LAS VÍCTIMAS" </w:t>
            </w:r>
            <w:r w:rsidRPr="0009182C">
              <w:rPr>
                <w:rFonts w:ascii="Cambria" w:hAnsi="Cambria"/>
                <w:lang w:val="es-CO"/>
              </w:rPr>
              <w:t xml:space="preserve">y sus familiares directos y se acordará por </w:t>
            </w:r>
            <w:r w:rsidRPr="0009182C">
              <w:rPr>
                <w:rFonts w:ascii="Cambria" w:hAnsi="Cambria"/>
                <w:b/>
                <w:bCs/>
                <w:lang w:val="es-CO"/>
              </w:rPr>
              <w:t xml:space="preserve">"LAS PARTES" </w:t>
            </w:r>
            <w:r w:rsidRPr="0009182C">
              <w:rPr>
                <w:rFonts w:ascii="Cambria" w:hAnsi="Cambria"/>
                <w:lang w:val="es-CO"/>
              </w:rPr>
              <w:t xml:space="preserve">con posterioridad a la firma del Acuerdo. </w:t>
            </w:r>
          </w:p>
          <w:p w14:paraId="532DFD65"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"LAS VÍCTIMAS" </w:t>
            </w:r>
            <w:r w:rsidRPr="0009182C">
              <w:rPr>
                <w:rFonts w:ascii="Cambria" w:hAnsi="Cambria"/>
                <w:sz w:val="22"/>
                <w:szCs w:val="22"/>
                <w:lang w:val="es-CO"/>
              </w:rPr>
              <w:t xml:space="preserve">y familiares directos deberán otorgar a la </w:t>
            </w:r>
            <w:r w:rsidRPr="0009182C">
              <w:rPr>
                <w:rFonts w:ascii="Cambria" w:hAnsi="Cambria"/>
                <w:b/>
                <w:bCs/>
                <w:sz w:val="22"/>
                <w:szCs w:val="22"/>
                <w:lang w:val="es-CO"/>
              </w:rPr>
              <w:t xml:space="preserve">"SEGOB" </w:t>
            </w:r>
            <w:r w:rsidRPr="0009182C">
              <w:rPr>
                <w:rFonts w:ascii="Cambria" w:hAnsi="Cambria"/>
                <w:sz w:val="22"/>
                <w:szCs w:val="22"/>
                <w:lang w:val="es-CO"/>
              </w:rPr>
              <w:t xml:space="preserve">toda la información necesaria para su registro, valoración y/o atención en las instituciones públicos de salud antes de que las Partes acuerden los términos del Anexo 1. </w:t>
            </w:r>
          </w:p>
          <w:p w14:paraId="265EF4F8"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t xml:space="preserve">A su vez, </w:t>
            </w:r>
            <w:r w:rsidRPr="0009182C">
              <w:rPr>
                <w:rFonts w:ascii="Cambria" w:hAnsi="Cambria"/>
                <w:b/>
                <w:bCs/>
                <w:sz w:val="22"/>
                <w:szCs w:val="22"/>
                <w:lang w:val="es-CO"/>
              </w:rPr>
              <w:t xml:space="preserve">"LAS VÍCTIMAS" </w:t>
            </w:r>
            <w:r w:rsidRPr="0009182C">
              <w:rPr>
                <w:rFonts w:ascii="Cambria" w:hAnsi="Cambria"/>
                <w:sz w:val="22"/>
                <w:szCs w:val="22"/>
                <w:lang w:val="es-CO"/>
              </w:rPr>
              <w:t xml:space="preserve">y los familiares directos deberán acudir a las consultas, exámenes, evaluaciones, sesiones, tratamientos o cualquier clase de procedimiento que se establezca en o se derive de los acuerdos de </w:t>
            </w:r>
            <w:r w:rsidRPr="0009182C">
              <w:rPr>
                <w:rFonts w:ascii="Cambria" w:hAnsi="Cambria"/>
                <w:b/>
                <w:bCs/>
                <w:sz w:val="22"/>
                <w:szCs w:val="22"/>
                <w:lang w:val="es-CO"/>
              </w:rPr>
              <w:t xml:space="preserve">"LAS PARTES" </w:t>
            </w:r>
            <w:r w:rsidRPr="0009182C">
              <w:rPr>
                <w:rFonts w:ascii="Cambria" w:hAnsi="Cambria"/>
                <w:sz w:val="22"/>
                <w:szCs w:val="22"/>
                <w:lang w:val="es-CO"/>
              </w:rPr>
              <w:t xml:space="preserve">contenidos en el Anexo 1. </w:t>
            </w:r>
          </w:p>
        </w:tc>
        <w:tc>
          <w:tcPr>
            <w:tcW w:w="1701" w:type="dxa"/>
            <w:tcBorders>
              <w:top w:val="single" w:sz="4" w:space="0" w:color="auto"/>
              <w:left w:val="single" w:sz="4" w:space="0" w:color="auto"/>
              <w:bottom w:val="single" w:sz="4" w:space="0" w:color="auto"/>
              <w:right w:val="single" w:sz="4" w:space="0" w:color="auto"/>
            </w:tcBorders>
            <w:vAlign w:val="center"/>
          </w:tcPr>
          <w:p w14:paraId="23E88970"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Style w:val="FootnoteReference"/>
                <w:rFonts w:ascii="Cambria" w:eastAsia="Batang" w:hAnsi="Cambria"/>
                <w:b/>
                <w:color w:val="000000"/>
                <w:lang w:val="es-CO"/>
              </w:rPr>
              <w:footnoteReference w:id="3"/>
            </w:r>
          </w:p>
        </w:tc>
      </w:tr>
      <w:tr w:rsidR="005636C1" w:rsidRPr="0009182C" w14:paraId="60802AB6"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6FDA8106"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b/>
                <w:bCs/>
                <w:sz w:val="22"/>
                <w:szCs w:val="22"/>
                <w:lang w:val="es-CO"/>
              </w:rPr>
              <w:t xml:space="preserve">Cláusula 3.5. Incorporación al Seguro Popular. </w:t>
            </w:r>
            <w:r w:rsidRPr="0009182C">
              <w:rPr>
                <w:rFonts w:ascii="Cambria" w:hAnsi="Cambria"/>
                <w:sz w:val="22"/>
                <w:szCs w:val="22"/>
                <w:lang w:val="es-CO"/>
              </w:rPr>
              <w:t xml:space="preserve">Se incorporará tanto </w:t>
            </w:r>
            <w:r w:rsidRPr="0009182C">
              <w:rPr>
                <w:rFonts w:ascii="Cambria" w:hAnsi="Cambria"/>
                <w:b/>
                <w:bCs/>
                <w:sz w:val="22"/>
                <w:szCs w:val="22"/>
                <w:lang w:val="es-CO"/>
              </w:rPr>
              <w:t xml:space="preserve">"LAS VÍCTIMAS" </w:t>
            </w:r>
            <w:r w:rsidRPr="0009182C">
              <w:rPr>
                <w:rFonts w:ascii="Cambria" w:hAnsi="Cambria"/>
                <w:sz w:val="22"/>
                <w:szCs w:val="22"/>
                <w:lang w:val="es-CO"/>
              </w:rPr>
              <w:t>como a sus familiares directos al Seguro Popular, los cuales tendrán acceso a los servicios y bienes farmacéuticos establecidos en la cobertura médica del mismo. […]</w:t>
            </w:r>
          </w:p>
        </w:tc>
        <w:tc>
          <w:tcPr>
            <w:tcW w:w="1701" w:type="dxa"/>
            <w:tcBorders>
              <w:top w:val="single" w:sz="4" w:space="0" w:color="auto"/>
              <w:left w:val="single" w:sz="4" w:space="0" w:color="auto"/>
              <w:bottom w:val="single" w:sz="4" w:space="0" w:color="auto"/>
              <w:right w:val="single" w:sz="4" w:space="0" w:color="auto"/>
            </w:tcBorders>
            <w:vAlign w:val="center"/>
          </w:tcPr>
          <w:p w14:paraId="2C94B8BE"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Style w:val="FootnoteReference"/>
                <w:rFonts w:ascii="Cambria" w:eastAsia="Batang" w:hAnsi="Cambria"/>
                <w:b/>
                <w:color w:val="000000"/>
                <w:lang w:val="es-CO"/>
              </w:rPr>
              <w:footnoteReference w:id="4"/>
            </w:r>
          </w:p>
        </w:tc>
      </w:tr>
      <w:tr w:rsidR="005636C1" w:rsidRPr="0009182C" w14:paraId="01E769CB"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2FF37238"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BF7310">
              <w:rPr>
                <w:rFonts w:ascii="Cambria" w:hAnsi="Cambria"/>
                <w:b/>
                <w:bCs/>
                <w:sz w:val="22"/>
                <w:szCs w:val="22"/>
              </w:rPr>
              <w:t xml:space="preserve">Cláusula 3.7. Otorgamiento de Becas. </w:t>
            </w:r>
            <w:r w:rsidRPr="00BF7310">
              <w:rPr>
                <w:rFonts w:ascii="Cambria" w:hAnsi="Cambria"/>
                <w:sz w:val="22"/>
                <w:szCs w:val="22"/>
              </w:rPr>
              <w:t xml:space="preserve">El </w:t>
            </w:r>
            <w:r w:rsidRPr="00BF7310">
              <w:rPr>
                <w:rFonts w:ascii="Cambria" w:hAnsi="Cambria"/>
                <w:b/>
                <w:bCs/>
                <w:sz w:val="22"/>
                <w:szCs w:val="22"/>
              </w:rPr>
              <w:t xml:space="preserve">"ESTADO MEXICANO" </w:t>
            </w:r>
            <w:r w:rsidRPr="00BF7310">
              <w:rPr>
                <w:rFonts w:ascii="Cambria" w:hAnsi="Cambria"/>
                <w:sz w:val="22"/>
                <w:szCs w:val="22"/>
              </w:rPr>
              <w:t xml:space="preserve">brindará becas educativas a Jonathan Ricardo López Gómez, Marina Isabel López Gómez, José Gerardo López Díaz, Juan Daniel López Díaz, Laura Jennifer López Díaz, Alan Enrique López Díaz, Marina Karen López Díaz, Erika de Jesús Cruz López y Blanca Laura Cruz López. </w:t>
            </w:r>
            <w:r w:rsidRPr="0009182C">
              <w:rPr>
                <w:rFonts w:ascii="Cambria" w:hAnsi="Cambria"/>
                <w:sz w:val="22"/>
                <w:szCs w:val="22"/>
                <w:lang w:val="es-CO"/>
              </w:rPr>
              <w:t xml:space="preserve">Las becas serán otorgadas hasta que las y los beneficiarios culminen la educación universitaria. </w:t>
            </w:r>
          </w:p>
          <w:p w14:paraId="2971899D"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Una vez otorgadas las becas, esta medida estará sujeta al aprovechamiento escolar de las y los beneficiarios y podrán ser retiradas y/o suspendidas conforme al numeral 38 de las </w:t>
            </w:r>
            <w:r w:rsidRPr="0009182C">
              <w:rPr>
                <w:rFonts w:ascii="Cambria" w:hAnsi="Cambria"/>
                <w:b/>
                <w:bCs/>
                <w:sz w:val="22"/>
                <w:szCs w:val="22"/>
                <w:lang w:val="es-CO"/>
              </w:rPr>
              <w:t xml:space="preserve">"REGLAS DE OPERACIÓN DEL FIDEICOMISO", </w:t>
            </w:r>
            <w:r w:rsidRPr="0009182C">
              <w:rPr>
                <w:rFonts w:ascii="Cambria" w:hAnsi="Cambria"/>
                <w:sz w:val="22"/>
                <w:szCs w:val="22"/>
                <w:lang w:val="es-CO"/>
              </w:rPr>
              <w:t xml:space="preserve">así como si estos no cumplen con los estándares académicos, administrativos, disciplinarios o de cualquier otra Índole que impongan las instituciones educativas a las que acudan, independientemente del nivel escolar. </w:t>
            </w:r>
          </w:p>
          <w:p w14:paraId="03B91984"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lastRenderedPageBreak/>
              <w:t xml:space="preserve">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se liberará de esta obligación si por causas imputables a las y los beneficiarios, estos no cumplen con los requisitos expresados en la presente Clausula. </w:t>
            </w:r>
          </w:p>
        </w:tc>
        <w:tc>
          <w:tcPr>
            <w:tcW w:w="1701" w:type="dxa"/>
            <w:tcBorders>
              <w:top w:val="single" w:sz="4" w:space="0" w:color="auto"/>
              <w:left w:val="single" w:sz="4" w:space="0" w:color="auto"/>
              <w:bottom w:val="single" w:sz="4" w:space="0" w:color="auto"/>
              <w:right w:val="single" w:sz="4" w:space="0" w:color="auto"/>
            </w:tcBorders>
            <w:vAlign w:val="center"/>
          </w:tcPr>
          <w:p w14:paraId="6F148962"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lastRenderedPageBreak/>
              <w:t>Total</w:t>
            </w:r>
            <w:r w:rsidRPr="0009182C">
              <w:rPr>
                <w:rFonts w:ascii="Cambria" w:eastAsia="Batang" w:hAnsi="Cambria"/>
                <w:b/>
                <w:color w:val="000000"/>
                <w:vertAlign w:val="superscript"/>
                <w:lang w:val="es-CO"/>
              </w:rPr>
              <w:footnoteReference w:id="5"/>
            </w:r>
          </w:p>
        </w:tc>
      </w:tr>
      <w:tr w:rsidR="005636C1" w:rsidRPr="0009182C" w14:paraId="7826F0E6"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vAlign w:val="center"/>
          </w:tcPr>
          <w:p w14:paraId="25D24785"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Cláusula 3.8. Empleo para las víctimas. </w:t>
            </w:r>
            <w:r w:rsidRPr="0009182C">
              <w:rPr>
                <w:rFonts w:ascii="Cambria" w:hAnsi="Cambria"/>
                <w:sz w:val="22"/>
                <w:szCs w:val="22"/>
                <w:lang w:val="es-CO"/>
              </w:rPr>
              <w:t xml:space="preserve">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realizará las gestiones respectivas a fin de incorporar a </w:t>
            </w:r>
            <w:r w:rsidRPr="0009182C">
              <w:rPr>
                <w:rFonts w:ascii="Cambria" w:hAnsi="Cambria"/>
                <w:b/>
                <w:bCs/>
                <w:sz w:val="22"/>
                <w:szCs w:val="22"/>
                <w:lang w:val="es-CO"/>
              </w:rPr>
              <w:t xml:space="preserve">José Leonardo López Hernández </w:t>
            </w:r>
            <w:r w:rsidRPr="0009182C">
              <w:rPr>
                <w:rFonts w:ascii="Cambria" w:hAnsi="Cambria"/>
                <w:sz w:val="22"/>
                <w:szCs w:val="22"/>
                <w:lang w:val="es-CO"/>
              </w:rPr>
              <w:t xml:space="preserve">y </w:t>
            </w:r>
            <w:r w:rsidRPr="0009182C">
              <w:rPr>
                <w:rFonts w:ascii="Cambria" w:hAnsi="Cambria"/>
                <w:b/>
                <w:bCs/>
                <w:sz w:val="22"/>
                <w:szCs w:val="22"/>
                <w:lang w:val="es-CO"/>
              </w:rPr>
              <w:t xml:space="preserve">Ricardo López Hernández </w:t>
            </w:r>
            <w:r w:rsidRPr="0009182C">
              <w:rPr>
                <w:rFonts w:ascii="Cambria" w:hAnsi="Cambria"/>
                <w:sz w:val="22"/>
                <w:szCs w:val="22"/>
                <w:lang w:val="es-CO"/>
              </w:rPr>
              <w:t xml:space="preserve">a trabajar en las brigadas contraincendios de la Comisión Nacional Forestal en San Cristóbal de las Casas a partir de marzo de 2016. </w:t>
            </w:r>
          </w:p>
          <w:p w14:paraId="0F0E8AB2"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Esta medida se dará por satisfecha una vez que 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los incorpore a las citadas brigadas. Su permanencia en el cargo estará sujeta a las leyes aplicables en materia laboral y administrativa, así como los códigos y normatividad de la Comisión Nacional Forestal. </w:t>
            </w:r>
          </w:p>
          <w:p w14:paraId="3BEB7CD2"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b/>
                <w:bCs/>
                <w:sz w:val="22"/>
                <w:szCs w:val="22"/>
                <w:lang w:val="es-CO"/>
              </w:rPr>
              <w:t xml:space="preserve">"LAS PARTES" </w:t>
            </w:r>
            <w:r w:rsidRPr="0009182C">
              <w:rPr>
                <w:rFonts w:ascii="Cambria" w:hAnsi="Cambria"/>
                <w:sz w:val="22"/>
                <w:szCs w:val="22"/>
                <w:lang w:val="es-CO"/>
              </w:rPr>
              <w:t xml:space="preserve">reconocen que el </w:t>
            </w:r>
            <w:r w:rsidRPr="0009182C">
              <w:rPr>
                <w:rFonts w:ascii="Cambria" w:hAnsi="Cambria"/>
                <w:b/>
                <w:bCs/>
                <w:sz w:val="22"/>
                <w:szCs w:val="22"/>
                <w:lang w:val="es-CO"/>
              </w:rPr>
              <w:t xml:space="preserve">"ESTADO MEXICANO" </w:t>
            </w:r>
            <w:r w:rsidRPr="0009182C">
              <w:rPr>
                <w:rFonts w:ascii="Cambria" w:hAnsi="Cambria"/>
                <w:sz w:val="22"/>
                <w:szCs w:val="22"/>
                <w:lang w:val="es-CO"/>
              </w:rPr>
              <w:t>no estará obligado a brindarles un nuevo empleo si estos no cumplen con los requisitos citados en el párrafo anterior.</w:t>
            </w:r>
          </w:p>
        </w:tc>
        <w:tc>
          <w:tcPr>
            <w:tcW w:w="1701" w:type="dxa"/>
            <w:tcBorders>
              <w:top w:val="single" w:sz="4" w:space="0" w:color="auto"/>
              <w:left w:val="single" w:sz="4" w:space="0" w:color="auto"/>
              <w:bottom w:val="single" w:sz="4" w:space="0" w:color="auto"/>
              <w:right w:val="single" w:sz="4" w:space="0" w:color="auto"/>
            </w:tcBorders>
            <w:vAlign w:val="center"/>
          </w:tcPr>
          <w:p w14:paraId="542059EE"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80808"/>
                <w:lang w:val="es-CO"/>
              </w:rPr>
              <w:t>Total</w:t>
            </w:r>
            <w:r w:rsidRPr="0009182C">
              <w:rPr>
                <w:rStyle w:val="FootnoteReference"/>
                <w:rFonts w:ascii="Cambria" w:eastAsia="Batang" w:hAnsi="Cambria"/>
                <w:b/>
                <w:color w:val="080808"/>
                <w:lang w:val="es-CO"/>
              </w:rPr>
              <w:footnoteReference w:id="6"/>
            </w:r>
          </w:p>
        </w:tc>
      </w:tr>
      <w:tr w:rsidR="005636C1" w:rsidRPr="0009182C" w14:paraId="77C91CAF"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08F4A7E9"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 MEDIDAS DE SATISFACCIÓN </w:t>
            </w:r>
          </w:p>
          <w:p w14:paraId="2CDA4EF7"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b/>
                <w:bCs/>
                <w:sz w:val="22"/>
                <w:szCs w:val="22"/>
                <w:lang w:val="es-CO"/>
              </w:rPr>
              <w:t xml:space="preserve">Cláusula 3.9. Acto de reconocimiento de responsabilidad. </w:t>
            </w:r>
            <w:r w:rsidRPr="0009182C">
              <w:rPr>
                <w:rFonts w:ascii="Cambria" w:hAnsi="Cambria"/>
                <w:sz w:val="22"/>
                <w:szCs w:val="22"/>
                <w:lang w:val="es-CO"/>
              </w:rPr>
              <w:t xml:space="preserve">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realizará un acto Público de reconocimiento de responsabilidad y disculpa pública en el que reconocerá la violación a los derechos mencionados en la </w:t>
            </w:r>
            <w:r w:rsidRPr="0009182C">
              <w:rPr>
                <w:rFonts w:ascii="Cambria" w:hAnsi="Cambria"/>
                <w:b/>
                <w:bCs/>
                <w:sz w:val="22"/>
                <w:szCs w:val="22"/>
                <w:lang w:val="es-CO"/>
              </w:rPr>
              <w:t xml:space="preserve">Cláusula 2.1. </w:t>
            </w:r>
            <w:r w:rsidRPr="0009182C">
              <w:rPr>
                <w:rFonts w:ascii="Cambria" w:hAnsi="Cambria"/>
                <w:bCs/>
                <w:sz w:val="22"/>
                <w:szCs w:val="22"/>
                <w:lang w:val="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4E1431D8"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Style w:val="FootnoteReference"/>
                <w:rFonts w:ascii="Cambria" w:eastAsia="Batang" w:hAnsi="Cambria"/>
                <w:b/>
                <w:color w:val="000000"/>
                <w:lang w:val="es-CO"/>
              </w:rPr>
              <w:footnoteReference w:id="7"/>
            </w:r>
          </w:p>
        </w:tc>
      </w:tr>
      <w:tr w:rsidR="005636C1" w:rsidRPr="0009182C" w14:paraId="768A9BF8"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795E5105"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Cláusula 3.10. Difusión del acto de reconocimiento de responsabilidad. "LA SEGOB" </w:t>
            </w:r>
          </w:p>
          <w:p w14:paraId="325718F0"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t xml:space="preserve">realizará las gestiones a fin de que se publique por una sola ocasión un extracto del acto Público de reconocimiento de responsabilidad y disculpa pública que se difundirá en el Diario Oficial de la Federación y en dos periódicos, uno de circulación nacional y otro de circulación en el estado de Chiapas. </w:t>
            </w:r>
            <w:r w:rsidRPr="0009182C">
              <w:rPr>
                <w:rFonts w:ascii="Cambria" w:hAnsi="Cambria"/>
                <w:bCs/>
                <w:sz w:val="22"/>
                <w:szCs w:val="22"/>
                <w:lang w:val="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52648D39"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Style w:val="FootnoteReference"/>
                <w:rFonts w:ascii="Cambria" w:eastAsia="Batang" w:hAnsi="Cambria"/>
                <w:b/>
                <w:color w:val="000000"/>
                <w:lang w:val="es-CO"/>
              </w:rPr>
              <w:footnoteReference w:id="8"/>
            </w:r>
          </w:p>
        </w:tc>
      </w:tr>
      <w:tr w:rsidR="005636C1" w:rsidRPr="0009182C" w14:paraId="37073F0B"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vAlign w:val="center"/>
          </w:tcPr>
          <w:p w14:paraId="3E8E783F"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Cláusula 3.11. Casa de salud </w:t>
            </w:r>
            <w:r w:rsidRPr="0009182C">
              <w:rPr>
                <w:rFonts w:ascii="Cambria" w:hAnsi="Cambria"/>
                <w:sz w:val="22"/>
                <w:szCs w:val="22"/>
                <w:lang w:val="es-CO"/>
              </w:rPr>
              <w:t xml:space="preserve">y </w:t>
            </w:r>
            <w:r w:rsidRPr="0009182C">
              <w:rPr>
                <w:rFonts w:ascii="Cambria" w:hAnsi="Cambria"/>
                <w:b/>
                <w:bCs/>
                <w:sz w:val="22"/>
                <w:szCs w:val="22"/>
                <w:lang w:val="es-CO"/>
              </w:rPr>
              <w:t xml:space="preserve">develación de placa. </w:t>
            </w:r>
            <w:r w:rsidRPr="0009182C">
              <w:rPr>
                <w:rFonts w:ascii="Cambria" w:hAnsi="Cambria"/>
                <w:sz w:val="22"/>
                <w:szCs w:val="22"/>
                <w:lang w:val="es-CO"/>
              </w:rPr>
              <w:t xml:space="preserve">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a través de la Secretarías de Salud del estado de Chiapas, nombrará a la clínica de la comunidad de El Aguaje, municipio de San Cristóbal de las Casas, Chiapas, "Ángel Díaz Cruz", en memoria del menor que perdió la vida. Asimismo, se realizarán las siguientes acciones: </w:t>
            </w:r>
          </w:p>
          <w:p w14:paraId="7AA7EC2A" w14:textId="77777777" w:rsidR="005636C1" w:rsidRPr="0009182C" w:rsidRDefault="005636C1" w:rsidP="005636C1">
            <w:pPr>
              <w:pStyle w:val="NormalWeb"/>
              <w:numPr>
                <w:ilvl w:val="0"/>
                <w:numId w:val="4"/>
              </w:numPr>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Se realizará la contratación de una persona para el área de enfermería. </w:t>
            </w:r>
          </w:p>
          <w:p w14:paraId="171BFAF3" w14:textId="77777777" w:rsidR="005636C1" w:rsidRPr="0009182C" w:rsidRDefault="005636C1" w:rsidP="005636C1">
            <w:pPr>
              <w:pStyle w:val="NormalWeb"/>
              <w:numPr>
                <w:ilvl w:val="0"/>
                <w:numId w:val="4"/>
              </w:numPr>
              <w:spacing w:before="0" w:beforeAutospacing="0" w:after="0" w:afterAutospacing="0"/>
              <w:jc w:val="both"/>
              <w:rPr>
                <w:rFonts w:ascii="Cambria" w:hAnsi="Cambria"/>
                <w:sz w:val="22"/>
                <w:szCs w:val="22"/>
                <w:lang w:val="es-CO"/>
              </w:rPr>
            </w:pPr>
            <w:r w:rsidRPr="0009182C">
              <w:rPr>
                <w:rFonts w:ascii="Cambria" w:hAnsi="Cambria"/>
                <w:sz w:val="22"/>
                <w:szCs w:val="22"/>
                <w:lang w:val="es-CO"/>
              </w:rPr>
              <w:t>Cambio de estatus de Casa de Salud de la comunidad a Clínica Mononuclear.</w:t>
            </w:r>
          </w:p>
          <w:p w14:paraId="27770123"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t>En dicha clínica se develará una placa a cargo del estado de Chiapas.</w:t>
            </w:r>
          </w:p>
        </w:tc>
        <w:tc>
          <w:tcPr>
            <w:tcW w:w="1701" w:type="dxa"/>
            <w:tcBorders>
              <w:top w:val="single" w:sz="4" w:space="0" w:color="auto"/>
              <w:left w:val="single" w:sz="4" w:space="0" w:color="auto"/>
              <w:bottom w:val="single" w:sz="4" w:space="0" w:color="auto"/>
              <w:right w:val="single" w:sz="4" w:space="0" w:color="auto"/>
            </w:tcBorders>
            <w:vAlign w:val="center"/>
          </w:tcPr>
          <w:p w14:paraId="1B7372C9"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80808"/>
                <w:lang w:val="es-CO"/>
              </w:rPr>
              <w:t>Total</w:t>
            </w:r>
            <w:r w:rsidRPr="0009182C">
              <w:rPr>
                <w:rStyle w:val="FootnoteReference"/>
                <w:rFonts w:ascii="Cambria" w:eastAsia="Batang" w:hAnsi="Cambria"/>
                <w:b/>
                <w:color w:val="080808"/>
                <w:lang w:val="es-CO"/>
              </w:rPr>
              <w:footnoteReference w:id="9"/>
            </w:r>
          </w:p>
        </w:tc>
      </w:tr>
      <w:tr w:rsidR="005636C1" w:rsidRPr="0009182C" w14:paraId="1A631D67"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2C0A616A"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D. GARANTÍAS DE NO REPETICIÓN </w:t>
            </w:r>
          </w:p>
          <w:p w14:paraId="2547DFE0"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b/>
                <w:bCs/>
                <w:sz w:val="22"/>
                <w:szCs w:val="22"/>
                <w:lang w:val="es-CO"/>
              </w:rPr>
              <w:t xml:space="preserve">3.12. Cursos de capacitación para operadores de justicia. </w:t>
            </w:r>
            <w:r w:rsidRPr="0009182C">
              <w:rPr>
                <w:rFonts w:ascii="Cambria" w:hAnsi="Cambria"/>
                <w:sz w:val="22"/>
                <w:szCs w:val="22"/>
                <w:lang w:val="es-CO"/>
              </w:rPr>
              <w:t xml:space="preserve">La </w:t>
            </w:r>
            <w:r w:rsidRPr="0009182C">
              <w:rPr>
                <w:rFonts w:ascii="Cambria" w:hAnsi="Cambria"/>
                <w:b/>
                <w:bCs/>
                <w:sz w:val="22"/>
                <w:szCs w:val="22"/>
                <w:lang w:val="es-CO"/>
              </w:rPr>
              <w:t xml:space="preserve">“SG DE CHIAPAS” </w:t>
            </w:r>
            <w:r w:rsidRPr="0009182C">
              <w:rPr>
                <w:rFonts w:ascii="Cambria" w:hAnsi="Cambria"/>
                <w:sz w:val="22"/>
                <w:szCs w:val="22"/>
                <w:lang w:val="es-CO"/>
              </w:rPr>
              <w:t xml:space="preserve">llevará a cabo una capacitación a los servidores públicos de la procuración y administración de justicia de Chiapas en materia de derechos humanos. </w:t>
            </w:r>
          </w:p>
          <w:p w14:paraId="516448F9"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lastRenderedPageBreak/>
              <w:t xml:space="preserve">En adición a los programas permanentes de capacitación con los que cuenta, la </w:t>
            </w:r>
            <w:r w:rsidRPr="0009182C">
              <w:rPr>
                <w:rFonts w:ascii="Cambria" w:hAnsi="Cambria"/>
                <w:b/>
                <w:bCs/>
                <w:sz w:val="22"/>
                <w:szCs w:val="22"/>
                <w:lang w:val="es-CO"/>
              </w:rPr>
              <w:t xml:space="preserve">“SG DE CHIAPAS” </w:t>
            </w:r>
            <w:r w:rsidRPr="0009182C">
              <w:rPr>
                <w:rFonts w:ascii="Cambria" w:hAnsi="Cambria"/>
                <w:sz w:val="22"/>
                <w:szCs w:val="22"/>
                <w:lang w:val="es-CO"/>
              </w:rPr>
              <w:t xml:space="preserve">realizará un curso de capacitación para al menos 80 integrantes de la Fiscalía General de Justicia del estado de Chiapas y 80 de integrantes del Tribunal Superior de Justicia del estado de Chiapas. El curso deberá ser impartido dentro de los 12 meses siguientes a la firma del presente instrumento. </w:t>
            </w:r>
          </w:p>
        </w:tc>
        <w:tc>
          <w:tcPr>
            <w:tcW w:w="1701" w:type="dxa"/>
            <w:tcBorders>
              <w:top w:val="single" w:sz="4" w:space="0" w:color="auto"/>
              <w:left w:val="single" w:sz="4" w:space="0" w:color="auto"/>
              <w:bottom w:val="single" w:sz="4" w:space="0" w:color="auto"/>
              <w:right w:val="single" w:sz="4" w:space="0" w:color="auto"/>
            </w:tcBorders>
            <w:vAlign w:val="center"/>
          </w:tcPr>
          <w:p w14:paraId="0F5065EE"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lastRenderedPageBreak/>
              <w:t>Total</w:t>
            </w:r>
            <w:r w:rsidRPr="0009182C">
              <w:rPr>
                <w:rStyle w:val="FootnoteReference"/>
                <w:rFonts w:ascii="Cambria" w:eastAsia="Batang" w:hAnsi="Cambria"/>
                <w:b/>
                <w:color w:val="000000"/>
                <w:lang w:val="es-CO"/>
              </w:rPr>
              <w:footnoteReference w:id="10"/>
            </w:r>
          </w:p>
        </w:tc>
      </w:tr>
      <w:tr w:rsidR="005636C1" w:rsidRPr="0009182C" w14:paraId="5B786EDA"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tcPr>
          <w:p w14:paraId="676BA5E6" w14:textId="77777777" w:rsidR="005636C1" w:rsidRPr="0009182C" w:rsidRDefault="005636C1" w:rsidP="00B67A4A">
            <w:pPr>
              <w:pStyle w:val="NormalWeb"/>
              <w:spacing w:before="0" w:beforeAutospacing="0" w:after="0" w:afterAutospacing="0"/>
              <w:rPr>
                <w:rFonts w:ascii="Cambria" w:hAnsi="Cambria"/>
                <w:b/>
                <w:bCs/>
                <w:sz w:val="22"/>
                <w:szCs w:val="22"/>
                <w:lang w:val="es-CO"/>
              </w:rPr>
            </w:pPr>
            <w:r w:rsidRPr="0009182C">
              <w:rPr>
                <w:rFonts w:ascii="Cambria" w:hAnsi="Cambria"/>
                <w:b/>
                <w:bCs/>
                <w:sz w:val="22"/>
                <w:szCs w:val="22"/>
                <w:lang w:val="es-CO"/>
              </w:rPr>
              <w:t>E. INDEMNIZACIONES COMPENSATORIAS</w:t>
            </w:r>
          </w:p>
          <w:p w14:paraId="27C84C36"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b/>
                <w:bCs/>
                <w:sz w:val="22"/>
                <w:szCs w:val="22"/>
                <w:lang w:val="es-CO"/>
              </w:rPr>
              <w:t xml:space="preserve">Clausula 3.13. Compensación por daño material e inmaterial: </w:t>
            </w:r>
            <w:r w:rsidRPr="0009182C">
              <w:rPr>
                <w:rFonts w:ascii="Cambria" w:hAnsi="Cambria"/>
                <w:sz w:val="22"/>
                <w:szCs w:val="22"/>
                <w:lang w:val="es-CO"/>
              </w:rPr>
              <w:t xml:space="preserve">Los montos correspondientes a los pagos por daño material e inmaterial, serán calculados de conformidad a las </w:t>
            </w:r>
            <w:r w:rsidRPr="0009182C">
              <w:rPr>
                <w:rFonts w:ascii="Cambria" w:hAnsi="Cambria"/>
                <w:b/>
                <w:bCs/>
                <w:sz w:val="22"/>
                <w:szCs w:val="22"/>
                <w:lang w:val="es-CO"/>
              </w:rPr>
              <w:t xml:space="preserve">"REGLAS DE OPERACIÓN DEL FIDEICOMISO" </w:t>
            </w:r>
            <w:r w:rsidRPr="0009182C">
              <w:rPr>
                <w:rFonts w:ascii="Cambria" w:hAnsi="Cambria"/>
                <w:bCs/>
                <w:sz w:val="22"/>
                <w:szCs w:val="22"/>
                <w:lang w:val="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4A207D6C"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Style w:val="FootnoteReference"/>
                <w:rFonts w:ascii="Cambria" w:eastAsia="Batang" w:hAnsi="Cambria"/>
                <w:b/>
                <w:color w:val="000000"/>
                <w:lang w:val="es-CO"/>
              </w:rPr>
              <w:footnoteReference w:id="11"/>
            </w:r>
          </w:p>
        </w:tc>
      </w:tr>
      <w:tr w:rsidR="005636C1" w:rsidRPr="0009182C" w14:paraId="3260479E" w14:textId="77777777" w:rsidTr="00B67A4A">
        <w:trPr>
          <w:trHeight w:val="393"/>
          <w:jc w:val="center"/>
        </w:trPr>
        <w:tc>
          <w:tcPr>
            <w:tcW w:w="7632" w:type="dxa"/>
            <w:tcBorders>
              <w:top w:val="single" w:sz="4" w:space="0" w:color="auto"/>
              <w:left w:val="single" w:sz="4" w:space="0" w:color="auto"/>
              <w:bottom w:val="single" w:sz="4" w:space="0" w:color="auto"/>
              <w:right w:val="single" w:sz="4" w:space="0" w:color="auto"/>
            </w:tcBorders>
            <w:vAlign w:val="center"/>
          </w:tcPr>
          <w:p w14:paraId="36417A23"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b/>
                <w:bCs/>
                <w:sz w:val="22"/>
                <w:szCs w:val="22"/>
                <w:lang w:val="es-CO"/>
              </w:rPr>
              <w:t xml:space="preserve">Clausula 3.14. Modalidades del pago de las compensaciones. </w:t>
            </w:r>
          </w:p>
          <w:p w14:paraId="08F75B7F"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Los montos contemplados en el Anexo 2, serán otorgados a las víctimas, dentro del mes siguiente a la firma del presente </w:t>
            </w:r>
            <w:r w:rsidRPr="0009182C">
              <w:rPr>
                <w:rFonts w:ascii="Cambria" w:hAnsi="Cambria"/>
                <w:b/>
                <w:bCs/>
                <w:sz w:val="22"/>
                <w:szCs w:val="22"/>
                <w:lang w:val="es-CO"/>
              </w:rPr>
              <w:t xml:space="preserve">"ACUERDO", </w:t>
            </w:r>
            <w:r w:rsidRPr="0009182C">
              <w:rPr>
                <w:rFonts w:ascii="Cambria" w:hAnsi="Cambria"/>
                <w:sz w:val="22"/>
                <w:szCs w:val="22"/>
                <w:lang w:val="es-CO"/>
              </w:rPr>
              <w:t xml:space="preserve">siempre y cuando las mismas, cumplan con los requisitos indispensables de forma que prevé la legislación mexicana para su entrega. En cualquier supuesto relativo a la entrega de los montos, se estará a lo dispuesto por las </w:t>
            </w:r>
            <w:r w:rsidRPr="0009182C">
              <w:rPr>
                <w:rFonts w:ascii="Cambria" w:hAnsi="Cambria"/>
                <w:b/>
                <w:bCs/>
                <w:sz w:val="22"/>
                <w:szCs w:val="22"/>
                <w:lang w:val="es-CO"/>
              </w:rPr>
              <w:t xml:space="preserve">"REGLAS DE OPERACIÓN DEL FIDEICOMISO". </w:t>
            </w:r>
          </w:p>
          <w:p w14:paraId="147DD541"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t xml:space="preserve">Estos pagos serán erogados por una única ocasión y constituyen el monto total de reparaciones económicas que el </w:t>
            </w:r>
            <w:r w:rsidRPr="0009182C">
              <w:rPr>
                <w:rFonts w:ascii="Cambria" w:hAnsi="Cambria"/>
                <w:b/>
                <w:bCs/>
                <w:sz w:val="22"/>
                <w:szCs w:val="22"/>
                <w:lang w:val="es-CO"/>
              </w:rPr>
              <w:t xml:space="preserve">"ESTADO MEXICANO" </w:t>
            </w:r>
            <w:r w:rsidRPr="0009182C">
              <w:rPr>
                <w:rFonts w:ascii="Cambria" w:hAnsi="Cambria"/>
                <w:sz w:val="22"/>
                <w:szCs w:val="22"/>
                <w:lang w:val="es-CO"/>
              </w:rPr>
              <w:t>otorgará para resarcir el daño derivado de las violaciones expresadas en la Cláusula 2.1.</w:t>
            </w:r>
          </w:p>
        </w:tc>
        <w:tc>
          <w:tcPr>
            <w:tcW w:w="1701" w:type="dxa"/>
            <w:tcBorders>
              <w:top w:val="single" w:sz="4" w:space="0" w:color="auto"/>
              <w:left w:val="single" w:sz="4" w:space="0" w:color="auto"/>
              <w:bottom w:val="single" w:sz="4" w:space="0" w:color="auto"/>
              <w:right w:val="single" w:sz="4" w:space="0" w:color="auto"/>
            </w:tcBorders>
            <w:vAlign w:val="center"/>
          </w:tcPr>
          <w:p w14:paraId="3A6AE858"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Style w:val="FootnoteReference"/>
                <w:rFonts w:ascii="Cambria" w:eastAsia="Batang" w:hAnsi="Cambria"/>
                <w:b/>
                <w:color w:val="000000"/>
                <w:lang w:val="es-CO"/>
              </w:rPr>
              <w:footnoteReference w:id="12"/>
            </w:r>
          </w:p>
        </w:tc>
      </w:tr>
      <w:tr w:rsidR="005636C1" w:rsidRPr="0009182C" w14:paraId="518850E2" w14:textId="77777777" w:rsidTr="00B67A4A">
        <w:trPr>
          <w:trHeight w:val="841"/>
          <w:jc w:val="center"/>
        </w:trPr>
        <w:tc>
          <w:tcPr>
            <w:tcW w:w="7632" w:type="dxa"/>
            <w:tcBorders>
              <w:top w:val="single" w:sz="4" w:space="0" w:color="auto"/>
              <w:left w:val="single" w:sz="4" w:space="0" w:color="auto"/>
              <w:bottom w:val="single" w:sz="4" w:space="0" w:color="auto"/>
              <w:right w:val="single" w:sz="4" w:space="0" w:color="auto"/>
            </w:tcBorders>
          </w:tcPr>
          <w:p w14:paraId="32A85576"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 </w:t>
            </w:r>
            <w:r w:rsidRPr="0009182C">
              <w:rPr>
                <w:rFonts w:ascii="Cambria" w:hAnsi="Cambria"/>
                <w:b/>
                <w:bCs/>
                <w:sz w:val="22"/>
                <w:szCs w:val="22"/>
                <w:lang w:val="es-CO"/>
              </w:rPr>
              <w:t xml:space="preserve">Clausula 3.15. Entrega de Proyecto Productivo: </w:t>
            </w:r>
            <w:r w:rsidRPr="0009182C">
              <w:rPr>
                <w:rFonts w:ascii="Cambria" w:hAnsi="Cambria"/>
                <w:sz w:val="22"/>
                <w:szCs w:val="22"/>
                <w:lang w:val="es-CO"/>
              </w:rPr>
              <w:t xml:space="preserve">Como medida de compensación 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a través del Gobierno del Estado Chiapas, la </w:t>
            </w:r>
            <w:r w:rsidRPr="0009182C">
              <w:rPr>
                <w:rFonts w:ascii="Cambria" w:hAnsi="Cambria"/>
                <w:b/>
                <w:bCs/>
                <w:sz w:val="22"/>
                <w:szCs w:val="22"/>
                <w:lang w:val="es-CO"/>
              </w:rPr>
              <w:t xml:space="preserve">"SG DE CHIAPAS" </w:t>
            </w:r>
            <w:r w:rsidRPr="0009182C">
              <w:rPr>
                <w:rFonts w:ascii="Cambria" w:hAnsi="Cambria"/>
                <w:sz w:val="22"/>
                <w:szCs w:val="22"/>
                <w:lang w:val="es-CO"/>
              </w:rPr>
              <w:t xml:space="preserve">se compromete implementar un proyecto productivo para cada una de </w:t>
            </w:r>
            <w:r w:rsidRPr="0009182C">
              <w:rPr>
                <w:rFonts w:ascii="Cambria" w:hAnsi="Cambria"/>
                <w:b/>
                <w:bCs/>
                <w:sz w:val="22"/>
                <w:szCs w:val="22"/>
                <w:lang w:val="es-CO"/>
              </w:rPr>
              <w:t xml:space="preserve">"LAS VÍCTIMAS", </w:t>
            </w:r>
            <w:r w:rsidRPr="0009182C">
              <w:rPr>
                <w:rFonts w:ascii="Cambria" w:hAnsi="Cambria"/>
                <w:sz w:val="22"/>
                <w:szCs w:val="22"/>
                <w:lang w:val="es-CO"/>
              </w:rPr>
              <w:t>de los programas existentes en las diversas instancias competentes del Estado y de conformidad con legislación y normatividad aplicable.</w:t>
            </w:r>
          </w:p>
          <w:p w14:paraId="7EE35A44"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Para fines del presente, </w:t>
            </w:r>
            <w:r w:rsidRPr="0009182C">
              <w:rPr>
                <w:rFonts w:ascii="Cambria" w:hAnsi="Cambria"/>
                <w:b/>
                <w:bCs/>
                <w:sz w:val="22"/>
                <w:szCs w:val="22"/>
                <w:lang w:val="es-CO"/>
              </w:rPr>
              <w:t xml:space="preserve">"LAS PARTES" </w:t>
            </w:r>
            <w:r w:rsidRPr="0009182C">
              <w:rPr>
                <w:rFonts w:ascii="Cambria" w:hAnsi="Cambria"/>
                <w:sz w:val="22"/>
                <w:szCs w:val="22"/>
                <w:lang w:val="es-CO"/>
              </w:rPr>
              <w:t xml:space="preserve">entenderán como "proyecto productivo" los programas existentes vigentes en el Gobierno del Estado de Chiapas, que tenga por objeto impulsar el desarrollo de actividades que estimulen la percepción de ingresos e incrementen el nivel de productividad de las personas que hagan el ejercicio del mismo. </w:t>
            </w:r>
          </w:p>
          <w:p w14:paraId="730AF110"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La implementación del programa será por una sola ocasión. La </w:t>
            </w:r>
            <w:r w:rsidRPr="0009182C">
              <w:rPr>
                <w:rFonts w:ascii="Cambria" w:hAnsi="Cambria"/>
                <w:b/>
                <w:bCs/>
                <w:sz w:val="22"/>
                <w:szCs w:val="22"/>
                <w:lang w:val="es-CO"/>
              </w:rPr>
              <w:t xml:space="preserve">"SG DE CHIAPAS" </w:t>
            </w:r>
            <w:r w:rsidRPr="0009182C">
              <w:rPr>
                <w:rFonts w:ascii="Cambria" w:hAnsi="Cambria"/>
                <w:sz w:val="22"/>
                <w:szCs w:val="22"/>
                <w:lang w:val="es-CO"/>
              </w:rPr>
              <w:t xml:space="preserve">se compromete a presentar las opciones de proyectos productivos a </w:t>
            </w:r>
            <w:r w:rsidRPr="0009182C">
              <w:rPr>
                <w:rFonts w:ascii="Cambria" w:hAnsi="Cambria"/>
                <w:b/>
                <w:bCs/>
                <w:sz w:val="22"/>
                <w:szCs w:val="22"/>
                <w:lang w:val="es-CO"/>
              </w:rPr>
              <w:t xml:space="preserve">"LAS VÍCTIMAS", </w:t>
            </w:r>
            <w:r w:rsidRPr="0009182C">
              <w:rPr>
                <w:rFonts w:ascii="Cambria" w:hAnsi="Cambria"/>
                <w:sz w:val="22"/>
                <w:szCs w:val="22"/>
                <w:lang w:val="es-CO"/>
              </w:rPr>
              <w:t xml:space="preserve">y éstas se comprometen a escoger uno que satisfaga sus intereses. En caso que ninguno de los proyectos productivos existentes los satisfaga y decidan optar por no escogerlo, las obligaciones contenidas en esta Cláusula a cargo del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se darán por satisfechas. </w:t>
            </w:r>
          </w:p>
          <w:p w14:paraId="05CEF784" w14:textId="77777777" w:rsidR="005636C1" w:rsidRPr="0009182C" w:rsidRDefault="005636C1" w:rsidP="00B67A4A">
            <w:pPr>
              <w:pStyle w:val="NormalWeb"/>
              <w:spacing w:before="0" w:beforeAutospacing="0" w:after="0" w:afterAutospacing="0"/>
              <w:jc w:val="both"/>
              <w:rPr>
                <w:rFonts w:ascii="Cambria" w:hAnsi="Cambria"/>
                <w:sz w:val="22"/>
                <w:szCs w:val="22"/>
                <w:lang w:val="es-CO"/>
              </w:rPr>
            </w:pPr>
            <w:r w:rsidRPr="0009182C">
              <w:rPr>
                <w:rFonts w:ascii="Cambria" w:hAnsi="Cambria"/>
                <w:sz w:val="22"/>
                <w:szCs w:val="22"/>
                <w:lang w:val="es-CO"/>
              </w:rPr>
              <w:t xml:space="preserve">Si </w:t>
            </w:r>
            <w:r w:rsidRPr="0009182C">
              <w:rPr>
                <w:rFonts w:ascii="Cambria" w:hAnsi="Cambria"/>
                <w:b/>
                <w:bCs/>
                <w:sz w:val="22"/>
                <w:szCs w:val="22"/>
                <w:lang w:val="es-CO"/>
              </w:rPr>
              <w:t xml:space="preserve">"LAS VÍCTIMAS" </w:t>
            </w:r>
            <w:r w:rsidRPr="0009182C">
              <w:rPr>
                <w:rFonts w:ascii="Cambria" w:hAnsi="Cambria"/>
                <w:sz w:val="22"/>
                <w:szCs w:val="22"/>
                <w:lang w:val="es-CO"/>
              </w:rPr>
              <w:t xml:space="preserve">eligen un proyecto productivo a cargo de la </w:t>
            </w:r>
            <w:r w:rsidRPr="0009182C">
              <w:rPr>
                <w:rFonts w:ascii="Cambria" w:hAnsi="Cambria"/>
                <w:b/>
                <w:bCs/>
                <w:sz w:val="22"/>
                <w:szCs w:val="22"/>
                <w:lang w:val="es-CO"/>
              </w:rPr>
              <w:t xml:space="preserve">"SG DE CHIAPAS", </w:t>
            </w:r>
            <w:r w:rsidRPr="0009182C">
              <w:rPr>
                <w:rFonts w:ascii="Cambria" w:hAnsi="Cambria"/>
                <w:sz w:val="22"/>
                <w:szCs w:val="22"/>
                <w:lang w:val="es-CO"/>
              </w:rPr>
              <w:t xml:space="preserve">será su responsabilidad dar continuidad al mismo. Asimismo, se comprometen a recibir la capacitación necesaria para llevarlo a cabo, no pudiendo cancelar la misma por más de dos ocasiones. </w:t>
            </w:r>
            <w:r w:rsidRPr="0009182C">
              <w:rPr>
                <w:rFonts w:ascii="Cambria" w:hAnsi="Cambria"/>
                <w:b/>
                <w:bCs/>
                <w:sz w:val="22"/>
                <w:szCs w:val="22"/>
                <w:lang w:val="es-CO"/>
              </w:rPr>
              <w:t xml:space="preserve">“LAS PARTES" </w:t>
            </w:r>
            <w:r w:rsidRPr="0009182C">
              <w:rPr>
                <w:rFonts w:ascii="Cambria" w:hAnsi="Cambria"/>
                <w:sz w:val="22"/>
                <w:szCs w:val="22"/>
                <w:lang w:val="es-CO"/>
              </w:rPr>
              <w:t xml:space="preserve">acuerdan que en caso de que </w:t>
            </w:r>
            <w:r w:rsidRPr="0009182C">
              <w:rPr>
                <w:rFonts w:ascii="Cambria" w:hAnsi="Cambria"/>
                <w:b/>
                <w:bCs/>
                <w:sz w:val="22"/>
                <w:szCs w:val="22"/>
                <w:lang w:val="es-CO"/>
              </w:rPr>
              <w:t xml:space="preserve">"LAS VÍCTIMAS" </w:t>
            </w:r>
            <w:r w:rsidRPr="0009182C">
              <w:rPr>
                <w:rFonts w:ascii="Cambria" w:hAnsi="Cambria"/>
                <w:sz w:val="22"/>
                <w:szCs w:val="22"/>
                <w:lang w:val="es-CO"/>
              </w:rPr>
              <w:t xml:space="preserve">decidan cancelar las capacitaciones requeridas en más de dos ocasiones, las obligaciones contenidas en esta Cláusula a cargo del </w:t>
            </w:r>
            <w:r w:rsidRPr="0009182C">
              <w:rPr>
                <w:rFonts w:ascii="Cambria" w:hAnsi="Cambria"/>
                <w:b/>
                <w:bCs/>
                <w:sz w:val="22"/>
                <w:szCs w:val="22"/>
                <w:lang w:val="es-CO"/>
              </w:rPr>
              <w:t xml:space="preserve">"ESTADO MEXICANO" </w:t>
            </w:r>
            <w:r w:rsidRPr="0009182C">
              <w:rPr>
                <w:rFonts w:ascii="Cambria" w:hAnsi="Cambria"/>
                <w:sz w:val="22"/>
                <w:szCs w:val="22"/>
                <w:lang w:val="es-CO"/>
              </w:rPr>
              <w:t xml:space="preserve">se darán por satisfechas. </w:t>
            </w:r>
          </w:p>
          <w:p w14:paraId="6FFA2A70" w14:textId="77777777" w:rsidR="005636C1" w:rsidRPr="0009182C" w:rsidRDefault="005636C1" w:rsidP="00B67A4A">
            <w:pPr>
              <w:pStyle w:val="NormalWeb"/>
              <w:spacing w:before="0" w:beforeAutospacing="0" w:after="0" w:afterAutospacing="0"/>
              <w:jc w:val="both"/>
              <w:rPr>
                <w:rFonts w:ascii="Cambria" w:hAnsi="Cambria"/>
                <w:b/>
                <w:bCs/>
                <w:sz w:val="22"/>
                <w:szCs w:val="22"/>
                <w:lang w:val="es-CO"/>
              </w:rPr>
            </w:pPr>
            <w:r w:rsidRPr="0009182C">
              <w:rPr>
                <w:rFonts w:ascii="Cambria" w:hAnsi="Cambria"/>
                <w:sz w:val="22"/>
                <w:szCs w:val="22"/>
                <w:lang w:val="es-CO"/>
              </w:rPr>
              <w:lastRenderedPageBreak/>
              <w:t xml:space="preserve">Las características de los proyectos productivos para cada una de las familias se encontrarán descritas en el Anexo 3, el cual deberá ser acordado por </w:t>
            </w:r>
            <w:r w:rsidRPr="0009182C">
              <w:rPr>
                <w:rFonts w:ascii="Cambria" w:hAnsi="Cambria"/>
                <w:b/>
                <w:bCs/>
                <w:sz w:val="22"/>
                <w:szCs w:val="22"/>
                <w:lang w:val="es-CO"/>
              </w:rPr>
              <w:t xml:space="preserve">"LAS PARTES" </w:t>
            </w:r>
            <w:r w:rsidRPr="0009182C">
              <w:rPr>
                <w:rFonts w:ascii="Cambria" w:hAnsi="Cambria"/>
                <w:sz w:val="22"/>
                <w:szCs w:val="22"/>
                <w:lang w:val="es-CO"/>
              </w:rPr>
              <w:t xml:space="preserve">a más tardar dentro de los 3 meses siguientes a la celebración del presente </w:t>
            </w:r>
            <w:r w:rsidRPr="0009182C">
              <w:rPr>
                <w:rFonts w:ascii="Cambria" w:hAnsi="Cambria"/>
                <w:b/>
                <w:bCs/>
                <w:sz w:val="22"/>
                <w:szCs w:val="22"/>
                <w:lang w:val="es-CO"/>
              </w:rPr>
              <w:t>"ACUERDO".</w:t>
            </w:r>
          </w:p>
        </w:tc>
        <w:tc>
          <w:tcPr>
            <w:tcW w:w="1701" w:type="dxa"/>
            <w:tcBorders>
              <w:top w:val="single" w:sz="4" w:space="0" w:color="auto"/>
              <w:left w:val="single" w:sz="4" w:space="0" w:color="auto"/>
              <w:bottom w:val="single" w:sz="4" w:space="0" w:color="auto"/>
              <w:right w:val="single" w:sz="4" w:space="0" w:color="auto"/>
            </w:tcBorders>
            <w:vAlign w:val="center"/>
          </w:tcPr>
          <w:p w14:paraId="6B3B0053" w14:textId="77777777" w:rsidR="005636C1" w:rsidRPr="0009182C" w:rsidRDefault="005636C1" w:rsidP="00B67A4A">
            <w:pPr>
              <w:spacing w:after="0" w:line="240" w:lineRule="auto"/>
              <w:jc w:val="center"/>
              <w:rPr>
                <w:rFonts w:ascii="Cambria" w:eastAsia="Batang" w:hAnsi="Cambria"/>
                <w:b/>
                <w:color w:val="000000"/>
                <w:lang w:val="es-CO"/>
              </w:rPr>
            </w:pPr>
            <w:r w:rsidRPr="0009182C">
              <w:rPr>
                <w:rFonts w:ascii="Cambria" w:eastAsia="Batang" w:hAnsi="Cambria"/>
                <w:b/>
                <w:color w:val="080808"/>
                <w:lang w:val="es-CO"/>
              </w:rPr>
              <w:lastRenderedPageBreak/>
              <w:t>Total</w:t>
            </w:r>
            <w:r w:rsidRPr="0009182C">
              <w:rPr>
                <w:rStyle w:val="FootnoteReference"/>
                <w:rFonts w:ascii="Cambria" w:eastAsia="Batang" w:hAnsi="Cambria"/>
                <w:b/>
                <w:color w:val="080808"/>
                <w:lang w:val="es-CO"/>
              </w:rPr>
              <w:footnoteReference w:id="13"/>
            </w:r>
          </w:p>
        </w:tc>
      </w:tr>
    </w:tbl>
    <w:p w14:paraId="7593DB1F" w14:textId="77777777" w:rsidR="005636C1" w:rsidRPr="0009182C" w:rsidRDefault="005636C1" w:rsidP="005636C1">
      <w:pPr>
        <w:spacing w:after="0" w:line="240" w:lineRule="auto"/>
        <w:rPr>
          <w:rFonts w:ascii="Cambria" w:hAnsi="Cambria"/>
          <w:lang w:val="es-CO"/>
        </w:rPr>
      </w:pPr>
    </w:p>
    <w:p w14:paraId="444A191E" w14:textId="77777777" w:rsidR="005636C1" w:rsidRPr="0009182C" w:rsidRDefault="005636C1" w:rsidP="005636C1">
      <w:pPr>
        <w:pStyle w:val="ListParagraph"/>
        <w:keepNext/>
        <w:numPr>
          <w:ilvl w:val="0"/>
          <w:numId w:val="2"/>
        </w:numPr>
        <w:autoSpaceDE w:val="0"/>
        <w:autoSpaceDN w:val="0"/>
        <w:adjustRightInd w:val="0"/>
        <w:spacing w:after="0" w:line="240" w:lineRule="auto"/>
        <w:ind w:left="0" w:firstLine="709"/>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69B25A41" w14:textId="77777777" w:rsidR="005636C1" w:rsidRPr="0009182C" w:rsidRDefault="005636C1" w:rsidP="005636C1">
      <w:pPr>
        <w:spacing w:after="0" w:line="240" w:lineRule="auto"/>
        <w:jc w:val="both"/>
        <w:rPr>
          <w:rFonts w:ascii="Cambria" w:eastAsia="Batang" w:hAnsi="Cambria" w:cs="Calibri Light"/>
          <w:color w:val="080808"/>
          <w:lang w:val="es-CO"/>
        </w:rPr>
      </w:pPr>
    </w:p>
    <w:p w14:paraId="7A3D5EF4" w14:textId="77777777" w:rsidR="005636C1" w:rsidRPr="0009182C" w:rsidRDefault="005636C1" w:rsidP="005636C1">
      <w:pPr>
        <w:numPr>
          <w:ilvl w:val="0"/>
          <w:numId w:val="3"/>
        </w:numPr>
        <w:spacing w:after="0" w:line="240" w:lineRule="auto"/>
        <w:ind w:left="0" w:firstLine="720"/>
        <w:jc w:val="both"/>
        <w:rPr>
          <w:rFonts w:ascii="Cambria" w:hAnsi="Cambria"/>
          <w:color w:val="080808"/>
          <w:lang w:val="es-CO"/>
        </w:rPr>
      </w:pPr>
      <w:r w:rsidRPr="0009182C">
        <w:rPr>
          <w:rFonts w:ascii="Cambria" w:hAnsi="Cambria"/>
          <w:color w:val="080808"/>
          <w:lang w:val="es-CO"/>
        </w:rPr>
        <w:t>La Comisión declaró el cumplimiento total del asunto y el cese del seguimiento del acuerdo de solución amistosa en el Informe Anual de 2021.</w:t>
      </w:r>
    </w:p>
    <w:p w14:paraId="1F70B3B3" w14:textId="77777777" w:rsidR="005636C1" w:rsidRPr="0009182C" w:rsidRDefault="005636C1" w:rsidP="005636C1">
      <w:pPr>
        <w:spacing w:after="0" w:line="240" w:lineRule="auto"/>
        <w:jc w:val="both"/>
        <w:rPr>
          <w:rFonts w:ascii="Cambria" w:eastAsia="Batang" w:hAnsi="Cambria" w:cs="Calibri Light"/>
          <w:b/>
          <w:color w:val="080808"/>
          <w:lang w:val="es-CO"/>
        </w:rPr>
      </w:pPr>
    </w:p>
    <w:p w14:paraId="41AA93A6" w14:textId="77777777" w:rsidR="005636C1" w:rsidRPr="0009182C" w:rsidRDefault="005636C1" w:rsidP="005636C1">
      <w:pPr>
        <w:numPr>
          <w:ilvl w:val="0"/>
          <w:numId w:val="2"/>
        </w:numPr>
        <w:spacing w:after="0" w:line="240" w:lineRule="auto"/>
        <w:ind w:left="144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47EF14EE" w14:textId="77777777" w:rsidR="005636C1" w:rsidRPr="0009182C" w:rsidRDefault="005636C1" w:rsidP="005636C1">
      <w:pPr>
        <w:spacing w:after="0" w:line="240" w:lineRule="auto"/>
        <w:ind w:left="720" w:firstLine="720"/>
        <w:contextualSpacing/>
        <w:jc w:val="both"/>
        <w:rPr>
          <w:rFonts w:ascii="Cambria" w:eastAsia="Batang" w:hAnsi="Cambria" w:cs="Calibri Light"/>
          <w:b/>
          <w:color w:val="080808"/>
          <w:lang w:val="es-CO"/>
        </w:rPr>
      </w:pPr>
    </w:p>
    <w:p w14:paraId="3A02CF32" w14:textId="77777777" w:rsidR="005636C1" w:rsidRPr="0009182C" w:rsidRDefault="005636C1" w:rsidP="005636C1">
      <w:pPr>
        <w:numPr>
          <w:ilvl w:val="1"/>
          <w:numId w:val="2"/>
        </w:numPr>
        <w:spacing w:after="0" w:line="240" w:lineRule="auto"/>
        <w:ind w:left="1440" w:hanging="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18D377C0" w14:textId="77777777" w:rsidR="005636C1" w:rsidRPr="0009182C" w:rsidRDefault="005636C1" w:rsidP="005636C1">
      <w:pPr>
        <w:spacing w:after="0" w:line="240" w:lineRule="auto"/>
        <w:ind w:left="1440" w:hanging="720"/>
        <w:contextualSpacing/>
        <w:jc w:val="both"/>
        <w:rPr>
          <w:rFonts w:ascii="Cambria" w:eastAsia="Batang" w:hAnsi="Cambria" w:cs="Calibri Light"/>
          <w:b/>
          <w:color w:val="080808"/>
          <w:lang w:val="es-CO"/>
        </w:rPr>
      </w:pPr>
    </w:p>
    <w:p w14:paraId="03A5B847"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realizó el acto de reconocimiento de responsabilidad internacional.</w:t>
      </w:r>
    </w:p>
    <w:p w14:paraId="079B1FC3"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implementó diversas acciones relacionadas con el acceso y atención integral de la salud de las victimas mediante la inscripción al seguro popular, la implementación de una ruta de salud y un plan de atención integral de salud.</w:t>
      </w:r>
    </w:p>
    <w:p w14:paraId="651E3682"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otorgó becas de estudio para las víctimas.</w:t>
      </w:r>
    </w:p>
    <w:p w14:paraId="531DFBAE"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otorgó la compensación económica a las víctimas reconocidas, según lo acordado.</w:t>
      </w:r>
    </w:p>
    <w:p w14:paraId="404D35FA"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Estado entregó a las víctimas copia íntegra digitalizada del expediente penal militar. </w:t>
      </w:r>
    </w:p>
    <w:p w14:paraId="6D1C83A5"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desembolsó los montos acordados en equidad para dos beneficiarios del acuerdo en un total de veinticinco mil ochocientos cuarenta y seis pesos mexicanos ($25,846.08 P.M.), así como el pago de los costos de tramitación de los pasaportes, por un total de tres mil seiscientos noventa pesos mexicanos ($3,690 P.M.).</w:t>
      </w:r>
    </w:p>
    <w:p w14:paraId="79F34A3F"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Estado entregó pasaportes a dos beneficiarios del acuerdo. </w:t>
      </w:r>
    </w:p>
    <w:p w14:paraId="05745617"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Estado entregó información sobre los programas en el extranjero para trabajadores agrícolas mexicanos. </w:t>
      </w:r>
    </w:p>
    <w:p w14:paraId="5B1765EE"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develó una placa en la clínica de El Aguaje "Ángel Díaz Cruz", en memoria de la víctima.</w:t>
      </w:r>
    </w:p>
    <w:p w14:paraId="2BAE306E" w14:textId="77777777" w:rsidR="005636C1" w:rsidRPr="0009182C" w:rsidRDefault="005636C1" w:rsidP="005636C1">
      <w:pPr>
        <w:numPr>
          <w:ilvl w:val="0"/>
          <w:numId w:val="1"/>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Estado entregó proyectos productivos en favor de las víctimas consistentes en tres paquetes productivos de ovinos (5 vientres, 1 semental, 1 aprisco, malla borreguera de 50 metros de largo, alimento reproductor para cuatro meses); semillas de maíz mejorados, fertilizantes y 2010 plantas de zarzamora para traspatio. </w:t>
      </w:r>
    </w:p>
    <w:p w14:paraId="5484C50D" w14:textId="77777777" w:rsidR="005636C1" w:rsidRPr="0009182C" w:rsidRDefault="005636C1" w:rsidP="005636C1">
      <w:pPr>
        <w:tabs>
          <w:tab w:val="left" w:pos="0"/>
        </w:tabs>
        <w:spacing w:after="0" w:line="240" w:lineRule="auto"/>
        <w:ind w:left="720"/>
        <w:contextualSpacing/>
        <w:jc w:val="both"/>
        <w:rPr>
          <w:rFonts w:ascii="Cambria" w:hAnsi="Cambria"/>
          <w:color w:val="080808"/>
          <w:lang w:val="es-CO"/>
        </w:rPr>
        <w:sectPr w:rsidR="005636C1" w:rsidRPr="0009182C" w:rsidSect="00412204">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04885C71" w14:textId="77777777" w:rsidR="005636C1" w:rsidRPr="0009182C" w:rsidRDefault="005636C1" w:rsidP="005636C1">
      <w:pPr>
        <w:tabs>
          <w:tab w:val="left" w:pos="0"/>
        </w:tabs>
        <w:spacing w:after="0" w:line="240" w:lineRule="auto"/>
        <w:ind w:left="720"/>
        <w:contextualSpacing/>
        <w:jc w:val="both"/>
        <w:rPr>
          <w:rFonts w:ascii="Cambria" w:hAnsi="Cambria"/>
          <w:color w:val="080808"/>
          <w:lang w:val="es-CO"/>
        </w:rPr>
      </w:pPr>
    </w:p>
    <w:p w14:paraId="7E4F10EC" w14:textId="77777777" w:rsidR="005636C1" w:rsidRPr="0009182C" w:rsidRDefault="005636C1" w:rsidP="005636C1">
      <w:pPr>
        <w:numPr>
          <w:ilvl w:val="1"/>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estructurales del caso</w:t>
      </w:r>
    </w:p>
    <w:p w14:paraId="3A491E94" w14:textId="77777777" w:rsidR="005636C1" w:rsidRPr="0009182C" w:rsidRDefault="005636C1" w:rsidP="005636C1">
      <w:pPr>
        <w:tabs>
          <w:tab w:val="left" w:pos="0"/>
        </w:tabs>
        <w:spacing w:after="0" w:line="240" w:lineRule="auto"/>
        <w:ind w:firstLine="709"/>
        <w:contextualSpacing/>
        <w:jc w:val="both"/>
        <w:rPr>
          <w:rFonts w:ascii="Cambria" w:eastAsia="Batang" w:hAnsi="Cambria" w:cs="Calibri Light"/>
          <w:color w:val="080808"/>
          <w:lang w:val="es-CO"/>
        </w:rPr>
      </w:pPr>
    </w:p>
    <w:p w14:paraId="2226DC86" w14:textId="77777777" w:rsidR="005636C1" w:rsidRPr="0009182C" w:rsidRDefault="005636C1" w:rsidP="005636C1">
      <w:pPr>
        <w:numPr>
          <w:ilvl w:val="0"/>
          <w:numId w:val="5"/>
        </w:numPr>
        <w:spacing w:after="0" w:line="240" w:lineRule="auto"/>
        <w:ind w:left="1440" w:right="72" w:hanging="731"/>
        <w:jc w:val="both"/>
        <w:rPr>
          <w:rFonts w:ascii="Cambria" w:eastAsia="MS Mincho" w:hAnsi="Cambria"/>
          <w:color w:val="000000"/>
          <w:lang w:val="es-CO"/>
        </w:rPr>
      </w:pPr>
      <w:r w:rsidRPr="0009182C">
        <w:rPr>
          <w:rFonts w:ascii="Cambria" w:eastAsia="Batang" w:hAnsi="Cambria"/>
          <w:color w:val="000000"/>
          <w:lang w:val="es-CO"/>
        </w:rPr>
        <w:t xml:space="preserve">El Estado realizó planes de capacitación al gremio militar, </w:t>
      </w:r>
      <w:r w:rsidRPr="0009182C">
        <w:rPr>
          <w:rFonts w:ascii="Cambria" w:hAnsi="Cambria"/>
          <w:lang w:val="es-CO"/>
        </w:rPr>
        <w:t xml:space="preserve">dentro del alcance </w:t>
      </w:r>
      <w:r w:rsidRPr="0009182C">
        <w:rPr>
          <w:rFonts w:ascii="Cambria" w:eastAsia="MS Mincho" w:hAnsi="Cambria"/>
          <w:color w:val="000000"/>
          <w:lang w:val="es-CO"/>
        </w:rPr>
        <w:t>de las Fuerzas Armadas.</w:t>
      </w:r>
    </w:p>
    <w:p w14:paraId="3E60816E" w14:textId="2FAD66E1" w:rsidR="00730587" w:rsidRPr="005636C1" w:rsidRDefault="005636C1" w:rsidP="005636C1">
      <w:pPr>
        <w:numPr>
          <w:ilvl w:val="0"/>
          <w:numId w:val="5"/>
        </w:numPr>
        <w:spacing w:after="0" w:line="240" w:lineRule="auto"/>
        <w:ind w:left="1440" w:right="72" w:hanging="731"/>
        <w:jc w:val="both"/>
        <w:rPr>
          <w:lang w:val="es-CO"/>
        </w:rPr>
      </w:pPr>
      <w:r w:rsidRPr="005636C1">
        <w:rPr>
          <w:rFonts w:ascii="Cambria" w:eastAsia="MS Mincho" w:hAnsi="Cambria"/>
          <w:color w:val="000000"/>
          <w:lang w:val="es-CO"/>
        </w:rPr>
        <w:t xml:space="preserve">El Estado construyó </w:t>
      </w:r>
      <w:r w:rsidRPr="005636C1">
        <w:rPr>
          <w:rFonts w:ascii="Cambria" w:hAnsi="Cambria"/>
          <w:lang w:val="es-CO"/>
        </w:rPr>
        <w:t>la clínica de la comunidad de El Aguaje, municipio de San Cristóbal de las Casas, Chiapas, "Ángel Díaz Cruz", en memoria del niño que perdió la vida.</w:t>
      </w:r>
    </w:p>
    <w:sectPr w:rsidR="00730587" w:rsidRPr="00563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07CE" w14:textId="77777777" w:rsidR="005636C1" w:rsidRDefault="005636C1" w:rsidP="005636C1">
      <w:pPr>
        <w:spacing w:after="0" w:line="240" w:lineRule="auto"/>
      </w:pPr>
      <w:r>
        <w:separator/>
      </w:r>
    </w:p>
  </w:endnote>
  <w:endnote w:type="continuationSeparator" w:id="0">
    <w:p w14:paraId="536EE9BD" w14:textId="77777777" w:rsidR="005636C1" w:rsidRDefault="005636C1" w:rsidP="0056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6008" w14:textId="77777777" w:rsidR="005636C1" w:rsidRDefault="0043664C" w:rsidP="005636C1">
    <w:pPr>
      <w:pStyle w:val="Footer"/>
      <w:spacing w:line="360" w:lineRule="auto"/>
      <w:jc w:val="right"/>
    </w:pPr>
    <w:bookmarkStart w:id="20" w:name="_Hlk129090884"/>
    <w:bookmarkStart w:id="21" w:name="_Hlk129090885"/>
    <w:bookmarkStart w:id="22" w:name="_Hlk129091044"/>
    <w:bookmarkStart w:id="23" w:name="_Hlk129091045"/>
    <w:bookmarkStart w:id="24" w:name="_Hlk129091049"/>
    <w:bookmarkStart w:id="25" w:name="_Hlk129091050"/>
    <w:bookmarkStart w:id="26" w:name="_Hlk129091188"/>
    <w:bookmarkStart w:id="27" w:name="_Hlk129091189"/>
    <w:bookmarkStart w:id="28" w:name="_Hlk129091982"/>
    <w:bookmarkStart w:id="29" w:name="_Hlk129091983"/>
    <w:r>
      <w:pict w14:anchorId="16285FF0">
        <v:rect id="_x0000_i1027" style="width:0;height:1.5pt" o:hralign="center" o:hrstd="t" o:hr="t" fillcolor="#a0a0a0" stroked="f"/>
      </w:pict>
    </w:r>
  </w:p>
  <w:p w14:paraId="2F3BF9A2" w14:textId="7EEF696E" w:rsidR="005636C1" w:rsidRDefault="005636C1" w:rsidP="005636C1">
    <w:pPr>
      <w:pStyle w:val="Footer"/>
      <w:jc w:val="center"/>
    </w:pPr>
    <w:r w:rsidRPr="008A5CB5">
      <w:rPr>
        <w:noProof/>
      </w:rPr>
      <w:drawing>
        <wp:inline distT="0" distB="0" distL="0" distR="0" wp14:anchorId="25F53036" wp14:editId="411287C5">
          <wp:extent cx="5117465" cy="324485"/>
          <wp:effectExtent l="0" t="0" r="698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20"/>
    <w:bookmarkEnd w:id="21"/>
    <w:bookmarkEnd w:id="22"/>
    <w:bookmarkEnd w:id="23"/>
    <w:bookmarkEnd w:id="24"/>
    <w:bookmarkEnd w:id="25"/>
    <w:bookmarkEnd w:id="26"/>
    <w:bookmarkEnd w:id="27"/>
    <w:bookmarkEnd w:id="28"/>
    <w:bookmarkEnd w:id="29"/>
  </w:p>
  <w:p w14:paraId="2DEE8D32" w14:textId="77777777" w:rsidR="005636C1" w:rsidRDefault="00563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1387" w14:textId="77777777" w:rsidR="005636C1" w:rsidRDefault="005636C1" w:rsidP="005636C1">
      <w:pPr>
        <w:spacing w:after="0" w:line="240" w:lineRule="auto"/>
      </w:pPr>
      <w:r>
        <w:separator/>
      </w:r>
    </w:p>
  </w:footnote>
  <w:footnote w:type="continuationSeparator" w:id="0">
    <w:p w14:paraId="6AA83C60" w14:textId="77777777" w:rsidR="005636C1" w:rsidRDefault="005636C1" w:rsidP="005636C1">
      <w:pPr>
        <w:spacing w:after="0" w:line="240" w:lineRule="auto"/>
      </w:pPr>
      <w:r>
        <w:continuationSeparator/>
      </w:r>
    </w:p>
  </w:footnote>
  <w:footnote w:id="1">
    <w:p w14:paraId="7ABF3B80" w14:textId="77777777" w:rsidR="005636C1" w:rsidRPr="00254A60" w:rsidRDefault="005636C1" w:rsidP="005636C1">
      <w:pPr>
        <w:pStyle w:val="FootnoteText"/>
        <w:spacing w:after="0" w:line="240" w:lineRule="auto"/>
        <w:ind w:firstLine="709"/>
        <w:jc w:val="both"/>
        <w:rPr>
          <w:rFonts w:ascii="Cambria" w:hAnsi="Cambria"/>
          <w:color w:val="000000" w:themeColor="text1"/>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Ver CIDH, Informe Anual 2021, Capiítulo II, Sección F: </w:t>
      </w:r>
      <w:r w:rsidRPr="00254A60">
        <w:rPr>
          <w:rFonts w:ascii="Cambria" w:hAnsi="Cambria"/>
          <w:color w:val="000000" w:themeColor="text1"/>
          <w:sz w:val="16"/>
          <w:szCs w:val="16"/>
          <w:lang w:val="es-CO"/>
        </w:rPr>
        <w:t xml:space="preserve">Avances y retrocesos en materia de negociación e implementación de acuerdos de solución amistosa, Disponible en: </w:t>
      </w:r>
      <w:hyperlink r:id="rId1" w:history="1">
        <w:r w:rsidRPr="00254A60">
          <w:rPr>
            <w:rStyle w:val="Hyperlink"/>
            <w:rFonts w:ascii="Cambria" w:hAnsi="Cambria"/>
            <w:color w:val="000000" w:themeColor="text1"/>
            <w:sz w:val="16"/>
            <w:szCs w:val="16"/>
            <w:lang w:val="es-CO"/>
          </w:rPr>
          <w:t>https://www.oas.org/es/cidh/docs/anual/2021/capitulos/IA2021cap2-es.pdf</w:t>
        </w:r>
      </w:hyperlink>
    </w:p>
  </w:footnote>
  <w:footnote w:id="2">
    <w:p w14:paraId="155A8966" w14:textId="77777777" w:rsidR="005636C1" w:rsidRPr="00254A60" w:rsidRDefault="005636C1" w:rsidP="005636C1">
      <w:pPr>
        <w:pStyle w:val="NoSpacing"/>
        <w:ind w:firstLine="709"/>
        <w:jc w:val="both"/>
        <w:rPr>
          <w:rFonts w:ascii="Cambria" w:hAnsi="Cambria"/>
          <w:sz w:val="16"/>
          <w:szCs w:val="16"/>
          <w:lang w:val="es-MX"/>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2" w:history="1">
        <w:r w:rsidRPr="00254A60">
          <w:rPr>
            <w:rStyle w:val="Hyperlink"/>
            <w:rFonts w:ascii="Cambria" w:hAnsi="Cambria"/>
            <w:color w:val="000000" w:themeColor="text1"/>
            <w:sz w:val="16"/>
            <w:szCs w:val="16"/>
            <w:lang w:val="es-CO"/>
          </w:rPr>
          <w:t>http://www.oas.org/es/cidh/decisiones/2020/mxsa12915es.pdf</w:t>
        </w:r>
      </w:hyperlink>
      <w:r w:rsidRPr="00254A60">
        <w:rPr>
          <w:rFonts w:ascii="Cambria" w:hAnsi="Cambria"/>
          <w:color w:val="000000" w:themeColor="text1"/>
          <w:sz w:val="16"/>
          <w:szCs w:val="16"/>
          <w:lang w:val="es-CO"/>
        </w:rPr>
        <w:t xml:space="preserve"> </w:t>
      </w:r>
    </w:p>
  </w:footnote>
  <w:footnote w:id="3">
    <w:p w14:paraId="4D55D71C" w14:textId="77777777" w:rsidR="005636C1" w:rsidRPr="00254A60" w:rsidRDefault="005636C1" w:rsidP="005636C1">
      <w:pPr>
        <w:pStyle w:val="NoSpacing"/>
        <w:ind w:firstLine="709"/>
        <w:contextualSpacing/>
        <w:jc w:val="both"/>
        <w:rPr>
          <w:rFonts w:ascii="Cambria" w:hAnsi="Cambria"/>
          <w:color w:val="000000" w:themeColor="text1"/>
          <w:sz w:val="16"/>
          <w:szCs w:val="16"/>
          <w:lang w:val="es-MX"/>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3" w:history="1">
        <w:r w:rsidRPr="00254A60">
          <w:rPr>
            <w:rStyle w:val="Hyperlink"/>
            <w:rFonts w:ascii="Cambria" w:hAnsi="Cambria"/>
            <w:color w:val="000000" w:themeColor="text1"/>
            <w:sz w:val="16"/>
            <w:szCs w:val="16"/>
            <w:lang w:val="es-CO"/>
          </w:rPr>
          <w:t>http://www.oas.org/es/cidh/decisiones/2020/mxsa12915es.pdf</w:t>
        </w:r>
      </w:hyperlink>
      <w:r w:rsidRPr="00254A60">
        <w:rPr>
          <w:rFonts w:ascii="Cambria" w:hAnsi="Cambria"/>
          <w:color w:val="000000" w:themeColor="text1"/>
          <w:sz w:val="16"/>
          <w:szCs w:val="16"/>
          <w:lang w:val="es-CO"/>
        </w:rPr>
        <w:t xml:space="preserve"> </w:t>
      </w:r>
    </w:p>
  </w:footnote>
  <w:footnote w:id="4">
    <w:p w14:paraId="712A2AD4" w14:textId="77777777" w:rsidR="005636C1" w:rsidRPr="00254A60" w:rsidRDefault="005636C1" w:rsidP="005636C1">
      <w:pPr>
        <w:pStyle w:val="FootnoteText"/>
        <w:spacing w:after="0" w:line="240" w:lineRule="auto"/>
        <w:ind w:firstLine="709"/>
        <w:contextualSpacing/>
        <w:jc w:val="both"/>
        <w:rPr>
          <w:rFonts w:ascii="Cambria" w:hAnsi="Cambria"/>
          <w:color w:val="000000" w:themeColor="text1"/>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4" w:history="1">
        <w:r w:rsidRPr="00254A60">
          <w:rPr>
            <w:rStyle w:val="Hyperlink"/>
            <w:rFonts w:ascii="Cambria" w:hAnsi="Cambria"/>
            <w:color w:val="000000" w:themeColor="text1"/>
            <w:sz w:val="16"/>
            <w:szCs w:val="16"/>
            <w:lang w:val="es-CO"/>
          </w:rPr>
          <w:t>http://www.oas.org/es/cidh/decisiones/2020/mxsa12915es.pdf</w:t>
        </w:r>
      </w:hyperlink>
    </w:p>
  </w:footnote>
  <w:footnote w:id="5">
    <w:p w14:paraId="79BA092A" w14:textId="77777777" w:rsidR="005636C1" w:rsidRPr="00254A60" w:rsidRDefault="005636C1" w:rsidP="005636C1">
      <w:pPr>
        <w:pStyle w:val="FootnoteText"/>
        <w:spacing w:after="0" w:line="240" w:lineRule="auto"/>
        <w:ind w:firstLine="709"/>
        <w:contextualSpacing/>
        <w:jc w:val="both"/>
        <w:rPr>
          <w:rFonts w:ascii="Cambria" w:hAnsi="Cambria"/>
          <w:sz w:val="16"/>
          <w:szCs w:val="16"/>
          <w:highlight w:val="yellow"/>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5" w:history="1">
        <w:r w:rsidRPr="00254A60">
          <w:rPr>
            <w:rStyle w:val="Hyperlink"/>
            <w:rFonts w:ascii="Cambria" w:hAnsi="Cambria"/>
            <w:color w:val="000000" w:themeColor="text1"/>
            <w:sz w:val="16"/>
            <w:szCs w:val="16"/>
            <w:lang w:val="es-CO"/>
          </w:rPr>
          <w:t>http://www.oas.org/es/cidh/decisiones/2020/mxsa12915es.pdf</w:t>
        </w:r>
      </w:hyperlink>
    </w:p>
  </w:footnote>
  <w:footnote w:id="6">
    <w:p w14:paraId="70FE7DBA" w14:textId="77777777" w:rsidR="005636C1" w:rsidRPr="00254A60" w:rsidRDefault="005636C1" w:rsidP="005636C1">
      <w:pPr>
        <w:pStyle w:val="FootnoteText"/>
        <w:spacing w:after="0" w:line="240" w:lineRule="auto"/>
        <w:ind w:firstLine="709"/>
        <w:contextualSpacing/>
        <w:jc w:val="both"/>
        <w:rPr>
          <w:rFonts w:ascii="Cambria" w:hAnsi="Cambria"/>
          <w:color w:val="000000" w:themeColor="text1"/>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CO"/>
        </w:rPr>
        <w:t xml:space="preserve"> </w:t>
      </w:r>
      <w:r w:rsidRPr="00254A60">
        <w:rPr>
          <w:rFonts w:ascii="Cambria" w:hAnsi="Cambria"/>
          <w:color w:val="000000" w:themeColor="text1"/>
          <w:sz w:val="16"/>
          <w:szCs w:val="16"/>
          <w:lang w:val="es-ES"/>
        </w:rPr>
        <w:t xml:space="preserve">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6" w:history="1">
        <w:r w:rsidRPr="00254A60">
          <w:rPr>
            <w:rStyle w:val="Hyperlink"/>
            <w:rFonts w:ascii="Cambria" w:hAnsi="Cambria"/>
            <w:color w:val="000000" w:themeColor="text1"/>
            <w:sz w:val="16"/>
            <w:szCs w:val="16"/>
            <w:lang w:val="es-CO"/>
          </w:rPr>
          <w:t>https://www.oas.org/es/cidh/docs/anual/2021/capitulos/IA2021cap2-es.pdf</w:t>
        </w:r>
      </w:hyperlink>
    </w:p>
  </w:footnote>
  <w:footnote w:id="7">
    <w:p w14:paraId="6E2A30F1" w14:textId="77777777" w:rsidR="005636C1" w:rsidRPr="00254A60" w:rsidRDefault="005636C1" w:rsidP="005636C1">
      <w:pPr>
        <w:pStyle w:val="FootnoteText"/>
        <w:spacing w:after="0" w:line="240" w:lineRule="auto"/>
        <w:ind w:firstLine="720"/>
        <w:jc w:val="both"/>
        <w:rPr>
          <w:rFonts w:ascii="Cambria" w:hAnsi="Cambria"/>
          <w:color w:val="000000" w:themeColor="text1"/>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7" w:history="1">
        <w:r w:rsidRPr="00254A60">
          <w:rPr>
            <w:rStyle w:val="Hyperlink"/>
            <w:rFonts w:ascii="Cambria" w:hAnsi="Cambria"/>
            <w:color w:val="000000" w:themeColor="text1"/>
            <w:sz w:val="16"/>
            <w:szCs w:val="16"/>
            <w:lang w:val="es-CO"/>
          </w:rPr>
          <w:t>http://www.oas.org/es/cidh/decisiones/2020/mxsa12915es.pdf</w:t>
        </w:r>
      </w:hyperlink>
    </w:p>
  </w:footnote>
  <w:footnote w:id="8">
    <w:p w14:paraId="63A48ECD" w14:textId="77777777" w:rsidR="005636C1" w:rsidRPr="00254A60" w:rsidRDefault="005636C1" w:rsidP="005636C1">
      <w:pPr>
        <w:pStyle w:val="FootnoteText"/>
        <w:spacing w:after="0" w:line="240" w:lineRule="auto"/>
        <w:ind w:firstLine="720"/>
        <w:jc w:val="both"/>
        <w:rPr>
          <w:rFonts w:ascii="Cambria" w:hAnsi="Cambria"/>
          <w:color w:val="000000" w:themeColor="text1"/>
          <w:sz w:val="16"/>
          <w:szCs w:val="16"/>
          <w:highlight w:val="yellow"/>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8" w:history="1">
        <w:r w:rsidRPr="00254A60">
          <w:rPr>
            <w:rStyle w:val="Hyperlink"/>
            <w:rFonts w:ascii="Cambria" w:hAnsi="Cambria"/>
            <w:color w:val="000000" w:themeColor="text1"/>
            <w:sz w:val="16"/>
            <w:szCs w:val="16"/>
            <w:lang w:val="es-CO"/>
          </w:rPr>
          <w:t>http://www.oas.org/es/cidh/decisiones/2020/mxsa12915es.pdf</w:t>
        </w:r>
      </w:hyperlink>
    </w:p>
  </w:footnote>
  <w:footnote w:id="9">
    <w:p w14:paraId="3B07350D" w14:textId="77777777" w:rsidR="005636C1" w:rsidRPr="00254A60" w:rsidRDefault="005636C1" w:rsidP="005636C1">
      <w:pPr>
        <w:pStyle w:val="FootnoteText"/>
        <w:spacing w:after="0" w:line="240" w:lineRule="auto"/>
        <w:ind w:firstLine="720"/>
        <w:jc w:val="both"/>
        <w:rPr>
          <w:rFonts w:ascii="Cambria" w:hAnsi="Cambria"/>
          <w:color w:val="000000" w:themeColor="text1"/>
          <w:sz w:val="16"/>
          <w:szCs w:val="16"/>
          <w:highlight w:val="yellow"/>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CO"/>
        </w:rPr>
        <w:t xml:space="preserve"> </w:t>
      </w:r>
      <w:r w:rsidRPr="00254A60">
        <w:rPr>
          <w:rFonts w:ascii="Cambria" w:hAnsi="Cambria"/>
          <w:color w:val="000000" w:themeColor="text1"/>
          <w:sz w:val="16"/>
          <w:szCs w:val="16"/>
          <w:lang w:val="es-ES"/>
        </w:rPr>
        <w:t xml:space="preserve">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9" w:history="1">
        <w:r w:rsidRPr="00254A60">
          <w:rPr>
            <w:rStyle w:val="Hyperlink"/>
            <w:rFonts w:ascii="Cambria" w:hAnsi="Cambria"/>
            <w:color w:val="000000" w:themeColor="text1"/>
            <w:sz w:val="16"/>
            <w:szCs w:val="16"/>
            <w:lang w:val="es-CO"/>
          </w:rPr>
          <w:t>https://www.oas.org/es/cidh/docs/anual/2021/capitulos/IA2021cap2-es.pdf</w:t>
        </w:r>
      </w:hyperlink>
    </w:p>
  </w:footnote>
  <w:footnote w:id="10">
    <w:p w14:paraId="1E8B00C0" w14:textId="77777777" w:rsidR="005636C1" w:rsidRPr="00254A60" w:rsidRDefault="005636C1" w:rsidP="005636C1">
      <w:pPr>
        <w:pStyle w:val="FootnoteText"/>
        <w:spacing w:after="0" w:line="240" w:lineRule="auto"/>
        <w:ind w:firstLine="720"/>
        <w:jc w:val="both"/>
        <w:rPr>
          <w:rFonts w:ascii="Cambria" w:hAnsi="Cambria"/>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10" w:history="1">
        <w:r w:rsidRPr="00254A60">
          <w:rPr>
            <w:rStyle w:val="Hyperlink"/>
            <w:rFonts w:ascii="Cambria" w:hAnsi="Cambria"/>
            <w:color w:val="000000" w:themeColor="text1"/>
            <w:sz w:val="16"/>
            <w:szCs w:val="16"/>
            <w:lang w:val="es-CO"/>
          </w:rPr>
          <w:t>http://www.oas.org/es/cidh/decisiones/2020/mxsa12915es.pdf</w:t>
        </w:r>
      </w:hyperlink>
    </w:p>
  </w:footnote>
  <w:footnote w:id="11">
    <w:p w14:paraId="55A89519" w14:textId="77777777" w:rsidR="005636C1" w:rsidRPr="00254A60" w:rsidRDefault="005636C1" w:rsidP="005636C1">
      <w:pPr>
        <w:pStyle w:val="FootnoteText"/>
        <w:spacing w:after="0" w:line="240" w:lineRule="auto"/>
        <w:ind w:firstLine="720"/>
        <w:jc w:val="both"/>
        <w:rPr>
          <w:rFonts w:ascii="Cambria" w:hAnsi="Cambria"/>
          <w:color w:val="000000" w:themeColor="text1"/>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11" w:history="1">
        <w:r w:rsidRPr="00254A60">
          <w:rPr>
            <w:rStyle w:val="Hyperlink"/>
            <w:rFonts w:ascii="Cambria" w:hAnsi="Cambria"/>
            <w:color w:val="000000" w:themeColor="text1"/>
            <w:sz w:val="16"/>
            <w:szCs w:val="16"/>
            <w:lang w:val="es-CO"/>
          </w:rPr>
          <w:t>http://www.oas.org/es/cidh/decisiones/2020/mxsa12915es.pdf</w:t>
        </w:r>
      </w:hyperlink>
    </w:p>
  </w:footnote>
  <w:footnote w:id="12">
    <w:p w14:paraId="3F6CC7A2" w14:textId="77777777" w:rsidR="005636C1" w:rsidRPr="00254A60" w:rsidRDefault="005636C1" w:rsidP="005636C1">
      <w:pPr>
        <w:pStyle w:val="FootnoteText"/>
        <w:spacing w:after="0" w:line="240" w:lineRule="auto"/>
        <w:ind w:firstLine="709"/>
        <w:jc w:val="both"/>
        <w:rPr>
          <w:rFonts w:ascii="Cambria" w:hAnsi="Cambria"/>
          <w:color w:val="000000" w:themeColor="text1"/>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CO"/>
        </w:rPr>
        <w:t xml:space="preserve">CIDH, Informe No. 2/20, Caso 12.915. Solución Amistosa. Ángel Díaz Cruz y otros. México. 24 de febrero de 2020. </w:t>
      </w:r>
      <w:hyperlink r:id="rId12" w:history="1">
        <w:r w:rsidRPr="00254A60">
          <w:rPr>
            <w:rStyle w:val="Hyperlink"/>
            <w:rFonts w:ascii="Cambria" w:hAnsi="Cambria"/>
            <w:color w:val="000000" w:themeColor="text1"/>
            <w:sz w:val="16"/>
            <w:szCs w:val="16"/>
            <w:lang w:val="es-CO"/>
          </w:rPr>
          <w:t>http://www.oas.org/es/cidh/decisiones/2020/mxsa12915es.pdf</w:t>
        </w:r>
      </w:hyperlink>
    </w:p>
  </w:footnote>
  <w:footnote w:id="13">
    <w:p w14:paraId="4B336CBD" w14:textId="77777777" w:rsidR="005636C1" w:rsidRPr="00254A60" w:rsidRDefault="005636C1" w:rsidP="005636C1">
      <w:pPr>
        <w:pStyle w:val="FootnoteText"/>
        <w:spacing w:after="0" w:line="240" w:lineRule="auto"/>
        <w:ind w:firstLine="709"/>
        <w:jc w:val="both"/>
        <w:rPr>
          <w:rFonts w:ascii="Cambria" w:hAnsi="Cambria"/>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CO"/>
        </w:rPr>
        <w:t xml:space="preserve"> </w:t>
      </w:r>
      <w:r w:rsidRPr="00254A60">
        <w:rPr>
          <w:rFonts w:ascii="Cambria" w:hAnsi="Cambria"/>
          <w:color w:val="000000" w:themeColor="text1"/>
          <w:sz w:val="16"/>
          <w:szCs w:val="16"/>
          <w:lang w:val="es-ES"/>
        </w:rPr>
        <w:t xml:space="preserve">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13" w:history="1">
        <w:r w:rsidRPr="00254A60">
          <w:rPr>
            <w:rStyle w:val="Hyperlink"/>
            <w:rFonts w:ascii="Cambria" w:hAnsi="Cambria"/>
            <w:color w:val="000000" w:themeColor="text1"/>
            <w:sz w:val="16"/>
            <w:szCs w:val="16"/>
            <w:lang w:val="es-CO"/>
          </w:rPr>
          <w:t>https://www.oas.org/es/cidh/docs/anual/2021/capitulos/IA2021cap2-es.pdf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DE43" w14:textId="61869BE3" w:rsidR="005636C1" w:rsidRPr="0058688A" w:rsidRDefault="005636C1" w:rsidP="005636C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r>
      <w:rPr>
        <w:noProof/>
        <w:lang w:val="es-ES_tradnl"/>
      </w:rPr>
      <w:drawing>
        <wp:inline distT="0" distB="0" distL="0" distR="0" wp14:anchorId="2E614AB5" wp14:editId="61930DD5">
          <wp:extent cx="22860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3E05A022" w14:textId="77777777" w:rsidR="005636C1" w:rsidRDefault="0043664C" w:rsidP="005636C1">
    <w:pPr>
      <w:pStyle w:val="Header"/>
    </w:pPr>
    <w:r>
      <w:pict w14:anchorId="657BCEA1">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p>
  <w:p w14:paraId="03ED6F17" w14:textId="77777777" w:rsidR="005636C1" w:rsidRDefault="00563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532F" w14:textId="6825BAD5" w:rsidR="005636C1" w:rsidRDefault="005636C1" w:rsidP="005636C1">
    <w:pPr>
      <w:pStyle w:val="Header"/>
    </w:pPr>
    <w:bookmarkStart w:id="12" w:name="_Hlk129090378"/>
    <w:bookmarkStart w:id="13" w:name="_Hlk129090379"/>
    <w:bookmarkStart w:id="14" w:name="_Hlk129090860"/>
    <w:bookmarkStart w:id="15" w:name="_Hlk129090861"/>
    <w:bookmarkStart w:id="16" w:name="_Hlk129091020"/>
    <w:bookmarkStart w:id="17" w:name="_Hlk129091021"/>
    <w:bookmarkStart w:id="18" w:name="_Hlk129091166"/>
    <w:bookmarkStart w:id="19" w:name="_Hlk129091167"/>
    <w:r w:rsidRPr="008A5CB5">
      <w:rPr>
        <w:noProof/>
      </w:rPr>
      <w:drawing>
        <wp:inline distT="0" distB="0" distL="0" distR="0" wp14:anchorId="6A219970" wp14:editId="3F329320">
          <wp:extent cx="2352675" cy="457200"/>
          <wp:effectExtent l="0" t="0" r="9525"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361BF8B9" wp14:editId="2DBA88FA">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306CB41A" w14:textId="77777777" w:rsidR="005636C1" w:rsidRDefault="0043664C" w:rsidP="005636C1">
    <w:pPr>
      <w:pStyle w:val="Header"/>
    </w:pPr>
    <w:r>
      <w:pict w14:anchorId="24DC80FE">
        <v:rect id="_x0000_i1026" style="width:0;height:1.5pt" o:hralign="center" o:hrstd="t" o:hr="t" fillcolor="#a0a0a0" stroked="f"/>
      </w:pict>
    </w:r>
    <w:bookmarkEnd w:id="12"/>
    <w:bookmarkEnd w:id="13"/>
    <w:bookmarkEnd w:id="14"/>
    <w:bookmarkEnd w:id="15"/>
    <w:bookmarkEnd w:id="16"/>
    <w:bookmarkEnd w:id="17"/>
    <w:bookmarkEnd w:id="18"/>
    <w:bookmarkEnd w:id="19"/>
  </w:p>
  <w:p w14:paraId="25202442" w14:textId="77777777" w:rsidR="005636C1" w:rsidRDefault="0056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29003790">
    <w:abstractNumId w:val="1"/>
  </w:num>
  <w:num w:numId="2" w16cid:durableId="1475413359">
    <w:abstractNumId w:val="3"/>
  </w:num>
  <w:num w:numId="3" w16cid:durableId="801001691">
    <w:abstractNumId w:val="2"/>
  </w:num>
  <w:num w:numId="4" w16cid:durableId="847913178">
    <w:abstractNumId w:val="0"/>
  </w:num>
  <w:num w:numId="5" w16cid:durableId="1935358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C1"/>
    <w:rsid w:val="0043664C"/>
    <w:rsid w:val="005636C1"/>
    <w:rsid w:val="0073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FC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3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6C1"/>
    <w:rPr>
      <w:rFonts w:ascii="Calibri" w:eastAsia="Calibri" w:hAnsi="Calibri" w:cs="Times New Roman"/>
    </w:rPr>
  </w:style>
  <w:style w:type="paragraph" w:styleId="NoSpacing">
    <w:name w:val="No Spacing"/>
    <w:link w:val="NoSpacingChar"/>
    <w:uiPriority w:val="1"/>
    <w:qFormat/>
    <w:rsid w:val="005636C1"/>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636C1"/>
    <w:rPr>
      <w:rFonts w:ascii="Calibri" w:eastAsia="MS Mincho" w:hAnsi="Calibri" w:cs="Arial"/>
      <w:lang w:eastAsia="ja-JP"/>
    </w:rPr>
  </w:style>
  <w:style w:type="paragraph" w:styleId="NormalWeb">
    <w:name w:val="Normal (Web)"/>
    <w:basedOn w:val="Normal"/>
    <w:uiPriority w:val="99"/>
    <w:unhideWhenUsed/>
    <w:rsid w:val="005636C1"/>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5636C1"/>
    <w:rPr>
      <w:vertAlign w:val="superscript"/>
    </w:rPr>
  </w:style>
  <w:style w:type="paragraph" w:customStyle="1" w:styleId="Appelnotedebasde">
    <w:name w:val="Appel note de bas de..."/>
    <w:basedOn w:val="Normal"/>
    <w:link w:val="FootnoteReference"/>
    <w:uiPriority w:val="99"/>
    <w:rsid w:val="005636C1"/>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5636C1"/>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636C1"/>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5636C1"/>
    <w:rPr>
      <w:rFonts w:ascii="Calibri" w:eastAsia="Calibri" w:hAnsi="Calibri" w:cs="Times New Roman"/>
      <w:sz w:val="20"/>
      <w:szCs w:val="20"/>
    </w:rPr>
  </w:style>
  <w:style w:type="paragraph" w:styleId="ListParagraph">
    <w:name w:val="List Paragraph"/>
    <w:basedOn w:val="Normal"/>
    <w:link w:val="ListParagraphChar"/>
    <w:uiPriority w:val="34"/>
    <w:qFormat/>
    <w:rsid w:val="005636C1"/>
    <w:pPr>
      <w:ind w:left="720"/>
      <w:contextualSpacing/>
    </w:pPr>
  </w:style>
  <w:style w:type="character" w:customStyle="1" w:styleId="ListParagraphChar">
    <w:name w:val="List Paragraph Char"/>
    <w:link w:val="ListParagraph"/>
    <w:uiPriority w:val="34"/>
    <w:rsid w:val="005636C1"/>
    <w:rPr>
      <w:rFonts w:ascii="Calibri" w:eastAsia="Calibri" w:hAnsi="Calibri" w:cs="Times New Roman"/>
    </w:rPr>
  </w:style>
  <w:style w:type="paragraph" w:styleId="Header">
    <w:name w:val="header"/>
    <w:basedOn w:val="Normal"/>
    <w:link w:val="HeaderChar"/>
    <w:uiPriority w:val="99"/>
    <w:unhideWhenUsed/>
    <w:rsid w:val="00563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6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2013/MXAD1266-06ES.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as.org/es/cidh/decisiones/2020/mxsa12915e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es/cidh/decisiones/2020/mxsa12915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20/mxsa12915es.pdf" TargetMode="External"/><Relationship Id="rId13" Type="http://schemas.openxmlformats.org/officeDocument/2006/relationships/hyperlink" Target="https://www.oas.org/es/cidh/docs/anual/2021/capitulos/IA2021cap2-es.pdf" TargetMode="External"/><Relationship Id="rId3" Type="http://schemas.openxmlformats.org/officeDocument/2006/relationships/hyperlink" Target="http://www.oas.org/es/cidh/decisiones/2020/mxsa12915es.pdf" TargetMode="External"/><Relationship Id="rId7" Type="http://schemas.openxmlformats.org/officeDocument/2006/relationships/hyperlink" Target="http://www.oas.org/es/cidh/decisiones/2020/mxsa12915es.pdf" TargetMode="External"/><Relationship Id="rId12" Type="http://schemas.openxmlformats.org/officeDocument/2006/relationships/hyperlink" Target="http://www.oas.org/es/cidh/decisiones/2020/mxsa12915es.pdf" TargetMode="External"/><Relationship Id="rId2" Type="http://schemas.openxmlformats.org/officeDocument/2006/relationships/hyperlink" Target="http://www.oas.org/es/cidh/decisiones/2020/mxsa12915es.pdf" TargetMode="External"/><Relationship Id="rId1" Type="http://schemas.openxmlformats.org/officeDocument/2006/relationships/hyperlink" Target="https://www.oas.org/es/cidh/docs/anual/2021/capitulos/IA2021cap2-es.pdf" TargetMode="External"/><Relationship Id="rId6" Type="http://schemas.openxmlformats.org/officeDocument/2006/relationships/hyperlink" Target="https://www.oas.org/es/cidh/docs/anual/2021/capitulos/IA2021cap2-es.pdf" TargetMode="External"/><Relationship Id="rId11" Type="http://schemas.openxmlformats.org/officeDocument/2006/relationships/hyperlink" Target="http://www.oas.org/es/cidh/decisiones/2020/mxsa12915es.pdf" TargetMode="External"/><Relationship Id="rId5" Type="http://schemas.openxmlformats.org/officeDocument/2006/relationships/hyperlink" Target="http://www.oas.org/es/cidh/decisiones/2020/mxsa12915es.pdf" TargetMode="External"/><Relationship Id="rId10" Type="http://schemas.openxmlformats.org/officeDocument/2006/relationships/hyperlink" Target="http://www.oas.org/es/cidh/decisiones/2020/mxsa12915es.pdf" TargetMode="External"/><Relationship Id="rId4" Type="http://schemas.openxmlformats.org/officeDocument/2006/relationships/hyperlink" Target="http://www.oas.org/es/cidh/decisiones/2020/mxsa12915es.pdf" TargetMode="External"/><Relationship Id="rId9" Type="http://schemas.openxmlformats.org/officeDocument/2006/relationships/hyperlink" Target="https://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Words>
  <Characters>13718</Characters>
  <Application>Microsoft Office Word</Application>
  <DocSecurity>0</DocSecurity>
  <Lines>114</Lines>
  <Paragraphs>32</Paragraphs>
  <ScaleCrop>false</ScaleCrop>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2023-03-07T20:32:00Z</dcterms:created>
  <dcterms:modified xsi:type="dcterms:W3CDTF">2023-03-07T20:32:00Z</dcterms:modified>
</cp:coreProperties>
</file>