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9E2F" w14:textId="2381E93C" w:rsidR="003B3362" w:rsidRPr="00BF7310" w:rsidRDefault="003B3362" w:rsidP="003B3362">
      <w:pPr>
        <w:spacing w:after="0" w:line="240" w:lineRule="auto"/>
        <w:ind w:right="4"/>
        <w:jc w:val="center"/>
        <w:rPr>
          <w:rFonts w:ascii="Cambria" w:hAnsi="Cambria"/>
          <w:color w:val="000000" w:themeColor="text1"/>
          <w:lang w:val="pt-BR"/>
        </w:rPr>
      </w:pPr>
      <w:r w:rsidRPr="00BF7310">
        <w:rPr>
          <w:rFonts w:ascii="Cambria" w:hAnsi="Cambria"/>
          <w:b/>
          <w:color w:val="000000" w:themeColor="text1"/>
          <w:lang w:val="pt-BR"/>
        </w:rPr>
        <w:t>FICHA TÉCNICA INFORMATIVA</w:t>
      </w:r>
    </w:p>
    <w:p w14:paraId="260E5D46" w14:textId="546088E1" w:rsidR="003B3362" w:rsidRPr="00BF7310" w:rsidRDefault="003B3362" w:rsidP="003B3362">
      <w:pPr>
        <w:spacing w:after="0" w:line="240" w:lineRule="auto"/>
        <w:ind w:right="4"/>
        <w:jc w:val="center"/>
        <w:rPr>
          <w:rFonts w:ascii="Cambria" w:eastAsia="Batang" w:hAnsi="Cambria"/>
          <w:b/>
          <w:color w:val="000000" w:themeColor="text1"/>
          <w:lang w:val="pt-BR" w:eastAsia="es-ES_tradnl"/>
        </w:rPr>
      </w:pPr>
      <w:r w:rsidRPr="00BF7310">
        <w:rPr>
          <w:rFonts w:ascii="Cambria" w:eastAsia="Batang" w:hAnsi="Cambria"/>
          <w:b/>
          <w:color w:val="000000" w:themeColor="text1"/>
          <w:lang w:val="pt-BR" w:eastAsia="es-ES_tradnl"/>
        </w:rPr>
        <w:t>CASO 12.374 JORGE ENRIQUE PATIÑO PALACIOS</w:t>
      </w:r>
    </w:p>
    <w:p w14:paraId="101D0500" w14:textId="6F24D1B1" w:rsidR="003B3362" w:rsidRPr="0009182C" w:rsidRDefault="003B3362" w:rsidP="003B3362">
      <w:pPr>
        <w:spacing w:after="0" w:line="240" w:lineRule="auto"/>
        <w:ind w:right="4"/>
        <w:jc w:val="center"/>
        <w:rPr>
          <w:rFonts w:ascii="Cambria" w:eastAsia="Batang" w:hAnsi="Cambria"/>
          <w:b/>
          <w:color w:val="000000" w:themeColor="text1"/>
          <w:lang w:val="es-CO" w:eastAsia="es-ES_tradnl"/>
        </w:rPr>
      </w:pPr>
      <w:r w:rsidRPr="0009182C">
        <w:rPr>
          <w:rFonts w:ascii="Cambria" w:eastAsia="Batang" w:hAnsi="Cambria"/>
          <w:b/>
          <w:color w:val="000000" w:themeColor="text1"/>
          <w:lang w:val="es-CO"/>
        </w:rPr>
        <w:t>INFORME DE SOLUCIÓN AMISTOSA No.</w:t>
      </w:r>
      <w:r w:rsidR="00A56234" w:rsidRPr="0009182C">
        <w:rPr>
          <w:rFonts w:ascii="Cambria" w:eastAsia="Batang" w:hAnsi="Cambria"/>
          <w:b/>
          <w:color w:val="000000" w:themeColor="text1"/>
          <w:lang w:val="es-CO"/>
        </w:rPr>
        <w:t xml:space="preserve"> </w:t>
      </w:r>
      <w:hyperlink r:id="rId11" w:history="1">
        <w:r w:rsidRPr="0009182C">
          <w:rPr>
            <w:rStyle w:val="Hyperlink"/>
            <w:rFonts w:ascii="Cambria" w:eastAsia="Batang" w:hAnsi="Cambria"/>
            <w:b/>
            <w:bCs/>
            <w:color w:val="000000" w:themeColor="text1"/>
            <w:u w:val="none"/>
            <w:lang w:val="es-CO"/>
          </w:rPr>
          <w:t>85/20</w:t>
        </w:r>
      </w:hyperlink>
    </w:p>
    <w:p w14:paraId="445577D0" w14:textId="77777777" w:rsidR="003B3362" w:rsidRPr="0009182C" w:rsidRDefault="003B3362" w:rsidP="003B3362">
      <w:pPr>
        <w:spacing w:after="0" w:line="240" w:lineRule="auto"/>
        <w:ind w:right="4"/>
        <w:jc w:val="center"/>
        <w:rPr>
          <w:rFonts w:ascii="Cambria" w:eastAsia="Batang" w:hAnsi="Cambria"/>
          <w:b/>
          <w:color w:val="000000" w:themeColor="text1"/>
          <w:lang w:val="es-CO"/>
        </w:rPr>
      </w:pPr>
      <w:r w:rsidRPr="0009182C">
        <w:rPr>
          <w:rFonts w:ascii="Cambria" w:eastAsia="Batang" w:hAnsi="Cambria"/>
          <w:b/>
          <w:color w:val="000000" w:themeColor="text1"/>
          <w:lang w:val="es-CO"/>
        </w:rPr>
        <w:t>CUMPLIMIENTO TOTAL</w:t>
      </w:r>
    </w:p>
    <w:p w14:paraId="1DE243DA" w14:textId="77777777" w:rsidR="003B3362" w:rsidRPr="0009182C" w:rsidRDefault="003B3362" w:rsidP="003B3362">
      <w:pPr>
        <w:spacing w:after="0" w:line="240" w:lineRule="auto"/>
        <w:ind w:right="4"/>
        <w:jc w:val="center"/>
        <w:rPr>
          <w:rFonts w:ascii="Cambria" w:eastAsia="Batang" w:hAnsi="Cambria"/>
          <w:b/>
          <w:color w:val="000000" w:themeColor="text1"/>
          <w:lang w:val="es-CO"/>
        </w:rPr>
      </w:pPr>
      <w:r w:rsidRPr="0009182C">
        <w:rPr>
          <w:rFonts w:ascii="Cambria" w:eastAsia="Batang" w:hAnsi="Cambria"/>
          <w:b/>
          <w:color w:val="000000" w:themeColor="text1"/>
          <w:lang w:val="es-CO"/>
        </w:rPr>
        <w:t>(PARAGUAY)</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1873B5" w14:paraId="78B6CDC5" w14:textId="77777777" w:rsidTr="00F024F0">
        <w:trPr>
          <w:trHeight w:val="4517"/>
        </w:trPr>
        <w:tc>
          <w:tcPr>
            <w:tcW w:w="9377" w:type="dxa"/>
            <w:shd w:val="clear" w:color="auto" w:fill="F2F2F2"/>
          </w:tcPr>
          <w:p w14:paraId="273B06C3" w14:textId="166FFA2E" w:rsidR="003B3362" w:rsidRPr="00BF7310" w:rsidRDefault="003B3362" w:rsidP="00F024F0">
            <w:pPr>
              <w:spacing w:after="0" w:line="240" w:lineRule="auto"/>
              <w:jc w:val="both"/>
              <w:rPr>
                <w:rFonts w:ascii="Cambria" w:eastAsia="Batang" w:hAnsi="Cambria"/>
                <w:b/>
                <w:color w:val="080808"/>
                <w:lang w:val="pt-BR"/>
              </w:rPr>
            </w:pPr>
            <w:r w:rsidRPr="00BF7310">
              <w:rPr>
                <w:rFonts w:ascii="Cambria" w:eastAsia="Batang" w:hAnsi="Cambria"/>
                <w:b/>
                <w:color w:val="080808"/>
                <w:lang w:val="pt-BR"/>
              </w:rPr>
              <w:t xml:space="preserve">Víctima (s): </w:t>
            </w:r>
            <w:r w:rsidRPr="00BF7310">
              <w:rPr>
                <w:rFonts w:ascii="Cambria" w:eastAsia="Batang" w:hAnsi="Cambria"/>
                <w:bCs/>
                <w:color w:val="080808"/>
                <w:lang w:val="pt-BR"/>
              </w:rPr>
              <w:t xml:space="preserve">Jorge Enrique </w:t>
            </w:r>
            <w:r w:rsidR="00D56F83" w:rsidRPr="00BF7310">
              <w:rPr>
                <w:rFonts w:ascii="Cambria" w:eastAsia="Batang" w:hAnsi="Cambria"/>
                <w:bCs/>
                <w:color w:val="080808"/>
                <w:lang w:val="pt-BR"/>
              </w:rPr>
              <w:t xml:space="preserve">Patiño </w:t>
            </w:r>
            <w:r w:rsidRPr="00BF7310">
              <w:rPr>
                <w:rFonts w:ascii="Cambria" w:eastAsia="Batang" w:hAnsi="Cambria"/>
                <w:bCs/>
                <w:color w:val="080808"/>
                <w:lang w:val="pt-BR"/>
              </w:rPr>
              <w:t xml:space="preserve">Palacios </w:t>
            </w:r>
          </w:p>
          <w:p w14:paraId="1E7F3E0F" w14:textId="60DD7367" w:rsidR="003B3362" w:rsidRPr="0009182C" w:rsidRDefault="003B3362" w:rsidP="00F024F0">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Peticionario (s): </w:t>
            </w:r>
            <w:r w:rsidRPr="0009182C">
              <w:rPr>
                <w:rFonts w:ascii="Cambria" w:eastAsia="Batang" w:hAnsi="Cambria"/>
                <w:bCs/>
                <w:color w:val="080808"/>
                <w:lang w:val="es-CO"/>
              </w:rPr>
              <w:t xml:space="preserve">Cesar Patino Mignone y Alba Palacios de </w:t>
            </w:r>
            <w:r w:rsidR="00D56F83" w:rsidRPr="0009182C">
              <w:rPr>
                <w:rFonts w:ascii="Cambria" w:eastAsia="Batang" w:hAnsi="Cambria"/>
                <w:bCs/>
                <w:color w:val="080808"/>
                <w:lang w:val="es-CO"/>
              </w:rPr>
              <w:t>Patiño</w:t>
            </w:r>
          </w:p>
          <w:p w14:paraId="127C896A" w14:textId="77777777" w:rsidR="003B3362" w:rsidRPr="0009182C" w:rsidRDefault="003B3362" w:rsidP="00F024F0">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Estado:</w:t>
            </w:r>
            <w:r w:rsidRPr="0009182C">
              <w:rPr>
                <w:rFonts w:ascii="Cambria" w:eastAsia="Batang" w:hAnsi="Cambria"/>
                <w:bCs/>
                <w:color w:val="080808"/>
                <w:lang w:val="es-CO"/>
              </w:rPr>
              <w:t xml:space="preserve"> Paraguay</w:t>
            </w:r>
          </w:p>
          <w:p w14:paraId="4EB05151" w14:textId="77777777" w:rsidR="003B3362" w:rsidRPr="0009182C" w:rsidRDefault="003B3362" w:rsidP="00F024F0">
            <w:pPr>
              <w:spacing w:after="0" w:line="240" w:lineRule="auto"/>
              <w:jc w:val="both"/>
              <w:rPr>
                <w:rFonts w:ascii="Cambria" w:eastAsia="Batang" w:hAnsi="Cambria"/>
                <w:b/>
                <w:color w:val="080808"/>
                <w:lang w:val="es-CO"/>
              </w:rPr>
            </w:pPr>
            <w:r w:rsidRPr="0009182C">
              <w:rPr>
                <w:rFonts w:ascii="Cambria" w:eastAsia="Batang" w:hAnsi="Cambria"/>
                <w:b/>
                <w:bCs/>
                <w:color w:val="080808"/>
                <w:lang w:val="es-CO"/>
              </w:rPr>
              <w:t xml:space="preserve">Fecha de inicio de las negociaciones: </w:t>
            </w:r>
            <w:r w:rsidRPr="0009182C">
              <w:rPr>
                <w:rFonts w:ascii="Cambria" w:eastAsia="Batang" w:hAnsi="Cambria"/>
                <w:bCs/>
                <w:color w:val="080808"/>
                <w:lang w:val="es-CO"/>
              </w:rPr>
              <w:t>N/A</w:t>
            </w:r>
          </w:p>
          <w:p w14:paraId="5D2C77E6" w14:textId="7F116810" w:rsidR="003B3362" w:rsidRPr="0009182C" w:rsidRDefault="003B3362" w:rsidP="00F024F0">
            <w:pPr>
              <w:spacing w:after="0" w:line="240" w:lineRule="auto"/>
              <w:jc w:val="both"/>
              <w:rPr>
                <w:rFonts w:ascii="Cambria" w:eastAsia="Batang" w:hAnsi="Cambria"/>
                <w:bCs/>
                <w:color w:val="080808"/>
                <w:lang w:val="es-CO"/>
              </w:rPr>
            </w:pPr>
            <w:r w:rsidRPr="0009182C">
              <w:rPr>
                <w:rFonts w:ascii="Cambria" w:eastAsia="Batang" w:hAnsi="Cambria"/>
                <w:b/>
                <w:bCs/>
                <w:color w:val="080808"/>
                <w:lang w:val="es-CO"/>
              </w:rPr>
              <w:t xml:space="preserve">Fecha de Firma de ASA: </w:t>
            </w:r>
            <w:r w:rsidRPr="0009182C">
              <w:rPr>
                <w:rFonts w:ascii="Cambria" w:eastAsia="Batang" w:hAnsi="Cambria"/>
                <w:bCs/>
                <w:color w:val="080808"/>
                <w:lang w:val="es-CO"/>
              </w:rPr>
              <w:t>30 de enero de 2012</w:t>
            </w:r>
          </w:p>
          <w:p w14:paraId="59D22998" w14:textId="1FB16F2A" w:rsidR="00F8544E" w:rsidRPr="0009182C" w:rsidRDefault="00F8544E" w:rsidP="00F024F0">
            <w:pPr>
              <w:spacing w:after="0" w:line="240" w:lineRule="auto"/>
              <w:jc w:val="both"/>
              <w:rPr>
                <w:rFonts w:ascii="Cambria" w:eastAsia="Batang" w:hAnsi="Cambria"/>
                <w:b/>
                <w:color w:val="080808"/>
                <w:lang w:val="es-CO"/>
              </w:rPr>
            </w:pPr>
            <w:r w:rsidRPr="0009182C">
              <w:rPr>
                <w:rFonts w:ascii="Cambria" w:eastAsia="Batang" w:hAnsi="Cambria"/>
                <w:b/>
                <w:bCs/>
                <w:color w:val="080808"/>
                <w:lang w:val="es-CO"/>
              </w:rPr>
              <w:t>Informe de Admisibilidad</w:t>
            </w:r>
            <w:r w:rsidRPr="0009182C">
              <w:rPr>
                <w:rFonts w:ascii="Cambria" w:eastAsia="Batang" w:hAnsi="Cambria"/>
                <w:color w:val="080808"/>
                <w:lang w:val="es-CO"/>
              </w:rPr>
              <w:t xml:space="preserve"> </w:t>
            </w:r>
            <w:r w:rsidRPr="0009182C">
              <w:rPr>
                <w:rFonts w:ascii="Cambria" w:eastAsia="Batang" w:hAnsi="Cambria"/>
                <w:b/>
                <w:color w:val="080808"/>
                <w:lang w:val="es-CO"/>
              </w:rPr>
              <w:t>N</w:t>
            </w:r>
            <w:r w:rsidRPr="0009182C">
              <w:rPr>
                <w:rFonts w:ascii="Cambria" w:eastAsia="Batang" w:hAnsi="Cambria"/>
                <w:b/>
                <w:lang w:val="es-CO"/>
              </w:rPr>
              <w:t>º:</w:t>
            </w:r>
            <w:r w:rsidR="00CB0CA0" w:rsidRPr="0009182C">
              <w:rPr>
                <w:rFonts w:ascii="Cambria" w:eastAsia="Batang" w:hAnsi="Cambria"/>
                <w:b/>
                <w:lang w:val="es-CO"/>
              </w:rPr>
              <w:t xml:space="preserve"> </w:t>
            </w:r>
            <w:hyperlink r:id="rId12" w:history="1">
              <w:r w:rsidR="00DC20F2" w:rsidRPr="0009182C">
                <w:rPr>
                  <w:rStyle w:val="Hyperlink"/>
                  <w:rFonts w:ascii="Cambria" w:hAnsi="Cambria"/>
                  <w:b/>
                  <w:bCs/>
                  <w:color w:val="auto"/>
                  <w:lang w:val="es-CO"/>
                </w:rPr>
                <w:t>8/10</w:t>
              </w:r>
            </w:hyperlink>
          </w:p>
          <w:p w14:paraId="0E00ACD7" w14:textId="77777777" w:rsidR="003B3362" w:rsidRPr="0009182C" w:rsidRDefault="003B3362" w:rsidP="00F024F0">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Informe de Acuerdo de Solución Amistosa Nº</w:t>
            </w:r>
            <w:r w:rsidRPr="0009182C">
              <w:rPr>
                <w:rFonts w:ascii="Cambria" w:eastAsia="Batang" w:hAnsi="Cambria"/>
                <w:b/>
                <w:color w:val="000000" w:themeColor="text1"/>
                <w:lang w:val="es-CO"/>
              </w:rPr>
              <w:t>:</w:t>
            </w:r>
            <w:r w:rsidRPr="0009182C">
              <w:rPr>
                <w:rFonts w:ascii="Cambria" w:eastAsia="Batang" w:hAnsi="Cambria"/>
                <w:b/>
                <w:color w:val="000000" w:themeColor="text1"/>
                <w:u w:val="single"/>
                <w:lang w:val="es-CO"/>
              </w:rPr>
              <w:t xml:space="preserve"> </w:t>
            </w:r>
            <w:hyperlink r:id="rId13" w:history="1">
              <w:r w:rsidRPr="0009182C">
                <w:rPr>
                  <w:rStyle w:val="Hyperlink"/>
                  <w:rFonts w:ascii="Cambria" w:eastAsia="Batang" w:hAnsi="Cambria"/>
                  <w:b/>
                  <w:color w:val="auto"/>
                  <w:lang w:val="es-CO"/>
                </w:rPr>
                <w:t>85/20</w:t>
              </w:r>
            </w:hyperlink>
            <w:r w:rsidRPr="0009182C">
              <w:rPr>
                <w:rFonts w:ascii="Cambria" w:eastAsia="Batang" w:hAnsi="Cambria"/>
                <w:bCs/>
                <w:u w:val="single"/>
                <w:lang w:val="es-CO"/>
              </w:rPr>
              <w:t xml:space="preserve"> </w:t>
            </w:r>
            <w:r w:rsidRPr="0009182C">
              <w:rPr>
                <w:rFonts w:ascii="Cambria" w:eastAsia="Batang" w:hAnsi="Cambria"/>
                <w:bCs/>
                <w:lang w:val="es-CO"/>
              </w:rPr>
              <w:t xml:space="preserve">publicado </w:t>
            </w:r>
            <w:r w:rsidRPr="0009182C">
              <w:rPr>
                <w:rFonts w:ascii="Cambria" w:eastAsia="Batang" w:hAnsi="Cambria"/>
                <w:bCs/>
                <w:color w:val="080808"/>
                <w:lang w:val="es-CO"/>
              </w:rPr>
              <w:t>el 1 de junio de 2020</w:t>
            </w:r>
          </w:p>
          <w:p w14:paraId="4AF3785D" w14:textId="77777777" w:rsidR="003B3362" w:rsidRPr="0009182C" w:rsidRDefault="003B3362" w:rsidP="00F024F0">
            <w:pPr>
              <w:spacing w:after="0" w:line="240" w:lineRule="auto"/>
              <w:jc w:val="both"/>
              <w:rPr>
                <w:rFonts w:ascii="Cambria" w:eastAsia="Batang" w:hAnsi="Cambria"/>
                <w:b/>
                <w:bCs/>
                <w:color w:val="080808"/>
                <w:lang w:val="es-CO"/>
              </w:rPr>
            </w:pPr>
            <w:r w:rsidRPr="0009182C">
              <w:rPr>
                <w:rFonts w:ascii="Cambria" w:eastAsia="Batang" w:hAnsi="Cambria"/>
                <w:b/>
                <w:bCs/>
                <w:color w:val="080808"/>
                <w:lang w:val="es-CO"/>
              </w:rPr>
              <w:t xml:space="preserve">Duración estimada de la fase de negociación: </w:t>
            </w:r>
            <w:r w:rsidRPr="0009182C">
              <w:rPr>
                <w:rFonts w:ascii="Cambria" w:eastAsia="Batang" w:hAnsi="Cambria"/>
                <w:bCs/>
                <w:color w:val="080808"/>
                <w:lang w:val="es-CO"/>
              </w:rPr>
              <w:t>8 años y 6 meses</w:t>
            </w:r>
          </w:p>
          <w:p w14:paraId="795D73D4" w14:textId="77777777" w:rsidR="003B3362" w:rsidRPr="0009182C" w:rsidRDefault="003B3362" w:rsidP="00F024F0">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Relatoría vinculada:</w:t>
            </w:r>
            <w:r w:rsidRPr="0009182C">
              <w:rPr>
                <w:rFonts w:ascii="Cambria" w:eastAsia="Batang" w:hAnsi="Cambria"/>
                <w:b/>
                <w:bCs/>
                <w:color w:val="080808"/>
                <w:lang w:val="es-CO"/>
              </w:rPr>
              <w:t xml:space="preserve"> </w:t>
            </w:r>
            <w:r w:rsidRPr="0009182C">
              <w:rPr>
                <w:rFonts w:ascii="Cambria" w:eastAsia="Batang" w:hAnsi="Cambria"/>
                <w:color w:val="080808"/>
                <w:lang w:val="es-CO"/>
              </w:rPr>
              <w:t>N/A</w:t>
            </w:r>
          </w:p>
          <w:p w14:paraId="11318960" w14:textId="77777777" w:rsidR="003B3362" w:rsidRPr="0009182C" w:rsidRDefault="003B3362" w:rsidP="00F024F0">
            <w:pPr>
              <w:spacing w:after="0" w:line="240" w:lineRule="auto"/>
              <w:jc w:val="both"/>
              <w:rPr>
                <w:rFonts w:ascii="Cambria" w:eastAsia="Batang" w:hAnsi="Cambria"/>
                <w:b/>
                <w:bCs/>
                <w:color w:val="080808"/>
                <w:lang w:val="es-CO"/>
              </w:rPr>
            </w:pPr>
            <w:r w:rsidRPr="0009182C">
              <w:rPr>
                <w:rFonts w:ascii="Cambria" w:eastAsia="Batang" w:hAnsi="Cambria"/>
                <w:b/>
                <w:color w:val="080808"/>
                <w:lang w:val="es-CO"/>
              </w:rPr>
              <w:t xml:space="preserve">Temas: </w:t>
            </w:r>
            <w:r w:rsidRPr="0009182C">
              <w:rPr>
                <w:rFonts w:ascii="Cambria" w:eastAsia="Batang" w:hAnsi="Cambria"/>
                <w:bCs/>
                <w:color w:val="080808"/>
                <w:lang w:val="es-CO"/>
              </w:rPr>
              <w:t>Garantías Judiciales/ Investigación y Debida Diligencia/ Protección Judicial</w:t>
            </w:r>
          </w:p>
          <w:p w14:paraId="346FD702" w14:textId="77777777" w:rsidR="003B3362" w:rsidRPr="0009182C" w:rsidRDefault="003B3362" w:rsidP="00F024F0">
            <w:pPr>
              <w:spacing w:after="0" w:line="240" w:lineRule="auto"/>
              <w:jc w:val="both"/>
              <w:rPr>
                <w:rFonts w:ascii="Cambria" w:eastAsia="Batang" w:hAnsi="Cambria"/>
                <w:b/>
                <w:bCs/>
                <w:color w:val="080808"/>
                <w:lang w:val="es-CO"/>
              </w:rPr>
            </w:pPr>
          </w:p>
          <w:p w14:paraId="419824DE" w14:textId="77777777" w:rsidR="003B3362" w:rsidRPr="0009182C" w:rsidRDefault="003B3362" w:rsidP="00F024F0">
            <w:pPr>
              <w:spacing w:after="0" w:line="240" w:lineRule="auto"/>
              <w:jc w:val="both"/>
              <w:rPr>
                <w:rFonts w:ascii="Cambria" w:eastAsia="Batang" w:hAnsi="Cambria"/>
                <w:bCs/>
                <w:color w:val="080808"/>
                <w:lang w:val="es-CO"/>
              </w:rPr>
            </w:pPr>
            <w:r w:rsidRPr="0009182C">
              <w:rPr>
                <w:rFonts w:ascii="Cambria" w:eastAsia="Batang" w:hAnsi="Cambria"/>
                <w:b/>
                <w:color w:val="080808"/>
                <w:lang w:val="es-CO"/>
              </w:rPr>
              <w:t xml:space="preserve">Hechos: </w:t>
            </w:r>
            <w:r w:rsidRPr="0009182C">
              <w:rPr>
                <w:rFonts w:ascii="Cambria" w:eastAsia="Batang" w:hAnsi="Cambria"/>
                <w:bCs/>
                <w:color w:val="080808"/>
                <w:lang w:val="es-CO"/>
              </w:rPr>
              <w:t>El 26 de febrero de 2001, la Comisión Interamericana de Derechos Humanos recibió una petición presentada por César Patiño Mignone y Alba Palacios de Patiño, en la cual se alegaba la responsabilidad internacional de la República de Paraguay, por la violación de los derechos humanos contemplados en los artículos 8 (garantías judiciales), y 25 (protección judicial), en relación con el artículo 1 (obligación de respetar) de la Convención Americana sobre Derechos Humanos, (en adelante “Convención” o “Convención Americana”), en perjuicio de su hijo, Jorge Enrique Patiño Palacios, de entonces 20 años de edad, quien falleció por un disparo de arma de fuego presuntamente por parte de civiles, y la subsecuente falta de investigación y sanción de los responsables derivada de las irregularidades en la investigación de los hechos por parte de personal policial como de autoridades judiciales.</w:t>
            </w:r>
          </w:p>
          <w:p w14:paraId="04CB3AE2" w14:textId="77777777" w:rsidR="003B3362" w:rsidRPr="0009182C" w:rsidRDefault="003B3362" w:rsidP="00F024F0">
            <w:pPr>
              <w:spacing w:after="0" w:line="240" w:lineRule="auto"/>
              <w:jc w:val="both"/>
              <w:rPr>
                <w:rFonts w:ascii="Cambria" w:eastAsia="Batang" w:hAnsi="Cambria"/>
                <w:b/>
                <w:color w:val="080808"/>
                <w:lang w:val="es-CO"/>
              </w:rPr>
            </w:pPr>
          </w:p>
          <w:p w14:paraId="039EA89A" w14:textId="77777777" w:rsidR="003B3362" w:rsidRPr="0009182C" w:rsidRDefault="003B3362" w:rsidP="00F024F0">
            <w:pPr>
              <w:autoSpaceDE w:val="0"/>
              <w:autoSpaceDN w:val="0"/>
              <w:adjustRightInd w:val="0"/>
              <w:spacing w:after="0" w:line="240" w:lineRule="auto"/>
              <w:jc w:val="both"/>
              <w:rPr>
                <w:rFonts w:ascii="Cambria" w:eastAsia="Batang" w:hAnsi="Cambria" w:cs="Cambria"/>
                <w:color w:val="080808"/>
                <w:lang w:val="es-CO" w:eastAsia="pt-BR"/>
              </w:rPr>
            </w:pPr>
            <w:r w:rsidRPr="0009182C">
              <w:rPr>
                <w:rFonts w:ascii="Cambria" w:eastAsia="Batang" w:hAnsi="Cambria"/>
                <w:b/>
                <w:color w:val="080808"/>
                <w:lang w:val="es-CO"/>
              </w:rPr>
              <w:t xml:space="preserve">Derechos declarados admisibles/ Derechos alegados: </w:t>
            </w:r>
            <w:r w:rsidRPr="0009182C">
              <w:rPr>
                <w:rFonts w:ascii="Cambria" w:eastAsia="Batang" w:hAnsi="Cambria"/>
                <w:bCs/>
                <w:color w:val="080808"/>
                <w:lang w:val="es-CO"/>
              </w:rPr>
              <w:t>La CIDH decidió declarar la admisibilidad de la petición por la presunta violación de los artículos 8 (garantías judiciales) y 25 (garantías de protección judicial) contenidos en la Convención Americana.</w:t>
            </w:r>
          </w:p>
        </w:tc>
      </w:tr>
    </w:tbl>
    <w:p w14:paraId="1800F6C1" w14:textId="77777777" w:rsidR="003B3362" w:rsidRPr="0009182C" w:rsidRDefault="003B3362" w:rsidP="003B3362">
      <w:pPr>
        <w:spacing w:after="0" w:line="240" w:lineRule="auto"/>
        <w:contextualSpacing/>
        <w:jc w:val="both"/>
        <w:rPr>
          <w:rFonts w:ascii="Cambria" w:eastAsia="Batang" w:hAnsi="Cambria" w:cs="Calibri Light"/>
          <w:b/>
          <w:color w:val="080808"/>
          <w:lang w:val="es-CO"/>
        </w:rPr>
      </w:pPr>
    </w:p>
    <w:p w14:paraId="78070B13" w14:textId="77777777" w:rsidR="003B3362" w:rsidRPr="0009182C"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4140C440" w14:textId="77777777" w:rsidR="003B3362" w:rsidRPr="0009182C" w:rsidRDefault="003B3362" w:rsidP="003B3362">
      <w:pPr>
        <w:spacing w:after="0" w:line="240" w:lineRule="auto"/>
        <w:jc w:val="both"/>
        <w:rPr>
          <w:rFonts w:ascii="Cambria" w:hAnsi="Cambria"/>
          <w:color w:val="080808"/>
          <w:lang w:val="es-CO"/>
        </w:rPr>
      </w:pPr>
    </w:p>
    <w:p w14:paraId="6CB597E6" w14:textId="77777777" w:rsidR="003B3362" w:rsidRPr="0009182C" w:rsidRDefault="003B3362" w:rsidP="003B3362">
      <w:pPr>
        <w:numPr>
          <w:ilvl w:val="0"/>
          <w:numId w:val="38"/>
        </w:numPr>
        <w:spacing w:after="0" w:line="240" w:lineRule="auto"/>
        <w:ind w:left="0" w:firstLine="709"/>
        <w:jc w:val="both"/>
        <w:rPr>
          <w:rFonts w:ascii="Cambria" w:eastAsia="Batang" w:hAnsi="Cambria" w:cs="Calibri Light"/>
          <w:b/>
          <w:color w:val="080808"/>
          <w:lang w:val="es-CO"/>
        </w:rPr>
      </w:pPr>
      <w:r w:rsidRPr="0009182C">
        <w:rPr>
          <w:rFonts w:ascii="Cambria" w:hAnsi="Cambria"/>
          <w:color w:val="080808"/>
          <w:lang w:val="es-CO"/>
        </w:rPr>
        <w:t>El 30 de enero de 2012, las partes firmaron un acuerdo de solución amistosa.</w:t>
      </w:r>
    </w:p>
    <w:p w14:paraId="0D914BCB" w14:textId="77777777" w:rsidR="003B3362" w:rsidRPr="0009182C" w:rsidRDefault="003B3362" w:rsidP="003B3362">
      <w:pPr>
        <w:spacing w:after="0" w:line="240" w:lineRule="auto"/>
        <w:jc w:val="both"/>
        <w:rPr>
          <w:rFonts w:ascii="Cambria" w:hAnsi="Cambria"/>
          <w:color w:val="080808"/>
          <w:lang w:val="es-CO"/>
        </w:rPr>
      </w:pPr>
    </w:p>
    <w:p w14:paraId="1A155A54" w14:textId="77777777" w:rsidR="003B3362" w:rsidRPr="0009182C" w:rsidRDefault="003B3362" w:rsidP="003B3362">
      <w:pPr>
        <w:numPr>
          <w:ilvl w:val="0"/>
          <w:numId w:val="38"/>
        </w:numPr>
        <w:spacing w:after="0" w:line="240" w:lineRule="auto"/>
        <w:ind w:left="0" w:firstLine="720"/>
        <w:jc w:val="both"/>
        <w:rPr>
          <w:rFonts w:ascii="Cambria" w:eastAsia="Batang" w:hAnsi="Cambria" w:cs="Calibri Light"/>
          <w:color w:val="080808"/>
          <w:lang w:val="es-CO"/>
        </w:rPr>
      </w:pPr>
      <w:r w:rsidRPr="0009182C">
        <w:rPr>
          <w:rFonts w:ascii="Cambria" w:eastAsia="Batang" w:hAnsi="Cambria" w:cs="Calibri Light"/>
          <w:color w:val="080808"/>
          <w:lang w:val="es-CO"/>
        </w:rPr>
        <w:t xml:space="preserve">El 1 de junio de 2020, la Comisión aprobó el acuerdo suscrito por las partes, mediante el </w:t>
      </w:r>
      <w:r w:rsidRPr="0009182C">
        <w:rPr>
          <w:rFonts w:ascii="Cambria" w:hAnsi="Cambria"/>
          <w:color w:val="080808"/>
          <w:lang w:val="es-CO"/>
        </w:rPr>
        <w:t>Informe No. 85</w:t>
      </w:r>
      <w:r w:rsidRPr="0009182C">
        <w:rPr>
          <w:rFonts w:ascii="Cambria" w:eastAsia="Batang" w:hAnsi="Cambria"/>
          <w:color w:val="080808"/>
          <w:lang w:val="es-CO"/>
        </w:rPr>
        <w:t xml:space="preserve">/20. </w:t>
      </w:r>
    </w:p>
    <w:p w14:paraId="4037091B" w14:textId="77777777" w:rsidR="003B3362" w:rsidRPr="0009182C" w:rsidRDefault="003B3362" w:rsidP="003B3362">
      <w:pPr>
        <w:spacing w:after="0" w:line="240" w:lineRule="auto"/>
        <w:jc w:val="both"/>
        <w:rPr>
          <w:rFonts w:ascii="Cambria" w:eastAsia="Batang" w:hAnsi="Cambria" w:cs="Calibri Light"/>
          <w:color w:val="080808"/>
          <w:lang w:val="es-CO"/>
        </w:rPr>
      </w:pPr>
    </w:p>
    <w:p w14:paraId="1A651A51"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sectPr w:rsidR="003B3362" w:rsidRPr="0009182C" w:rsidSect="003B3362">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33AF502C"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ANÁLISIS DEL CUMPLIMIENTO DE LAS CLÁUSULAS DEL ACUERDO DE SOLUCIÓN AMISTOSA</w:t>
      </w:r>
    </w:p>
    <w:p w14:paraId="67A36B0B" w14:textId="77777777" w:rsidR="003B3362" w:rsidRPr="0009182C" w:rsidRDefault="003B3362" w:rsidP="003B3362">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3B3362" w:rsidRPr="0009182C" w14:paraId="14155F16" w14:textId="77777777" w:rsidTr="00F024F0">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34E74A5" w14:textId="77777777" w:rsidR="003B3362" w:rsidRPr="0009182C" w:rsidRDefault="003B3362" w:rsidP="00F024F0">
            <w:pPr>
              <w:tabs>
                <w:tab w:val="center" w:pos="2049"/>
              </w:tabs>
              <w:spacing w:after="0" w:line="240" w:lineRule="auto"/>
              <w:jc w:val="center"/>
              <w:rPr>
                <w:rFonts w:ascii="Cambria" w:eastAsia="Batang" w:hAnsi="Cambria"/>
                <w:b/>
                <w:color w:val="080808"/>
                <w:lang w:val="es-CO"/>
              </w:rPr>
            </w:pPr>
            <w:r w:rsidRPr="0009182C">
              <w:rPr>
                <w:rFonts w:ascii="Cambria" w:eastAsia="Batang" w:hAnsi="Cambria"/>
                <w:b/>
                <w:color w:val="080808"/>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DD83C7" w14:textId="77777777" w:rsidR="003B3362" w:rsidRPr="0009182C" w:rsidRDefault="003B3362" w:rsidP="00F024F0">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Estado de Cumplimiento</w:t>
            </w:r>
          </w:p>
        </w:tc>
      </w:tr>
      <w:tr w:rsidR="003B3362" w:rsidRPr="0009182C" w14:paraId="591D168B"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12ED87DE" w14:textId="77777777" w:rsidR="003B3362" w:rsidRPr="0009182C" w:rsidRDefault="003B3362" w:rsidP="00F024F0">
            <w:pPr>
              <w:spacing w:after="0" w:line="240" w:lineRule="auto"/>
              <w:jc w:val="both"/>
              <w:rPr>
                <w:rFonts w:ascii="Cambria" w:eastAsia="Times New Roman" w:hAnsi="Cambria"/>
                <w:lang w:val="es-CO" w:eastAsia="es-ES_tradnl"/>
              </w:rPr>
            </w:pPr>
            <w:r w:rsidRPr="0009182C">
              <w:rPr>
                <w:rFonts w:ascii="Cambria" w:eastAsia="Times New Roman" w:hAnsi="Cambria"/>
                <w:lang w:val="es-CO"/>
              </w:rPr>
              <w:t xml:space="preserve"> </w:t>
            </w:r>
            <w:r w:rsidRPr="0009182C">
              <w:rPr>
                <w:rFonts w:ascii="Cambria" w:eastAsia="Times New Roman" w:hAnsi="Cambria"/>
                <w:b/>
                <w:bCs/>
                <w:lang w:val="es-CO" w:eastAsia="es-ES_tradnl"/>
              </w:rPr>
              <w:t xml:space="preserve">CLÁUSULA PRIMERA: RECONOCIMIENTO DE RESPONSABILIDAD </w:t>
            </w:r>
          </w:p>
          <w:p w14:paraId="3D81FDF4" w14:textId="0835DFFC" w:rsidR="003B3362" w:rsidRPr="0009182C" w:rsidRDefault="003B3362" w:rsidP="00F024F0">
            <w:pPr>
              <w:spacing w:after="0" w:line="240" w:lineRule="auto"/>
              <w:jc w:val="both"/>
              <w:rPr>
                <w:rFonts w:ascii="Cambria" w:eastAsia="Times New Roman" w:hAnsi="Cambria"/>
                <w:color w:val="080808"/>
                <w:lang w:val="es-CO"/>
              </w:rPr>
            </w:pPr>
            <w:r w:rsidRPr="0009182C">
              <w:rPr>
                <w:rFonts w:ascii="Cambria" w:eastAsia="Times New Roman" w:hAnsi="Cambria"/>
                <w:lang w:val="es-CO" w:eastAsia="es-ES_tradnl"/>
              </w:rPr>
              <w:t xml:space="preserve">El Estado paraguayo reconoce su responsabilidad internacional en el caso 12.374, “Jorge Enrique Patino Palacios”, que se refiere a la muerte del joven Jorge Enrique Patino Palacios, el 24 de octubre de 1994- por la </w:t>
            </w:r>
            <w:r w:rsidR="0009182C" w:rsidRPr="0009182C">
              <w:rPr>
                <w:rFonts w:ascii="Cambria" w:eastAsia="Times New Roman" w:hAnsi="Cambria"/>
                <w:lang w:val="es-CO" w:eastAsia="es-ES_tradnl"/>
              </w:rPr>
              <w:t>violación</w:t>
            </w:r>
            <w:r w:rsidRPr="0009182C">
              <w:rPr>
                <w:rFonts w:ascii="Cambria" w:eastAsia="Times New Roman" w:hAnsi="Cambria"/>
                <w:lang w:val="es-CO" w:eastAsia="es-ES_tradnl"/>
              </w:rPr>
              <w:t xml:space="preserve"> al debido proceso y a las </w:t>
            </w:r>
            <w:r w:rsidR="0009182C" w:rsidRPr="0009182C">
              <w:rPr>
                <w:rFonts w:ascii="Cambria" w:eastAsia="Times New Roman" w:hAnsi="Cambria"/>
                <w:lang w:val="es-CO" w:eastAsia="es-ES_tradnl"/>
              </w:rPr>
              <w:t>garantías</w:t>
            </w:r>
            <w:r w:rsidRPr="0009182C">
              <w:rPr>
                <w:rFonts w:ascii="Cambria" w:eastAsia="Times New Roman" w:hAnsi="Cambria"/>
                <w:lang w:val="es-CO" w:eastAsia="es-ES_tradnl"/>
              </w:rPr>
              <w:t xml:space="preserve"> judiciales consagradas en los </w:t>
            </w:r>
            <w:r w:rsidR="0009182C" w:rsidRPr="0009182C">
              <w:rPr>
                <w:rFonts w:ascii="Cambria" w:eastAsia="Times New Roman" w:hAnsi="Cambria"/>
                <w:lang w:val="es-CO" w:eastAsia="es-ES_tradnl"/>
              </w:rPr>
              <w:t>artículos</w:t>
            </w:r>
            <w:r w:rsidRPr="0009182C">
              <w:rPr>
                <w:rFonts w:ascii="Cambria" w:eastAsia="Times New Roman" w:hAnsi="Cambria"/>
                <w:lang w:val="es-CO" w:eastAsia="es-ES_tradnl"/>
              </w:rPr>
              <w:t xml:space="preserve"> 8 y 25 de la </w:t>
            </w:r>
            <w:r w:rsidR="0009182C" w:rsidRPr="0009182C">
              <w:rPr>
                <w:rFonts w:ascii="Cambria" w:eastAsia="Times New Roman" w:hAnsi="Cambria"/>
                <w:lang w:val="es-CO" w:eastAsia="es-ES_tradnl"/>
              </w:rPr>
              <w:t>Convención</w:t>
            </w:r>
            <w:r w:rsidRPr="0009182C">
              <w:rPr>
                <w:rFonts w:ascii="Cambria" w:eastAsia="Times New Roman" w:hAnsi="Cambria"/>
                <w:lang w:val="es-CO" w:eastAsia="es-ES_tradnl"/>
              </w:rPr>
              <w:t xml:space="preserve"> Americana. En el proceso abierto como consecuencia de la muerte del joven Jorge Enrique Patino Palacios, el Estado no adelantó investigaciones que respetaran los estándares de debida diligencia excediendo también los plazos razonables para la </w:t>
            </w:r>
            <w:r w:rsidR="0009182C" w:rsidRPr="0009182C">
              <w:rPr>
                <w:rFonts w:ascii="Cambria" w:eastAsia="Times New Roman" w:hAnsi="Cambria"/>
                <w:lang w:val="es-CO" w:eastAsia="es-ES_tradnl"/>
              </w:rPr>
              <w:t>investigación</w:t>
            </w:r>
            <w:r w:rsidRPr="0009182C">
              <w:rPr>
                <w:rFonts w:ascii="Cambria" w:eastAsia="Times New Roman" w:hAnsi="Cambria"/>
                <w:lang w:val="es-CO" w:eastAsia="es-ES_tradnl"/>
              </w:rPr>
              <w:t xml:space="preserve">, que se tradujeron en injustificadas demoras como consecuencia de no haberse respetado los </w:t>
            </w:r>
            <w:r w:rsidR="0009182C" w:rsidRPr="0009182C">
              <w:rPr>
                <w:rFonts w:ascii="Cambria" w:eastAsia="Times New Roman" w:hAnsi="Cambria"/>
                <w:lang w:val="es-CO" w:eastAsia="es-ES_tradnl"/>
              </w:rPr>
              <w:t>términos</w:t>
            </w:r>
            <w:r w:rsidRPr="0009182C">
              <w:rPr>
                <w:rFonts w:ascii="Cambria" w:eastAsia="Times New Roman" w:hAnsi="Cambria"/>
                <w:lang w:val="es-CO" w:eastAsia="es-ES_tradnl"/>
              </w:rPr>
              <w:t xml:space="preserve"> expresamente previstos en el Código de Procedimiento Penal de la </w:t>
            </w:r>
            <w:r w:rsidR="0009182C" w:rsidRPr="0009182C">
              <w:rPr>
                <w:rFonts w:ascii="Cambria" w:eastAsia="Times New Roman" w:hAnsi="Cambria"/>
                <w:lang w:val="es-CO" w:eastAsia="es-ES_tradnl"/>
              </w:rPr>
              <w:t>República</w:t>
            </w:r>
            <w:r w:rsidRPr="0009182C">
              <w:rPr>
                <w:rFonts w:ascii="Cambria" w:eastAsia="Times New Roman" w:hAnsi="Cambria"/>
                <w:lang w:val="es-CO" w:eastAsia="es-ES_tradnl"/>
              </w:rPr>
              <w:t xml:space="preserve"> del Paraguay, y la renuencia a juzgar que se advierte en las sucesivas excusaciones no expresamente previstas en la ley procesal, registradas en todas las Instancias de la </w:t>
            </w:r>
            <w:r w:rsidR="0009182C" w:rsidRPr="0009182C">
              <w:rPr>
                <w:rFonts w:ascii="Cambria" w:eastAsia="Times New Roman" w:hAnsi="Cambria"/>
                <w:lang w:val="es-CO" w:eastAsia="es-ES_tradnl"/>
              </w:rPr>
              <w:t>Administración</w:t>
            </w:r>
            <w:r w:rsidRPr="0009182C">
              <w:rPr>
                <w:rFonts w:ascii="Cambria" w:eastAsia="Times New Roman" w:hAnsi="Cambria"/>
                <w:lang w:val="es-CO" w:eastAsia="es-ES_tradnl"/>
              </w:rPr>
              <w:t xml:space="preserve"> de Justicia, afectando el establecimiento de las correspondientes responsabilidades por los hechos acreditados en el expediente judicial correspondiente y violando el cumplimiento de instrumentos normativos internacionales a cuyo respeto se comprometió́ el Estado Paraguayo. </w:t>
            </w:r>
          </w:p>
        </w:tc>
        <w:tc>
          <w:tcPr>
            <w:tcW w:w="1701" w:type="dxa"/>
            <w:tcBorders>
              <w:top w:val="single" w:sz="4" w:space="0" w:color="auto"/>
              <w:left w:val="single" w:sz="4" w:space="0" w:color="auto"/>
              <w:bottom w:val="single" w:sz="4" w:space="0" w:color="auto"/>
              <w:right w:val="single" w:sz="4" w:space="0" w:color="auto"/>
            </w:tcBorders>
            <w:vAlign w:val="center"/>
          </w:tcPr>
          <w:p w14:paraId="3EF85D39" w14:textId="77777777" w:rsidR="003B3362" w:rsidRPr="0009182C" w:rsidRDefault="003B3362" w:rsidP="00F024F0">
            <w:pPr>
              <w:spacing w:after="0" w:line="240" w:lineRule="auto"/>
              <w:jc w:val="center"/>
              <w:rPr>
                <w:rFonts w:ascii="Cambria" w:eastAsia="Batang" w:hAnsi="Cambria"/>
                <w:b/>
                <w:color w:val="080808"/>
                <w:lang w:val="es-CO"/>
              </w:rPr>
            </w:pPr>
            <w:r w:rsidRPr="0009182C">
              <w:rPr>
                <w:rFonts w:ascii="Cambria" w:eastAsia="Batang" w:hAnsi="Cambria"/>
                <w:b/>
                <w:color w:val="000000"/>
                <w:lang w:val="es-CO" w:eastAsia="es-ES_tradnl"/>
              </w:rPr>
              <w:t>Cláusula Declarativa</w:t>
            </w:r>
          </w:p>
        </w:tc>
      </w:tr>
      <w:tr w:rsidR="003B3362" w:rsidRPr="0009182C" w14:paraId="43178BB7" w14:textId="77777777" w:rsidTr="00F024F0">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4BF6AD3C" w14:textId="77777777" w:rsidR="003B3362" w:rsidRPr="0009182C" w:rsidRDefault="003B3362" w:rsidP="00F024F0">
            <w:pPr>
              <w:spacing w:after="0" w:line="240" w:lineRule="auto"/>
              <w:jc w:val="both"/>
              <w:rPr>
                <w:rFonts w:ascii="Cambria" w:eastAsia="Times New Roman" w:hAnsi="Cambria"/>
                <w:lang w:val="es-CO" w:eastAsia="es-ES_tradnl"/>
              </w:rPr>
            </w:pPr>
            <w:r w:rsidRPr="0009182C">
              <w:rPr>
                <w:rFonts w:ascii="Cambria" w:eastAsia="Times New Roman" w:hAnsi="Cambria"/>
                <w:b/>
                <w:bCs/>
                <w:lang w:val="es-CO" w:eastAsia="es-ES_tradnl"/>
              </w:rPr>
              <w:t xml:space="preserve">CLÁUSULA SEGUNDA: RENUNCIA A CUALQUIER FORMA DE REPARACIÓN PECUNIARIA </w:t>
            </w:r>
          </w:p>
          <w:p w14:paraId="5160AF5D" w14:textId="10F6A122" w:rsidR="003B3362" w:rsidRPr="0009182C" w:rsidRDefault="003B3362" w:rsidP="00F024F0">
            <w:pPr>
              <w:spacing w:after="0" w:line="240" w:lineRule="auto"/>
              <w:jc w:val="both"/>
              <w:rPr>
                <w:rFonts w:ascii="Cambria" w:hAnsi="Cambria"/>
                <w:color w:val="080808"/>
                <w:lang w:val="es-CO"/>
              </w:rPr>
            </w:pPr>
            <w:r w:rsidRPr="0009182C">
              <w:rPr>
                <w:rFonts w:ascii="Cambria" w:eastAsia="Times New Roman" w:hAnsi="Cambria"/>
                <w:lang w:val="es-CO" w:eastAsia="es-ES_tradnl"/>
              </w:rPr>
              <w:t>Los familiares de Jorge Enrique Pati</w:t>
            </w:r>
            <w:r w:rsidR="005A5292" w:rsidRPr="0009182C">
              <w:rPr>
                <w:rFonts w:ascii="Cambria" w:eastAsia="Times New Roman" w:hAnsi="Cambria"/>
                <w:lang w:val="es-CO" w:eastAsia="es-ES_tradnl"/>
              </w:rPr>
              <w:t>ñ</w:t>
            </w:r>
            <w:r w:rsidRPr="0009182C">
              <w:rPr>
                <w:rFonts w:ascii="Cambria" w:eastAsia="Times New Roman" w:hAnsi="Cambria"/>
                <w:lang w:val="es-CO" w:eastAsia="es-ES_tradnl"/>
              </w:rPr>
              <w:t xml:space="preserve">o Palacios renuncian formalmente al cobro de cualquier </w:t>
            </w:r>
            <w:r w:rsidR="0009182C" w:rsidRPr="0009182C">
              <w:rPr>
                <w:rFonts w:ascii="Cambria" w:eastAsia="Times New Roman" w:hAnsi="Cambria"/>
                <w:lang w:val="es-CO" w:eastAsia="es-ES_tradnl"/>
              </w:rPr>
              <w:t>reparación</w:t>
            </w:r>
            <w:r w:rsidRPr="0009182C">
              <w:rPr>
                <w:rFonts w:ascii="Cambria" w:eastAsia="Times New Roman" w:hAnsi="Cambria"/>
                <w:lang w:val="es-CO" w:eastAsia="es-ES_tradnl"/>
              </w:rPr>
              <w:t xml:space="preserve"> pecuniaria.</w:t>
            </w:r>
          </w:p>
        </w:tc>
        <w:tc>
          <w:tcPr>
            <w:tcW w:w="1701" w:type="dxa"/>
            <w:tcBorders>
              <w:top w:val="single" w:sz="4" w:space="0" w:color="auto"/>
              <w:left w:val="single" w:sz="4" w:space="0" w:color="auto"/>
              <w:bottom w:val="single" w:sz="4" w:space="0" w:color="auto"/>
              <w:right w:val="single" w:sz="4" w:space="0" w:color="auto"/>
            </w:tcBorders>
            <w:vAlign w:val="center"/>
          </w:tcPr>
          <w:p w14:paraId="05345117" w14:textId="77777777" w:rsidR="003B3362" w:rsidRPr="0009182C" w:rsidRDefault="003B3362" w:rsidP="00F024F0">
            <w:pPr>
              <w:spacing w:after="0" w:line="240" w:lineRule="auto"/>
              <w:jc w:val="center"/>
              <w:rPr>
                <w:rFonts w:ascii="Cambria" w:eastAsia="Batang" w:hAnsi="Cambria"/>
                <w:b/>
                <w:color w:val="080808"/>
                <w:lang w:val="es-CO"/>
              </w:rPr>
            </w:pPr>
            <w:r w:rsidRPr="0009182C">
              <w:rPr>
                <w:rFonts w:ascii="Cambria" w:eastAsia="Batang" w:hAnsi="Cambria"/>
                <w:b/>
                <w:bCs/>
                <w:color w:val="000000"/>
                <w:lang w:val="es-CO" w:eastAsia="es-ES_tradnl"/>
              </w:rPr>
              <w:t>Cláusula Declarativa</w:t>
            </w:r>
          </w:p>
        </w:tc>
      </w:tr>
      <w:tr w:rsidR="003B3362" w:rsidRPr="0009182C" w14:paraId="3EFBC0C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7957B355" w14:textId="77777777" w:rsidR="003B3362" w:rsidRPr="0009182C" w:rsidRDefault="003B3362" w:rsidP="00F024F0">
            <w:pPr>
              <w:spacing w:after="0" w:line="240" w:lineRule="auto"/>
              <w:jc w:val="both"/>
              <w:rPr>
                <w:rFonts w:ascii="Cambria" w:eastAsia="Times New Roman" w:hAnsi="Cambria"/>
                <w:lang w:val="es-CO" w:eastAsia="es-ES_tradnl"/>
              </w:rPr>
            </w:pPr>
            <w:r w:rsidRPr="0009182C">
              <w:rPr>
                <w:rFonts w:ascii="Cambria" w:eastAsia="Times New Roman" w:hAnsi="Cambria"/>
                <w:b/>
                <w:bCs/>
                <w:lang w:val="es-CO" w:eastAsia="es-ES_tradnl"/>
              </w:rPr>
              <w:t xml:space="preserve">CLÁUSULA TERCERA: GARANTÍAS DE NO REPETICIÓN </w:t>
            </w:r>
          </w:p>
          <w:p w14:paraId="3487CB80" w14:textId="77777777" w:rsidR="003B3362" w:rsidRPr="0009182C" w:rsidRDefault="003B3362" w:rsidP="00F024F0">
            <w:pPr>
              <w:spacing w:after="0" w:line="240" w:lineRule="auto"/>
              <w:jc w:val="both"/>
              <w:rPr>
                <w:rFonts w:ascii="Cambria" w:eastAsia="Times New Roman" w:hAnsi="Cambria"/>
                <w:lang w:val="es-CO" w:eastAsia="es-ES_tradnl"/>
              </w:rPr>
            </w:pPr>
            <w:r w:rsidRPr="0009182C">
              <w:rPr>
                <w:rFonts w:ascii="Cambria" w:eastAsia="Times New Roman" w:hAnsi="Cambria"/>
                <w:lang w:val="es-CO" w:eastAsia="es-ES_tradnl"/>
              </w:rPr>
              <w:t>El caso N° 12.374, “Jorge Enrique Patiño Palacios” pone en evidencia la Falta de diligencia en el accionar de las autoridades encargadas de la investigación de los hechos punibles en la tramitación del proceso instruido ante la justicia paraguaya:</w:t>
            </w:r>
          </w:p>
          <w:p w14:paraId="5896BEA5" w14:textId="77777777" w:rsidR="003B3362" w:rsidRPr="0009182C" w:rsidRDefault="003B3362" w:rsidP="00F024F0">
            <w:pPr>
              <w:spacing w:after="0" w:line="240" w:lineRule="auto"/>
              <w:jc w:val="both"/>
              <w:rPr>
                <w:rFonts w:ascii="Cambria" w:eastAsia="Times New Roman" w:hAnsi="Cambria"/>
                <w:lang w:val="es-CO" w:eastAsia="es-ES_tradnl"/>
              </w:rPr>
            </w:pPr>
            <w:r w:rsidRPr="0009182C">
              <w:rPr>
                <w:rFonts w:ascii="Cambria" w:eastAsia="Times New Roman" w:hAnsi="Cambria"/>
                <w:lang w:val="es-CO" w:eastAsia="es-ES_tradnl"/>
              </w:rPr>
              <w:t>A tal efecto resulta necesario como garantía de no repetición de hechos como los denunciados en la causa, fortalecer las capacidades institucionales de las agencias del Estado que cumplen tales tareas, y en ese sentido el Estado asume el siguiente compromiso:</w:t>
            </w:r>
          </w:p>
          <w:p w14:paraId="2A1CB548" w14:textId="77777777" w:rsidR="003B3362" w:rsidRPr="0009182C" w:rsidRDefault="003B3362" w:rsidP="00F024F0">
            <w:pPr>
              <w:spacing w:after="0" w:line="240" w:lineRule="auto"/>
              <w:jc w:val="both"/>
              <w:rPr>
                <w:rFonts w:ascii="Cambria" w:hAnsi="Cambria"/>
                <w:color w:val="080808"/>
                <w:lang w:val="es-CO"/>
              </w:rPr>
            </w:pPr>
            <w:r w:rsidRPr="0009182C">
              <w:rPr>
                <w:rFonts w:ascii="Cambria" w:eastAsia="Times New Roman" w:hAnsi="Cambria"/>
                <w:lang w:val="es-CO" w:eastAsia="es-ES_tradnl"/>
              </w:rPr>
              <w:t>1. El Estado paraguayo se compromete a través de la Corte Suprema de Justicia a solicitar semestralmente informes sobre el estado procesal de las causas de todos los juzgados del país, a fin de verificar el cumplimiento estricto de los plazos y términos establecidos en las leyes procesales, y el caso de observarse violaciones a dichos principios aplicar las sanciones correspondientes, y de acuerdo a la gravedad del hecho presentar denuncia ante el Jurado de Enjuiciamiento de Magistrados, debiendo informar al respecto, hasta el cumplimiento total de las demás cláusulas del Acuerdo.</w:t>
            </w:r>
          </w:p>
        </w:tc>
        <w:tc>
          <w:tcPr>
            <w:tcW w:w="1701" w:type="dxa"/>
            <w:tcBorders>
              <w:top w:val="single" w:sz="4" w:space="0" w:color="auto"/>
              <w:left w:val="single" w:sz="4" w:space="0" w:color="auto"/>
              <w:bottom w:val="single" w:sz="4" w:space="0" w:color="auto"/>
              <w:right w:val="single" w:sz="4" w:space="0" w:color="auto"/>
            </w:tcBorders>
            <w:vAlign w:val="center"/>
          </w:tcPr>
          <w:p w14:paraId="2A634FDE" w14:textId="77777777" w:rsidR="003B3362" w:rsidRPr="0009182C" w:rsidRDefault="003B3362" w:rsidP="00F024F0">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Fonts w:ascii="Cambria" w:eastAsia="Batang" w:hAnsi="Cambria"/>
                <w:b/>
                <w:color w:val="080808"/>
                <w:vertAlign w:val="superscript"/>
                <w:lang w:val="es-CO"/>
              </w:rPr>
              <w:footnoteReference w:id="1"/>
            </w:r>
          </w:p>
        </w:tc>
      </w:tr>
      <w:tr w:rsidR="003B3362" w:rsidRPr="0009182C" w14:paraId="29366998" w14:textId="77777777" w:rsidTr="00F024F0">
        <w:trPr>
          <w:trHeight w:val="1151"/>
          <w:jc w:val="center"/>
        </w:trPr>
        <w:tc>
          <w:tcPr>
            <w:tcW w:w="7632" w:type="dxa"/>
            <w:tcBorders>
              <w:top w:val="single" w:sz="4" w:space="0" w:color="auto"/>
              <w:left w:val="single" w:sz="4" w:space="0" w:color="auto"/>
              <w:bottom w:val="single" w:sz="4" w:space="0" w:color="auto"/>
              <w:right w:val="single" w:sz="4" w:space="0" w:color="auto"/>
            </w:tcBorders>
          </w:tcPr>
          <w:p w14:paraId="5B1F76EC" w14:textId="4010D1C1" w:rsidR="003B3362" w:rsidRPr="0009182C" w:rsidRDefault="003B3362" w:rsidP="00F024F0">
            <w:pPr>
              <w:spacing w:after="0" w:line="240" w:lineRule="auto"/>
              <w:jc w:val="both"/>
              <w:rPr>
                <w:rFonts w:ascii="Cambria" w:eastAsia="Times New Roman" w:hAnsi="Cambria"/>
                <w:lang w:val="es-CO" w:eastAsia="es-ES_tradnl"/>
              </w:rPr>
            </w:pPr>
            <w:r w:rsidRPr="0009182C">
              <w:rPr>
                <w:rFonts w:ascii="Cambria" w:eastAsia="Times New Roman" w:hAnsi="Cambria"/>
                <w:lang w:val="es-CO" w:eastAsia="es-ES_tradnl"/>
              </w:rPr>
              <w:lastRenderedPageBreak/>
              <w:t xml:space="preserve">2. Implementar, dentro del plazo de un </w:t>
            </w:r>
            <w:r w:rsidR="0009182C" w:rsidRPr="0009182C">
              <w:rPr>
                <w:rFonts w:ascii="Cambria" w:eastAsia="Times New Roman" w:hAnsi="Cambria"/>
                <w:lang w:val="es-CO" w:eastAsia="es-ES_tradnl"/>
              </w:rPr>
              <w:t>año</w:t>
            </w:r>
            <w:r w:rsidRPr="0009182C">
              <w:rPr>
                <w:rFonts w:ascii="Cambria" w:eastAsia="Times New Roman" w:hAnsi="Cambria"/>
                <w:lang w:val="es-CO" w:eastAsia="es-ES_tradnl"/>
              </w:rPr>
              <w:t xml:space="preserve"> contado a partir de la fecha de la firma del presente acuerdo de </w:t>
            </w:r>
            <w:r w:rsidR="0009182C" w:rsidRPr="0009182C">
              <w:rPr>
                <w:rFonts w:ascii="Cambria" w:eastAsia="Times New Roman" w:hAnsi="Cambria"/>
                <w:lang w:val="es-CO" w:eastAsia="es-ES_tradnl"/>
              </w:rPr>
              <w:t>solución</w:t>
            </w:r>
            <w:r w:rsidRPr="0009182C">
              <w:rPr>
                <w:rFonts w:ascii="Cambria" w:eastAsia="Times New Roman" w:hAnsi="Cambria"/>
                <w:lang w:val="es-CO" w:eastAsia="es-ES_tradnl"/>
              </w:rPr>
              <w:t xml:space="preserve"> amistosa, para los Magistrados del Fuero Penal, los miembros del Ministerio </w:t>
            </w:r>
            <w:r w:rsidR="0009182C" w:rsidRPr="0009182C">
              <w:rPr>
                <w:rFonts w:ascii="Cambria" w:eastAsia="Times New Roman" w:hAnsi="Cambria"/>
                <w:lang w:val="es-CO" w:eastAsia="es-ES_tradnl"/>
              </w:rPr>
              <w:t>Público</w:t>
            </w:r>
            <w:r w:rsidRPr="0009182C">
              <w:rPr>
                <w:rFonts w:ascii="Cambria" w:eastAsia="Times New Roman" w:hAnsi="Cambria"/>
                <w:lang w:val="es-CO" w:eastAsia="es-ES_tradnl"/>
              </w:rPr>
              <w:t xml:space="preserve"> y del Departamento de </w:t>
            </w:r>
            <w:r w:rsidR="0009182C" w:rsidRPr="0009182C">
              <w:rPr>
                <w:rFonts w:ascii="Cambria" w:eastAsia="Times New Roman" w:hAnsi="Cambria"/>
                <w:lang w:val="es-CO" w:eastAsia="es-ES_tradnl"/>
              </w:rPr>
              <w:t>Investigación</w:t>
            </w:r>
            <w:r w:rsidRPr="0009182C">
              <w:rPr>
                <w:rFonts w:ascii="Cambria" w:eastAsia="Times New Roman" w:hAnsi="Cambria"/>
                <w:lang w:val="es-CO" w:eastAsia="es-ES_tradnl"/>
              </w:rPr>
              <w:t xml:space="preserve"> de delitos, un curso o seminario sobre estándares internacionales de debida diligencia en la </w:t>
            </w:r>
            <w:r w:rsidR="0009182C" w:rsidRPr="0009182C">
              <w:rPr>
                <w:rFonts w:ascii="Cambria" w:eastAsia="Times New Roman" w:hAnsi="Cambria"/>
                <w:lang w:val="es-CO" w:eastAsia="es-ES_tradnl"/>
              </w:rPr>
              <w:t>investigación</w:t>
            </w:r>
            <w:r w:rsidRPr="0009182C">
              <w:rPr>
                <w:rFonts w:ascii="Cambria" w:eastAsia="Times New Roman" w:hAnsi="Cambria"/>
                <w:lang w:val="es-CO" w:eastAsia="es-ES_tradnl"/>
              </w:rPr>
              <w:t xml:space="preserve">, la </w:t>
            </w:r>
            <w:r w:rsidR="0009182C" w:rsidRPr="0009182C">
              <w:rPr>
                <w:rFonts w:ascii="Cambria" w:eastAsia="Times New Roman" w:hAnsi="Cambria"/>
                <w:lang w:val="es-CO" w:eastAsia="es-ES_tradnl"/>
              </w:rPr>
              <w:t>recolección</w:t>
            </w:r>
            <w:r w:rsidRPr="0009182C">
              <w:rPr>
                <w:rFonts w:ascii="Cambria" w:eastAsia="Times New Roman" w:hAnsi="Cambria"/>
                <w:lang w:val="es-CO" w:eastAsia="es-ES_tradnl"/>
              </w:rPr>
              <w:t xml:space="preserve"> y </w:t>
            </w:r>
            <w:r w:rsidR="0009182C" w:rsidRPr="0009182C">
              <w:rPr>
                <w:rFonts w:ascii="Cambria" w:eastAsia="Times New Roman" w:hAnsi="Cambria"/>
                <w:lang w:val="es-CO" w:eastAsia="es-ES_tradnl"/>
              </w:rPr>
              <w:t>valoración</w:t>
            </w:r>
            <w:r w:rsidRPr="0009182C">
              <w:rPr>
                <w:rFonts w:ascii="Cambria" w:eastAsia="Times New Roman" w:hAnsi="Cambria"/>
                <w:lang w:val="es-CO" w:eastAsia="es-ES_tradnl"/>
              </w:rPr>
              <w:t xml:space="preserve"> de evidencia forense en el marco de cursos especializados sobre la responsabilidad del Estado por la negligencia o mala praxis de sus </w:t>
            </w:r>
            <w:r w:rsidR="0009182C" w:rsidRPr="0009182C">
              <w:rPr>
                <w:rFonts w:ascii="Cambria" w:eastAsia="Times New Roman" w:hAnsi="Cambria"/>
                <w:lang w:val="es-CO" w:eastAsia="es-ES_tradnl"/>
              </w:rPr>
              <w:t>órganos</w:t>
            </w:r>
            <w:r w:rsidRPr="0009182C">
              <w:rPr>
                <w:rFonts w:ascii="Cambria" w:eastAsia="Times New Roman" w:hAnsi="Cambria"/>
                <w:lang w:val="es-CO" w:eastAsia="es-ES_tradnl"/>
              </w:rPr>
              <w:t xml:space="preserve"> judiciales, los cuales </w:t>
            </w:r>
            <w:r w:rsidR="0009182C" w:rsidRPr="0009182C">
              <w:rPr>
                <w:rFonts w:ascii="Cambria" w:eastAsia="Times New Roman" w:hAnsi="Cambria"/>
                <w:lang w:val="es-CO" w:eastAsia="es-ES_tradnl"/>
              </w:rPr>
              <w:t>deberán</w:t>
            </w:r>
            <w:r w:rsidRPr="0009182C">
              <w:rPr>
                <w:rFonts w:ascii="Cambria" w:eastAsia="Times New Roman" w:hAnsi="Cambria"/>
                <w:lang w:val="es-CO" w:eastAsia="es-ES_tradnl"/>
              </w:rPr>
              <w:t xml:space="preserve"> ser implementados en toda la </w:t>
            </w:r>
            <w:r w:rsidR="0009182C" w:rsidRPr="0009182C">
              <w:rPr>
                <w:rFonts w:ascii="Cambria" w:eastAsia="Times New Roman" w:hAnsi="Cambria"/>
                <w:lang w:val="es-CO" w:eastAsia="es-ES_tradnl"/>
              </w:rPr>
              <w:t>República</w:t>
            </w:r>
            <w:r w:rsidRPr="0009182C">
              <w:rPr>
                <w:rFonts w:ascii="Cambria" w:eastAsia="Times New Roman" w:hAnsi="Cambria"/>
                <w:lang w:val="es-CO" w:eastAsia="es-ES_tradnl"/>
              </w:rPr>
              <w:t xml:space="preserve"> del Paraguay. </w:t>
            </w:r>
          </w:p>
          <w:p w14:paraId="61221366" w14:textId="77777777" w:rsidR="003B3362" w:rsidRPr="0009182C" w:rsidRDefault="003B3362" w:rsidP="00F024F0">
            <w:pPr>
              <w:spacing w:after="0" w:line="240" w:lineRule="auto"/>
              <w:ind w:right="72"/>
              <w:jc w:val="both"/>
              <w:rPr>
                <w:rFonts w:ascii="Cambria" w:eastAsia="Times New Roman" w:hAnsi="Cambria"/>
                <w:bCs/>
                <w:color w:val="000000"/>
                <w:kern w:val="36"/>
                <w:lang w:val="es-CO" w:eastAsia="es-ES_tradnl"/>
              </w:rPr>
            </w:pPr>
            <w:r w:rsidRPr="0009182C">
              <w:rPr>
                <w:rFonts w:ascii="Cambria" w:eastAsia="Times New Roman" w:hAnsi="Cambria"/>
                <w:bCs/>
                <w:color w:val="000000"/>
                <w:kern w:val="36"/>
                <w:lang w:val="es-CO" w:eastAsia="es-ES_tradnl"/>
              </w:rPr>
              <w:t>Tanto en la convocatoria a dichos cursos o seminarios como durante su desarrollo se hará referencia expresa al presente Acuerdo de solución Amistosa y se señalará que su dictado está relacionado con el reconocimiento de responsabilidad que el estado ha hecho en el presente caso.</w:t>
            </w:r>
          </w:p>
          <w:p w14:paraId="734F1DD2" w14:textId="77777777" w:rsidR="003B3362" w:rsidRPr="0009182C" w:rsidRDefault="003B3362" w:rsidP="00F024F0">
            <w:pPr>
              <w:spacing w:after="0" w:line="240" w:lineRule="auto"/>
              <w:jc w:val="both"/>
              <w:rPr>
                <w:rFonts w:ascii="Cambria" w:hAnsi="Cambria"/>
                <w:color w:val="080808"/>
                <w:lang w:val="es-CO"/>
              </w:rPr>
            </w:pPr>
            <w:r w:rsidRPr="0009182C">
              <w:rPr>
                <w:rFonts w:ascii="Cambria" w:eastAsia="Times New Roman" w:hAnsi="Cambria"/>
                <w:bCs/>
                <w:color w:val="000000"/>
                <w:kern w:val="36"/>
                <w:lang w:val="es-CO" w:eastAsia="es-ES_tradnl"/>
              </w:rPr>
              <w:t>Las convocatorias se harán de manera conjunta entre el Poder Judicial y el Ministerio Público.</w:t>
            </w:r>
          </w:p>
        </w:tc>
        <w:tc>
          <w:tcPr>
            <w:tcW w:w="1701" w:type="dxa"/>
            <w:tcBorders>
              <w:top w:val="single" w:sz="4" w:space="0" w:color="auto"/>
              <w:left w:val="single" w:sz="4" w:space="0" w:color="auto"/>
              <w:bottom w:val="single" w:sz="4" w:space="0" w:color="auto"/>
              <w:right w:val="single" w:sz="4" w:space="0" w:color="auto"/>
            </w:tcBorders>
            <w:vAlign w:val="center"/>
          </w:tcPr>
          <w:p w14:paraId="3D380577" w14:textId="77777777" w:rsidR="003B3362" w:rsidRPr="0009182C" w:rsidRDefault="003B3362" w:rsidP="00F024F0">
            <w:pPr>
              <w:spacing w:after="0" w:line="240" w:lineRule="auto"/>
              <w:jc w:val="center"/>
              <w:rPr>
                <w:rFonts w:ascii="Cambria" w:eastAsia="Batang" w:hAnsi="Cambria"/>
                <w:b/>
                <w:color w:val="080808"/>
                <w:lang w:val="es-CO"/>
              </w:rPr>
            </w:pPr>
            <w:r w:rsidRPr="0009182C">
              <w:rPr>
                <w:rFonts w:ascii="Cambria" w:eastAsia="Batang" w:hAnsi="Cambria"/>
                <w:b/>
                <w:color w:val="000000"/>
                <w:lang w:val="es-CO" w:eastAsia="es-ES_tradnl"/>
              </w:rPr>
              <w:t>Total</w:t>
            </w:r>
            <w:r w:rsidRPr="0009182C">
              <w:rPr>
                <w:rFonts w:ascii="Cambria" w:eastAsia="Batang" w:hAnsi="Cambria"/>
                <w:b/>
                <w:color w:val="000000"/>
                <w:vertAlign w:val="superscript"/>
                <w:lang w:val="es-CO" w:eastAsia="es-ES_tradnl"/>
              </w:rPr>
              <w:footnoteReference w:id="2"/>
            </w:r>
          </w:p>
        </w:tc>
      </w:tr>
      <w:tr w:rsidR="003B3362" w:rsidRPr="0009182C" w14:paraId="41B3CF1F" w14:textId="77777777" w:rsidTr="00F024F0">
        <w:trPr>
          <w:trHeight w:val="1643"/>
          <w:jc w:val="center"/>
        </w:trPr>
        <w:tc>
          <w:tcPr>
            <w:tcW w:w="7632" w:type="dxa"/>
            <w:tcBorders>
              <w:top w:val="single" w:sz="4" w:space="0" w:color="auto"/>
              <w:left w:val="single" w:sz="4" w:space="0" w:color="auto"/>
              <w:bottom w:val="single" w:sz="4" w:space="0" w:color="auto"/>
              <w:right w:val="single" w:sz="4" w:space="0" w:color="auto"/>
            </w:tcBorders>
            <w:vAlign w:val="center"/>
          </w:tcPr>
          <w:p w14:paraId="277DAB03" w14:textId="77777777" w:rsidR="003B3362" w:rsidRPr="0009182C" w:rsidRDefault="003B3362" w:rsidP="00F024F0">
            <w:pPr>
              <w:spacing w:after="0" w:line="240" w:lineRule="auto"/>
              <w:jc w:val="both"/>
              <w:rPr>
                <w:rFonts w:ascii="Cambria" w:hAnsi="Cambria"/>
                <w:color w:val="080808"/>
                <w:lang w:val="es-CO"/>
              </w:rPr>
            </w:pPr>
            <w:r w:rsidRPr="0009182C">
              <w:rPr>
                <w:rFonts w:ascii="Cambria" w:hAnsi="Cambria"/>
                <w:color w:val="080808"/>
                <w:lang w:val="es-CO"/>
              </w:rPr>
              <w:t>3. Las Autoridades Judiciales competentes dictarán en el ámbito de sus facultades y competencias los instrumentos normativos necesarios para establecer los procedimientos que deben observarse para garantizar la cadena de custodia de las pruebas y evidencias recogidas, obtenidas, producidas o recibidas, por los mismos en el marco del proceso penal, y las sanciones por su incumplimiento.</w:t>
            </w:r>
          </w:p>
        </w:tc>
        <w:tc>
          <w:tcPr>
            <w:tcW w:w="1701" w:type="dxa"/>
            <w:tcBorders>
              <w:top w:val="single" w:sz="4" w:space="0" w:color="auto"/>
              <w:left w:val="single" w:sz="4" w:space="0" w:color="auto"/>
              <w:bottom w:val="single" w:sz="4" w:space="0" w:color="auto"/>
              <w:right w:val="single" w:sz="4" w:space="0" w:color="auto"/>
            </w:tcBorders>
            <w:vAlign w:val="center"/>
          </w:tcPr>
          <w:p w14:paraId="1B164DCF" w14:textId="77777777" w:rsidR="003B3362" w:rsidRPr="0009182C" w:rsidRDefault="003B3362" w:rsidP="00F024F0">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Fonts w:ascii="Cambria" w:eastAsia="Batang" w:hAnsi="Cambria"/>
                <w:b/>
                <w:color w:val="080808"/>
                <w:vertAlign w:val="superscript"/>
                <w:lang w:val="es-CO"/>
              </w:rPr>
              <w:footnoteReference w:id="3"/>
            </w:r>
          </w:p>
        </w:tc>
      </w:tr>
      <w:tr w:rsidR="003B3362" w:rsidRPr="0009182C" w14:paraId="018F97F5" w14:textId="77777777" w:rsidTr="00F024F0">
        <w:trPr>
          <w:trHeight w:val="458"/>
          <w:jc w:val="center"/>
        </w:trPr>
        <w:tc>
          <w:tcPr>
            <w:tcW w:w="7632" w:type="dxa"/>
            <w:tcBorders>
              <w:top w:val="single" w:sz="4" w:space="0" w:color="auto"/>
              <w:left w:val="single" w:sz="4" w:space="0" w:color="auto"/>
              <w:bottom w:val="single" w:sz="4" w:space="0" w:color="auto"/>
              <w:right w:val="single" w:sz="4" w:space="0" w:color="auto"/>
            </w:tcBorders>
          </w:tcPr>
          <w:p w14:paraId="2A1DB8B2" w14:textId="77777777" w:rsidR="003B3362" w:rsidRPr="0009182C" w:rsidRDefault="003B3362" w:rsidP="00F024F0">
            <w:pPr>
              <w:spacing w:after="0" w:line="240" w:lineRule="auto"/>
              <w:jc w:val="both"/>
              <w:rPr>
                <w:rFonts w:ascii="Cambria" w:eastAsia="Times New Roman" w:hAnsi="Cambria"/>
                <w:lang w:val="es-CO" w:eastAsia="es-ES_tradnl"/>
              </w:rPr>
            </w:pPr>
            <w:r w:rsidRPr="0009182C">
              <w:rPr>
                <w:rFonts w:ascii="Cambria" w:eastAsia="Times New Roman" w:hAnsi="Cambria"/>
                <w:b/>
                <w:bCs/>
                <w:lang w:val="es-CO" w:eastAsia="es-ES_tradnl"/>
              </w:rPr>
              <w:t xml:space="preserve">CLÁUSULA CUARTA: MEDIDA DE SATISFACCÍON </w:t>
            </w:r>
          </w:p>
          <w:p w14:paraId="514355BC" w14:textId="4051E1CA" w:rsidR="003B3362" w:rsidRPr="0009182C" w:rsidRDefault="003B3362" w:rsidP="00F024F0">
            <w:pPr>
              <w:spacing w:after="0" w:line="240" w:lineRule="auto"/>
              <w:jc w:val="both"/>
              <w:rPr>
                <w:rFonts w:ascii="Cambria" w:hAnsi="Cambria"/>
                <w:b/>
                <w:bCs/>
                <w:color w:val="080808"/>
                <w:lang w:val="es-CO"/>
              </w:rPr>
            </w:pPr>
            <w:r w:rsidRPr="0009182C">
              <w:rPr>
                <w:rFonts w:ascii="Cambria" w:eastAsia="Times New Roman" w:hAnsi="Cambria"/>
                <w:lang w:val="es-CO" w:eastAsia="es-ES_tradnl"/>
              </w:rPr>
              <w:t xml:space="preserve">A los efectos de honrar la memoria del joven Jorge Enrique Patino Palacios, el Estado se compromete a designar con el nombre de la </w:t>
            </w:r>
            <w:r w:rsidR="0009182C" w:rsidRPr="0009182C">
              <w:rPr>
                <w:rFonts w:ascii="Cambria" w:eastAsia="Times New Roman" w:hAnsi="Cambria"/>
                <w:lang w:val="es-CO" w:eastAsia="es-ES_tradnl"/>
              </w:rPr>
              <w:t>víctima</w:t>
            </w:r>
            <w:r w:rsidRPr="0009182C">
              <w:rPr>
                <w:rFonts w:ascii="Cambria" w:eastAsia="Times New Roman" w:hAnsi="Cambria"/>
                <w:lang w:val="es-CO" w:eastAsia="es-ES_tradnl"/>
              </w:rPr>
              <w:t xml:space="preserve"> dentro del pazo de 6 meses a partir de la firma del presente acuerdo, una sala de audiencias en el Palacio de Justicia y al “Centro de Convivencia </w:t>
            </w:r>
            <w:r w:rsidR="0009182C" w:rsidRPr="0009182C">
              <w:rPr>
                <w:rFonts w:ascii="Cambria" w:eastAsia="Times New Roman" w:hAnsi="Cambria"/>
                <w:lang w:val="es-CO" w:eastAsia="es-ES_tradnl"/>
              </w:rPr>
              <w:t>Pedagógica</w:t>
            </w:r>
            <w:r w:rsidRPr="0009182C">
              <w:rPr>
                <w:rFonts w:ascii="Cambria" w:eastAsia="Times New Roman" w:hAnsi="Cambria"/>
                <w:lang w:val="es-CO" w:eastAsia="es-ES_tradnl"/>
              </w:rPr>
              <w:t xml:space="preserve"> Ñemity” de la </w:t>
            </w:r>
            <w:r w:rsidR="0009182C" w:rsidRPr="0009182C">
              <w:rPr>
                <w:rFonts w:ascii="Cambria" w:eastAsia="Times New Roman" w:hAnsi="Cambria"/>
                <w:lang w:val="es-CO" w:eastAsia="es-ES_tradnl"/>
              </w:rPr>
              <w:t>Secretaría</w:t>
            </w:r>
            <w:r w:rsidRPr="0009182C">
              <w:rPr>
                <w:rFonts w:ascii="Cambria" w:eastAsia="Times New Roman" w:hAnsi="Cambria"/>
                <w:lang w:val="es-CO" w:eastAsia="es-ES_tradnl"/>
              </w:rPr>
              <w:t xml:space="preserve"> de la </w:t>
            </w:r>
            <w:r w:rsidR="0009182C" w:rsidRPr="0009182C">
              <w:rPr>
                <w:rFonts w:ascii="Cambria" w:eastAsia="Times New Roman" w:hAnsi="Cambria"/>
                <w:lang w:val="es-CO" w:eastAsia="es-ES_tradnl"/>
              </w:rPr>
              <w:t>Niñez</w:t>
            </w:r>
            <w:r w:rsidRPr="0009182C">
              <w:rPr>
                <w:rFonts w:ascii="Cambria" w:eastAsia="Times New Roman" w:hAnsi="Cambria"/>
                <w:lang w:val="es-CO" w:eastAsia="es-ES_tradnl"/>
              </w:rPr>
              <w:t xml:space="preserve"> y Adolescencia </w:t>
            </w:r>
            <w:r w:rsidR="0009182C" w:rsidRPr="0009182C">
              <w:rPr>
                <w:rFonts w:ascii="Cambria" w:eastAsia="Times New Roman" w:hAnsi="Cambria"/>
                <w:lang w:val="es-CO" w:eastAsia="es-ES_tradnl"/>
              </w:rPr>
              <w:t>institución</w:t>
            </w:r>
            <w:r w:rsidRPr="0009182C">
              <w:rPr>
                <w:rFonts w:ascii="Cambria" w:eastAsia="Times New Roman" w:hAnsi="Cambria"/>
                <w:lang w:val="es-CO" w:eastAsia="es-ES_tradnl"/>
              </w:rPr>
              <w:t xml:space="preserve"> destinada a brindar </w:t>
            </w:r>
            <w:r w:rsidR="0009182C" w:rsidRPr="0009182C">
              <w:rPr>
                <w:rFonts w:ascii="Cambria" w:eastAsia="Times New Roman" w:hAnsi="Cambria"/>
                <w:lang w:val="es-CO" w:eastAsia="es-ES_tradnl"/>
              </w:rPr>
              <w:t>educación</w:t>
            </w:r>
            <w:r w:rsidRPr="0009182C">
              <w:rPr>
                <w:rFonts w:ascii="Cambria" w:eastAsia="Times New Roman" w:hAnsi="Cambria"/>
                <w:lang w:val="es-CO" w:eastAsia="es-ES_tradnl"/>
              </w:rPr>
              <w:t xml:space="preserve"> y salud para los niños y adolescentes en situación de abandono ubicada en Reducto San Lorenzo. </w:t>
            </w:r>
          </w:p>
        </w:tc>
        <w:tc>
          <w:tcPr>
            <w:tcW w:w="1701" w:type="dxa"/>
            <w:tcBorders>
              <w:top w:val="single" w:sz="4" w:space="0" w:color="auto"/>
              <w:left w:val="single" w:sz="4" w:space="0" w:color="auto"/>
              <w:bottom w:val="single" w:sz="4" w:space="0" w:color="auto"/>
              <w:right w:val="single" w:sz="4" w:space="0" w:color="auto"/>
            </w:tcBorders>
            <w:vAlign w:val="center"/>
          </w:tcPr>
          <w:p w14:paraId="1F3CFBAB" w14:textId="77777777" w:rsidR="003B3362" w:rsidRPr="0009182C" w:rsidRDefault="003B3362" w:rsidP="00F024F0">
            <w:pPr>
              <w:spacing w:after="0" w:line="240" w:lineRule="auto"/>
              <w:jc w:val="center"/>
              <w:rPr>
                <w:rFonts w:ascii="Cambria" w:eastAsia="Batang" w:hAnsi="Cambria"/>
                <w:color w:val="080808"/>
                <w:lang w:val="es-CO"/>
              </w:rPr>
            </w:pPr>
            <w:r w:rsidRPr="0009182C">
              <w:rPr>
                <w:rFonts w:ascii="Cambria" w:eastAsia="Batang" w:hAnsi="Cambria"/>
                <w:b/>
                <w:color w:val="000000"/>
                <w:lang w:val="es-CO" w:eastAsia="es-ES_tradnl"/>
              </w:rPr>
              <w:t>Total</w:t>
            </w:r>
            <w:r w:rsidRPr="0009182C">
              <w:rPr>
                <w:rFonts w:ascii="Cambria" w:eastAsia="Batang" w:hAnsi="Cambria"/>
                <w:b/>
                <w:color w:val="000000"/>
                <w:vertAlign w:val="superscript"/>
                <w:lang w:val="es-CO" w:eastAsia="es-ES_tradnl"/>
              </w:rPr>
              <w:footnoteReference w:id="4"/>
            </w:r>
          </w:p>
        </w:tc>
      </w:tr>
      <w:tr w:rsidR="003B3362" w:rsidRPr="0009182C" w14:paraId="4052684C" w14:textId="77777777" w:rsidTr="00F024F0">
        <w:trPr>
          <w:trHeight w:val="568"/>
          <w:jc w:val="center"/>
        </w:trPr>
        <w:tc>
          <w:tcPr>
            <w:tcW w:w="7632" w:type="dxa"/>
            <w:tcBorders>
              <w:top w:val="single" w:sz="4" w:space="0" w:color="auto"/>
              <w:left w:val="single" w:sz="4" w:space="0" w:color="auto"/>
              <w:bottom w:val="single" w:sz="4" w:space="0" w:color="auto"/>
              <w:right w:val="single" w:sz="4" w:space="0" w:color="auto"/>
            </w:tcBorders>
            <w:vAlign w:val="center"/>
          </w:tcPr>
          <w:p w14:paraId="7CC53465" w14:textId="77777777" w:rsidR="003B3362" w:rsidRPr="0009182C" w:rsidRDefault="003B3362" w:rsidP="00F024F0">
            <w:pPr>
              <w:spacing w:after="0" w:line="240" w:lineRule="auto"/>
              <w:jc w:val="both"/>
              <w:rPr>
                <w:rFonts w:ascii="Cambria" w:eastAsia="Times New Roman" w:hAnsi="Cambria"/>
                <w:lang w:val="es-CO" w:eastAsia="es-ES_tradnl"/>
              </w:rPr>
            </w:pPr>
            <w:r w:rsidRPr="0009182C">
              <w:rPr>
                <w:rFonts w:ascii="Cambria" w:eastAsia="Times New Roman" w:hAnsi="Cambria"/>
                <w:b/>
                <w:bCs/>
                <w:lang w:val="es-CO" w:eastAsia="es-ES_tradnl"/>
              </w:rPr>
              <w:t xml:space="preserve">CLÁUSULA QUINTA: MODALIDAD DE RECONOCIMIENTO INTERNACIONAL </w:t>
            </w:r>
          </w:p>
          <w:p w14:paraId="3477EED8" w14:textId="77777777" w:rsidR="003B3362" w:rsidRPr="0009182C" w:rsidRDefault="003B3362" w:rsidP="00F024F0">
            <w:pPr>
              <w:spacing w:after="0" w:line="240" w:lineRule="auto"/>
              <w:jc w:val="both"/>
              <w:rPr>
                <w:rFonts w:ascii="Cambria" w:eastAsia="Times New Roman" w:hAnsi="Cambria"/>
                <w:lang w:val="es-CO" w:eastAsia="es-ES_tradnl"/>
              </w:rPr>
            </w:pPr>
            <w:r w:rsidRPr="0009182C">
              <w:rPr>
                <w:rFonts w:ascii="Cambria" w:eastAsia="Times New Roman" w:hAnsi="Cambria"/>
                <w:lang w:val="es-CO" w:eastAsia="es-ES_tradnl"/>
              </w:rPr>
              <w:t xml:space="preserve">El Estado se compromete a publicar el texto íntegro del Acuerdo de Solución Amistosa en el portal de internet del Ministerio de Relaciones Exteriores y del Poder Judicial, con un anuncio en la página de la Presidencia de la República, manteniéndolo por el plazo de un año. Alcanzado el cumplimiento íntegro, el mismo será publicado en la Gaceta Oficial. </w:t>
            </w:r>
          </w:p>
          <w:p w14:paraId="7812A5EA" w14:textId="77777777" w:rsidR="003B3362" w:rsidRPr="0009182C" w:rsidRDefault="003B3362" w:rsidP="00F024F0">
            <w:pPr>
              <w:spacing w:after="0" w:line="240" w:lineRule="auto"/>
              <w:jc w:val="both"/>
              <w:rPr>
                <w:rFonts w:ascii="Cambria" w:hAnsi="Cambria"/>
                <w:color w:val="080808"/>
                <w:lang w:val="es-CO"/>
              </w:rPr>
            </w:pPr>
            <w:r w:rsidRPr="0009182C">
              <w:rPr>
                <w:rFonts w:ascii="Cambria" w:eastAsia="Times New Roman" w:hAnsi="Cambria"/>
                <w:lang w:val="es-CO" w:eastAsia="es-ES_tradnl"/>
              </w:rPr>
              <w:t>Una vez cumplido íntegramente el presente Acuerdo de Solución Amistosa, el informe correspondiente de la Comisión Interamericana de Derechos Humanos, conforme a lo dispuesto por el artículo 49 de la Convención Americana sobre Derechos Humanos, será publicado en el Boletín Oficial del Estado (Gaceta Oficial) y el Portal de internet del Poder Judicial y del Ministerio de Relaciones [Exteriores].</w:t>
            </w:r>
          </w:p>
        </w:tc>
        <w:tc>
          <w:tcPr>
            <w:tcW w:w="1701" w:type="dxa"/>
            <w:tcBorders>
              <w:top w:val="single" w:sz="4" w:space="0" w:color="auto"/>
              <w:left w:val="single" w:sz="4" w:space="0" w:color="auto"/>
              <w:bottom w:val="single" w:sz="4" w:space="0" w:color="auto"/>
              <w:right w:val="single" w:sz="4" w:space="0" w:color="auto"/>
            </w:tcBorders>
            <w:vAlign w:val="center"/>
          </w:tcPr>
          <w:p w14:paraId="7E73ECDA" w14:textId="77777777" w:rsidR="003B3362" w:rsidRPr="0009182C" w:rsidRDefault="003B3362" w:rsidP="00F024F0">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Fonts w:ascii="Cambria" w:eastAsia="Batang" w:hAnsi="Cambria"/>
                <w:b/>
                <w:color w:val="080808"/>
                <w:vertAlign w:val="superscript"/>
                <w:lang w:val="es-CO"/>
              </w:rPr>
              <w:footnoteReference w:id="5"/>
            </w:r>
          </w:p>
        </w:tc>
      </w:tr>
    </w:tbl>
    <w:p w14:paraId="34780440" w14:textId="77777777" w:rsidR="003B3362" w:rsidRPr="0009182C" w:rsidRDefault="003B3362" w:rsidP="003B3362">
      <w:pPr>
        <w:spacing w:after="0" w:line="240" w:lineRule="auto"/>
        <w:rPr>
          <w:rFonts w:ascii="Cambria" w:hAnsi="Cambria"/>
          <w:lang w:val="es-CO"/>
        </w:rPr>
      </w:pPr>
    </w:p>
    <w:p w14:paraId="7B47E084" w14:textId="77777777" w:rsidR="003B3362" w:rsidRPr="0009182C" w:rsidRDefault="003B3362" w:rsidP="003B3362">
      <w:pPr>
        <w:spacing w:after="0" w:line="240" w:lineRule="auto"/>
        <w:rPr>
          <w:rFonts w:ascii="Cambria" w:hAnsi="Cambria"/>
          <w:lang w:val="es-CO"/>
        </w:rPr>
        <w:sectPr w:rsidR="003B3362" w:rsidRPr="0009182C" w:rsidSect="00260DDA">
          <w:pgSz w:w="12240" w:h="15840"/>
          <w:pgMar w:top="1440" w:right="1440" w:bottom="1440" w:left="1440" w:header="720" w:footer="720" w:gutter="0"/>
          <w:pgNumType w:start="1"/>
          <w:cols w:space="720"/>
          <w:docGrid w:linePitch="360"/>
        </w:sectPr>
      </w:pPr>
    </w:p>
    <w:p w14:paraId="0F7D1CEB" w14:textId="77777777" w:rsidR="003B3362" w:rsidRPr="0009182C" w:rsidRDefault="003B3362" w:rsidP="003B3362">
      <w:pPr>
        <w:numPr>
          <w:ilvl w:val="0"/>
          <w:numId w:val="37"/>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NIVEL DE CUMPLIMIENTO DEL CASO</w:t>
      </w:r>
    </w:p>
    <w:p w14:paraId="4DCB2BAD" w14:textId="77777777" w:rsidR="003B3362" w:rsidRPr="0009182C" w:rsidRDefault="003B3362" w:rsidP="003B3362">
      <w:pPr>
        <w:spacing w:after="0" w:line="240" w:lineRule="auto"/>
        <w:ind w:firstLine="720"/>
        <w:jc w:val="both"/>
        <w:rPr>
          <w:rFonts w:ascii="Cambria" w:eastAsia="Batang" w:hAnsi="Cambria" w:cs="Calibri Light"/>
          <w:color w:val="080808"/>
          <w:lang w:val="es-CO"/>
        </w:rPr>
      </w:pPr>
    </w:p>
    <w:p w14:paraId="0657708E" w14:textId="77777777" w:rsidR="003B3362" w:rsidRPr="0009182C" w:rsidRDefault="003B3362" w:rsidP="003B3362">
      <w:pPr>
        <w:numPr>
          <w:ilvl w:val="0"/>
          <w:numId w:val="38"/>
        </w:numPr>
        <w:spacing w:after="0" w:line="240" w:lineRule="auto"/>
        <w:ind w:left="0" w:firstLine="720"/>
        <w:jc w:val="both"/>
        <w:rPr>
          <w:rFonts w:ascii="Cambria" w:hAnsi="Cambria"/>
          <w:color w:val="080808"/>
          <w:lang w:val="es-CO"/>
        </w:rPr>
      </w:pPr>
      <w:r w:rsidRPr="0009182C">
        <w:rPr>
          <w:rFonts w:ascii="Cambria" w:hAnsi="Cambria"/>
          <w:color w:val="080808"/>
          <w:lang w:val="es-CO"/>
        </w:rPr>
        <w:t>La Comisión declaró el cumplimiento total del asunto y el cese del seguimiento del acuerdo de solución amistosa en el Informe Anual de 2021.</w:t>
      </w:r>
    </w:p>
    <w:p w14:paraId="6385AFDB" w14:textId="77777777" w:rsidR="003B3362" w:rsidRPr="0009182C" w:rsidRDefault="003B3362" w:rsidP="003B3362">
      <w:pPr>
        <w:spacing w:after="0" w:line="240" w:lineRule="auto"/>
        <w:ind w:firstLine="720"/>
        <w:jc w:val="both"/>
        <w:rPr>
          <w:rFonts w:ascii="Cambria" w:eastAsia="Batang" w:hAnsi="Cambria" w:cs="Calibri Light"/>
          <w:b/>
          <w:color w:val="080808"/>
          <w:lang w:val="es-CO"/>
        </w:rPr>
      </w:pPr>
    </w:p>
    <w:p w14:paraId="1AB84E36"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2B9D2571" w14:textId="77777777" w:rsidR="003B3362" w:rsidRPr="0009182C" w:rsidRDefault="003B3362" w:rsidP="003B3362">
      <w:pPr>
        <w:spacing w:after="0" w:line="240" w:lineRule="auto"/>
        <w:ind w:firstLine="720"/>
        <w:contextualSpacing/>
        <w:jc w:val="both"/>
        <w:rPr>
          <w:rFonts w:ascii="Cambria" w:eastAsia="Batang" w:hAnsi="Cambria" w:cs="Calibri Light"/>
          <w:b/>
          <w:color w:val="080808"/>
          <w:lang w:val="es-CO"/>
        </w:rPr>
      </w:pPr>
    </w:p>
    <w:p w14:paraId="46B21FE4" w14:textId="77777777" w:rsidR="003B3362" w:rsidRPr="0009182C" w:rsidRDefault="003B3362" w:rsidP="003B3362">
      <w:pPr>
        <w:numPr>
          <w:ilvl w:val="1"/>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individuales del caso</w:t>
      </w:r>
    </w:p>
    <w:p w14:paraId="3A7E3E60" w14:textId="77777777" w:rsidR="003B3362" w:rsidRPr="0009182C" w:rsidRDefault="003B3362" w:rsidP="003B3362">
      <w:pPr>
        <w:spacing w:after="0" w:line="240" w:lineRule="auto"/>
        <w:ind w:left="1440" w:hanging="720"/>
        <w:contextualSpacing/>
        <w:jc w:val="both"/>
        <w:rPr>
          <w:rFonts w:ascii="Cambria" w:eastAsia="Batang" w:hAnsi="Cambria" w:cs="Calibri Light"/>
          <w:b/>
          <w:color w:val="080808"/>
          <w:lang w:val="es-CO"/>
        </w:rPr>
      </w:pPr>
    </w:p>
    <w:p w14:paraId="182BCCD5" w14:textId="30AD51DB" w:rsidR="003B3362" w:rsidRPr="0009182C" w:rsidRDefault="003B3362" w:rsidP="003B3362">
      <w:pPr>
        <w:numPr>
          <w:ilvl w:val="0"/>
          <w:numId w:val="16"/>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 xml:space="preserve">A los efectos de honrar la memoria del joven Jorge Enrique Patino Palacios, el Estado designó con el nombre de la </w:t>
      </w:r>
      <w:r w:rsidR="0009182C" w:rsidRPr="0009182C">
        <w:rPr>
          <w:rFonts w:ascii="Cambria" w:eastAsia="Batang" w:hAnsi="Cambria" w:cs="Calibri Light"/>
          <w:color w:val="080808"/>
          <w:lang w:val="es-CO"/>
        </w:rPr>
        <w:t>víctima</w:t>
      </w:r>
      <w:r w:rsidRPr="0009182C">
        <w:rPr>
          <w:rFonts w:ascii="Cambria" w:eastAsia="Batang" w:hAnsi="Cambria" w:cs="Calibri Light"/>
          <w:color w:val="080808"/>
          <w:lang w:val="es-CO"/>
        </w:rPr>
        <w:t xml:space="preserve"> una sala de audiencias en el Palacio de Justicia y al “Centro de Convivencia </w:t>
      </w:r>
      <w:r w:rsidR="0009182C" w:rsidRPr="0009182C">
        <w:rPr>
          <w:rFonts w:ascii="Cambria" w:eastAsia="Batang" w:hAnsi="Cambria" w:cs="Calibri Light"/>
          <w:color w:val="080808"/>
          <w:lang w:val="es-CO"/>
        </w:rPr>
        <w:t>Pedagógica</w:t>
      </w:r>
      <w:r w:rsidRPr="0009182C">
        <w:rPr>
          <w:rFonts w:ascii="Cambria" w:eastAsia="Batang" w:hAnsi="Cambria" w:cs="Calibri Light"/>
          <w:color w:val="080808"/>
          <w:lang w:val="es-CO"/>
        </w:rPr>
        <w:t xml:space="preserve"> Ñemity” de la </w:t>
      </w:r>
      <w:r w:rsidR="0009182C" w:rsidRPr="0009182C">
        <w:rPr>
          <w:rFonts w:ascii="Cambria" w:eastAsia="Batang" w:hAnsi="Cambria" w:cs="Calibri Light"/>
          <w:color w:val="080808"/>
          <w:lang w:val="es-CO"/>
        </w:rPr>
        <w:t>Secretaría</w:t>
      </w:r>
      <w:r w:rsidRPr="0009182C">
        <w:rPr>
          <w:rFonts w:ascii="Cambria" w:eastAsia="Batang" w:hAnsi="Cambria" w:cs="Calibri Light"/>
          <w:color w:val="080808"/>
          <w:lang w:val="es-CO"/>
        </w:rPr>
        <w:t xml:space="preserve"> de la </w:t>
      </w:r>
      <w:r w:rsidR="0009182C" w:rsidRPr="0009182C">
        <w:rPr>
          <w:rFonts w:ascii="Cambria" w:eastAsia="Batang" w:hAnsi="Cambria" w:cs="Calibri Light"/>
          <w:color w:val="080808"/>
          <w:lang w:val="es-CO"/>
        </w:rPr>
        <w:t>Niñez</w:t>
      </w:r>
      <w:r w:rsidRPr="0009182C">
        <w:rPr>
          <w:rFonts w:ascii="Cambria" w:eastAsia="Batang" w:hAnsi="Cambria" w:cs="Calibri Light"/>
          <w:color w:val="080808"/>
          <w:lang w:val="es-CO"/>
        </w:rPr>
        <w:t xml:space="preserve"> y Adolescencia </w:t>
      </w:r>
      <w:r w:rsidR="005A732D" w:rsidRPr="0009182C">
        <w:rPr>
          <w:rFonts w:ascii="Cambria" w:eastAsia="Batang" w:hAnsi="Cambria" w:cs="Calibri Light"/>
          <w:color w:val="080808"/>
          <w:lang w:val="es-CO"/>
        </w:rPr>
        <w:t>institución</w:t>
      </w:r>
      <w:r w:rsidRPr="0009182C">
        <w:rPr>
          <w:rFonts w:ascii="Cambria" w:eastAsia="Batang" w:hAnsi="Cambria" w:cs="Calibri Light"/>
          <w:color w:val="080808"/>
          <w:lang w:val="es-CO"/>
        </w:rPr>
        <w:t xml:space="preserve"> destinada a brindar </w:t>
      </w:r>
      <w:r w:rsidR="0009182C" w:rsidRPr="0009182C">
        <w:rPr>
          <w:rFonts w:ascii="Cambria" w:eastAsia="Batang" w:hAnsi="Cambria" w:cs="Calibri Light"/>
          <w:color w:val="080808"/>
          <w:lang w:val="es-CO"/>
        </w:rPr>
        <w:t>educación</w:t>
      </w:r>
      <w:r w:rsidRPr="0009182C">
        <w:rPr>
          <w:rFonts w:ascii="Cambria" w:eastAsia="Batang" w:hAnsi="Cambria" w:cs="Calibri Light"/>
          <w:color w:val="080808"/>
          <w:lang w:val="es-CO"/>
        </w:rPr>
        <w:t xml:space="preserve"> y salud para los </w:t>
      </w:r>
      <w:r w:rsidR="005A732D" w:rsidRPr="0009182C">
        <w:rPr>
          <w:rFonts w:ascii="Cambria" w:eastAsia="Batang" w:hAnsi="Cambria" w:cs="Calibri Light"/>
          <w:color w:val="080808"/>
          <w:lang w:val="es-CO"/>
        </w:rPr>
        <w:t>niños</w:t>
      </w:r>
      <w:r w:rsidRPr="0009182C">
        <w:rPr>
          <w:rFonts w:ascii="Cambria" w:eastAsia="Batang" w:hAnsi="Cambria" w:cs="Calibri Light"/>
          <w:color w:val="080808"/>
          <w:lang w:val="es-CO"/>
        </w:rPr>
        <w:t xml:space="preserve"> y adolescentes en </w:t>
      </w:r>
      <w:r w:rsidR="005A732D" w:rsidRPr="0009182C">
        <w:rPr>
          <w:rFonts w:ascii="Cambria" w:eastAsia="Batang" w:hAnsi="Cambria" w:cs="Calibri Light"/>
          <w:color w:val="080808"/>
          <w:lang w:val="es-CO"/>
        </w:rPr>
        <w:t>situación</w:t>
      </w:r>
      <w:r w:rsidRPr="0009182C">
        <w:rPr>
          <w:rFonts w:ascii="Cambria" w:eastAsia="Batang" w:hAnsi="Cambria" w:cs="Calibri Light"/>
          <w:color w:val="080808"/>
          <w:lang w:val="es-CO"/>
        </w:rPr>
        <w:t xml:space="preserve"> de abandono ubicada en Reducto San Lorenzo. </w:t>
      </w:r>
    </w:p>
    <w:p w14:paraId="635DC6B1" w14:textId="77777777" w:rsidR="003B3362" w:rsidRPr="0009182C" w:rsidRDefault="003B3362" w:rsidP="003B3362">
      <w:pPr>
        <w:tabs>
          <w:tab w:val="left" w:pos="0"/>
        </w:tabs>
        <w:spacing w:after="0" w:line="240" w:lineRule="auto"/>
        <w:ind w:left="720"/>
        <w:contextualSpacing/>
        <w:jc w:val="both"/>
        <w:rPr>
          <w:rFonts w:ascii="Cambria" w:hAnsi="Cambria"/>
          <w:color w:val="080808"/>
          <w:lang w:val="es-CO"/>
        </w:rPr>
      </w:pPr>
    </w:p>
    <w:p w14:paraId="1F9C60CD" w14:textId="77777777" w:rsidR="003B3362" w:rsidRPr="0009182C" w:rsidRDefault="003B3362" w:rsidP="003B3362">
      <w:pPr>
        <w:numPr>
          <w:ilvl w:val="1"/>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estructurales del caso</w:t>
      </w:r>
    </w:p>
    <w:p w14:paraId="4D3A4C8C" w14:textId="77777777" w:rsidR="003B3362" w:rsidRPr="0009182C" w:rsidRDefault="003B3362" w:rsidP="003B3362">
      <w:pPr>
        <w:tabs>
          <w:tab w:val="left" w:pos="0"/>
        </w:tabs>
        <w:spacing w:after="0" w:line="240" w:lineRule="auto"/>
        <w:contextualSpacing/>
        <w:jc w:val="both"/>
        <w:rPr>
          <w:rFonts w:ascii="Cambria" w:eastAsia="Batang" w:hAnsi="Cambria" w:cs="Calibri Light"/>
          <w:color w:val="080808"/>
          <w:lang w:val="es-CO"/>
        </w:rPr>
      </w:pPr>
    </w:p>
    <w:p w14:paraId="509779EA" w14:textId="1701EC56" w:rsidR="003B3362" w:rsidRPr="0009182C" w:rsidRDefault="003B3362" w:rsidP="003B3362">
      <w:pPr>
        <w:numPr>
          <w:ilvl w:val="0"/>
          <w:numId w:val="36"/>
        </w:numPr>
        <w:spacing w:after="0" w:line="240" w:lineRule="auto"/>
        <w:ind w:left="1440" w:right="72" w:hanging="720"/>
        <w:jc w:val="both"/>
        <w:rPr>
          <w:rFonts w:ascii="Cambria" w:eastAsia="MS Mincho" w:hAnsi="Cambria"/>
          <w:color w:val="000000"/>
          <w:lang w:val="es-CO" w:eastAsia="es-ES_tradnl"/>
        </w:rPr>
      </w:pPr>
      <w:r w:rsidRPr="0009182C">
        <w:rPr>
          <w:rFonts w:ascii="Cambria" w:eastAsia="Times New Roman" w:hAnsi="Cambria"/>
          <w:lang w:val="es-CO" w:eastAsia="es-ES_tradnl"/>
        </w:rPr>
        <w:t xml:space="preserve">El Estado capacitó a los Magistrados del Fuero Penal, los miembros del Ministerio </w:t>
      </w:r>
      <w:r w:rsidR="005A732D" w:rsidRPr="0009182C">
        <w:rPr>
          <w:rFonts w:ascii="Cambria" w:eastAsia="Times New Roman" w:hAnsi="Cambria"/>
          <w:lang w:val="es-CO" w:eastAsia="es-ES_tradnl"/>
        </w:rPr>
        <w:t>Público</w:t>
      </w:r>
      <w:r w:rsidRPr="0009182C">
        <w:rPr>
          <w:rFonts w:ascii="Cambria" w:eastAsia="Times New Roman" w:hAnsi="Cambria"/>
          <w:lang w:val="es-CO" w:eastAsia="es-ES_tradnl"/>
        </w:rPr>
        <w:t xml:space="preserve"> y del Departamento de </w:t>
      </w:r>
      <w:r w:rsidR="005A732D" w:rsidRPr="0009182C">
        <w:rPr>
          <w:rFonts w:ascii="Cambria" w:eastAsia="Times New Roman" w:hAnsi="Cambria"/>
          <w:lang w:val="es-CO" w:eastAsia="es-ES_tradnl"/>
        </w:rPr>
        <w:t>Investigación</w:t>
      </w:r>
      <w:r w:rsidRPr="0009182C">
        <w:rPr>
          <w:rFonts w:ascii="Cambria" w:eastAsia="Times New Roman" w:hAnsi="Cambria"/>
          <w:lang w:val="es-CO" w:eastAsia="es-ES_tradnl"/>
        </w:rPr>
        <w:t xml:space="preserve"> de delitos, un curso o seminario sobre </w:t>
      </w:r>
      <w:r w:rsidR="005A732D" w:rsidRPr="0009182C">
        <w:rPr>
          <w:rFonts w:ascii="Cambria" w:eastAsia="Times New Roman" w:hAnsi="Cambria"/>
          <w:lang w:val="es-CO" w:eastAsia="es-ES_tradnl"/>
        </w:rPr>
        <w:t>estándares</w:t>
      </w:r>
      <w:r w:rsidRPr="0009182C">
        <w:rPr>
          <w:rFonts w:ascii="Cambria" w:eastAsia="Times New Roman" w:hAnsi="Cambria"/>
          <w:lang w:val="es-CO" w:eastAsia="es-ES_tradnl"/>
        </w:rPr>
        <w:t xml:space="preserve"> internacionales de debida diligencia en la </w:t>
      </w:r>
      <w:r w:rsidR="005A732D" w:rsidRPr="0009182C">
        <w:rPr>
          <w:rFonts w:ascii="Cambria" w:eastAsia="Times New Roman" w:hAnsi="Cambria"/>
          <w:lang w:val="es-CO" w:eastAsia="es-ES_tradnl"/>
        </w:rPr>
        <w:t>investigación</w:t>
      </w:r>
      <w:r w:rsidRPr="0009182C">
        <w:rPr>
          <w:rFonts w:ascii="Cambria" w:eastAsia="Times New Roman" w:hAnsi="Cambria"/>
          <w:lang w:val="es-CO" w:eastAsia="es-ES_tradnl"/>
        </w:rPr>
        <w:t xml:space="preserve">, la </w:t>
      </w:r>
      <w:r w:rsidR="005A732D" w:rsidRPr="0009182C">
        <w:rPr>
          <w:rFonts w:ascii="Cambria" w:eastAsia="Times New Roman" w:hAnsi="Cambria"/>
          <w:lang w:val="es-CO" w:eastAsia="es-ES_tradnl"/>
        </w:rPr>
        <w:t>recolección</w:t>
      </w:r>
      <w:r w:rsidRPr="0009182C">
        <w:rPr>
          <w:rFonts w:ascii="Cambria" w:eastAsia="Times New Roman" w:hAnsi="Cambria"/>
          <w:lang w:val="es-CO" w:eastAsia="es-ES_tradnl"/>
        </w:rPr>
        <w:t xml:space="preserve"> y </w:t>
      </w:r>
      <w:r w:rsidR="005A732D" w:rsidRPr="0009182C">
        <w:rPr>
          <w:rFonts w:ascii="Cambria" w:eastAsia="Times New Roman" w:hAnsi="Cambria"/>
          <w:lang w:val="es-CO" w:eastAsia="es-ES_tradnl"/>
        </w:rPr>
        <w:t>valoración</w:t>
      </w:r>
      <w:r w:rsidRPr="0009182C">
        <w:rPr>
          <w:rFonts w:ascii="Cambria" w:eastAsia="Times New Roman" w:hAnsi="Cambria"/>
          <w:lang w:val="es-CO" w:eastAsia="es-ES_tradnl"/>
        </w:rPr>
        <w:t xml:space="preserve"> de evidencia forense en el marco de cursos especializados sobre la responsabilidad del Estado por la negligencia o mala praxis de sus órganos judiciales.</w:t>
      </w:r>
    </w:p>
    <w:p w14:paraId="5E2CE4CA" w14:textId="77777777" w:rsidR="003B3362" w:rsidRPr="0009182C" w:rsidRDefault="003B3362" w:rsidP="003B3362">
      <w:pPr>
        <w:numPr>
          <w:ilvl w:val="0"/>
          <w:numId w:val="36"/>
        </w:numPr>
        <w:spacing w:after="0" w:line="240" w:lineRule="auto"/>
        <w:ind w:left="1440" w:right="72" w:hanging="720"/>
        <w:jc w:val="both"/>
        <w:rPr>
          <w:rFonts w:ascii="Cambria" w:eastAsia="Times New Roman" w:hAnsi="Cambria"/>
          <w:lang w:val="es-CO" w:eastAsia="es-ES_tradnl"/>
        </w:rPr>
      </w:pPr>
      <w:r w:rsidRPr="0009182C">
        <w:rPr>
          <w:rFonts w:ascii="Cambria" w:eastAsia="Times New Roman" w:hAnsi="Cambria"/>
          <w:lang w:val="es-CO" w:eastAsia="es-ES_tradnl"/>
        </w:rPr>
        <w:t xml:space="preserve">Se publicó el acuerdo de solución amistosa suscrito con los peticionarios, tanto en la página web del Ministerio de Relaciones Exteriores </w:t>
      </w:r>
      <w:bookmarkStart w:id="74" w:name="_Hlk88052218"/>
      <w:r w:rsidRPr="0009182C">
        <w:rPr>
          <w:rFonts w:ascii="Cambria" w:eastAsia="Times New Roman" w:hAnsi="Cambria"/>
          <w:lang w:val="es-CO" w:eastAsia="es-ES_tradnl"/>
        </w:rPr>
        <w:t xml:space="preserve">y del Poder Judicial, como en el Boletín Oficial del Estado. </w:t>
      </w:r>
    </w:p>
    <w:p w14:paraId="7B5210F7" w14:textId="77777777" w:rsidR="003B3362" w:rsidRPr="0009182C" w:rsidRDefault="003B3362" w:rsidP="003B3362">
      <w:pPr>
        <w:numPr>
          <w:ilvl w:val="0"/>
          <w:numId w:val="36"/>
        </w:numPr>
        <w:spacing w:after="0" w:line="240" w:lineRule="auto"/>
        <w:ind w:left="1440" w:right="72" w:hanging="720"/>
        <w:jc w:val="both"/>
        <w:rPr>
          <w:rFonts w:ascii="Cambria" w:eastAsia="Times New Roman" w:hAnsi="Cambria"/>
          <w:lang w:val="es-CO" w:eastAsia="es-ES_tradnl"/>
        </w:rPr>
      </w:pPr>
      <w:r w:rsidRPr="0009182C">
        <w:rPr>
          <w:rFonts w:ascii="Cambria" w:eastAsia="Times New Roman" w:hAnsi="Cambria"/>
          <w:lang w:val="es-CO" w:eastAsia="es-ES_tradnl"/>
        </w:rPr>
        <w:t xml:space="preserve">Se elaboró conjuntamente con la parte peticionaria y se aprobó por parte de la Corte Suprema de Justicia, el Ministerio Público y el Ministerio del Interior el “Protocolo de intervención en el manejo y custodia de evidencias. Compilado legal vigente 2020”. </w:t>
      </w:r>
    </w:p>
    <w:p w14:paraId="1661D00A" w14:textId="77777777" w:rsidR="003B3362" w:rsidRPr="0009182C" w:rsidRDefault="003B3362" w:rsidP="003B3362">
      <w:pPr>
        <w:numPr>
          <w:ilvl w:val="0"/>
          <w:numId w:val="36"/>
        </w:numPr>
        <w:spacing w:after="0" w:line="240" w:lineRule="auto"/>
        <w:ind w:left="1440" w:right="72" w:hanging="720"/>
        <w:jc w:val="both"/>
        <w:rPr>
          <w:rFonts w:ascii="Cambria" w:eastAsia="Times New Roman" w:hAnsi="Cambria"/>
          <w:lang w:val="es-CO" w:eastAsia="es-ES_tradnl"/>
        </w:rPr>
      </w:pPr>
      <w:r w:rsidRPr="0009182C">
        <w:rPr>
          <w:rFonts w:ascii="Cambria" w:eastAsia="Times New Roman" w:hAnsi="Cambria"/>
          <w:lang w:val="es-CO" w:eastAsia="es-ES_tradnl"/>
        </w:rPr>
        <w:t>El Fiscal General del Estado emitió la Resolución No. 1181 a través de la cual resolvió “</w:t>
      </w:r>
      <w:r w:rsidRPr="0009182C">
        <w:rPr>
          <w:rFonts w:ascii="Cambria" w:eastAsia="Times New Roman" w:hAnsi="Cambria"/>
          <w:i/>
          <w:iCs/>
          <w:lang w:val="es-CO" w:eastAsia="es-ES_tradnl"/>
        </w:rPr>
        <w:t>aprobar la incorporación de los instrumentos legales aportados por el Ministerio Publico al Protocolo de intervención en el manejo de custodia de evidencias</w:t>
      </w:r>
      <w:r w:rsidRPr="0009182C">
        <w:rPr>
          <w:rFonts w:ascii="Cambria" w:eastAsia="Times New Roman" w:hAnsi="Cambria"/>
          <w:lang w:val="es-CO" w:eastAsia="es-ES_tradnl"/>
        </w:rPr>
        <w:t xml:space="preserve">” y dispuso la difusión del protocolo a todas las dependencias del Ministerio Publico para su concreta aplicación. </w:t>
      </w:r>
    </w:p>
    <w:p w14:paraId="7B2341ED" w14:textId="2C5D8A00" w:rsidR="003B3362" w:rsidRPr="0009182C" w:rsidRDefault="003B3362" w:rsidP="003B3362">
      <w:pPr>
        <w:numPr>
          <w:ilvl w:val="0"/>
          <w:numId w:val="36"/>
        </w:numPr>
        <w:spacing w:after="0" w:line="240" w:lineRule="auto"/>
        <w:ind w:left="1440" w:right="72" w:hanging="720"/>
        <w:jc w:val="both"/>
        <w:rPr>
          <w:rFonts w:ascii="Cambria" w:eastAsia="Times New Roman" w:hAnsi="Cambria"/>
          <w:lang w:val="es-CO" w:eastAsia="es-ES_tradnl"/>
        </w:rPr>
        <w:sectPr w:rsidR="003B3362" w:rsidRPr="0009182C" w:rsidSect="003B3362">
          <w:pgSz w:w="12240" w:h="15840"/>
          <w:pgMar w:top="1440" w:right="1440" w:bottom="1440" w:left="1440" w:header="720" w:footer="720" w:gutter="0"/>
          <w:pgNumType w:start="1"/>
          <w:cols w:space="720"/>
          <w:docGrid w:linePitch="360"/>
        </w:sectPr>
      </w:pPr>
      <w:r w:rsidRPr="0009182C">
        <w:rPr>
          <w:rFonts w:ascii="Cambria" w:eastAsia="Times New Roman" w:hAnsi="Cambria"/>
          <w:lang w:val="es-CO" w:eastAsia="es-ES_tradnl"/>
        </w:rPr>
        <w:t>La Comandancia de la Policía Nacional, dependiente del Ministerio del Interior, dictó la Resolución No. 355 “Por la cual se aprueba e incorpora el Protocolo de intervención en el manejo y custodia de evidencias”</w:t>
      </w:r>
      <w:bookmarkEnd w:id="74"/>
      <w:r w:rsidRPr="0009182C">
        <w:rPr>
          <w:rFonts w:ascii="Cambria" w:eastAsia="Times New Roman" w:hAnsi="Cambria"/>
          <w:lang w:val="es-CO" w:eastAsia="es-ES_tradnl"/>
        </w:rPr>
        <w:t>.</w:t>
      </w:r>
    </w:p>
    <w:p w14:paraId="626767F1" w14:textId="77777777" w:rsidR="00CC5359" w:rsidRPr="0009182C" w:rsidRDefault="00CC5359" w:rsidP="00CC5359">
      <w:pPr>
        <w:spacing w:after="0" w:line="240" w:lineRule="auto"/>
        <w:ind w:right="72"/>
        <w:jc w:val="both"/>
        <w:rPr>
          <w:rFonts w:ascii="Cambria" w:eastAsia="MS Mincho" w:hAnsi="Cambria"/>
          <w:color w:val="000000"/>
          <w:lang w:val="es-CO"/>
        </w:rPr>
        <w:sectPr w:rsidR="00CC5359" w:rsidRPr="0009182C" w:rsidSect="00CC5359">
          <w:type w:val="continuous"/>
          <w:pgSz w:w="12240" w:h="15840"/>
          <w:pgMar w:top="1440" w:right="1440" w:bottom="1440" w:left="1440" w:header="720" w:footer="720" w:gutter="0"/>
          <w:pgNumType w:start="1"/>
          <w:cols w:space="720"/>
          <w:docGrid w:linePitch="360"/>
        </w:sectPr>
      </w:pPr>
    </w:p>
    <w:p w14:paraId="17ABE21E" w14:textId="1B234FFB" w:rsidR="00260DDA" w:rsidRPr="0009182C" w:rsidRDefault="00260DDA" w:rsidP="003B3362">
      <w:pPr>
        <w:spacing w:after="0" w:line="240" w:lineRule="auto"/>
        <w:ind w:right="72"/>
        <w:rPr>
          <w:rFonts w:ascii="Cambria" w:eastAsia="Times New Roman" w:hAnsi="Cambria"/>
          <w:lang w:val="es-CO" w:eastAsia="es-ES_tradnl"/>
        </w:rPr>
      </w:pPr>
    </w:p>
    <w:sectPr w:rsidR="00260DDA" w:rsidRPr="0009182C" w:rsidSect="003B3362">
      <w:footerReference w:type="default" r:id="rId17"/>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D96B" w14:textId="77777777" w:rsidR="008B0045" w:rsidRDefault="008B0045" w:rsidP="00A343FF">
      <w:pPr>
        <w:spacing w:after="0" w:line="240" w:lineRule="auto"/>
      </w:pPr>
      <w:r>
        <w:separator/>
      </w:r>
    </w:p>
  </w:endnote>
  <w:endnote w:type="continuationSeparator" w:id="0">
    <w:p w14:paraId="3AE5AFD1" w14:textId="77777777" w:rsidR="008B0045" w:rsidRDefault="008B0045"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753B" w14:textId="77777777" w:rsidR="0016622B" w:rsidRDefault="00504286" w:rsidP="0016622B">
    <w:pPr>
      <w:pStyle w:val="Footer"/>
      <w:spacing w:line="360" w:lineRule="auto"/>
      <w:jc w:val="right"/>
    </w:pPr>
    <w:bookmarkStart w:id="52" w:name="_Hlk129090884"/>
    <w:bookmarkStart w:id="53" w:name="_Hlk129090885"/>
    <w:bookmarkStart w:id="54" w:name="_Hlk129091044"/>
    <w:bookmarkStart w:id="55" w:name="_Hlk129091045"/>
    <w:bookmarkStart w:id="56" w:name="_Hlk129091049"/>
    <w:bookmarkStart w:id="57" w:name="_Hlk129091050"/>
    <w:bookmarkStart w:id="58" w:name="_Hlk129091188"/>
    <w:bookmarkStart w:id="59" w:name="_Hlk129091189"/>
    <w:bookmarkStart w:id="60" w:name="_Hlk129091982"/>
    <w:bookmarkStart w:id="61" w:name="_Hlk129091983"/>
    <w:bookmarkStart w:id="62" w:name="_Hlk129092109"/>
    <w:bookmarkStart w:id="63" w:name="_Hlk129092110"/>
    <w:bookmarkStart w:id="64" w:name="_Hlk129092206"/>
    <w:bookmarkStart w:id="65" w:name="_Hlk129092207"/>
    <w:bookmarkStart w:id="66" w:name="_Hlk129092304"/>
    <w:bookmarkStart w:id="67" w:name="_Hlk129092305"/>
    <w:bookmarkStart w:id="68" w:name="_Hlk129092365"/>
    <w:bookmarkStart w:id="69" w:name="_Hlk129092366"/>
    <w:bookmarkStart w:id="70" w:name="_Hlk129092414"/>
    <w:bookmarkStart w:id="71" w:name="_Hlk129092415"/>
    <w:bookmarkStart w:id="72" w:name="_Hlk129092467"/>
    <w:bookmarkStart w:id="73" w:name="_Hlk129092468"/>
    <w:r>
      <w:pict w14:anchorId="760A5482">
        <v:rect id="_x0000_i1027" style="width:0;height:1.5pt" o:hralign="center" o:hrstd="t" o:hr="t" fillcolor="#a0a0a0" stroked="f"/>
      </w:pict>
    </w:r>
  </w:p>
  <w:p w14:paraId="0E844130" w14:textId="21A68A80" w:rsidR="0016622B" w:rsidRDefault="0016622B" w:rsidP="0016622B">
    <w:pPr>
      <w:pStyle w:val="Footer"/>
      <w:jc w:val="center"/>
    </w:pPr>
    <w:r w:rsidRPr="008A5CB5">
      <w:rPr>
        <w:noProof/>
      </w:rPr>
      <w:drawing>
        <wp:inline distT="0" distB="0" distL="0" distR="0" wp14:anchorId="0558EA3A" wp14:editId="66FD6207">
          <wp:extent cx="5117465" cy="324485"/>
          <wp:effectExtent l="0" t="0" r="6985" b="0"/>
          <wp:docPr id="4" name="Picture 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C728E51" w14:textId="77777777" w:rsidR="00986996" w:rsidRDefault="00986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2A23" w14:textId="77777777" w:rsidR="001F2C9E" w:rsidRDefault="0050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DD41" w14:textId="77777777" w:rsidR="008B0045" w:rsidRDefault="008B0045" w:rsidP="00A343FF">
      <w:pPr>
        <w:spacing w:after="0" w:line="240" w:lineRule="auto"/>
      </w:pPr>
      <w:r>
        <w:separator/>
      </w:r>
    </w:p>
  </w:footnote>
  <w:footnote w:type="continuationSeparator" w:id="0">
    <w:p w14:paraId="6C9EBCF9" w14:textId="77777777" w:rsidR="008B0045" w:rsidRDefault="008B0045" w:rsidP="00A343FF">
      <w:pPr>
        <w:spacing w:after="0" w:line="240" w:lineRule="auto"/>
      </w:pPr>
      <w:r>
        <w:continuationSeparator/>
      </w:r>
    </w:p>
  </w:footnote>
  <w:footnote w:id="1">
    <w:p w14:paraId="0621C416" w14:textId="03402BE4" w:rsidR="003B3362" w:rsidRPr="00254A60" w:rsidRDefault="003B3362" w:rsidP="00254A60">
      <w:pPr>
        <w:pStyle w:val="FootnoteText"/>
        <w:spacing w:after="0" w:line="240" w:lineRule="auto"/>
        <w:ind w:firstLine="709"/>
        <w:jc w:val="both"/>
        <w:rPr>
          <w:rFonts w:ascii="Cambria" w:hAnsi="Cambria"/>
          <w:sz w:val="16"/>
          <w:szCs w:val="16"/>
          <w:lang w:val="es-ES"/>
        </w:rPr>
      </w:pPr>
      <w:r w:rsidRPr="00254A60">
        <w:rPr>
          <w:rStyle w:val="FootnoteReference"/>
          <w:rFonts w:ascii="Cambria" w:hAnsi="Cambria"/>
          <w:sz w:val="16"/>
          <w:szCs w:val="16"/>
        </w:rPr>
        <w:footnoteRef/>
      </w:r>
      <w:r w:rsidRPr="00254A60">
        <w:rPr>
          <w:rFonts w:ascii="Cambria" w:hAnsi="Cambria"/>
          <w:sz w:val="16"/>
          <w:szCs w:val="16"/>
          <w:lang w:val="es-ES"/>
        </w:rPr>
        <w:t xml:space="preserve"> Ver CIDH, Informe Anual 2021, </w:t>
      </w:r>
      <w:r w:rsidR="006A6F49" w:rsidRPr="00254A60">
        <w:rPr>
          <w:rFonts w:ascii="Cambria" w:hAnsi="Cambria"/>
          <w:sz w:val="16"/>
          <w:szCs w:val="16"/>
          <w:lang w:val="es-ES"/>
        </w:rPr>
        <w:t>Capítulo</w:t>
      </w:r>
      <w:r w:rsidRPr="00254A60">
        <w:rPr>
          <w:rFonts w:ascii="Cambria" w:hAnsi="Cambria"/>
          <w:sz w:val="16"/>
          <w:szCs w:val="16"/>
          <w:lang w:val="es-ES"/>
        </w:rPr>
        <w:t xml:space="preserve"> II, Sección F: </w:t>
      </w:r>
      <w:r w:rsidRPr="00254A60">
        <w:rPr>
          <w:rFonts w:ascii="Cambria" w:hAnsi="Cambria"/>
          <w:sz w:val="16"/>
          <w:szCs w:val="16"/>
          <w:lang w:val="es-CO"/>
        </w:rPr>
        <w:t xml:space="preserve">Avances y retrocesos en materia de </w:t>
      </w:r>
      <w:r w:rsidR="006A6F49" w:rsidRPr="00254A60">
        <w:rPr>
          <w:rFonts w:ascii="Cambria" w:hAnsi="Cambria"/>
          <w:sz w:val="16"/>
          <w:szCs w:val="16"/>
          <w:lang w:val="es-CO"/>
        </w:rPr>
        <w:t>negociación</w:t>
      </w:r>
      <w:r w:rsidRPr="00254A60">
        <w:rPr>
          <w:rFonts w:ascii="Cambria" w:hAnsi="Cambria"/>
          <w:sz w:val="16"/>
          <w:szCs w:val="16"/>
          <w:lang w:val="es-CO"/>
        </w:rPr>
        <w:t xml:space="preserve"> e </w:t>
      </w:r>
      <w:r w:rsidR="006A6F49" w:rsidRPr="00254A60">
        <w:rPr>
          <w:rFonts w:ascii="Cambria" w:hAnsi="Cambria"/>
          <w:sz w:val="16"/>
          <w:szCs w:val="16"/>
          <w:lang w:val="es-CO"/>
        </w:rPr>
        <w:t>implementación</w:t>
      </w:r>
      <w:r w:rsidRPr="00254A60">
        <w:rPr>
          <w:rFonts w:ascii="Cambria" w:hAnsi="Cambria"/>
          <w:sz w:val="16"/>
          <w:szCs w:val="16"/>
          <w:lang w:val="es-CO"/>
        </w:rPr>
        <w:t xml:space="preserve"> de acuerdos de </w:t>
      </w:r>
      <w:r w:rsidR="006A6F49" w:rsidRPr="00254A60">
        <w:rPr>
          <w:rFonts w:ascii="Cambria" w:hAnsi="Cambria"/>
          <w:sz w:val="16"/>
          <w:szCs w:val="16"/>
          <w:lang w:val="es-CO"/>
        </w:rPr>
        <w:t>s</w:t>
      </w:r>
      <w:r w:rsidR="006A6F49" w:rsidRPr="00254A60">
        <w:rPr>
          <w:rFonts w:ascii="Cambria" w:hAnsi="Cambria"/>
          <w:color w:val="000000" w:themeColor="text1"/>
          <w:sz w:val="16"/>
          <w:szCs w:val="16"/>
          <w:lang w:val="es-CO"/>
        </w:rPr>
        <w:t>olución</w:t>
      </w:r>
      <w:r w:rsidRPr="00254A60">
        <w:rPr>
          <w:rFonts w:ascii="Cambria" w:hAnsi="Cambria"/>
          <w:color w:val="000000" w:themeColor="text1"/>
          <w:sz w:val="16"/>
          <w:szCs w:val="16"/>
          <w:lang w:val="es-CO"/>
        </w:rPr>
        <w:t xml:space="preserve"> amistosa, Disponible en: </w:t>
      </w:r>
      <w:hyperlink r:id="rId1" w:history="1">
        <w:r w:rsidRPr="00254A60">
          <w:rPr>
            <w:rStyle w:val="Hyperlink"/>
            <w:rFonts w:ascii="Cambria" w:hAnsi="Cambria"/>
            <w:color w:val="000000" w:themeColor="text1"/>
            <w:sz w:val="16"/>
            <w:szCs w:val="16"/>
            <w:lang w:val="es-CO"/>
          </w:rPr>
          <w:t>https://www.oas.org/es/cidh/docs/anual/2021/capitulos/IA2021cap2-es.pdf</w:t>
        </w:r>
      </w:hyperlink>
    </w:p>
  </w:footnote>
  <w:footnote w:id="2">
    <w:p w14:paraId="586C369D" w14:textId="77777777" w:rsidR="003B3362" w:rsidRPr="00254A60" w:rsidRDefault="003B3362" w:rsidP="00254A60">
      <w:pPr>
        <w:pStyle w:val="FootnoteText"/>
        <w:spacing w:after="0" w:line="240" w:lineRule="auto"/>
        <w:ind w:firstLine="709"/>
        <w:jc w:val="both"/>
        <w:rPr>
          <w:rFonts w:ascii="Cambria" w:hAnsi="Cambria"/>
          <w:color w:val="000000" w:themeColor="text1"/>
          <w:sz w:val="16"/>
          <w:szCs w:val="16"/>
          <w:lang w:val="es-AR"/>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pt-PT"/>
        </w:rPr>
        <w:t xml:space="preserve"> CIDH, Informe No. 85/20, Caso 12.374. Solución Amistosa. Jorge Enrique Patiño Palacios. Paraguay. </w:t>
      </w:r>
      <w:r w:rsidRPr="00254A60">
        <w:rPr>
          <w:rFonts w:ascii="Cambria" w:hAnsi="Cambria"/>
          <w:color w:val="000000" w:themeColor="text1"/>
          <w:sz w:val="16"/>
          <w:szCs w:val="16"/>
          <w:lang w:val="es-MX"/>
        </w:rPr>
        <w:t xml:space="preserve">1 de junio 2020. </w:t>
      </w:r>
      <w:hyperlink r:id="rId2" w:history="1">
        <w:r w:rsidRPr="00254A60">
          <w:rPr>
            <w:rStyle w:val="Hyperlink"/>
            <w:rFonts w:ascii="Cambria" w:hAnsi="Cambria"/>
            <w:color w:val="000000" w:themeColor="text1"/>
            <w:sz w:val="16"/>
            <w:szCs w:val="16"/>
            <w:lang w:val="es-MX"/>
          </w:rPr>
          <w:t>http://www.oas.org/es/cidh/decisiones/2020/pysa12374es.pdf</w:t>
        </w:r>
      </w:hyperlink>
    </w:p>
  </w:footnote>
  <w:footnote w:id="3">
    <w:p w14:paraId="4A780ED5" w14:textId="32C17CF4" w:rsidR="003B3362" w:rsidRPr="00254A60" w:rsidRDefault="003B3362" w:rsidP="00254A60">
      <w:pPr>
        <w:pStyle w:val="FootnoteText"/>
        <w:spacing w:after="0" w:line="240" w:lineRule="auto"/>
        <w:ind w:firstLine="709"/>
        <w:jc w:val="both"/>
        <w:rPr>
          <w:rFonts w:ascii="Cambria" w:hAnsi="Cambria"/>
          <w:color w:val="000000" w:themeColor="text1"/>
          <w:sz w:val="16"/>
          <w:szCs w:val="16"/>
          <w:lang w:val="es-AR"/>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ES"/>
        </w:rPr>
        <w:t xml:space="preserve"> Ver CIDH, Informe Anual 2021, </w:t>
      </w:r>
      <w:r w:rsidR="0009182C" w:rsidRPr="00254A60">
        <w:rPr>
          <w:rFonts w:ascii="Cambria" w:hAnsi="Cambria"/>
          <w:color w:val="000000" w:themeColor="text1"/>
          <w:sz w:val="16"/>
          <w:szCs w:val="16"/>
          <w:lang w:val="es-ES"/>
        </w:rPr>
        <w:t>Capítulo</w:t>
      </w:r>
      <w:r w:rsidRPr="00254A60">
        <w:rPr>
          <w:rFonts w:ascii="Cambria" w:hAnsi="Cambria"/>
          <w:color w:val="000000" w:themeColor="text1"/>
          <w:sz w:val="16"/>
          <w:szCs w:val="16"/>
          <w:lang w:val="es-ES"/>
        </w:rPr>
        <w:t xml:space="preserve"> II, Sección F: </w:t>
      </w:r>
      <w:r w:rsidRPr="00254A60">
        <w:rPr>
          <w:rFonts w:ascii="Cambria" w:hAnsi="Cambria"/>
          <w:color w:val="000000" w:themeColor="text1"/>
          <w:sz w:val="16"/>
          <w:szCs w:val="16"/>
          <w:lang w:val="es-CO"/>
        </w:rPr>
        <w:t xml:space="preserve">Avances y retrocesos en materia de </w:t>
      </w:r>
      <w:r w:rsidR="0009182C" w:rsidRPr="00254A60">
        <w:rPr>
          <w:rFonts w:ascii="Cambria" w:hAnsi="Cambria"/>
          <w:color w:val="000000" w:themeColor="text1"/>
          <w:sz w:val="16"/>
          <w:szCs w:val="16"/>
          <w:lang w:val="es-CO"/>
        </w:rPr>
        <w:t>negociación</w:t>
      </w:r>
      <w:r w:rsidRPr="00254A60">
        <w:rPr>
          <w:rFonts w:ascii="Cambria" w:hAnsi="Cambria"/>
          <w:color w:val="000000" w:themeColor="text1"/>
          <w:sz w:val="16"/>
          <w:szCs w:val="16"/>
          <w:lang w:val="es-CO"/>
        </w:rPr>
        <w:t xml:space="preserve"> e </w:t>
      </w:r>
      <w:r w:rsidR="0009182C" w:rsidRPr="00254A60">
        <w:rPr>
          <w:rFonts w:ascii="Cambria" w:hAnsi="Cambria"/>
          <w:color w:val="000000" w:themeColor="text1"/>
          <w:sz w:val="16"/>
          <w:szCs w:val="16"/>
          <w:lang w:val="es-CO"/>
        </w:rPr>
        <w:t>implementación</w:t>
      </w:r>
      <w:r w:rsidRPr="00254A60">
        <w:rPr>
          <w:rFonts w:ascii="Cambria" w:hAnsi="Cambria"/>
          <w:color w:val="000000" w:themeColor="text1"/>
          <w:sz w:val="16"/>
          <w:szCs w:val="16"/>
          <w:lang w:val="es-CO"/>
        </w:rPr>
        <w:t xml:space="preserve"> de acuerdos de </w:t>
      </w:r>
      <w:r w:rsidR="0009182C" w:rsidRPr="00254A60">
        <w:rPr>
          <w:rFonts w:ascii="Cambria" w:hAnsi="Cambria"/>
          <w:color w:val="000000" w:themeColor="text1"/>
          <w:sz w:val="16"/>
          <w:szCs w:val="16"/>
          <w:lang w:val="es-CO"/>
        </w:rPr>
        <w:t>solución</w:t>
      </w:r>
      <w:r w:rsidRPr="00254A60">
        <w:rPr>
          <w:rFonts w:ascii="Cambria" w:hAnsi="Cambria"/>
          <w:color w:val="000000" w:themeColor="text1"/>
          <w:sz w:val="16"/>
          <w:szCs w:val="16"/>
          <w:lang w:val="es-CO"/>
        </w:rPr>
        <w:t xml:space="preserve"> amistosa, Disponible en: </w:t>
      </w:r>
      <w:hyperlink r:id="rId3" w:history="1">
        <w:r w:rsidRPr="00254A60">
          <w:rPr>
            <w:rStyle w:val="Hyperlink"/>
            <w:rFonts w:ascii="Cambria" w:hAnsi="Cambria"/>
            <w:color w:val="000000" w:themeColor="text1"/>
            <w:sz w:val="16"/>
            <w:szCs w:val="16"/>
            <w:lang w:val="es-CO"/>
          </w:rPr>
          <w:t>https://www.oas.org/es/cidh/docs/anual/2021/capitulos/IA2021cap2-es.pdf</w:t>
        </w:r>
      </w:hyperlink>
    </w:p>
  </w:footnote>
  <w:footnote w:id="4">
    <w:p w14:paraId="7ADDED7F" w14:textId="77777777" w:rsidR="003B3362" w:rsidRPr="00254A60" w:rsidRDefault="003B3362" w:rsidP="00254A60">
      <w:pPr>
        <w:pStyle w:val="NormalWeb"/>
        <w:spacing w:before="0" w:beforeAutospacing="0" w:after="0" w:afterAutospacing="0"/>
        <w:ind w:firstLine="709"/>
        <w:contextualSpacing/>
        <w:jc w:val="both"/>
        <w:rPr>
          <w:rFonts w:ascii="Cambria" w:hAnsi="Cambria"/>
          <w:color w:val="000000" w:themeColor="text1"/>
          <w:sz w:val="16"/>
          <w:szCs w:val="16"/>
          <w:lang w:val="es-MX"/>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pt-PT"/>
        </w:rPr>
        <w:t xml:space="preserve"> CIDH, Informe No. 85/20, Caso 12.374. Solución Amistosa. Jorge Enrique Patiño Palacios. Paraguay. </w:t>
      </w:r>
      <w:r w:rsidRPr="00254A60">
        <w:rPr>
          <w:rFonts w:ascii="Cambria" w:hAnsi="Cambria"/>
          <w:color w:val="000000" w:themeColor="text1"/>
          <w:sz w:val="16"/>
          <w:szCs w:val="16"/>
          <w:lang w:val="es-MX"/>
        </w:rPr>
        <w:t xml:space="preserve">1 de junio 2020. </w:t>
      </w:r>
      <w:hyperlink r:id="rId4" w:history="1">
        <w:r w:rsidRPr="00254A60">
          <w:rPr>
            <w:rStyle w:val="Hyperlink"/>
            <w:rFonts w:ascii="Cambria" w:hAnsi="Cambria"/>
            <w:color w:val="000000" w:themeColor="text1"/>
            <w:sz w:val="16"/>
            <w:szCs w:val="16"/>
            <w:lang w:val="es-MX"/>
          </w:rPr>
          <w:t>http://www.oas.org/es/cidh/decisiones/2020/pysa12374es.pdf</w:t>
        </w:r>
      </w:hyperlink>
    </w:p>
  </w:footnote>
  <w:footnote w:id="5">
    <w:p w14:paraId="2EED2576" w14:textId="28802FBD" w:rsidR="003B3362" w:rsidRPr="00254A60" w:rsidRDefault="003B3362" w:rsidP="00254A60">
      <w:pPr>
        <w:pStyle w:val="FootnoteText"/>
        <w:spacing w:after="0" w:line="240" w:lineRule="auto"/>
        <w:ind w:firstLine="709"/>
        <w:contextualSpacing/>
        <w:jc w:val="both"/>
        <w:rPr>
          <w:rFonts w:ascii="Cambria" w:hAnsi="Cambria"/>
          <w:sz w:val="16"/>
          <w:szCs w:val="16"/>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ES"/>
        </w:rPr>
        <w:t xml:space="preserve"> Ver CIDH, Informe Anual 2021, </w:t>
      </w:r>
      <w:r w:rsidR="0009182C" w:rsidRPr="00254A60">
        <w:rPr>
          <w:rFonts w:ascii="Cambria" w:hAnsi="Cambria"/>
          <w:color w:val="000000" w:themeColor="text1"/>
          <w:sz w:val="16"/>
          <w:szCs w:val="16"/>
          <w:lang w:val="es-ES"/>
        </w:rPr>
        <w:t>Capítulo</w:t>
      </w:r>
      <w:r w:rsidRPr="00254A60">
        <w:rPr>
          <w:rFonts w:ascii="Cambria" w:hAnsi="Cambria"/>
          <w:color w:val="000000" w:themeColor="text1"/>
          <w:sz w:val="16"/>
          <w:szCs w:val="16"/>
          <w:lang w:val="es-ES"/>
        </w:rPr>
        <w:t xml:space="preserve"> II, Sección F: </w:t>
      </w:r>
      <w:r w:rsidRPr="00254A60">
        <w:rPr>
          <w:rFonts w:ascii="Cambria" w:hAnsi="Cambria"/>
          <w:color w:val="000000" w:themeColor="text1"/>
          <w:sz w:val="16"/>
          <w:szCs w:val="16"/>
          <w:lang w:val="es-CO"/>
        </w:rPr>
        <w:t xml:space="preserve">Avances y retrocesos en materia de </w:t>
      </w:r>
      <w:r w:rsidR="0009182C" w:rsidRPr="00254A60">
        <w:rPr>
          <w:rFonts w:ascii="Cambria" w:hAnsi="Cambria"/>
          <w:color w:val="000000" w:themeColor="text1"/>
          <w:sz w:val="16"/>
          <w:szCs w:val="16"/>
          <w:lang w:val="es-CO"/>
        </w:rPr>
        <w:t>negociación</w:t>
      </w:r>
      <w:r w:rsidRPr="00254A60">
        <w:rPr>
          <w:rFonts w:ascii="Cambria" w:hAnsi="Cambria"/>
          <w:color w:val="000000" w:themeColor="text1"/>
          <w:sz w:val="16"/>
          <w:szCs w:val="16"/>
          <w:lang w:val="es-CO"/>
        </w:rPr>
        <w:t xml:space="preserve"> e </w:t>
      </w:r>
      <w:r w:rsidR="0009182C" w:rsidRPr="00254A60">
        <w:rPr>
          <w:rFonts w:ascii="Cambria" w:hAnsi="Cambria"/>
          <w:color w:val="000000" w:themeColor="text1"/>
          <w:sz w:val="16"/>
          <w:szCs w:val="16"/>
          <w:lang w:val="es-CO"/>
        </w:rPr>
        <w:t>implementación</w:t>
      </w:r>
      <w:r w:rsidRPr="00254A60">
        <w:rPr>
          <w:rFonts w:ascii="Cambria" w:hAnsi="Cambria"/>
          <w:color w:val="000000" w:themeColor="text1"/>
          <w:sz w:val="16"/>
          <w:szCs w:val="16"/>
          <w:lang w:val="es-CO"/>
        </w:rPr>
        <w:t xml:space="preserve"> de acuerdos de </w:t>
      </w:r>
      <w:r w:rsidR="0009182C" w:rsidRPr="00254A60">
        <w:rPr>
          <w:rFonts w:ascii="Cambria" w:hAnsi="Cambria"/>
          <w:color w:val="000000" w:themeColor="text1"/>
          <w:sz w:val="16"/>
          <w:szCs w:val="16"/>
          <w:lang w:val="es-CO"/>
        </w:rPr>
        <w:t>solución</w:t>
      </w:r>
      <w:r w:rsidRPr="00254A60">
        <w:rPr>
          <w:rFonts w:ascii="Cambria" w:hAnsi="Cambria"/>
          <w:color w:val="000000" w:themeColor="text1"/>
          <w:sz w:val="16"/>
          <w:szCs w:val="16"/>
          <w:lang w:val="es-CO"/>
        </w:rPr>
        <w:t xml:space="preserve"> amistosa, Disponible en: </w:t>
      </w:r>
      <w:hyperlink r:id="rId5" w:history="1">
        <w:r w:rsidRPr="00254A60">
          <w:rPr>
            <w:rStyle w:val="Hyperlink"/>
            <w:rFonts w:ascii="Cambria" w:hAnsi="Cambria"/>
            <w:color w:val="000000" w:themeColor="text1"/>
            <w:sz w:val="16"/>
            <w:szCs w:val="16"/>
            <w:lang w:val="es-CO"/>
          </w:rPr>
          <w:t>https://www.oas.org/es/cidh/docs/anual/2021/capitulos/IA2021cap2-es.pdf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161" w14:textId="2A994F7F" w:rsidR="00786A91" w:rsidRPr="0058688A" w:rsidRDefault="00786A91" w:rsidP="00786A91">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bookmarkStart w:id="12" w:name="_Hlk129091943"/>
    <w:bookmarkStart w:id="13" w:name="_Hlk129091944"/>
    <w:bookmarkStart w:id="14" w:name="_Hlk129091951"/>
    <w:bookmarkStart w:id="15" w:name="_Hlk129091952"/>
    <w:bookmarkStart w:id="16" w:name="_Hlk129091955"/>
    <w:bookmarkStart w:id="17" w:name="_Hlk129091956"/>
    <w:bookmarkStart w:id="18" w:name="_Hlk129091959"/>
    <w:bookmarkStart w:id="19" w:name="_Hlk129091960"/>
    <w:bookmarkStart w:id="20" w:name="_Hlk129091963"/>
    <w:bookmarkStart w:id="21" w:name="_Hlk129091964"/>
    <w:bookmarkStart w:id="22" w:name="_Hlk129091966"/>
    <w:bookmarkStart w:id="23" w:name="_Hlk129091967"/>
    <w:bookmarkStart w:id="24" w:name="_Hlk129091970"/>
    <w:bookmarkStart w:id="25" w:name="_Hlk129091971"/>
    <w:bookmarkStart w:id="26" w:name="_Hlk129092063"/>
    <w:bookmarkStart w:id="27" w:name="_Hlk129092064"/>
    <w:r>
      <w:rPr>
        <w:noProof/>
        <w:lang w:val="es-ES_tradnl"/>
      </w:rPr>
      <w:drawing>
        <wp:inline distT="0" distB="0" distL="0" distR="0" wp14:anchorId="2DE3BD4C" wp14:editId="34D3560F">
          <wp:extent cx="2286000" cy="118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106FE7C3" w14:textId="77777777" w:rsidR="00786A91" w:rsidRDefault="00504286" w:rsidP="00786A91">
    <w:pPr>
      <w:pStyle w:val="Header"/>
    </w:pPr>
    <w:r>
      <w:pict w14:anchorId="14E1C735">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6ED8EE" w14:textId="77777777" w:rsidR="00986996" w:rsidRDefault="00986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F28" w14:textId="6FF52866" w:rsidR="00986996" w:rsidRDefault="00986996" w:rsidP="00986996">
    <w:pPr>
      <w:pStyle w:val="Header"/>
    </w:pPr>
    <w:bookmarkStart w:id="28" w:name="_Hlk129090378"/>
    <w:bookmarkStart w:id="29" w:name="_Hlk129090379"/>
    <w:bookmarkStart w:id="30" w:name="_Hlk129090860"/>
    <w:bookmarkStart w:id="31" w:name="_Hlk129090861"/>
    <w:bookmarkStart w:id="32" w:name="_Hlk129091020"/>
    <w:bookmarkStart w:id="33" w:name="_Hlk129091021"/>
    <w:bookmarkStart w:id="34" w:name="_Hlk129091166"/>
    <w:bookmarkStart w:id="35" w:name="_Hlk129091167"/>
    <w:bookmarkStart w:id="36" w:name="_Hlk129091892"/>
    <w:bookmarkStart w:id="37" w:name="_Hlk129091893"/>
    <w:bookmarkStart w:id="38" w:name="_Hlk129091899"/>
    <w:bookmarkStart w:id="39" w:name="_Hlk129091900"/>
    <w:bookmarkStart w:id="40" w:name="_Hlk129091905"/>
    <w:bookmarkStart w:id="41" w:name="_Hlk129091906"/>
    <w:bookmarkStart w:id="42" w:name="_Hlk129091911"/>
    <w:bookmarkStart w:id="43" w:name="_Hlk129091912"/>
    <w:bookmarkStart w:id="44" w:name="_Hlk129091916"/>
    <w:bookmarkStart w:id="45" w:name="_Hlk129091917"/>
    <w:bookmarkStart w:id="46" w:name="_Hlk129091922"/>
    <w:bookmarkStart w:id="47" w:name="_Hlk129091923"/>
    <w:bookmarkStart w:id="48" w:name="_Hlk129091926"/>
    <w:bookmarkStart w:id="49" w:name="_Hlk129091927"/>
    <w:bookmarkStart w:id="50" w:name="_Hlk129092049"/>
    <w:bookmarkStart w:id="51" w:name="_Hlk129092050"/>
    <w:r w:rsidRPr="008A5CB5">
      <w:rPr>
        <w:noProof/>
      </w:rPr>
      <w:drawing>
        <wp:inline distT="0" distB="0" distL="0" distR="0" wp14:anchorId="56BF2400" wp14:editId="6FF8564F">
          <wp:extent cx="2345055" cy="457200"/>
          <wp:effectExtent l="0" t="0" r="0" b="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01CAA8EC" wp14:editId="257761F1">
          <wp:extent cx="19431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098AA4A6" w14:textId="77777777" w:rsidR="00986996" w:rsidRDefault="00504286" w:rsidP="00986996">
    <w:pPr>
      <w:pStyle w:val="Header"/>
    </w:pPr>
    <w:r>
      <w:pict w14:anchorId="6C61DD87">
        <v:rect id="_x0000_i1026" style="width:0;height:1.5pt" o:hralign="center" o:hrstd="t" o:hr="t" fillcolor="#a0a0a0" stroked="f"/>
      </w:pic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FFC428A" w14:textId="77777777" w:rsidR="00986996" w:rsidRDefault="0098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5"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1"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6"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9"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1"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36"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35"/>
  </w:num>
  <w:num w:numId="2" w16cid:durableId="1198784672">
    <w:abstractNumId w:val="3"/>
  </w:num>
  <w:num w:numId="3" w16cid:durableId="946815819">
    <w:abstractNumId w:val="34"/>
  </w:num>
  <w:num w:numId="4" w16cid:durableId="1735083488">
    <w:abstractNumId w:val="19"/>
  </w:num>
  <w:num w:numId="5" w16cid:durableId="1809080309">
    <w:abstractNumId w:val="16"/>
  </w:num>
  <w:num w:numId="6" w16cid:durableId="2000111282">
    <w:abstractNumId w:val="37"/>
  </w:num>
  <w:num w:numId="7" w16cid:durableId="1182233948">
    <w:abstractNumId w:val="8"/>
  </w:num>
  <w:num w:numId="8" w16cid:durableId="653609088">
    <w:abstractNumId w:val="30"/>
  </w:num>
  <w:num w:numId="9" w16cid:durableId="263657786">
    <w:abstractNumId w:val="10"/>
  </w:num>
  <w:num w:numId="10" w16cid:durableId="1629429028">
    <w:abstractNumId w:val="2"/>
  </w:num>
  <w:num w:numId="11" w16cid:durableId="1415277257">
    <w:abstractNumId w:val="7"/>
  </w:num>
  <w:num w:numId="12" w16cid:durableId="98719486">
    <w:abstractNumId w:val="9"/>
  </w:num>
  <w:num w:numId="13" w16cid:durableId="643854056">
    <w:abstractNumId w:val="28"/>
  </w:num>
  <w:num w:numId="14" w16cid:durableId="1517694182">
    <w:abstractNumId w:val="12"/>
  </w:num>
  <w:num w:numId="15" w16cid:durableId="815797891">
    <w:abstractNumId w:val="33"/>
  </w:num>
  <w:num w:numId="16" w16cid:durableId="251282083">
    <w:abstractNumId w:val="6"/>
  </w:num>
  <w:num w:numId="17" w16cid:durableId="1185630687">
    <w:abstractNumId w:val="20"/>
  </w:num>
  <w:num w:numId="18" w16cid:durableId="938754063">
    <w:abstractNumId w:val="26"/>
  </w:num>
  <w:num w:numId="19" w16cid:durableId="287009962">
    <w:abstractNumId w:val="22"/>
  </w:num>
  <w:num w:numId="20" w16cid:durableId="1427114931">
    <w:abstractNumId w:val="0"/>
  </w:num>
  <w:num w:numId="21" w16cid:durableId="1996837994">
    <w:abstractNumId w:val="15"/>
  </w:num>
  <w:num w:numId="22" w16cid:durableId="1249198344">
    <w:abstractNumId w:val="1"/>
  </w:num>
  <w:num w:numId="23" w16cid:durableId="1945647392">
    <w:abstractNumId w:val="24"/>
  </w:num>
  <w:num w:numId="24" w16cid:durableId="537162661">
    <w:abstractNumId w:val="27"/>
  </w:num>
  <w:num w:numId="25" w16cid:durableId="1989938239">
    <w:abstractNumId w:val="17"/>
  </w:num>
  <w:num w:numId="26" w16cid:durableId="1967273059">
    <w:abstractNumId w:val="31"/>
  </w:num>
  <w:num w:numId="27" w16cid:durableId="1065761970">
    <w:abstractNumId w:val="13"/>
  </w:num>
  <w:num w:numId="28" w16cid:durableId="45295993">
    <w:abstractNumId w:val="4"/>
  </w:num>
  <w:num w:numId="29" w16cid:durableId="698167985">
    <w:abstractNumId w:val="21"/>
  </w:num>
  <w:num w:numId="30" w16cid:durableId="1709643113">
    <w:abstractNumId w:val="32"/>
  </w:num>
  <w:num w:numId="31" w16cid:durableId="934480746">
    <w:abstractNumId w:val="29"/>
  </w:num>
  <w:num w:numId="32" w16cid:durableId="541211672">
    <w:abstractNumId w:val="11"/>
  </w:num>
  <w:num w:numId="33" w16cid:durableId="1345130465">
    <w:abstractNumId w:val="25"/>
  </w:num>
  <w:num w:numId="34" w16cid:durableId="1757743752">
    <w:abstractNumId w:val="23"/>
  </w:num>
  <w:num w:numId="35" w16cid:durableId="83184206">
    <w:abstractNumId w:val="5"/>
  </w:num>
  <w:num w:numId="36" w16cid:durableId="1037505896">
    <w:abstractNumId w:val="36"/>
  </w:num>
  <w:num w:numId="37" w16cid:durableId="1162084678">
    <w:abstractNumId w:val="14"/>
  </w:num>
  <w:num w:numId="38" w16cid:durableId="247926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6625E"/>
    <w:rsid w:val="00080F92"/>
    <w:rsid w:val="00082741"/>
    <w:rsid w:val="000840A1"/>
    <w:rsid w:val="0009182C"/>
    <w:rsid w:val="000974AD"/>
    <w:rsid w:val="000A0354"/>
    <w:rsid w:val="000A1EFD"/>
    <w:rsid w:val="000F4520"/>
    <w:rsid w:val="00106C59"/>
    <w:rsid w:val="00121A07"/>
    <w:rsid w:val="00132D55"/>
    <w:rsid w:val="00134455"/>
    <w:rsid w:val="00162E82"/>
    <w:rsid w:val="00163E52"/>
    <w:rsid w:val="0016622B"/>
    <w:rsid w:val="00183508"/>
    <w:rsid w:val="001873B5"/>
    <w:rsid w:val="001B1DFD"/>
    <w:rsid w:val="001C0A6D"/>
    <w:rsid w:val="001C230A"/>
    <w:rsid w:val="001C3868"/>
    <w:rsid w:val="001F2517"/>
    <w:rsid w:val="001F495A"/>
    <w:rsid w:val="00212F55"/>
    <w:rsid w:val="0021669C"/>
    <w:rsid w:val="00217A39"/>
    <w:rsid w:val="00217F58"/>
    <w:rsid w:val="00231B7D"/>
    <w:rsid w:val="00237569"/>
    <w:rsid w:val="00250058"/>
    <w:rsid w:val="00254A60"/>
    <w:rsid w:val="00260DDA"/>
    <w:rsid w:val="00266F49"/>
    <w:rsid w:val="00276284"/>
    <w:rsid w:val="00280C07"/>
    <w:rsid w:val="002A1ED6"/>
    <w:rsid w:val="002A39B2"/>
    <w:rsid w:val="002B0B2A"/>
    <w:rsid w:val="002B46E1"/>
    <w:rsid w:val="002C446E"/>
    <w:rsid w:val="002D3FBD"/>
    <w:rsid w:val="002E03E0"/>
    <w:rsid w:val="00301A2A"/>
    <w:rsid w:val="00324282"/>
    <w:rsid w:val="00360412"/>
    <w:rsid w:val="00376A6A"/>
    <w:rsid w:val="00393310"/>
    <w:rsid w:val="003A30C8"/>
    <w:rsid w:val="003B3362"/>
    <w:rsid w:val="003B479F"/>
    <w:rsid w:val="003D4630"/>
    <w:rsid w:val="003E3690"/>
    <w:rsid w:val="00412204"/>
    <w:rsid w:val="0041423F"/>
    <w:rsid w:val="00425C1D"/>
    <w:rsid w:val="004506DA"/>
    <w:rsid w:val="0047175E"/>
    <w:rsid w:val="00477809"/>
    <w:rsid w:val="00483B3C"/>
    <w:rsid w:val="00483CF7"/>
    <w:rsid w:val="00497B73"/>
    <w:rsid w:val="004A15BA"/>
    <w:rsid w:val="004A2550"/>
    <w:rsid w:val="004B6622"/>
    <w:rsid w:val="004C0674"/>
    <w:rsid w:val="004C4D9C"/>
    <w:rsid w:val="004D7999"/>
    <w:rsid w:val="004F3537"/>
    <w:rsid w:val="004F3B49"/>
    <w:rsid w:val="00504286"/>
    <w:rsid w:val="00515370"/>
    <w:rsid w:val="00525898"/>
    <w:rsid w:val="00545027"/>
    <w:rsid w:val="0055600F"/>
    <w:rsid w:val="00565615"/>
    <w:rsid w:val="005664CA"/>
    <w:rsid w:val="0058266E"/>
    <w:rsid w:val="0058688A"/>
    <w:rsid w:val="00590BCD"/>
    <w:rsid w:val="00593BAE"/>
    <w:rsid w:val="005A32E4"/>
    <w:rsid w:val="005A5292"/>
    <w:rsid w:val="005A732D"/>
    <w:rsid w:val="005B23B6"/>
    <w:rsid w:val="005C5563"/>
    <w:rsid w:val="005E11CE"/>
    <w:rsid w:val="005F4AAA"/>
    <w:rsid w:val="00604132"/>
    <w:rsid w:val="00604F1C"/>
    <w:rsid w:val="00617ED5"/>
    <w:rsid w:val="00622A27"/>
    <w:rsid w:val="006409F9"/>
    <w:rsid w:val="0064287C"/>
    <w:rsid w:val="006440B6"/>
    <w:rsid w:val="00650F99"/>
    <w:rsid w:val="0066572E"/>
    <w:rsid w:val="006753A9"/>
    <w:rsid w:val="00683740"/>
    <w:rsid w:val="006964C0"/>
    <w:rsid w:val="006A40D0"/>
    <w:rsid w:val="006A592E"/>
    <w:rsid w:val="006A6CAF"/>
    <w:rsid w:val="006A6F49"/>
    <w:rsid w:val="006A7144"/>
    <w:rsid w:val="006B4CEC"/>
    <w:rsid w:val="006C60F3"/>
    <w:rsid w:val="006F0429"/>
    <w:rsid w:val="006F4B6C"/>
    <w:rsid w:val="006F6BBC"/>
    <w:rsid w:val="0070714C"/>
    <w:rsid w:val="00745807"/>
    <w:rsid w:val="00747464"/>
    <w:rsid w:val="00754FFE"/>
    <w:rsid w:val="007779B2"/>
    <w:rsid w:val="0078116D"/>
    <w:rsid w:val="00786A91"/>
    <w:rsid w:val="007A6889"/>
    <w:rsid w:val="007B5306"/>
    <w:rsid w:val="007C2CC3"/>
    <w:rsid w:val="007C351D"/>
    <w:rsid w:val="007D543E"/>
    <w:rsid w:val="007E0808"/>
    <w:rsid w:val="007E3059"/>
    <w:rsid w:val="007E4ED5"/>
    <w:rsid w:val="007E7421"/>
    <w:rsid w:val="007F5A92"/>
    <w:rsid w:val="007F5F4E"/>
    <w:rsid w:val="007F7616"/>
    <w:rsid w:val="0080116E"/>
    <w:rsid w:val="008012A4"/>
    <w:rsid w:val="008060DE"/>
    <w:rsid w:val="00807BAA"/>
    <w:rsid w:val="00814DCE"/>
    <w:rsid w:val="00821BD0"/>
    <w:rsid w:val="00824097"/>
    <w:rsid w:val="00824181"/>
    <w:rsid w:val="0083144B"/>
    <w:rsid w:val="00853611"/>
    <w:rsid w:val="0085420D"/>
    <w:rsid w:val="008550EF"/>
    <w:rsid w:val="008617A6"/>
    <w:rsid w:val="00863A25"/>
    <w:rsid w:val="008641C8"/>
    <w:rsid w:val="008776EB"/>
    <w:rsid w:val="0089637D"/>
    <w:rsid w:val="008B0045"/>
    <w:rsid w:val="008B0889"/>
    <w:rsid w:val="008B67EB"/>
    <w:rsid w:val="008E0DEF"/>
    <w:rsid w:val="008E3636"/>
    <w:rsid w:val="00913BF3"/>
    <w:rsid w:val="00917950"/>
    <w:rsid w:val="00921645"/>
    <w:rsid w:val="00931D14"/>
    <w:rsid w:val="009331A5"/>
    <w:rsid w:val="00933A89"/>
    <w:rsid w:val="00944F57"/>
    <w:rsid w:val="009477D5"/>
    <w:rsid w:val="00977EF7"/>
    <w:rsid w:val="00986996"/>
    <w:rsid w:val="0099077E"/>
    <w:rsid w:val="009A00A8"/>
    <w:rsid w:val="009A542A"/>
    <w:rsid w:val="009B480D"/>
    <w:rsid w:val="009C4D87"/>
    <w:rsid w:val="009C56C0"/>
    <w:rsid w:val="009D20DE"/>
    <w:rsid w:val="009F0FEB"/>
    <w:rsid w:val="009F1C70"/>
    <w:rsid w:val="009F77BA"/>
    <w:rsid w:val="00A13D4B"/>
    <w:rsid w:val="00A179F1"/>
    <w:rsid w:val="00A25CA7"/>
    <w:rsid w:val="00A343FF"/>
    <w:rsid w:val="00A366BE"/>
    <w:rsid w:val="00A466C8"/>
    <w:rsid w:val="00A47FF7"/>
    <w:rsid w:val="00A56234"/>
    <w:rsid w:val="00A72869"/>
    <w:rsid w:val="00A74A1D"/>
    <w:rsid w:val="00A942E0"/>
    <w:rsid w:val="00AA0407"/>
    <w:rsid w:val="00AA4E4E"/>
    <w:rsid w:val="00AC2BAD"/>
    <w:rsid w:val="00AE1B0F"/>
    <w:rsid w:val="00AE2597"/>
    <w:rsid w:val="00AF0CEC"/>
    <w:rsid w:val="00AF37E4"/>
    <w:rsid w:val="00B02BDD"/>
    <w:rsid w:val="00B033A1"/>
    <w:rsid w:val="00B056D9"/>
    <w:rsid w:val="00B17D1F"/>
    <w:rsid w:val="00B2161A"/>
    <w:rsid w:val="00B6696C"/>
    <w:rsid w:val="00B75824"/>
    <w:rsid w:val="00B806AC"/>
    <w:rsid w:val="00B90B9D"/>
    <w:rsid w:val="00B91191"/>
    <w:rsid w:val="00B91D8E"/>
    <w:rsid w:val="00B93993"/>
    <w:rsid w:val="00BA675E"/>
    <w:rsid w:val="00BB5902"/>
    <w:rsid w:val="00BC19D9"/>
    <w:rsid w:val="00BF33B2"/>
    <w:rsid w:val="00BF7310"/>
    <w:rsid w:val="00C04C07"/>
    <w:rsid w:val="00C1382E"/>
    <w:rsid w:val="00C40F2C"/>
    <w:rsid w:val="00C6690B"/>
    <w:rsid w:val="00CA2777"/>
    <w:rsid w:val="00CA3AA8"/>
    <w:rsid w:val="00CB0CA0"/>
    <w:rsid w:val="00CC4274"/>
    <w:rsid w:val="00CC5359"/>
    <w:rsid w:val="00CD3889"/>
    <w:rsid w:val="00CF64FA"/>
    <w:rsid w:val="00D05BCC"/>
    <w:rsid w:val="00D13990"/>
    <w:rsid w:val="00D222B7"/>
    <w:rsid w:val="00D5166A"/>
    <w:rsid w:val="00D56F83"/>
    <w:rsid w:val="00D809FF"/>
    <w:rsid w:val="00D82E91"/>
    <w:rsid w:val="00DB1E4A"/>
    <w:rsid w:val="00DB2CDF"/>
    <w:rsid w:val="00DC20F2"/>
    <w:rsid w:val="00DD36BE"/>
    <w:rsid w:val="00DD4F27"/>
    <w:rsid w:val="00DD7443"/>
    <w:rsid w:val="00DD7AE6"/>
    <w:rsid w:val="00DF0FE5"/>
    <w:rsid w:val="00E04605"/>
    <w:rsid w:val="00E06D52"/>
    <w:rsid w:val="00E16AFE"/>
    <w:rsid w:val="00E24DFC"/>
    <w:rsid w:val="00E26E89"/>
    <w:rsid w:val="00E3040C"/>
    <w:rsid w:val="00E30888"/>
    <w:rsid w:val="00E3614A"/>
    <w:rsid w:val="00E52331"/>
    <w:rsid w:val="00E56BF2"/>
    <w:rsid w:val="00E62255"/>
    <w:rsid w:val="00E72BD0"/>
    <w:rsid w:val="00E77756"/>
    <w:rsid w:val="00E82BFD"/>
    <w:rsid w:val="00EB1162"/>
    <w:rsid w:val="00EB3ACF"/>
    <w:rsid w:val="00EC03C5"/>
    <w:rsid w:val="00EC64BF"/>
    <w:rsid w:val="00ED4C58"/>
    <w:rsid w:val="00ED518E"/>
    <w:rsid w:val="00EF1BD7"/>
    <w:rsid w:val="00F0294F"/>
    <w:rsid w:val="00F06E69"/>
    <w:rsid w:val="00F07B09"/>
    <w:rsid w:val="00F52F31"/>
    <w:rsid w:val="00F54F60"/>
    <w:rsid w:val="00F62F2B"/>
    <w:rsid w:val="00F659FE"/>
    <w:rsid w:val="00F66FEE"/>
    <w:rsid w:val="00F72E41"/>
    <w:rsid w:val="00F8544E"/>
    <w:rsid w:val="00FA0536"/>
    <w:rsid w:val="00FC0266"/>
    <w:rsid w:val="00FC66C2"/>
    <w:rsid w:val="00FD09E6"/>
    <w:rsid w:val="00FD7ED8"/>
    <w:rsid w:val="00FE1682"/>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s.org/es/cidh/decisiones/2020/pysa12374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as.org/annualrep/2010sp/PYAD12374ES.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s/cidh/decisiones/2020/pysa12374e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1/capitulos/IA2021cap2-es.pdf" TargetMode="External"/><Relationship Id="rId2" Type="http://schemas.openxmlformats.org/officeDocument/2006/relationships/hyperlink" Target="http://www.oas.org/es/cidh/decisiones/2020/pysa12374es.pdf" TargetMode="External"/><Relationship Id="rId1" Type="http://schemas.openxmlformats.org/officeDocument/2006/relationships/hyperlink" Target="https://www.oas.org/es/cidh/docs/anual/2021/capitulos/IA2021cap2-es.pdf" TargetMode="External"/><Relationship Id="rId5" Type="http://schemas.openxmlformats.org/officeDocument/2006/relationships/hyperlink" Target="https://www.oas.org/es/cidh/docs/anual/2021/capitulos/IA2021cap2-es.pdf" TargetMode="External"/><Relationship Id="rId4" Type="http://schemas.openxmlformats.org/officeDocument/2006/relationships/hyperlink" Target="http://www.oas.org/es/cidh/decisiones/2020/pysa12374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2023-03-07T20:32:00Z</dcterms:created>
  <dcterms:modified xsi:type="dcterms:W3CDTF">2023-03-07T20:32:00Z</dcterms:modified>
</cp:coreProperties>
</file>