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1A27" w14:textId="457CE736" w:rsidR="006F1098" w:rsidRPr="007437F5" w:rsidRDefault="007437F5" w:rsidP="006F1098">
      <w:pPr>
        <w:tabs>
          <w:tab w:val="left" w:pos="6750"/>
        </w:tabs>
        <w:ind w:right="-1109"/>
        <w:rPr>
          <w:b/>
          <w:bCs/>
          <w:sz w:val="22"/>
          <w:szCs w:val="24"/>
          <w:lang w:val="es-US"/>
        </w:rPr>
      </w:pPr>
      <w:r w:rsidRPr="007437F5">
        <w:rPr>
          <w:b/>
          <w:bCs/>
          <w:sz w:val="22"/>
          <w:lang w:val="es-US"/>
        </w:rPr>
        <w:t>D</w:t>
      </w:r>
      <w:r>
        <w:rPr>
          <w:b/>
          <w:bCs/>
          <w:sz w:val="22"/>
          <w:lang w:val="es-US"/>
        </w:rPr>
        <w:t>É</w:t>
      </w:r>
      <w:r w:rsidRPr="007437F5">
        <w:rPr>
          <w:b/>
          <w:bCs/>
          <w:sz w:val="22"/>
          <w:lang w:val="es-US"/>
        </w:rPr>
        <w:t>CIMA PRIMERA REUNIÓ</w:t>
      </w:r>
      <w:r>
        <w:rPr>
          <w:b/>
          <w:bCs/>
          <w:sz w:val="22"/>
          <w:lang w:val="es-US"/>
        </w:rPr>
        <w:t xml:space="preserve">N INTERAMERICANA </w:t>
      </w:r>
      <w:r w:rsidR="006F1098" w:rsidRPr="007437F5">
        <w:rPr>
          <w:b/>
          <w:bCs/>
          <w:sz w:val="22"/>
          <w:lang w:val="es-US"/>
        </w:rPr>
        <w:tab/>
      </w:r>
      <w:r w:rsidR="006F1098" w:rsidRPr="007437F5">
        <w:rPr>
          <w:sz w:val="22"/>
          <w:lang w:val="es-US"/>
        </w:rPr>
        <w:t>OEA/</w:t>
      </w:r>
      <w:proofErr w:type="spellStart"/>
      <w:r w:rsidR="006F1098" w:rsidRPr="007437F5">
        <w:rPr>
          <w:sz w:val="22"/>
          <w:lang w:val="es-US"/>
        </w:rPr>
        <w:t>Ser.K</w:t>
      </w:r>
      <w:proofErr w:type="spellEnd"/>
      <w:r w:rsidR="006F1098" w:rsidRPr="007437F5">
        <w:rPr>
          <w:sz w:val="22"/>
          <w:lang w:val="es-US"/>
        </w:rPr>
        <w:t>/</w:t>
      </w:r>
      <w:r>
        <w:rPr>
          <w:sz w:val="22"/>
          <w:lang w:val="es-US"/>
        </w:rPr>
        <w:t>V.14.1</w:t>
      </w:r>
    </w:p>
    <w:p w14:paraId="3588347E" w14:textId="53267DD6" w:rsidR="006F1098" w:rsidRDefault="006F1098" w:rsidP="006F1098">
      <w:pPr>
        <w:tabs>
          <w:tab w:val="left" w:pos="6750"/>
        </w:tabs>
        <w:ind w:right="-1559"/>
        <w:rPr>
          <w:sz w:val="22"/>
          <w:szCs w:val="22"/>
          <w:lang w:val="es-US"/>
        </w:rPr>
      </w:pPr>
      <w:r>
        <w:rPr>
          <w:b/>
          <w:bCs/>
          <w:sz w:val="22"/>
          <w:lang w:val="es-US"/>
        </w:rPr>
        <w:t xml:space="preserve">DE MINISTROS </w:t>
      </w:r>
      <w:r w:rsidR="007437F5">
        <w:rPr>
          <w:b/>
          <w:bCs/>
          <w:sz w:val="22"/>
          <w:lang w:val="es-US"/>
        </w:rPr>
        <w:t>DE EDUCACIÓN</w:t>
      </w:r>
      <w:r>
        <w:rPr>
          <w:b/>
          <w:bCs/>
          <w:sz w:val="22"/>
          <w:lang w:val="es-US"/>
        </w:rPr>
        <w:tab/>
      </w:r>
      <w:r>
        <w:rPr>
          <w:sz w:val="22"/>
          <w:lang w:val="es-US"/>
        </w:rPr>
        <w:t>CIDI/</w:t>
      </w:r>
      <w:r w:rsidR="007437F5">
        <w:rPr>
          <w:sz w:val="22"/>
          <w:lang w:val="es-US"/>
        </w:rPr>
        <w:t>RME/doc.</w:t>
      </w:r>
      <w:r w:rsidR="005D2C69">
        <w:rPr>
          <w:sz w:val="22"/>
          <w:lang w:val="es-US"/>
        </w:rPr>
        <w:t xml:space="preserve"> 2</w:t>
      </w:r>
      <w:r>
        <w:rPr>
          <w:sz w:val="22"/>
          <w:lang w:val="es-US"/>
        </w:rPr>
        <w:t>/2</w:t>
      </w:r>
      <w:r w:rsidR="007437F5">
        <w:rPr>
          <w:sz w:val="22"/>
          <w:lang w:val="es-US"/>
        </w:rPr>
        <w:t>2</w:t>
      </w:r>
      <w:r w:rsidR="00A65542">
        <w:rPr>
          <w:sz w:val="22"/>
          <w:lang w:val="es-US"/>
        </w:rPr>
        <w:t xml:space="preserve"> rev.1</w:t>
      </w:r>
    </w:p>
    <w:p w14:paraId="455295F2" w14:textId="00150FF0" w:rsidR="006F1098" w:rsidRDefault="007437F5" w:rsidP="006F1098">
      <w:pPr>
        <w:tabs>
          <w:tab w:val="left" w:pos="6750"/>
        </w:tabs>
        <w:ind w:right="-1019"/>
        <w:rPr>
          <w:sz w:val="22"/>
          <w:szCs w:val="22"/>
          <w:lang w:val="es-US"/>
        </w:rPr>
      </w:pPr>
      <w:r>
        <w:rPr>
          <w:sz w:val="22"/>
          <w:lang w:val="es-US"/>
        </w:rPr>
        <w:t>Del 1</w:t>
      </w:r>
      <w:r w:rsidR="00FB7532">
        <w:rPr>
          <w:sz w:val="22"/>
          <w:lang w:val="es-US"/>
        </w:rPr>
        <w:t>0</w:t>
      </w:r>
      <w:r>
        <w:rPr>
          <w:sz w:val="22"/>
          <w:lang w:val="es-US"/>
        </w:rPr>
        <w:t xml:space="preserve"> al 1</w:t>
      </w:r>
      <w:r w:rsidR="00FB7532">
        <w:rPr>
          <w:sz w:val="22"/>
          <w:lang w:val="es-US"/>
        </w:rPr>
        <w:t>1</w:t>
      </w:r>
      <w:r>
        <w:rPr>
          <w:sz w:val="22"/>
          <w:lang w:val="es-US"/>
        </w:rPr>
        <w:t xml:space="preserve"> de noviembre de </w:t>
      </w:r>
      <w:r w:rsidR="006F1098">
        <w:rPr>
          <w:sz w:val="22"/>
          <w:lang w:val="es-US"/>
        </w:rPr>
        <w:t>202</w:t>
      </w:r>
      <w:r>
        <w:rPr>
          <w:sz w:val="22"/>
          <w:lang w:val="es-US"/>
        </w:rPr>
        <w:t>2</w:t>
      </w:r>
      <w:r w:rsidR="006F1098">
        <w:rPr>
          <w:b/>
          <w:bCs/>
          <w:sz w:val="22"/>
          <w:lang w:val="es-US"/>
        </w:rPr>
        <w:tab/>
      </w:r>
      <w:r w:rsidR="00A65542">
        <w:rPr>
          <w:sz w:val="22"/>
          <w:lang w:val="es-US"/>
        </w:rPr>
        <w:t>10</w:t>
      </w:r>
      <w:r w:rsidR="005D2C69">
        <w:rPr>
          <w:sz w:val="22"/>
          <w:lang w:val="es-US"/>
        </w:rPr>
        <w:t xml:space="preserve"> </w:t>
      </w:r>
      <w:r w:rsidR="00A65542">
        <w:rPr>
          <w:sz w:val="22"/>
          <w:lang w:val="es-US"/>
        </w:rPr>
        <w:t>noviembre</w:t>
      </w:r>
      <w:r w:rsidR="006F1098">
        <w:rPr>
          <w:sz w:val="22"/>
          <w:lang w:val="es-US"/>
        </w:rPr>
        <w:t xml:space="preserve"> 202</w:t>
      </w:r>
      <w:r>
        <w:rPr>
          <w:sz w:val="22"/>
          <w:lang w:val="es-US"/>
        </w:rPr>
        <w:t>2</w:t>
      </w:r>
    </w:p>
    <w:p w14:paraId="0C4F4C65" w14:textId="77777777" w:rsidR="006F1098" w:rsidRDefault="006F1098" w:rsidP="006F1098">
      <w:pPr>
        <w:tabs>
          <w:tab w:val="left" w:pos="6750"/>
        </w:tabs>
        <w:rPr>
          <w:sz w:val="22"/>
          <w:szCs w:val="22"/>
          <w:lang w:val="es-US"/>
        </w:rPr>
      </w:pPr>
      <w:r>
        <w:rPr>
          <w:color w:val="000000"/>
          <w:sz w:val="22"/>
          <w:szCs w:val="22"/>
          <w:lang w:val="es-US"/>
        </w:rPr>
        <w:t>Washington, D.C., Estados Unidos de América</w:t>
      </w:r>
      <w:r>
        <w:rPr>
          <w:sz w:val="22"/>
          <w:lang w:val="es-US"/>
        </w:rPr>
        <w:tab/>
        <w:t>Original: español</w:t>
      </w:r>
    </w:p>
    <w:p w14:paraId="59326C3F" w14:textId="50950CC1" w:rsidR="006F1098" w:rsidRDefault="006F1098" w:rsidP="006F1098">
      <w:pPr>
        <w:pBdr>
          <w:bottom w:val="single" w:sz="12" w:space="1" w:color="auto"/>
        </w:pBdr>
        <w:tabs>
          <w:tab w:val="left" w:pos="6840"/>
        </w:tabs>
        <w:ind w:right="-29"/>
        <w:rPr>
          <w:sz w:val="22"/>
          <w:lang w:val="es-US"/>
        </w:rPr>
      </w:pPr>
      <w:r w:rsidRPr="00B507ED">
        <w:rPr>
          <w:sz w:val="22"/>
          <w:lang w:val="es-US"/>
        </w:rPr>
        <w:t>VIRTUAL</w:t>
      </w:r>
    </w:p>
    <w:p w14:paraId="01172B06" w14:textId="77777777" w:rsidR="006F1098" w:rsidRDefault="006F1098" w:rsidP="006F1098">
      <w:pPr>
        <w:pBdr>
          <w:bottom w:val="single" w:sz="12" w:space="1" w:color="auto"/>
        </w:pBdr>
        <w:tabs>
          <w:tab w:val="left" w:pos="6840"/>
        </w:tabs>
        <w:ind w:right="-29"/>
        <w:rPr>
          <w:sz w:val="22"/>
          <w:lang w:val="es-US"/>
        </w:rPr>
      </w:pPr>
    </w:p>
    <w:p w14:paraId="26979D2C" w14:textId="77777777" w:rsidR="006F1098" w:rsidRDefault="006F1098" w:rsidP="006F1098">
      <w:pPr>
        <w:tabs>
          <w:tab w:val="left" w:pos="720"/>
          <w:tab w:val="center" w:pos="4320"/>
          <w:tab w:val="right" w:pos="8640"/>
        </w:tabs>
        <w:jc w:val="center"/>
        <w:rPr>
          <w:sz w:val="22"/>
          <w:szCs w:val="22"/>
          <w:lang w:val="es-ES"/>
        </w:rPr>
      </w:pPr>
    </w:p>
    <w:p w14:paraId="2FCD65B4" w14:textId="4311218F" w:rsidR="00FB7532" w:rsidRPr="00FB7532" w:rsidRDefault="00FB7532" w:rsidP="00FB7532">
      <w:pPr>
        <w:jc w:val="center"/>
        <w:rPr>
          <w:sz w:val="22"/>
          <w:szCs w:val="22"/>
          <w:lang w:val="es-CR"/>
        </w:rPr>
      </w:pPr>
      <w:r w:rsidRPr="00FB7532">
        <w:rPr>
          <w:sz w:val="22"/>
          <w:szCs w:val="22"/>
          <w:lang w:val="es-CR"/>
        </w:rPr>
        <w:t xml:space="preserve">TEMARIO ANOTADO </w:t>
      </w:r>
    </w:p>
    <w:p w14:paraId="75C364AF" w14:textId="77777777" w:rsidR="00FB7532" w:rsidRPr="00FB7532" w:rsidRDefault="00FB7532" w:rsidP="00FB7532">
      <w:pPr>
        <w:jc w:val="center"/>
        <w:rPr>
          <w:sz w:val="22"/>
          <w:szCs w:val="22"/>
          <w:lang w:val="es-CR"/>
        </w:rPr>
      </w:pPr>
    </w:p>
    <w:p w14:paraId="3670E342" w14:textId="77777777" w:rsidR="00FB7532" w:rsidRPr="00FB7532" w:rsidRDefault="00FB7532" w:rsidP="00FB7532">
      <w:pPr>
        <w:jc w:val="center"/>
        <w:rPr>
          <w:sz w:val="22"/>
          <w:szCs w:val="22"/>
          <w:lang w:val="es-US"/>
        </w:rPr>
      </w:pPr>
      <w:r w:rsidRPr="00FB7532">
        <w:rPr>
          <w:sz w:val="22"/>
          <w:szCs w:val="22"/>
          <w:lang w:val="es-US"/>
        </w:rPr>
        <w:t>“Hacia la construcción de un nuevo Pacto Educativo Hemisférico en contextos de cambio”</w:t>
      </w:r>
    </w:p>
    <w:p w14:paraId="787EBAB3" w14:textId="77777777" w:rsidR="00A71D3A" w:rsidRDefault="00A71D3A" w:rsidP="00A71D3A">
      <w:pPr>
        <w:widowControl w:val="0"/>
        <w:tabs>
          <w:tab w:val="left" w:pos="720"/>
          <w:tab w:val="left" w:pos="1440"/>
          <w:tab w:val="left" w:pos="2160"/>
          <w:tab w:val="left" w:pos="2880"/>
          <w:tab w:val="left" w:pos="3600"/>
          <w:tab w:val="left" w:pos="4320"/>
          <w:tab w:val="left" w:pos="5760"/>
          <w:tab w:val="left" w:pos="6480"/>
          <w:tab w:val="left" w:pos="7200"/>
          <w:tab w:val="left" w:pos="7920"/>
        </w:tabs>
        <w:jc w:val="center"/>
        <w:rPr>
          <w:color w:val="000000"/>
          <w:sz w:val="22"/>
          <w:szCs w:val="22"/>
          <w:lang w:val="es-ES_tradnl"/>
        </w:rPr>
      </w:pPr>
    </w:p>
    <w:p w14:paraId="098D08DF" w14:textId="418D7890" w:rsidR="00A71D3A" w:rsidRPr="00B02B52" w:rsidRDefault="00A71D3A" w:rsidP="00A71D3A">
      <w:pPr>
        <w:widowControl w:val="0"/>
        <w:tabs>
          <w:tab w:val="left" w:pos="720"/>
          <w:tab w:val="left" w:pos="1440"/>
          <w:tab w:val="left" w:pos="2160"/>
          <w:tab w:val="left" w:pos="2880"/>
          <w:tab w:val="left" w:pos="3600"/>
          <w:tab w:val="left" w:pos="4320"/>
          <w:tab w:val="left" w:pos="5760"/>
          <w:tab w:val="left" w:pos="6480"/>
          <w:tab w:val="left" w:pos="7200"/>
          <w:tab w:val="left" w:pos="7920"/>
        </w:tabs>
        <w:jc w:val="center"/>
        <w:rPr>
          <w:color w:val="000000"/>
          <w:sz w:val="22"/>
          <w:szCs w:val="22"/>
          <w:lang w:val="es-ES_tradnl"/>
        </w:rPr>
      </w:pPr>
      <w:r>
        <w:rPr>
          <w:color w:val="000000"/>
          <w:sz w:val="22"/>
          <w:szCs w:val="22"/>
          <w:lang w:val="es-ES_tradnl"/>
        </w:rPr>
        <w:t>(</w:t>
      </w:r>
      <w:r>
        <w:rPr>
          <w:rFonts w:eastAsia="SimSun"/>
          <w:noProof/>
          <w:sz w:val="22"/>
          <w:szCs w:val="22"/>
          <w:lang w:val="es-US" w:bidi="en-US"/>
        </w:rPr>
        <w:t>Aprobado durante</w:t>
      </w:r>
      <w:r w:rsidR="00A65542">
        <w:rPr>
          <w:rFonts w:eastAsia="SimSun"/>
          <w:noProof/>
          <w:sz w:val="22"/>
          <w:szCs w:val="22"/>
          <w:lang w:val="es-US" w:bidi="en-US"/>
        </w:rPr>
        <w:t xml:space="preserve"> la</w:t>
      </w:r>
      <w:r>
        <w:rPr>
          <w:rFonts w:eastAsia="SimSun"/>
          <w:noProof/>
          <w:sz w:val="22"/>
          <w:szCs w:val="22"/>
          <w:lang w:val="es-US" w:bidi="en-US"/>
        </w:rPr>
        <w:t xml:space="preserve"> </w:t>
      </w:r>
      <w:r w:rsidR="00A65542">
        <w:rPr>
          <w:rFonts w:eastAsia="SimSun"/>
          <w:noProof/>
          <w:sz w:val="22"/>
          <w:szCs w:val="22"/>
          <w:lang w:val="es-US" w:bidi="en-US"/>
        </w:rPr>
        <w:t>primera plenaria</w:t>
      </w:r>
      <w:r>
        <w:rPr>
          <w:rFonts w:eastAsia="SimSun"/>
          <w:noProof/>
          <w:sz w:val="22"/>
          <w:szCs w:val="22"/>
          <w:lang w:val="es-US" w:bidi="en-US"/>
        </w:rPr>
        <w:t xml:space="preserve"> celebrada el </w:t>
      </w:r>
      <w:r w:rsidR="00A65542">
        <w:rPr>
          <w:color w:val="000000"/>
          <w:sz w:val="22"/>
          <w:szCs w:val="22"/>
          <w:lang w:val="es-ES_tradnl"/>
        </w:rPr>
        <w:t xml:space="preserve">10 </w:t>
      </w:r>
      <w:r>
        <w:rPr>
          <w:color w:val="000000"/>
          <w:sz w:val="22"/>
          <w:szCs w:val="22"/>
          <w:lang w:val="es-ES_tradnl"/>
        </w:rPr>
        <w:t xml:space="preserve">de </w:t>
      </w:r>
      <w:r w:rsidR="00A65542">
        <w:rPr>
          <w:color w:val="000000"/>
          <w:sz w:val="22"/>
          <w:szCs w:val="22"/>
          <w:lang w:val="es-ES_tradnl"/>
        </w:rPr>
        <w:t>noviembre</w:t>
      </w:r>
      <w:r>
        <w:rPr>
          <w:color w:val="000000"/>
          <w:sz w:val="22"/>
          <w:szCs w:val="22"/>
          <w:lang w:val="es-ES_tradnl"/>
        </w:rPr>
        <w:t xml:space="preserve"> de 2022)</w:t>
      </w:r>
    </w:p>
    <w:p w14:paraId="23CB3B69" w14:textId="77777777" w:rsidR="00FB7532" w:rsidRPr="00A71D3A" w:rsidRDefault="00FB7532" w:rsidP="00FB7532">
      <w:pPr>
        <w:jc w:val="center"/>
        <w:rPr>
          <w:rFonts w:eastAsia="SimSun"/>
          <w:noProof/>
          <w:sz w:val="22"/>
          <w:szCs w:val="22"/>
          <w:lang w:val="es-ES_tradnl" w:bidi="en-US"/>
        </w:rPr>
      </w:pPr>
    </w:p>
    <w:p w14:paraId="40E71D87" w14:textId="77777777" w:rsidR="00FB7532" w:rsidRPr="00C02243" w:rsidRDefault="00FB7532" w:rsidP="00FB7532">
      <w:pPr>
        <w:jc w:val="center"/>
        <w:rPr>
          <w:sz w:val="22"/>
          <w:szCs w:val="22"/>
          <w:highlight w:val="yellow"/>
          <w:lang w:val="es-US"/>
        </w:rPr>
      </w:pPr>
    </w:p>
    <w:p w14:paraId="7D648CCB" w14:textId="77777777" w:rsidR="00FB7532" w:rsidRPr="00652AF4" w:rsidRDefault="00FB7532" w:rsidP="00FB7532">
      <w:pPr>
        <w:numPr>
          <w:ilvl w:val="0"/>
          <w:numId w:val="11"/>
        </w:numPr>
        <w:ind w:hanging="720"/>
        <w:contextualSpacing/>
        <w:jc w:val="both"/>
        <w:rPr>
          <w:rFonts w:eastAsia="Malgun Gothic"/>
          <w:bCs/>
          <w:sz w:val="22"/>
          <w:szCs w:val="22"/>
          <w:lang w:val="es-CO"/>
        </w:rPr>
      </w:pPr>
      <w:r w:rsidRPr="00652AF4">
        <w:rPr>
          <w:rFonts w:eastAsia="Malgun Gothic"/>
          <w:bCs/>
          <w:sz w:val="22"/>
          <w:szCs w:val="22"/>
          <w:lang w:val="es-CO"/>
        </w:rPr>
        <w:t>ANTECEDENTES</w:t>
      </w:r>
    </w:p>
    <w:p w14:paraId="157A5643" w14:textId="77777777" w:rsidR="00FB7532" w:rsidRPr="00C02243" w:rsidRDefault="00FB7532" w:rsidP="00FB7532">
      <w:pPr>
        <w:tabs>
          <w:tab w:val="left" w:pos="1440"/>
          <w:tab w:val="left" w:pos="2160"/>
        </w:tabs>
        <w:ind w:firstLine="720"/>
        <w:contextualSpacing/>
        <w:jc w:val="both"/>
        <w:rPr>
          <w:rFonts w:eastAsia="Malgun Gothic"/>
          <w:b/>
          <w:sz w:val="22"/>
          <w:szCs w:val="22"/>
          <w:highlight w:val="yellow"/>
          <w:lang w:val="es-CO"/>
        </w:rPr>
      </w:pPr>
    </w:p>
    <w:p w14:paraId="114C0E67" w14:textId="77777777" w:rsidR="00FB7532" w:rsidRDefault="00FB7532" w:rsidP="00FB7532">
      <w:pPr>
        <w:tabs>
          <w:tab w:val="left" w:pos="720"/>
          <w:tab w:val="left" w:pos="1530"/>
          <w:tab w:val="left" w:pos="7380"/>
        </w:tabs>
        <w:ind w:firstLine="720"/>
        <w:jc w:val="both"/>
        <w:rPr>
          <w:rFonts w:eastAsia="MS Mincho"/>
          <w:sz w:val="22"/>
          <w:szCs w:val="22"/>
          <w:lang w:val="es-MX"/>
        </w:rPr>
      </w:pPr>
      <w:r w:rsidRPr="00C772FB">
        <w:rPr>
          <w:rFonts w:eastAsia="MS Mincho"/>
          <w:sz w:val="22"/>
          <w:szCs w:val="22"/>
          <w:lang w:val="es-MX"/>
        </w:rPr>
        <w:t>En medio de un panorama de crisis sanitaria mundial que implicó el cierre masivo de centros educativos</w:t>
      </w:r>
      <w:r>
        <w:rPr>
          <w:rFonts w:eastAsia="MS Mincho"/>
          <w:sz w:val="22"/>
          <w:szCs w:val="22"/>
          <w:lang w:val="es-MX"/>
        </w:rPr>
        <w:t xml:space="preserve"> y el consecuente desafío de retener a los estudiantes en los procesos formales de aprendizaje para evitar el abandono del sistema</w:t>
      </w:r>
      <w:r w:rsidRPr="00C772FB">
        <w:rPr>
          <w:rFonts w:eastAsia="MS Mincho"/>
          <w:sz w:val="22"/>
          <w:szCs w:val="22"/>
          <w:lang w:val="es-MX"/>
        </w:rPr>
        <w:t xml:space="preserve">, las autoridades educativas han manifestado que la educación es un derecho y como tal un compromiso ineludible del Estado. En ese sentido, los Ministerios de Educación han enfocado su trabajo en </w:t>
      </w:r>
      <w:r>
        <w:rPr>
          <w:rFonts w:eastAsia="MS Mincho"/>
          <w:sz w:val="22"/>
          <w:szCs w:val="22"/>
          <w:lang w:val="es-MX"/>
        </w:rPr>
        <w:t xml:space="preserve">consensuar </w:t>
      </w:r>
      <w:r w:rsidRPr="00C772FB">
        <w:rPr>
          <w:rFonts w:eastAsia="MS Mincho"/>
          <w:sz w:val="22"/>
          <w:szCs w:val="22"/>
          <w:lang w:val="es-MX"/>
        </w:rPr>
        <w:t xml:space="preserve">un </w:t>
      </w:r>
      <w:r>
        <w:rPr>
          <w:rFonts w:eastAsia="MS Mincho"/>
          <w:sz w:val="22"/>
          <w:szCs w:val="22"/>
          <w:lang w:val="es-MX"/>
        </w:rPr>
        <w:t>nuevo pacto educativo</w:t>
      </w:r>
      <w:r w:rsidRPr="00C772FB">
        <w:rPr>
          <w:rFonts w:eastAsia="MS Mincho"/>
          <w:sz w:val="22"/>
          <w:szCs w:val="22"/>
          <w:lang w:val="es-MX"/>
        </w:rPr>
        <w:t xml:space="preserve"> que permita garantizar la continuidad de la educación en los diferentes niveles del sistema educativo, promoviendo la atención de aquellos más afectados por tales circunstancias</w:t>
      </w:r>
      <w:r>
        <w:rPr>
          <w:rFonts w:eastAsia="MS Mincho"/>
          <w:sz w:val="22"/>
          <w:szCs w:val="22"/>
          <w:lang w:val="es-MX"/>
        </w:rPr>
        <w:t xml:space="preserve"> a partir de una respuesta integrada y sistémica que ofrezca soluciones sostenibles y adaptables a los contextos de cambio</w:t>
      </w:r>
      <w:r w:rsidRPr="00C772FB">
        <w:rPr>
          <w:rFonts w:eastAsia="MS Mincho"/>
          <w:sz w:val="22"/>
          <w:szCs w:val="22"/>
          <w:lang w:val="es-MX"/>
        </w:rPr>
        <w:t>.</w:t>
      </w:r>
    </w:p>
    <w:p w14:paraId="2DD13287" w14:textId="77777777" w:rsidR="00FB7532" w:rsidRDefault="00FB7532" w:rsidP="00FB7532">
      <w:pPr>
        <w:tabs>
          <w:tab w:val="left" w:pos="720"/>
          <w:tab w:val="left" w:pos="1530"/>
          <w:tab w:val="left" w:pos="7380"/>
        </w:tabs>
        <w:ind w:firstLine="720"/>
        <w:jc w:val="both"/>
        <w:rPr>
          <w:rFonts w:eastAsia="MS Mincho"/>
          <w:sz w:val="22"/>
          <w:szCs w:val="22"/>
          <w:lang w:val="es-MX"/>
        </w:rPr>
      </w:pPr>
    </w:p>
    <w:p w14:paraId="4D8C25DB" w14:textId="77777777" w:rsidR="00FB7532" w:rsidRPr="00265EA5" w:rsidRDefault="00FB7532" w:rsidP="00FB7532">
      <w:pPr>
        <w:pStyle w:val="paragraph"/>
        <w:spacing w:before="0" w:beforeAutospacing="0" w:after="0" w:afterAutospacing="0"/>
        <w:ind w:firstLine="709"/>
        <w:jc w:val="both"/>
        <w:textAlignment w:val="baseline"/>
        <w:rPr>
          <w:rFonts w:eastAsia="Arial Unicode MS"/>
          <w:sz w:val="22"/>
          <w:szCs w:val="22"/>
          <w:lang w:val="es-MX"/>
        </w:rPr>
      </w:pPr>
      <w:r w:rsidRPr="00E31336">
        <w:rPr>
          <w:rFonts w:eastAsia="MS Mincho"/>
          <w:sz w:val="22"/>
          <w:szCs w:val="22"/>
          <w:lang w:val="es-MX"/>
        </w:rPr>
        <w:t xml:space="preserve">La crisis educativa sin precedentes mostró la importancia de desarrollar sistemas educativos adaptables y flexibles que puedan responder de manera efectiva y equitativa a los desafíos de diversa índole. El diálogo de alto nivel sobre políticas públicas y acciones programáticas que se ha producido en el marco de la Organización de los Estados Americanos (OEA) generó un llamado a la acción entre las autoridades de los países de la región para </w:t>
      </w:r>
      <w:r>
        <w:rPr>
          <w:rFonts w:eastAsia="MS Mincho"/>
          <w:sz w:val="22"/>
          <w:szCs w:val="22"/>
          <w:lang w:val="es-MX"/>
        </w:rPr>
        <w:t>consensuar</w:t>
      </w:r>
      <w:r w:rsidRPr="00E31336">
        <w:rPr>
          <w:rFonts w:eastAsia="MS Mincho"/>
          <w:sz w:val="22"/>
          <w:szCs w:val="22"/>
          <w:lang w:val="es-MX"/>
        </w:rPr>
        <w:t xml:space="preserve"> un </w:t>
      </w:r>
      <w:r>
        <w:rPr>
          <w:rFonts w:eastAsia="MS Mincho"/>
          <w:sz w:val="22"/>
          <w:szCs w:val="22"/>
          <w:lang w:val="es-MX"/>
        </w:rPr>
        <w:t>p</w:t>
      </w:r>
      <w:r w:rsidRPr="00E31336">
        <w:rPr>
          <w:rFonts w:eastAsia="MS Mincho"/>
          <w:sz w:val="22"/>
          <w:szCs w:val="22"/>
          <w:lang w:val="es-MX"/>
        </w:rPr>
        <w:t xml:space="preserve">acto </w:t>
      </w:r>
      <w:r>
        <w:rPr>
          <w:rFonts w:eastAsia="MS Mincho"/>
          <w:sz w:val="22"/>
          <w:szCs w:val="22"/>
          <w:lang w:val="es-MX"/>
        </w:rPr>
        <w:t>educativo</w:t>
      </w:r>
      <w:r w:rsidRPr="00E31336">
        <w:rPr>
          <w:rFonts w:eastAsia="MS Mincho"/>
          <w:sz w:val="22"/>
          <w:szCs w:val="22"/>
          <w:lang w:val="es-MX"/>
        </w:rPr>
        <w:t xml:space="preserve"> que </w:t>
      </w:r>
      <w:r>
        <w:rPr>
          <w:rFonts w:eastAsia="MS Mincho"/>
          <w:sz w:val="22"/>
          <w:szCs w:val="22"/>
          <w:lang w:val="es-MX"/>
        </w:rPr>
        <w:t>integre las perspectivas, miradas e identidades de</w:t>
      </w:r>
      <w:r w:rsidRPr="00E31336">
        <w:rPr>
          <w:rFonts w:eastAsia="MS Mincho"/>
          <w:sz w:val="22"/>
          <w:szCs w:val="22"/>
          <w:lang w:val="es-MX"/>
        </w:rPr>
        <w:t xml:space="preserve"> todos los actores involucrados</w:t>
      </w:r>
      <w:r w:rsidRPr="00E31336">
        <w:rPr>
          <w:rFonts w:eastAsia="Arial Unicode MS"/>
          <w:sz w:val="22"/>
          <w:szCs w:val="22"/>
          <w:lang w:val="es-MX"/>
        </w:rPr>
        <w:t>.</w:t>
      </w:r>
    </w:p>
    <w:p w14:paraId="149520F9" w14:textId="77777777" w:rsidR="00FB7532" w:rsidRDefault="00FB7532" w:rsidP="00FB7532">
      <w:pPr>
        <w:tabs>
          <w:tab w:val="left" w:pos="720"/>
          <w:tab w:val="left" w:pos="1530"/>
          <w:tab w:val="left" w:pos="7380"/>
        </w:tabs>
        <w:ind w:firstLine="720"/>
        <w:jc w:val="both"/>
        <w:rPr>
          <w:rFonts w:eastAsia="MS Mincho"/>
          <w:sz w:val="22"/>
          <w:szCs w:val="22"/>
          <w:lang w:val="es-MX"/>
        </w:rPr>
      </w:pPr>
    </w:p>
    <w:p w14:paraId="381E9ED7" w14:textId="77777777" w:rsidR="00FB7532" w:rsidRPr="001D0A71" w:rsidRDefault="00FB7532" w:rsidP="00FB7532">
      <w:pPr>
        <w:tabs>
          <w:tab w:val="left" w:pos="720"/>
          <w:tab w:val="left" w:pos="1530"/>
          <w:tab w:val="left" w:pos="7380"/>
        </w:tabs>
        <w:ind w:firstLine="720"/>
        <w:jc w:val="both"/>
        <w:rPr>
          <w:rFonts w:eastAsia="MS Mincho"/>
          <w:sz w:val="22"/>
          <w:szCs w:val="22"/>
          <w:lang w:val="es-MX"/>
        </w:rPr>
      </w:pPr>
      <w:r>
        <w:rPr>
          <w:rFonts w:eastAsia="MS Mincho"/>
          <w:sz w:val="22"/>
          <w:szCs w:val="22"/>
          <w:lang w:val="es-MX"/>
        </w:rPr>
        <w:t>Mediante la</w:t>
      </w:r>
      <w:r w:rsidRPr="001D0A71">
        <w:rPr>
          <w:rFonts w:eastAsia="MS Mincho"/>
          <w:sz w:val="22"/>
          <w:szCs w:val="22"/>
          <w:lang w:val="es-MX"/>
        </w:rPr>
        <w:t xml:space="preserve"> resolución </w:t>
      </w:r>
      <w:hyperlink r:id="rId11" w:history="1">
        <w:r w:rsidRPr="0028767E">
          <w:rPr>
            <w:rFonts w:eastAsia="MS Mincho"/>
            <w:sz w:val="22"/>
            <w:szCs w:val="22"/>
            <w:lang w:val="es-CR"/>
          </w:rPr>
          <w:t>AG/RES.2955 (L-O/20)</w:t>
        </w:r>
      </w:hyperlink>
      <w:r w:rsidRPr="001D0A71">
        <w:rPr>
          <w:rFonts w:eastAsia="MS Mincho"/>
          <w:sz w:val="22"/>
          <w:szCs w:val="22"/>
          <w:lang w:val="es-MX"/>
        </w:rPr>
        <w:t xml:space="preserve"> “Impulsando Iniciativas Hemisféricas en Materia de Desarrollo Integral: Promoción de la Resiliencia”, </w:t>
      </w:r>
      <w:r>
        <w:rPr>
          <w:rFonts w:eastAsia="MS Mincho"/>
          <w:sz w:val="22"/>
          <w:szCs w:val="22"/>
          <w:lang w:val="es-MX"/>
        </w:rPr>
        <w:t>la Asamblea General reconoció</w:t>
      </w:r>
      <w:r w:rsidRPr="001D0A71">
        <w:rPr>
          <w:rFonts w:eastAsia="MS Mincho"/>
          <w:sz w:val="22"/>
          <w:szCs w:val="22"/>
          <w:lang w:val="es-MX"/>
        </w:rPr>
        <w:t xml:space="preserve"> que la pandemia reforzó la necesidad de que los Estados Miembros de la OEA formulen e implementen con urgencia políticas, estrategias y programas encaminados a reducir su vulnerabilidad y fomentar su resiliencia ante perturbaciones externas. </w:t>
      </w:r>
    </w:p>
    <w:p w14:paraId="09C0624B" w14:textId="77777777" w:rsidR="00FB7532" w:rsidRPr="001D0A71" w:rsidRDefault="00FB7532" w:rsidP="00FB7532">
      <w:pPr>
        <w:tabs>
          <w:tab w:val="left" w:pos="720"/>
          <w:tab w:val="left" w:pos="1530"/>
          <w:tab w:val="left" w:pos="7380"/>
        </w:tabs>
        <w:ind w:firstLine="720"/>
        <w:jc w:val="both"/>
        <w:rPr>
          <w:rFonts w:eastAsia="MS Mincho"/>
          <w:sz w:val="22"/>
          <w:szCs w:val="22"/>
          <w:lang w:val="es-MX"/>
        </w:rPr>
      </w:pPr>
    </w:p>
    <w:p w14:paraId="348795F6" w14:textId="0EA162B0" w:rsidR="00FB7532" w:rsidRDefault="00FB7532" w:rsidP="00FB7532">
      <w:pPr>
        <w:tabs>
          <w:tab w:val="left" w:pos="720"/>
          <w:tab w:val="left" w:pos="1530"/>
          <w:tab w:val="left" w:pos="7380"/>
        </w:tabs>
        <w:ind w:firstLine="720"/>
        <w:jc w:val="both"/>
        <w:rPr>
          <w:rFonts w:eastAsia="MS Mincho"/>
          <w:sz w:val="22"/>
          <w:szCs w:val="22"/>
          <w:lang w:val="es-MX"/>
        </w:rPr>
      </w:pPr>
      <w:r>
        <w:rPr>
          <w:rFonts w:eastAsia="MS Mincho"/>
          <w:sz w:val="22"/>
          <w:szCs w:val="22"/>
          <w:lang w:val="es-MX"/>
        </w:rPr>
        <w:t>En</w:t>
      </w:r>
      <w:r w:rsidRPr="001D0A71">
        <w:rPr>
          <w:rFonts w:eastAsia="MS Mincho"/>
          <w:sz w:val="22"/>
          <w:szCs w:val="22"/>
          <w:lang w:val="es-MX"/>
        </w:rPr>
        <w:t xml:space="preserve"> 2021, mediante la resolución AG/RES. 2967 (LI-O/21) “Impulsando iniciativas hemisféricas en materia de desarrollo integral: promoción de la resiliencia”, se instruyó a la </w:t>
      </w:r>
      <w:r>
        <w:rPr>
          <w:rFonts w:eastAsia="MS Mincho"/>
          <w:sz w:val="22"/>
          <w:szCs w:val="22"/>
          <w:lang w:val="es-MX"/>
        </w:rPr>
        <w:t>Secretaría Ejecutiva para el Desarrollo Integral (</w:t>
      </w:r>
      <w:r w:rsidRPr="001D0A71">
        <w:rPr>
          <w:rFonts w:eastAsia="MS Mincho"/>
          <w:sz w:val="22"/>
          <w:szCs w:val="22"/>
          <w:lang w:val="es-MX"/>
        </w:rPr>
        <w:t>SEDI</w:t>
      </w:r>
      <w:r>
        <w:rPr>
          <w:rFonts w:eastAsia="MS Mincho"/>
          <w:sz w:val="22"/>
          <w:szCs w:val="22"/>
          <w:lang w:val="es-MX"/>
        </w:rPr>
        <w:t xml:space="preserve">) </w:t>
      </w:r>
      <w:r w:rsidRPr="001D0A71">
        <w:rPr>
          <w:rFonts w:eastAsia="MS Mincho"/>
          <w:sz w:val="22"/>
          <w:szCs w:val="22"/>
          <w:lang w:val="es-MX"/>
        </w:rPr>
        <w:t>para que fortalezca sus mecanismos de cooperación para el desarrollo orientados a mejorar la capacidad técnica e institucional de los Estados Miembros a nivel comunitario, nacional y regional, así como a la construcción de alianzas y alianzas multisectoriales sostenibles, para ayudar a los Estados Miembros enfocándose particularmente en la asistencia para su recuperación post COVID-19.</w:t>
      </w:r>
    </w:p>
    <w:p w14:paraId="6053B847" w14:textId="77777777" w:rsidR="00FB7532" w:rsidRPr="00C772FB" w:rsidRDefault="00FB7532" w:rsidP="00FB7532">
      <w:pPr>
        <w:tabs>
          <w:tab w:val="left" w:pos="720"/>
          <w:tab w:val="left" w:pos="1530"/>
          <w:tab w:val="left" w:pos="7380"/>
        </w:tabs>
        <w:ind w:firstLine="720"/>
        <w:jc w:val="both"/>
        <w:rPr>
          <w:rFonts w:eastAsia="MS Mincho"/>
          <w:sz w:val="22"/>
          <w:szCs w:val="22"/>
          <w:lang w:val="es-MX"/>
        </w:rPr>
      </w:pPr>
    </w:p>
    <w:p w14:paraId="5090D97B" w14:textId="77777777" w:rsidR="00FB7532" w:rsidRPr="00E31336" w:rsidRDefault="00FB7532" w:rsidP="00FB7532">
      <w:pPr>
        <w:pStyle w:val="paragraph"/>
        <w:spacing w:before="0" w:beforeAutospacing="0" w:after="0" w:afterAutospacing="0"/>
        <w:ind w:firstLine="709"/>
        <w:jc w:val="both"/>
        <w:textAlignment w:val="baseline"/>
        <w:rPr>
          <w:rFonts w:eastAsia="Arial Unicode MS"/>
          <w:sz w:val="22"/>
          <w:szCs w:val="22"/>
          <w:lang w:val="es-MX"/>
        </w:rPr>
      </w:pPr>
      <w:r>
        <w:rPr>
          <w:rFonts w:eastAsia="Arial Unicode MS"/>
          <w:sz w:val="22"/>
          <w:szCs w:val="22"/>
          <w:lang w:val="es-MX"/>
        </w:rPr>
        <w:t xml:space="preserve">De esa forma y como corolario a la integración de mandatos en los tres niveles de gobierno, durante la IX Reunión Ordinaria de la Comisión Interamericana de Educación (CIE) realizada en </w:t>
      </w:r>
      <w:r>
        <w:rPr>
          <w:rFonts w:eastAsia="Arial Unicode MS"/>
          <w:sz w:val="22"/>
          <w:szCs w:val="22"/>
          <w:lang w:val="es-MX"/>
        </w:rPr>
        <w:lastRenderedPageBreak/>
        <w:t>noviembre de 2021, se aprobó como tema central para la XI Reunión Interamericana de Ministros de Educación: “</w:t>
      </w:r>
      <w:r w:rsidRPr="00305BF9">
        <w:rPr>
          <w:rFonts w:eastAsia="Arial Unicode MS"/>
          <w:sz w:val="22"/>
          <w:szCs w:val="22"/>
          <w:lang w:val="es-MX"/>
        </w:rPr>
        <w:t>Hacia la construcción de un nuevo pacto educativo hemisférico en contextos de cambio</w:t>
      </w:r>
      <w:r>
        <w:rPr>
          <w:rFonts w:eastAsia="Arial Unicode MS"/>
          <w:sz w:val="22"/>
          <w:szCs w:val="22"/>
          <w:lang w:val="es-MX"/>
        </w:rPr>
        <w:t>”.</w:t>
      </w:r>
    </w:p>
    <w:p w14:paraId="326577A1" w14:textId="77777777" w:rsidR="00FB7532" w:rsidRPr="00604EC6" w:rsidRDefault="00FB7532" w:rsidP="00FB7532">
      <w:pPr>
        <w:numPr>
          <w:ilvl w:val="0"/>
          <w:numId w:val="11"/>
        </w:numPr>
        <w:tabs>
          <w:tab w:val="left" w:pos="720"/>
          <w:tab w:val="left" w:pos="2160"/>
        </w:tabs>
        <w:ind w:hanging="720"/>
        <w:contextualSpacing/>
        <w:jc w:val="both"/>
        <w:rPr>
          <w:bCs/>
          <w:sz w:val="22"/>
          <w:szCs w:val="22"/>
          <w:lang w:val="es-CO"/>
        </w:rPr>
      </w:pPr>
      <w:r w:rsidRPr="00604EC6">
        <w:rPr>
          <w:bCs/>
          <w:sz w:val="22"/>
          <w:szCs w:val="22"/>
          <w:lang w:val="es-CO"/>
        </w:rPr>
        <w:t>TEMAS PROPUESTOS</w:t>
      </w:r>
    </w:p>
    <w:p w14:paraId="79AB3014" w14:textId="77777777" w:rsidR="00FB7532" w:rsidRPr="00C02243" w:rsidRDefault="00FB7532" w:rsidP="00FB7532">
      <w:pPr>
        <w:tabs>
          <w:tab w:val="left" w:pos="1440"/>
          <w:tab w:val="left" w:pos="2160"/>
        </w:tabs>
        <w:ind w:left="720"/>
        <w:contextualSpacing/>
        <w:jc w:val="both"/>
        <w:rPr>
          <w:b/>
          <w:sz w:val="22"/>
          <w:szCs w:val="22"/>
          <w:highlight w:val="yellow"/>
          <w:lang w:val="es-CO"/>
        </w:rPr>
      </w:pPr>
    </w:p>
    <w:p w14:paraId="3760723E" w14:textId="77777777" w:rsidR="00FB7532" w:rsidRDefault="00FB7532" w:rsidP="00FB7532">
      <w:pPr>
        <w:numPr>
          <w:ilvl w:val="0"/>
          <w:numId w:val="10"/>
        </w:numPr>
        <w:tabs>
          <w:tab w:val="left" w:pos="1440"/>
          <w:tab w:val="left" w:pos="2160"/>
        </w:tabs>
        <w:ind w:firstLine="0"/>
        <w:contextualSpacing/>
        <w:jc w:val="both"/>
        <w:rPr>
          <w:rFonts w:eastAsia="Malgun Gothic"/>
          <w:sz w:val="22"/>
          <w:szCs w:val="22"/>
          <w:lang w:val="es-ES" w:eastAsia="ko-KR"/>
        </w:rPr>
      </w:pPr>
      <w:r>
        <w:rPr>
          <w:rFonts w:eastAsia="Malgun Gothic"/>
          <w:b/>
          <w:bCs/>
          <w:sz w:val="22"/>
          <w:szCs w:val="22"/>
          <w:lang w:val="es-ES" w:eastAsia="ko-KR"/>
        </w:rPr>
        <w:t>Consideración y formalización de acuerdos</w:t>
      </w:r>
      <w:r>
        <w:rPr>
          <w:rFonts w:eastAsia="Malgun Gothic"/>
          <w:sz w:val="22"/>
          <w:szCs w:val="22"/>
          <w:lang w:val="es-ES" w:eastAsia="ko-KR"/>
        </w:rPr>
        <w:t xml:space="preserve"> </w:t>
      </w:r>
    </w:p>
    <w:p w14:paraId="0A0B7B7C" w14:textId="77777777" w:rsidR="00FB7532" w:rsidRDefault="00FB7532" w:rsidP="00FB7532">
      <w:pPr>
        <w:tabs>
          <w:tab w:val="left" w:pos="709"/>
          <w:tab w:val="left" w:pos="2160"/>
        </w:tabs>
        <w:ind w:left="720"/>
        <w:contextualSpacing/>
        <w:jc w:val="both"/>
        <w:rPr>
          <w:rFonts w:eastAsia="Malgun Gothic"/>
          <w:sz w:val="22"/>
          <w:szCs w:val="22"/>
          <w:lang w:val="es-ES" w:eastAsia="ko-KR"/>
        </w:rPr>
      </w:pPr>
    </w:p>
    <w:p w14:paraId="758CF80B" w14:textId="77777777" w:rsidR="00FB7532" w:rsidRPr="00E61368" w:rsidRDefault="00FB7532" w:rsidP="00FB7532">
      <w:pPr>
        <w:tabs>
          <w:tab w:val="left" w:pos="709"/>
          <w:tab w:val="left" w:pos="1440"/>
          <w:tab w:val="left" w:pos="2160"/>
        </w:tabs>
        <w:ind w:left="720" w:hanging="720"/>
        <w:contextualSpacing/>
        <w:jc w:val="both"/>
        <w:rPr>
          <w:rFonts w:eastAsia="Malgun Gothic"/>
          <w:sz w:val="22"/>
          <w:szCs w:val="22"/>
          <w:lang w:val="es-ES" w:eastAsia="ko-KR"/>
        </w:rPr>
      </w:pPr>
      <w:r>
        <w:rPr>
          <w:rFonts w:eastAsia="Malgun Gothic"/>
          <w:sz w:val="22"/>
          <w:szCs w:val="22"/>
          <w:lang w:val="es-ES" w:eastAsia="ko-KR"/>
        </w:rPr>
        <w:tab/>
      </w:r>
      <w:r>
        <w:rPr>
          <w:rFonts w:eastAsia="Malgun Gothic"/>
          <w:sz w:val="22"/>
          <w:szCs w:val="22"/>
          <w:lang w:val="es-ES" w:eastAsia="ko-KR"/>
        </w:rPr>
        <w:tab/>
      </w:r>
      <w:r>
        <w:rPr>
          <w:rFonts w:eastAsia="Malgun Gothic"/>
          <w:sz w:val="22"/>
          <w:szCs w:val="22"/>
          <w:lang w:val="es-ES" w:eastAsia="ko-KR"/>
        </w:rPr>
        <w:tab/>
        <w:t>S</w:t>
      </w:r>
      <w:r w:rsidRPr="00E61368">
        <w:rPr>
          <w:rFonts w:eastAsia="Malgun Gothic"/>
          <w:sz w:val="22"/>
          <w:szCs w:val="22"/>
          <w:lang w:val="es-ES" w:eastAsia="ko-KR"/>
        </w:rPr>
        <w:t xml:space="preserve">egún lo establecido en el artículo 21 del Reglamento para las reuniones sectoriales y especializadas a nivel ministerial y/o de altas autoridades del Consejo Interamericano para el Desarrollo Integral, en la Reunión Preparatoria para la reunión ministerial se adoptarán acuerdos sobre los siguientes puntos, los cuales serán formalizados en la primera sesión plenaria de la Reunión Ministerial.  </w:t>
      </w:r>
    </w:p>
    <w:p w14:paraId="3C14C072" w14:textId="77777777" w:rsidR="00FB7532" w:rsidRPr="00BF54F0" w:rsidRDefault="00FB7532" w:rsidP="00FB7532">
      <w:pPr>
        <w:tabs>
          <w:tab w:val="left" w:pos="1440"/>
          <w:tab w:val="left" w:pos="2160"/>
        </w:tabs>
        <w:ind w:left="360"/>
        <w:contextualSpacing/>
        <w:jc w:val="both"/>
        <w:rPr>
          <w:rFonts w:eastAsia="Malgun Gothic"/>
          <w:sz w:val="22"/>
          <w:szCs w:val="22"/>
          <w:lang w:val="es-ES" w:eastAsia="ko-KR"/>
        </w:rPr>
      </w:pPr>
    </w:p>
    <w:p w14:paraId="0327B866" w14:textId="77777777" w:rsidR="00FB7532" w:rsidRPr="00BF54F0" w:rsidRDefault="00FB7532" w:rsidP="00FB7532">
      <w:pPr>
        <w:numPr>
          <w:ilvl w:val="1"/>
          <w:numId w:val="10"/>
        </w:numPr>
        <w:tabs>
          <w:tab w:val="left" w:pos="1440"/>
          <w:tab w:val="left" w:pos="2160"/>
        </w:tabs>
        <w:ind w:firstLine="0"/>
        <w:contextualSpacing/>
        <w:jc w:val="both"/>
        <w:rPr>
          <w:rFonts w:eastAsia="Malgun Gothic"/>
          <w:sz w:val="22"/>
          <w:szCs w:val="22"/>
          <w:lang w:val="es-ES" w:eastAsia="ko-KR"/>
        </w:rPr>
      </w:pPr>
      <w:r w:rsidRPr="00BF54F0">
        <w:rPr>
          <w:rFonts w:eastAsia="Malgun Gothic"/>
          <w:sz w:val="22"/>
          <w:szCs w:val="22"/>
          <w:lang w:val="es-ES" w:eastAsia="ko-KR"/>
        </w:rPr>
        <w:t>la elección de Presidente;</w:t>
      </w:r>
    </w:p>
    <w:p w14:paraId="25D9D282" w14:textId="77777777" w:rsidR="00FB7532" w:rsidRPr="00BF54F0" w:rsidRDefault="00FB7532" w:rsidP="00FB7532">
      <w:pPr>
        <w:numPr>
          <w:ilvl w:val="1"/>
          <w:numId w:val="10"/>
        </w:numPr>
        <w:tabs>
          <w:tab w:val="left" w:pos="1440"/>
          <w:tab w:val="left" w:pos="2160"/>
        </w:tabs>
        <w:ind w:firstLine="0"/>
        <w:contextualSpacing/>
        <w:jc w:val="both"/>
        <w:rPr>
          <w:rFonts w:eastAsia="Malgun Gothic"/>
          <w:sz w:val="22"/>
          <w:szCs w:val="22"/>
          <w:lang w:val="es-ES" w:eastAsia="ko-KR"/>
        </w:rPr>
      </w:pPr>
      <w:r w:rsidRPr="00BF54F0">
        <w:rPr>
          <w:rFonts w:eastAsia="Malgun Gothic"/>
          <w:sz w:val="22"/>
          <w:szCs w:val="22"/>
          <w:lang w:val="es-ES" w:eastAsia="ko-KR"/>
        </w:rPr>
        <w:t>la integración de la Comisión de Estilo;</w:t>
      </w:r>
    </w:p>
    <w:p w14:paraId="306D9A93" w14:textId="77777777" w:rsidR="00FB7532" w:rsidRPr="00BF54F0" w:rsidRDefault="00FB7532" w:rsidP="00FB7532">
      <w:pPr>
        <w:numPr>
          <w:ilvl w:val="1"/>
          <w:numId w:val="10"/>
        </w:numPr>
        <w:tabs>
          <w:tab w:val="left" w:pos="1440"/>
          <w:tab w:val="left" w:pos="2160"/>
        </w:tabs>
        <w:ind w:firstLine="0"/>
        <w:contextualSpacing/>
        <w:jc w:val="both"/>
        <w:rPr>
          <w:rFonts w:eastAsia="Malgun Gothic"/>
          <w:sz w:val="22"/>
          <w:szCs w:val="22"/>
          <w:lang w:val="es-ES" w:eastAsia="ko-KR"/>
        </w:rPr>
      </w:pPr>
      <w:r w:rsidRPr="00BF54F0">
        <w:rPr>
          <w:rFonts w:eastAsia="Malgun Gothic"/>
          <w:sz w:val="22"/>
          <w:szCs w:val="22"/>
          <w:lang w:val="es-ES" w:eastAsia="ko-KR"/>
        </w:rPr>
        <w:t>el temario final de la reunión;</w:t>
      </w:r>
    </w:p>
    <w:p w14:paraId="77CFBF9B" w14:textId="77777777" w:rsidR="00FB7532" w:rsidRPr="00BF54F0" w:rsidRDefault="00FB7532" w:rsidP="00FB7532">
      <w:pPr>
        <w:numPr>
          <w:ilvl w:val="1"/>
          <w:numId w:val="10"/>
        </w:numPr>
        <w:tabs>
          <w:tab w:val="left" w:pos="1440"/>
          <w:tab w:val="left" w:pos="2160"/>
        </w:tabs>
        <w:ind w:firstLine="0"/>
        <w:contextualSpacing/>
        <w:jc w:val="both"/>
        <w:rPr>
          <w:rFonts w:eastAsia="Malgun Gothic"/>
          <w:sz w:val="22"/>
          <w:szCs w:val="22"/>
          <w:lang w:val="es-ES" w:eastAsia="ko-KR"/>
        </w:rPr>
      </w:pPr>
      <w:r w:rsidRPr="00BF54F0">
        <w:rPr>
          <w:rFonts w:eastAsia="Malgun Gothic"/>
          <w:sz w:val="22"/>
          <w:szCs w:val="22"/>
          <w:lang w:val="es-ES" w:eastAsia="ko-KR"/>
        </w:rPr>
        <w:t>la designación de comisiones y grupos de trabajo;</w:t>
      </w:r>
    </w:p>
    <w:p w14:paraId="77F6A513" w14:textId="77777777" w:rsidR="00FB7532" w:rsidRPr="00BF54F0" w:rsidRDefault="00FB7532" w:rsidP="00FB7532">
      <w:pPr>
        <w:numPr>
          <w:ilvl w:val="1"/>
          <w:numId w:val="10"/>
        </w:numPr>
        <w:tabs>
          <w:tab w:val="left" w:pos="1440"/>
          <w:tab w:val="left" w:pos="2160"/>
        </w:tabs>
        <w:ind w:firstLine="0"/>
        <w:contextualSpacing/>
        <w:jc w:val="both"/>
        <w:rPr>
          <w:rFonts w:eastAsia="Malgun Gothic"/>
          <w:sz w:val="22"/>
          <w:szCs w:val="22"/>
          <w:lang w:val="es-ES" w:eastAsia="ko-KR"/>
        </w:rPr>
      </w:pPr>
      <w:r w:rsidRPr="00BF54F0">
        <w:rPr>
          <w:rFonts w:eastAsia="Malgun Gothic"/>
          <w:sz w:val="22"/>
          <w:szCs w:val="22"/>
          <w:lang w:val="es-ES" w:eastAsia="ko-KR"/>
        </w:rPr>
        <w:t>el acuerdo sobre el plazo límite para la presentación de proposiciones;</w:t>
      </w:r>
    </w:p>
    <w:p w14:paraId="4C27CF33" w14:textId="77777777" w:rsidR="00FB7532" w:rsidRPr="00BF54F0" w:rsidRDefault="00FB7532" w:rsidP="00FB7532">
      <w:pPr>
        <w:numPr>
          <w:ilvl w:val="1"/>
          <w:numId w:val="10"/>
        </w:numPr>
        <w:tabs>
          <w:tab w:val="left" w:pos="1440"/>
          <w:tab w:val="left" w:pos="2160"/>
        </w:tabs>
        <w:ind w:firstLine="0"/>
        <w:contextualSpacing/>
        <w:jc w:val="both"/>
        <w:rPr>
          <w:rFonts w:eastAsia="Malgun Gothic"/>
          <w:sz w:val="22"/>
          <w:szCs w:val="22"/>
          <w:lang w:val="es-ES" w:eastAsia="ko-KR"/>
        </w:rPr>
      </w:pPr>
      <w:r w:rsidRPr="00BF54F0">
        <w:rPr>
          <w:rFonts w:eastAsia="Malgun Gothic"/>
          <w:sz w:val="22"/>
          <w:szCs w:val="22"/>
          <w:lang w:val="es-ES" w:eastAsia="ko-KR"/>
        </w:rPr>
        <w:t>la duración de la reunión, y</w:t>
      </w:r>
    </w:p>
    <w:p w14:paraId="2E44B6C3" w14:textId="77777777" w:rsidR="00FB7532" w:rsidRPr="00F74234" w:rsidRDefault="00FB7532" w:rsidP="00FB7532">
      <w:pPr>
        <w:numPr>
          <w:ilvl w:val="1"/>
          <w:numId w:val="10"/>
        </w:numPr>
        <w:tabs>
          <w:tab w:val="left" w:pos="1440"/>
          <w:tab w:val="left" w:pos="2160"/>
        </w:tabs>
        <w:ind w:firstLine="0"/>
        <w:contextualSpacing/>
        <w:jc w:val="both"/>
        <w:rPr>
          <w:rFonts w:eastAsia="Malgun Gothic"/>
          <w:sz w:val="22"/>
          <w:szCs w:val="22"/>
          <w:lang w:val="es-ES" w:eastAsia="ko-KR"/>
        </w:rPr>
      </w:pPr>
      <w:r w:rsidRPr="00BF54F0">
        <w:rPr>
          <w:rFonts w:eastAsia="Malgun Gothic"/>
          <w:sz w:val="22"/>
          <w:szCs w:val="22"/>
          <w:lang w:val="es-ES" w:eastAsia="ko-KR"/>
        </w:rPr>
        <w:t xml:space="preserve">asuntos varios. </w:t>
      </w:r>
    </w:p>
    <w:p w14:paraId="1D242B83" w14:textId="77777777" w:rsidR="00FB7532" w:rsidRDefault="00FB7532" w:rsidP="00FB7532">
      <w:pPr>
        <w:tabs>
          <w:tab w:val="left" w:pos="1440"/>
          <w:tab w:val="left" w:pos="2160"/>
        </w:tabs>
        <w:ind w:left="720"/>
        <w:contextualSpacing/>
        <w:jc w:val="both"/>
        <w:rPr>
          <w:rFonts w:eastAsia="Malgun Gothic"/>
          <w:sz w:val="22"/>
          <w:szCs w:val="22"/>
          <w:lang w:val="es-ES" w:eastAsia="ko-KR"/>
        </w:rPr>
      </w:pPr>
    </w:p>
    <w:p w14:paraId="0FA5FDCF" w14:textId="77777777" w:rsidR="00FB7532" w:rsidRPr="00CB3B0B" w:rsidRDefault="00FB7532" w:rsidP="00FB7532">
      <w:pPr>
        <w:numPr>
          <w:ilvl w:val="0"/>
          <w:numId w:val="10"/>
        </w:numPr>
        <w:tabs>
          <w:tab w:val="left" w:pos="709"/>
          <w:tab w:val="left" w:pos="2160"/>
        </w:tabs>
        <w:ind w:left="1440" w:hanging="720"/>
        <w:contextualSpacing/>
        <w:jc w:val="both"/>
        <w:rPr>
          <w:b/>
          <w:sz w:val="22"/>
          <w:szCs w:val="22"/>
          <w:lang w:val="es-CO"/>
        </w:rPr>
      </w:pPr>
      <w:r w:rsidRPr="00CB3B0B">
        <w:rPr>
          <w:b/>
          <w:sz w:val="22"/>
          <w:szCs w:val="22"/>
          <w:lang w:val="es-CO"/>
        </w:rPr>
        <w:t>Hacia la construcción de un nuevo Pacto Educativo Hemisférico en contextos de cambio.</w:t>
      </w:r>
    </w:p>
    <w:p w14:paraId="6E06B108" w14:textId="77777777" w:rsidR="00FB7532" w:rsidRPr="00C02243" w:rsidRDefault="00FB7532" w:rsidP="00FB7532">
      <w:pPr>
        <w:tabs>
          <w:tab w:val="left" w:pos="1440"/>
          <w:tab w:val="left" w:pos="2160"/>
        </w:tabs>
        <w:ind w:left="720"/>
        <w:contextualSpacing/>
        <w:jc w:val="both"/>
        <w:rPr>
          <w:b/>
          <w:sz w:val="22"/>
          <w:szCs w:val="22"/>
          <w:highlight w:val="yellow"/>
          <w:lang w:val="es-CO"/>
        </w:rPr>
      </w:pPr>
    </w:p>
    <w:p w14:paraId="11C28103" w14:textId="77777777" w:rsidR="00FB7532" w:rsidRPr="00EE5F39" w:rsidRDefault="00FB7532" w:rsidP="00FB7532">
      <w:pPr>
        <w:tabs>
          <w:tab w:val="left" w:pos="720"/>
          <w:tab w:val="left" w:pos="1530"/>
          <w:tab w:val="left" w:pos="7380"/>
        </w:tabs>
        <w:ind w:left="720"/>
        <w:jc w:val="both"/>
        <w:rPr>
          <w:rFonts w:eastAsia="MS Mincho"/>
          <w:sz w:val="22"/>
          <w:szCs w:val="22"/>
          <w:lang w:val="es-CR"/>
        </w:rPr>
      </w:pPr>
      <w:r>
        <w:rPr>
          <w:sz w:val="22"/>
          <w:szCs w:val="22"/>
          <w:lang w:val="es-DO"/>
        </w:rPr>
        <w:tab/>
        <w:t>Los representantes de los Ministerios de Educación de la región han coincidido en que m</w:t>
      </w:r>
      <w:r w:rsidRPr="00E31336">
        <w:rPr>
          <w:sz w:val="22"/>
          <w:szCs w:val="22"/>
          <w:lang w:val="es-DO"/>
        </w:rPr>
        <w:t xml:space="preserve">ás allá de </w:t>
      </w:r>
      <w:r>
        <w:rPr>
          <w:sz w:val="22"/>
          <w:szCs w:val="22"/>
          <w:lang w:val="es-DO"/>
        </w:rPr>
        <w:t>buscar soluciones concretas a</w:t>
      </w:r>
      <w:r w:rsidRPr="00E31336">
        <w:rPr>
          <w:sz w:val="22"/>
          <w:szCs w:val="22"/>
          <w:lang w:val="es-DO"/>
        </w:rPr>
        <w:t xml:space="preserve"> los retos existentes </w:t>
      </w:r>
      <w:r>
        <w:rPr>
          <w:sz w:val="22"/>
          <w:szCs w:val="22"/>
          <w:lang w:val="es-DO"/>
        </w:rPr>
        <w:t xml:space="preserve">y visibilizados durante </w:t>
      </w:r>
      <w:r w:rsidRPr="00E31336">
        <w:rPr>
          <w:sz w:val="22"/>
          <w:szCs w:val="22"/>
          <w:lang w:val="es-DO"/>
        </w:rPr>
        <w:t xml:space="preserve">la pandemia </w:t>
      </w:r>
      <w:r>
        <w:rPr>
          <w:sz w:val="22"/>
          <w:szCs w:val="22"/>
          <w:lang w:val="es-DO"/>
        </w:rPr>
        <w:t>es fundamental</w:t>
      </w:r>
      <w:r w:rsidRPr="00E31336">
        <w:rPr>
          <w:sz w:val="22"/>
          <w:szCs w:val="22"/>
          <w:lang w:val="es-DO"/>
        </w:rPr>
        <w:t xml:space="preserve"> </w:t>
      </w:r>
      <w:r>
        <w:rPr>
          <w:sz w:val="22"/>
          <w:szCs w:val="22"/>
          <w:lang w:val="es-DO"/>
        </w:rPr>
        <w:t>construir sobre lo aprendido, compartir y enriquecer</w:t>
      </w:r>
      <w:r w:rsidRPr="00E31336">
        <w:rPr>
          <w:sz w:val="22"/>
          <w:szCs w:val="22"/>
          <w:lang w:val="es-DO"/>
        </w:rPr>
        <w:t xml:space="preserve"> los conocimientos, experiencias, inquietudes y anhelos de la comunidad educativa </w:t>
      </w:r>
      <w:r>
        <w:rPr>
          <w:sz w:val="22"/>
          <w:szCs w:val="22"/>
          <w:lang w:val="es-DO"/>
        </w:rPr>
        <w:t>y trabajar</w:t>
      </w:r>
      <w:r w:rsidRPr="00E31336">
        <w:rPr>
          <w:sz w:val="22"/>
          <w:szCs w:val="22"/>
          <w:lang w:val="es-DO"/>
        </w:rPr>
        <w:t xml:space="preserve"> para que esos </w:t>
      </w:r>
      <w:r>
        <w:rPr>
          <w:sz w:val="22"/>
          <w:szCs w:val="22"/>
          <w:lang w:val="es-DO"/>
        </w:rPr>
        <w:t>consensos arraiguen en un</w:t>
      </w:r>
      <w:r w:rsidRPr="00E31336">
        <w:rPr>
          <w:sz w:val="22"/>
          <w:szCs w:val="22"/>
          <w:lang w:val="es-DO"/>
        </w:rPr>
        <w:t xml:space="preserve"> marco hemisférico</w:t>
      </w:r>
      <w:r>
        <w:rPr>
          <w:sz w:val="22"/>
          <w:szCs w:val="22"/>
          <w:lang w:val="es-DO"/>
        </w:rPr>
        <w:t xml:space="preserve"> inclusivo, diverso y con equidad.</w:t>
      </w:r>
    </w:p>
    <w:p w14:paraId="6DDC025D" w14:textId="77777777" w:rsidR="00FB7532" w:rsidRDefault="00FB7532" w:rsidP="00FB7532">
      <w:pPr>
        <w:tabs>
          <w:tab w:val="left" w:pos="720"/>
          <w:tab w:val="left" w:pos="1530"/>
          <w:tab w:val="left" w:pos="7380"/>
        </w:tabs>
        <w:ind w:left="720"/>
        <w:jc w:val="both"/>
        <w:rPr>
          <w:sz w:val="22"/>
          <w:szCs w:val="22"/>
          <w:lang w:val="es-CR"/>
        </w:rPr>
      </w:pPr>
    </w:p>
    <w:p w14:paraId="2C53A56B" w14:textId="77777777" w:rsidR="00FB7532" w:rsidRPr="00FD73D4" w:rsidRDefault="00FB7532" w:rsidP="00FB7532">
      <w:pPr>
        <w:tabs>
          <w:tab w:val="left" w:pos="720"/>
          <w:tab w:val="left" w:pos="1530"/>
          <w:tab w:val="left" w:pos="7380"/>
        </w:tabs>
        <w:ind w:left="720"/>
        <w:jc w:val="both"/>
        <w:rPr>
          <w:sz w:val="22"/>
          <w:szCs w:val="22"/>
          <w:lang w:val="es-CR"/>
        </w:rPr>
      </w:pPr>
      <w:r>
        <w:rPr>
          <w:sz w:val="22"/>
          <w:szCs w:val="22"/>
          <w:lang w:val="es-CR"/>
        </w:rPr>
        <w:tab/>
        <w:t>L</w:t>
      </w:r>
      <w:r w:rsidRPr="000436E3">
        <w:rPr>
          <w:sz w:val="22"/>
          <w:szCs w:val="22"/>
          <w:lang w:val="es-CR"/>
        </w:rPr>
        <w:t xml:space="preserve">íderes y decididores de políticas públicas de los Estados Miembros de la OEA a través de diversos espacios de diálogo, han </w:t>
      </w:r>
      <w:r>
        <w:rPr>
          <w:sz w:val="22"/>
          <w:szCs w:val="22"/>
          <w:lang w:val="es-CR"/>
        </w:rPr>
        <w:t>coincidido al afirmar que este es</w:t>
      </w:r>
      <w:r w:rsidRPr="000436E3">
        <w:rPr>
          <w:rFonts w:eastAsia="MS Mincho"/>
          <w:sz w:val="22"/>
          <w:szCs w:val="22"/>
          <w:lang w:val="es-CR"/>
        </w:rPr>
        <w:t xml:space="preserve"> quizás el momento de </w:t>
      </w:r>
      <w:proofErr w:type="spellStart"/>
      <w:r>
        <w:rPr>
          <w:rFonts w:eastAsia="MS Mincho"/>
          <w:sz w:val="22"/>
          <w:szCs w:val="22"/>
          <w:lang w:val="es-CR"/>
        </w:rPr>
        <w:t>re</w:t>
      </w:r>
      <w:r w:rsidRPr="000436E3">
        <w:rPr>
          <w:rFonts w:eastAsia="MS Mincho"/>
          <w:sz w:val="22"/>
          <w:szCs w:val="22"/>
          <w:lang w:val="es-CR"/>
        </w:rPr>
        <w:t>imaginar</w:t>
      </w:r>
      <w:proofErr w:type="spellEnd"/>
      <w:r>
        <w:rPr>
          <w:rFonts w:eastAsia="MS Mincho"/>
          <w:sz w:val="22"/>
          <w:szCs w:val="22"/>
          <w:lang w:val="es-CR"/>
        </w:rPr>
        <w:t xml:space="preserve"> </w:t>
      </w:r>
      <w:r w:rsidRPr="000436E3">
        <w:rPr>
          <w:rFonts w:eastAsia="MS Mincho"/>
          <w:sz w:val="22"/>
          <w:szCs w:val="22"/>
          <w:lang w:val="es-CR"/>
        </w:rPr>
        <w:t>un nuevo y mejor futuro para los sistemas educativos en todo el mundo</w:t>
      </w:r>
      <w:r>
        <w:rPr>
          <w:rFonts w:eastAsia="MS Mincho"/>
          <w:sz w:val="22"/>
          <w:szCs w:val="22"/>
          <w:lang w:val="es-CR"/>
        </w:rPr>
        <w:t xml:space="preserve">; de </w:t>
      </w:r>
      <w:proofErr w:type="spellStart"/>
      <w:r>
        <w:rPr>
          <w:rFonts w:eastAsia="MS Mincho"/>
          <w:sz w:val="22"/>
          <w:szCs w:val="22"/>
          <w:lang w:val="es-CR"/>
        </w:rPr>
        <w:t>reimaginar</w:t>
      </w:r>
      <w:proofErr w:type="spellEnd"/>
      <w:r>
        <w:rPr>
          <w:rFonts w:eastAsia="MS Mincho"/>
          <w:sz w:val="22"/>
          <w:szCs w:val="22"/>
          <w:lang w:val="es-CR"/>
        </w:rPr>
        <w:t xml:space="preserve"> un futuro con </w:t>
      </w:r>
      <w:r w:rsidRPr="000436E3">
        <w:rPr>
          <w:rFonts w:eastAsia="MS Mincho"/>
          <w:sz w:val="22"/>
          <w:szCs w:val="22"/>
          <w:lang w:val="es-CR"/>
        </w:rPr>
        <w:t xml:space="preserve"> </w:t>
      </w:r>
      <w:r>
        <w:rPr>
          <w:rFonts w:eastAsia="MS Mincho"/>
          <w:sz w:val="22"/>
          <w:szCs w:val="22"/>
          <w:lang w:val="es-CR"/>
        </w:rPr>
        <w:t>s</w:t>
      </w:r>
      <w:r w:rsidRPr="000436E3">
        <w:rPr>
          <w:rFonts w:eastAsia="MS Mincho"/>
          <w:sz w:val="22"/>
          <w:szCs w:val="22"/>
          <w:lang w:val="es-CR"/>
        </w:rPr>
        <w:t>istemas que sirvan mejor a estudiantes y sociedades</w:t>
      </w:r>
      <w:r>
        <w:rPr>
          <w:rFonts w:eastAsia="MS Mincho"/>
          <w:sz w:val="22"/>
          <w:szCs w:val="22"/>
          <w:lang w:val="es-CR"/>
        </w:rPr>
        <w:t>; s</w:t>
      </w:r>
      <w:r w:rsidRPr="000436E3">
        <w:rPr>
          <w:rFonts w:eastAsia="MS Mincho"/>
          <w:sz w:val="22"/>
          <w:szCs w:val="22"/>
          <w:lang w:val="es-CR"/>
        </w:rPr>
        <w:t>istemas que sean resistentes y respondan al cambio rápido</w:t>
      </w:r>
      <w:r>
        <w:rPr>
          <w:rFonts w:eastAsia="MS Mincho"/>
          <w:sz w:val="22"/>
          <w:szCs w:val="22"/>
          <w:lang w:val="es-CR"/>
        </w:rPr>
        <w:t xml:space="preserve">; adaptables y con respuestas al cambio; sistemas </w:t>
      </w:r>
      <w:r w:rsidRPr="00EE5F39">
        <w:rPr>
          <w:sz w:val="22"/>
          <w:szCs w:val="22"/>
          <w:lang w:val="es-CR"/>
        </w:rPr>
        <w:t xml:space="preserve">resilientes que permitan gestionar </w:t>
      </w:r>
      <w:r>
        <w:rPr>
          <w:sz w:val="22"/>
          <w:szCs w:val="22"/>
          <w:lang w:val="es-CR"/>
        </w:rPr>
        <w:t xml:space="preserve">y  garantizar la continuidad educativa bajo contextos de cambios, ya sea en un mundo postpandemia o ante cualquier otro tipo de disrupción </w:t>
      </w:r>
      <w:r w:rsidRPr="00FD73D4">
        <w:rPr>
          <w:sz w:val="22"/>
          <w:szCs w:val="22"/>
          <w:lang w:val="es-CR"/>
        </w:rPr>
        <w:t>natural</w:t>
      </w:r>
      <w:r>
        <w:rPr>
          <w:sz w:val="22"/>
          <w:szCs w:val="22"/>
          <w:lang w:val="es-CR"/>
        </w:rPr>
        <w:t>, social, económica o migratoria</w:t>
      </w:r>
      <w:r w:rsidRPr="00FD73D4">
        <w:rPr>
          <w:sz w:val="22"/>
          <w:szCs w:val="22"/>
          <w:lang w:val="es-CR"/>
        </w:rPr>
        <w:t>. </w:t>
      </w:r>
    </w:p>
    <w:p w14:paraId="1FFDC89F" w14:textId="77777777" w:rsidR="00FB7532" w:rsidRPr="00FD73D4" w:rsidRDefault="00FB7532" w:rsidP="00FB7532">
      <w:pPr>
        <w:tabs>
          <w:tab w:val="left" w:pos="1440"/>
          <w:tab w:val="left" w:pos="2160"/>
        </w:tabs>
        <w:ind w:firstLine="720"/>
        <w:contextualSpacing/>
        <w:jc w:val="both"/>
        <w:rPr>
          <w:sz w:val="22"/>
          <w:szCs w:val="22"/>
          <w:lang w:val="es-CR"/>
        </w:rPr>
      </w:pPr>
    </w:p>
    <w:p w14:paraId="660651ED" w14:textId="77777777" w:rsidR="00FB7532" w:rsidRPr="00FD73D4" w:rsidRDefault="00FB7532" w:rsidP="00FB7532">
      <w:pPr>
        <w:numPr>
          <w:ilvl w:val="0"/>
          <w:numId w:val="10"/>
        </w:numPr>
        <w:tabs>
          <w:tab w:val="left" w:pos="1440"/>
          <w:tab w:val="left" w:pos="2160"/>
        </w:tabs>
        <w:ind w:left="0" w:firstLine="720"/>
        <w:contextualSpacing/>
        <w:jc w:val="both"/>
        <w:rPr>
          <w:rFonts w:eastAsia="Malgun Gothic"/>
          <w:b/>
          <w:bCs/>
          <w:sz w:val="22"/>
          <w:szCs w:val="22"/>
          <w:lang w:val="es-ES" w:eastAsia="ko-KR"/>
        </w:rPr>
      </w:pPr>
      <w:r w:rsidRPr="00FD73D4">
        <w:rPr>
          <w:b/>
          <w:bCs/>
          <w:sz w:val="22"/>
          <w:szCs w:val="22"/>
          <w:lang w:val="es-CO"/>
        </w:rPr>
        <w:t>Enfoque sistémico para la construcción de sistemas educativos resilientes.</w:t>
      </w:r>
    </w:p>
    <w:p w14:paraId="1B81ECF5" w14:textId="77777777" w:rsidR="00FB7532" w:rsidRDefault="00FB7532" w:rsidP="00FB7532">
      <w:pPr>
        <w:tabs>
          <w:tab w:val="left" w:pos="1440"/>
          <w:tab w:val="left" w:pos="2160"/>
        </w:tabs>
        <w:ind w:firstLine="720"/>
        <w:contextualSpacing/>
        <w:jc w:val="both"/>
        <w:rPr>
          <w:sz w:val="22"/>
          <w:szCs w:val="22"/>
          <w:lang w:val="es-CR"/>
        </w:rPr>
      </w:pPr>
    </w:p>
    <w:p w14:paraId="626C3025" w14:textId="2D2DFECA" w:rsidR="00FB7532" w:rsidRDefault="00FB7532" w:rsidP="00FB7532">
      <w:pPr>
        <w:ind w:left="720" w:firstLine="720"/>
        <w:jc w:val="both"/>
        <w:rPr>
          <w:sz w:val="22"/>
          <w:szCs w:val="22"/>
          <w:lang w:val="es-ES"/>
        </w:rPr>
      </w:pPr>
      <w:r w:rsidRPr="001D50CB">
        <w:rPr>
          <w:sz w:val="22"/>
          <w:szCs w:val="22"/>
          <w:lang w:val="es-ES"/>
        </w:rPr>
        <w:t>En los diferentes diálogos sobre políticas públicas y acciones programáticas que se</w:t>
      </w:r>
      <w:r>
        <w:rPr>
          <w:sz w:val="22"/>
          <w:szCs w:val="22"/>
          <w:lang w:val="es-ES"/>
        </w:rPr>
        <w:t xml:space="preserve"> han venido</w:t>
      </w:r>
      <w:r w:rsidRPr="001D50CB">
        <w:rPr>
          <w:sz w:val="22"/>
          <w:szCs w:val="22"/>
          <w:lang w:val="es-ES"/>
        </w:rPr>
        <w:t xml:space="preserve"> desarrollan</w:t>
      </w:r>
      <w:r>
        <w:rPr>
          <w:sz w:val="22"/>
          <w:szCs w:val="22"/>
          <w:lang w:val="es-ES"/>
        </w:rPr>
        <w:t>do</w:t>
      </w:r>
      <w:r w:rsidRPr="001D50CB">
        <w:rPr>
          <w:sz w:val="22"/>
          <w:szCs w:val="22"/>
          <w:lang w:val="es-ES"/>
        </w:rPr>
        <w:t xml:space="preserve"> en el marco de las Actividades del Plan de Trabajo 2019-2022 de la Comisión Interamericana de Educación (CIE) y en medio de un panorama de crisis sanitaria mundial que implicó el cierre masivo de centros educativos, las autoridades educativas han manifestado que la educación es un derecho y como tal un compromiso ineludible del Estado.</w:t>
      </w:r>
    </w:p>
    <w:p w14:paraId="589455C9" w14:textId="77777777" w:rsidR="00FB7532" w:rsidRPr="001D50CB" w:rsidRDefault="00FB7532" w:rsidP="00FB7532">
      <w:pPr>
        <w:ind w:left="720" w:firstLine="720"/>
        <w:jc w:val="both"/>
        <w:rPr>
          <w:sz w:val="22"/>
          <w:szCs w:val="22"/>
          <w:lang w:val="es-ES"/>
        </w:rPr>
      </w:pPr>
    </w:p>
    <w:p w14:paraId="6B7FDDAC" w14:textId="77777777" w:rsidR="00FB7532" w:rsidRPr="001D50CB" w:rsidRDefault="00FB7532" w:rsidP="00FB7532">
      <w:pPr>
        <w:tabs>
          <w:tab w:val="left" w:pos="1440"/>
          <w:tab w:val="left" w:pos="2160"/>
        </w:tabs>
        <w:ind w:left="720"/>
        <w:contextualSpacing/>
        <w:jc w:val="both"/>
        <w:rPr>
          <w:sz w:val="22"/>
          <w:szCs w:val="22"/>
          <w:lang w:val="es-ES"/>
        </w:rPr>
      </w:pPr>
      <w:r>
        <w:rPr>
          <w:sz w:val="22"/>
          <w:szCs w:val="22"/>
          <w:lang w:val="es-ES"/>
        </w:rPr>
        <w:tab/>
      </w:r>
      <w:r w:rsidRPr="001D50CB">
        <w:rPr>
          <w:sz w:val="22"/>
          <w:szCs w:val="22"/>
          <w:lang w:val="es-ES"/>
        </w:rPr>
        <w:t xml:space="preserve">En este sentido, </w:t>
      </w:r>
      <w:r>
        <w:rPr>
          <w:sz w:val="22"/>
          <w:szCs w:val="22"/>
          <w:lang w:val="es-ES"/>
        </w:rPr>
        <w:t xml:space="preserve">el trabajo se enfocó </w:t>
      </w:r>
      <w:r w:rsidRPr="001D50CB">
        <w:rPr>
          <w:sz w:val="22"/>
          <w:szCs w:val="22"/>
          <w:lang w:val="es-ES"/>
        </w:rPr>
        <w:t xml:space="preserve">en generar un marco de acción que permita garantizar la continuidad de la educación en los diferentes niveles del sistema educativo, </w:t>
      </w:r>
      <w:r w:rsidRPr="001D50CB">
        <w:rPr>
          <w:sz w:val="22"/>
          <w:szCs w:val="22"/>
          <w:lang w:val="es-ES"/>
        </w:rPr>
        <w:lastRenderedPageBreak/>
        <w:t>promoviendo la atención de aquellos más afectados por tales circunstancias, a partir de una estrategia basada en el análisis y realidad de las acciones tomadas por los Gobiernos de la región, incorporando múltiples perspectivas para avanzar en la construcción de un nuevo pacto educativo hemisférico en contextos de cambio que, a partir de un mecanismo de colaboración regional</w:t>
      </w:r>
      <w:r>
        <w:rPr>
          <w:sz w:val="22"/>
          <w:szCs w:val="22"/>
          <w:lang w:val="es-ES"/>
        </w:rPr>
        <w:t>,</w:t>
      </w:r>
      <w:r w:rsidRPr="001D50CB">
        <w:rPr>
          <w:sz w:val="22"/>
          <w:szCs w:val="22"/>
          <w:lang w:val="es-ES"/>
        </w:rPr>
        <w:t xml:space="preserve"> </w:t>
      </w:r>
      <w:r>
        <w:rPr>
          <w:sz w:val="22"/>
          <w:szCs w:val="22"/>
          <w:lang w:val="es-ES"/>
        </w:rPr>
        <w:t>p</w:t>
      </w:r>
      <w:r w:rsidRPr="001D50CB">
        <w:rPr>
          <w:sz w:val="22"/>
          <w:szCs w:val="22"/>
          <w:lang w:val="es-ES"/>
        </w:rPr>
        <w:t>ermit</w:t>
      </w:r>
      <w:r>
        <w:rPr>
          <w:sz w:val="22"/>
          <w:szCs w:val="22"/>
          <w:lang w:val="es-ES"/>
        </w:rPr>
        <w:t xml:space="preserve">a a los ministerios de </w:t>
      </w:r>
      <w:r w:rsidRPr="00116F1D">
        <w:rPr>
          <w:sz w:val="22"/>
          <w:szCs w:val="22"/>
          <w:lang w:val="es-MX"/>
        </w:rPr>
        <w:t>educación</w:t>
      </w:r>
      <w:r>
        <w:rPr>
          <w:sz w:val="22"/>
          <w:szCs w:val="22"/>
          <w:lang w:val="es-MX"/>
        </w:rPr>
        <w:t>,</w:t>
      </w:r>
      <w:r w:rsidRPr="001D50CB">
        <w:rPr>
          <w:sz w:val="22"/>
          <w:szCs w:val="22"/>
          <w:lang w:val="es-ES"/>
        </w:rPr>
        <w:t xml:space="preserve"> repensar y </w:t>
      </w:r>
      <w:proofErr w:type="spellStart"/>
      <w:r w:rsidRPr="001D50CB">
        <w:rPr>
          <w:sz w:val="22"/>
          <w:szCs w:val="22"/>
          <w:lang w:val="es-ES"/>
        </w:rPr>
        <w:t>reimaginar</w:t>
      </w:r>
      <w:proofErr w:type="spellEnd"/>
      <w:r w:rsidRPr="001D50CB">
        <w:rPr>
          <w:sz w:val="22"/>
          <w:szCs w:val="22"/>
          <w:lang w:val="es-ES"/>
        </w:rPr>
        <w:t xml:space="preserve"> el futuro de los sistemas educativos con el fin de garantizar su equidad y resiliencia</w:t>
      </w:r>
      <w:r>
        <w:rPr>
          <w:sz w:val="22"/>
          <w:szCs w:val="22"/>
          <w:lang w:val="es-ES"/>
        </w:rPr>
        <w:t>.</w:t>
      </w:r>
    </w:p>
    <w:p w14:paraId="2367EE58" w14:textId="77777777" w:rsidR="00FB7532" w:rsidRDefault="00FB7532" w:rsidP="00FB7532">
      <w:pPr>
        <w:tabs>
          <w:tab w:val="left" w:pos="1440"/>
          <w:tab w:val="left" w:pos="2160"/>
        </w:tabs>
        <w:contextualSpacing/>
        <w:jc w:val="both"/>
        <w:rPr>
          <w:sz w:val="22"/>
          <w:szCs w:val="22"/>
          <w:lang w:val="es-CR"/>
        </w:rPr>
      </w:pPr>
    </w:p>
    <w:p w14:paraId="652F7E4F" w14:textId="77777777" w:rsidR="00FB7532" w:rsidRDefault="00FB7532" w:rsidP="00FB7532">
      <w:pPr>
        <w:tabs>
          <w:tab w:val="left" w:pos="1440"/>
          <w:tab w:val="left" w:pos="2160"/>
        </w:tabs>
        <w:ind w:left="720"/>
        <w:contextualSpacing/>
        <w:jc w:val="both"/>
        <w:rPr>
          <w:rFonts w:eastAsia="MS Mincho"/>
          <w:sz w:val="22"/>
          <w:szCs w:val="22"/>
          <w:lang w:val="es-CR"/>
        </w:rPr>
      </w:pPr>
      <w:r>
        <w:rPr>
          <w:sz w:val="22"/>
          <w:szCs w:val="22"/>
          <w:lang w:val="es-CR"/>
        </w:rPr>
        <w:tab/>
        <w:t>Con vistas a las acciones que guiaran la agenda educativa de la región en los próximos 5 años, e</w:t>
      </w:r>
      <w:r w:rsidRPr="00F70E21">
        <w:rPr>
          <w:sz w:val="22"/>
          <w:szCs w:val="22"/>
          <w:lang w:val="es-CR"/>
        </w:rPr>
        <w:t>s el momento de imaginar un nuevo y mejor futuro para los sistemas educativos</w:t>
      </w:r>
      <w:r>
        <w:rPr>
          <w:sz w:val="22"/>
          <w:szCs w:val="22"/>
          <w:lang w:val="es-CR"/>
        </w:rPr>
        <w:t>,</w:t>
      </w:r>
      <w:r w:rsidRPr="00F70E21">
        <w:rPr>
          <w:sz w:val="22"/>
          <w:szCs w:val="22"/>
          <w:lang w:val="es-CR"/>
        </w:rPr>
        <w:t xml:space="preserve"> </w:t>
      </w:r>
      <w:r>
        <w:rPr>
          <w:sz w:val="22"/>
          <w:szCs w:val="22"/>
          <w:lang w:val="es-CR"/>
        </w:rPr>
        <w:t>s</w:t>
      </w:r>
      <w:r w:rsidRPr="00F70E21">
        <w:rPr>
          <w:sz w:val="22"/>
          <w:szCs w:val="22"/>
          <w:lang w:val="es-CR"/>
        </w:rPr>
        <w:t>istemas que sirvan mejor a estudiantes y sociedades</w:t>
      </w:r>
      <w:r>
        <w:rPr>
          <w:sz w:val="22"/>
          <w:szCs w:val="22"/>
          <w:lang w:val="es-CR"/>
        </w:rPr>
        <w:t xml:space="preserve">, </w:t>
      </w:r>
      <w:r w:rsidRPr="00F70E21">
        <w:rPr>
          <w:sz w:val="22"/>
          <w:szCs w:val="22"/>
          <w:lang w:val="es-CR"/>
        </w:rPr>
        <w:t>que sean resistentes y respondan al cambio rápido.</w:t>
      </w:r>
      <w:r>
        <w:rPr>
          <w:sz w:val="22"/>
          <w:szCs w:val="22"/>
          <w:lang w:val="es-CR"/>
        </w:rPr>
        <w:t xml:space="preserve"> </w:t>
      </w:r>
    </w:p>
    <w:p w14:paraId="6A0D7C75" w14:textId="77777777" w:rsidR="00FB7532" w:rsidRPr="00980A12" w:rsidRDefault="00FB7532" w:rsidP="00FB7532">
      <w:pPr>
        <w:tabs>
          <w:tab w:val="left" w:pos="1440"/>
          <w:tab w:val="left" w:pos="2160"/>
        </w:tabs>
        <w:ind w:firstLine="720"/>
        <w:contextualSpacing/>
        <w:rPr>
          <w:bCs/>
          <w:sz w:val="22"/>
          <w:szCs w:val="22"/>
          <w:highlight w:val="yellow"/>
          <w:lang w:val="es-CR"/>
        </w:rPr>
      </w:pPr>
    </w:p>
    <w:p w14:paraId="226C7397" w14:textId="77777777" w:rsidR="00FB7532" w:rsidRPr="00FD73D4" w:rsidRDefault="00FB7532" w:rsidP="00FB7532">
      <w:pPr>
        <w:numPr>
          <w:ilvl w:val="0"/>
          <w:numId w:val="10"/>
        </w:numPr>
        <w:tabs>
          <w:tab w:val="left" w:pos="1440"/>
          <w:tab w:val="left" w:pos="2160"/>
        </w:tabs>
        <w:ind w:left="1440" w:hanging="720"/>
        <w:contextualSpacing/>
        <w:jc w:val="both"/>
        <w:rPr>
          <w:bCs/>
          <w:sz w:val="22"/>
          <w:szCs w:val="22"/>
          <w:lang w:val="es-CO"/>
        </w:rPr>
      </w:pPr>
      <w:r>
        <w:rPr>
          <w:b/>
          <w:sz w:val="22"/>
          <w:szCs w:val="22"/>
          <w:lang w:val="es-CO"/>
        </w:rPr>
        <w:t>Agenda intersectorial.</w:t>
      </w:r>
    </w:p>
    <w:p w14:paraId="359B2E97" w14:textId="77777777" w:rsidR="00FB7532" w:rsidRDefault="00FB7532" w:rsidP="00FB7532">
      <w:pPr>
        <w:tabs>
          <w:tab w:val="left" w:pos="1440"/>
          <w:tab w:val="left" w:pos="2160"/>
        </w:tabs>
        <w:contextualSpacing/>
        <w:jc w:val="both"/>
        <w:rPr>
          <w:b/>
          <w:sz w:val="22"/>
          <w:szCs w:val="22"/>
          <w:lang w:val="es-CO"/>
        </w:rPr>
      </w:pPr>
    </w:p>
    <w:p w14:paraId="1D571C51" w14:textId="77777777" w:rsidR="00FB7532" w:rsidRDefault="00FB7532" w:rsidP="00FB7532">
      <w:pPr>
        <w:tabs>
          <w:tab w:val="left" w:pos="709"/>
          <w:tab w:val="left" w:pos="1440"/>
          <w:tab w:val="left" w:pos="2160"/>
        </w:tabs>
        <w:ind w:left="720"/>
        <w:contextualSpacing/>
        <w:jc w:val="both"/>
        <w:rPr>
          <w:bCs/>
          <w:sz w:val="22"/>
          <w:szCs w:val="22"/>
          <w:lang w:val="es-CO"/>
        </w:rPr>
      </w:pPr>
      <w:r>
        <w:rPr>
          <w:bCs/>
          <w:sz w:val="22"/>
          <w:szCs w:val="22"/>
          <w:lang w:val="es-CO"/>
        </w:rPr>
        <w:tab/>
      </w:r>
      <w:r w:rsidRPr="00116F1D">
        <w:rPr>
          <w:bCs/>
          <w:sz w:val="22"/>
          <w:szCs w:val="22"/>
          <w:lang w:val="es-CO"/>
        </w:rPr>
        <w:t>La colaboración intersectorial entre Educación, Trabajo y Salud se</w:t>
      </w:r>
      <w:r>
        <w:rPr>
          <w:bCs/>
          <w:sz w:val="22"/>
          <w:szCs w:val="22"/>
          <w:lang w:val="es-CO"/>
        </w:rPr>
        <w:t xml:space="preserve"> ha iniciado </w:t>
      </w:r>
      <w:r w:rsidRPr="00BE61DE">
        <w:rPr>
          <w:bCs/>
          <w:sz w:val="22"/>
          <w:szCs w:val="22"/>
          <w:lang w:val="es-CO"/>
        </w:rPr>
        <w:t>en temas como habilidades para el futuro y el marco regional de cualificaciones en el caso del sector trabajo; y ambientes escolares saludables y habilidades para una vida sana en el caso del sector salud.</w:t>
      </w:r>
      <w:r>
        <w:rPr>
          <w:bCs/>
          <w:sz w:val="22"/>
          <w:szCs w:val="22"/>
          <w:lang w:val="es-CO"/>
        </w:rPr>
        <w:t xml:space="preserve"> Al respecto, los Ministerios de Educación de la región consideraron relevante incorporar en el proyecto de la segunda fase de la Agenda Educativa Interamericana (AEI) 2022-2027, líneas temáticas en las que prevalezcan los principios de intersectorialidad.</w:t>
      </w:r>
    </w:p>
    <w:p w14:paraId="31E61184" w14:textId="77777777" w:rsidR="00FB7532" w:rsidRPr="00FD73D4" w:rsidRDefault="00FB7532" w:rsidP="00FB7532">
      <w:pPr>
        <w:tabs>
          <w:tab w:val="left" w:pos="709"/>
          <w:tab w:val="left" w:pos="2160"/>
        </w:tabs>
        <w:contextualSpacing/>
        <w:jc w:val="both"/>
        <w:rPr>
          <w:bCs/>
          <w:sz w:val="22"/>
          <w:szCs w:val="22"/>
          <w:lang w:val="es-CO"/>
        </w:rPr>
      </w:pPr>
    </w:p>
    <w:p w14:paraId="623AB05F" w14:textId="77777777" w:rsidR="00FB7532" w:rsidRPr="00AC4D28" w:rsidRDefault="00FB7532" w:rsidP="00FB7532">
      <w:pPr>
        <w:numPr>
          <w:ilvl w:val="0"/>
          <w:numId w:val="10"/>
        </w:numPr>
        <w:tabs>
          <w:tab w:val="left" w:pos="1440"/>
          <w:tab w:val="left" w:pos="2160"/>
        </w:tabs>
        <w:ind w:left="1440" w:hanging="720"/>
        <w:contextualSpacing/>
        <w:jc w:val="both"/>
        <w:rPr>
          <w:bCs/>
          <w:sz w:val="22"/>
          <w:szCs w:val="22"/>
          <w:lang w:val="es-CO"/>
        </w:rPr>
      </w:pPr>
      <w:r w:rsidRPr="00AC4D28">
        <w:rPr>
          <w:b/>
          <w:sz w:val="22"/>
          <w:szCs w:val="22"/>
          <w:lang w:val="es-CO"/>
        </w:rPr>
        <w:t>Recepción de ofrecimientos de sede para la XII Reunión Interamericana de Ministros de Educación</w:t>
      </w:r>
      <w:r w:rsidRPr="00AC4D28">
        <w:rPr>
          <w:bCs/>
          <w:sz w:val="22"/>
          <w:szCs w:val="22"/>
          <w:lang w:val="es-CO"/>
        </w:rPr>
        <w:t xml:space="preserve"> </w:t>
      </w:r>
    </w:p>
    <w:p w14:paraId="008D07EE" w14:textId="77777777" w:rsidR="00FB7532" w:rsidRPr="00C02243" w:rsidRDefault="00FB7532" w:rsidP="00FB7532">
      <w:pPr>
        <w:tabs>
          <w:tab w:val="left" w:pos="1440"/>
          <w:tab w:val="left" w:pos="2160"/>
        </w:tabs>
        <w:ind w:left="720"/>
        <w:contextualSpacing/>
        <w:jc w:val="both"/>
        <w:rPr>
          <w:bCs/>
          <w:sz w:val="22"/>
          <w:szCs w:val="22"/>
          <w:highlight w:val="yellow"/>
          <w:lang w:val="es-CO"/>
        </w:rPr>
      </w:pPr>
    </w:p>
    <w:p w14:paraId="3D75D9A7" w14:textId="77777777" w:rsidR="00FB7532" w:rsidRDefault="00FB7532" w:rsidP="00FB7532">
      <w:pPr>
        <w:tabs>
          <w:tab w:val="left" w:pos="1440"/>
          <w:tab w:val="left" w:pos="2160"/>
        </w:tabs>
        <w:ind w:left="720"/>
        <w:contextualSpacing/>
        <w:jc w:val="both"/>
        <w:rPr>
          <w:rFonts w:eastAsia="Malgun Gothic"/>
          <w:sz w:val="22"/>
          <w:szCs w:val="22"/>
          <w:lang w:val="es-CO"/>
        </w:rPr>
      </w:pPr>
      <w:r>
        <w:rPr>
          <w:rFonts w:eastAsia="Malgun Gothic"/>
          <w:sz w:val="22"/>
          <w:szCs w:val="22"/>
          <w:lang w:val="es-CO"/>
        </w:rPr>
        <w:tab/>
      </w:r>
      <w:r w:rsidRPr="00DC52DA">
        <w:rPr>
          <w:rFonts w:eastAsia="Malgun Gothic"/>
          <w:sz w:val="22"/>
          <w:szCs w:val="22"/>
          <w:lang w:val="es-CO"/>
        </w:rPr>
        <w:t>Según los</w:t>
      </w:r>
      <w:r>
        <w:rPr>
          <w:rFonts w:eastAsia="Malgun Gothic"/>
          <w:sz w:val="22"/>
          <w:szCs w:val="22"/>
          <w:lang w:val="es-CO"/>
        </w:rPr>
        <w:t xml:space="preserve"> anexos de los </w:t>
      </w:r>
      <w:r w:rsidRPr="00352C57">
        <w:rPr>
          <w:rFonts w:eastAsia="Malgun Gothic"/>
          <w:sz w:val="22"/>
          <w:szCs w:val="22"/>
          <w:lang w:val="es-CO"/>
        </w:rPr>
        <w:t xml:space="preserve">Lineamientos Generales </w:t>
      </w:r>
      <w:r>
        <w:rPr>
          <w:rFonts w:eastAsia="Malgun Gothic"/>
          <w:sz w:val="22"/>
          <w:szCs w:val="22"/>
          <w:lang w:val="es-CO"/>
        </w:rPr>
        <w:t>p</w:t>
      </w:r>
      <w:r w:rsidRPr="00352C57">
        <w:rPr>
          <w:rFonts w:eastAsia="Malgun Gothic"/>
          <w:sz w:val="22"/>
          <w:szCs w:val="22"/>
          <w:lang w:val="es-CO"/>
        </w:rPr>
        <w:t xml:space="preserve">ara </w:t>
      </w:r>
      <w:r>
        <w:rPr>
          <w:rFonts w:eastAsia="Malgun Gothic"/>
          <w:sz w:val="22"/>
          <w:szCs w:val="22"/>
          <w:lang w:val="es-CO"/>
        </w:rPr>
        <w:t>l</w:t>
      </w:r>
      <w:r w:rsidRPr="00352C57">
        <w:rPr>
          <w:rFonts w:eastAsia="Malgun Gothic"/>
          <w:sz w:val="22"/>
          <w:szCs w:val="22"/>
          <w:lang w:val="es-CO"/>
        </w:rPr>
        <w:t xml:space="preserve">os Procesos Sectoriales </w:t>
      </w:r>
      <w:r>
        <w:rPr>
          <w:rFonts w:eastAsia="Malgun Gothic"/>
          <w:sz w:val="22"/>
          <w:szCs w:val="22"/>
          <w:lang w:val="es-CO"/>
        </w:rPr>
        <w:t>a</w:t>
      </w:r>
      <w:r w:rsidRPr="00352C57">
        <w:rPr>
          <w:rFonts w:eastAsia="Malgun Gothic"/>
          <w:sz w:val="22"/>
          <w:szCs w:val="22"/>
          <w:lang w:val="es-CO"/>
        </w:rPr>
        <w:t xml:space="preserve"> </w:t>
      </w:r>
      <w:r>
        <w:rPr>
          <w:rFonts w:eastAsia="Malgun Gothic"/>
          <w:sz w:val="22"/>
          <w:szCs w:val="22"/>
          <w:lang w:val="es-CO"/>
        </w:rPr>
        <w:t>n</w:t>
      </w:r>
      <w:r w:rsidRPr="00352C57">
        <w:rPr>
          <w:rFonts w:eastAsia="Malgun Gothic"/>
          <w:sz w:val="22"/>
          <w:szCs w:val="22"/>
          <w:lang w:val="es-CO"/>
        </w:rPr>
        <w:t xml:space="preserve">ivel Ministerial </w:t>
      </w:r>
      <w:r>
        <w:rPr>
          <w:rFonts w:eastAsia="Malgun Gothic"/>
          <w:sz w:val="22"/>
          <w:szCs w:val="22"/>
          <w:lang w:val="es-CO"/>
        </w:rPr>
        <w:t>e</w:t>
      </w:r>
      <w:r w:rsidRPr="00352C57">
        <w:rPr>
          <w:rFonts w:eastAsia="Malgun Gothic"/>
          <w:sz w:val="22"/>
          <w:szCs w:val="22"/>
          <w:lang w:val="es-CO"/>
        </w:rPr>
        <w:t xml:space="preserve">n </w:t>
      </w:r>
      <w:r>
        <w:rPr>
          <w:rFonts w:eastAsia="Malgun Gothic"/>
          <w:sz w:val="22"/>
          <w:szCs w:val="22"/>
          <w:lang w:val="es-CO"/>
        </w:rPr>
        <w:t>e</w:t>
      </w:r>
      <w:r w:rsidRPr="00352C57">
        <w:rPr>
          <w:rFonts w:eastAsia="Malgun Gothic"/>
          <w:sz w:val="22"/>
          <w:szCs w:val="22"/>
          <w:lang w:val="es-CO"/>
        </w:rPr>
        <w:t xml:space="preserve">l </w:t>
      </w:r>
      <w:r>
        <w:rPr>
          <w:rFonts w:eastAsia="Malgun Gothic"/>
          <w:sz w:val="22"/>
          <w:szCs w:val="22"/>
          <w:lang w:val="es-CO"/>
        </w:rPr>
        <w:t>á</w:t>
      </w:r>
      <w:r w:rsidRPr="00352C57">
        <w:rPr>
          <w:rFonts w:eastAsia="Malgun Gothic"/>
          <w:sz w:val="22"/>
          <w:szCs w:val="22"/>
          <w:lang w:val="es-CO"/>
        </w:rPr>
        <w:t xml:space="preserve">mbito </w:t>
      </w:r>
      <w:r>
        <w:rPr>
          <w:rFonts w:eastAsia="Malgun Gothic"/>
          <w:sz w:val="22"/>
          <w:szCs w:val="22"/>
          <w:lang w:val="es-CO"/>
        </w:rPr>
        <w:t>d</w:t>
      </w:r>
      <w:r w:rsidRPr="00352C57">
        <w:rPr>
          <w:rFonts w:eastAsia="Malgun Gothic"/>
          <w:sz w:val="22"/>
          <w:szCs w:val="22"/>
          <w:lang w:val="es-CO"/>
        </w:rPr>
        <w:t xml:space="preserve">el Consejo Interamericano </w:t>
      </w:r>
      <w:r>
        <w:rPr>
          <w:rFonts w:eastAsia="Malgun Gothic"/>
          <w:sz w:val="22"/>
          <w:szCs w:val="22"/>
          <w:lang w:val="es-CO"/>
        </w:rPr>
        <w:t>p</w:t>
      </w:r>
      <w:r w:rsidRPr="00352C57">
        <w:rPr>
          <w:rFonts w:eastAsia="Malgun Gothic"/>
          <w:sz w:val="22"/>
          <w:szCs w:val="22"/>
          <w:lang w:val="es-CO"/>
        </w:rPr>
        <w:t xml:space="preserve">ara </w:t>
      </w:r>
      <w:r>
        <w:rPr>
          <w:rFonts w:eastAsia="Malgun Gothic"/>
          <w:sz w:val="22"/>
          <w:szCs w:val="22"/>
          <w:lang w:val="es-CO"/>
        </w:rPr>
        <w:t>e</w:t>
      </w:r>
      <w:r w:rsidRPr="00352C57">
        <w:rPr>
          <w:rFonts w:eastAsia="Malgun Gothic"/>
          <w:sz w:val="22"/>
          <w:szCs w:val="22"/>
          <w:lang w:val="es-CO"/>
        </w:rPr>
        <w:t>l Desarrollo Integral (CIDI)</w:t>
      </w:r>
      <w:r w:rsidRPr="00DC52DA">
        <w:rPr>
          <w:rFonts w:eastAsia="Malgun Gothic"/>
          <w:sz w:val="22"/>
          <w:szCs w:val="22"/>
          <w:lang w:val="es-CO"/>
        </w:rPr>
        <w:t xml:space="preserve">, </w:t>
      </w:r>
      <w:r>
        <w:rPr>
          <w:rFonts w:eastAsia="Malgun Gothic"/>
          <w:sz w:val="22"/>
          <w:szCs w:val="22"/>
          <w:lang w:val="es-CO"/>
        </w:rPr>
        <w:t>s</w:t>
      </w:r>
      <w:r w:rsidRPr="00EF2851">
        <w:rPr>
          <w:rFonts w:eastAsia="Malgun Gothic"/>
          <w:sz w:val="22"/>
          <w:szCs w:val="22"/>
          <w:lang w:val="es-CO"/>
        </w:rPr>
        <w:t xml:space="preserve">e invita al Estado Miembro interesado en servir de sede de una reunión Ministerial a anunciar su intención en la reunión Ministerial anterior de tal forma que integre la Troika (Ver </w:t>
      </w:r>
      <w:r w:rsidRPr="00352C57">
        <w:rPr>
          <w:rFonts w:eastAsia="Malgun Gothic"/>
          <w:sz w:val="22"/>
          <w:szCs w:val="22"/>
          <w:lang w:val="es-CO"/>
        </w:rPr>
        <w:t xml:space="preserve">CIDI/doc.228/17 </w:t>
      </w:r>
      <w:proofErr w:type="spellStart"/>
      <w:r w:rsidRPr="00352C57">
        <w:rPr>
          <w:rFonts w:eastAsia="Malgun Gothic"/>
          <w:sz w:val="22"/>
          <w:szCs w:val="22"/>
          <w:lang w:val="es-CO"/>
        </w:rPr>
        <w:t>Add</w:t>
      </w:r>
      <w:proofErr w:type="spellEnd"/>
      <w:r w:rsidRPr="00352C57">
        <w:rPr>
          <w:rFonts w:eastAsia="Malgun Gothic"/>
          <w:sz w:val="22"/>
          <w:szCs w:val="22"/>
          <w:lang w:val="es-CO"/>
        </w:rPr>
        <w:t>. 1</w:t>
      </w:r>
      <w:r w:rsidRPr="00EF2851">
        <w:rPr>
          <w:rFonts w:eastAsia="Malgun Gothic"/>
          <w:sz w:val="22"/>
          <w:szCs w:val="22"/>
          <w:lang w:val="es-CO"/>
        </w:rPr>
        <w:t xml:space="preserve">, punto 10) y entre a ser parte del </w:t>
      </w:r>
      <w:r>
        <w:rPr>
          <w:rFonts w:eastAsia="Malgun Gothic"/>
          <w:sz w:val="22"/>
          <w:szCs w:val="22"/>
          <w:lang w:val="es-CO"/>
        </w:rPr>
        <w:t>proceso</w:t>
      </w:r>
      <w:r w:rsidRPr="00EF2851">
        <w:rPr>
          <w:rFonts w:eastAsia="Malgun Gothic"/>
          <w:sz w:val="22"/>
          <w:szCs w:val="22"/>
          <w:lang w:val="es-CO"/>
        </w:rPr>
        <w:t xml:space="preserve"> ministerial y de</w:t>
      </w:r>
      <w:r>
        <w:rPr>
          <w:rFonts w:eastAsia="Malgun Gothic"/>
          <w:sz w:val="22"/>
          <w:szCs w:val="22"/>
          <w:lang w:val="es-CO"/>
        </w:rPr>
        <w:t xml:space="preserve"> las actividades para la </w:t>
      </w:r>
      <w:r w:rsidRPr="00EF2851">
        <w:rPr>
          <w:rFonts w:eastAsia="Malgun Gothic"/>
          <w:sz w:val="22"/>
          <w:szCs w:val="22"/>
          <w:lang w:val="es-CO"/>
        </w:rPr>
        <w:t>preparación para la siguiente reunión</w:t>
      </w:r>
      <w:r>
        <w:rPr>
          <w:rFonts w:eastAsia="Malgun Gothic"/>
          <w:sz w:val="22"/>
          <w:szCs w:val="22"/>
          <w:lang w:val="es-CO"/>
        </w:rPr>
        <w:t>.</w:t>
      </w:r>
    </w:p>
    <w:p w14:paraId="6D2BAB3E" w14:textId="77777777" w:rsidR="00FB7532" w:rsidRPr="00C02243" w:rsidRDefault="00FB7532" w:rsidP="00FB7532">
      <w:pPr>
        <w:tabs>
          <w:tab w:val="left" w:pos="1440"/>
          <w:tab w:val="left" w:pos="2160"/>
        </w:tabs>
        <w:contextualSpacing/>
        <w:rPr>
          <w:bCs/>
          <w:sz w:val="22"/>
          <w:szCs w:val="22"/>
          <w:highlight w:val="yellow"/>
          <w:lang w:val="es-CO"/>
        </w:rPr>
      </w:pPr>
    </w:p>
    <w:p w14:paraId="3F554B15" w14:textId="77777777" w:rsidR="00FB7532" w:rsidRPr="00E16184" w:rsidRDefault="00FB7532" w:rsidP="00FB7532">
      <w:pPr>
        <w:numPr>
          <w:ilvl w:val="0"/>
          <w:numId w:val="11"/>
        </w:numPr>
        <w:tabs>
          <w:tab w:val="left" w:pos="720"/>
          <w:tab w:val="left" w:pos="2160"/>
        </w:tabs>
        <w:ind w:left="0" w:firstLine="0"/>
        <w:contextualSpacing/>
        <w:rPr>
          <w:bCs/>
          <w:sz w:val="22"/>
          <w:szCs w:val="22"/>
          <w:lang w:val="es-CO"/>
        </w:rPr>
      </w:pPr>
      <w:r w:rsidRPr="00E16184">
        <w:rPr>
          <w:bCs/>
          <w:sz w:val="22"/>
          <w:szCs w:val="22"/>
          <w:lang w:val="es-CO"/>
        </w:rPr>
        <w:t>PROP</w:t>
      </w:r>
      <w:r>
        <w:rPr>
          <w:bCs/>
          <w:sz w:val="22"/>
          <w:szCs w:val="22"/>
          <w:lang w:val="es-CO"/>
        </w:rPr>
        <w:t>Ó</w:t>
      </w:r>
      <w:r w:rsidRPr="00E16184">
        <w:rPr>
          <w:bCs/>
          <w:sz w:val="22"/>
          <w:szCs w:val="22"/>
          <w:lang w:val="es-CO"/>
        </w:rPr>
        <w:t xml:space="preserve">SITO DE </w:t>
      </w:r>
      <w:r>
        <w:rPr>
          <w:bCs/>
          <w:sz w:val="22"/>
          <w:szCs w:val="22"/>
          <w:lang w:val="es-CO"/>
        </w:rPr>
        <w:t>LA</w:t>
      </w:r>
      <w:r w:rsidRPr="00E16184">
        <w:rPr>
          <w:bCs/>
          <w:sz w:val="22"/>
          <w:szCs w:val="22"/>
          <w:lang w:val="es-CO"/>
        </w:rPr>
        <w:t xml:space="preserve"> REUNI</w:t>
      </w:r>
      <w:r>
        <w:rPr>
          <w:bCs/>
          <w:sz w:val="22"/>
          <w:szCs w:val="22"/>
          <w:lang w:val="es-CO"/>
        </w:rPr>
        <w:t>Ó</w:t>
      </w:r>
      <w:r w:rsidRPr="00E16184">
        <w:rPr>
          <w:bCs/>
          <w:sz w:val="22"/>
          <w:szCs w:val="22"/>
          <w:lang w:val="es-CO"/>
        </w:rPr>
        <w:t>N</w:t>
      </w:r>
      <w:r>
        <w:rPr>
          <w:bCs/>
          <w:sz w:val="22"/>
          <w:szCs w:val="22"/>
          <w:lang w:val="es-CO"/>
        </w:rPr>
        <w:t xml:space="preserve"> MINISTERIAL</w:t>
      </w:r>
    </w:p>
    <w:p w14:paraId="462E2B49" w14:textId="77777777" w:rsidR="00FB7532" w:rsidRPr="00E16184" w:rsidRDefault="00FB7532" w:rsidP="00FB7532">
      <w:pPr>
        <w:tabs>
          <w:tab w:val="left" w:pos="1440"/>
          <w:tab w:val="left" w:pos="2160"/>
        </w:tabs>
        <w:ind w:firstLine="720"/>
        <w:jc w:val="both"/>
        <w:rPr>
          <w:bCs/>
          <w:sz w:val="22"/>
          <w:szCs w:val="22"/>
          <w:lang w:val="es-CO"/>
        </w:rPr>
      </w:pPr>
    </w:p>
    <w:p w14:paraId="743F745F" w14:textId="77777777" w:rsidR="00FB7532" w:rsidRPr="00FA3B69" w:rsidRDefault="00FB7532" w:rsidP="00FB7532">
      <w:pPr>
        <w:tabs>
          <w:tab w:val="left" w:pos="1440"/>
          <w:tab w:val="left" w:pos="2160"/>
        </w:tabs>
        <w:ind w:firstLine="720"/>
        <w:jc w:val="both"/>
        <w:rPr>
          <w:bCs/>
          <w:sz w:val="22"/>
          <w:szCs w:val="22"/>
          <w:lang w:val="es-CO"/>
        </w:rPr>
      </w:pPr>
      <w:r>
        <w:rPr>
          <w:bCs/>
          <w:sz w:val="22"/>
          <w:szCs w:val="22"/>
          <w:lang w:val="es-CO"/>
        </w:rPr>
        <w:t>S</w:t>
      </w:r>
      <w:r w:rsidRPr="00E16184">
        <w:rPr>
          <w:bCs/>
          <w:sz w:val="22"/>
          <w:szCs w:val="22"/>
          <w:lang w:val="es-CO"/>
        </w:rPr>
        <w:t xml:space="preserve">egún lo </w:t>
      </w:r>
      <w:r>
        <w:rPr>
          <w:bCs/>
          <w:sz w:val="22"/>
          <w:szCs w:val="22"/>
          <w:lang w:val="es-CO"/>
        </w:rPr>
        <w:t>establecido</w:t>
      </w:r>
      <w:r w:rsidRPr="00E16184">
        <w:rPr>
          <w:bCs/>
          <w:sz w:val="22"/>
          <w:szCs w:val="22"/>
          <w:lang w:val="es-CO"/>
        </w:rPr>
        <w:t xml:space="preserve"> en </w:t>
      </w:r>
      <w:r>
        <w:rPr>
          <w:bCs/>
          <w:sz w:val="22"/>
          <w:szCs w:val="22"/>
          <w:lang w:val="es-CO"/>
        </w:rPr>
        <w:t xml:space="preserve">los </w:t>
      </w:r>
      <w:r w:rsidRPr="009F6C3F">
        <w:rPr>
          <w:bCs/>
          <w:sz w:val="22"/>
          <w:szCs w:val="22"/>
          <w:lang w:val="es-CO"/>
        </w:rPr>
        <w:t xml:space="preserve">Lineamientos </w:t>
      </w:r>
      <w:r>
        <w:rPr>
          <w:bCs/>
          <w:sz w:val="22"/>
          <w:szCs w:val="22"/>
          <w:lang w:val="es-CO"/>
        </w:rPr>
        <w:t>G</w:t>
      </w:r>
      <w:r w:rsidRPr="009F6C3F">
        <w:rPr>
          <w:bCs/>
          <w:sz w:val="22"/>
          <w:szCs w:val="22"/>
          <w:lang w:val="es-CO"/>
        </w:rPr>
        <w:t xml:space="preserve">enerales </w:t>
      </w:r>
      <w:r>
        <w:rPr>
          <w:bCs/>
          <w:sz w:val="22"/>
          <w:szCs w:val="22"/>
          <w:lang w:val="es-CO"/>
        </w:rPr>
        <w:t>p</w:t>
      </w:r>
      <w:r w:rsidRPr="009F6C3F">
        <w:rPr>
          <w:bCs/>
          <w:sz w:val="22"/>
          <w:szCs w:val="22"/>
          <w:lang w:val="es-CO"/>
        </w:rPr>
        <w:t xml:space="preserve">ara </w:t>
      </w:r>
      <w:r>
        <w:rPr>
          <w:bCs/>
          <w:sz w:val="22"/>
          <w:szCs w:val="22"/>
          <w:lang w:val="es-CO"/>
        </w:rPr>
        <w:t>l</w:t>
      </w:r>
      <w:r w:rsidRPr="009F6C3F">
        <w:rPr>
          <w:bCs/>
          <w:sz w:val="22"/>
          <w:szCs w:val="22"/>
          <w:lang w:val="es-CO"/>
        </w:rPr>
        <w:t xml:space="preserve">os </w:t>
      </w:r>
      <w:r>
        <w:rPr>
          <w:bCs/>
          <w:sz w:val="22"/>
          <w:szCs w:val="22"/>
          <w:lang w:val="es-CO"/>
        </w:rPr>
        <w:t>p</w:t>
      </w:r>
      <w:r w:rsidRPr="009F6C3F">
        <w:rPr>
          <w:bCs/>
          <w:sz w:val="22"/>
          <w:szCs w:val="22"/>
          <w:lang w:val="es-CO"/>
        </w:rPr>
        <w:t xml:space="preserve">rocesos </w:t>
      </w:r>
      <w:r>
        <w:rPr>
          <w:bCs/>
          <w:sz w:val="22"/>
          <w:szCs w:val="22"/>
          <w:lang w:val="es-CO"/>
        </w:rPr>
        <w:t>s</w:t>
      </w:r>
      <w:r w:rsidRPr="009F6C3F">
        <w:rPr>
          <w:bCs/>
          <w:sz w:val="22"/>
          <w:szCs w:val="22"/>
          <w:lang w:val="es-CO"/>
        </w:rPr>
        <w:t xml:space="preserve">ectoriales </w:t>
      </w:r>
      <w:r>
        <w:rPr>
          <w:bCs/>
          <w:sz w:val="22"/>
          <w:szCs w:val="22"/>
          <w:lang w:val="es-CO"/>
        </w:rPr>
        <w:t>a</w:t>
      </w:r>
      <w:r w:rsidRPr="009F6C3F">
        <w:rPr>
          <w:bCs/>
          <w:sz w:val="22"/>
          <w:szCs w:val="22"/>
          <w:lang w:val="es-CO"/>
        </w:rPr>
        <w:t xml:space="preserve"> </w:t>
      </w:r>
      <w:r>
        <w:rPr>
          <w:bCs/>
          <w:sz w:val="22"/>
          <w:szCs w:val="22"/>
          <w:lang w:val="es-CO"/>
        </w:rPr>
        <w:t>n</w:t>
      </w:r>
      <w:r w:rsidRPr="009F6C3F">
        <w:rPr>
          <w:bCs/>
          <w:sz w:val="22"/>
          <w:szCs w:val="22"/>
          <w:lang w:val="es-CO"/>
        </w:rPr>
        <w:t xml:space="preserve">ivel </w:t>
      </w:r>
      <w:r>
        <w:rPr>
          <w:bCs/>
          <w:sz w:val="22"/>
          <w:szCs w:val="22"/>
          <w:lang w:val="es-CO"/>
        </w:rPr>
        <w:t>m</w:t>
      </w:r>
      <w:r w:rsidRPr="009F6C3F">
        <w:rPr>
          <w:bCs/>
          <w:sz w:val="22"/>
          <w:szCs w:val="22"/>
          <w:lang w:val="es-CO"/>
        </w:rPr>
        <w:t xml:space="preserve">inisterial </w:t>
      </w:r>
      <w:r>
        <w:rPr>
          <w:bCs/>
          <w:sz w:val="22"/>
          <w:szCs w:val="22"/>
          <w:lang w:val="es-CO"/>
        </w:rPr>
        <w:t>e</w:t>
      </w:r>
      <w:r w:rsidRPr="009F6C3F">
        <w:rPr>
          <w:bCs/>
          <w:sz w:val="22"/>
          <w:szCs w:val="22"/>
          <w:lang w:val="es-CO"/>
        </w:rPr>
        <w:t xml:space="preserve">n </w:t>
      </w:r>
      <w:r>
        <w:rPr>
          <w:bCs/>
          <w:sz w:val="22"/>
          <w:szCs w:val="22"/>
          <w:lang w:val="es-CO"/>
        </w:rPr>
        <w:t>e</w:t>
      </w:r>
      <w:r w:rsidRPr="009F6C3F">
        <w:rPr>
          <w:bCs/>
          <w:sz w:val="22"/>
          <w:szCs w:val="22"/>
          <w:lang w:val="es-CO"/>
        </w:rPr>
        <w:t xml:space="preserve">l </w:t>
      </w:r>
      <w:r>
        <w:rPr>
          <w:bCs/>
          <w:sz w:val="22"/>
          <w:szCs w:val="22"/>
          <w:lang w:val="es-CO"/>
        </w:rPr>
        <w:t>á</w:t>
      </w:r>
      <w:r w:rsidRPr="009F6C3F">
        <w:rPr>
          <w:bCs/>
          <w:sz w:val="22"/>
          <w:szCs w:val="22"/>
          <w:lang w:val="es-CO"/>
        </w:rPr>
        <w:t xml:space="preserve">mbito </w:t>
      </w:r>
      <w:r>
        <w:rPr>
          <w:bCs/>
          <w:sz w:val="22"/>
          <w:szCs w:val="22"/>
          <w:lang w:val="es-CO"/>
        </w:rPr>
        <w:t>d</w:t>
      </w:r>
      <w:r w:rsidRPr="009F6C3F">
        <w:rPr>
          <w:bCs/>
          <w:sz w:val="22"/>
          <w:szCs w:val="22"/>
          <w:lang w:val="es-CO"/>
        </w:rPr>
        <w:t xml:space="preserve">el Consejo Interamericano </w:t>
      </w:r>
      <w:r>
        <w:rPr>
          <w:bCs/>
          <w:sz w:val="22"/>
          <w:szCs w:val="22"/>
          <w:lang w:val="es-CO"/>
        </w:rPr>
        <w:t>p</w:t>
      </w:r>
      <w:r w:rsidRPr="009F6C3F">
        <w:rPr>
          <w:bCs/>
          <w:sz w:val="22"/>
          <w:szCs w:val="22"/>
          <w:lang w:val="es-CO"/>
        </w:rPr>
        <w:t xml:space="preserve">ara </w:t>
      </w:r>
      <w:r>
        <w:rPr>
          <w:bCs/>
          <w:sz w:val="22"/>
          <w:szCs w:val="22"/>
          <w:lang w:val="es-CO"/>
        </w:rPr>
        <w:t>e</w:t>
      </w:r>
      <w:r w:rsidRPr="009F6C3F">
        <w:rPr>
          <w:bCs/>
          <w:sz w:val="22"/>
          <w:szCs w:val="22"/>
          <w:lang w:val="es-CO"/>
        </w:rPr>
        <w:t>l Desarrollo Integral (CIDI)</w:t>
      </w:r>
      <w:r>
        <w:rPr>
          <w:bCs/>
          <w:sz w:val="22"/>
          <w:szCs w:val="22"/>
          <w:lang w:val="es-CO"/>
        </w:rPr>
        <w:t>, e</w:t>
      </w:r>
      <w:r w:rsidRPr="008C4F12">
        <w:rPr>
          <w:sz w:val="22"/>
          <w:szCs w:val="22"/>
          <w:lang w:val="es-CO"/>
        </w:rPr>
        <w:t>l objetivo principal de las reuniones ministeriales y/o de alto nivel es proporcionar un foro para un diálogo sustantivo sobre políticas públicas entre los Estados Miembros sobre temas de interés hemisférico. Este diálogo busca identificar las tendencias y prioridades regionales, permitir el intercambio de experiencias y mejores prácticas sobre la elaboración y aplicación de políticas y determinar oportunidades de cooperación. Estas reuniones son un espacio de las autoridades gubernamentales de los Estados Miembros para identificar prioridades comunes para la cooperación regional y establecer la agenda de trabajo de la OEA para apoyar a los Estados Miembros en el avance de tales prioridades.</w:t>
      </w:r>
    </w:p>
    <w:p w14:paraId="419F6BF1" w14:textId="77777777" w:rsidR="00FB7532" w:rsidRPr="00C04D79" w:rsidRDefault="00FB7532" w:rsidP="00FB7532">
      <w:pPr>
        <w:tabs>
          <w:tab w:val="left" w:pos="1440"/>
          <w:tab w:val="left" w:pos="2160"/>
        </w:tabs>
        <w:ind w:firstLine="720"/>
        <w:jc w:val="both"/>
        <w:rPr>
          <w:bCs/>
          <w:sz w:val="22"/>
          <w:szCs w:val="22"/>
          <w:highlight w:val="yellow"/>
          <w:lang w:val="es-CO"/>
        </w:rPr>
      </w:pPr>
    </w:p>
    <w:p w14:paraId="1BFCCAA1" w14:textId="77777777" w:rsidR="00FB7532" w:rsidRPr="001023FA" w:rsidRDefault="00FB7532" w:rsidP="00FB7532">
      <w:pPr>
        <w:numPr>
          <w:ilvl w:val="0"/>
          <w:numId w:val="11"/>
        </w:numPr>
        <w:tabs>
          <w:tab w:val="left" w:pos="720"/>
          <w:tab w:val="left" w:pos="1440"/>
          <w:tab w:val="left" w:pos="2160"/>
        </w:tabs>
        <w:ind w:left="0" w:firstLine="0"/>
        <w:contextualSpacing/>
        <w:rPr>
          <w:bCs/>
          <w:sz w:val="22"/>
          <w:szCs w:val="22"/>
          <w:lang w:val="es-CO"/>
        </w:rPr>
      </w:pPr>
      <w:r w:rsidRPr="001023FA">
        <w:rPr>
          <w:bCs/>
          <w:sz w:val="22"/>
          <w:szCs w:val="22"/>
          <w:lang w:val="es-CO"/>
        </w:rPr>
        <w:t>RESULTADOS ESPERADOS</w:t>
      </w:r>
    </w:p>
    <w:p w14:paraId="4BF6404E" w14:textId="77777777" w:rsidR="00FB7532" w:rsidRPr="00C02243" w:rsidRDefault="00FB7532" w:rsidP="00FB7532">
      <w:pPr>
        <w:tabs>
          <w:tab w:val="left" w:pos="720"/>
          <w:tab w:val="left" w:pos="1440"/>
          <w:tab w:val="left" w:pos="2160"/>
        </w:tabs>
        <w:contextualSpacing/>
        <w:rPr>
          <w:b/>
          <w:sz w:val="22"/>
          <w:szCs w:val="22"/>
          <w:highlight w:val="yellow"/>
          <w:lang w:val="es-CO"/>
        </w:rPr>
      </w:pPr>
    </w:p>
    <w:p w14:paraId="410DC48E" w14:textId="77777777" w:rsidR="00FB7532" w:rsidRDefault="00FB7532" w:rsidP="00FB7532">
      <w:pPr>
        <w:tabs>
          <w:tab w:val="left" w:pos="1440"/>
          <w:tab w:val="left" w:pos="2160"/>
        </w:tabs>
        <w:ind w:firstLine="720"/>
        <w:jc w:val="both"/>
        <w:rPr>
          <w:bCs/>
          <w:sz w:val="22"/>
          <w:szCs w:val="22"/>
          <w:highlight w:val="yellow"/>
          <w:lang w:val="es-CO"/>
        </w:rPr>
      </w:pPr>
      <w:r w:rsidRPr="00DD45C3">
        <w:rPr>
          <w:sz w:val="22"/>
          <w:szCs w:val="22"/>
          <w:lang w:val="es-CO"/>
        </w:rPr>
        <w:t>Se espera que las autoridades aprueben las prioridades y líneas de acción comunes que guiarán la agenda regional de</w:t>
      </w:r>
      <w:r>
        <w:rPr>
          <w:sz w:val="22"/>
          <w:szCs w:val="22"/>
          <w:lang w:val="es-CO"/>
        </w:rPr>
        <w:t xml:space="preserve">l </w:t>
      </w:r>
      <w:r w:rsidRPr="00DD45C3">
        <w:rPr>
          <w:sz w:val="22"/>
          <w:szCs w:val="22"/>
          <w:lang w:val="es-CO"/>
        </w:rPr>
        <w:t>proceso sectorial y la labor de la OEA en el avance de dichas prioridades en línea con el Plan Estratégico Integral de la Organización</w:t>
      </w:r>
      <w:r>
        <w:rPr>
          <w:sz w:val="22"/>
          <w:szCs w:val="22"/>
          <w:lang w:val="es-CO"/>
        </w:rPr>
        <w:t xml:space="preserve"> </w:t>
      </w:r>
      <w:r w:rsidRPr="00DD45C3">
        <w:rPr>
          <w:sz w:val="22"/>
          <w:szCs w:val="22"/>
          <w:lang w:val="es-CO"/>
        </w:rPr>
        <w:t xml:space="preserve">y en complemento con procesos mundiales </w:t>
      </w:r>
      <w:r w:rsidRPr="00DD45C3">
        <w:rPr>
          <w:sz w:val="22"/>
          <w:szCs w:val="22"/>
          <w:lang w:val="es-CO"/>
        </w:rPr>
        <w:lastRenderedPageBreak/>
        <w:t xml:space="preserve">pertinentes. Se espera que los resultados de la reunión ministerial se recojan principalmente en dos documentos resultantes: i) una declaración política basada en el tema de la reunión y que esboza la visión regional para avanzar el tema en el </w:t>
      </w:r>
      <w:r>
        <w:rPr>
          <w:sz w:val="22"/>
          <w:szCs w:val="22"/>
          <w:lang w:val="es-CO"/>
        </w:rPr>
        <w:t>h</w:t>
      </w:r>
      <w:r w:rsidRPr="00DD45C3">
        <w:rPr>
          <w:sz w:val="22"/>
          <w:szCs w:val="22"/>
          <w:lang w:val="es-CO"/>
        </w:rPr>
        <w:t xml:space="preserve">emisferio, y </w:t>
      </w:r>
      <w:proofErr w:type="spellStart"/>
      <w:r w:rsidRPr="00DD45C3">
        <w:rPr>
          <w:sz w:val="22"/>
          <w:szCs w:val="22"/>
          <w:lang w:val="es-CO"/>
        </w:rPr>
        <w:t>ii</w:t>
      </w:r>
      <w:proofErr w:type="spellEnd"/>
      <w:r w:rsidRPr="00DD45C3">
        <w:rPr>
          <w:sz w:val="22"/>
          <w:szCs w:val="22"/>
          <w:lang w:val="es-CO"/>
        </w:rPr>
        <w:t>) un plan de acción, o su actualización, que estable</w:t>
      </w:r>
      <w:r>
        <w:rPr>
          <w:sz w:val="22"/>
          <w:szCs w:val="22"/>
          <w:lang w:val="es-CO"/>
        </w:rPr>
        <w:t>zca</w:t>
      </w:r>
      <w:r w:rsidRPr="00DD45C3">
        <w:rPr>
          <w:sz w:val="22"/>
          <w:szCs w:val="22"/>
          <w:lang w:val="es-CO"/>
        </w:rPr>
        <w:t xml:space="preserve"> las medidas concretas para cumplir las prioridades identificadas en la declaración.</w:t>
      </w:r>
    </w:p>
    <w:p w14:paraId="483A5BB8" w14:textId="77777777" w:rsidR="00FB7532" w:rsidRPr="005D5055" w:rsidRDefault="00FB7532" w:rsidP="00FB7532">
      <w:pPr>
        <w:tabs>
          <w:tab w:val="left" w:pos="1440"/>
          <w:tab w:val="left" w:pos="2160"/>
        </w:tabs>
        <w:ind w:firstLine="720"/>
        <w:jc w:val="both"/>
        <w:rPr>
          <w:bCs/>
          <w:sz w:val="22"/>
          <w:szCs w:val="22"/>
          <w:lang w:val="es-CO"/>
        </w:rPr>
      </w:pPr>
    </w:p>
    <w:p w14:paraId="01DD7D69" w14:textId="77777777" w:rsidR="00FB7532" w:rsidRPr="005D5055" w:rsidRDefault="00FB7532" w:rsidP="00FB7532">
      <w:pPr>
        <w:numPr>
          <w:ilvl w:val="0"/>
          <w:numId w:val="11"/>
        </w:numPr>
        <w:tabs>
          <w:tab w:val="left" w:pos="720"/>
          <w:tab w:val="left" w:pos="2160"/>
        </w:tabs>
        <w:ind w:left="0" w:firstLine="0"/>
        <w:contextualSpacing/>
        <w:rPr>
          <w:bCs/>
          <w:sz w:val="22"/>
          <w:szCs w:val="22"/>
          <w:lang w:val="es-CO"/>
        </w:rPr>
      </w:pPr>
      <w:r w:rsidRPr="005D5055">
        <w:rPr>
          <w:bCs/>
          <w:sz w:val="22"/>
          <w:szCs w:val="22"/>
          <w:lang w:val="es-CO"/>
        </w:rPr>
        <w:t>ESTRUCTURA DE LA REUNIÓN</w:t>
      </w:r>
    </w:p>
    <w:p w14:paraId="2920D746" w14:textId="77777777" w:rsidR="00FB7532" w:rsidRPr="005D5055" w:rsidRDefault="00FB7532" w:rsidP="00FB7532">
      <w:pPr>
        <w:tabs>
          <w:tab w:val="left" w:pos="1440"/>
          <w:tab w:val="left" w:pos="2160"/>
        </w:tabs>
        <w:ind w:left="720"/>
        <w:contextualSpacing/>
        <w:rPr>
          <w:b/>
          <w:sz w:val="22"/>
          <w:szCs w:val="22"/>
          <w:lang w:val="es-CO"/>
        </w:rPr>
      </w:pPr>
    </w:p>
    <w:p w14:paraId="6BEF5FC3" w14:textId="77777777" w:rsidR="00FB7532" w:rsidRDefault="00FB7532" w:rsidP="00FB7532">
      <w:pPr>
        <w:tabs>
          <w:tab w:val="left" w:pos="1440"/>
          <w:tab w:val="left" w:pos="2160"/>
        </w:tabs>
        <w:ind w:firstLine="720"/>
        <w:jc w:val="both"/>
        <w:rPr>
          <w:sz w:val="22"/>
          <w:szCs w:val="22"/>
          <w:lang w:val="es-ES"/>
        </w:rPr>
      </w:pPr>
      <w:r w:rsidRPr="005D5055">
        <w:rPr>
          <w:sz w:val="22"/>
          <w:szCs w:val="22"/>
          <w:lang w:val="es-CO"/>
        </w:rPr>
        <w:t>La reunión mantendrá la dinámica implementada durante el proceso del ciclo ministerial con las autoridades sectoriales</w:t>
      </w:r>
      <w:r>
        <w:rPr>
          <w:sz w:val="22"/>
          <w:szCs w:val="22"/>
          <w:lang w:val="es-CO"/>
        </w:rPr>
        <w:t xml:space="preserve">. En ese sentido, se enfocará en el </w:t>
      </w:r>
      <w:r w:rsidRPr="005D5055">
        <w:rPr>
          <w:sz w:val="22"/>
          <w:szCs w:val="22"/>
          <w:lang w:val="es-ES"/>
        </w:rPr>
        <w:t>diálogo entre los Ministros de Educación de los Estados Miembros participantes</w:t>
      </w:r>
      <w:r>
        <w:rPr>
          <w:sz w:val="22"/>
          <w:szCs w:val="22"/>
          <w:lang w:val="es-ES"/>
        </w:rPr>
        <w:t>,</w:t>
      </w:r>
      <w:r w:rsidRPr="005D5055">
        <w:rPr>
          <w:sz w:val="22"/>
          <w:szCs w:val="22"/>
          <w:lang w:val="es-ES"/>
        </w:rPr>
        <w:t xml:space="preserve"> </w:t>
      </w:r>
      <w:r>
        <w:rPr>
          <w:sz w:val="22"/>
          <w:szCs w:val="22"/>
          <w:lang w:val="es-ES"/>
        </w:rPr>
        <w:t xml:space="preserve">tendiente a la aprobación del Proyecto de </w:t>
      </w:r>
      <w:r w:rsidRPr="005D5055">
        <w:rPr>
          <w:sz w:val="22"/>
          <w:szCs w:val="22"/>
          <w:lang w:val="es-ES"/>
        </w:rPr>
        <w:t xml:space="preserve">la </w:t>
      </w:r>
      <w:r>
        <w:rPr>
          <w:sz w:val="22"/>
          <w:szCs w:val="22"/>
          <w:lang w:val="es-ES"/>
        </w:rPr>
        <w:t>s</w:t>
      </w:r>
      <w:r w:rsidRPr="005D5055">
        <w:rPr>
          <w:sz w:val="22"/>
          <w:szCs w:val="22"/>
          <w:lang w:val="es-ES"/>
        </w:rPr>
        <w:t xml:space="preserve">egunda </w:t>
      </w:r>
      <w:r>
        <w:rPr>
          <w:sz w:val="22"/>
          <w:szCs w:val="22"/>
          <w:lang w:val="es-ES"/>
        </w:rPr>
        <w:t>f</w:t>
      </w:r>
      <w:r w:rsidRPr="005D5055">
        <w:rPr>
          <w:sz w:val="22"/>
          <w:szCs w:val="22"/>
          <w:lang w:val="es-ES"/>
        </w:rPr>
        <w:t xml:space="preserve">ase de la Agenda Educativa Interamericana 2022-2027 y el </w:t>
      </w:r>
      <w:r>
        <w:rPr>
          <w:sz w:val="22"/>
          <w:szCs w:val="22"/>
          <w:lang w:val="es-ES"/>
        </w:rPr>
        <w:t xml:space="preserve">Proyecto de </w:t>
      </w:r>
      <w:r w:rsidRPr="005D5055">
        <w:rPr>
          <w:sz w:val="22"/>
          <w:szCs w:val="22"/>
          <w:lang w:val="es-ES"/>
        </w:rPr>
        <w:t xml:space="preserve">Plan de Acción </w:t>
      </w:r>
      <w:r>
        <w:rPr>
          <w:sz w:val="22"/>
          <w:szCs w:val="22"/>
          <w:lang w:val="es-ES"/>
        </w:rPr>
        <w:t xml:space="preserve">Hemisférico de Educación </w:t>
      </w:r>
      <w:r w:rsidRPr="005D5055">
        <w:rPr>
          <w:sz w:val="22"/>
          <w:szCs w:val="22"/>
          <w:lang w:val="es-ES"/>
        </w:rPr>
        <w:t xml:space="preserve">para construir alianzas sostenibles a través de la cooperación y determinar un mecanismo de financiamiento sostenible para la implementación de la </w:t>
      </w:r>
      <w:r>
        <w:rPr>
          <w:sz w:val="22"/>
          <w:szCs w:val="22"/>
          <w:lang w:val="es-ES"/>
        </w:rPr>
        <w:t>s</w:t>
      </w:r>
      <w:r w:rsidRPr="005D5055">
        <w:rPr>
          <w:sz w:val="22"/>
          <w:szCs w:val="22"/>
          <w:lang w:val="es-ES"/>
        </w:rPr>
        <w:t xml:space="preserve">egunda </w:t>
      </w:r>
      <w:r>
        <w:rPr>
          <w:sz w:val="22"/>
          <w:szCs w:val="22"/>
          <w:lang w:val="es-ES"/>
        </w:rPr>
        <w:t>f</w:t>
      </w:r>
      <w:r w:rsidRPr="005D5055">
        <w:rPr>
          <w:sz w:val="22"/>
          <w:szCs w:val="22"/>
          <w:lang w:val="es-ES"/>
        </w:rPr>
        <w:t>ase de la AEI.</w:t>
      </w:r>
    </w:p>
    <w:p w14:paraId="5939A9AF" w14:textId="77777777" w:rsidR="00FB7532" w:rsidRDefault="00FB7532" w:rsidP="00FB7532">
      <w:pPr>
        <w:tabs>
          <w:tab w:val="left" w:pos="1440"/>
          <w:tab w:val="left" w:pos="2160"/>
        </w:tabs>
        <w:ind w:firstLine="720"/>
        <w:jc w:val="both"/>
        <w:rPr>
          <w:sz w:val="22"/>
          <w:szCs w:val="22"/>
          <w:lang w:val="es-ES"/>
        </w:rPr>
      </w:pPr>
    </w:p>
    <w:p w14:paraId="142F8381" w14:textId="77777777" w:rsidR="00FB7532" w:rsidRPr="00160570" w:rsidRDefault="00FB7532" w:rsidP="00FB7532">
      <w:pPr>
        <w:tabs>
          <w:tab w:val="left" w:pos="1440"/>
          <w:tab w:val="left" w:pos="2160"/>
        </w:tabs>
        <w:ind w:firstLine="720"/>
        <w:jc w:val="both"/>
        <w:rPr>
          <w:sz w:val="22"/>
          <w:szCs w:val="22"/>
          <w:lang w:val="es-ES"/>
        </w:rPr>
      </w:pPr>
      <w:r>
        <w:rPr>
          <w:sz w:val="22"/>
          <w:szCs w:val="22"/>
          <w:lang w:val="es-ES"/>
        </w:rPr>
        <w:t>Procurará además la identificación de s</w:t>
      </w:r>
      <w:r w:rsidRPr="0019358D">
        <w:rPr>
          <w:sz w:val="22"/>
          <w:szCs w:val="22"/>
          <w:lang w:val="es-ES"/>
        </w:rPr>
        <w:t>inergias y oportunidades</w:t>
      </w:r>
      <w:r>
        <w:rPr>
          <w:sz w:val="22"/>
          <w:szCs w:val="22"/>
          <w:lang w:val="es-ES"/>
        </w:rPr>
        <w:t xml:space="preserve"> </w:t>
      </w:r>
      <w:r w:rsidRPr="0019358D">
        <w:rPr>
          <w:sz w:val="22"/>
          <w:szCs w:val="22"/>
          <w:lang w:val="es-ES"/>
        </w:rPr>
        <w:t>para la colaboración y cooperación entre los Estados Miembros, así como con las instituciones regionales para la implementación de las iniciativas relacionadas con la reactivación del sector educativo postpandemia, el retorno seguro a clases presenciales, y la agenda educativa digital</w:t>
      </w:r>
      <w:r>
        <w:rPr>
          <w:sz w:val="22"/>
          <w:szCs w:val="22"/>
          <w:lang w:val="es-ES"/>
        </w:rPr>
        <w:t>.</w:t>
      </w:r>
    </w:p>
    <w:p w14:paraId="32F8A232" w14:textId="1D44F994" w:rsidR="006F1098" w:rsidRDefault="004412BF" w:rsidP="006F1098">
      <w:pPr>
        <w:tabs>
          <w:tab w:val="left" w:pos="720"/>
          <w:tab w:val="center" w:pos="4320"/>
          <w:tab w:val="right" w:pos="8640"/>
        </w:tabs>
        <w:jc w:val="center"/>
        <w:rPr>
          <w:sz w:val="22"/>
          <w:szCs w:val="22"/>
          <w:lang w:val="es-ES"/>
        </w:rPr>
      </w:pPr>
      <w:r>
        <w:rPr>
          <w:noProof/>
          <w:sz w:val="22"/>
          <w:szCs w:val="22"/>
          <w:lang w:val="es-ES"/>
        </w:rPr>
        <mc:AlternateContent>
          <mc:Choice Requires="wps">
            <w:drawing>
              <wp:anchor distT="0" distB="0" distL="114300" distR="114300" simplePos="0" relativeHeight="251659264" behindDoc="0" locked="1" layoutInCell="1" allowOverlap="1" wp14:anchorId="7A276825" wp14:editId="5C00A1BE">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3542466" w14:textId="707054BD" w:rsidR="004412BF" w:rsidRPr="004412BF" w:rsidRDefault="004412BF">
                            <w:pPr>
                              <w:rPr>
                                <w:sz w:val="18"/>
                              </w:rPr>
                            </w:pPr>
                            <w:r>
                              <w:rPr>
                                <w:sz w:val="18"/>
                              </w:rPr>
                              <w:fldChar w:fldCharType="begin"/>
                            </w:r>
                            <w:r>
                              <w:rPr>
                                <w:sz w:val="18"/>
                              </w:rPr>
                              <w:instrText xml:space="preserve"> FILENAME  \* MERGEFORMAT </w:instrText>
                            </w:r>
                            <w:r>
                              <w:rPr>
                                <w:sz w:val="18"/>
                              </w:rPr>
                              <w:fldChar w:fldCharType="separate"/>
                            </w:r>
                            <w:r w:rsidR="00893A77">
                              <w:rPr>
                                <w:noProof/>
                                <w:sz w:val="18"/>
                              </w:rPr>
                              <w:t>CIDED00294S01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276825"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03542466" w14:textId="707054BD" w:rsidR="004412BF" w:rsidRPr="004412BF" w:rsidRDefault="004412BF">
                      <w:pPr>
                        <w:rPr>
                          <w:sz w:val="18"/>
                        </w:rPr>
                      </w:pPr>
                      <w:r>
                        <w:rPr>
                          <w:sz w:val="18"/>
                        </w:rPr>
                        <w:fldChar w:fldCharType="begin"/>
                      </w:r>
                      <w:r>
                        <w:rPr>
                          <w:sz w:val="18"/>
                        </w:rPr>
                        <w:instrText xml:space="preserve"> FILENAME  \* MERGEFORMAT </w:instrText>
                      </w:r>
                      <w:r>
                        <w:rPr>
                          <w:sz w:val="18"/>
                        </w:rPr>
                        <w:fldChar w:fldCharType="separate"/>
                      </w:r>
                      <w:r w:rsidR="00893A77">
                        <w:rPr>
                          <w:noProof/>
                          <w:sz w:val="18"/>
                        </w:rPr>
                        <w:t>CIDED00294S01</w:t>
                      </w:r>
                      <w:r>
                        <w:rPr>
                          <w:sz w:val="18"/>
                        </w:rPr>
                        <w:fldChar w:fldCharType="end"/>
                      </w:r>
                    </w:p>
                  </w:txbxContent>
                </v:textbox>
                <w10:wrap anchory="page"/>
                <w10:anchorlock/>
              </v:shape>
            </w:pict>
          </mc:Fallback>
        </mc:AlternateContent>
      </w:r>
    </w:p>
    <w:sectPr w:rsidR="006F1098" w:rsidSect="005A1046">
      <w:headerReference w:type="even" r:id="rId12"/>
      <w:headerReference w:type="default" r:id="rId13"/>
      <w:headerReference w:type="first" r:id="rId14"/>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2352" w14:textId="77777777" w:rsidR="009F0F23" w:rsidRDefault="009F0F23">
      <w:r>
        <w:separator/>
      </w:r>
    </w:p>
  </w:endnote>
  <w:endnote w:type="continuationSeparator" w:id="0">
    <w:p w14:paraId="134D33AF" w14:textId="77777777" w:rsidR="009F0F23" w:rsidRDefault="009F0F23">
      <w:r>
        <w:continuationSeparator/>
      </w:r>
    </w:p>
  </w:endnote>
  <w:endnote w:type="continuationNotice" w:id="1">
    <w:p w14:paraId="71F2B069" w14:textId="77777777" w:rsidR="009F0F23" w:rsidRDefault="009F0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News Gothic M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067C" w14:textId="77777777" w:rsidR="009F0F23" w:rsidRDefault="009F0F23">
      <w:r>
        <w:separator/>
      </w:r>
    </w:p>
  </w:footnote>
  <w:footnote w:type="continuationSeparator" w:id="0">
    <w:p w14:paraId="3F9A6B95" w14:textId="77777777" w:rsidR="009F0F23" w:rsidRDefault="009F0F23">
      <w:r>
        <w:continuationSeparator/>
      </w:r>
    </w:p>
  </w:footnote>
  <w:footnote w:type="continuationNotice" w:id="1">
    <w:p w14:paraId="7562FD95" w14:textId="77777777" w:rsidR="009F0F23" w:rsidRDefault="009F0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noProof/>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6"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7"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 w15:restartNumberingAfterBreak="0">
    <w:nsid w:val="558C1179"/>
    <w:multiLevelType w:val="hybridMultilevel"/>
    <w:tmpl w:val="245C4BF8"/>
    <w:lvl w:ilvl="0" w:tplc="B914EDE2">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B271438"/>
    <w:multiLevelType w:val="hybridMultilevel"/>
    <w:tmpl w:val="A8729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2"/>
  </w:num>
  <w:num w:numId="3" w16cid:durableId="313222694">
    <w:abstractNumId w:val="0"/>
  </w:num>
  <w:num w:numId="4" w16cid:durableId="1224829501">
    <w:abstractNumId w:val="9"/>
  </w:num>
  <w:num w:numId="5" w16cid:durableId="97995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8"/>
  </w:num>
  <w:num w:numId="7" w16cid:durableId="849369625">
    <w:abstractNumId w:val="6"/>
  </w:num>
  <w:num w:numId="8" w16cid:durableId="1465192515">
    <w:abstractNumId w:val="5"/>
  </w:num>
  <w:num w:numId="9" w16cid:durableId="716199066">
    <w:abstractNumId w:val="3"/>
  </w:num>
  <w:num w:numId="10" w16cid:durableId="196085338">
    <w:abstractNumId w:val="4"/>
  </w:num>
  <w:num w:numId="11" w16cid:durableId="173874033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E78FD"/>
    <w:rsid w:val="001F2F0F"/>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33B68"/>
    <w:rsid w:val="0034060E"/>
    <w:rsid w:val="003456A4"/>
    <w:rsid w:val="00346558"/>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7905"/>
    <w:rsid w:val="003A0748"/>
    <w:rsid w:val="003A37A8"/>
    <w:rsid w:val="003A3C00"/>
    <w:rsid w:val="003A730F"/>
    <w:rsid w:val="003B3CBF"/>
    <w:rsid w:val="003B60C5"/>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7B78"/>
    <w:rsid w:val="004412BF"/>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BCB"/>
    <w:rsid w:val="00482BBE"/>
    <w:rsid w:val="00482F39"/>
    <w:rsid w:val="0048384F"/>
    <w:rsid w:val="004838AD"/>
    <w:rsid w:val="004841CA"/>
    <w:rsid w:val="00485C21"/>
    <w:rsid w:val="00490648"/>
    <w:rsid w:val="00491396"/>
    <w:rsid w:val="0049287D"/>
    <w:rsid w:val="00492E2E"/>
    <w:rsid w:val="004939AC"/>
    <w:rsid w:val="004A0D00"/>
    <w:rsid w:val="004A11F7"/>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2EFA"/>
    <w:rsid w:val="00545C97"/>
    <w:rsid w:val="00554D1A"/>
    <w:rsid w:val="005811E5"/>
    <w:rsid w:val="005952DF"/>
    <w:rsid w:val="00596EB7"/>
    <w:rsid w:val="005A089F"/>
    <w:rsid w:val="005A1046"/>
    <w:rsid w:val="005A1E1A"/>
    <w:rsid w:val="005A7631"/>
    <w:rsid w:val="005B11F3"/>
    <w:rsid w:val="005B1F49"/>
    <w:rsid w:val="005B526D"/>
    <w:rsid w:val="005B6465"/>
    <w:rsid w:val="005C100F"/>
    <w:rsid w:val="005C167F"/>
    <w:rsid w:val="005C504E"/>
    <w:rsid w:val="005C63F5"/>
    <w:rsid w:val="005C761C"/>
    <w:rsid w:val="005D0256"/>
    <w:rsid w:val="005D1B79"/>
    <w:rsid w:val="005D1F9F"/>
    <w:rsid w:val="005D244D"/>
    <w:rsid w:val="005D2C69"/>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3DCF"/>
    <w:rsid w:val="006E7A3D"/>
    <w:rsid w:val="006F1098"/>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437F5"/>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93A77"/>
    <w:rsid w:val="008A0A73"/>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16DF"/>
    <w:rsid w:val="009D2FA7"/>
    <w:rsid w:val="009D3A97"/>
    <w:rsid w:val="009D7E18"/>
    <w:rsid w:val="009E3409"/>
    <w:rsid w:val="009E37A5"/>
    <w:rsid w:val="009E5B27"/>
    <w:rsid w:val="009F028C"/>
    <w:rsid w:val="009F0F23"/>
    <w:rsid w:val="009F4248"/>
    <w:rsid w:val="009F4AA0"/>
    <w:rsid w:val="009F7FBA"/>
    <w:rsid w:val="00A027C9"/>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542"/>
    <w:rsid w:val="00A65C29"/>
    <w:rsid w:val="00A67BD7"/>
    <w:rsid w:val="00A67D01"/>
    <w:rsid w:val="00A71D3A"/>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06E8"/>
    <w:rsid w:val="00B32F37"/>
    <w:rsid w:val="00B355E1"/>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51D"/>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06B8"/>
    <w:rsid w:val="00EA2C2B"/>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B753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paragraph" w:customStyle="1" w:styleId="paragraph">
    <w:name w:val="paragraph"/>
    <w:basedOn w:val="Normal"/>
    <w:rsid w:val="00FB7532"/>
    <w:pPr>
      <w:spacing w:before="100" w:beforeAutospacing="1" w:after="100" w:afterAutospacing="1"/>
    </w:pPr>
    <w:rPr>
      <w:sz w:val="24"/>
      <w:szCs w:val="24"/>
      <w:lang w:val="es-C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oas.org/IDMS/Redirectpage.aspx?class=AG/doc.&amp;classNum=5717&amp;lang=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3.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4.xml><?xml version="1.0" encoding="utf-8"?>
<ds:datastoreItem xmlns:ds="http://schemas.openxmlformats.org/officeDocument/2006/customXml" ds:itemID="{7F988B74-006D-4184-A405-7B96E322F291}"/>
</file>

<file path=docProps/app.xml><?xml version="1.0" encoding="utf-8"?>
<Properties xmlns="http://schemas.openxmlformats.org/officeDocument/2006/extended-properties" xmlns:vt="http://schemas.openxmlformats.org/officeDocument/2006/docPropsVTypes">
  <Template>04 01 13 DOC02_04 Draft Agenda</Template>
  <TotalTime>7</TotalTime>
  <Pages>4</Pages>
  <Words>1574</Words>
  <Characters>8789</Characters>
  <Application>Microsoft Office Word</Application>
  <DocSecurity>0</DocSecurity>
  <Lines>163</Lines>
  <Paragraphs>42</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Burns, Sandra</cp:lastModifiedBy>
  <cp:revision>3</cp:revision>
  <cp:lastPrinted>2011-06-15T13:36:00Z</cp:lastPrinted>
  <dcterms:created xsi:type="dcterms:W3CDTF">2022-11-11T15:57:00Z</dcterms:created>
  <dcterms:modified xsi:type="dcterms:W3CDTF">2022-11-11T15:58:00Z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