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30C3" w14:textId="77777777" w:rsidR="00526E83" w:rsidRDefault="00526E83" w:rsidP="00526E83">
      <w:pPr>
        <w:tabs>
          <w:tab w:val="left" w:pos="7200"/>
        </w:tabs>
        <w:ind w:left="-180" w:right="-299"/>
        <w:jc w:val="both"/>
        <w:rPr>
          <w:sz w:val="22"/>
          <w:szCs w:val="22"/>
          <w:lang w:val="fr-FR"/>
        </w:rPr>
      </w:pPr>
      <w:r w:rsidRPr="00526E83">
        <w:rPr>
          <w:b/>
          <w:bCs/>
          <w:sz w:val="22"/>
          <w:szCs w:val="20"/>
          <w:lang w:val="fr-FR"/>
        </w:rPr>
        <w:t xml:space="preserve">ONZIÈME RÉUNION INTERAMÉRICAINE </w:t>
      </w:r>
      <w:r w:rsidR="00F4213B" w:rsidRPr="00970355">
        <w:rPr>
          <w:b/>
          <w:bCs/>
          <w:noProof/>
          <w:sz w:val="22"/>
          <w:szCs w:val="22"/>
          <w:lang w:val="fr-FR"/>
        </w:rPr>
        <w:drawing>
          <wp:anchor distT="0" distB="0" distL="114300" distR="114300" simplePos="0" relativeHeight="251658240" behindDoc="0" locked="0" layoutInCell="1" allowOverlap="1" wp14:anchorId="6CFEC099" wp14:editId="4033B4B9">
            <wp:simplePos x="0" y="0"/>
            <wp:positionH relativeFrom="column">
              <wp:posOffset>-421641</wp:posOffset>
            </wp:positionH>
            <wp:positionV relativeFrom="paragraph">
              <wp:posOffset>-933450</wp:posOffset>
            </wp:positionV>
            <wp:extent cx="866775" cy="8439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43915"/>
                    </a:xfrm>
                    <a:prstGeom prst="rect">
                      <a:avLst/>
                    </a:prstGeom>
                    <a:noFill/>
                  </pic:spPr>
                </pic:pic>
              </a:graphicData>
            </a:graphic>
            <wp14:sizeRelH relativeFrom="page">
              <wp14:pctWidth>0</wp14:pctWidth>
            </wp14:sizeRelH>
            <wp14:sizeRelV relativeFrom="page">
              <wp14:pctHeight>0</wp14:pctHeight>
            </wp14:sizeRelV>
          </wp:anchor>
        </w:drawing>
      </w:r>
      <w:r w:rsidR="0034560B" w:rsidRPr="00970355">
        <w:rPr>
          <w:b/>
          <w:bCs/>
          <w:noProof/>
          <w:sz w:val="22"/>
          <w:szCs w:val="22"/>
          <w:lang w:val="fr-FR"/>
        </w:rPr>
        <w:drawing>
          <wp:anchor distT="0" distB="0" distL="114300" distR="114300" simplePos="0" relativeHeight="251658241" behindDoc="0" locked="0" layoutInCell="1" allowOverlap="1" wp14:anchorId="07F74794" wp14:editId="1E3FA2C1">
            <wp:simplePos x="0" y="0"/>
            <wp:positionH relativeFrom="page">
              <wp:posOffset>6336665</wp:posOffset>
            </wp:positionH>
            <wp:positionV relativeFrom="page">
              <wp:posOffset>571500</wp:posOffset>
            </wp:positionV>
            <wp:extent cx="951230" cy="668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668020"/>
                    </a:xfrm>
                    <a:prstGeom prst="rect">
                      <a:avLst/>
                    </a:prstGeom>
                    <a:noFill/>
                  </pic:spPr>
                </pic:pic>
              </a:graphicData>
            </a:graphic>
            <wp14:sizeRelH relativeFrom="page">
              <wp14:pctWidth>0</wp14:pctWidth>
            </wp14:sizeRelH>
            <wp14:sizeRelV relativeFrom="page">
              <wp14:pctHeight>0</wp14:pctHeight>
            </wp14:sizeRelV>
          </wp:anchor>
        </w:drawing>
      </w:r>
      <w:r w:rsidR="003F62F8" w:rsidRPr="00970355">
        <w:rPr>
          <w:b/>
          <w:bCs/>
          <w:sz w:val="22"/>
          <w:szCs w:val="22"/>
          <w:lang w:val="fr-FR"/>
        </w:rPr>
        <w:tab/>
      </w:r>
      <w:r w:rsidR="003F62F8" w:rsidRPr="00970355">
        <w:rPr>
          <w:snapToGrid w:val="0"/>
          <w:sz w:val="22"/>
          <w:szCs w:val="22"/>
          <w:lang w:val="fr-FR"/>
        </w:rPr>
        <w:t>OEA/</w:t>
      </w:r>
      <w:proofErr w:type="spellStart"/>
      <w:r w:rsidR="003F62F8" w:rsidRPr="00970355">
        <w:rPr>
          <w:snapToGrid w:val="0"/>
          <w:sz w:val="22"/>
          <w:szCs w:val="22"/>
          <w:lang w:val="fr-FR"/>
        </w:rPr>
        <w:t>Ser.K</w:t>
      </w:r>
      <w:proofErr w:type="spellEnd"/>
      <w:r w:rsidR="003F62F8" w:rsidRPr="00970355">
        <w:rPr>
          <w:snapToGrid w:val="0"/>
          <w:sz w:val="22"/>
          <w:szCs w:val="22"/>
          <w:lang w:val="fr-FR"/>
        </w:rPr>
        <w:t>/</w:t>
      </w:r>
      <w:r>
        <w:rPr>
          <w:snapToGrid w:val="0"/>
          <w:sz w:val="22"/>
          <w:szCs w:val="22"/>
          <w:lang w:val="fr-FR"/>
        </w:rPr>
        <w:t>V.14</w:t>
      </w:r>
      <w:r w:rsidR="00F4213B">
        <w:rPr>
          <w:snapToGrid w:val="0"/>
          <w:sz w:val="22"/>
          <w:szCs w:val="22"/>
          <w:lang w:val="fr-FR"/>
        </w:rPr>
        <w:t>.1</w:t>
      </w:r>
    </w:p>
    <w:p w14:paraId="1BD03799" w14:textId="19369AF0" w:rsidR="00F4213B" w:rsidRPr="000135C2" w:rsidRDefault="00526E83" w:rsidP="005A1A0A">
      <w:pPr>
        <w:tabs>
          <w:tab w:val="left" w:pos="7200"/>
        </w:tabs>
        <w:ind w:left="-180" w:right="-619"/>
        <w:jc w:val="both"/>
        <w:rPr>
          <w:sz w:val="22"/>
          <w:szCs w:val="22"/>
          <w:lang w:val="fr-CA"/>
        </w:rPr>
      </w:pPr>
      <w:r w:rsidRPr="00526E83">
        <w:rPr>
          <w:b/>
          <w:bCs/>
          <w:sz w:val="22"/>
          <w:szCs w:val="20"/>
          <w:lang w:val="fr-FR"/>
        </w:rPr>
        <w:t>DES MINISTRES DE L’ÉDUCATION</w:t>
      </w:r>
      <w:r w:rsidR="00F4213B">
        <w:rPr>
          <w:rFonts w:eastAsia="SimSun"/>
          <w:b/>
          <w:sz w:val="22"/>
          <w:szCs w:val="22"/>
          <w:lang w:val="fr-FR"/>
        </w:rPr>
        <w:tab/>
      </w:r>
      <w:r w:rsidR="00F4213B" w:rsidRPr="000135C2">
        <w:rPr>
          <w:sz w:val="22"/>
          <w:szCs w:val="22"/>
          <w:lang w:val="fr-CA"/>
        </w:rPr>
        <w:t>CIDI/</w:t>
      </w:r>
      <w:r>
        <w:rPr>
          <w:sz w:val="22"/>
          <w:szCs w:val="22"/>
          <w:lang w:val="fr-CA"/>
        </w:rPr>
        <w:t>RME</w:t>
      </w:r>
      <w:r w:rsidR="00F4213B">
        <w:rPr>
          <w:sz w:val="22"/>
          <w:szCs w:val="22"/>
          <w:lang w:val="fr-CA"/>
        </w:rPr>
        <w:t>/</w:t>
      </w:r>
      <w:r w:rsidR="00F4213B" w:rsidRPr="000135C2">
        <w:rPr>
          <w:sz w:val="22"/>
          <w:szCs w:val="22"/>
          <w:lang w:val="fr-CA"/>
        </w:rPr>
        <w:t>doc.</w:t>
      </w:r>
      <w:r w:rsidR="00F4213B">
        <w:rPr>
          <w:sz w:val="22"/>
          <w:szCs w:val="22"/>
          <w:lang w:val="fr-CA"/>
        </w:rPr>
        <w:t xml:space="preserve"> </w:t>
      </w:r>
      <w:r w:rsidR="00122B4B">
        <w:rPr>
          <w:sz w:val="22"/>
          <w:szCs w:val="22"/>
          <w:lang w:val="fr-CA"/>
        </w:rPr>
        <w:t>2</w:t>
      </w:r>
      <w:r>
        <w:rPr>
          <w:sz w:val="22"/>
          <w:szCs w:val="22"/>
          <w:lang w:val="fr-CA"/>
        </w:rPr>
        <w:t>/22</w:t>
      </w:r>
      <w:r w:rsidR="005A1A0A">
        <w:rPr>
          <w:sz w:val="22"/>
          <w:szCs w:val="22"/>
          <w:lang w:val="fr-CA"/>
        </w:rPr>
        <w:t xml:space="preserve"> rev.1</w:t>
      </w:r>
    </w:p>
    <w:p w14:paraId="39689010" w14:textId="70597F62" w:rsidR="00F4213B" w:rsidRDefault="003E56CD" w:rsidP="00552B7D">
      <w:pPr>
        <w:tabs>
          <w:tab w:val="left" w:pos="7200"/>
        </w:tabs>
        <w:ind w:hanging="180"/>
        <w:jc w:val="both"/>
        <w:rPr>
          <w:color w:val="000000"/>
          <w:sz w:val="22"/>
          <w:szCs w:val="22"/>
          <w:lang w:val="fr-FR"/>
        </w:rPr>
      </w:pPr>
      <w:r>
        <w:rPr>
          <w:sz w:val="22"/>
          <w:szCs w:val="22"/>
          <w:lang w:val="fr-CA"/>
        </w:rPr>
        <w:t xml:space="preserve">Du </w:t>
      </w:r>
      <w:r w:rsidR="00526E83" w:rsidRPr="00526E83">
        <w:rPr>
          <w:sz w:val="22"/>
          <w:szCs w:val="22"/>
          <w:lang w:val="fr-CA"/>
        </w:rPr>
        <w:t xml:space="preserve">10 </w:t>
      </w:r>
      <w:r>
        <w:rPr>
          <w:sz w:val="22"/>
          <w:szCs w:val="22"/>
          <w:lang w:val="fr-CA"/>
        </w:rPr>
        <w:t>au</w:t>
      </w:r>
      <w:r w:rsidR="00526E83" w:rsidRPr="00526E83">
        <w:rPr>
          <w:sz w:val="22"/>
          <w:szCs w:val="22"/>
          <w:lang w:val="fr-CA"/>
        </w:rPr>
        <w:t xml:space="preserve"> 11 novembre 2022</w:t>
      </w:r>
      <w:r w:rsidR="00F4213B">
        <w:rPr>
          <w:color w:val="000000" w:themeColor="text1"/>
          <w:lang w:val="fr-FR"/>
        </w:rPr>
        <w:tab/>
      </w:r>
      <w:r w:rsidR="005A1A0A">
        <w:rPr>
          <w:color w:val="000000"/>
          <w:sz w:val="22"/>
          <w:szCs w:val="22"/>
          <w:lang w:val="fr-FR"/>
        </w:rPr>
        <w:t>10</w:t>
      </w:r>
      <w:r w:rsidR="00122B4B">
        <w:rPr>
          <w:color w:val="000000"/>
          <w:sz w:val="22"/>
          <w:szCs w:val="22"/>
          <w:lang w:val="fr-FR"/>
        </w:rPr>
        <w:t xml:space="preserve"> </w:t>
      </w:r>
      <w:r w:rsidR="005A1A0A">
        <w:rPr>
          <w:color w:val="000000"/>
          <w:sz w:val="22"/>
          <w:szCs w:val="22"/>
          <w:lang w:val="fr-FR"/>
        </w:rPr>
        <w:t>novem</w:t>
      </w:r>
      <w:r w:rsidR="00552B7D">
        <w:rPr>
          <w:color w:val="000000"/>
          <w:sz w:val="22"/>
          <w:szCs w:val="22"/>
          <w:lang w:val="fr-FR"/>
        </w:rPr>
        <w:t>bre 2</w:t>
      </w:r>
      <w:r w:rsidR="00F4213B">
        <w:rPr>
          <w:color w:val="000000"/>
          <w:sz w:val="22"/>
          <w:szCs w:val="22"/>
          <w:lang w:val="fr-FR"/>
        </w:rPr>
        <w:t>02</w:t>
      </w:r>
      <w:r w:rsidR="00526E83">
        <w:rPr>
          <w:color w:val="000000"/>
          <w:sz w:val="22"/>
          <w:szCs w:val="22"/>
          <w:lang w:val="fr-FR"/>
        </w:rPr>
        <w:t>2</w:t>
      </w:r>
    </w:p>
    <w:p w14:paraId="5746B112" w14:textId="39051E14" w:rsidR="00F4213B" w:rsidRDefault="00E2133B" w:rsidP="00552B7D">
      <w:pPr>
        <w:tabs>
          <w:tab w:val="left" w:pos="7200"/>
        </w:tabs>
        <w:ind w:hanging="180"/>
        <w:jc w:val="both"/>
        <w:rPr>
          <w:sz w:val="22"/>
          <w:szCs w:val="22"/>
          <w:lang w:val="fr-FR"/>
        </w:rPr>
      </w:pPr>
      <w:r w:rsidRPr="00970355">
        <w:rPr>
          <w:color w:val="000000"/>
          <w:sz w:val="22"/>
          <w:szCs w:val="22"/>
          <w:lang w:val="fr-FR"/>
        </w:rPr>
        <w:t xml:space="preserve">Washington, D.C. </w:t>
      </w:r>
      <w:r w:rsidR="00CA7D88" w:rsidRPr="00970355">
        <w:rPr>
          <w:color w:val="000000"/>
          <w:sz w:val="22"/>
          <w:szCs w:val="22"/>
          <w:lang w:val="fr-FR"/>
        </w:rPr>
        <w:t>(</w:t>
      </w:r>
      <w:r w:rsidRPr="00970355">
        <w:rPr>
          <w:color w:val="000000"/>
          <w:sz w:val="22"/>
          <w:szCs w:val="22"/>
          <w:lang w:val="fr-FR"/>
        </w:rPr>
        <w:t>États-Unis d'Amérique</w:t>
      </w:r>
      <w:r w:rsidR="00CA7D88" w:rsidRPr="00970355">
        <w:rPr>
          <w:color w:val="000000"/>
          <w:sz w:val="22"/>
          <w:szCs w:val="22"/>
          <w:lang w:val="fr-FR"/>
        </w:rPr>
        <w:t>)</w:t>
      </w:r>
      <w:r w:rsidR="00F4213B">
        <w:rPr>
          <w:sz w:val="22"/>
          <w:szCs w:val="22"/>
          <w:lang w:val="fr-FR"/>
        </w:rPr>
        <w:tab/>
      </w:r>
      <w:proofErr w:type="gramStart"/>
      <w:r w:rsidR="00F4213B" w:rsidRPr="00970355">
        <w:rPr>
          <w:sz w:val="22"/>
          <w:szCs w:val="22"/>
          <w:lang w:val="fr-FR"/>
        </w:rPr>
        <w:t>Original:</w:t>
      </w:r>
      <w:proofErr w:type="gramEnd"/>
      <w:r w:rsidR="00F4213B" w:rsidRPr="00970355">
        <w:rPr>
          <w:sz w:val="22"/>
          <w:szCs w:val="22"/>
          <w:lang w:val="fr-FR"/>
        </w:rPr>
        <w:t xml:space="preserve"> </w:t>
      </w:r>
      <w:r w:rsidR="00F4213B">
        <w:rPr>
          <w:sz w:val="22"/>
          <w:szCs w:val="22"/>
          <w:lang w:val="fr-FR"/>
        </w:rPr>
        <w:t>e</w:t>
      </w:r>
      <w:r w:rsidR="00F4213B" w:rsidRPr="00970355">
        <w:rPr>
          <w:sz w:val="22"/>
          <w:szCs w:val="22"/>
          <w:lang w:val="fr-FR"/>
        </w:rPr>
        <w:t>spagnol</w:t>
      </w:r>
    </w:p>
    <w:p w14:paraId="64922357" w14:textId="2E39A2D4" w:rsidR="00F4213B" w:rsidRPr="00970355" w:rsidRDefault="00F4213B" w:rsidP="00552B7D">
      <w:pPr>
        <w:tabs>
          <w:tab w:val="left" w:pos="6480"/>
          <w:tab w:val="left" w:pos="7290"/>
        </w:tabs>
        <w:ind w:hanging="180"/>
        <w:jc w:val="both"/>
        <w:rPr>
          <w:color w:val="000000"/>
          <w:sz w:val="22"/>
          <w:szCs w:val="22"/>
          <w:lang w:val="fr-FR"/>
        </w:rPr>
      </w:pPr>
      <w:r w:rsidRPr="00970355">
        <w:rPr>
          <w:color w:val="000000"/>
          <w:sz w:val="22"/>
          <w:szCs w:val="22"/>
          <w:lang w:val="fr-FR"/>
        </w:rPr>
        <w:t>VIRTUEL</w:t>
      </w:r>
      <w:r>
        <w:rPr>
          <w:color w:val="000000"/>
          <w:sz w:val="22"/>
          <w:szCs w:val="22"/>
          <w:lang w:val="fr-FR"/>
        </w:rPr>
        <w:tab/>
      </w:r>
      <w:r>
        <w:rPr>
          <w:color w:val="000000"/>
          <w:sz w:val="22"/>
          <w:szCs w:val="22"/>
          <w:lang w:val="fr-FR"/>
        </w:rPr>
        <w:tab/>
      </w:r>
    </w:p>
    <w:p w14:paraId="497A852F" w14:textId="77777777" w:rsidR="00032517" w:rsidRPr="00970355" w:rsidRDefault="00032517" w:rsidP="00F4213B">
      <w:pPr>
        <w:pBdr>
          <w:bottom w:val="single" w:sz="12" w:space="1" w:color="auto"/>
        </w:pBdr>
        <w:tabs>
          <w:tab w:val="left" w:pos="6030"/>
          <w:tab w:val="left" w:pos="6210"/>
        </w:tabs>
        <w:ind w:right="-389"/>
        <w:rPr>
          <w:sz w:val="22"/>
          <w:szCs w:val="22"/>
          <w:lang w:val="fr-FR"/>
        </w:rPr>
      </w:pPr>
    </w:p>
    <w:p w14:paraId="64E03D80" w14:textId="43C1E1EA" w:rsidR="00F4213B" w:rsidRDefault="00F4213B" w:rsidP="00EF589B">
      <w:pPr>
        <w:rPr>
          <w:sz w:val="22"/>
          <w:szCs w:val="22"/>
          <w:lang w:val="fr-FR"/>
        </w:rPr>
      </w:pPr>
    </w:p>
    <w:p w14:paraId="21BD505F" w14:textId="77777777" w:rsidR="000F2CCD" w:rsidRDefault="000F2CCD" w:rsidP="000F2CCD">
      <w:pPr>
        <w:jc w:val="center"/>
        <w:rPr>
          <w:b/>
          <w:bCs/>
          <w:sz w:val="22"/>
          <w:szCs w:val="22"/>
          <w:lang w:val="fr-CA"/>
        </w:rPr>
      </w:pPr>
    </w:p>
    <w:p w14:paraId="31A31010" w14:textId="3478D4C1" w:rsidR="000F2CCD" w:rsidRPr="000F2CCD" w:rsidRDefault="006E22E8" w:rsidP="000F2CCD">
      <w:pPr>
        <w:jc w:val="center"/>
        <w:rPr>
          <w:b/>
          <w:bCs/>
          <w:sz w:val="22"/>
          <w:szCs w:val="22"/>
          <w:lang w:val="fr-CA"/>
        </w:rPr>
      </w:pPr>
      <w:r w:rsidRPr="001F56D1">
        <w:rPr>
          <w:b/>
          <w:bCs/>
          <w:sz w:val="22"/>
          <w:szCs w:val="22"/>
          <w:lang w:val="fr-CA"/>
        </w:rPr>
        <w:t xml:space="preserve">ORDRE </w:t>
      </w:r>
      <w:r w:rsidR="000F2CCD" w:rsidRPr="000F2CCD">
        <w:rPr>
          <w:b/>
          <w:bCs/>
          <w:sz w:val="22"/>
          <w:szCs w:val="22"/>
          <w:lang w:val="fr-CA"/>
        </w:rPr>
        <w:t xml:space="preserve">DU JOUR ANNOTÉ </w:t>
      </w:r>
    </w:p>
    <w:p w14:paraId="57ABF14E" w14:textId="77777777" w:rsidR="000F2CCD" w:rsidRPr="000F2CCD" w:rsidRDefault="000F2CCD" w:rsidP="000F2CCD">
      <w:pPr>
        <w:jc w:val="center"/>
        <w:rPr>
          <w:sz w:val="22"/>
          <w:szCs w:val="22"/>
          <w:lang w:val="fr-CA"/>
        </w:rPr>
      </w:pPr>
    </w:p>
    <w:p w14:paraId="7BAE1FBD" w14:textId="77777777" w:rsidR="000F2CCD" w:rsidRPr="000F2CCD" w:rsidRDefault="000F2CCD" w:rsidP="000F2CCD">
      <w:pPr>
        <w:tabs>
          <w:tab w:val="left" w:pos="3042"/>
        </w:tabs>
        <w:jc w:val="center"/>
        <w:rPr>
          <w:sz w:val="22"/>
          <w:szCs w:val="22"/>
          <w:lang w:val="fr-CA"/>
        </w:rPr>
      </w:pPr>
      <w:r w:rsidRPr="000F2CCD">
        <w:rPr>
          <w:sz w:val="22"/>
          <w:szCs w:val="22"/>
          <w:lang w:val="fr-CA"/>
        </w:rPr>
        <w:t>« Vers la construction d'un nouveau Pacte continental pour l'éducation dans des</w:t>
      </w:r>
    </w:p>
    <w:p w14:paraId="62048E98" w14:textId="77777777" w:rsidR="000F2CCD" w:rsidRPr="000F2CCD" w:rsidRDefault="000F2CCD" w:rsidP="000F2CCD">
      <w:pPr>
        <w:jc w:val="center"/>
        <w:rPr>
          <w:sz w:val="22"/>
          <w:szCs w:val="22"/>
          <w:lang w:val="fr-CA"/>
        </w:rPr>
      </w:pPr>
      <w:proofErr w:type="gramStart"/>
      <w:r w:rsidRPr="000F2CCD">
        <w:rPr>
          <w:sz w:val="22"/>
          <w:szCs w:val="22"/>
          <w:lang w:val="fr-CA"/>
        </w:rPr>
        <w:t>contextes</w:t>
      </w:r>
      <w:proofErr w:type="gramEnd"/>
      <w:r w:rsidRPr="000F2CCD">
        <w:rPr>
          <w:sz w:val="22"/>
          <w:szCs w:val="22"/>
          <w:lang w:val="fr-CA"/>
        </w:rPr>
        <w:t xml:space="preserve"> changeants »</w:t>
      </w:r>
    </w:p>
    <w:p w14:paraId="63DF3DA6" w14:textId="76C11C15" w:rsidR="000F2CCD" w:rsidRDefault="000F2CCD" w:rsidP="000F2CCD">
      <w:pPr>
        <w:jc w:val="center"/>
        <w:rPr>
          <w:sz w:val="22"/>
          <w:szCs w:val="22"/>
          <w:lang w:val="fr-CA"/>
        </w:rPr>
      </w:pPr>
    </w:p>
    <w:p w14:paraId="642598BC" w14:textId="5B95CC07" w:rsidR="000F2CCD" w:rsidRDefault="005A1A0A" w:rsidP="000F2CCD">
      <w:pPr>
        <w:jc w:val="center"/>
        <w:rPr>
          <w:sz w:val="22"/>
          <w:szCs w:val="22"/>
          <w:lang w:val="fr-CA"/>
        </w:rPr>
      </w:pPr>
      <w:r w:rsidRPr="005A1A0A">
        <w:rPr>
          <w:sz w:val="22"/>
          <w:szCs w:val="22"/>
          <w:lang w:val="fr-CA"/>
        </w:rPr>
        <w:t>(Approuvé lors de la première session plénière, tenue le 10 novembre 2022)</w:t>
      </w:r>
    </w:p>
    <w:p w14:paraId="1CC111AB" w14:textId="35CFA0E4" w:rsidR="005A1A0A" w:rsidRDefault="005A1A0A" w:rsidP="000F2CCD">
      <w:pPr>
        <w:jc w:val="center"/>
        <w:rPr>
          <w:sz w:val="22"/>
          <w:szCs w:val="22"/>
          <w:lang w:val="fr-CA"/>
        </w:rPr>
      </w:pPr>
    </w:p>
    <w:p w14:paraId="795C2783" w14:textId="77777777" w:rsidR="005A1A0A" w:rsidRPr="00122B4B" w:rsidRDefault="005A1A0A" w:rsidP="000F2CCD">
      <w:pPr>
        <w:jc w:val="center"/>
        <w:rPr>
          <w:sz w:val="22"/>
          <w:szCs w:val="22"/>
          <w:highlight w:val="yellow"/>
          <w:lang w:val="fr-CA"/>
        </w:rPr>
      </w:pPr>
    </w:p>
    <w:p w14:paraId="3E84E96C" w14:textId="77777777" w:rsidR="006E22E8" w:rsidRPr="00122B4B" w:rsidRDefault="006E22E8" w:rsidP="000F2CCD">
      <w:pPr>
        <w:jc w:val="center"/>
        <w:rPr>
          <w:sz w:val="22"/>
          <w:szCs w:val="22"/>
          <w:highlight w:val="yellow"/>
          <w:lang w:val="fr-CA"/>
        </w:rPr>
      </w:pPr>
    </w:p>
    <w:p w14:paraId="1161536B" w14:textId="77777777" w:rsidR="000F2CCD" w:rsidRPr="000F2CCD" w:rsidRDefault="000F2CCD" w:rsidP="006E22E8">
      <w:pPr>
        <w:numPr>
          <w:ilvl w:val="0"/>
          <w:numId w:val="7"/>
        </w:numPr>
        <w:ind w:hanging="720"/>
        <w:contextualSpacing/>
        <w:jc w:val="both"/>
        <w:rPr>
          <w:rFonts w:eastAsia="Malgun Gothic"/>
          <w:bCs/>
          <w:sz w:val="22"/>
          <w:szCs w:val="22"/>
          <w:lang w:val="fr-CA"/>
        </w:rPr>
      </w:pPr>
      <w:r w:rsidRPr="000F2CCD">
        <w:rPr>
          <w:rFonts w:eastAsia="Malgun Gothic"/>
          <w:bCs/>
          <w:sz w:val="22"/>
          <w:szCs w:val="22"/>
          <w:lang w:val="fr-CA"/>
        </w:rPr>
        <w:t>CONTEXTE</w:t>
      </w:r>
    </w:p>
    <w:p w14:paraId="5DC9F1A8" w14:textId="77777777" w:rsidR="000F2CCD" w:rsidRPr="000F2CCD" w:rsidRDefault="000F2CCD" w:rsidP="000F2CCD">
      <w:pPr>
        <w:tabs>
          <w:tab w:val="left" w:pos="1440"/>
          <w:tab w:val="left" w:pos="2160"/>
        </w:tabs>
        <w:ind w:firstLine="720"/>
        <w:contextualSpacing/>
        <w:jc w:val="both"/>
        <w:rPr>
          <w:rFonts w:eastAsia="Malgun Gothic"/>
          <w:b/>
          <w:sz w:val="22"/>
          <w:szCs w:val="22"/>
          <w:highlight w:val="yellow"/>
          <w:lang w:val="fr-CA"/>
        </w:rPr>
      </w:pPr>
    </w:p>
    <w:p w14:paraId="2748A64E" w14:textId="77777777" w:rsidR="000F2CCD" w:rsidRPr="000F2CCD" w:rsidRDefault="000F2CCD" w:rsidP="000F2CCD">
      <w:pPr>
        <w:tabs>
          <w:tab w:val="left" w:pos="720"/>
          <w:tab w:val="left" w:pos="1530"/>
          <w:tab w:val="left" w:pos="7380"/>
        </w:tabs>
        <w:ind w:firstLine="720"/>
        <w:jc w:val="both"/>
        <w:rPr>
          <w:rFonts w:eastAsia="MS Mincho"/>
          <w:sz w:val="22"/>
          <w:szCs w:val="22"/>
          <w:lang w:val="fr-CA"/>
        </w:rPr>
      </w:pPr>
      <w:r w:rsidRPr="000F2CCD">
        <w:rPr>
          <w:rFonts w:eastAsia="MS Mincho"/>
          <w:sz w:val="22"/>
          <w:szCs w:val="22"/>
          <w:lang w:val="fr-CA"/>
        </w:rPr>
        <w:t>Alors que la crise sanitaire mondiale provoquait la fermeture massive des établissements éducatifs, avec, en conséquence, le défi de garder les élèves dans des processus d'apprentissage formels pour éviter le décrochage, les autorités éducatives ont déclaré que l'éducation était un droit et, en tant que tel, un engagement inévitable de l'État. En ce sens, les ministères de l'Éducation ont axé leurs travaux sur la quête d'un nouveau pacte éducatif qui garantisse la continuité de l'enseignement aux différents niveaux du système éducatif, en portant une attention particulière aux personnes les plus touchées par ces circonstances, par le biais d'une réponse intégrée et systémique offrant des solutions durables et adaptables à des contextes changeants.</w:t>
      </w:r>
    </w:p>
    <w:p w14:paraId="2920C3DF" w14:textId="77777777" w:rsidR="000F2CCD" w:rsidRPr="000F2CCD" w:rsidRDefault="000F2CCD" w:rsidP="000F2CCD">
      <w:pPr>
        <w:tabs>
          <w:tab w:val="left" w:pos="720"/>
          <w:tab w:val="left" w:pos="1530"/>
          <w:tab w:val="left" w:pos="7380"/>
        </w:tabs>
        <w:ind w:firstLine="720"/>
        <w:jc w:val="both"/>
        <w:rPr>
          <w:rFonts w:eastAsia="MS Mincho"/>
          <w:sz w:val="22"/>
          <w:szCs w:val="22"/>
          <w:lang w:val="fr-CA"/>
        </w:rPr>
      </w:pPr>
    </w:p>
    <w:p w14:paraId="69070B11" w14:textId="77777777" w:rsidR="000F2CCD" w:rsidRPr="000F2CCD" w:rsidRDefault="000F2CCD" w:rsidP="000F2CCD">
      <w:pPr>
        <w:ind w:firstLine="709"/>
        <w:jc w:val="both"/>
        <w:textAlignment w:val="baseline"/>
        <w:rPr>
          <w:rFonts w:eastAsia="Arial Unicode MS"/>
          <w:sz w:val="22"/>
          <w:szCs w:val="22"/>
          <w:lang w:val="fr-CA" w:eastAsia="es-ES_tradnl"/>
        </w:rPr>
      </w:pPr>
      <w:r w:rsidRPr="000F2CCD">
        <w:rPr>
          <w:rFonts w:eastAsia="MS Mincho"/>
          <w:sz w:val="22"/>
          <w:szCs w:val="22"/>
          <w:lang w:val="fr-CA" w:eastAsia="es-ES_tradnl"/>
        </w:rPr>
        <w:t>Cette crise de l'éducation sans précédent a démontré l'importance de développer des systèmes éducatifs adaptables et flexibles, capables de répondre efficacement et équitablement à des défis de diverses natures. Le dialogue de haut niveau sur les politiques publiques et les actions programmatiques qui s’est tenu dans le cadre de l'Organisation des États Américains (OEA) a donné lieu à un appel à l'action de la part des autorités des pays de la région pour convenir d’un pacte éducatif intégrant les perspectives, les points de vue et les identités de tous les acteurs concernés</w:t>
      </w:r>
      <w:r w:rsidRPr="000F2CCD">
        <w:rPr>
          <w:rFonts w:eastAsia="Arial Unicode MS"/>
          <w:sz w:val="22"/>
          <w:szCs w:val="22"/>
          <w:lang w:val="fr-CA" w:eastAsia="es-ES_tradnl"/>
        </w:rPr>
        <w:t>.</w:t>
      </w:r>
    </w:p>
    <w:p w14:paraId="4E4068D6" w14:textId="77777777" w:rsidR="000F2CCD" w:rsidRPr="000F2CCD" w:rsidRDefault="000F2CCD" w:rsidP="000F2CCD">
      <w:pPr>
        <w:tabs>
          <w:tab w:val="left" w:pos="720"/>
          <w:tab w:val="left" w:pos="1530"/>
          <w:tab w:val="left" w:pos="7380"/>
        </w:tabs>
        <w:ind w:firstLine="720"/>
        <w:jc w:val="both"/>
        <w:rPr>
          <w:rFonts w:eastAsia="MS Mincho"/>
          <w:sz w:val="22"/>
          <w:szCs w:val="22"/>
          <w:lang w:val="fr-CA"/>
        </w:rPr>
      </w:pPr>
    </w:p>
    <w:p w14:paraId="1802B588" w14:textId="77777777" w:rsidR="000F2CCD" w:rsidRPr="000F2CCD" w:rsidRDefault="000F2CCD" w:rsidP="000F2CCD">
      <w:pPr>
        <w:tabs>
          <w:tab w:val="left" w:pos="720"/>
          <w:tab w:val="left" w:pos="1530"/>
          <w:tab w:val="left" w:pos="7380"/>
        </w:tabs>
        <w:ind w:firstLine="720"/>
        <w:jc w:val="both"/>
        <w:rPr>
          <w:rFonts w:eastAsia="MS Mincho"/>
          <w:sz w:val="22"/>
          <w:szCs w:val="22"/>
          <w:lang w:val="fr-CA"/>
        </w:rPr>
      </w:pPr>
      <w:r w:rsidRPr="000F2CCD">
        <w:rPr>
          <w:rFonts w:eastAsia="MS Mincho"/>
          <w:sz w:val="22"/>
          <w:szCs w:val="22"/>
          <w:lang w:val="fr-CA"/>
        </w:rPr>
        <w:t xml:space="preserve">Par la résolution </w:t>
      </w:r>
      <w:hyperlink r:id="rId13" w:history="1">
        <w:r w:rsidRPr="000F2CCD">
          <w:rPr>
            <w:rFonts w:eastAsia="MS Mincho"/>
            <w:sz w:val="22"/>
            <w:szCs w:val="22"/>
            <w:lang w:val="fr-CA"/>
          </w:rPr>
          <w:t>AG/RES.2955 (L-O/20)</w:t>
        </w:r>
      </w:hyperlink>
      <w:r w:rsidRPr="000F2CCD">
        <w:rPr>
          <w:rFonts w:eastAsia="MS Mincho"/>
          <w:sz w:val="22"/>
          <w:szCs w:val="22"/>
          <w:lang w:val="fr-CA"/>
        </w:rPr>
        <w:t xml:space="preserve"> « </w:t>
      </w:r>
      <w:r w:rsidRPr="000F2CCD">
        <w:rPr>
          <w:color w:val="000000" w:themeColor="text1"/>
          <w:sz w:val="22"/>
          <w:szCs w:val="22"/>
          <w:lang w:val="fr-CA"/>
        </w:rPr>
        <w:t>Encourager les initiatives continentales en matière de développement intégré : Promotion de la résilience »</w:t>
      </w:r>
      <w:r w:rsidRPr="000F2CCD">
        <w:rPr>
          <w:rFonts w:eastAsia="MS Mincho"/>
          <w:sz w:val="22"/>
          <w:szCs w:val="22"/>
          <w:lang w:val="fr-CA"/>
        </w:rPr>
        <w:t xml:space="preserve">, l'Assemblée générale a reconnu que la pandémie renforçait la nécessité pour les États membres de l'OEA de formuler et de mettre en œuvre de toute urgence des politiques, des stratégies et des programmes visant à réduire leur vulnérabilité et à renforcer leur résilience aux chocs extérieurs. </w:t>
      </w:r>
    </w:p>
    <w:p w14:paraId="3AFAE970" w14:textId="77777777" w:rsidR="000F2CCD" w:rsidRPr="000F2CCD" w:rsidRDefault="000F2CCD" w:rsidP="000F2CCD">
      <w:pPr>
        <w:tabs>
          <w:tab w:val="left" w:pos="720"/>
          <w:tab w:val="left" w:pos="1530"/>
          <w:tab w:val="left" w:pos="7380"/>
        </w:tabs>
        <w:ind w:firstLine="720"/>
        <w:jc w:val="both"/>
        <w:rPr>
          <w:rFonts w:eastAsia="MS Mincho"/>
          <w:sz w:val="22"/>
          <w:szCs w:val="22"/>
          <w:lang w:val="fr-CA"/>
        </w:rPr>
      </w:pPr>
    </w:p>
    <w:p w14:paraId="46DA4F05" w14:textId="77777777" w:rsidR="000F2CCD" w:rsidRPr="000F2CCD" w:rsidRDefault="000F2CCD" w:rsidP="000F2CCD">
      <w:pPr>
        <w:tabs>
          <w:tab w:val="left" w:pos="720"/>
          <w:tab w:val="left" w:pos="1530"/>
          <w:tab w:val="left" w:pos="7380"/>
        </w:tabs>
        <w:ind w:firstLine="720"/>
        <w:jc w:val="both"/>
        <w:rPr>
          <w:rFonts w:eastAsia="MS Mincho"/>
          <w:sz w:val="22"/>
          <w:szCs w:val="22"/>
          <w:lang w:val="fr-CA"/>
        </w:rPr>
      </w:pPr>
      <w:r w:rsidRPr="000F2CCD">
        <w:rPr>
          <w:rFonts w:eastAsia="MS Mincho"/>
          <w:sz w:val="22"/>
          <w:szCs w:val="22"/>
          <w:lang w:val="fr-CA"/>
        </w:rPr>
        <w:t xml:space="preserve">En 2021, par le biais de la résolution AG/RES. 2967 (LI-O/21) </w:t>
      </w:r>
      <w:r w:rsidRPr="000F2CCD">
        <w:rPr>
          <w:color w:val="000000" w:themeColor="text1"/>
          <w:sz w:val="22"/>
          <w:szCs w:val="22"/>
          <w:lang w:val="fr-CA"/>
        </w:rPr>
        <w:t>« Encourager les initiatives continentales en matière de développement intégré : Promotion de la résilience »</w:t>
      </w:r>
      <w:r w:rsidRPr="000F2CCD">
        <w:rPr>
          <w:rFonts w:eastAsia="MS Mincho"/>
          <w:sz w:val="22"/>
          <w:szCs w:val="22"/>
          <w:lang w:val="fr-CA"/>
        </w:rPr>
        <w:t>, le Secrétariat exécutif au développement intégré (SEDI) a été chargé de renforcer ses mécanismes de coopération au développement visant à améliorer la capacité technique et institutionnelle des États membres aux niveaux communautaire, national et régional, ainsi qu’à nouer des partenariats et alliances multisectoriels durables, dans le but d’épauler les États membres, en mettant particulièrement l'accent sur l'aide à la reprise post-COVID-19.</w:t>
      </w:r>
    </w:p>
    <w:p w14:paraId="40164AC8" w14:textId="77777777" w:rsidR="000F2CCD" w:rsidRPr="000F2CCD" w:rsidRDefault="000F2CCD" w:rsidP="000F2CCD">
      <w:pPr>
        <w:ind w:firstLine="709"/>
        <w:jc w:val="both"/>
        <w:textAlignment w:val="baseline"/>
        <w:rPr>
          <w:rFonts w:eastAsia="Arial Unicode MS"/>
          <w:sz w:val="22"/>
          <w:szCs w:val="22"/>
          <w:lang w:val="fr-CA" w:eastAsia="es-ES_tradnl"/>
        </w:rPr>
      </w:pPr>
    </w:p>
    <w:p w14:paraId="323FBDF0" w14:textId="77777777" w:rsidR="000F2CCD" w:rsidRPr="000F2CCD" w:rsidRDefault="000F2CCD" w:rsidP="000F2CCD">
      <w:pPr>
        <w:ind w:firstLine="709"/>
        <w:jc w:val="both"/>
        <w:textAlignment w:val="baseline"/>
        <w:rPr>
          <w:rFonts w:eastAsia="Arial Unicode MS"/>
          <w:sz w:val="22"/>
          <w:szCs w:val="22"/>
          <w:lang w:val="fr-CA" w:eastAsia="es-ES_tradnl"/>
        </w:rPr>
      </w:pPr>
      <w:proofErr w:type="gramStart"/>
      <w:r w:rsidRPr="000F2CCD">
        <w:rPr>
          <w:rFonts w:eastAsia="Arial Unicode MS"/>
          <w:sz w:val="22"/>
          <w:szCs w:val="22"/>
          <w:lang w:val="fr-CA" w:eastAsia="es-ES_tradnl"/>
        </w:rPr>
        <w:t>Suite à</w:t>
      </w:r>
      <w:proofErr w:type="gramEnd"/>
      <w:r w:rsidRPr="000F2CCD">
        <w:rPr>
          <w:rFonts w:eastAsia="Arial Unicode MS"/>
          <w:sz w:val="22"/>
          <w:szCs w:val="22"/>
          <w:lang w:val="fr-CA" w:eastAsia="es-ES_tradnl"/>
        </w:rPr>
        <w:t xml:space="preserve"> l'intégration des mandats aux trois niveaux de gouvernement, la Commission interaméricaine de l'éducation (CIE), lors de sa neuvième réunion ordinaire tenue en novembre 2021, a adopté le thème central de la Onzième Réunion interaméricaine des ministres de l'Éducation, à savoir « Vers la construction d'un nouveau pacte continental pour l'éducation dans des contextes changeants ».</w:t>
      </w:r>
    </w:p>
    <w:p w14:paraId="52666D83" w14:textId="77777777" w:rsidR="000F2CCD" w:rsidRPr="000F2CCD" w:rsidRDefault="000F2CCD" w:rsidP="000F2CCD">
      <w:pPr>
        <w:tabs>
          <w:tab w:val="left" w:pos="1440"/>
          <w:tab w:val="left" w:pos="2160"/>
        </w:tabs>
        <w:contextualSpacing/>
        <w:jc w:val="both"/>
        <w:rPr>
          <w:b/>
          <w:sz w:val="22"/>
          <w:szCs w:val="22"/>
          <w:highlight w:val="yellow"/>
          <w:lang w:val="fr-CA"/>
        </w:rPr>
      </w:pPr>
    </w:p>
    <w:p w14:paraId="3E8425D0" w14:textId="77777777" w:rsidR="000F2CCD" w:rsidRPr="000F2CCD" w:rsidRDefault="000F2CCD" w:rsidP="006E22E8">
      <w:pPr>
        <w:numPr>
          <w:ilvl w:val="0"/>
          <w:numId w:val="7"/>
        </w:numPr>
        <w:tabs>
          <w:tab w:val="left" w:pos="720"/>
          <w:tab w:val="left" w:pos="2160"/>
        </w:tabs>
        <w:ind w:hanging="720"/>
        <w:contextualSpacing/>
        <w:jc w:val="both"/>
        <w:rPr>
          <w:bCs/>
          <w:sz w:val="22"/>
          <w:szCs w:val="22"/>
          <w:lang w:val="fr-CA"/>
        </w:rPr>
      </w:pPr>
      <w:r w:rsidRPr="000F2CCD">
        <w:rPr>
          <w:bCs/>
          <w:sz w:val="22"/>
          <w:szCs w:val="22"/>
          <w:lang w:val="fr-CA"/>
        </w:rPr>
        <w:t>THÈMES PROPOSÉS</w:t>
      </w:r>
    </w:p>
    <w:p w14:paraId="6EAB73A0" w14:textId="77777777" w:rsidR="000F2CCD" w:rsidRPr="000F2CCD" w:rsidRDefault="000F2CCD" w:rsidP="000F2CCD">
      <w:pPr>
        <w:tabs>
          <w:tab w:val="left" w:pos="1440"/>
          <w:tab w:val="left" w:pos="2160"/>
        </w:tabs>
        <w:ind w:left="720"/>
        <w:contextualSpacing/>
        <w:jc w:val="both"/>
        <w:rPr>
          <w:b/>
          <w:sz w:val="22"/>
          <w:szCs w:val="22"/>
          <w:highlight w:val="yellow"/>
          <w:lang w:val="fr-CA"/>
        </w:rPr>
      </w:pPr>
    </w:p>
    <w:p w14:paraId="427FC3E0" w14:textId="77777777" w:rsidR="000F2CCD" w:rsidRPr="000F2CCD" w:rsidRDefault="000F2CCD" w:rsidP="000F2CCD">
      <w:pPr>
        <w:numPr>
          <w:ilvl w:val="0"/>
          <w:numId w:val="6"/>
        </w:numPr>
        <w:tabs>
          <w:tab w:val="left" w:pos="1440"/>
          <w:tab w:val="left" w:pos="2160"/>
        </w:tabs>
        <w:ind w:firstLine="0"/>
        <w:contextualSpacing/>
        <w:jc w:val="both"/>
        <w:rPr>
          <w:rFonts w:eastAsia="Malgun Gothic"/>
          <w:sz w:val="22"/>
          <w:szCs w:val="22"/>
          <w:lang w:val="fr-CA" w:eastAsia="ko-KR"/>
        </w:rPr>
      </w:pPr>
      <w:r w:rsidRPr="000F2CCD">
        <w:rPr>
          <w:rFonts w:eastAsia="Malgun Gothic"/>
          <w:b/>
          <w:bCs/>
          <w:sz w:val="22"/>
          <w:szCs w:val="22"/>
          <w:lang w:val="fr-CA" w:eastAsia="ko-KR"/>
        </w:rPr>
        <w:t>Examen et formalisation des décisions</w:t>
      </w:r>
      <w:r w:rsidRPr="000F2CCD">
        <w:rPr>
          <w:rFonts w:eastAsia="Malgun Gothic"/>
          <w:sz w:val="22"/>
          <w:szCs w:val="22"/>
          <w:lang w:val="fr-CA" w:eastAsia="ko-KR"/>
        </w:rPr>
        <w:t xml:space="preserve"> </w:t>
      </w:r>
    </w:p>
    <w:p w14:paraId="3A8A40DE" w14:textId="77777777" w:rsidR="000F2CCD" w:rsidRPr="000F2CCD" w:rsidRDefault="000F2CCD" w:rsidP="000F2CCD">
      <w:pPr>
        <w:tabs>
          <w:tab w:val="left" w:pos="709"/>
          <w:tab w:val="left" w:pos="2160"/>
        </w:tabs>
        <w:ind w:left="720"/>
        <w:contextualSpacing/>
        <w:jc w:val="both"/>
        <w:rPr>
          <w:rFonts w:eastAsia="Malgun Gothic"/>
          <w:sz w:val="22"/>
          <w:szCs w:val="22"/>
          <w:lang w:val="fr-CA" w:eastAsia="ko-KR"/>
        </w:rPr>
      </w:pPr>
    </w:p>
    <w:p w14:paraId="64E74BFA" w14:textId="77777777" w:rsidR="000F2CCD" w:rsidRPr="000F2CCD" w:rsidRDefault="000F2CCD" w:rsidP="000F2CCD">
      <w:pPr>
        <w:tabs>
          <w:tab w:val="left" w:pos="709"/>
          <w:tab w:val="left" w:pos="1440"/>
          <w:tab w:val="left" w:pos="2160"/>
        </w:tabs>
        <w:ind w:left="720" w:hanging="720"/>
        <w:contextualSpacing/>
        <w:jc w:val="both"/>
        <w:rPr>
          <w:rFonts w:eastAsia="Malgun Gothic"/>
          <w:sz w:val="22"/>
          <w:szCs w:val="22"/>
          <w:lang w:val="fr-CA" w:eastAsia="ko-KR"/>
        </w:rPr>
      </w:pPr>
      <w:r w:rsidRPr="000F2CCD">
        <w:rPr>
          <w:rFonts w:eastAsia="Malgun Gothic"/>
          <w:sz w:val="22"/>
          <w:szCs w:val="22"/>
          <w:lang w:val="fr-CA" w:eastAsia="ko-KR"/>
        </w:rPr>
        <w:tab/>
      </w:r>
      <w:r w:rsidRPr="000F2CCD">
        <w:rPr>
          <w:rFonts w:eastAsia="Malgun Gothic"/>
          <w:sz w:val="22"/>
          <w:szCs w:val="22"/>
          <w:lang w:val="fr-CA" w:eastAsia="ko-KR"/>
        </w:rPr>
        <w:tab/>
      </w:r>
      <w:r w:rsidRPr="000F2CCD">
        <w:rPr>
          <w:rFonts w:eastAsia="Malgun Gothic"/>
          <w:sz w:val="22"/>
          <w:szCs w:val="22"/>
          <w:lang w:val="fr-CA" w:eastAsia="ko-KR"/>
        </w:rPr>
        <w:tab/>
        <w:t>Comme le prévoit l'article 21 du Règlement des réunions sectorielles et spécialisées tenues au niveau ministériel et/ou des hauts fonctionnaires dans le cadre du Conseil interaméricain pour le développement intégré, la réunion préparatoire de la réunion ministérielle prendra des décisions sur les points suivants, lesquelles seront formalisées lors de la première séance plénière de la réunion ministérielle :</w:t>
      </w:r>
    </w:p>
    <w:p w14:paraId="185AB307" w14:textId="77777777" w:rsidR="000F2CCD" w:rsidRPr="000F2CCD" w:rsidRDefault="000F2CCD" w:rsidP="000F2CCD">
      <w:pPr>
        <w:tabs>
          <w:tab w:val="left" w:pos="1440"/>
          <w:tab w:val="left" w:pos="2160"/>
        </w:tabs>
        <w:ind w:left="360"/>
        <w:contextualSpacing/>
        <w:jc w:val="both"/>
        <w:rPr>
          <w:rFonts w:eastAsia="Malgun Gothic"/>
          <w:sz w:val="22"/>
          <w:szCs w:val="22"/>
          <w:lang w:val="fr-CA" w:eastAsia="ko-KR"/>
        </w:rPr>
      </w:pPr>
    </w:p>
    <w:p w14:paraId="6A92DB06" w14:textId="77777777" w:rsidR="000F2CCD" w:rsidRPr="000F2CCD" w:rsidRDefault="000F2CCD" w:rsidP="000F2CCD">
      <w:pPr>
        <w:numPr>
          <w:ilvl w:val="1"/>
          <w:numId w:val="6"/>
        </w:numPr>
        <w:tabs>
          <w:tab w:val="left" w:pos="1440"/>
          <w:tab w:val="left" w:pos="2160"/>
        </w:tabs>
        <w:ind w:firstLine="0"/>
        <w:contextualSpacing/>
        <w:jc w:val="both"/>
        <w:rPr>
          <w:rFonts w:eastAsia="Malgun Gothic"/>
          <w:sz w:val="22"/>
          <w:szCs w:val="22"/>
          <w:lang w:val="fr-CA" w:eastAsia="ko-KR"/>
        </w:rPr>
      </w:pPr>
      <w:proofErr w:type="gramStart"/>
      <w:r w:rsidRPr="000F2CCD">
        <w:rPr>
          <w:rFonts w:eastAsia="Malgun Gothic"/>
          <w:sz w:val="22"/>
          <w:szCs w:val="22"/>
          <w:lang w:val="fr-CA" w:eastAsia="ko-KR"/>
        </w:rPr>
        <w:t>élection</w:t>
      </w:r>
      <w:proofErr w:type="gramEnd"/>
      <w:r w:rsidRPr="000F2CCD">
        <w:rPr>
          <w:rFonts w:eastAsia="Malgun Gothic"/>
          <w:sz w:val="22"/>
          <w:szCs w:val="22"/>
          <w:lang w:val="fr-CA" w:eastAsia="ko-KR"/>
        </w:rPr>
        <w:t xml:space="preserve"> de la présidence;</w:t>
      </w:r>
    </w:p>
    <w:p w14:paraId="1EE959F6" w14:textId="77777777" w:rsidR="000F2CCD" w:rsidRPr="000F2CCD" w:rsidRDefault="000F2CCD" w:rsidP="000F2CCD">
      <w:pPr>
        <w:numPr>
          <w:ilvl w:val="1"/>
          <w:numId w:val="6"/>
        </w:numPr>
        <w:tabs>
          <w:tab w:val="left" w:pos="1440"/>
          <w:tab w:val="left" w:pos="2160"/>
        </w:tabs>
        <w:ind w:firstLine="0"/>
        <w:contextualSpacing/>
        <w:jc w:val="both"/>
        <w:rPr>
          <w:rFonts w:eastAsia="Malgun Gothic"/>
          <w:sz w:val="22"/>
          <w:szCs w:val="22"/>
          <w:lang w:val="fr-CA" w:eastAsia="ko-KR"/>
        </w:rPr>
      </w:pPr>
      <w:proofErr w:type="gramStart"/>
      <w:r w:rsidRPr="000F2CCD">
        <w:rPr>
          <w:rFonts w:eastAsia="Malgun Gothic"/>
          <w:sz w:val="22"/>
          <w:szCs w:val="22"/>
          <w:lang w:val="fr-CA" w:eastAsia="ko-KR"/>
        </w:rPr>
        <w:t>composition</w:t>
      </w:r>
      <w:proofErr w:type="gramEnd"/>
      <w:r w:rsidRPr="000F2CCD">
        <w:rPr>
          <w:rFonts w:eastAsia="Malgun Gothic"/>
          <w:sz w:val="22"/>
          <w:szCs w:val="22"/>
          <w:lang w:val="fr-CA" w:eastAsia="ko-KR"/>
        </w:rPr>
        <w:t xml:space="preserve"> de la commission de style;</w:t>
      </w:r>
    </w:p>
    <w:p w14:paraId="792CF19A" w14:textId="77777777" w:rsidR="000F2CCD" w:rsidRPr="000F2CCD" w:rsidRDefault="000F2CCD" w:rsidP="000F2CCD">
      <w:pPr>
        <w:numPr>
          <w:ilvl w:val="1"/>
          <w:numId w:val="6"/>
        </w:numPr>
        <w:tabs>
          <w:tab w:val="left" w:pos="1440"/>
          <w:tab w:val="left" w:pos="2160"/>
        </w:tabs>
        <w:ind w:firstLine="0"/>
        <w:contextualSpacing/>
        <w:jc w:val="both"/>
        <w:rPr>
          <w:rFonts w:eastAsia="Malgun Gothic"/>
          <w:sz w:val="22"/>
          <w:szCs w:val="22"/>
          <w:lang w:val="fr-CA" w:eastAsia="ko-KR"/>
        </w:rPr>
      </w:pPr>
      <w:proofErr w:type="gramStart"/>
      <w:r w:rsidRPr="000F2CCD">
        <w:rPr>
          <w:rFonts w:eastAsia="Malgun Gothic"/>
          <w:sz w:val="22"/>
          <w:szCs w:val="22"/>
          <w:lang w:val="fr-CA" w:eastAsia="ko-KR"/>
        </w:rPr>
        <w:t>ordre</w:t>
      </w:r>
      <w:proofErr w:type="gramEnd"/>
      <w:r w:rsidRPr="000F2CCD">
        <w:rPr>
          <w:rFonts w:eastAsia="Malgun Gothic"/>
          <w:sz w:val="22"/>
          <w:szCs w:val="22"/>
          <w:lang w:val="fr-CA" w:eastAsia="ko-KR"/>
        </w:rPr>
        <w:t xml:space="preserve"> du jour définitif de la réunion;</w:t>
      </w:r>
    </w:p>
    <w:p w14:paraId="4C3DACD6" w14:textId="77777777" w:rsidR="000F2CCD" w:rsidRPr="000F2CCD" w:rsidRDefault="000F2CCD" w:rsidP="000F2CCD">
      <w:pPr>
        <w:numPr>
          <w:ilvl w:val="1"/>
          <w:numId w:val="6"/>
        </w:numPr>
        <w:tabs>
          <w:tab w:val="left" w:pos="1440"/>
          <w:tab w:val="left" w:pos="2160"/>
        </w:tabs>
        <w:ind w:firstLine="0"/>
        <w:contextualSpacing/>
        <w:jc w:val="both"/>
        <w:rPr>
          <w:rFonts w:eastAsia="Malgun Gothic"/>
          <w:sz w:val="22"/>
          <w:szCs w:val="22"/>
          <w:lang w:val="fr-CA" w:eastAsia="ko-KR"/>
        </w:rPr>
      </w:pPr>
      <w:proofErr w:type="gramStart"/>
      <w:r w:rsidRPr="000F2CCD">
        <w:rPr>
          <w:rFonts w:eastAsia="Malgun Gothic"/>
          <w:sz w:val="22"/>
          <w:szCs w:val="22"/>
          <w:lang w:val="fr-CA" w:eastAsia="ko-KR"/>
        </w:rPr>
        <w:t>installation</w:t>
      </w:r>
      <w:proofErr w:type="gramEnd"/>
      <w:r w:rsidRPr="000F2CCD">
        <w:rPr>
          <w:rFonts w:eastAsia="Malgun Gothic"/>
          <w:sz w:val="22"/>
          <w:szCs w:val="22"/>
          <w:lang w:val="fr-CA" w:eastAsia="ko-KR"/>
        </w:rPr>
        <w:t xml:space="preserve"> des commissions et groupes de travail;</w:t>
      </w:r>
    </w:p>
    <w:p w14:paraId="751C6C60" w14:textId="77777777" w:rsidR="000F2CCD" w:rsidRPr="000F2CCD" w:rsidRDefault="000F2CCD" w:rsidP="000F2CCD">
      <w:pPr>
        <w:numPr>
          <w:ilvl w:val="1"/>
          <w:numId w:val="6"/>
        </w:numPr>
        <w:tabs>
          <w:tab w:val="left" w:pos="1440"/>
          <w:tab w:val="left" w:pos="2160"/>
        </w:tabs>
        <w:ind w:firstLine="0"/>
        <w:contextualSpacing/>
        <w:jc w:val="both"/>
        <w:rPr>
          <w:rFonts w:eastAsia="Malgun Gothic"/>
          <w:sz w:val="22"/>
          <w:szCs w:val="22"/>
          <w:lang w:val="fr-CA" w:eastAsia="ko-KR"/>
        </w:rPr>
      </w:pPr>
      <w:proofErr w:type="gramStart"/>
      <w:r w:rsidRPr="000F2CCD">
        <w:rPr>
          <w:rFonts w:eastAsia="Malgun Gothic"/>
          <w:sz w:val="22"/>
          <w:szCs w:val="22"/>
          <w:lang w:val="fr-CA" w:eastAsia="ko-KR"/>
        </w:rPr>
        <w:t>décision</w:t>
      </w:r>
      <w:proofErr w:type="gramEnd"/>
      <w:r w:rsidRPr="000F2CCD">
        <w:rPr>
          <w:rFonts w:eastAsia="Malgun Gothic"/>
          <w:sz w:val="22"/>
          <w:szCs w:val="22"/>
          <w:lang w:val="fr-CA" w:eastAsia="ko-KR"/>
        </w:rPr>
        <w:t xml:space="preserve"> sur la date limite de soumission des propositions;</w:t>
      </w:r>
    </w:p>
    <w:p w14:paraId="5E768886" w14:textId="77777777" w:rsidR="000F2CCD" w:rsidRPr="000F2CCD" w:rsidRDefault="000F2CCD" w:rsidP="000F2CCD">
      <w:pPr>
        <w:numPr>
          <w:ilvl w:val="1"/>
          <w:numId w:val="6"/>
        </w:numPr>
        <w:tabs>
          <w:tab w:val="left" w:pos="1440"/>
          <w:tab w:val="left" w:pos="2160"/>
        </w:tabs>
        <w:ind w:firstLine="0"/>
        <w:contextualSpacing/>
        <w:jc w:val="both"/>
        <w:rPr>
          <w:rFonts w:eastAsia="Malgun Gothic"/>
          <w:sz w:val="22"/>
          <w:szCs w:val="22"/>
          <w:lang w:val="fr-CA" w:eastAsia="ko-KR"/>
        </w:rPr>
      </w:pPr>
      <w:proofErr w:type="gramStart"/>
      <w:r w:rsidRPr="000F2CCD">
        <w:rPr>
          <w:rFonts w:eastAsia="Malgun Gothic"/>
          <w:sz w:val="22"/>
          <w:szCs w:val="22"/>
          <w:lang w:val="fr-CA" w:eastAsia="ko-KR"/>
        </w:rPr>
        <w:t>durée</w:t>
      </w:r>
      <w:proofErr w:type="gramEnd"/>
      <w:r w:rsidRPr="000F2CCD">
        <w:rPr>
          <w:rFonts w:eastAsia="Malgun Gothic"/>
          <w:sz w:val="22"/>
          <w:szCs w:val="22"/>
          <w:lang w:val="fr-CA" w:eastAsia="ko-KR"/>
        </w:rPr>
        <w:t xml:space="preserve"> de la réunion;</w:t>
      </w:r>
    </w:p>
    <w:p w14:paraId="04605B05" w14:textId="77777777" w:rsidR="000F2CCD" w:rsidRPr="000F2CCD" w:rsidRDefault="000F2CCD" w:rsidP="000F2CCD">
      <w:pPr>
        <w:numPr>
          <w:ilvl w:val="1"/>
          <w:numId w:val="6"/>
        </w:numPr>
        <w:tabs>
          <w:tab w:val="left" w:pos="1440"/>
          <w:tab w:val="left" w:pos="2160"/>
        </w:tabs>
        <w:ind w:firstLine="0"/>
        <w:contextualSpacing/>
        <w:jc w:val="both"/>
        <w:rPr>
          <w:rFonts w:eastAsia="Malgun Gothic"/>
          <w:sz w:val="22"/>
          <w:szCs w:val="22"/>
          <w:lang w:val="fr-CA" w:eastAsia="ko-KR"/>
        </w:rPr>
      </w:pPr>
      <w:proofErr w:type="gramStart"/>
      <w:r w:rsidRPr="000F2CCD">
        <w:rPr>
          <w:rFonts w:eastAsia="Malgun Gothic"/>
          <w:sz w:val="22"/>
          <w:szCs w:val="22"/>
          <w:lang w:val="fr-CA" w:eastAsia="ko-KR"/>
        </w:rPr>
        <w:t>autres</w:t>
      </w:r>
      <w:proofErr w:type="gramEnd"/>
      <w:r w:rsidRPr="000F2CCD">
        <w:rPr>
          <w:rFonts w:eastAsia="Malgun Gothic"/>
          <w:sz w:val="22"/>
          <w:szCs w:val="22"/>
          <w:lang w:val="fr-CA" w:eastAsia="ko-KR"/>
        </w:rPr>
        <w:t xml:space="preserve"> questions. </w:t>
      </w:r>
    </w:p>
    <w:p w14:paraId="7F90763A" w14:textId="77777777" w:rsidR="000F2CCD" w:rsidRPr="000F2CCD" w:rsidRDefault="000F2CCD" w:rsidP="000F2CCD">
      <w:pPr>
        <w:tabs>
          <w:tab w:val="left" w:pos="1440"/>
          <w:tab w:val="left" w:pos="2160"/>
        </w:tabs>
        <w:ind w:left="720"/>
        <w:contextualSpacing/>
        <w:jc w:val="both"/>
        <w:rPr>
          <w:rFonts w:eastAsia="Malgun Gothic"/>
          <w:sz w:val="22"/>
          <w:szCs w:val="22"/>
          <w:lang w:val="fr-CA" w:eastAsia="ko-KR"/>
        </w:rPr>
      </w:pPr>
    </w:p>
    <w:p w14:paraId="64147DBD" w14:textId="77777777" w:rsidR="000F2CCD" w:rsidRPr="000F2CCD" w:rsidRDefault="000F2CCD" w:rsidP="000F2CCD">
      <w:pPr>
        <w:numPr>
          <w:ilvl w:val="0"/>
          <w:numId w:val="6"/>
        </w:numPr>
        <w:tabs>
          <w:tab w:val="left" w:pos="709"/>
          <w:tab w:val="left" w:pos="2160"/>
        </w:tabs>
        <w:ind w:left="1440" w:hanging="720"/>
        <w:contextualSpacing/>
        <w:jc w:val="both"/>
        <w:rPr>
          <w:b/>
          <w:sz w:val="22"/>
          <w:szCs w:val="22"/>
          <w:lang w:val="fr-CA"/>
        </w:rPr>
      </w:pPr>
      <w:r w:rsidRPr="000F2CCD">
        <w:rPr>
          <w:b/>
          <w:sz w:val="22"/>
          <w:szCs w:val="22"/>
          <w:lang w:val="fr-CA"/>
        </w:rPr>
        <w:t>Vers la construction d'un nouveau Pacte continental pour l'éducation dans des contextes changeants</w:t>
      </w:r>
    </w:p>
    <w:p w14:paraId="0128A071" w14:textId="77777777" w:rsidR="000F2CCD" w:rsidRPr="000F2CCD" w:rsidRDefault="000F2CCD" w:rsidP="000F2CCD">
      <w:pPr>
        <w:tabs>
          <w:tab w:val="left" w:pos="1440"/>
          <w:tab w:val="left" w:pos="2160"/>
        </w:tabs>
        <w:ind w:left="720"/>
        <w:contextualSpacing/>
        <w:jc w:val="both"/>
        <w:rPr>
          <w:b/>
          <w:sz w:val="22"/>
          <w:szCs w:val="22"/>
          <w:highlight w:val="yellow"/>
          <w:lang w:val="fr-CA"/>
        </w:rPr>
      </w:pPr>
    </w:p>
    <w:p w14:paraId="0E9FCE4B" w14:textId="77777777" w:rsidR="000F2CCD" w:rsidRPr="000F2CCD" w:rsidRDefault="000F2CCD" w:rsidP="000F2CCD">
      <w:pPr>
        <w:tabs>
          <w:tab w:val="left" w:pos="720"/>
          <w:tab w:val="left" w:pos="1530"/>
          <w:tab w:val="left" w:pos="7380"/>
        </w:tabs>
        <w:ind w:left="720"/>
        <w:jc w:val="both"/>
        <w:rPr>
          <w:rFonts w:eastAsia="MS Mincho"/>
          <w:sz w:val="22"/>
          <w:szCs w:val="22"/>
          <w:lang w:val="fr-CA"/>
        </w:rPr>
      </w:pPr>
      <w:r w:rsidRPr="000F2CCD">
        <w:rPr>
          <w:sz w:val="22"/>
          <w:szCs w:val="22"/>
          <w:lang w:val="fr-CA"/>
        </w:rPr>
        <w:tab/>
        <w:t>Les représentants des ministères de l'Éducation de la région ont convenu qu'au-delà de la quête de solutions concrètes aux défis préexistants révélés par la pandémie, il est essentiel de s'appuyer sur les leçons apprises, de partager et d'enrichir les connaissances, les expériences, les préoccupations et les aspirations de la communauté éducative, et d’œuvrer à ancrer ces consensus dans un cadre continental inclusif, diversifié et équitable.</w:t>
      </w:r>
    </w:p>
    <w:p w14:paraId="23B9D26A" w14:textId="77777777" w:rsidR="000F2CCD" w:rsidRPr="000F2CCD" w:rsidRDefault="000F2CCD" w:rsidP="000F2CCD">
      <w:pPr>
        <w:tabs>
          <w:tab w:val="left" w:pos="720"/>
          <w:tab w:val="left" w:pos="1530"/>
          <w:tab w:val="left" w:pos="7380"/>
        </w:tabs>
        <w:ind w:left="720"/>
        <w:jc w:val="both"/>
        <w:rPr>
          <w:sz w:val="22"/>
          <w:szCs w:val="22"/>
          <w:lang w:val="fr-CA"/>
        </w:rPr>
      </w:pPr>
    </w:p>
    <w:p w14:paraId="2AC9F035" w14:textId="77777777" w:rsidR="000F2CCD" w:rsidRPr="000F2CCD" w:rsidRDefault="000F2CCD" w:rsidP="000F2CCD">
      <w:pPr>
        <w:tabs>
          <w:tab w:val="left" w:pos="720"/>
          <w:tab w:val="left" w:pos="1530"/>
          <w:tab w:val="left" w:pos="7380"/>
        </w:tabs>
        <w:ind w:left="720"/>
        <w:jc w:val="both"/>
        <w:rPr>
          <w:sz w:val="22"/>
          <w:szCs w:val="22"/>
          <w:lang w:val="fr-CA"/>
        </w:rPr>
      </w:pPr>
      <w:r w:rsidRPr="000F2CCD">
        <w:rPr>
          <w:sz w:val="22"/>
          <w:szCs w:val="22"/>
          <w:lang w:val="fr-CA"/>
        </w:rPr>
        <w:tab/>
        <w:t>Les dirigeants et les décideurs des États membres de l'OEA, par le biais de divers espaces de dialogue, ont convenu que le moment était</w:t>
      </w:r>
      <w:r w:rsidRPr="000F2CCD">
        <w:rPr>
          <w:rFonts w:eastAsia="MS Mincho"/>
          <w:sz w:val="22"/>
          <w:szCs w:val="22"/>
          <w:lang w:val="fr-CA"/>
        </w:rPr>
        <w:t xml:space="preserve"> venu de réimaginer un avenir meilleur pour les systèmes éducatifs du monde entier, un avenir où des systèmes éducatifs servent mieux les apprenants et les sociétés, avec des systèmes résilients et réactifs face aux changements rapides, à même de s’adapter et de répondre aux changements ainsi que </w:t>
      </w:r>
      <w:r w:rsidRPr="000F2CCD">
        <w:rPr>
          <w:sz w:val="22"/>
          <w:szCs w:val="22"/>
          <w:lang w:val="fr-CA"/>
        </w:rPr>
        <w:t xml:space="preserve">de gérer et d'assurer la continuité de l'éducation dans des contextes changeants, que ce soit dans un monde </w:t>
      </w:r>
      <w:proofErr w:type="spellStart"/>
      <w:r w:rsidRPr="000F2CCD">
        <w:rPr>
          <w:sz w:val="22"/>
          <w:szCs w:val="22"/>
          <w:lang w:val="fr-CA"/>
        </w:rPr>
        <w:t>post-pandémique</w:t>
      </w:r>
      <w:proofErr w:type="spellEnd"/>
      <w:r w:rsidRPr="000F2CCD">
        <w:rPr>
          <w:sz w:val="22"/>
          <w:szCs w:val="22"/>
          <w:lang w:val="fr-CA"/>
        </w:rPr>
        <w:t xml:space="preserve"> ou face à tout autre type de perturbation d’ordre naturel, social, économique ou migratoire. </w:t>
      </w:r>
    </w:p>
    <w:p w14:paraId="2010EC39" w14:textId="77777777" w:rsidR="000F2CCD" w:rsidRPr="000F2CCD" w:rsidRDefault="000F2CCD" w:rsidP="000F2CCD">
      <w:pPr>
        <w:tabs>
          <w:tab w:val="left" w:pos="1440"/>
          <w:tab w:val="left" w:pos="2160"/>
        </w:tabs>
        <w:ind w:firstLine="720"/>
        <w:contextualSpacing/>
        <w:jc w:val="both"/>
        <w:rPr>
          <w:sz w:val="22"/>
          <w:szCs w:val="22"/>
          <w:lang w:val="fr-CA"/>
        </w:rPr>
      </w:pPr>
    </w:p>
    <w:p w14:paraId="44430310" w14:textId="77777777" w:rsidR="000F2CCD" w:rsidRPr="000F2CCD" w:rsidRDefault="000F2CCD" w:rsidP="000F2CCD">
      <w:pPr>
        <w:numPr>
          <w:ilvl w:val="0"/>
          <w:numId w:val="6"/>
        </w:numPr>
        <w:tabs>
          <w:tab w:val="left" w:pos="1440"/>
          <w:tab w:val="left" w:pos="2160"/>
        </w:tabs>
        <w:ind w:left="0" w:firstLine="720"/>
        <w:contextualSpacing/>
        <w:jc w:val="both"/>
        <w:rPr>
          <w:rFonts w:eastAsia="Malgun Gothic"/>
          <w:b/>
          <w:bCs/>
          <w:sz w:val="22"/>
          <w:szCs w:val="22"/>
          <w:lang w:val="fr-CA" w:eastAsia="ko-KR"/>
        </w:rPr>
      </w:pPr>
      <w:r w:rsidRPr="000F2CCD">
        <w:rPr>
          <w:b/>
          <w:bCs/>
          <w:sz w:val="22"/>
          <w:szCs w:val="22"/>
          <w:lang w:val="fr-CA"/>
        </w:rPr>
        <w:t>Une approche systémique pour construire des systèmes éducatifs résilients</w:t>
      </w:r>
    </w:p>
    <w:p w14:paraId="59D94F6B" w14:textId="77777777" w:rsidR="000F2CCD" w:rsidRPr="000F2CCD" w:rsidRDefault="000F2CCD" w:rsidP="000F2CCD">
      <w:pPr>
        <w:tabs>
          <w:tab w:val="left" w:pos="1440"/>
          <w:tab w:val="left" w:pos="2160"/>
        </w:tabs>
        <w:ind w:firstLine="720"/>
        <w:contextualSpacing/>
        <w:jc w:val="both"/>
        <w:rPr>
          <w:sz w:val="22"/>
          <w:szCs w:val="22"/>
          <w:lang w:val="fr-CA"/>
        </w:rPr>
      </w:pPr>
    </w:p>
    <w:p w14:paraId="00C8B2DD" w14:textId="77777777" w:rsidR="000F2CCD" w:rsidRPr="000F2CCD" w:rsidRDefault="000F2CCD" w:rsidP="000F2CCD">
      <w:pPr>
        <w:ind w:left="720" w:firstLine="720"/>
        <w:jc w:val="both"/>
        <w:rPr>
          <w:sz w:val="22"/>
          <w:szCs w:val="22"/>
          <w:lang w:val="fr-CA"/>
        </w:rPr>
      </w:pPr>
      <w:r w:rsidRPr="000F2CCD">
        <w:rPr>
          <w:sz w:val="22"/>
          <w:szCs w:val="22"/>
          <w:lang w:val="fr-CA"/>
        </w:rPr>
        <w:t xml:space="preserve">Dans les différentes discussions sur les politiques publiques et les actions programmatiques qui ont été développés dans le cadre des activités du Plan de travail 2019-2022 de la Commission interaméricaine de l'éducation (CIE) et en pleine une crise sanitaire mondiale </w:t>
      </w:r>
      <w:r w:rsidRPr="000F2CCD">
        <w:rPr>
          <w:sz w:val="22"/>
          <w:szCs w:val="22"/>
          <w:lang w:val="fr-CA"/>
        </w:rPr>
        <w:lastRenderedPageBreak/>
        <w:t>ayant entraîné une fermeture massive des écoles, les autorités éducatives ont affirmé que l'éducation est un droit et, en tant que tel, un engagement incontournable de l'État.</w:t>
      </w:r>
    </w:p>
    <w:p w14:paraId="5BA25E3D" w14:textId="77777777" w:rsidR="000F2CCD" w:rsidRPr="000F2CCD" w:rsidRDefault="000F2CCD" w:rsidP="000F2CCD">
      <w:pPr>
        <w:tabs>
          <w:tab w:val="left" w:pos="1440"/>
          <w:tab w:val="left" w:pos="2160"/>
        </w:tabs>
        <w:ind w:left="720"/>
        <w:contextualSpacing/>
        <w:jc w:val="both"/>
        <w:rPr>
          <w:sz w:val="22"/>
          <w:szCs w:val="22"/>
          <w:lang w:val="fr-CA"/>
        </w:rPr>
      </w:pPr>
      <w:r w:rsidRPr="000F2CCD">
        <w:rPr>
          <w:sz w:val="22"/>
          <w:szCs w:val="22"/>
          <w:lang w:val="fr-CA"/>
        </w:rPr>
        <w:tab/>
        <w:t>Dans ce sens, le travail s'est concentré sur la création d'un cadre d'action pour garantir la continuité de l’enseignement aux différents niveaux du système éducatif, en portant une attention particulière aux personnes les plus affectées par ces circonstances, sur la base d’une stratégie reposant sur l'analyse et la réalité des mesures prises par les gouvernements de la région. Il s’est également agi d’incorporer de multiples perspectives pour avancer dans la construction d'un nouveau pacte continental pour l'éducation dans des contextes changeants grâce auquel, au moyen d'un mécanisme de collaboration régionale, les ministères de l'éducation pourront repenser et réimaginer l'avenir des systèmes éducatifs afin de garantir leur équité et leur résilience.</w:t>
      </w:r>
    </w:p>
    <w:p w14:paraId="7F064287" w14:textId="77777777" w:rsidR="000F2CCD" w:rsidRPr="000F2CCD" w:rsidRDefault="000F2CCD" w:rsidP="000F2CCD">
      <w:pPr>
        <w:tabs>
          <w:tab w:val="left" w:pos="1440"/>
          <w:tab w:val="left" w:pos="2160"/>
        </w:tabs>
        <w:contextualSpacing/>
        <w:jc w:val="both"/>
        <w:rPr>
          <w:sz w:val="22"/>
          <w:szCs w:val="22"/>
          <w:lang w:val="fr-CA"/>
        </w:rPr>
      </w:pPr>
    </w:p>
    <w:p w14:paraId="2E334103" w14:textId="77777777" w:rsidR="000F2CCD" w:rsidRPr="000F2CCD" w:rsidRDefault="000F2CCD" w:rsidP="000F2CCD">
      <w:pPr>
        <w:tabs>
          <w:tab w:val="left" w:pos="1440"/>
          <w:tab w:val="left" w:pos="2160"/>
        </w:tabs>
        <w:ind w:left="720"/>
        <w:contextualSpacing/>
        <w:jc w:val="both"/>
        <w:rPr>
          <w:rFonts w:eastAsia="MS Mincho"/>
          <w:sz w:val="22"/>
          <w:szCs w:val="22"/>
          <w:lang w:val="fr-CA"/>
        </w:rPr>
      </w:pPr>
      <w:r w:rsidRPr="000F2CCD">
        <w:rPr>
          <w:sz w:val="22"/>
          <w:szCs w:val="22"/>
          <w:lang w:val="fr-CA"/>
        </w:rPr>
        <w:tab/>
        <w:t xml:space="preserve">En ce qui concerne les actions qui guideront le programme éducatif de la région au cours des cinq prochaines années, il est temps d'imaginer un avenir nouveau et meilleur pour les systèmes éducatifs, qui doivent mieux servir les apprenants et les sociétés et doivent être résilients et réactifs aux changements soudains. </w:t>
      </w:r>
    </w:p>
    <w:p w14:paraId="7F51CF40" w14:textId="77777777" w:rsidR="000F2CCD" w:rsidRPr="000F2CCD" w:rsidRDefault="000F2CCD" w:rsidP="000F2CCD">
      <w:pPr>
        <w:tabs>
          <w:tab w:val="left" w:pos="1440"/>
          <w:tab w:val="left" w:pos="2160"/>
        </w:tabs>
        <w:ind w:firstLine="720"/>
        <w:contextualSpacing/>
        <w:rPr>
          <w:bCs/>
          <w:sz w:val="22"/>
          <w:szCs w:val="22"/>
          <w:highlight w:val="yellow"/>
          <w:lang w:val="fr-CA"/>
        </w:rPr>
      </w:pPr>
    </w:p>
    <w:p w14:paraId="0088CF2D" w14:textId="77777777" w:rsidR="000F2CCD" w:rsidRPr="000F2CCD" w:rsidRDefault="000F2CCD" w:rsidP="000F2CCD">
      <w:pPr>
        <w:numPr>
          <w:ilvl w:val="0"/>
          <w:numId w:val="6"/>
        </w:numPr>
        <w:tabs>
          <w:tab w:val="left" w:pos="1440"/>
          <w:tab w:val="left" w:pos="2160"/>
        </w:tabs>
        <w:ind w:left="1440" w:hanging="720"/>
        <w:contextualSpacing/>
        <w:jc w:val="both"/>
        <w:rPr>
          <w:bCs/>
          <w:sz w:val="22"/>
          <w:szCs w:val="22"/>
          <w:lang w:val="fr-CA"/>
        </w:rPr>
      </w:pPr>
      <w:r w:rsidRPr="000F2CCD">
        <w:rPr>
          <w:b/>
          <w:sz w:val="22"/>
          <w:szCs w:val="22"/>
          <w:lang w:val="fr-CA"/>
        </w:rPr>
        <w:t>Programme intersectoriel</w:t>
      </w:r>
    </w:p>
    <w:p w14:paraId="1B80ADD1" w14:textId="77777777" w:rsidR="000F2CCD" w:rsidRPr="000F2CCD" w:rsidRDefault="000F2CCD" w:rsidP="000F2CCD">
      <w:pPr>
        <w:tabs>
          <w:tab w:val="left" w:pos="1440"/>
          <w:tab w:val="left" w:pos="2160"/>
        </w:tabs>
        <w:contextualSpacing/>
        <w:jc w:val="both"/>
        <w:rPr>
          <w:b/>
          <w:sz w:val="22"/>
          <w:szCs w:val="22"/>
          <w:lang w:val="fr-CA"/>
        </w:rPr>
      </w:pPr>
    </w:p>
    <w:p w14:paraId="3298F4CF" w14:textId="77777777" w:rsidR="000F2CCD" w:rsidRPr="000F2CCD" w:rsidRDefault="000F2CCD" w:rsidP="000F2CCD">
      <w:pPr>
        <w:tabs>
          <w:tab w:val="left" w:pos="709"/>
          <w:tab w:val="left" w:pos="1440"/>
          <w:tab w:val="left" w:pos="2160"/>
        </w:tabs>
        <w:ind w:left="720"/>
        <w:contextualSpacing/>
        <w:jc w:val="both"/>
        <w:rPr>
          <w:bCs/>
          <w:sz w:val="22"/>
          <w:szCs w:val="22"/>
          <w:lang w:val="fr-CA"/>
        </w:rPr>
      </w:pPr>
      <w:r w:rsidRPr="000F2CCD">
        <w:rPr>
          <w:bCs/>
          <w:sz w:val="22"/>
          <w:szCs w:val="22"/>
          <w:lang w:val="fr-CA"/>
        </w:rPr>
        <w:tab/>
        <w:t>Une collaboration intersectorielle entre les secteurs de l'éducation, du travail et de la santé a été mise en place sur des questions telles les compétences de demain et le cadre régional des qualifications (pour ce qui est du secteur du travail); et les environnements scolaires sains et les aptitudes à suivre un mode de vie sain (pour ce qui est du secteur de la santé). À cet égard, les ministères de l'Éducation de la région ont jugé pertinent d'incorporer dans le projet de deuxième phase du Programme interaméricain d'éducation (PIE) 2022-2027, des lignes thématiques dans lesquelles prévalent les principes d'intersectorialité.</w:t>
      </w:r>
    </w:p>
    <w:p w14:paraId="30F46BED" w14:textId="77777777" w:rsidR="000F2CCD" w:rsidRPr="000F2CCD" w:rsidRDefault="000F2CCD" w:rsidP="000F2CCD">
      <w:pPr>
        <w:tabs>
          <w:tab w:val="left" w:pos="709"/>
          <w:tab w:val="left" w:pos="2160"/>
        </w:tabs>
        <w:contextualSpacing/>
        <w:jc w:val="both"/>
        <w:rPr>
          <w:bCs/>
          <w:sz w:val="22"/>
          <w:szCs w:val="22"/>
          <w:lang w:val="fr-CA"/>
        </w:rPr>
      </w:pPr>
    </w:p>
    <w:p w14:paraId="2BDD2034" w14:textId="77777777" w:rsidR="000F2CCD" w:rsidRPr="000F2CCD" w:rsidRDefault="000F2CCD" w:rsidP="000F2CCD">
      <w:pPr>
        <w:numPr>
          <w:ilvl w:val="0"/>
          <w:numId w:val="6"/>
        </w:numPr>
        <w:tabs>
          <w:tab w:val="left" w:pos="1440"/>
          <w:tab w:val="left" w:pos="2160"/>
        </w:tabs>
        <w:ind w:left="1440" w:hanging="720"/>
        <w:contextualSpacing/>
        <w:jc w:val="both"/>
        <w:rPr>
          <w:b/>
          <w:sz w:val="22"/>
          <w:szCs w:val="22"/>
          <w:lang w:val="fr-CA"/>
        </w:rPr>
      </w:pPr>
      <w:r w:rsidRPr="000F2CCD">
        <w:rPr>
          <w:b/>
          <w:sz w:val="22"/>
          <w:szCs w:val="22"/>
          <w:lang w:val="fr-CA"/>
        </w:rPr>
        <w:t xml:space="preserve">Réception des propositions pour accueillir la Douzième Réunion interaméricaine des ministres de l'Éducation </w:t>
      </w:r>
    </w:p>
    <w:p w14:paraId="5D293674" w14:textId="77777777" w:rsidR="000F2CCD" w:rsidRPr="000F2CCD" w:rsidRDefault="000F2CCD" w:rsidP="000F2CCD">
      <w:pPr>
        <w:tabs>
          <w:tab w:val="left" w:pos="1440"/>
          <w:tab w:val="left" w:pos="2160"/>
        </w:tabs>
        <w:ind w:left="720"/>
        <w:contextualSpacing/>
        <w:jc w:val="both"/>
        <w:rPr>
          <w:bCs/>
          <w:sz w:val="22"/>
          <w:szCs w:val="22"/>
          <w:highlight w:val="yellow"/>
          <w:lang w:val="fr-CA"/>
        </w:rPr>
      </w:pPr>
    </w:p>
    <w:p w14:paraId="111AF43F" w14:textId="77777777" w:rsidR="000F2CCD" w:rsidRPr="000F2CCD" w:rsidRDefault="000F2CCD" w:rsidP="000F2CCD">
      <w:pPr>
        <w:tabs>
          <w:tab w:val="left" w:pos="1440"/>
          <w:tab w:val="left" w:pos="2160"/>
        </w:tabs>
        <w:ind w:left="720"/>
        <w:contextualSpacing/>
        <w:jc w:val="both"/>
        <w:rPr>
          <w:rFonts w:eastAsia="Malgun Gothic"/>
          <w:sz w:val="22"/>
          <w:szCs w:val="22"/>
          <w:lang w:val="fr-CA"/>
        </w:rPr>
      </w:pPr>
      <w:r w:rsidRPr="000F2CCD">
        <w:rPr>
          <w:rFonts w:eastAsia="Malgun Gothic"/>
          <w:sz w:val="22"/>
          <w:szCs w:val="22"/>
          <w:lang w:val="fr-CA"/>
        </w:rPr>
        <w:tab/>
        <w:t xml:space="preserve">Selon les annexes des Lignes directrices générales pour les processus sectoriels au niveau ministériel dans le cadre du Conseil interaméricain pour le développement intégré (CIDI), un État membre intéressé par l'accueil d'une réunion ministérielle est invité à annoncer son intention lors de la réunion ministérielle précédente, de manière à rejoindre la troïka (voir CIDI/doc.228/17 </w:t>
      </w:r>
      <w:proofErr w:type="spellStart"/>
      <w:r w:rsidRPr="000F2CCD">
        <w:rPr>
          <w:rFonts w:eastAsia="Malgun Gothic"/>
          <w:sz w:val="22"/>
          <w:szCs w:val="22"/>
          <w:lang w:val="fr-CA"/>
        </w:rPr>
        <w:t>Add</w:t>
      </w:r>
      <w:proofErr w:type="spellEnd"/>
      <w:r w:rsidRPr="000F2CCD">
        <w:rPr>
          <w:rFonts w:eastAsia="Malgun Gothic"/>
          <w:sz w:val="22"/>
          <w:szCs w:val="22"/>
          <w:lang w:val="fr-CA"/>
        </w:rPr>
        <w:t>. 1, point 10) et à intégrer le processus ministériel et les activités en préparation de la réunion suivante.</w:t>
      </w:r>
    </w:p>
    <w:p w14:paraId="5218C67D" w14:textId="77777777" w:rsidR="000F2CCD" w:rsidRPr="000F2CCD" w:rsidRDefault="000F2CCD" w:rsidP="000F2CCD">
      <w:pPr>
        <w:tabs>
          <w:tab w:val="left" w:pos="1440"/>
          <w:tab w:val="left" w:pos="2160"/>
        </w:tabs>
        <w:contextualSpacing/>
        <w:rPr>
          <w:bCs/>
          <w:sz w:val="22"/>
          <w:szCs w:val="22"/>
          <w:highlight w:val="yellow"/>
          <w:lang w:val="fr-CA"/>
        </w:rPr>
      </w:pPr>
    </w:p>
    <w:p w14:paraId="1B838CB1" w14:textId="77777777" w:rsidR="000F2CCD" w:rsidRPr="000F2CCD" w:rsidRDefault="000F2CCD" w:rsidP="000F2CCD">
      <w:pPr>
        <w:numPr>
          <w:ilvl w:val="0"/>
          <w:numId w:val="7"/>
        </w:numPr>
        <w:tabs>
          <w:tab w:val="left" w:pos="720"/>
          <w:tab w:val="left" w:pos="2160"/>
        </w:tabs>
        <w:ind w:left="0" w:firstLine="0"/>
        <w:contextualSpacing/>
        <w:rPr>
          <w:bCs/>
          <w:sz w:val="22"/>
          <w:szCs w:val="22"/>
          <w:lang w:val="fr-CA"/>
        </w:rPr>
      </w:pPr>
      <w:r w:rsidRPr="000F2CCD">
        <w:rPr>
          <w:bCs/>
          <w:sz w:val="22"/>
          <w:szCs w:val="22"/>
          <w:lang w:val="fr-CA"/>
        </w:rPr>
        <w:t>BUT DE LA RÉUNION MINISTÉRIELLE</w:t>
      </w:r>
    </w:p>
    <w:p w14:paraId="20B92FA1" w14:textId="77777777" w:rsidR="000F2CCD" w:rsidRPr="000F2CCD" w:rsidRDefault="000F2CCD" w:rsidP="000F2CCD">
      <w:pPr>
        <w:tabs>
          <w:tab w:val="left" w:pos="1440"/>
          <w:tab w:val="left" w:pos="2160"/>
        </w:tabs>
        <w:ind w:firstLine="720"/>
        <w:jc w:val="both"/>
        <w:rPr>
          <w:bCs/>
          <w:sz w:val="22"/>
          <w:szCs w:val="22"/>
          <w:lang w:val="fr-CA"/>
        </w:rPr>
      </w:pPr>
    </w:p>
    <w:p w14:paraId="7B64F858" w14:textId="77777777" w:rsidR="000F2CCD" w:rsidRPr="000F2CCD" w:rsidRDefault="000F2CCD" w:rsidP="000F2CCD">
      <w:pPr>
        <w:tabs>
          <w:tab w:val="left" w:pos="1440"/>
          <w:tab w:val="left" w:pos="2160"/>
        </w:tabs>
        <w:ind w:firstLine="720"/>
        <w:jc w:val="both"/>
        <w:rPr>
          <w:bCs/>
          <w:sz w:val="22"/>
          <w:szCs w:val="22"/>
          <w:lang w:val="fr-CA"/>
        </w:rPr>
      </w:pPr>
      <w:r w:rsidRPr="000F2CCD">
        <w:rPr>
          <w:bCs/>
          <w:sz w:val="22"/>
          <w:szCs w:val="22"/>
          <w:lang w:val="fr-CA"/>
        </w:rPr>
        <w:t xml:space="preserve">Comme le stipulent les </w:t>
      </w:r>
      <w:r w:rsidRPr="000F2CCD">
        <w:rPr>
          <w:rFonts w:eastAsia="Malgun Gothic"/>
          <w:sz w:val="22"/>
          <w:szCs w:val="22"/>
          <w:lang w:val="fr-CA"/>
        </w:rPr>
        <w:t>Lignes directrices générales pour les processus sectoriels au niveau ministériel dans le cadre du Conseil interaméricain pour le développement intégré (CIDI)</w:t>
      </w:r>
      <w:r w:rsidRPr="000F2CCD">
        <w:rPr>
          <w:bCs/>
          <w:sz w:val="22"/>
          <w:szCs w:val="22"/>
          <w:lang w:val="fr-CA"/>
        </w:rPr>
        <w:t>, l'</w:t>
      </w:r>
      <w:r w:rsidRPr="000F2CCD">
        <w:rPr>
          <w:sz w:val="22"/>
          <w:szCs w:val="22"/>
          <w:lang w:val="fr-CA"/>
        </w:rPr>
        <w:t xml:space="preserve">objectif principal des réunions ministérielles et/ou de haut niveau est de fournir un forum pour une discussion de fond sur les politiques publiques entre les États membres concernant des questions d'intérêt continental. Cette discussion vise à identifier les tendances et les priorités régionales, à permettre l'échange d'expériences et de bonnes pratiques en matière d'élaboration et de mise en œuvre de politiques, et à identifier les possibilités de coopération. Ces réunions constituent un espace permettant aux autorités gouvernementales des États membres d'identifier les priorités communes en matière de coopération </w:t>
      </w:r>
      <w:r w:rsidRPr="000F2CCD">
        <w:rPr>
          <w:sz w:val="22"/>
          <w:szCs w:val="22"/>
          <w:lang w:val="fr-CA"/>
        </w:rPr>
        <w:lastRenderedPageBreak/>
        <w:t>régionale et de définir le programme de l'OEA afin d'aider les États membres à progresser par rapport à ces priorités.</w:t>
      </w:r>
    </w:p>
    <w:p w14:paraId="6B984565" w14:textId="77777777" w:rsidR="000F2CCD" w:rsidRPr="000F2CCD" w:rsidRDefault="000F2CCD" w:rsidP="000F2CCD">
      <w:pPr>
        <w:tabs>
          <w:tab w:val="left" w:pos="1440"/>
          <w:tab w:val="left" w:pos="2160"/>
        </w:tabs>
        <w:ind w:firstLine="720"/>
        <w:jc w:val="both"/>
        <w:rPr>
          <w:bCs/>
          <w:sz w:val="22"/>
          <w:szCs w:val="22"/>
          <w:highlight w:val="yellow"/>
          <w:lang w:val="fr-CA"/>
        </w:rPr>
      </w:pPr>
    </w:p>
    <w:p w14:paraId="4BAB3697" w14:textId="77777777" w:rsidR="000F2CCD" w:rsidRPr="000F2CCD" w:rsidRDefault="000F2CCD" w:rsidP="000F2CCD">
      <w:pPr>
        <w:numPr>
          <w:ilvl w:val="0"/>
          <w:numId w:val="7"/>
        </w:numPr>
        <w:tabs>
          <w:tab w:val="left" w:pos="720"/>
          <w:tab w:val="left" w:pos="1440"/>
          <w:tab w:val="left" w:pos="2160"/>
        </w:tabs>
        <w:ind w:left="0" w:firstLine="0"/>
        <w:contextualSpacing/>
        <w:rPr>
          <w:bCs/>
          <w:sz w:val="22"/>
          <w:szCs w:val="22"/>
          <w:lang w:val="fr-CA"/>
        </w:rPr>
      </w:pPr>
      <w:r w:rsidRPr="000F2CCD">
        <w:rPr>
          <w:bCs/>
          <w:sz w:val="22"/>
          <w:szCs w:val="22"/>
          <w:lang w:val="fr-CA"/>
        </w:rPr>
        <w:t>RÉSULTATS ATTENDUS</w:t>
      </w:r>
    </w:p>
    <w:p w14:paraId="025A2549" w14:textId="77777777" w:rsidR="000F2CCD" w:rsidRPr="000F2CCD" w:rsidRDefault="000F2CCD" w:rsidP="000F2CCD">
      <w:pPr>
        <w:tabs>
          <w:tab w:val="left" w:pos="720"/>
          <w:tab w:val="left" w:pos="1440"/>
          <w:tab w:val="left" w:pos="2160"/>
        </w:tabs>
        <w:contextualSpacing/>
        <w:rPr>
          <w:b/>
          <w:sz w:val="22"/>
          <w:szCs w:val="22"/>
          <w:highlight w:val="yellow"/>
          <w:lang w:val="fr-CA"/>
        </w:rPr>
      </w:pPr>
    </w:p>
    <w:p w14:paraId="5755209C" w14:textId="77777777" w:rsidR="000F2CCD" w:rsidRPr="000F2CCD" w:rsidRDefault="000F2CCD" w:rsidP="000F2CCD">
      <w:pPr>
        <w:tabs>
          <w:tab w:val="left" w:pos="1440"/>
          <w:tab w:val="left" w:pos="2160"/>
        </w:tabs>
        <w:ind w:firstLine="720"/>
        <w:jc w:val="both"/>
        <w:rPr>
          <w:bCs/>
          <w:sz w:val="22"/>
          <w:szCs w:val="22"/>
          <w:highlight w:val="yellow"/>
          <w:lang w:val="fr-CA"/>
        </w:rPr>
      </w:pPr>
      <w:r w:rsidRPr="000F2CCD">
        <w:rPr>
          <w:sz w:val="22"/>
          <w:szCs w:val="22"/>
          <w:lang w:val="fr-CA"/>
        </w:rPr>
        <w:t xml:space="preserve">On s’attend à ce que les autorités approuvent les priorités et les lignes d'action communes qui guideront le programme régional du processus sectoriel et les travaux de l'OEA pour avancer par rapport à ces priorités, conformément </w:t>
      </w:r>
      <w:proofErr w:type="gramStart"/>
      <w:r w:rsidRPr="000F2CCD">
        <w:rPr>
          <w:sz w:val="22"/>
          <w:szCs w:val="22"/>
          <w:lang w:val="fr-CA"/>
        </w:rPr>
        <w:t>au</w:t>
      </w:r>
      <w:proofErr w:type="gramEnd"/>
      <w:r w:rsidRPr="000F2CCD">
        <w:rPr>
          <w:sz w:val="22"/>
          <w:szCs w:val="22"/>
          <w:lang w:val="fr-CA"/>
        </w:rPr>
        <w:t xml:space="preserve"> Plan stratégique intégral de l'Organisation et en complémentarité avec les processus mondiaux pertinents. Les résultats de la réunion ministérielle devraient se traduire principalement par deux documents : i) une déclaration politique basée sur le thème de la réunion et décrivant la vision régionale pour faire progresser le continent en la matière, et ii) un plan d'action, ou sa mise à jour, définissant des mesures concrètes pour répondre aux priorités identifiées dans la déclaration.</w:t>
      </w:r>
    </w:p>
    <w:p w14:paraId="77D0D843" w14:textId="77777777" w:rsidR="000F2CCD" w:rsidRPr="000F2CCD" w:rsidRDefault="000F2CCD" w:rsidP="000F2CCD">
      <w:pPr>
        <w:tabs>
          <w:tab w:val="left" w:pos="1440"/>
          <w:tab w:val="left" w:pos="2160"/>
        </w:tabs>
        <w:jc w:val="both"/>
        <w:rPr>
          <w:bCs/>
          <w:sz w:val="22"/>
          <w:szCs w:val="22"/>
          <w:lang w:val="fr-CA"/>
        </w:rPr>
      </w:pPr>
    </w:p>
    <w:p w14:paraId="22058026" w14:textId="77777777" w:rsidR="000F2CCD" w:rsidRPr="000F2CCD" w:rsidRDefault="000F2CCD" w:rsidP="000F2CCD">
      <w:pPr>
        <w:numPr>
          <w:ilvl w:val="0"/>
          <w:numId w:val="7"/>
        </w:numPr>
        <w:tabs>
          <w:tab w:val="left" w:pos="720"/>
          <w:tab w:val="left" w:pos="2160"/>
        </w:tabs>
        <w:ind w:left="0" w:firstLine="0"/>
        <w:contextualSpacing/>
        <w:rPr>
          <w:bCs/>
          <w:sz w:val="22"/>
          <w:szCs w:val="22"/>
          <w:lang w:val="fr-CA"/>
        </w:rPr>
      </w:pPr>
      <w:r w:rsidRPr="000F2CCD">
        <w:rPr>
          <w:bCs/>
          <w:sz w:val="22"/>
          <w:szCs w:val="22"/>
          <w:lang w:val="fr-CA"/>
        </w:rPr>
        <w:t>STRUCTURE DE LA RÉUNION</w:t>
      </w:r>
    </w:p>
    <w:p w14:paraId="4811E462" w14:textId="77777777" w:rsidR="000F2CCD" w:rsidRPr="000F2CCD" w:rsidRDefault="000F2CCD" w:rsidP="000F2CCD">
      <w:pPr>
        <w:tabs>
          <w:tab w:val="left" w:pos="1440"/>
          <w:tab w:val="left" w:pos="2160"/>
        </w:tabs>
        <w:ind w:left="720"/>
        <w:contextualSpacing/>
        <w:rPr>
          <w:b/>
          <w:sz w:val="22"/>
          <w:szCs w:val="22"/>
          <w:lang w:val="fr-CA"/>
        </w:rPr>
      </w:pPr>
    </w:p>
    <w:p w14:paraId="71734E61" w14:textId="77777777" w:rsidR="000F2CCD" w:rsidRPr="000F2CCD" w:rsidRDefault="000F2CCD" w:rsidP="000F2CCD">
      <w:pPr>
        <w:tabs>
          <w:tab w:val="left" w:pos="1440"/>
          <w:tab w:val="left" w:pos="2160"/>
        </w:tabs>
        <w:ind w:firstLine="720"/>
        <w:jc w:val="both"/>
        <w:rPr>
          <w:sz w:val="22"/>
          <w:szCs w:val="22"/>
          <w:lang w:val="fr-CA"/>
        </w:rPr>
      </w:pPr>
      <w:r w:rsidRPr="000F2CCD">
        <w:rPr>
          <w:sz w:val="22"/>
          <w:szCs w:val="22"/>
          <w:lang w:val="fr-CA"/>
        </w:rPr>
        <w:t>La réunion suivra la dynamique mise en œuvre lors du processus du cycle ministériel avec les autorités sectorielles. À cet égard, elle se concentrera sur la discussion entre les ministres de l'Éducation des États membres participants, dans le but d’approuver le projet de deuxième phase de Programme interaméricain d'éducation 2022-2027 et le projet de Plan d'action continental pour l'éducation afin de nouer des partenariats durables au moyen de la coopération et d’identifier un mécanisme de financement durable pour la mise en œuvre de la deuxième phase du PIE.</w:t>
      </w:r>
    </w:p>
    <w:p w14:paraId="6F92C3B7" w14:textId="77777777" w:rsidR="000F2CCD" w:rsidRPr="000F2CCD" w:rsidRDefault="000F2CCD" w:rsidP="000F2CCD">
      <w:pPr>
        <w:tabs>
          <w:tab w:val="left" w:pos="1440"/>
          <w:tab w:val="left" w:pos="2160"/>
        </w:tabs>
        <w:ind w:firstLine="720"/>
        <w:jc w:val="both"/>
        <w:rPr>
          <w:sz w:val="22"/>
          <w:szCs w:val="22"/>
          <w:lang w:val="fr-CA"/>
        </w:rPr>
      </w:pPr>
    </w:p>
    <w:p w14:paraId="6C6B33A5" w14:textId="77777777" w:rsidR="000F2CCD" w:rsidRPr="000F2CCD" w:rsidRDefault="000F2CCD" w:rsidP="000F2CCD">
      <w:pPr>
        <w:tabs>
          <w:tab w:val="left" w:pos="1440"/>
          <w:tab w:val="left" w:pos="2160"/>
        </w:tabs>
        <w:ind w:firstLine="720"/>
        <w:jc w:val="both"/>
        <w:rPr>
          <w:sz w:val="22"/>
          <w:szCs w:val="22"/>
          <w:lang w:val="fr-CA"/>
        </w:rPr>
      </w:pPr>
      <w:r w:rsidRPr="000F2CCD">
        <w:rPr>
          <w:sz w:val="22"/>
          <w:szCs w:val="22"/>
          <w:lang w:val="fr-CA"/>
        </w:rPr>
        <w:t xml:space="preserve">La réunion sera également l’occasion d’identifier les synergies et les possibilités de collaboration et de coopération entre les États membres, ainsi qu'avec les institutions régionales, pour la mise en œuvre d'initiatives liées à la réactivation du secteur de l'éducation dans la phase </w:t>
      </w:r>
      <w:proofErr w:type="spellStart"/>
      <w:r w:rsidRPr="000F2CCD">
        <w:rPr>
          <w:sz w:val="22"/>
          <w:szCs w:val="22"/>
          <w:lang w:val="fr-CA"/>
        </w:rPr>
        <w:t>post-pandémique</w:t>
      </w:r>
      <w:proofErr w:type="spellEnd"/>
      <w:r w:rsidRPr="000F2CCD">
        <w:rPr>
          <w:sz w:val="22"/>
          <w:szCs w:val="22"/>
          <w:lang w:val="fr-CA"/>
        </w:rPr>
        <w:t>, au retour en toute sécurité aux cours présentiels et au programme d'éducation numérique.</w:t>
      </w:r>
    </w:p>
    <w:p w14:paraId="67A93DFF" w14:textId="04EDF76C" w:rsidR="000F2CCD" w:rsidRPr="000F2CCD" w:rsidRDefault="000F2CCD" w:rsidP="000F2CCD">
      <w:pPr>
        <w:jc w:val="both"/>
        <w:rPr>
          <w:sz w:val="22"/>
          <w:szCs w:val="22"/>
          <w:lang w:val="fr-CA"/>
        </w:rPr>
      </w:pPr>
    </w:p>
    <w:p w14:paraId="0004A59A" w14:textId="08B932F8" w:rsidR="003E56CD" w:rsidRPr="000F2CCD" w:rsidRDefault="00BE5DB8" w:rsidP="00EF589B">
      <w:pPr>
        <w:rPr>
          <w:sz w:val="22"/>
          <w:szCs w:val="22"/>
          <w:lang w:val="fr-CA"/>
        </w:rPr>
      </w:pPr>
      <w:r>
        <w:rPr>
          <w:noProof/>
          <w:sz w:val="22"/>
          <w:szCs w:val="22"/>
          <w:lang w:val="fr-CA"/>
        </w:rPr>
        <mc:AlternateContent>
          <mc:Choice Requires="wps">
            <w:drawing>
              <wp:anchor distT="0" distB="0" distL="114300" distR="114300" simplePos="0" relativeHeight="251659265" behindDoc="0" locked="1" layoutInCell="1" allowOverlap="1" wp14:anchorId="43E5034C" wp14:editId="343FCC5C">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5CB46DD" w14:textId="380D1DF6" w:rsidR="00BE5DB8" w:rsidRPr="00BE5DB8" w:rsidRDefault="00BE5DB8">
                            <w:pPr>
                              <w:rPr>
                                <w:sz w:val="18"/>
                              </w:rPr>
                            </w:pPr>
                            <w:r>
                              <w:rPr>
                                <w:sz w:val="18"/>
                              </w:rPr>
                              <w:fldChar w:fldCharType="begin"/>
                            </w:r>
                            <w:r>
                              <w:rPr>
                                <w:sz w:val="18"/>
                              </w:rPr>
                              <w:instrText xml:space="preserve"> FILENAME  \* MERGEFORMAT </w:instrText>
                            </w:r>
                            <w:r>
                              <w:rPr>
                                <w:sz w:val="18"/>
                              </w:rPr>
                              <w:fldChar w:fldCharType="separate"/>
                            </w:r>
                            <w:r w:rsidR="00356BFD">
                              <w:rPr>
                                <w:noProof/>
                                <w:sz w:val="18"/>
                              </w:rPr>
                              <w:t>CIDED00294F01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5034C" id="_x0000_t202" coordsize="21600,21600" o:spt="202" path="m,l,21600r21600,l21600,xe">
                <v:stroke joinstyle="miter"/>
                <v:path gradientshapeok="t" o:connecttype="rect"/>
              </v:shapetype>
              <v:shape id="Text Box 2" o:spid="_x0000_s1026" type="#_x0000_t202" style="position:absolute;margin-left:-7.2pt;margin-top:10in;width:266.4pt;height:18pt;z-index:251659265;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5CB46DD" w14:textId="380D1DF6" w:rsidR="00BE5DB8" w:rsidRPr="00BE5DB8" w:rsidRDefault="00BE5DB8">
                      <w:pPr>
                        <w:rPr>
                          <w:sz w:val="18"/>
                        </w:rPr>
                      </w:pPr>
                      <w:r>
                        <w:rPr>
                          <w:sz w:val="18"/>
                        </w:rPr>
                        <w:fldChar w:fldCharType="begin"/>
                      </w:r>
                      <w:r>
                        <w:rPr>
                          <w:sz w:val="18"/>
                        </w:rPr>
                        <w:instrText xml:space="preserve"> FILENAME  \* MERGEFORMAT </w:instrText>
                      </w:r>
                      <w:r>
                        <w:rPr>
                          <w:sz w:val="18"/>
                        </w:rPr>
                        <w:fldChar w:fldCharType="separate"/>
                      </w:r>
                      <w:r w:rsidR="00356BFD">
                        <w:rPr>
                          <w:noProof/>
                          <w:sz w:val="18"/>
                        </w:rPr>
                        <w:t>CIDED00294F01</w:t>
                      </w:r>
                      <w:r>
                        <w:rPr>
                          <w:sz w:val="18"/>
                        </w:rPr>
                        <w:fldChar w:fldCharType="end"/>
                      </w:r>
                    </w:p>
                  </w:txbxContent>
                </v:textbox>
                <w10:wrap anchory="page"/>
                <w10:anchorlock/>
              </v:shape>
            </w:pict>
          </mc:Fallback>
        </mc:AlternateContent>
      </w:r>
    </w:p>
    <w:sectPr w:rsidR="003E56CD" w:rsidRPr="000F2CCD" w:rsidSect="00F4213B">
      <w:headerReference w:type="even" r:id="rId14"/>
      <w:headerReference w:type="default" r:id="rId15"/>
      <w:headerReference w:type="first" r:id="rId16"/>
      <w:pgSz w:w="12240" w:h="15840" w:code="1"/>
      <w:pgMar w:top="2160" w:right="1440" w:bottom="1296" w:left="1699" w:header="129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2E6C" w14:textId="77777777" w:rsidR="004C5278" w:rsidRPr="006C7BB6" w:rsidRDefault="004C5278">
      <w:pPr>
        <w:rPr>
          <w:noProof/>
          <w:lang w:val="en-US"/>
        </w:rPr>
      </w:pPr>
      <w:r w:rsidRPr="006C7BB6">
        <w:rPr>
          <w:noProof/>
          <w:lang w:val="en-US"/>
        </w:rPr>
        <w:separator/>
      </w:r>
    </w:p>
  </w:endnote>
  <w:endnote w:type="continuationSeparator" w:id="0">
    <w:p w14:paraId="402D2CCD" w14:textId="77777777" w:rsidR="004C5278" w:rsidRPr="006C7BB6" w:rsidRDefault="004C5278">
      <w:pPr>
        <w:rPr>
          <w:noProof/>
          <w:lang w:val="en-US"/>
        </w:rPr>
      </w:pPr>
      <w:r w:rsidRPr="006C7BB6">
        <w:rPr>
          <w:noProof/>
          <w:lang w:val="en-US"/>
        </w:rPr>
        <w:continuationSeparator/>
      </w:r>
    </w:p>
  </w:endnote>
  <w:endnote w:type="continuationNotice" w:id="1">
    <w:p w14:paraId="01E5AC3D" w14:textId="77777777" w:rsidR="004C5278" w:rsidRDefault="004C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6412" w14:textId="77777777" w:rsidR="004C5278" w:rsidRPr="006C7BB6" w:rsidRDefault="004C5278">
      <w:pPr>
        <w:rPr>
          <w:noProof/>
          <w:lang w:val="en-US"/>
        </w:rPr>
      </w:pPr>
      <w:r w:rsidRPr="006C7BB6">
        <w:rPr>
          <w:noProof/>
          <w:lang w:val="en-US"/>
        </w:rPr>
        <w:separator/>
      </w:r>
    </w:p>
  </w:footnote>
  <w:footnote w:type="continuationSeparator" w:id="0">
    <w:p w14:paraId="15D0989B" w14:textId="77777777" w:rsidR="004C5278" w:rsidRPr="006C7BB6" w:rsidRDefault="004C5278">
      <w:pPr>
        <w:rPr>
          <w:noProof/>
          <w:lang w:val="en-US"/>
        </w:rPr>
      </w:pPr>
      <w:r w:rsidRPr="006C7BB6">
        <w:rPr>
          <w:noProof/>
          <w:lang w:val="en-US"/>
        </w:rPr>
        <w:continuationSeparator/>
      </w:r>
    </w:p>
  </w:footnote>
  <w:footnote w:type="continuationNotice" w:id="1">
    <w:p w14:paraId="54686D12" w14:textId="77777777" w:rsidR="004C5278" w:rsidRDefault="004C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0F41" w14:textId="77777777" w:rsidR="00270DD4" w:rsidRDefault="00E2133B">
    <w:pPr>
      <w:pStyle w:val="Header"/>
      <w:framePr w:wrap="around" w:vAnchor="text" w:hAnchor="margin" w:xAlign="center" w:y="1"/>
      <w:rPr>
        <w:rStyle w:val="PageNumber"/>
        <w:noProof/>
      </w:rPr>
    </w:pPr>
    <w:r w:rsidRPr="006C7BB6">
      <w:rPr>
        <w:rStyle w:val="PageNumber"/>
        <w:noProof/>
      </w:rPr>
      <w:fldChar w:fldCharType="begin"/>
    </w:r>
    <w:r w:rsidRPr="006C7BB6">
      <w:rPr>
        <w:rStyle w:val="PageNumber"/>
        <w:noProof/>
      </w:rPr>
      <w:instrText xml:space="preserve">PAGE  </w:instrText>
    </w:r>
    <w:r w:rsidRPr="006C7BB6">
      <w:rPr>
        <w:rStyle w:val="PageNumber"/>
        <w:noProof/>
      </w:rPr>
      <w:fldChar w:fldCharType="separate"/>
    </w:r>
    <w:r w:rsidRPr="006C7BB6">
      <w:rPr>
        <w:rStyle w:val="PageNumber"/>
        <w:noProof/>
      </w:rPr>
      <w:t>2</w:t>
    </w:r>
    <w:r w:rsidRPr="006C7BB6">
      <w:rPr>
        <w:rStyle w:val="PageNumber"/>
        <w:noProof/>
      </w:rPr>
      <w:fldChar w:fldCharType="end"/>
    </w:r>
  </w:p>
  <w:p w14:paraId="4F8E1E28" w14:textId="77777777" w:rsidR="00DF6174" w:rsidRPr="006C7BB6" w:rsidRDefault="00DF6174">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97CC" w14:textId="67834638" w:rsidR="00EF589B" w:rsidRPr="000F2CCD" w:rsidRDefault="00EF589B" w:rsidP="000F2CCD">
    <w:pPr>
      <w:pStyle w:val="Header"/>
      <w:tabs>
        <w:tab w:val="clear" w:pos="4320"/>
        <w:tab w:val="clear" w:pos="8640"/>
        <w:tab w:val="center" w:pos="0"/>
        <w:tab w:val="right" w:pos="9090"/>
      </w:tabs>
      <w:ind w:right="11"/>
      <w:jc w:val="center"/>
      <w:rPr>
        <w:sz w:val="22"/>
        <w:szCs w:val="22"/>
      </w:rPr>
    </w:pPr>
    <w:r w:rsidRPr="000F2CCD">
      <w:rPr>
        <w:sz w:val="22"/>
        <w:szCs w:val="22"/>
      </w:rPr>
      <w:t xml:space="preserve">- </w:t>
    </w:r>
    <w:sdt>
      <w:sdtPr>
        <w:rPr>
          <w:sz w:val="22"/>
          <w:szCs w:val="22"/>
        </w:rPr>
        <w:id w:val="71165910"/>
        <w:docPartObj>
          <w:docPartGallery w:val="Page Numbers (Top of Page)"/>
          <w:docPartUnique/>
        </w:docPartObj>
      </w:sdtPr>
      <w:sdtEndPr>
        <w:rPr>
          <w:noProof/>
        </w:rPr>
      </w:sdtEndPr>
      <w:sdtContent>
        <w:r w:rsidRPr="000F2CCD">
          <w:rPr>
            <w:sz w:val="22"/>
            <w:szCs w:val="22"/>
          </w:rPr>
          <w:fldChar w:fldCharType="begin"/>
        </w:r>
        <w:r w:rsidRPr="000F2CCD">
          <w:rPr>
            <w:sz w:val="22"/>
            <w:szCs w:val="22"/>
          </w:rPr>
          <w:instrText xml:space="preserve"> PAGE   \* MERGEFORMAT </w:instrText>
        </w:r>
        <w:r w:rsidRPr="000F2CCD">
          <w:rPr>
            <w:sz w:val="22"/>
            <w:szCs w:val="22"/>
          </w:rPr>
          <w:fldChar w:fldCharType="separate"/>
        </w:r>
        <w:r w:rsidRPr="000F2CCD">
          <w:rPr>
            <w:noProof/>
            <w:sz w:val="22"/>
            <w:szCs w:val="22"/>
          </w:rPr>
          <w:t>2</w:t>
        </w:r>
        <w:r w:rsidRPr="000F2CCD">
          <w:rPr>
            <w:noProof/>
            <w:sz w:val="22"/>
            <w:szCs w:val="22"/>
          </w:rPr>
          <w:fldChar w:fldCharType="end"/>
        </w:r>
        <w:r w:rsidRPr="000F2CCD">
          <w:rPr>
            <w:noProof/>
            <w:sz w:val="22"/>
            <w:szCs w:val="2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8ECA" w14:textId="77777777" w:rsidR="00270DD4" w:rsidRDefault="00E2133B">
    <w:pPr>
      <w:pStyle w:val="Header"/>
    </w:pPr>
    <w:r>
      <w:rPr>
        <w:noProof/>
      </w:rPr>
      <mc:AlternateContent>
        <mc:Choice Requires="wps">
          <w:drawing>
            <wp:anchor distT="0" distB="0" distL="114300" distR="114300" simplePos="0" relativeHeight="251658240" behindDoc="0" locked="0" layoutInCell="1" allowOverlap="1" wp14:anchorId="733BB618" wp14:editId="54C5B08D">
              <wp:simplePos x="0" y="0"/>
              <wp:positionH relativeFrom="column">
                <wp:posOffset>457200</wp:posOffset>
              </wp:positionH>
              <wp:positionV relativeFrom="paragraph">
                <wp:posOffset>-257810</wp:posOffset>
              </wp:positionV>
              <wp:extent cx="4686300" cy="685800"/>
              <wp:effectExtent l="254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2F88D" w14:textId="77777777" w:rsidR="00270DD4" w:rsidRPr="00526E83" w:rsidRDefault="00E2133B">
                          <w:pPr>
                            <w:pStyle w:val="Header"/>
                            <w:tabs>
                              <w:tab w:val="left" w:pos="0"/>
                            </w:tabs>
                            <w:spacing w:line="0" w:lineRule="atLeast"/>
                            <w:ind w:right="45"/>
                            <w:jc w:val="center"/>
                            <w:rPr>
                              <w:rFonts w:ascii="Garamond" w:hAnsi="Garamond"/>
                              <w:b/>
                              <w:sz w:val="28"/>
                              <w:szCs w:val="28"/>
                              <w:lang w:val="fr-FR"/>
                            </w:rPr>
                          </w:pPr>
                          <w:r w:rsidRPr="00526E83">
                            <w:rPr>
                              <w:rFonts w:ascii="Garamond" w:hAnsi="Garamond"/>
                              <w:b/>
                              <w:bCs/>
                              <w:sz w:val="28"/>
                              <w:szCs w:val="28"/>
                              <w:lang w:val="fr-FR"/>
                            </w:rPr>
                            <w:t>ORGANISATION DES ÉTATS AMÉRICAINS</w:t>
                          </w:r>
                        </w:p>
                        <w:p w14:paraId="55D5FF34" w14:textId="77777777" w:rsidR="00270DD4" w:rsidRPr="00526E83" w:rsidRDefault="00E2133B">
                          <w:pPr>
                            <w:pStyle w:val="Header"/>
                            <w:tabs>
                              <w:tab w:val="left" w:pos="0"/>
                            </w:tabs>
                            <w:spacing w:line="0" w:lineRule="atLeast"/>
                            <w:ind w:right="45"/>
                            <w:jc w:val="center"/>
                            <w:rPr>
                              <w:rFonts w:ascii="Garamond" w:hAnsi="Garamond"/>
                              <w:b/>
                              <w:sz w:val="28"/>
                              <w:szCs w:val="28"/>
                              <w:lang w:val="fr-FR"/>
                            </w:rPr>
                          </w:pPr>
                          <w:r w:rsidRPr="00526E83">
                            <w:rPr>
                              <w:rFonts w:ascii="Garamond" w:hAnsi="Garamond"/>
                              <w:b/>
                              <w:bCs/>
                              <w:sz w:val="28"/>
                              <w:szCs w:val="28"/>
                              <w:lang w:val="fr-FR"/>
                            </w:rPr>
                            <w:t>Conseil interaméricain pour le développement intégré</w:t>
                          </w:r>
                        </w:p>
                        <w:p w14:paraId="0DAC60C2" w14:textId="77777777" w:rsidR="00270DD4" w:rsidRPr="00526E83" w:rsidRDefault="00E2133B">
                          <w:pPr>
                            <w:pStyle w:val="Header"/>
                            <w:tabs>
                              <w:tab w:val="left" w:pos="0"/>
                            </w:tabs>
                            <w:spacing w:line="0" w:lineRule="atLeast"/>
                            <w:ind w:right="45"/>
                            <w:jc w:val="center"/>
                            <w:rPr>
                              <w:b/>
                              <w:sz w:val="28"/>
                              <w:szCs w:val="28"/>
                            </w:rPr>
                          </w:pPr>
                          <w:r w:rsidRPr="00526E83">
                            <w:rPr>
                              <w:rFonts w:ascii="Garamond" w:hAnsi="Garamond"/>
                              <w:b/>
                              <w:bCs/>
                              <w:sz w:val="28"/>
                              <w:szCs w:val="28"/>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BB618" id="_x0000_t202" coordsize="21600,21600" o:spt="202" path="m,l,21600r21600,l21600,xe">
              <v:stroke joinstyle="miter"/>
              <v:path gradientshapeok="t" o:connecttype="rect"/>
            </v:shapetype>
            <v:shape id="Text Box 1" o:spid="_x0000_s1027" type="#_x0000_t202" style="position:absolute;margin-left:36pt;margin-top:-20.3pt;width:36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" stroked="f">
              <v:textbox>
                <w:txbxContent>
                  <w:p w14:paraId="3F12F88D" w14:textId="77777777" w:rsidR="00270DD4" w:rsidRPr="00526E83" w:rsidRDefault="00E2133B">
                    <w:pPr>
                      <w:pStyle w:val="Header"/>
                      <w:tabs>
                        <w:tab w:val="left" w:pos="0"/>
                      </w:tabs>
                      <w:spacing w:line="0" w:lineRule="atLeast"/>
                      <w:ind w:right="45"/>
                      <w:jc w:val="center"/>
                      <w:rPr>
                        <w:rFonts w:ascii="Garamond" w:hAnsi="Garamond"/>
                        <w:b/>
                        <w:sz w:val="28"/>
                        <w:szCs w:val="28"/>
                        <w:lang w:val="fr-FR"/>
                      </w:rPr>
                    </w:pPr>
                    <w:r w:rsidRPr="00526E83">
                      <w:rPr>
                        <w:rFonts w:ascii="Garamond" w:hAnsi="Garamond"/>
                        <w:b/>
                        <w:bCs/>
                        <w:sz w:val="28"/>
                        <w:szCs w:val="28"/>
                        <w:lang w:val="fr-FR"/>
                      </w:rPr>
                      <w:t>ORGANISATION DES ÉTATS AMÉRICAINS</w:t>
                    </w:r>
                  </w:p>
                  <w:p w14:paraId="55D5FF34" w14:textId="77777777" w:rsidR="00270DD4" w:rsidRPr="00526E83" w:rsidRDefault="00E2133B">
                    <w:pPr>
                      <w:pStyle w:val="Header"/>
                      <w:tabs>
                        <w:tab w:val="left" w:pos="0"/>
                      </w:tabs>
                      <w:spacing w:line="0" w:lineRule="atLeast"/>
                      <w:ind w:right="45"/>
                      <w:jc w:val="center"/>
                      <w:rPr>
                        <w:rFonts w:ascii="Garamond" w:hAnsi="Garamond"/>
                        <w:b/>
                        <w:sz w:val="28"/>
                        <w:szCs w:val="28"/>
                        <w:lang w:val="fr-FR"/>
                      </w:rPr>
                    </w:pPr>
                    <w:r w:rsidRPr="00526E83">
                      <w:rPr>
                        <w:rFonts w:ascii="Garamond" w:hAnsi="Garamond"/>
                        <w:b/>
                        <w:bCs/>
                        <w:sz w:val="28"/>
                        <w:szCs w:val="28"/>
                        <w:lang w:val="fr-FR"/>
                      </w:rPr>
                      <w:t>Conseil interaméricain pour le développement intégré</w:t>
                    </w:r>
                  </w:p>
                  <w:p w14:paraId="0DAC60C2" w14:textId="77777777" w:rsidR="00270DD4" w:rsidRPr="00526E83" w:rsidRDefault="00E2133B">
                    <w:pPr>
                      <w:pStyle w:val="Header"/>
                      <w:tabs>
                        <w:tab w:val="left" w:pos="0"/>
                      </w:tabs>
                      <w:spacing w:line="0" w:lineRule="atLeast"/>
                      <w:ind w:right="45"/>
                      <w:jc w:val="center"/>
                      <w:rPr>
                        <w:b/>
                        <w:sz w:val="28"/>
                        <w:szCs w:val="28"/>
                      </w:rPr>
                    </w:pPr>
                    <w:r w:rsidRPr="00526E83">
                      <w:rPr>
                        <w:rFonts w:ascii="Garamond" w:hAnsi="Garamond"/>
                        <w:b/>
                        <w:bCs/>
                        <w:sz w:val="28"/>
                        <w:szCs w:val="28"/>
                      </w:rPr>
                      <w:t>(CIDI)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4DF5"/>
    <w:multiLevelType w:val="hybridMultilevel"/>
    <w:tmpl w:val="9610849E"/>
    <w:lvl w:ilvl="0" w:tplc="2380323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DC745F3"/>
    <w:multiLevelType w:val="hybridMultilevel"/>
    <w:tmpl w:val="69FC6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C1179"/>
    <w:multiLevelType w:val="hybridMultilevel"/>
    <w:tmpl w:val="245C4BF8"/>
    <w:lvl w:ilvl="0" w:tplc="B914EDE2">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B271438"/>
    <w:multiLevelType w:val="hybridMultilevel"/>
    <w:tmpl w:val="A8729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E54A1"/>
    <w:multiLevelType w:val="hybridMultilevel"/>
    <w:tmpl w:val="01FA250E"/>
    <w:lvl w:ilvl="0" w:tplc="A7C81710">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154183207">
    <w:abstractNumId w:val="0"/>
  </w:num>
  <w:num w:numId="2" w16cid:durableId="1177843094">
    <w:abstractNumId w:val="5"/>
  </w:num>
  <w:num w:numId="3" w16cid:durableId="1404064639">
    <w:abstractNumId w:val="1"/>
  </w:num>
  <w:num w:numId="4" w16cid:durableId="60905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693963">
    <w:abstractNumId w:val="3"/>
  </w:num>
  <w:num w:numId="6" w16cid:durableId="1087650568">
    <w:abstractNumId w:val="2"/>
  </w:num>
  <w:num w:numId="7" w16cid:durableId="184257679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FE"/>
    <w:rsid w:val="000012AA"/>
    <w:rsid w:val="00002AFF"/>
    <w:rsid w:val="00005EBE"/>
    <w:rsid w:val="000114F4"/>
    <w:rsid w:val="00011902"/>
    <w:rsid w:val="00011C81"/>
    <w:rsid w:val="00022E7A"/>
    <w:rsid w:val="00023199"/>
    <w:rsid w:val="00025D2E"/>
    <w:rsid w:val="000273FB"/>
    <w:rsid w:val="00031F3B"/>
    <w:rsid w:val="00032517"/>
    <w:rsid w:val="00033455"/>
    <w:rsid w:val="00035DBA"/>
    <w:rsid w:val="00040A03"/>
    <w:rsid w:val="00043856"/>
    <w:rsid w:val="00046967"/>
    <w:rsid w:val="000504CA"/>
    <w:rsid w:val="00054752"/>
    <w:rsid w:val="00056FC0"/>
    <w:rsid w:val="000643F2"/>
    <w:rsid w:val="00066D21"/>
    <w:rsid w:val="00076DDC"/>
    <w:rsid w:val="00086848"/>
    <w:rsid w:val="00090A74"/>
    <w:rsid w:val="00090F71"/>
    <w:rsid w:val="000918FC"/>
    <w:rsid w:val="00093648"/>
    <w:rsid w:val="00093C1A"/>
    <w:rsid w:val="000A301E"/>
    <w:rsid w:val="000B04A4"/>
    <w:rsid w:val="000B2539"/>
    <w:rsid w:val="000B3E3C"/>
    <w:rsid w:val="000B597F"/>
    <w:rsid w:val="000B7729"/>
    <w:rsid w:val="000C36EB"/>
    <w:rsid w:val="000C4607"/>
    <w:rsid w:val="000C5359"/>
    <w:rsid w:val="000C78FE"/>
    <w:rsid w:val="000D24C6"/>
    <w:rsid w:val="000D53D0"/>
    <w:rsid w:val="000E22A5"/>
    <w:rsid w:val="000E28CA"/>
    <w:rsid w:val="000E2D16"/>
    <w:rsid w:val="000E4AF0"/>
    <w:rsid w:val="000F11AE"/>
    <w:rsid w:val="000F2CCD"/>
    <w:rsid w:val="000F2F24"/>
    <w:rsid w:val="000F668F"/>
    <w:rsid w:val="000F7ECE"/>
    <w:rsid w:val="00100348"/>
    <w:rsid w:val="0010038D"/>
    <w:rsid w:val="00104126"/>
    <w:rsid w:val="0011347F"/>
    <w:rsid w:val="00115989"/>
    <w:rsid w:val="00116FA7"/>
    <w:rsid w:val="00120783"/>
    <w:rsid w:val="00122B4B"/>
    <w:rsid w:val="0012523A"/>
    <w:rsid w:val="00125FF5"/>
    <w:rsid w:val="0012643F"/>
    <w:rsid w:val="001265D9"/>
    <w:rsid w:val="00127033"/>
    <w:rsid w:val="001279DA"/>
    <w:rsid w:val="00130AC3"/>
    <w:rsid w:val="001318E7"/>
    <w:rsid w:val="001344F4"/>
    <w:rsid w:val="0014278F"/>
    <w:rsid w:val="00144F57"/>
    <w:rsid w:val="00145B28"/>
    <w:rsid w:val="00147330"/>
    <w:rsid w:val="00147E30"/>
    <w:rsid w:val="0015030C"/>
    <w:rsid w:val="0015052F"/>
    <w:rsid w:val="001534D9"/>
    <w:rsid w:val="00155249"/>
    <w:rsid w:val="00157625"/>
    <w:rsid w:val="001606D2"/>
    <w:rsid w:val="001611C9"/>
    <w:rsid w:val="00161D86"/>
    <w:rsid w:val="00166D6C"/>
    <w:rsid w:val="001672B4"/>
    <w:rsid w:val="00167780"/>
    <w:rsid w:val="00171A25"/>
    <w:rsid w:val="0017730F"/>
    <w:rsid w:val="00182732"/>
    <w:rsid w:val="00193085"/>
    <w:rsid w:val="00193B87"/>
    <w:rsid w:val="00195DF7"/>
    <w:rsid w:val="001972B8"/>
    <w:rsid w:val="001A424F"/>
    <w:rsid w:val="001B1726"/>
    <w:rsid w:val="001B1EB5"/>
    <w:rsid w:val="001B3F07"/>
    <w:rsid w:val="001C491A"/>
    <w:rsid w:val="001C4E4C"/>
    <w:rsid w:val="001C6619"/>
    <w:rsid w:val="001C6AB0"/>
    <w:rsid w:val="001D1A87"/>
    <w:rsid w:val="001D2C2A"/>
    <w:rsid w:val="001D405A"/>
    <w:rsid w:val="001E4377"/>
    <w:rsid w:val="001E775C"/>
    <w:rsid w:val="001F3715"/>
    <w:rsid w:val="001F4177"/>
    <w:rsid w:val="001F5904"/>
    <w:rsid w:val="001F662C"/>
    <w:rsid w:val="00204692"/>
    <w:rsid w:val="00206705"/>
    <w:rsid w:val="00207CAE"/>
    <w:rsid w:val="00212DBE"/>
    <w:rsid w:val="00213456"/>
    <w:rsid w:val="00214E69"/>
    <w:rsid w:val="0021628F"/>
    <w:rsid w:val="002228F2"/>
    <w:rsid w:val="00222E1A"/>
    <w:rsid w:val="0022378D"/>
    <w:rsid w:val="0022432A"/>
    <w:rsid w:val="0022681D"/>
    <w:rsid w:val="0022756F"/>
    <w:rsid w:val="00234792"/>
    <w:rsid w:val="00234863"/>
    <w:rsid w:val="00235395"/>
    <w:rsid w:val="00235F02"/>
    <w:rsid w:val="00236AAF"/>
    <w:rsid w:val="002412AE"/>
    <w:rsid w:val="00245DFC"/>
    <w:rsid w:val="002462CD"/>
    <w:rsid w:val="002466E6"/>
    <w:rsid w:val="0025416C"/>
    <w:rsid w:val="00254500"/>
    <w:rsid w:val="00254974"/>
    <w:rsid w:val="00254A21"/>
    <w:rsid w:val="00254DC2"/>
    <w:rsid w:val="00255A56"/>
    <w:rsid w:val="0026224E"/>
    <w:rsid w:val="00262418"/>
    <w:rsid w:val="00264A46"/>
    <w:rsid w:val="002664C8"/>
    <w:rsid w:val="00267C47"/>
    <w:rsid w:val="00270DD4"/>
    <w:rsid w:val="002749D0"/>
    <w:rsid w:val="00284353"/>
    <w:rsid w:val="00286BE1"/>
    <w:rsid w:val="0028787A"/>
    <w:rsid w:val="00291220"/>
    <w:rsid w:val="00291F22"/>
    <w:rsid w:val="00292CEF"/>
    <w:rsid w:val="00292D9D"/>
    <w:rsid w:val="002979D5"/>
    <w:rsid w:val="00297F66"/>
    <w:rsid w:val="002A4FBD"/>
    <w:rsid w:val="002A6313"/>
    <w:rsid w:val="002B1863"/>
    <w:rsid w:val="002B18B9"/>
    <w:rsid w:val="002B26FC"/>
    <w:rsid w:val="002C4AD7"/>
    <w:rsid w:val="002C4C5A"/>
    <w:rsid w:val="002C4D86"/>
    <w:rsid w:val="002C61D3"/>
    <w:rsid w:val="002C7D76"/>
    <w:rsid w:val="002D1E41"/>
    <w:rsid w:val="002D616E"/>
    <w:rsid w:val="002D6E29"/>
    <w:rsid w:val="002E1FFD"/>
    <w:rsid w:val="002E3770"/>
    <w:rsid w:val="002E620E"/>
    <w:rsid w:val="002F1817"/>
    <w:rsid w:val="002F3903"/>
    <w:rsid w:val="002F398B"/>
    <w:rsid w:val="002F50CF"/>
    <w:rsid w:val="00300AE6"/>
    <w:rsid w:val="00306C66"/>
    <w:rsid w:val="00312FBE"/>
    <w:rsid w:val="0031623E"/>
    <w:rsid w:val="003178A5"/>
    <w:rsid w:val="00320F95"/>
    <w:rsid w:val="003212C7"/>
    <w:rsid w:val="0032218F"/>
    <w:rsid w:val="003222F7"/>
    <w:rsid w:val="003235D2"/>
    <w:rsid w:val="003274E6"/>
    <w:rsid w:val="0033273A"/>
    <w:rsid w:val="0033585D"/>
    <w:rsid w:val="003378A3"/>
    <w:rsid w:val="0034257C"/>
    <w:rsid w:val="00343E2F"/>
    <w:rsid w:val="0034560B"/>
    <w:rsid w:val="00351391"/>
    <w:rsid w:val="00353391"/>
    <w:rsid w:val="00353396"/>
    <w:rsid w:val="00355583"/>
    <w:rsid w:val="00356BFD"/>
    <w:rsid w:val="003576CF"/>
    <w:rsid w:val="00360C4C"/>
    <w:rsid w:val="00363577"/>
    <w:rsid w:val="00370462"/>
    <w:rsid w:val="00372EA9"/>
    <w:rsid w:val="00375FCD"/>
    <w:rsid w:val="00382EBC"/>
    <w:rsid w:val="00391D08"/>
    <w:rsid w:val="0039233C"/>
    <w:rsid w:val="003A0BB5"/>
    <w:rsid w:val="003A13F2"/>
    <w:rsid w:val="003A70A0"/>
    <w:rsid w:val="003B1635"/>
    <w:rsid w:val="003B1939"/>
    <w:rsid w:val="003B4374"/>
    <w:rsid w:val="003B4E79"/>
    <w:rsid w:val="003B758C"/>
    <w:rsid w:val="003C1F35"/>
    <w:rsid w:val="003C44FE"/>
    <w:rsid w:val="003C67FB"/>
    <w:rsid w:val="003D00B6"/>
    <w:rsid w:val="003D207D"/>
    <w:rsid w:val="003E128B"/>
    <w:rsid w:val="003E19AE"/>
    <w:rsid w:val="003E558A"/>
    <w:rsid w:val="003E56CD"/>
    <w:rsid w:val="003E7F0E"/>
    <w:rsid w:val="003F0763"/>
    <w:rsid w:val="003F13A8"/>
    <w:rsid w:val="003F4959"/>
    <w:rsid w:val="003F62F8"/>
    <w:rsid w:val="004041B1"/>
    <w:rsid w:val="00404B49"/>
    <w:rsid w:val="004052AD"/>
    <w:rsid w:val="0041150B"/>
    <w:rsid w:val="00413456"/>
    <w:rsid w:val="004142B0"/>
    <w:rsid w:val="00415922"/>
    <w:rsid w:val="00416648"/>
    <w:rsid w:val="00421045"/>
    <w:rsid w:val="00421666"/>
    <w:rsid w:val="00424738"/>
    <w:rsid w:val="004249F9"/>
    <w:rsid w:val="00424E0A"/>
    <w:rsid w:val="00425F68"/>
    <w:rsid w:val="00430FA2"/>
    <w:rsid w:val="004310D1"/>
    <w:rsid w:val="00431CA7"/>
    <w:rsid w:val="00435515"/>
    <w:rsid w:val="00441371"/>
    <w:rsid w:val="00443818"/>
    <w:rsid w:val="004473A2"/>
    <w:rsid w:val="00450E1A"/>
    <w:rsid w:val="00452726"/>
    <w:rsid w:val="00454036"/>
    <w:rsid w:val="00456745"/>
    <w:rsid w:val="00456E9C"/>
    <w:rsid w:val="00460529"/>
    <w:rsid w:val="00470CFE"/>
    <w:rsid w:val="0047283F"/>
    <w:rsid w:val="0047308E"/>
    <w:rsid w:val="0047754C"/>
    <w:rsid w:val="00477E83"/>
    <w:rsid w:val="00480400"/>
    <w:rsid w:val="00486513"/>
    <w:rsid w:val="004866C5"/>
    <w:rsid w:val="00491252"/>
    <w:rsid w:val="00493290"/>
    <w:rsid w:val="004936D5"/>
    <w:rsid w:val="004955BA"/>
    <w:rsid w:val="00496662"/>
    <w:rsid w:val="004967FA"/>
    <w:rsid w:val="004979BD"/>
    <w:rsid w:val="004A0D31"/>
    <w:rsid w:val="004B0E25"/>
    <w:rsid w:val="004B1ED8"/>
    <w:rsid w:val="004B759A"/>
    <w:rsid w:val="004C5278"/>
    <w:rsid w:val="004C6DD7"/>
    <w:rsid w:val="004D0419"/>
    <w:rsid w:val="004D1BB8"/>
    <w:rsid w:val="004D37E9"/>
    <w:rsid w:val="004D421B"/>
    <w:rsid w:val="004D624E"/>
    <w:rsid w:val="004D67DE"/>
    <w:rsid w:val="004D7308"/>
    <w:rsid w:val="004D74A5"/>
    <w:rsid w:val="004E3220"/>
    <w:rsid w:val="004E4356"/>
    <w:rsid w:val="004F1813"/>
    <w:rsid w:val="004F68BC"/>
    <w:rsid w:val="004F6AAE"/>
    <w:rsid w:val="0050183D"/>
    <w:rsid w:val="00502A58"/>
    <w:rsid w:val="00504C90"/>
    <w:rsid w:val="00510921"/>
    <w:rsid w:val="0051160A"/>
    <w:rsid w:val="00513F80"/>
    <w:rsid w:val="00515224"/>
    <w:rsid w:val="005170C6"/>
    <w:rsid w:val="005201AD"/>
    <w:rsid w:val="00526E83"/>
    <w:rsid w:val="0053138E"/>
    <w:rsid w:val="00532C24"/>
    <w:rsid w:val="00533563"/>
    <w:rsid w:val="00537210"/>
    <w:rsid w:val="00537531"/>
    <w:rsid w:val="00537BE7"/>
    <w:rsid w:val="005400F9"/>
    <w:rsid w:val="00542AF9"/>
    <w:rsid w:val="005439D8"/>
    <w:rsid w:val="005467BF"/>
    <w:rsid w:val="0055020E"/>
    <w:rsid w:val="00552B7D"/>
    <w:rsid w:val="005553B8"/>
    <w:rsid w:val="00557169"/>
    <w:rsid w:val="00565464"/>
    <w:rsid w:val="00566320"/>
    <w:rsid w:val="00566A74"/>
    <w:rsid w:val="00567D8F"/>
    <w:rsid w:val="00570529"/>
    <w:rsid w:val="0057613D"/>
    <w:rsid w:val="005778A5"/>
    <w:rsid w:val="00580904"/>
    <w:rsid w:val="00582344"/>
    <w:rsid w:val="00583193"/>
    <w:rsid w:val="00585347"/>
    <w:rsid w:val="0058696C"/>
    <w:rsid w:val="00593F29"/>
    <w:rsid w:val="00595E36"/>
    <w:rsid w:val="00597863"/>
    <w:rsid w:val="005A1A0A"/>
    <w:rsid w:val="005A1C25"/>
    <w:rsid w:val="005A4074"/>
    <w:rsid w:val="005A41FB"/>
    <w:rsid w:val="005A51B6"/>
    <w:rsid w:val="005B5774"/>
    <w:rsid w:val="005B7891"/>
    <w:rsid w:val="005C21D4"/>
    <w:rsid w:val="005D080D"/>
    <w:rsid w:val="005D17EC"/>
    <w:rsid w:val="005D3FA4"/>
    <w:rsid w:val="005E1248"/>
    <w:rsid w:val="005E48A4"/>
    <w:rsid w:val="005E4EB5"/>
    <w:rsid w:val="005E6C9C"/>
    <w:rsid w:val="005F0A78"/>
    <w:rsid w:val="005F79AC"/>
    <w:rsid w:val="00601234"/>
    <w:rsid w:val="0060457F"/>
    <w:rsid w:val="006103B7"/>
    <w:rsid w:val="0061620C"/>
    <w:rsid w:val="006169E9"/>
    <w:rsid w:val="0062010A"/>
    <w:rsid w:val="00620687"/>
    <w:rsid w:val="00623405"/>
    <w:rsid w:val="00624DF8"/>
    <w:rsid w:val="006251E9"/>
    <w:rsid w:val="0063309C"/>
    <w:rsid w:val="00635931"/>
    <w:rsid w:val="006368B4"/>
    <w:rsid w:val="00641E3A"/>
    <w:rsid w:val="006449E8"/>
    <w:rsid w:val="00645E02"/>
    <w:rsid w:val="0064633F"/>
    <w:rsid w:val="0066306C"/>
    <w:rsid w:val="00663572"/>
    <w:rsid w:val="006652AF"/>
    <w:rsid w:val="00666288"/>
    <w:rsid w:val="0067263A"/>
    <w:rsid w:val="00681A03"/>
    <w:rsid w:val="00683040"/>
    <w:rsid w:val="00684FB5"/>
    <w:rsid w:val="00685F77"/>
    <w:rsid w:val="00686938"/>
    <w:rsid w:val="00687A40"/>
    <w:rsid w:val="0069060D"/>
    <w:rsid w:val="0069374C"/>
    <w:rsid w:val="0069623E"/>
    <w:rsid w:val="00696FCD"/>
    <w:rsid w:val="00697498"/>
    <w:rsid w:val="006A36B6"/>
    <w:rsid w:val="006A43AD"/>
    <w:rsid w:val="006A4871"/>
    <w:rsid w:val="006A5604"/>
    <w:rsid w:val="006A5764"/>
    <w:rsid w:val="006A709F"/>
    <w:rsid w:val="006B6EEB"/>
    <w:rsid w:val="006C3D51"/>
    <w:rsid w:val="006D2322"/>
    <w:rsid w:val="006D460A"/>
    <w:rsid w:val="006D5DAB"/>
    <w:rsid w:val="006E056C"/>
    <w:rsid w:val="006E22E8"/>
    <w:rsid w:val="006E4C70"/>
    <w:rsid w:val="006F18EF"/>
    <w:rsid w:val="006F21CF"/>
    <w:rsid w:val="006F743C"/>
    <w:rsid w:val="00701885"/>
    <w:rsid w:val="00705465"/>
    <w:rsid w:val="007120CB"/>
    <w:rsid w:val="00712BE1"/>
    <w:rsid w:val="00714F3E"/>
    <w:rsid w:val="00715378"/>
    <w:rsid w:val="00717E46"/>
    <w:rsid w:val="00725D99"/>
    <w:rsid w:val="00731536"/>
    <w:rsid w:val="007325EE"/>
    <w:rsid w:val="00733EF1"/>
    <w:rsid w:val="00734957"/>
    <w:rsid w:val="00735238"/>
    <w:rsid w:val="007418A8"/>
    <w:rsid w:val="0074319D"/>
    <w:rsid w:val="00743BED"/>
    <w:rsid w:val="00743D75"/>
    <w:rsid w:val="0074463B"/>
    <w:rsid w:val="007459D5"/>
    <w:rsid w:val="007478E0"/>
    <w:rsid w:val="0075038B"/>
    <w:rsid w:val="00751FD3"/>
    <w:rsid w:val="007522E4"/>
    <w:rsid w:val="00752646"/>
    <w:rsid w:val="00752B20"/>
    <w:rsid w:val="00753F08"/>
    <w:rsid w:val="00761733"/>
    <w:rsid w:val="00761C49"/>
    <w:rsid w:val="0076230B"/>
    <w:rsid w:val="00764324"/>
    <w:rsid w:val="0076479F"/>
    <w:rsid w:val="00765332"/>
    <w:rsid w:val="00765FDC"/>
    <w:rsid w:val="00766BF2"/>
    <w:rsid w:val="007675E9"/>
    <w:rsid w:val="00774004"/>
    <w:rsid w:val="00776C40"/>
    <w:rsid w:val="00777697"/>
    <w:rsid w:val="007841F6"/>
    <w:rsid w:val="007851B3"/>
    <w:rsid w:val="00786F13"/>
    <w:rsid w:val="00791690"/>
    <w:rsid w:val="007A0625"/>
    <w:rsid w:val="007A13E5"/>
    <w:rsid w:val="007A2CF5"/>
    <w:rsid w:val="007A33F8"/>
    <w:rsid w:val="007A3526"/>
    <w:rsid w:val="007B03B3"/>
    <w:rsid w:val="007B2529"/>
    <w:rsid w:val="007B32B3"/>
    <w:rsid w:val="007B7099"/>
    <w:rsid w:val="007B74EC"/>
    <w:rsid w:val="007B7D07"/>
    <w:rsid w:val="007C0AB3"/>
    <w:rsid w:val="007C0F61"/>
    <w:rsid w:val="007C4ED2"/>
    <w:rsid w:val="007C6068"/>
    <w:rsid w:val="007D1C88"/>
    <w:rsid w:val="007D67E2"/>
    <w:rsid w:val="007D73E1"/>
    <w:rsid w:val="007D7C9B"/>
    <w:rsid w:val="007E090D"/>
    <w:rsid w:val="007E2024"/>
    <w:rsid w:val="007E24B0"/>
    <w:rsid w:val="007F1964"/>
    <w:rsid w:val="007F363B"/>
    <w:rsid w:val="007F55E1"/>
    <w:rsid w:val="007F5691"/>
    <w:rsid w:val="007F6D6B"/>
    <w:rsid w:val="00804982"/>
    <w:rsid w:val="00810E00"/>
    <w:rsid w:val="00810F08"/>
    <w:rsid w:val="00812B21"/>
    <w:rsid w:val="008142A3"/>
    <w:rsid w:val="0081453F"/>
    <w:rsid w:val="00814A71"/>
    <w:rsid w:val="00815BB1"/>
    <w:rsid w:val="00821935"/>
    <w:rsid w:val="0083113E"/>
    <w:rsid w:val="00832C9F"/>
    <w:rsid w:val="008415F4"/>
    <w:rsid w:val="008416C1"/>
    <w:rsid w:val="0084707F"/>
    <w:rsid w:val="0085414F"/>
    <w:rsid w:val="00855EE1"/>
    <w:rsid w:val="008566B2"/>
    <w:rsid w:val="008649BF"/>
    <w:rsid w:val="00867038"/>
    <w:rsid w:val="00874E25"/>
    <w:rsid w:val="00881959"/>
    <w:rsid w:val="00881CD2"/>
    <w:rsid w:val="008823DE"/>
    <w:rsid w:val="0088274A"/>
    <w:rsid w:val="00885D1C"/>
    <w:rsid w:val="00886E51"/>
    <w:rsid w:val="0088711B"/>
    <w:rsid w:val="00891024"/>
    <w:rsid w:val="008927E9"/>
    <w:rsid w:val="00893797"/>
    <w:rsid w:val="008937A7"/>
    <w:rsid w:val="008938F6"/>
    <w:rsid w:val="0089440E"/>
    <w:rsid w:val="00895AF1"/>
    <w:rsid w:val="008966E7"/>
    <w:rsid w:val="008A2528"/>
    <w:rsid w:val="008A5524"/>
    <w:rsid w:val="008A5A20"/>
    <w:rsid w:val="008B0259"/>
    <w:rsid w:val="008B0759"/>
    <w:rsid w:val="008B07FE"/>
    <w:rsid w:val="008B477A"/>
    <w:rsid w:val="008B54F3"/>
    <w:rsid w:val="008B5855"/>
    <w:rsid w:val="008C04B2"/>
    <w:rsid w:val="008C243A"/>
    <w:rsid w:val="008C32A2"/>
    <w:rsid w:val="008C5213"/>
    <w:rsid w:val="008C7A32"/>
    <w:rsid w:val="008D114E"/>
    <w:rsid w:val="008D225C"/>
    <w:rsid w:val="008D43A0"/>
    <w:rsid w:val="008D4BF1"/>
    <w:rsid w:val="008E1B91"/>
    <w:rsid w:val="008E44EC"/>
    <w:rsid w:val="008E6AF4"/>
    <w:rsid w:val="008E6EC4"/>
    <w:rsid w:val="008F0275"/>
    <w:rsid w:val="008F5357"/>
    <w:rsid w:val="008F572A"/>
    <w:rsid w:val="00901449"/>
    <w:rsid w:val="0090419F"/>
    <w:rsid w:val="009046F9"/>
    <w:rsid w:val="0090660B"/>
    <w:rsid w:val="009072E3"/>
    <w:rsid w:val="00907F58"/>
    <w:rsid w:val="00911176"/>
    <w:rsid w:val="00912962"/>
    <w:rsid w:val="00913394"/>
    <w:rsid w:val="00913696"/>
    <w:rsid w:val="00915228"/>
    <w:rsid w:val="0091525B"/>
    <w:rsid w:val="009167F6"/>
    <w:rsid w:val="009177A5"/>
    <w:rsid w:val="009236C8"/>
    <w:rsid w:val="009245D9"/>
    <w:rsid w:val="00925AEE"/>
    <w:rsid w:val="00933CEC"/>
    <w:rsid w:val="00935AA5"/>
    <w:rsid w:val="009418BF"/>
    <w:rsid w:val="00947A14"/>
    <w:rsid w:val="00947C4B"/>
    <w:rsid w:val="0095296E"/>
    <w:rsid w:val="0095462E"/>
    <w:rsid w:val="009610A2"/>
    <w:rsid w:val="00961F33"/>
    <w:rsid w:val="009624B3"/>
    <w:rsid w:val="0096452B"/>
    <w:rsid w:val="00970355"/>
    <w:rsid w:val="00974DA6"/>
    <w:rsid w:val="00982CAC"/>
    <w:rsid w:val="0098308F"/>
    <w:rsid w:val="00985258"/>
    <w:rsid w:val="0098592A"/>
    <w:rsid w:val="00990754"/>
    <w:rsid w:val="00990E4E"/>
    <w:rsid w:val="00991D39"/>
    <w:rsid w:val="009938E9"/>
    <w:rsid w:val="009954BA"/>
    <w:rsid w:val="009A022B"/>
    <w:rsid w:val="009A2ECB"/>
    <w:rsid w:val="009A67B1"/>
    <w:rsid w:val="009A6F44"/>
    <w:rsid w:val="009B3939"/>
    <w:rsid w:val="009B684E"/>
    <w:rsid w:val="009C389C"/>
    <w:rsid w:val="009D0A3E"/>
    <w:rsid w:val="009D17B1"/>
    <w:rsid w:val="009D75E4"/>
    <w:rsid w:val="009D7A34"/>
    <w:rsid w:val="009E0BF4"/>
    <w:rsid w:val="009E1750"/>
    <w:rsid w:val="009E18D0"/>
    <w:rsid w:val="009E2626"/>
    <w:rsid w:val="009E2A4A"/>
    <w:rsid w:val="009E2FC2"/>
    <w:rsid w:val="009E404A"/>
    <w:rsid w:val="009E4F35"/>
    <w:rsid w:val="009E5AC2"/>
    <w:rsid w:val="009E5AD0"/>
    <w:rsid w:val="009E7A58"/>
    <w:rsid w:val="009F1E27"/>
    <w:rsid w:val="009F204C"/>
    <w:rsid w:val="009F545A"/>
    <w:rsid w:val="009F586E"/>
    <w:rsid w:val="00A1323E"/>
    <w:rsid w:val="00A1324D"/>
    <w:rsid w:val="00A14678"/>
    <w:rsid w:val="00A2269C"/>
    <w:rsid w:val="00A30EDE"/>
    <w:rsid w:val="00A31C7D"/>
    <w:rsid w:val="00A330F0"/>
    <w:rsid w:val="00A34BFE"/>
    <w:rsid w:val="00A4177C"/>
    <w:rsid w:val="00A4208D"/>
    <w:rsid w:val="00A43407"/>
    <w:rsid w:val="00A43C7E"/>
    <w:rsid w:val="00A537F9"/>
    <w:rsid w:val="00A5422D"/>
    <w:rsid w:val="00A559E3"/>
    <w:rsid w:val="00A57903"/>
    <w:rsid w:val="00A620E9"/>
    <w:rsid w:val="00A63784"/>
    <w:rsid w:val="00A64D35"/>
    <w:rsid w:val="00A65CA2"/>
    <w:rsid w:val="00A751E7"/>
    <w:rsid w:val="00A77352"/>
    <w:rsid w:val="00A81985"/>
    <w:rsid w:val="00A82F01"/>
    <w:rsid w:val="00A8669B"/>
    <w:rsid w:val="00A87A3F"/>
    <w:rsid w:val="00A90FC2"/>
    <w:rsid w:val="00A91100"/>
    <w:rsid w:val="00AA418A"/>
    <w:rsid w:val="00AB0D6D"/>
    <w:rsid w:val="00AB49CC"/>
    <w:rsid w:val="00AB5B54"/>
    <w:rsid w:val="00AB5BAF"/>
    <w:rsid w:val="00AD0E5F"/>
    <w:rsid w:val="00AD458D"/>
    <w:rsid w:val="00AD49E7"/>
    <w:rsid w:val="00AE10A3"/>
    <w:rsid w:val="00AE423F"/>
    <w:rsid w:val="00AF1E3B"/>
    <w:rsid w:val="00AF3BBA"/>
    <w:rsid w:val="00AF667B"/>
    <w:rsid w:val="00B0108C"/>
    <w:rsid w:val="00B05740"/>
    <w:rsid w:val="00B11CDF"/>
    <w:rsid w:val="00B21383"/>
    <w:rsid w:val="00B21DC0"/>
    <w:rsid w:val="00B2769F"/>
    <w:rsid w:val="00B3052C"/>
    <w:rsid w:val="00B30CB6"/>
    <w:rsid w:val="00B33CB3"/>
    <w:rsid w:val="00B34D5C"/>
    <w:rsid w:val="00B37F55"/>
    <w:rsid w:val="00B45FCF"/>
    <w:rsid w:val="00B4722D"/>
    <w:rsid w:val="00B5061C"/>
    <w:rsid w:val="00B50C8C"/>
    <w:rsid w:val="00B572ED"/>
    <w:rsid w:val="00B65394"/>
    <w:rsid w:val="00B65CA1"/>
    <w:rsid w:val="00B6610C"/>
    <w:rsid w:val="00B727C2"/>
    <w:rsid w:val="00B767CA"/>
    <w:rsid w:val="00B812D6"/>
    <w:rsid w:val="00B8415B"/>
    <w:rsid w:val="00B85693"/>
    <w:rsid w:val="00B86A7B"/>
    <w:rsid w:val="00B87AF3"/>
    <w:rsid w:val="00B91215"/>
    <w:rsid w:val="00B957D8"/>
    <w:rsid w:val="00B96972"/>
    <w:rsid w:val="00BA1188"/>
    <w:rsid w:val="00BA1B45"/>
    <w:rsid w:val="00BB54B6"/>
    <w:rsid w:val="00BB7D19"/>
    <w:rsid w:val="00BC37D8"/>
    <w:rsid w:val="00BC46A2"/>
    <w:rsid w:val="00BC58FD"/>
    <w:rsid w:val="00BD163D"/>
    <w:rsid w:val="00BD2688"/>
    <w:rsid w:val="00BD4FD2"/>
    <w:rsid w:val="00BE1079"/>
    <w:rsid w:val="00BE273F"/>
    <w:rsid w:val="00BE5704"/>
    <w:rsid w:val="00BE5DB8"/>
    <w:rsid w:val="00BF0205"/>
    <w:rsid w:val="00BF0D7B"/>
    <w:rsid w:val="00BF3438"/>
    <w:rsid w:val="00C035D2"/>
    <w:rsid w:val="00C1237E"/>
    <w:rsid w:val="00C12996"/>
    <w:rsid w:val="00C20B48"/>
    <w:rsid w:val="00C210F0"/>
    <w:rsid w:val="00C24508"/>
    <w:rsid w:val="00C260E4"/>
    <w:rsid w:val="00C30D95"/>
    <w:rsid w:val="00C35C27"/>
    <w:rsid w:val="00C405D2"/>
    <w:rsid w:val="00C45E94"/>
    <w:rsid w:val="00C470EF"/>
    <w:rsid w:val="00C500C1"/>
    <w:rsid w:val="00C517C0"/>
    <w:rsid w:val="00C521FB"/>
    <w:rsid w:val="00C64665"/>
    <w:rsid w:val="00C64E07"/>
    <w:rsid w:val="00C65CB9"/>
    <w:rsid w:val="00C6653E"/>
    <w:rsid w:val="00C72479"/>
    <w:rsid w:val="00C737E1"/>
    <w:rsid w:val="00C75B4A"/>
    <w:rsid w:val="00C7668A"/>
    <w:rsid w:val="00C76890"/>
    <w:rsid w:val="00C8361E"/>
    <w:rsid w:val="00C874F4"/>
    <w:rsid w:val="00C9584E"/>
    <w:rsid w:val="00CA0390"/>
    <w:rsid w:val="00CA1C13"/>
    <w:rsid w:val="00CA7D88"/>
    <w:rsid w:val="00CB0B2C"/>
    <w:rsid w:val="00CB16CD"/>
    <w:rsid w:val="00CB351F"/>
    <w:rsid w:val="00CB40B7"/>
    <w:rsid w:val="00CC003C"/>
    <w:rsid w:val="00CC274E"/>
    <w:rsid w:val="00CC3A3D"/>
    <w:rsid w:val="00CC5553"/>
    <w:rsid w:val="00CD1412"/>
    <w:rsid w:val="00CD4726"/>
    <w:rsid w:val="00CD50D2"/>
    <w:rsid w:val="00CD5127"/>
    <w:rsid w:val="00CD654A"/>
    <w:rsid w:val="00CD6DAB"/>
    <w:rsid w:val="00CE1799"/>
    <w:rsid w:val="00CE6A62"/>
    <w:rsid w:val="00CF17E1"/>
    <w:rsid w:val="00CF1EEF"/>
    <w:rsid w:val="00CF2FA1"/>
    <w:rsid w:val="00D0319F"/>
    <w:rsid w:val="00D1102D"/>
    <w:rsid w:val="00D15203"/>
    <w:rsid w:val="00D152A1"/>
    <w:rsid w:val="00D16A48"/>
    <w:rsid w:val="00D201F9"/>
    <w:rsid w:val="00D265DA"/>
    <w:rsid w:val="00D33782"/>
    <w:rsid w:val="00D33996"/>
    <w:rsid w:val="00D454DD"/>
    <w:rsid w:val="00D50B0D"/>
    <w:rsid w:val="00D52FDB"/>
    <w:rsid w:val="00D54F58"/>
    <w:rsid w:val="00D606F4"/>
    <w:rsid w:val="00D7019B"/>
    <w:rsid w:val="00D704C0"/>
    <w:rsid w:val="00D7321D"/>
    <w:rsid w:val="00D75A96"/>
    <w:rsid w:val="00D81FC1"/>
    <w:rsid w:val="00D83E08"/>
    <w:rsid w:val="00D85B9A"/>
    <w:rsid w:val="00D8609F"/>
    <w:rsid w:val="00D87A8D"/>
    <w:rsid w:val="00DA0AF3"/>
    <w:rsid w:val="00DA1224"/>
    <w:rsid w:val="00DA1EE0"/>
    <w:rsid w:val="00DA3CFD"/>
    <w:rsid w:val="00DA5F12"/>
    <w:rsid w:val="00DA6DA2"/>
    <w:rsid w:val="00DB0026"/>
    <w:rsid w:val="00DB13FF"/>
    <w:rsid w:val="00DB2FAF"/>
    <w:rsid w:val="00DB3F0D"/>
    <w:rsid w:val="00DB4269"/>
    <w:rsid w:val="00DB4FEC"/>
    <w:rsid w:val="00DC45A4"/>
    <w:rsid w:val="00DC7FA8"/>
    <w:rsid w:val="00DD218A"/>
    <w:rsid w:val="00DE372F"/>
    <w:rsid w:val="00DE42B7"/>
    <w:rsid w:val="00DE6C1E"/>
    <w:rsid w:val="00DE6F95"/>
    <w:rsid w:val="00DF0D1A"/>
    <w:rsid w:val="00DF173B"/>
    <w:rsid w:val="00DF2DB4"/>
    <w:rsid w:val="00DF49B5"/>
    <w:rsid w:val="00DF5825"/>
    <w:rsid w:val="00DF60E1"/>
    <w:rsid w:val="00DF6174"/>
    <w:rsid w:val="00E007A3"/>
    <w:rsid w:val="00E029FF"/>
    <w:rsid w:val="00E03023"/>
    <w:rsid w:val="00E04A3B"/>
    <w:rsid w:val="00E051E0"/>
    <w:rsid w:val="00E11067"/>
    <w:rsid w:val="00E12FDB"/>
    <w:rsid w:val="00E130A5"/>
    <w:rsid w:val="00E15718"/>
    <w:rsid w:val="00E20286"/>
    <w:rsid w:val="00E2133B"/>
    <w:rsid w:val="00E217B6"/>
    <w:rsid w:val="00E2744A"/>
    <w:rsid w:val="00E27ECA"/>
    <w:rsid w:val="00E312B2"/>
    <w:rsid w:val="00E34A2F"/>
    <w:rsid w:val="00E35492"/>
    <w:rsid w:val="00E41A7B"/>
    <w:rsid w:val="00E4245B"/>
    <w:rsid w:val="00E43658"/>
    <w:rsid w:val="00E43F9F"/>
    <w:rsid w:val="00E4472E"/>
    <w:rsid w:val="00E46FE8"/>
    <w:rsid w:val="00E506E0"/>
    <w:rsid w:val="00E544A2"/>
    <w:rsid w:val="00E54E98"/>
    <w:rsid w:val="00E54EBF"/>
    <w:rsid w:val="00E55441"/>
    <w:rsid w:val="00E57302"/>
    <w:rsid w:val="00E6491E"/>
    <w:rsid w:val="00E64EA4"/>
    <w:rsid w:val="00E67A5D"/>
    <w:rsid w:val="00E74A41"/>
    <w:rsid w:val="00E80809"/>
    <w:rsid w:val="00E83C78"/>
    <w:rsid w:val="00E8739C"/>
    <w:rsid w:val="00E927DD"/>
    <w:rsid w:val="00EA2336"/>
    <w:rsid w:val="00EA470A"/>
    <w:rsid w:val="00EA487A"/>
    <w:rsid w:val="00EB0209"/>
    <w:rsid w:val="00EB0FA0"/>
    <w:rsid w:val="00EB1CFE"/>
    <w:rsid w:val="00EB3F3C"/>
    <w:rsid w:val="00EB7FE6"/>
    <w:rsid w:val="00EC5D37"/>
    <w:rsid w:val="00ED7479"/>
    <w:rsid w:val="00EE1649"/>
    <w:rsid w:val="00EE40C6"/>
    <w:rsid w:val="00EE4229"/>
    <w:rsid w:val="00EE69C8"/>
    <w:rsid w:val="00EE74C1"/>
    <w:rsid w:val="00EE7763"/>
    <w:rsid w:val="00EE787A"/>
    <w:rsid w:val="00EE7ABD"/>
    <w:rsid w:val="00EF118C"/>
    <w:rsid w:val="00EF589B"/>
    <w:rsid w:val="00F02B97"/>
    <w:rsid w:val="00F048F3"/>
    <w:rsid w:val="00F058DF"/>
    <w:rsid w:val="00F24B0D"/>
    <w:rsid w:val="00F25C84"/>
    <w:rsid w:val="00F31B31"/>
    <w:rsid w:val="00F36356"/>
    <w:rsid w:val="00F36D25"/>
    <w:rsid w:val="00F4213B"/>
    <w:rsid w:val="00F45D3F"/>
    <w:rsid w:val="00F538A1"/>
    <w:rsid w:val="00F558E5"/>
    <w:rsid w:val="00F56831"/>
    <w:rsid w:val="00F62BDC"/>
    <w:rsid w:val="00F66AD8"/>
    <w:rsid w:val="00F67343"/>
    <w:rsid w:val="00F67D05"/>
    <w:rsid w:val="00F75C30"/>
    <w:rsid w:val="00F827BC"/>
    <w:rsid w:val="00F84BA0"/>
    <w:rsid w:val="00F85466"/>
    <w:rsid w:val="00F911BA"/>
    <w:rsid w:val="00F91960"/>
    <w:rsid w:val="00F932D0"/>
    <w:rsid w:val="00F93D19"/>
    <w:rsid w:val="00F96021"/>
    <w:rsid w:val="00F96078"/>
    <w:rsid w:val="00F976FB"/>
    <w:rsid w:val="00FA0A7C"/>
    <w:rsid w:val="00FA19F1"/>
    <w:rsid w:val="00FA1B3F"/>
    <w:rsid w:val="00FA54A0"/>
    <w:rsid w:val="00FA5A45"/>
    <w:rsid w:val="00FA7749"/>
    <w:rsid w:val="00FB315F"/>
    <w:rsid w:val="00FB4566"/>
    <w:rsid w:val="00FB4D59"/>
    <w:rsid w:val="00FB7F96"/>
    <w:rsid w:val="00FC72EB"/>
    <w:rsid w:val="00FD0695"/>
    <w:rsid w:val="00FD2DFA"/>
    <w:rsid w:val="00FD5027"/>
    <w:rsid w:val="00FD5427"/>
    <w:rsid w:val="00FE592D"/>
    <w:rsid w:val="00FF12E6"/>
    <w:rsid w:val="00FF1A82"/>
    <w:rsid w:val="00FF2D11"/>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901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ECA"/>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0CFE"/>
    <w:pPr>
      <w:tabs>
        <w:tab w:val="center" w:pos="4320"/>
        <w:tab w:val="right" w:pos="8640"/>
      </w:tabs>
      <w:ind w:right="-900"/>
    </w:pPr>
    <w:rPr>
      <w:szCs w:val="20"/>
      <w:lang w:val="en-US"/>
    </w:rPr>
  </w:style>
  <w:style w:type="character" w:customStyle="1" w:styleId="HeaderChar">
    <w:name w:val="Header Char"/>
    <w:link w:val="Header"/>
    <w:uiPriority w:val="99"/>
    <w:locked/>
    <w:rsid w:val="00470CFE"/>
    <w:rPr>
      <w:sz w:val="24"/>
      <w:lang w:val="en-US" w:eastAsia="en-US" w:bidi="ar-SA"/>
    </w:rPr>
  </w:style>
  <w:style w:type="paragraph" w:styleId="Footer">
    <w:name w:val="footer"/>
    <w:basedOn w:val="Normal"/>
    <w:link w:val="FooterChar"/>
    <w:rsid w:val="00470CFE"/>
    <w:pPr>
      <w:tabs>
        <w:tab w:val="center" w:pos="4320"/>
        <w:tab w:val="right" w:pos="8640"/>
      </w:tabs>
    </w:pPr>
    <w:rPr>
      <w:lang w:val="en-GB"/>
    </w:rPr>
  </w:style>
  <w:style w:type="character" w:customStyle="1" w:styleId="FooterChar">
    <w:name w:val="Footer Char"/>
    <w:link w:val="Footer"/>
    <w:semiHidden/>
    <w:locked/>
    <w:rsid w:val="00470CFE"/>
    <w:rPr>
      <w:sz w:val="24"/>
      <w:szCs w:val="24"/>
      <w:lang w:val="en-GB" w:eastAsia="en-US" w:bidi="ar-SA"/>
    </w:rPr>
  </w:style>
  <w:style w:type="character" w:styleId="PageNumber">
    <w:name w:val="page number"/>
    <w:rsid w:val="00470CFE"/>
    <w:rPr>
      <w:rFonts w:cs="Times New Roman"/>
    </w:rPr>
  </w:style>
  <w:style w:type="paragraph" w:customStyle="1" w:styleId="ColorfulList-Accent11">
    <w:name w:val="Colorful List - Accent 11"/>
    <w:basedOn w:val="Normal"/>
    <w:uiPriority w:val="34"/>
    <w:qFormat/>
    <w:rsid w:val="00470CFE"/>
    <w:pPr>
      <w:ind w:left="720"/>
      <w:contextualSpacing/>
    </w:pPr>
  </w:style>
  <w:style w:type="paragraph" w:styleId="FootnoteText">
    <w:name w:val="footnote text"/>
    <w:basedOn w:val="Normal"/>
    <w:link w:val="FootnoteTextChar"/>
    <w:rsid w:val="004E02F6"/>
    <w:rPr>
      <w:sz w:val="20"/>
      <w:szCs w:val="20"/>
      <w:lang w:eastAsia="x-none"/>
    </w:rPr>
  </w:style>
  <w:style w:type="character" w:styleId="FootnoteReference">
    <w:name w:val="footnote reference"/>
    <w:rsid w:val="004E02F6"/>
    <w:rPr>
      <w:vertAlign w:val="superscript"/>
    </w:rPr>
  </w:style>
  <w:style w:type="paragraph" w:styleId="BalloonText">
    <w:name w:val="Balloon Text"/>
    <w:basedOn w:val="Normal"/>
    <w:semiHidden/>
    <w:rsid w:val="00C40887"/>
    <w:rPr>
      <w:rFonts w:ascii="Tahoma" w:hAnsi="Tahoma" w:cs="Tahoma"/>
      <w:sz w:val="16"/>
      <w:szCs w:val="16"/>
    </w:rPr>
  </w:style>
  <w:style w:type="paragraph" w:customStyle="1" w:styleId="Prrafodelista1">
    <w:name w:val="Párrafo de lista1"/>
    <w:basedOn w:val="Normal"/>
    <w:rsid w:val="000B6E38"/>
    <w:pPr>
      <w:ind w:left="720"/>
      <w:contextualSpacing/>
    </w:pPr>
    <w:rPr>
      <w:lang w:val="en-US"/>
    </w:rPr>
  </w:style>
  <w:style w:type="paragraph" w:styleId="CommentText">
    <w:name w:val="annotation text"/>
    <w:basedOn w:val="Normal"/>
    <w:link w:val="CommentTextChar"/>
    <w:semiHidden/>
    <w:rsid w:val="000B6E38"/>
    <w:rPr>
      <w:sz w:val="20"/>
      <w:szCs w:val="20"/>
    </w:rPr>
  </w:style>
  <w:style w:type="paragraph" w:styleId="BodyTextIndent3">
    <w:name w:val="Body Text Indent 3"/>
    <w:basedOn w:val="Normal"/>
    <w:rsid w:val="00414191"/>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ind w:left="360"/>
      <w:jc w:val="both"/>
    </w:pPr>
    <w:rPr>
      <w:rFonts w:ascii="CG Times" w:hAnsi="CG Times"/>
      <w:sz w:val="16"/>
      <w:szCs w:val="16"/>
    </w:rPr>
  </w:style>
  <w:style w:type="character" w:styleId="CommentReference">
    <w:name w:val="annotation reference"/>
    <w:semiHidden/>
    <w:rsid w:val="006623C0"/>
    <w:rPr>
      <w:sz w:val="16"/>
      <w:szCs w:val="16"/>
    </w:rPr>
  </w:style>
  <w:style w:type="character" w:customStyle="1" w:styleId="CommentTextChar">
    <w:name w:val="Comment Text Char"/>
    <w:link w:val="CommentText"/>
    <w:semiHidden/>
    <w:locked/>
    <w:rsid w:val="003752F5"/>
    <w:rPr>
      <w:lang w:val="es-ES" w:eastAsia="en-US" w:bidi="ar-SA"/>
    </w:rPr>
  </w:style>
  <w:style w:type="character" w:customStyle="1" w:styleId="FootnoteTextChar">
    <w:name w:val="Footnote Text Char"/>
    <w:link w:val="FootnoteText"/>
    <w:rsid w:val="00626AB2"/>
    <w:rPr>
      <w:lang w:val="es-ES"/>
    </w:rPr>
  </w:style>
  <w:style w:type="paragraph" w:styleId="ListParagraph">
    <w:name w:val="List Paragraph"/>
    <w:basedOn w:val="Normal"/>
    <w:uiPriority w:val="34"/>
    <w:qFormat/>
    <w:rsid w:val="003A13F2"/>
    <w:pPr>
      <w:ind w:left="720"/>
    </w:pPr>
  </w:style>
  <w:style w:type="paragraph" w:styleId="CommentSubject">
    <w:name w:val="annotation subject"/>
    <w:basedOn w:val="CommentText"/>
    <w:next w:val="CommentText"/>
    <w:link w:val="CommentSubjectChar"/>
    <w:rsid w:val="00E35492"/>
    <w:rPr>
      <w:b/>
      <w:bCs/>
    </w:rPr>
  </w:style>
  <w:style w:type="character" w:customStyle="1" w:styleId="CommentSubjectChar">
    <w:name w:val="Comment Subject Char"/>
    <w:link w:val="CommentSubject"/>
    <w:rsid w:val="00E35492"/>
    <w:rPr>
      <w:b/>
      <w:bCs/>
      <w:lang w:val="es-ES" w:eastAsia="en-US" w:bidi="ar-SA"/>
    </w:rPr>
  </w:style>
  <w:style w:type="character" w:styleId="Hyperlink">
    <w:name w:val="Hyperlink"/>
    <w:uiPriority w:val="99"/>
    <w:unhideWhenUsed/>
    <w:rsid w:val="006C3D51"/>
    <w:rPr>
      <w:strike w:val="0"/>
      <w:dstrike w:val="0"/>
      <w:color w:val="0D499C"/>
      <w:u w:val="none"/>
      <w:effect w:val="none"/>
    </w:rPr>
  </w:style>
  <w:style w:type="character" w:customStyle="1" w:styleId="normaltextrun">
    <w:name w:val="normaltextrun"/>
    <w:basedOn w:val="DefaultParagraphFont"/>
    <w:rsid w:val="00933CEC"/>
  </w:style>
  <w:style w:type="character" w:customStyle="1" w:styleId="tabchar">
    <w:name w:val="tabchar"/>
    <w:basedOn w:val="DefaultParagraphFont"/>
    <w:rsid w:val="00933CEC"/>
  </w:style>
  <w:style w:type="character" w:customStyle="1" w:styleId="eop">
    <w:name w:val="eop"/>
    <w:basedOn w:val="DefaultParagraphFont"/>
    <w:rsid w:val="00A91100"/>
  </w:style>
  <w:style w:type="paragraph" w:styleId="Revision">
    <w:name w:val="Revision"/>
    <w:hidden/>
    <w:uiPriority w:val="99"/>
    <w:semiHidden/>
    <w:rsid w:val="0010038D"/>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960">
      <w:bodyDiv w:val="1"/>
      <w:marLeft w:val="0"/>
      <w:marRight w:val="0"/>
      <w:marTop w:val="0"/>
      <w:marBottom w:val="0"/>
      <w:divBdr>
        <w:top w:val="none" w:sz="0" w:space="0" w:color="auto"/>
        <w:left w:val="none" w:sz="0" w:space="0" w:color="auto"/>
        <w:bottom w:val="none" w:sz="0" w:space="0" w:color="auto"/>
        <w:right w:val="none" w:sz="0" w:space="0" w:color="auto"/>
      </w:divBdr>
    </w:div>
    <w:div w:id="610556879">
      <w:bodyDiv w:val="1"/>
      <w:marLeft w:val="0"/>
      <w:marRight w:val="0"/>
      <w:marTop w:val="0"/>
      <w:marBottom w:val="0"/>
      <w:divBdr>
        <w:top w:val="none" w:sz="0" w:space="0" w:color="auto"/>
        <w:left w:val="none" w:sz="0" w:space="0" w:color="auto"/>
        <w:bottom w:val="none" w:sz="0" w:space="0" w:color="auto"/>
        <w:right w:val="none" w:sz="0" w:space="0" w:color="auto"/>
      </w:divBdr>
    </w:div>
    <w:div w:id="746342784">
      <w:bodyDiv w:val="1"/>
      <w:marLeft w:val="0"/>
      <w:marRight w:val="0"/>
      <w:marTop w:val="0"/>
      <w:marBottom w:val="0"/>
      <w:divBdr>
        <w:top w:val="none" w:sz="0" w:space="0" w:color="auto"/>
        <w:left w:val="none" w:sz="0" w:space="0" w:color="auto"/>
        <w:bottom w:val="none" w:sz="0" w:space="0" w:color="auto"/>
        <w:right w:val="none" w:sz="0" w:space="0" w:color="auto"/>
      </w:divBdr>
    </w:div>
    <w:div w:id="758477657">
      <w:bodyDiv w:val="1"/>
      <w:marLeft w:val="0"/>
      <w:marRight w:val="0"/>
      <w:marTop w:val="0"/>
      <w:marBottom w:val="0"/>
      <w:divBdr>
        <w:top w:val="none" w:sz="0" w:space="0" w:color="auto"/>
        <w:left w:val="none" w:sz="0" w:space="0" w:color="auto"/>
        <w:bottom w:val="none" w:sz="0" w:space="0" w:color="auto"/>
        <w:right w:val="none" w:sz="0" w:space="0" w:color="auto"/>
      </w:divBdr>
    </w:div>
    <w:div w:id="800877679">
      <w:bodyDiv w:val="1"/>
      <w:marLeft w:val="0"/>
      <w:marRight w:val="0"/>
      <w:marTop w:val="0"/>
      <w:marBottom w:val="0"/>
      <w:divBdr>
        <w:top w:val="none" w:sz="0" w:space="0" w:color="auto"/>
        <w:left w:val="none" w:sz="0" w:space="0" w:color="auto"/>
        <w:bottom w:val="none" w:sz="0" w:space="0" w:color="auto"/>
        <w:right w:val="none" w:sz="0" w:space="0" w:color="auto"/>
      </w:divBdr>
    </w:div>
    <w:div w:id="1041593686">
      <w:bodyDiv w:val="1"/>
      <w:marLeft w:val="0"/>
      <w:marRight w:val="0"/>
      <w:marTop w:val="0"/>
      <w:marBottom w:val="0"/>
      <w:divBdr>
        <w:top w:val="none" w:sz="0" w:space="0" w:color="auto"/>
        <w:left w:val="none" w:sz="0" w:space="0" w:color="auto"/>
        <w:bottom w:val="none" w:sz="0" w:space="0" w:color="auto"/>
        <w:right w:val="none" w:sz="0" w:space="0" w:color="auto"/>
      </w:divBdr>
      <w:divsChild>
        <w:div w:id="245498109">
          <w:marLeft w:val="0"/>
          <w:marRight w:val="0"/>
          <w:marTop w:val="0"/>
          <w:marBottom w:val="0"/>
          <w:divBdr>
            <w:top w:val="none" w:sz="0" w:space="0" w:color="auto"/>
            <w:left w:val="none" w:sz="0" w:space="0" w:color="auto"/>
            <w:bottom w:val="none" w:sz="0" w:space="0" w:color="auto"/>
            <w:right w:val="none" w:sz="0" w:space="0" w:color="auto"/>
          </w:divBdr>
        </w:div>
        <w:div w:id="429542612">
          <w:marLeft w:val="0"/>
          <w:marRight w:val="0"/>
          <w:marTop w:val="0"/>
          <w:marBottom w:val="0"/>
          <w:divBdr>
            <w:top w:val="none" w:sz="0" w:space="0" w:color="auto"/>
            <w:left w:val="none" w:sz="0" w:space="0" w:color="auto"/>
            <w:bottom w:val="none" w:sz="0" w:space="0" w:color="auto"/>
            <w:right w:val="none" w:sz="0" w:space="0" w:color="auto"/>
          </w:divBdr>
        </w:div>
        <w:div w:id="1145975292">
          <w:marLeft w:val="0"/>
          <w:marRight w:val="0"/>
          <w:marTop w:val="0"/>
          <w:marBottom w:val="0"/>
          <w:divBdr>
            <w:top w:val="none" w:sz="0" w:space="0" w:color="auto"/>
            <w:left w:val="none" w:sz="0" w:space="0" w:color="auto"/>
            <w:bottom w:val="none" w:sz="0" w:space="0" w:color="auto"/>
            <w:right w:val="none" w:sz="0" w:space="0" w:color="auto"/>
          </w:divBdr>
        </w:div>
        <w:div w:id="1473713217">
          <w:marLeft w:val="0"/>
          <w:marRight w:val="0"/>
          <w:marTop w:val="0"/>
          <w:marBottom w:val="0"/>
          <w:divBdr>
            <w:top w:val="none" w:sz="0" w:space="0" w:color="auto"/>
            <w:left w:val="none" w:sz="0" w:space="0" w:color="auto"/>
            <w:bottom w:val="none" w:sz="0" w:space="0" w:color="auto"/>
            <w:right w:val="none" w:sz="0" w:space="0" w:color="auto"/>
          </w:divBdr>
        </w:div>
        <w:div w:id="1840729332">
          <w:marLeft w:val="0"/>
          <w:marRight w:val="0"/>
          <w:marTop w:val="0"/>
          <w:marBottom w:val="0"/>
          <w:divBdr>
            <w:top w:val="none" w:sz="0" w:space="0" w:color="auto"/>
            <w:left w:val="none" w:sz="0" w:space="0" w:color="auto"/>
            <w:bottom w:val="none" w:sz="0" w:space="0" w:color="auto"/>
            <w:right w:val="none" w:sz="0" w:space="0" w:color="auto"/>
          </w:divBdr>
        </w:div>
        <w:div w:id="2056393411">
          <w:marLeft w:val="0"/>
          <w:marRight w:val="0"/>
          <w:marTop w:val="0"/>
          <w:marBottom w:val="0"/>
          <w:divBdr>
            <w:top w:val="none" w:sz="0" w:space="0" w:color="auto"/>
            <w:left w:val="none" w:sz="0" w:space="0" w:color="auto"/>
            <w:bottom w:val="none" w:sz="0" w:space="0" w:color="auto"/>
            <w:right w:val="none" w:sz="0" w:space="0" w:color="auto"/>
          </w:divBdr>
        </w:div>
      </w:divsChild>
    </w:div>
    <w:div w:id="1724255793">
      <w:bodyDiv w:val="1"/>
      <w:marLeft w:val="0"/>
      <w:marRight w:val="0"/>
      <w:marTop w:val="0"/>
      <w:marBottom w:val="0"/>
      <w:divBdr>
        <w:top w:val="none" w:sz="0" w:space="0" w:color="auto"/>
        <w:left w:val="none" w:sz="0" w:space="0" w:color="auto"/>
        <w:bottom w:val="none" w:sz="0" w:space="0" w:color="auto"/>
        <w:right w:val="none" w:sz="0" w:space="0" w:color="auto"/>
      </w:divBdr>
    </w:div>
    <w:div w:id="212133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oas.org/IDMS/Redirectpage.aspx?class=AG/doc.&amp;classNum=5717&amp;lan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4C177-F14D-4445-B9D4-296BA2E184E5}">
  <ds:schemaRefs>
    <ds:schemaRef ds:uri="http://schemas.microsoft.com/sharepoint/v3/contenttype/forms"/>
  </ds:schemaRefs>
</ds:datastoreItem>
</file>

<file path=customXml/itemProps2.xml><?xml version="1.0" encoding="utf-8"?>
<ds:datastoreItem xmlns:ds="http://schemas.openxmlformats.org/officeDocument/2006/customXml" ds:itemID="{64027323-A7C6-4C0A-A94D-37284D41FAEB}"/>
</file>

<file path=customXml/itemProps3.xml><?xml version="1.0" encoding="utf-8"?>
<ds:datastoreItem xmlns:ds="http://schemas.openxmlformats.org/officeDocument/2006/customXml" ds:itemID="{16ACBC97-DB38-4436-8E2D-F8AC1268C378}">
  <ds:schemaRefs>
    <ds:schemaRef ds:uri="http://schemas.openxmlformats.org/officeDocument/2006/bibliography"/>
  </ds:schemaRefs>
</ds:datastoreItem>
</file>

<file path=customXml/itemProps4.xml><?xml version="1.0" encoding="utf-8"?>
<ds:datastoreItem xmlns:ds="http://schemas.openxmlformats.org/officeDocument/2006/customXml" ds:itemID="{6058BF02-D829-4E07-A8B0-AC6F0979128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9191</Characters>
  <Application>Microsoft Office Word</Application>
  <DocSecurity>0</DocSecurity>
  <Lines>173</Lines>
  <Paragraphs>51</Paragraphs>
  <ScaleCrop>false</ScaleCrop>
  <HeadingPairs>
    <vt:vector size="2" baseType="variant">
      <vt:variant>
        <vt:lpstr>Title</vt:lpstr>
      </vt:variant>
      <vt:variant>
        <vt:i4>1</vt:i4>
      </vt:variant>
    </vt:vector>
  </HeadingPairs>
  <TitlesOfParts>
    <vt:vector size="1" baseType="lpstr">
      <vt:lpstr>SECOND TECHNICAL PREPARATORY MEETING</vt:lpstr>
    </vt:vector>
  </TitlesOfParts>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TECHNICAL PREPARATORY MEETING</dc:title>
  <dc:subject/>
  <dc:creator/>
  <cp:keywords/>
  <cp:lastModifiedBy/>
  <cp:revision>1</cp:revision>
  <cp:lastPrinted>1900-01-01T10:30:00Z</cp:lastPrinted>
  <dcterms:created xsi:type="dcterms:W3CDTF">2022-11-11T16:09:00Z</dcterms:created>
  <dcterms:modified xsi:type="dcterms:W3CDTF">2022-11-11T16:09:00Z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