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BE698D" w:rsidRPr="00777F6E" w:rsidRDefault="00B222EC">
      <w:pPr>
        <w:spacing w:line="308" w:lineRule="auto"/>
        <w:jc w:val="center"/>
        <w:rPr>
          <w:b/>
          <w:caps/>
          <w:sz w:val="42"/>
          <w:szCs w:val="42"/>
          <w:shd w:val="clear" w:color="auto" w:fill="F8F9FA"/>
          <w:lang w:val="fr-CA"/>
        </w:rPr>
      </w:pPr>
      <w:r w:rsidRPr="00777F6E">
        <w:rPr>
          <w:b/>
          <w:caps/>
          <w:lang w:val="fr-CA"/>
        </w:rPr>
        <w:t>QUESTIONNAIRE</w:t>
      </w:r>
    </w:p>
    <w:p w14:paraId="00000004" w14:textId="44C4D82B" w:rsidR="00BE698D" w:rsidRPr="00777F6E" w:rsidRDefault="00B222EC">
      <w:pPr>
        <w:spacing w:line="308" w:lineRule="auto"/>
        <w:jc w:val="center"/>
        <w:rPr>
          <w:b/>
          <w:caps/>
          <w:lang w:val="fr-CA"/>
        </w:rPr>
      </w:pPr>
      <w:r w:rsidRPr="00777F6E">
        <w:rPr>
          <w:b/>
          <w:caps/>
          <w:lang w:val="fr-CA"/>
        </w:rPr>
        <w:t xml:space="preserve">Maladies non transmissibles dans le cadre juridique </w:t>
      </w:r>
      <w:r w:rsidR="004421AA" w:rsidRPr="00777F6E">
        <w:rPr>
          <w:b/>
          <w:caps/>
          <w:lang w:val="fr-CA"/>
        </w:rPr>
        <w:t>interaméricain des droits humains</w:t>
      </w:r>
    </w:p>
    <w:p w14:paraId="00000005" w14:textId="77777777" w:rsidR="00BE698D" w:rsidRPr="00777F6E" w:rsidRDefault="00BE698D" w:rsidP="00777F6E">
      <w:pPr>
        <w:pBdr>
          <w:top w:val="nil"/>
          <w:left w:val="nil"/>
          <w:bottom w:val="nil"/>
          <w:right w:val="nil"/>
          <w:between w:val="nil"/>
        </w:pBdr>
        <w:spacing w:before="100" w:after="100"/>
        <w:jc w:val="both"/>
        <w:rPr>
          <w:b/>
          <w:caps/>
          <w:lang w:val="fr-CA"/>
        </w:rPr>
      </w:pPr>
    </w:p>
    <w:p w14:paraId="00000008" w14:textId="444B507E" w:rsidR="00BE698D" w:rsidRPr="004421AA" w:rsidRDefault="00B222EC" w:rsidP="00777F6E">
      <w:pPr>
        <w:numPr>
          <w:ilvl w:val="0"/>
          <w:numId w:val="9"/>
        </w:numPr>
        <w:pBdr>
          <w:top w:val="nil"/>
          <w:left w:val="nil"/>
          <w:bottom w:val="nil"/>
          <w:right w:val="nil"/>
          <w:between w:val="nil"/>
        </w:pBdr>
        <w:spacing w:before="100" w:after="100"/>
        <w:jc w:val="both"/>
        <w:rPr>
          <w:b/>
        </w:rPr>
      </w:pPr>
      <w:proofErr w:type="spellStart"/>
      <w:r w:rsidRPr="004421AA">
        <w:rPr>
          <w:b/>
          <w:u w:val="single"/>
        </w:rPr>
        <w:t>Présentation</w:t>
      </w:r>
      <w:proofErr w:type="spellEnd"/>
      <w:r w:rsidRPr="004421AA">
        <w:rPr>
          <w:b/>
          <w:u w:val="single"/>
        </w:rPr>
        <w:t xml:space="preserve"> et </w:t>
      </w:r>
      <w:proofErr w:type="spellStart"/>
      <w:r w:rsidRPr="004421AA">
        <w:rPr>
          <w:b/>
          <w:u w:val="single"/>
        </w:rPr>
        <w:t>objectif</w:t>
      </w:r>
      <w:proofErr w:type="spellEnd"/>
    </w:p>
    <w:p w14:paraId="5C1A92FD" w14:textId="5B11C92C" w:rsidR="004421AA"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La Rapporteuse Spéciale sur les droits économiques, sociaux, culturels et environnementaux (REDESCE) de la Commission interaméricaine des droits de l’homme (CIDH) préparera un rapport thématique sur les maladies non transmissibles (MNT) et les droits humains dans le système interaméricain. Considérant la prévalence élevée des MNT dans les régions américains et caraïbes</w:t>
      </w:r>
      <w:r w:rsidRPr="004421AA">
        <w:rPr>
          <w:vertAlign w:val="superscript"/>
        </w:rPr>
        <w:footnoteReference w:id="1"/>
      </w:r>
      <w:r w:rsidRPr="00777F6E">
        <w:rPr>
          <w:lang w:val="fr-CA"/>
        </w:rPr>
        <w:t>, le but de ce rapport est d'établir l'impact des MNT sur les droits humains dans la région, et les implications de leur</w:t>
      </w:r>
      <w:sdt>
        <w:sdtPr>
          <w:tag w:val="goog_rdk_0"/>
          <w:id w:val="10342386"/>
        </w:sdtPr>
        <w:sdtEndPr/>
        <w:sdtContent/>
      </w:sdt>
      <w:sdt>
        <w:sdtPr>
          <w:tag w:val="goog_rdk_1"/>
          <w:id w:val="-343250583"/>
        </w:sdtPr>
        <w:sdtEndPr/>
        <w:sdtContent/>
      </w:sdt>
      <w:r w:rsidRPr="00777F6E">
        <w:rPr>
          <w:lang w:val="fr-CA"/>
        </w:rPr>
        <w:t xml:space="preserve">s traitement et prévention par rapport aux obligations de </w:t>
      </w:r>
      <w:r w:rsidR="00BD3B09" w:rsidRPr="00777F6E">
        <w:rPr>
          <w:lang w:val="fr-CA"/>
        </w:rPr>
        <w:t xml:space="preserve">l’État </w:t>
      </w:r>
      <w:r w:rsidRPr="00777F6E">
        <w:rPr>
          <w:lang w:val="fr-CA"/>
        </w:rPr>
        <w:t>dans le cadre juridique du système interaméricain.</w:t>
      </w:r>
    </w:p>
    <w:p w14:paraId="7CE5E31A" w14:textId="77777777" w:rsidR="004421AA"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L'épidémie des MNT sur le continent américain représente un grave problème. Selon l'Organisation Mondiale de la Santé (OMS) et l'Organisation Panaméricaine de la Santé (OPS), les MNT sont les principales causes de décès à l'échelle mondiale</w:t>
      </w:r>
      <w:r w:rsidRPr="004421AA">
        <w:rPr>
          <w:vertAlign w:val="superscript"/>
        </w:rPr>
        <w:footnoteReference w:id="2"/>
      </w:r>
      <w:r w:rsidRPr="00777F6E">
        <w:rPr>
          <w:lang w:val="fr-CA"/>
        </w:rPr>
        <w:t xml:space="preserve"> et elles sont responsables d’un peu plus de 70 % des </w:t>
      </w:r>
      <w:proofErr w:type="spellStart"/>
      <w:r w:rsidRPr="00777F6E">
        <w:rPr>
          <w:lang w:val="fr-CA"/>
        </w:rPr>
        <w:t>décès</w:t>
      </w:r>
      <w:proofErr w:type="spellEnd"/>
      <w:r w:rsidRPr="00777F6E">
        <w:rPr>
          <w:lang w:val="fr-CA"/>
        </w:rPr>
        <w:t xml:space="preserve"> dans le monde</w:t>
      </w:r>
      <w:r w:rsidRPr="004421AA">
        <w:rPr>
          <w:vertAlign w:val="superscript"/>
        </w:rPr>
        <w:footnoteReference w:id="3"/>
      </w:r>
      <w:r w:rsidRPr="00777F6E">
        <w:rPr>
          <w:lang w:val="fr-CA"/>
        </w:rPr>
        <w:t xml:space="preserve"> (équivalent a à peu près de 5,5 millions de décès par an).</w:t>
      </w:r>
      <w:r w:rsidRPr="004421AA">
        <w:rPr>
          <w:vertAlign w:val="superscript"/>
        </w:rPr>
        <w:footnoteReference w:id="4"/>
      </w:r>
      <w:r w:rsidRPr="00777F6E">
        <w:rPr>
          <w:lang w:val="fr-CA"/>
        </w:rPr>
        <w:t xml:space="preserve"> Sur le continent américain, les MNT ont des effets encore plus nocifs et répandus, causant environ 80% des décès</w:t>
      </w:r>
      <w:r w:rsidRPr="004421AA">
        <w:rPr>
          <w:vertAlign w:val="superscript"/>
        </w:rPr>
        <w:footnoteReference w:id="5"/>
      </w:r>
      <w:r w:rsidRPr="00777F6E">
        <w:rPr>
          <w:lang w:val="fr-CA"/>
        </w:rPr>
        <w:t xml:space="preserve">, c’est à dire 5.5 </w:t>
      </w:r>
      <w:proofErr w:type="gramStart"/>
      <w:r w:rsidRPr="00777F6E">
        <w:rPr>
          <w:lang w:val="fr-CA"/>
        </w:rPr>
        <w:t>million</w:t>
      </w:r>
      <w:proofErr w:type="gramEnd"/>
      <w:r w:rsidRPr="00777F6E">
        <w:rPr>
          <w:lang w:val="fr-CA"/>
        </w:rPr>
        <w:t xml:space="preserve"> de décès par année</w:t>
      </w:r>
      <w:r w:rsidRPr="004421AA">
        <w:rPr>
          <w:vertAlign w:val="superscript"/>
        </w:rPr>
        <w:footnoteReference w:id="6"/>
      </w:r>
      <w:r w:rsidRPr="00777F6E">
        <w:rPr>
          <w:lang w:val="fr-CA"/>
        </w:rPr>
        <w:t>.</w:t>
      </w:r>
    </w:p>
    <w:p w14:paraId="0000000F" w14:textId="246C3B00" w:rsidR="00BE698D"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Cette prévalence a un impact sérieux sur la jouissance des droits humains, particulièrement sur le droit à la santé. Par exemple, les MNT imposent un fardeau sur les systèmes qui tendent à générer des problèmes d'accessibilité et de disponibilité. Ces dernières sont des composants essentiels du droit à la santé selon la</w:t>
      </w:r>
      <w:r w:rsidRPr="00777F6E">
        <w:rPr>
          <w:highlight w:val="white"/>
          <w:lang w:val="fr-CA"/>
        </w:rPr>
        <w:t xml:space="preserve"> </w:t>
      </w:r>
      <w:r w:rsidRPr="00777F6E">
        <w:rPr>
          <w:lang w:val="fr-CA"/>
        </w:rPr>
        <w:t xml:space="preserve">Commission interaméricaine des droits de l'homme, </w:t>
      </w:r>
      <w:r w:rsidRPr="00777F6E">
        <w:rPr>
          <w:highlight w:val="white"/>
          <w:lang w:val="fr-CA"/>
        </w:rPr>
        <w:t xml:space="preserve">la </w:t>
      </w:r>
      <w:r w:rsidRPr="00777F6E">
        <w:rPr>
          <w:lang w:val="fr-CA"/>
        </w:rPr>
        <w:t xml:space="preserve">Cour interaméricaine des droits de l'homme, et le Comité interaméricain des droits économiques, sociaux et culturels (CESCR), aussi bien qu’ont des implications pour les droits à la vie et à l'intégrité de la personne, entre autres. Additionnellement, le problème des MNT, particulièrement celles qui sont le produit des facteurs de risque modifiables, révèle la relevance fondamentale de l’adoption par les </w:t>
      </w:r>
      <w:r w:rsidR="00BD3B09" w:rsidRPr="00777F6E">
        <w:rPr>
          <w:lang w:val="fr-CA"/>
        </w:rPr>
        <w:t xml:space="preserve">États </w:t>
      </w:r>
      <w:r w:rsidRPr="00777F6E">
        <w:rPr>
          <w:lang w:val="fr-CA"/>
        </w:rPr>
        <w:t xml:space="preserve">d’une approche préventive à travers des interventions régulatoires adéquats qui réalisent effectivement la réduction d’incidence des MNT et ses impacts sur le droit à la santé </w:t>
      </w:r>
      <w:proofErr w:type="gramStart"/>
      <w:r w:rsidRPr="00777F6E">
        <w:rPr>
          <w:lang w:val="fr-CA"/>
        </w:rPr>
        <w:t>de</w:t>
      </w:r>
      <w:proofErr w:type="gramEnd"/>
      <w:r w:rsidRPr="00777F6E">
        <w:rPr>
          <w:lang w:val="fr-CA"/>
        </w:rPr>
        <w:t xml:space="preserve"> la population dans ses </w:t>
      </w:r>
      <w:proofErr w:type="spellStart"/>
      <w:r w:rsidRPr="00777F6E">
        <w:rPr>
          <w:lang w:val="fr-CA"/>
        </w:rPr>
        <w:t>jurisdictions</w:t>
      </w:r>
      <w:proofErr w:type="spellEnd"/>
      <w:r w:rsidRPr="00777F6E">
        <w:rPr>
          <w:lang w:val="fr-CA"/>
        </w:rPr>
        <w:t xml:space="preserve">.  </w:t>
      </w:r>
    </w:p>
    <w:p w14:paraId="00000011" w14:textId="77777777" w:rsidR="00BE698D"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 xml:space="preserve">Un problème qui a été rendu visible par la pandémie de COVID-19, et qui est </w:t>
      </w:r>
      <w:proofErr w:type="spellStart"/>
      <w:r w:rsidRPr="00777F6E">
        <w:rPr>
          <w:lang w:val="fr-CA"/>
        </w:rPr>
        <w:t>prochement</w:t>
      </w:r>
      <w:proofErr w:type="spellEnd"/>
      <w:r w:rsidRPr="00777F6E">
        <w:rPr>
          <w:lang w:val="fr-CA"/>
        </w:rPr>
        <w:t xml:space="preserve"> connecté aux maladies non transmissibles, est le rôle des déterminants sociaux de la santé. Les disparités dans la prévalence de ces maladies dans les groups les plus vulnérables - dans lesquels </w:t>
      </w:r>
      <w:r w:rsidRPr="00777F6E">
        <w:rPr>
          <w:lang w:val="fr-CA"/>
        </w:rPr>
        <w:lastRenderedPageBreak/>
        <w:t xml:space="preserve">la notion d'intersectionnalité est fondamental - et ses implications pour les disparités entre les groupes socioéconomiques des décédés à cause de COVID-19 en tout le continent, sont </w:t>
      </w:r>
      <w:proofErr w:type="gramStart"/>
      <w:r w:rsidRPr="00777F6E">
        <w:rPr>
          <w:lang w:val="fr-CA"/>
        </w:rPr>
        <w:t>des démonstrations flagrants</w:t>
      </w:r>
      <w:proofErr w:type="gramEnd"/>
      <w:r w:rsidRPr="00777F6E">
        <w:rPr>
          <w:lang w:val="fr-CA"/>
        </w:rPr>
        <w:t xml:space="preserve"> de ce situation. Donc, la magnitude de l’incidence des MNT dans la région, en plus d'être </w:t>
      </w:r>
      <w:proofErr w:type="spellStart"/>
      <w:r w:rsidRPr="00777F6E">
        <w:rPr>
          <w:lang w:val="fr-CA"/>
        </w:rPr>
        <w:t>directemente</w:t>
      </w:r>
      <w:proofErr w:type="spellEnd"/>
      <w:r w:rsidRPr="00777F6E">
        <w:rPr>
          <w:lang w:val="fr-CA"/>
        </w:rPr>
        <w:t xml:space="preserve"> lié avec les droits à la santé, à la vie, et à l'intégrité de la personne, est aussi directement lié avec les principes d’égalité et de la </w:t>
      </w:r>
      <w:proofErr w:type="spellStart"/>
      <w:proofErr w:type="gramStart"/>
      <w:r w:rsidRPr="00777F6E">
        <w:rPr>
          <w:lang w:val="fr-CA"/>
        </w:rPr>
        <w:t>non discrimination</w:t>
      </w:r>
      <w:proofErr w:type="spellEnd"/>
      <w:proofErr w:type="gramEnd"/>
      <w:r w:rsidRPr="00777F6E">
        <w:rPr>
          <w:lang w:val="fr-CA"/>
        </w:rPr>
        <w:t xml:space="preserve">. </w:t>
      </w:r>
    </w:p>
    <w:p w14:paraId="69409071" w14:textId="2E89C8BE" w:rsidR="004421AA"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 xml:space="preserve">Pour tout l'antérieur, la REDESCA va commencer la procédure d’élaboration du rapport thématique mentionné pour la considération de la CIDH. Ce rapport cherche que la REDESCA, dans l’exercice de son mandat, analyse la situation dans la région, établit </w:t>
      </w:r>
      <w:proofErr w:type="gramStart"/>
      <w:r w:rsidRPr="00777F6E">
        <w:rPr>
          <w:lang w:val="fr-CA"/>
        </w:rPr>
        <w:t>des normes interaméricains</w:t>
      </w:r>
      <w:proofErr w:type="gramEnd"/>
      <w:r w:rsidRPr="00777F6E">
        <w:rPr>
          <w:lang w:val="fr-CA"/>
        </w:rPr>
        <w:t xml:space="preserve"> en la matière, souligne les bonnes pratiques des </w:t>
      </w:r>
      <w:r w:rsidR="00BD3B09" w:rsidRPr="00777F6E">
        <w:rPr>
          <w:lang w:val="fr-CA"/>
        </w:rPr>
        <w:t>États</w:t>
      </w:r>
      <w:r w:rsidRPr="00777F6E">
        <w:rPr>
          <w:lang w:val="fr-CA"/>
        </w:rPr>
        <w:t xml:space="preserve">, et offre des recommandations pour les orienter dans son lutte contre les MNT à la lumière de ses obligations interaméricains de droits humains. </w:t>
      </w:r>
    </w:p>
    <w:p w14:paraId="00000015" w14:textId="3CF27859" w:rsidR="00BE698D"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Aux fins de la préparation de ce rapport, les MNT seront définies comme un groupe de conditions pas principalement causé par un infection aiguës, et qui donne comme résultat conséquences sanitaires à long terme, et qui fréquemment créent la nécessité du traitement et soins à long terme</w:t>
      </w:r>
      <w:r w:rsidRPr="004421AA">
        <w:rPr>
          <w:vertAlign w:val="superscript"/>
        </w:rPr>
        <w:footnoteReference w:id="7"/>
      </w:r>
      <w:r w:rsidRPr="00777F6E">
        <w:rPr>
          <w:lang w:val="fr-CA"/>
        </w:rPr>
        <w:t xml:space="preserve">. Les MNT incluent principalement les cancers, les maladies cardiovasculaires, le </w:t>
      </w:r>
      <w:proofErr w:type="spellStart"/>
      <w:r w:rsidRPr="00777F6E">
        <w:rPr>
          <w:lang w:val="fr-CA"/>
        </w:rPr>
        <w:t>diabète</w:t>
      </w:r>
      <w:proofErr w:type="spellEnd"/>
      <w:r w:rsidRPr="00777F6E">
        <w:rPr>
          <w:lang w:val="fr-CA"/>
        </w:rPr>
        <w:t>, les affections respiratoires chroniques</w:t>
      </w:r>
      <w:r w:rsidR="00BD3B09">
        <w:rPr>
          <w:rStyle w:val="FootnoteReference"/>
        </w:rPr>
        <w:footnoteReference w:id="8"/>
      </w:r>
      <w:r w:rsidRPr="00777F6E">
        <w:rPr>
          <w:lang w:val="fr-CA"/>
        </w:rPr>
        <w:t>, et des problèmes de santé mentale</w:t>
      </w:r>
      <w:r w:rsidRPr="004421AA">
        <w:rPr>
          <w:vertAlign w:val="superscript"/>
        </w:rPr>
        <w:footnoteReference w:id="9"/>
      </w:r>
      <w:r w:rsidRPr="00777F6E">
        <w:rPr>
          <w:lang w:val="fr-CA"/>
        </w:rPr>
        <w:t>.</w:t>
      </w:r>
    </w:p>
    <w:p w14:paraId="00000016" w14:textId="77777777" w:rsidR="00BE698D" w:rsidRPr="00777F6E" w:rsidRDefault="00BE698D" w:rsidP="00777F6E">
      <w:pPr>
        <w:pBdr>
          <w:top w:val="nil"/>
          <w:left w:val="nil"/>
          <w:bottom w:val="nil"/>
          <w:right w:val="nil"/>
          <w:between w:val="nil"/>
        </w:pBdr>
        <w:spacing w:before="100" w:after="100"/>
        <w:ind w:left="720"/>
        <w:jc w:val="both"/>
        <w:rPr>
          <w:lang w:val="fr-CA"/>
        </w:rPr>
      </w:pPr>
    </w:p>
    <w:p w14:paraId="00000019" w14:textId="040DC053" w:rsidR="00BE698D" w:rsidRPr="004421AA" w:rsidRDefault="00B222EC" w:rsidP="00777F6E">
      <w:pPr>
        <w:numPr>
          <w:ilvl w:val="0"/>
          <w:numId w:val="9"/>
        </w:numPr>
        <w:pBdr>
          <w:top w:val="nil"/>
          <w:left w:val="nil"/>
          <w:bottom w:val="nil"/>
          <w:right w:val="nil"/>
          <w:between w:val="nil"/>
        </w:pBdr>
        <w:spacing w:before="100" w:after="100"/>
        <w:jc w:val="both"/>
        <w:rPr>
          <w:b/>
        </w:rPr>
      </w:pPr>
      <w:r w:rsidRPr="004421AA">
        <w:rPr>
          <w:b/>
        </w:rPr>
        <w:t xml:space="preserve">Instructions </w:t>
      </w:r>
    </w:p>
    <w:p w14:paraId="0000001A" w14:textId="2A392C40" w:rsidR="00BE698D"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 xml:space="preserve">La REDESCA invite aux personnes ou institutions intéressés de présenter ses réponses à ce questionnaire avec des données statistiques, les cadres normatifs, les politiques publiques, les mécanismes de protection, les défis et les pratiques exemplaires, au plus tard le </w:t>
      </w:r>
      <w:r w:rsidR="00777F6E" w:rsidRPr="00777F6E">
        <w:rPr>
          <w:b/>
          <w:lang w:val="fr-CA"/>
        </w:rPr>
        <w:t>29 janvier 2023</w:t>
      </w:r>
      <w:r w:rsidRPr="00777F6E">
        <w:rPr>
          <w:lang w:val="fr-CA"/>
        </w:rPr>
        <w:t xml:space="preserve"> à l'adresse suivante:</w:t>
      </w:r>
    </w:p>
    <w:p w14:paraId="00000023" w14:textId="452FFE3E" w:rsidR="00BE698D" w:rsidRPr="00777F6E" w:rsidRDefault="00BE698D" w:rsidP="00777F6E">
      <w:pPr>
        <w:pBdr>
          <w:top w:val="nil"/>
          <w:left w:val="nil"/>
          <w:bottom w:val="nil"/>
          <w:right w:val="nil"/>
          <w:between w:val="nil"/>
        </w:pBdr>
        <w:jc w:val="both"/>
        <w:rPr>
          <w:lang w:val="fr-CA"/>
        </w:rPr>
      </w:pPr>
    </w:p>
    <w:p w14:paraId="00000024" w14:textId="77777777" w:rsidR="00BE698D" w:rsidRPr="00777F6E" w:rsidRDefault="00B222EC" w:rsidP="00777F6E">
      <w:pPr>
        <w:jc w:val="center"/>
        <w:rPr>
          <w:lang w:val="fr-CA"/>
        </w:rPr>
      </w:pPr>
      <w:r w:rsidRPr="00777F6E">
        <w:rPr>
          <w:lang w:val="fr-CA"/>
        </w:rPr>
        <w:t>Rapporteuse Spéciale sur les droits économiques, sociaux, culturels et environnementaux (REDESCE)</w:t>
      </w:r>
    </w:p>
    <w:p w14:paraId="00000025" w14:textId="77777777" w:rsidR="00BE698D" w:rsidRPr="00777F6E" w:rsidRDefault="00B222EC" w:rsidP="00777F6E">
      <w:pPr>
        <w:jc w:val="center"/>
        <w:rPr>
          <w:lang w:val="fr-CA"/>
        </w:rPr>
      </w:pPr>
      <w:r w:rsidRPr="00777F6E">
        <w:rPr>
          <w:lang w:val="fr-CA"/>
        </w:rPr>
        <w:t>Commission interaméricaine des droits de l’homme (CIDH)</w:t>
      </w:r>
    </w:p>
    <w:p w14:paraId="00000026" w14:textId="77777777" w:rsidR="00BE698D" w:rsidRPr="00777F6E" w:rsidRDefault="00B222EC" w:rsidP="00777F6E">
      <w:pPr>
        <w:jc w:val="center"/>
        <w:rPr>
          <w:lang w:val="fr-CA"/>
        </w:rPr>
      </w:pPr>
      <w:r w:rsidRPr="00777F6E">
        <w:rPr>
          <w:lang w:val="fr-CA"/>
        </w:rPr>
        <w:t>Organisation des États américains</w:t>
      </w:r>
    </w:p>
    <w:p w14:paraId="00000027" w14:textId="5E6EC6B4" w:rsidR="00BE698D" w:rsidRPr="00777F6E" w:rsidRDefault="00B222EC" w:rsidP="00777F6E">
      <w:pPr>
        <w:jc w:val="center"/>
        <w:rPr>
          <w:lang w:val="fr-CA"/>
        </w:rPr>
      </w:pPr>
      <w:r w:rsidRPr="00777F6E">
        <w:rPr>
          <w:lang w:val="fr-CA"/>
        </w:rPr>
        <w:t>Rapporteuse Spéciale sur les droits économiques, sociaux, culturels et environnementaux</w:t>
      </w:r>
    </w:p>
    <w:p w14:paraId="5AC9DA54" w14:textId="77777777" w:rsidR="00D8314E" w:rsidRPr="00777F6E" w:rsidRDefault="00D8314E" w:rsidP="00777F6E">
      <w:pPr>
        <w:jc w:val="center"/>
        <w:rPr>
          <w:lang w:val="fr-CA"/>
        </w:rPr>
      </w:pPr>
    </w:p>
    <w:p w14:paraId="00000028" w14:textId="77777777" w:rsidR="00BE698D" w:rsidRPr="004421AA" w:rsidRDefault="00B222EC" w:rsidP="00777F6E">
      <w:pPr>
        <w:jc w:val="center"/>
      </w:pPr>
      <w:r w:rsidRPr="004421AA">
        <w:t>1889 F St NW</w:t>
      </w:r>
    </w:p>
    <w:p w14:paraId="00000029" w14:textId="77777777" w:rsidR="00BE698D" w:rsidRPr="004421AA" w:rsidRDefault="00B222EC" w:rsidP="00777F6E">
      <w:pPr>
        <w:jc w:val="center"/>
      </w:pPr>
      <w:r w:rsidRPr="004421AA">
        <w:t>Washington, D.C. 20006</w:t>
      </w:r>
    </w:p>
    <w:p w14:paraId="0000002A" w14:textId="77777777" w:rsidR="00BE698D" w:rsidRPr="00777F6E" w:rsidRDefault="002E768D" w:rsidP="00777F6E">
      <w:pPr>
        <w:jc w:val="center"/>
        <w:rPr>
          <w:lang w:val="fr-CA"/>
        </w:rPr>
      </w:pPr>
      <w:hyperlink r:id="rId9">
        <w:r w:rsidR="00B222EC" w:rsidRPr="00777F6E">
          <w:rPr>
            <w:u w:val="single"/>
            <w:lang w:val="fr-CA"/>
          </w:rPr>
          <w:t>CIDH_DESCA@oas.org</w:t>
        </w:r>
      </w:hyperlink>
    </w:p>
    <w:p w14:paraId="0000002B" w14:textId="77777777" w:rsidR="00BE698D" w:rsidRPr="00777F6E" w:rsidRDefault="00BE698D" w:rsidP="00777F6E">
      <w:pPr>
        <w:pBdr>
          <w:top w:val="nil"/>
          <w:left w:val="nil"/>
          <w:bottom w:val="nil"/>
          <w:right w:val="nil"/>
          <w:between w:val="nil"/>
        </w:pBdr>
        <w:jc w:val="both"/>
        <w:rPr>
          <w:lang w:val="fr-CA"/>
        </w:rPr>
      </w:pPr>
    </w:p>
    <w:p w14:paraId="0000002D" w14:textId="6737D76C" w:rsidR="00BE698D" w:rsidRPr="00777F6E" w:rsidRDefault="00B222EC" w:rsidP="00777F6E">
      <w:pPr>
        <w:pBdr>
          <w:top w:val="nil"/>
          <w:left w:val="nil"/>
          <w:bottom w:val="nil"/>
          <w:right w:val="nil"/>
          <w:between w:val="nil"/>
        </w:pBdr>
        <w:spacing w:before="100" w:after="100"/>
        <w:jc w:val="both"/>
        <w:rPr>
          <w:lang w:val="fr-CA"/>
        </w:rPr>
      </w:pPr>
      <w:r w:rsidRPr="00777F6E">
        <w:rPr>
          <w:lang w:val="fr-CA"/>
        </w:rPr>
        <w:t>Au cas de soumissi</w:t>
      </w:r>
      <w:r w:rsidR="00D8314E" w:rsidRPr="00777F6E">
        <w:rPr>
          <w:lang w:val="fr-CA"/>
        </w:rPr>
        <w:t>ons de réponses électroniques</w:t>
      </w:r>
      <w:r w:rsidRPr="00777F6E">
        <w:rPr>
          <w:lang w:val="fr-CA"/>
        </w:rPr>
        <w:t xml:space="preserve">, s'il vous plaît veuillez inclure dans le champ objet: “Questionnaire- maladies </w:t>
      </w:r>
      <w:r w:rsidR="004421AA" w:rsidRPr="00777F6E">
        <w:rPr>
          <w:lang w:val="fr-CA"/>
        </w:rPr>
        <w:t xml:space="preserve">chroniques et </w:t>
      </w:r>
      <w:r w:rsidRPr="00777F6E">
        <w:rPr>
          <w:lang w:val="fr-CA"/>
        </w:rPr>
        <w:t>non transmissibles chroniques et DH”.</w:t>
      </w:r>
    </w:p>
    <w:p w14:paraId="0000002E" w14:textId="77777777" w:rsidR="00BE698D" w:rsidRPr="00777F6E" w:rsidRDefault="00BE698D" w:rsidP="00777F6E">
      <w:pPr>
        <w:pBdr>
          <w:top w:val="nil"/>
          <w:left w:val="nil"/>
          <w:bottom w:val="nil"/>
          <w:right w:val="nil"/>
          <w:between w:val="nil"/>
        </w:pBdr>
        <w:spacing w:before="100" w:after="100"/>
        <w:ind w:firstLine="720"/>
        <w:jc w:val="both"/>
        <w:rPr>
          <w:lang w:val="fr-CA"/>
        </w:rPr>
      </w:pPr>
    </w:p>
    <w:p w14:paraId="25019600" w14:textId="77777777" w:rsidR="004421AA"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 xml:space="preserve">L’information soumise en réponse au questionnaire peut répondre à tous ou à quelques points demandés. L’information peut être présentée en espagnol, anglais, portugais ou français. </w:t>
      </w:r>
      <w:r w:rsidRPr="00777F6E">
        <w:rPr>
          <w:lang w:val="fr-CA"/>
        </w:rPr>
        <w:lastRenderedPageBreak/>
        <w:t xml:space="preserve">Veuillez identifier le numéro des questions auxquelles vous répondez dans le document que vous en soumettez. De même, vous êtes invité à répondre directement à chaque </w:t>
      </w:r>
      <w:proofErr w:type="gramStart"/>
      <w:r w:rsidRPr="00777F6E">
        <w:rPr>
          <w:lang w:val="fr-CA"/>
        </w:rPr>
        <w:t>questions présentées</w:t>
      </w:r>
      <w:proofErr w:type="gramEnd"/>
      <w:r w:rsidRPr="00777F6E">
        <w:rPr>
          <w:lang w:val="fr-CA"/>
        </w:rPr>
        <w:t>, fournissant des informations concrètes et spécifiques que vous considérez comme étant les plus pertinentes et importantes.</w:t>
      </w:r>
    </w:p>
    <w:p w14:paraId="00000034" w14:textId="6AADB4E5" w:rsidR="00BE698D" w:rsidRPr="00777F6E" w:rsidRDefault="00B222EC" w:rsidP="00777F6E">
      <w:pPr>
        <w:pBdr>
          <w:top w:val="nil"/>
          <w:left w:val="nil"/>
          <w:bottom w:val="nil"/>
          <w:right w:val="nil"/>
          <w:between w:val="nil"/>
        </w:pBdr>
        <w:spacing w:before="100" w:after="100"/>
        <w:ind w:firstLine="720"/>
        <w:jc w:val="both"/>
        <w:rPr>
          <w:lang w:val="fr-CA"/>
        </w:rPr>
      </w:pPr>
      <w:r w:rsidRPr="00777F6E">
        <w:rPr>
          <w:lang w:val="fr-CA"/>
        </w:rPr>
        <w:t>Si vous présentez des annexes, il est demandé qu'elles soient clairement identifiées et distinguées du document principal. Vous pouvez aussi présenter des rapports déjà publiés sous forme d'annexes.</w:t>
      </w:r>
    </w:p>
    <w:p w14:paraId="00000035" w14:textId="77777777" w:rsidR="00BE698D" w:rsidRPr="00777F6E" w:rsidRDefault="00BE698D" w:rsidP="00777F6E">
      <w:pPr>
        <w:spacing w:before="100" w:after="100"/>
        <w:jc w:val="both"/>
        <w:rPr>
          <w:lang w:val="fr-CA"/>
        </w:rPr>
      </w:pPr>
    </w:p>
    <w:p w14:paraId="00000037" w14:textId="4FAC13C7" w:rsidR="00BE698D" w:rsidRPr="00D8314E" w:rsidRDefault="00B222EC" w:rsidP="00777F6E">
      <w:pPr>
        <w:numPr>
          <w:ilvl w:val="0"/>
          <w:numId w:val="9"/>
        </w:numPr>
        <w:pBdr>
          <w:top w:val="nil"/>
          <w:left w:val="nil"/>
          <w:bottom w:val="nil"/>
          <w:right w:val="nil"/>
          <w:between w:val="nil"/>
        </w:pBdr>
        <w:spacing w:before="100" w:after="100"/>
        <w:jc w:val="both"/>
        <w:rPr>
          <w:b/>
        </w:rPr>
      </w:pPr>
      <w:proofErr w:type="spellStart"/>
      <w:r w:rsidRPr="00D8314E">
        <w:rPr>
          <w:b/>
        </w:rPr>
        <w:t>Informations</w:t>
      </w:r>
      <w:proofErr w:type="spellEnd"/>
      <w:r w:rsidRPr="00D8314E">
        <w:rPr>
          <w:b/>
        </w:rPr>
        <w:t xml:space="preserve"> </w:t>
      </w:r>
      <w:proofErr w:type="spellStart"/>
      <w:r w:rsidRPr="00D8314E">
        <w:rPr>
          <w:b/>
        </w:rPr>
        <w:t>requises</w:t>
      </w:r>
      <w:proofErr w:type="spellEnd"/>
    </w:p>
    <w:p w14:paraId="0000003E" w14:textId="6EDB03EA" w:rsidR="00BE698D" w:rsidRPr="004421AA" w:rsidRDefault="00B222EC" w:rsidP="00777F6E">
      <w:pPr>
        <w:numPr>
          <w:ilvl w:val="0"/>
          <w:numId w:val="12"/>
        </w:numPr>
        <w:pBdr>
          <w:top w:val="nil"/>
          <w:left w:val="nil"/>
          <w:bottom w:val="nil"/>
          <w:right w:val="nil"/>
          <w:between w:val="nil"/>
        </w:pBdr>
        <w:spacing w:before="100" w:after="100"/>
        <w:ind w:left="450" w:firstLine="0"/>
        <w:jc w:val="both"/>
        <w:rPr>
          <w:b/>
          <w:u w:val="single"/>
        </w:rPr>
      </w:pPr>
      <w:proofErr w:type="spellStart"/>
      <w:r w:rsidRPr="004421AA">
        <w:rPr>
          <w:b/>
          <w:u w:val="single"/>
        </w:rPr>
        <w:t>Données</w:t>
      </w:r>
      <w:proofErr w:type="spellEnd"/>
      <w:r w:rsidRPr="004421AA">
        <w:rPr>
          <w:b/>
          <w:u w:val="single"/>
        </w:rPr>
        <w:t xml:space="preserve"> </w:t>
      </w:r>
      <w:proofErr w:type="spellStart"/>
      <w:r w:rsidRPr="004421AA">
        <w:rPr>
          <w:b/>
          <w:u w:val="single"/>
        </w:rPr>
        <w:t>statistiques</w:t>
      </w:r>
      <w:proofErr w:type="spellEnd"/>
    </w:p>
    <w:p w14:paraId="0000003F" w14:textId="2A0AD82C" w:rsidR="00BE698D" w:rsidRPr="00777F6E" w:rsidRDefault="00B222EC" w:rsidP="00777F6E">
      <w:pPr>
        <w:numPr>
          <w:ilvl w:val="0"/>
          <w:numId w:val="17"/>
        </w:numPr>
        <w:spacing w:before="100"/>
        <w:jc w:val="both"/>
        <w:rPr>
          <w:lang w:val="fr-CA"/>
        </w:rPr>
      </w:pPr>
      <w:r w:rsidRPr="00777F6E">
        <w:rPr>
          <w:lang w:val="fr-CA"/>
        </w:rPr>
        <w:t>I</w:t>
      </w:r>
      <w:r w:rsidR="00D8314E" w:rsidRPr="00777F6E">
        <w:rPr>
          <w:lang w:val="fr-CA"/>
        </w:rPr>
        <w:t>ndiquer si l’É</w:t>
      </w:r>
      <w:r w:rsidRPr="00777F6E">
        <w:rPr>
          <w:lang w:val="fr-CA"/>
        </w:rPr>
        <w:t>tat a des données statistiques officielles au cours des cinq dernières années, concernant:</w:t>
      </w:r>
    </w:p>
    <w:p w14:paraId="00000040" w14:textId="77777777" w:rsidR="00BE698D" w:rsidRPr="00777F6E" w:rsidRDefault="00B222EC" w:rsidP="00777F6E">
      <w:pPr>
        <w:numPr>
          <w:ilvl w:val="0"/>
          <w:numId w:val="10"/>
        </w:numPr>
        <w:jc w:val="both"/>
        <w:rPr>
          <w:lang w:val="fr-CA"/>
        </w:rPr>
      </w:pPr>
      <w:r w:rsidRPr="00777F6E">
        <w:rPr>
          <w:lang w:val="fr-CA"/>
        </w:rPr>
        <w:t xml:space="preserve">Les taux de mortalité et morbidité imputables aux MNT  </w:t>
      </w:r>
    </w:p>
    <w:p w14:paraId="00000041" w14:textId="77777777" w:rsidR="00BE698D" w:rsidRPr="00777F6E" w:rsidRDefault="00B222EC" w:rsidP="00777F6E">
      <w:pPr>
        <w:numPr>
          <w:ilvl w:val="0"/>
          <w:numId w:val="10"/>
        </w:numPr>
        <w:jc w:val="both"/>
        <w:rPr>
          <w:lang w:val="fr-CA"/>
        </w:rPr>
      </w:pPr>
      <w:r w:rsidRPr="00777F6E">
        <w:rPr>
          <w:lang w:val="fr-CA"/>
        </w:rPr>
        <w:t>Des données ventilées par les taux ou statistiques de mortalité et morbidité imputables aux MNT de certains groupes sociaux (par exemple, par sexe, genre, origine ethnique, nationalité, statut socio-économique, âge, conditions de santé préexistantes, statut de migrant, etc.)</w:t>
      </w:r>
    </w:p>
    <w:p w14:paraId="00000042" w14:textId="77777777" w:rsidR="00BE698D" w:rsidRPr="00777F6E" w:rsidRDefault="00B222EC" w:rsidP="00777F6E">
      <w:pPr>
        <w:numPr>
          <w:ilvl w:val="0"/>
          <w:numId w:val="10"/>
        </w:numPr>
        <w:jc w:val="both"/>
        <w:rPr>
          <w:lang w:val="fr-CA"/>
        </w:rPr>
      </w:pPr>
      <w:r w:rsidRPr="00777F6E">
        <w:rPr>
          <w:lang w:val="fr-CA"/>
        </w:rPr>
        <w:t>Les taux d'incidence de MNT chez les personnes infectées ou décédées de COVID-19</w:t>
      </w:r>
    </w:p>
    <w:p w14:paraId="00000043" w14:textId="77777777" w:rsidR="00BE698D" w:rsidRPr="00777F6E" w:rsidRDefault="00B222EC" w:rsidP="00777F6E">
      <w:pPr>
        <w:numPr>
          <w:ilvl w:val="0"/>
          <w:numId w:val="10"/>
        </w:numPr>
        <w:jc w:val="both"/>
        <w:rPr>
          <w:lang w:val="fr-CA"/>
        </w:rPr>
      </w:pPr>
      <w:r w:rsidRPr="00777F6E">
        <w:rPr>
          <w:lang w:val="fr-CA"/>
        </w:rPr>
        <w:t>L’incidence ou la présence des facteurs de risque modifiables de la population générale, et ventilées par groupes sociaux (par exemple, par sexe, genre, origine ethnique, nationalité, statut socio-économique, âge, conditions de santé préexistantes, statut de migrant, etc.)</w:t>
      </w:r>
    </w:p>
    <w:p w14:paraId="00000044" w14:textId="77777777" w:rsidR="00BE698D" w:rsidRPr="00777F6E" w:rsidRDefault="00BE698D" w:rsidP="00777F6E">
      <w:pPr>
        <w:pBdr>
          <w:top w:val="nil"/>
          <w:left w:val="nil"/>
          <w:bottom w:val="nil"/>
          <w:right w:val="nil"/>
          <w:between w:val="nil"/>
        </w:pBdr>
        <w:spacing w:before="100" w:after="100"/>
        <w:jc w:val="both"/>
        <w:rPr>
          <w:lang w:val="fr-CA"/>
        </w:rPr>
      </w:pPr>
    </w:p>
    <w:p w14:paraId="00000046" w14:textId="64B67B3B" w:rsidR="00BE698D" w:rsidRPr="00777F6E" w:rsidRDefault="00B222EC" w:rsidP="00777F6E">
      <w:pPr>
        <w:numPr>
          <w:ilvl w:val="0"/>
          <w:numId w:val="17"/>
        </w:numPr>
        <w:spacing w:before="100"/>
        <w:jc w:val="both"/>
        <w:rPr>
          <w:lang w:val="fr-CA"/>
        </w:rPr>
      </w:pPr>
      <w:r w:rsidRPr="00777F6E">
        <w:rPr>
          <w:lang w:val="fr-CA"/>
        </w:rPr>
        <w:t>Si possible, veuillez fournir ces données statistiques, ou indiquez où elles sont disponibles et accessibles. Si n’y a pas d’information générée par l'État, mais il y a des informations générées par des autres entités ou organisations, s’il vous plaît répondez aux questions ci-dessus, indiquant la source des données.</w:t>
      </w:r>
    </w:p>
    <w:p w14:paraId="00000047" w14:textId="77777777" w:rsidR="00BE698D" w:rsidRPr="00777F6E" w:rsidRDefault="00BE698D" w:rsidP="00777F6E">
      <w:pPr>
        <w:pBdr>
          <w:top w:val="nil"/>
          <w:left w:val="nil"/>
          <w:bottom w:val="nil"/>
          <w:right w:val="nil"/>
          <w:between w:val="nil"/>
        </w:pBdr>
        <w:spacing w:before="100" w:after="100"/>
        <w:ind w:left="1080"/>
        <w:jc w:val="both"/>
        <w:rPr>
          <w:lang w:val="fr-CA"/>
        </w:rPr>
      </w:pPr>
    </w:p>
    <w:p w14:paraId="00000055" w14:textId="5A19515C" w:rsidR="00BE698D" w:rsidRPr="004421AA" w:rsidRDefault="00B222EC" w:rsidP="00777F6E">
      <w:pPr>
        <w:numPr>
          <w:ilvl w:val="0"/>
          <w:numId w:val="12"/>
        </w:numPr>
        <w:pBdr>
          <w:top w:val="nil"/>
          <w:left w:val="nil"/>
          <w:bottom w:val="nil"/>
          <w:right w:val="nil"/>
          <w:between w:val="nil"/>
        </w:pBdr>
        <w:spacing w:before="100" w:after="100"/>
        <w:ind w:left="450" w:firstLine="0"/>
        <w:jc w:val="both"/>
        <w:rPr>
          <w:b/>
        </w:rPr>
      </w:pPr>
      <w:r w:rsidRPr="004421AA">
        <w:rPr>
          <w:b/>
          <w:u w:val="single"/>
        </w:rPr>
        <w:t xml:space="preserve">Les cadres </w:t>
      </w:r>
      <w:proofErr w:type="spellStart"/>
      <w:r w:rsidRPr="004421AA">
        <w:rPr>
          <w:b/>
          <w:u w:val="single"/>
        </w:rPr>
        <w:t>normatifs</w:t>
      </w:r>
      <w:proofErr w:type="spellEnd"/>
    </w:p>
    <w:p w14:paraId="00000056" w14:textId="77777777" w:rsidR="00BE698D" w:rsidRPr="00777F6E" w:rsidRDefault="00B222EC" w:rsidP="00777F6E">
      <w:pPr>
        <w:numPr>
          <w:ilvl w:val="0"/>
          <w:numId w:val="22"/>
        </w:numPr>
        <w:spacing w:before="100"/>
        <w:jc w:val="both"/>
        <w:rPr>
          <w:lang w:val="fr-CA"/>
        </w:rPr>
      </w:pPr>
      <w:r w:rsidRPr="00777F6E">
        <w:rPr>
          <w:lang w:val="fr-CA"/>
        </w:rPr>
        <w:t xml:space="preserve">Spécifier, s’ils existent, quelles sont </w:t>
      </w:r>
      <w:proofErr w:type="gramStart"/>
      <w:r w:rsidRPr="00777F6E">
        <w:rPr>
          <w:lang w:val="fr-CA"/>
        </w:rPr>
        <w:t>les loi</w:t>
      </w:r>
      <w:proofErr w:type="gramEnd"/>
      <w:r w:rsidRPr="00777F6E">
        <w:rPr>
          <w:lang w:val="fr-CA"/>
        </w:rPr>
        <w:t xml:space="preserve"> en vigueur dans les cadres juridiques nationaux et/ou locaux qui cherchent à reconnaître et à garantir:</w:t>
      </w:r>
    </w:p>
    <w:p w14:paraId="00000057" w14:textId="77777777" w:rsidR="00BE698D" w:rsidRPr="00777F6E" w:rsidRDefault="00B222EC" w:rsidP="00777F6E">
      <w:pPr>
        <w:numPr>
          <w:ilvl w:val="0"/>
          <w:numId w:val="10"/>
        </w:numPr>
        <w:jc w:val="both"/>
        <w:rPr>
          <w:lang w:val="fr-CA"/>
        </w:rPr>
      </w:pPr>
      <w:r w:rsidRPr="00777F6E">
        <w:rPr>
          <w:lang w:val="fr-CA"/>
        </w:rPr>
        <w:t>Le droit à la santé, particulièrement ses composante préventive et la provision des services</w:t>
      </w:r>
    </w:p>
    <w:p w14:paraId="00000058" w14:textId="77777777" w:rsidR="00BE698D" w:rsidRPr="00777F6E" w:rsidRDefault="00B222EC" w:rsidP="00777F6E">
      <w:pPr>
        <w:numPr>
          <w:ilvl w:val="0"/>
          <w:numId w:val="10"/>
        </w:numPr>
        <w:jc w:val="both"/>
        <w:rPr>
          <w:lang w:val="fr-CA"/>
        </w:rPr>
      </w:pPr>
      <w:r w:rsidRPr="00777F6E">
        <w:rPr>
          <w:lang w:val="fr-CA"/>
        </w:rPr>
        <w:t>Le droit à une nourriture suffisante</w:t>
      </w:r>
    </w:p>
    <w:p w14:paraId="00000059" w14:textId="77777777" w:rsidR="00BE698D" w:rsidRPr="00777F6E" w:rsidRDefault="00B222EC" w:rsidP="00777F6E">
      <w:pPr>
        <w:numPr>
          <w:ilvl w:val="0"/>
          <w:numId w:val="10"/>
        </w:numPr>
        <w:jc w:val="both"/>
        <w:rPr>
          <w:lang w:val="fr-CA"/>
        </w:rPr>
      </w:pPr>
      <w:r w:rsidRPr="00777F6E">
        <w:rPr>
          <w:lang w:val="fr-CA"/>
        </w:rPr>
        <w:t>Les droits à l'eau et à l'assainissement</w:t>
      </w:r>
    </w:p>
    <w:p w14:paraId="0000005A" w14:textId="77777777" w:rsidR="00BE698D" w:rsidRPr="00777F6E" w:rsidRDefault="00B222EC" w:rsidP="00777F6E">
      <w:pPr>
        <w:numPr>
          <w:ilvl w:val="0"/>
          <w:numId w:val="10"/>
        </w:numPr>
        <w:jc w:val="both"/>
        <w:rPr>
          <w:lang w:val="fr-CA"/>
        </w:rPr>
      </w:pPr>
      <w:r w:rsidRPr="00777F6E">
        <w:rPr>
          <w:lang w:val="fr-CA"/>
        </w:rPr>
        <w:t>Le droit à un environnement sain</w:t>
      </w:r>
    </w:p>
    <w:p w14:paraId="0000005B" w14:textId="77777777" w:rsidR="00BE698D" w:rsidRPr="00777F6E" w:rsidRDefault="00B222EC" w:rsidP="00777F6E">
      <w:pPr>
        <w:numPr>
          <w:ilvl w:val="0"/>
          <w:numId w:val="10"/>
        </w:numPr>
        <w:jc w:val="both"/>
        <w:rPr>
          <w:lang w:val="fr-CA"/>
        </w:rPr>
      </w:pPr>
      <w:r w:rsidRPr="00777F6E">
        <w:rPr>
          <w:lang w:val="fr-CA"/>
        </w:rPr>
        <w:t>Les principes d'égalité et de non-discrimination, par rapport aux droits économiques, sociaux et culturels, particulièrement aux droits à la santé, droit à une nourriture suffisante, droits à l'eau et à l'assainissement, ou droit à un environnement sain.</w:t>
      </w:r>
    </w:p>
    <w:p w14:paraId="0000005C" w14:textId="77777777" w:rsidR="00BE698D" w:rsidRPr="004421AA" w:rsidRDefault="00B222EC" w:rsidP="00777F6E">
      <w:pPr>
        <w:numPr>
          <w:ilvl w:val="0"/>
          <w:numId w:val="10"/>
        </w:numPr>
        <w:jc w:val="both"/>
      </w:pPr>
      <w:r w:rsidRPr="004421AA">
        <w:t xml:space="preserve">Le droit </w:t>
      </w:r>
      <w:proofErr w:type="spellStart"/>
      <w:r w:rsidRPr="004421AA">
        <w:t>d'accès</w:t>
      </w:r>
      <w:proofErr w:type="spellEnd"/>
      <w:r w:rsidRPr="004421AA">
        <w:t xml:space="preserve"> à </w:t>
      </w:r>
      <w:proofErr w:type="spellStart"/>
      <w:r w:rsidRPr="004421AA">
        <w:t>l’informations</w:t>
      </w:r>
      <w:proofErr w:type="spellEnd"/>
    </w:p>
    <w:p w14:paraId="0000005D" w14:textId="77777777" w:rsidR="00BE698D" w:rsidRPr="00777F6E" w:rsidRDefault="00B222EC" w:rsidP="00777F6E">
      <w:pPr>
        <w:numPr>
          <w:ilvl w:val="0"/>
          <w:numId w:val="10"/>
        </w:numPr>
        <w:jc w:val="both"/>
        <w:rPr>
          <w:lang w:val="fr-CA"/>
        </w:rPr>
      </w:pPr>
      <w:r w:rsidRPr="00777F6E">
        <w:rPr>
          <w:lang w:val="fr-CA"/>
        </w:rPr>
        <w:t>Le droit de bénéficier du progrès scientifique</w:t>
      </w:r>
    </w:p>
    <w:p w14:paraId="0000005E" w14:textId="77777777" w:rsidR="00BE698D" w:rsidRPr="00777F6E" w:rsidRDefault="00B222EC" w:rsidP="00777F6E">
      <w:pPr>
        <w:numPr>
          <w:ilvl w:val="0"/>
          <w:numId w:val="10"/>
        </w:numPr>
        <w:jc w:val="both"/>
        <w:rPr>
          <w:lang w:val="fr-CA"/>
        </w:rPr>
      </w:pPr>
      <w:r w:rsidRPr="00777F6E">
        <w:rPr>
          <w:lang w:val="fr-CA"/>
        </w:rPr>
        <w:lastRenderedPageBreak/>
        <w:t>Le droit à un recours effectif contre les violations de droits à la santé, droit à une nourriture suffisante, droits à l'eau et à l'assainissement, ou droit à un environnement sain.</w:t>
      </w:r>
    </w:p>
    <w:p w14:paraId="0000005F" w14:textId="77777777" w:rsidR="00BE698D" w:rsidRPr="00777F6E" w:rsidRDefault="00BE698D" w:rsidP="00777F6E">
      <w:pPr>
        <w:jc w:val="both"/>
        <w:rPr>
          <w:lang w:val="fr-CA"/>
        </w:rPr>
      </w:pPr>
    </w:p>
    <w:p w14:paraId="00000060" w14:textId="77777777" w:rsidR="00BE698D" w:rsidRPr="00777F6E" w:rsidRDefault="00B222EC" w:rsidP="00777F6E">
      <w:pPr>
        <w:numPr>
          <w:ilvl w:val="0"/>
          <w:numId w:val="22"/>
        </w:numPr>
        <w:spacing w:before="100"/>
        <w:jc w:val="both"/>
        <w:rPr>
          <w:lang w:val="fr-CA"/>
        </w:rPr>
      </w:pPr>
      <w:r w:rsidRPr="00777F6E">
        <w:rPr>
          <w:lang w:val="fr-CA"/>
        </w:rPr>
        <w:t>Si possible, fournissez les textes législatifs ou les cas judiciaires ou indiquez où ils peuvent être consultés.</w:t>
      </w:r>
    </w:p>
    <w:p w14:paraId="00000061" w14:textId="0E54C98A" w:rsidR="00BE698D" w:rsidRPr="00777F6E" w:rsidRDefault="00B222EC" w:rsidP="00777F6E">
      <w:pPr>
        <w:numPr>
          <w:ilvl w:val="0"/>
          <w:numId w:val="22"/>
        </w:numPr>
        <w:spacing w:before="100"/>
        <w:jc w:val="both"/>
        <w:rPr>
          <w:lang w:val="fr-CA"/>
        </w:rPr>
      </w:pPr>
      <w:r w:rsidRPr="00777F6E">
        <w:rPr>
          <w:lang w:val="fr-CA"/>
        </w:rPr>
        <w:t xml:space="preserve">Indiquer si </w:t>
      </w:r>
      <w:r w:rsidR="00BD3B09" w:rsidRPr="00777F6E">
        <w:rPr>
          <w:lang w:val="fr-CA"/>
        </w:rPr>
        <w:t xml:space="preserve">l’État </w:t>
      </w:r>
      <w:r w:rsidRPr="00777F6E">
        <w:rPr>
          <w:lang w:val="fr-CA"/>
        </w:rPr>
        <w:t xml:space="preserve">a ratifié la Convention-cadre de l’OMS pour la lutte antitabac, ainsi que les modifications de la réglementation et de la politique publique qui, s’il y a lieu, </w:t>
      </w:r>
      <w:proofErr w:type="spellStart"/>
      <w:proofErr w:type="gramStart"/>
      <w:r w:rsidRPr="00777F6E">
        <w:rPr>
          <w:lang w:val="fr-CA"/>
        </w:rPr>
        <w:t>on</w:t>
      </w:r>
      <w:proofErr w:type="spellEnd"/>
      <w:proofErr w:type="gramEnd"/>
      <w:r w:rsidRPr="00777F6E">
        <w:rPr>
          <w:lang w:val="fr-CA"/>
        </w:rPr>
        <w:t xml:space="preserve"> été mis en œuvre à la suite de la ratification.</w:t>
      </w:r>
    </w:p>
    <w:p w14:paraId="00000062" w14:textId="77777777" w:rsidR="00BE698D" w:rsidRPr="00777F6E" w:rsidRDefault="00BE698D" w:rsidP="00777F6E">
      <w:pPr>
        <w:spacing w:before="100"/>
        <w:ind w:left="1080"/>
        <w:jc w:val="both"/>
        <w:rPr>
          <w:lang w:val="fr-CA"/>
        </w:rPr>
      </w:pPr>
    </w:p>
    <w:p w14:paraId="0000006D" w14:textId="731F47CF" w:rsidR="00BE698D" w:rsidRPr="004421AA" w:rsidRDefault="00B222EC" w:rsidP="00777F6E">
      <w:pPr>
        <w:numPr>
          <w:ilvl w:val="0"/>
          <w:numId w:val="12"/>
        </w:numPr>
        <w:pBdr>
          <w:top w:val="nil"/>
          <w:left w:val="nil"/>
          <w:bottom w:val="nil"/>
          <w:right w:val="nil"/>
          <w:between w:val="nil"/>
        </w:pBdr>
        <w:spacing w:before="100" w:after="100"/>
        <w:ind w:left="450" w:firstLine="0"/>
        <w:jc w:val="both"/>
        <w:rPr>
          <w:b/>
        </w:rPr>
      </w:pPr>
      <w:r w:rsidRPr="004421AA">
        <w:rPr>
          <w:b/>
          <w:u w:val="single"/>
        </w:rPr>
        <w:t xml:space="preserve">Les politiques </w:t>
      </w:r>
      <w:proofErr w:type="spellStart"/>
      <w:r w:rsidRPr="004421AA">
        <w:rPr>
          <w:b/>
          <w:u w:val="single"/>
        </w:rPr>
        <w:t>publiques</w:t>
      </w:r>
      <w:proofErr w:type="spellEnd"/>
    </w:p>
    <w:p w14:paraId="0000006E" w14:textId="0BAFC8DA" w:rsidR="00BE698D" w:rsidRPr="00777F6E" w:rsidRDefault="00B222EC" w:rsidP="00777F6E">
      <w:pPr>
        <w:numPr>
          <w:ilvl w:val="0"/>
          <w:numId w:val="23"/>
        </w:numPr>
        <w:spacing w:before="100"/>
        <w:jc w:val="both"/>
        <w:rPr>
          <w:lang w:val="fr-CA"/>
        </w:rPr>
      </w:pPr>
      <w:r w:rsidRPr="00777F6E">
        <w:rPr>
          <w:lang w:val="fr-CA"/>
        </w:rPr>
        <w:t xml:space="preserve">Décrivez les politiques publiques, programmes, et les plans et mesures [state] ou nationaux que </w:t>
      </w:r>
      <w:r w:rsidR="00BD3B09" w:rsidRPr="00777F6E">
        <w:rPr>
          <w:lang w:val="fr-CA"/>
        </w:rPr>
        <w:t xml:space="preserve">l’État </w:t>
      </w:r>
      <w:r w:rsidRPr="00777F6E">
        <w:rPr>
          <w:lang w:val="fr-CA"/>
        </w:rPr>
        <w:t xml:space="preserve">a mis en œuvre au cours des cinq dernières années avec l’objectif de: </w:t>
      </w:r>
    </w:p>
    <w:p w14:paraId="0000006F" w14:textId="77777777" w:rsidR="00BE698D" w:rsidRPr="00777F6E" w:rsidRDefault="00B222EC" w:rsidP="00777F6E">
      <w:pPr>
        <w:numPr>
          <w:ilvl w:val="0"/>
          <w:numId w:val="20"/>
        </w:numPr>
        <w:pBdr>
          <w:top w:val="nil"/>
          <w:left w:val="nil"/>
          <w:bottom w:val="nil"/>
          <w:right w:val="nil"/>
          <w:between w:val="nil"/>
        </w:pBdr>
        <w:jc w:val="both"/>
        <w:rPr>
          <w:lang w:val="fr-CA"/>
        </w:rPr>
      </w:pPr>
      <w:r w:rsidRPr="00777F6E">
        <w:rPr>
          <w:lang w:val="fr-CA"/>
        </w:rPr>
        <w:t>Prévenir, diagnostiquer et fournir des services pour traiter les MNT</w:t>
      </w:r>
    </w:p>
    <w:p w14:paraId="00000070" w14:textId="77777777" w:rsidR="00BE698D" w:rsidRPr="00777F6E" w:rsidRDefault="00B222EC" w:rsidP="00777F6E">
      <w:pPr>
        <w:numPr>
          <w:ilvl w:val="0"/>
          <w:numId w:val="20"/>
        </w:numPr>
        <w:jc w:val="both"/>
        <w:rPr>
          <w:lang w:val="fr-CA"/>
        </w:rPr>
      </w:pPr>
      <w:r w:rsidRPr="00777F6E">
        <w:rPr>
          <w:lang w:val="fr-CA"/>
        </w:rPr>
        <w:t xml:space="preserve">Éliminer et/ou réduire des facteurs de risque modifiables qui contribuent à la fréquence des MNT </w:t>
      </w:r>
    </w:p>
    <w:p w14:paraId="00000071" w14:textId="77777777" w:rsidR="00BE698D" w:rsidRPr="00777F6E" w:rsidRDefault="00B222EC" w:rsidP="00777F6E">
      <w:pPr>
        <w:numPr>
          <w:ilvl w:val="0"/>
          <w:numId w:val="20"/>
        </w:numPr>
        <w:jc w:val="both"/>
        <w:rPr>
          <w:lang w:val="fr-CA"/>
        </w:rPr>
      </w:pPr>
      <w:r w:rsidRPr="00777F6E">
        <w:rPr>
          <w:lang w:val="fr-CA"/>
        </w:rPr>
        <w:t>Promouvoir l’adoption des modes de vie plus sains</w:t>
      </w:r>
    </w:p>
    <w:p w14:paraId="00000072" w14:textId="77777777" w:rsidR="00BE698D" w:rsidRPr="00777F6E" w:rsidRDefault="00B222EC" w:rsidP="00777F6E">
      <w:pPr>
        <w:numPr>
          <w:ilvl w:val="0"/>
          <w:numId w:val="20"/>
        </w:numPr>
        <w:jc w:val="both"/>
        <w:rPr>
          <w:lang w:val="fr-CA"/>
        </w:rPr>
      </w:pPr>
      <w:r w:rsidRPr="00777F6E">
        <w:rPr>
          <w:lang w:val="fr-CA"/>
        </w:rPr>
        <w:t xml:space="preserve">Sécuriser et garantir la nourriture qui est adéquate, culturellement appropriée, de bonne </w:t>
      </w:r>
      <w:proofErr w:type="spellStart"/>
      <w:r w:rsidRPr="00777F6E">
        <w:rPr>
          <w:lang w:val="fr-CA"/>
        </w:rPr>
        <w:t>qualitée</w:t>
      </w:r>
      <w:proofErr w:type="spellEnd"/>
      <w:r w:rsidRPr="00777F6E">
        <w:rPr>
          <w:lang w:val="fr-CA"/>
        </w:rPr>
        <w:t>, et durable.</w:t>
      </w:r>
    </w:p>
    <w:p w14:paraId="00000073" w14:textId="77777777" w:rsidR="00BE698D" w:rsidRPr="00777F6E" w:rsidRDefault="00B222EC" w:rsidP="00777F6E">
      <w:pPr>
        <w:numPr>
          <w:ilvl w:val="0"/>
          <w:numId w:val="20"/>
        </w:numPr>
        <w:jc w:val="both"/>
        <w:rPr>
          <w:lang w:val="fr-CA"/>
        </w:rPr>
      </w:pPr>
      <w:r w:rsidRPr="00777F6E">
        <w:rPr>
          <w:lang w:val="fr-CA"/>
        </w:rPr>
        <w:t xml:space="preserve">Éduquer et informer comment les MNT se développent, et comment les prévenir </w:t>
      </w:r>
    </w:p>
    <w:p w14:paraId="00000074" w14:textId="77777777" w:rsidR="00BE698D" w:rsidRPr="00777F6E" w:rsidRDefault="00BE698D" w:rsidP="00777F6E">
      <w:pPr>
        <w:jc w:val="both"/>
        <w:rPr>
          <w:lang w:val="fr-CA"/>
        </w:rPr>
      </w:pPr>
    </w:p>
    <w:p w14:paraId="00000077" w14:textId="044FD828" w:rsidR="00BE698D" w:rsidRPr="00777F6E" w:rsidRDefault="00B222EC" w:rsidP="00777F6E">
      <w:pPr>
        <w:pBdr>
          <w:top w:val="nil"/>
          <w:left w:val="nil"/>
          <w:bottom w:val="nil"/>
          <w:right w:val="nil"/>
          <w:between w:val="nil"/>
        </w:pBdr>
        <w:spacing w:before="100" w:after="100"/>
        <w:jc w:val="both"/>
        <w:rPr>
          <w:b/>
          <w:lang w:val="fr-CA"/>
        </w:rPr>
      </w:pPr>
      <w:r w:rsidRPr="00777F6E">
        <w:rPr>
          <w:b/>
          <w:u w:val="single"/>
          <w:lang w:val="fr-CA"/>
        </w:rPr>
        <w:t>Mécanismes de protection judiciaire et non judiciaire</w:t>
      </w:r>
    </w:p>
    <w:p w14:paraId="00000078" w14:textId="77777777" w:rsidR="00BE698D" w:rsidRPr="00777F6E" w:rsidRDefault="00B222EC" w:rsidP="00777F6E">
      <w:pPr>
        <w:pBdr>
          <w:top w:val="nil"/>
          <w:left w:val="nil"/>
          <w:bottom w:val="nil"/>
          <w:right w:val="nil"/>
          <w:between w:val="nil"/>
        </w:pBdr>
        <w:spacing w:before="100" w:after="100"/>
        <w:jc w:val="both"/>
        <w:rPr>
          <w:lang w:val="fr-CA"/>
        </w:rPr>
      </w:pPr>
      <w:r w:rsidRPr="00777F6E">
        <w:rPr>
          <w:lang w:val="fr-CA"/>
        </w:rPr>
        <w:t>Indiquer les mécanismes de protection judiciaire et non judiciaire disponibles pour protéger et garantir l'accès aux biens et services pour la prévention et le traitement des MNT, ou à l'élimination et la réduction des facteurs de risques qui contribuent à leur apparition.</w:t>
      </w:r>
    </w:p>
    <w:p w14:paraId="00000079" w14:textId="77777777" w:rsidR="00BE698D" w:rsidRPr="00777F6E" w:rsidRDefault="00BE698D" w:rsidP="00777F6E">
      <w:pPr>
        <w:pBdr>
          <w:top w:val="nil"/>
          <w:left w:val="nil"/>
          <w:bottom w:val="nil"/>
          <w:right w:val="nil"/>
          <w:between w:val="nil"/>
        </w:pBdr>
        <w:spacing w:before="100" w:after="100"/>
        <w:jc w:val="both"/>
        <w:rPr>
          <w:lang w:val="fr-CA"/>
        </w:rPr>
      </w:pPr>
    </w:p>
    <w:p w14:paraId="0000007C" w14:textId="572618B5" w:rsidR="00BE698D" w:rsidRPr="00777F6E" w:rsidRDefault="00B222EC" w:rsidP="00777F6E">
      <w:pPr>
        <w:pBdr>
          <w:top w:val="nil"/>
          <w:left w:val="nil"/>
          <w:bottom w:val="nil"/>
          <w:right w:val="nil"/>
          <w:between w:val="nil"/>
        </w:pBdr>
        <w:spacing w:before="100" w:after="100"/>
        <w:jc w:val="both"/>
        <w:rPr>
          <w:b/>
          <w:lang w:val="fr-CA"/>
        </w:rPr>
      </w:pPr>
      <w:r w:rsidRPr="00777F6E">
        <w:rPr>
          <w:b/>
          <w:u w:val="single"/>
          <w:lang w:val="fr-CA"/>
        </w:rPr>
        <w:t>Enjeux</w:t>
      </w:r>
    </w:p>
    <w:p w14:paraId="0000007D" w14:textId="77777777" w:rsidR="00BE698D" w:rsidRPr="00777F6E" w:rsidRDefault="00B222EC" w:rsidP="00777F6E">
      <w:pPr>
        <w:pBdr>
          <w:top w:val="nil"/>
          <w:left w:val="nil"/>
          <w:bottom w:val="nil"/>
          <w:right w:val="nil"/>
          <w:between w:val="nil"/>
        </w:pBdr>
        <w:spacing w:before="100" w:after="100"/>
        <w:jc w:val="both"/>
        <w:rPr>
          <w:lang w:val="fr-CA"/>
        </w:rPr>
      </w:pPr>
      <w:r w:rsidRPr="00777F6E">
        <w:rPr>
          <w:lang w:val="fr-CA"/>
        </w:rPr>
        <w:t>Indiquer quels sont les principaux enjeux structurels, juridiques, économiques, culturels, politiques et sociaux pour introduire les politiques et les programmes, plans ou normes légales, avec les objectifs de: (i) prévenir et traiter les MNT, et (ii) éliminer ou réduire leurs facteurs de risques.</w:t>
      </w:r>
    </w:p>
    <w:p w14:paraId="0000007E" w14:textId="77777777" w:rsidR="00BE698D" w:rsidRPr="00777F6E" w:rsidRDefault="00BE698D" w:rsidP="00777F6E">
      <w:pPr>
        <w:pBdr>
          <w:top w:val="nil"/>
          <w:left w:val="nil"/>
          <w:bottom w:val="nil"/>
          <w:right w:val="nil"/>
          <w:between w:val="nil"/>
        </w:pBdr>
        <w:spacing w:before="100" w:after="100"/>
        <w:jc w:val="both"/>
        <w:rPr>
          <w:b/>
          <w:u w:val="single"/>
          <w:lang w:val="fr-CA"/>
        </w:rPr>
      </w:pPr>
    </w:p>
    <w:p w14:paraId="00000084" w14:textId="3F45829C" w:rsidR="00BE698D" w:rsidRPr="00777F6E" w:rsidRDefault="00B222EC" w:rsidP="00777F6E">
      <w:pPr>
        <w:pBdr>
          <w:top w:val="nil"/>
          <w:left w:val="nil"/>
          <w:bottom w:val="nil"/>
          <w:right w:val="nil"/>
          <w:between w:val="nil"/>
        </w:pBdr>
        <w:spacing w:before="100" w:after="100"/>
        <w:jc w:val="both"/>
        <w:rPr>
          <w:b/>
          <w:lang w:val="fr-CA"/>
        </w:rPr>
      </w:pPr>
      <w:r w:rsidRPr="00777F6E">
        <w:rPr>
          <w:b/>
          <w:u w:val="single"/>
          <w:lang w:val="fr-CA"/>
        </w:rPr>
        <w:t>Meilleures pratiques</w:t>
      </w:r>
    </w:p>
    <w:p w14:paraId="00000085" w14:textId="58062022" w:rsidR="00BE698D" w:rsidRPr="00777F6E" w:rsidRDefault="00A30F1D" w:rsidP="00777F6E">
      <w:pPr>
        <w:spacing w:before="100" w:after="100"/>
        <w:jc w:val="both"/>
        <w:rPr>
          <w:lang w:val="fr-CA"/>
        </w:rPr>
      </w:pPr>
      <w:r w:rsidRPr="00777F6E">
        <w:rPr>
          <w:lang w:val="fr-CA"/>
        </w:rPr>
        <w:t>Si elles</w:t>
      </w:r>
      <w:r w:rsidR="00B222EC" w:rsidRPr="00777F6E">
        <w:rPr>
          <w:lang w:val="fr-CA"/>
        </w:rPr>
        <w:t xml:space="preserve"> n’ont pas déjà été mentionné</w:t>
      </w:r>
      <w:r w:rsidRPr="00777F6E">
        <w:rPr>
          <w:lang w:val="fr-CA"/>
        </w:rPr>
        <w:t>e</w:t>
      </w:r>
      <w:r w:rsidR="00B222EC" w:rsidRPr="00777F6E">
        <w:rPr>
          <w:lang w:val="fr-CA"/>
        </w:rPr>
        <w:t>s, indiquer les meilleures pratiques qui ont été mises en œuvre avec les objectifs de: (i) prévenir et traiter les MNT, et (ii) éliminer ou réduire leurs facteurs de risques.</w:t>
      </w:r>
    </w:p>
    <w:p w14:paraId="00000086" w14:textId="77777777" w:rsidR="00BE698D" w:rsidRPr="00777F6E" w:rsidRDefault="00BE698D" w:rsidP="00777F6E">
      <w:pPr>
        <w:spacing w:before="100" w:after="100"/>
        <w:jc w:val="both"/>
        <w:rPr>
          <w:lang w:val="fr-CA"/>
        </w:rPr>
      </w:pPr>
    </w:p>
    <w:p w14:paraId="00000088" w14:textId="77777777" w:rsidR="00BE698D" w:rsidRPr="004421AA" w:rsidRDefault="00B222EC" w:rsidP="00777F6E">
      <w:pPr>
        <w:spacing w:line="308" w:lineRule="auto"/>
        <w:jc w:val="both"/>
      </w:pPr>
      <w:r w:rsidRPr="004421AA">
        <w:t xml:space="preserve">Merci </w:t>
      </w:r>
      <w:proofErr w:type="spellStart"/>
      <w:r w:rsidRPr="004421AA">
        <w:t>d'avoir</w:t>
      </w:r>
      <w:proofErr w:type="spellEnd"/>
      <w:r w:rsidRPr="004421AA">
        <w:t xml:space="preserve"> </w:t>
      </w:r>
      <w:proofErr w:type="spellStart"/>
      <w:r w:rsidRPr="004421AA">
        <w:t>participé</w:t>
      </w:r>
      <w:proofErr w:type="spellEnd"/>
      <w:r w:rsidRPr="004421AA">
        <w:t>!</w:t>
      </w:r>
    </w:p>
    <w:p w14:paraId="00000089" w14:textId="77777777" w:rsidR="00BE698D" w:rsidRPr="004421AA" w:rsidRDefault="00BE698D" w:rsidP="00777F6E">
      <w:pPr>
        <w:pBdr>
          <w:top w:val="nil"/>
          <w:left w:val="nil"/>
          <w:bottom w:val="nil"/>
          <w:right w:val="nil"/>
          <w:between w:val="nil"/>
        </w:pBdr>
        <w:spacing w:before="100" w:after="100"/>
        <w:jc w:val="both"/>
      </w:pPr>
    </w:p>
    <w:sectPr w:rsidR="00BE698D" w:rsidRPr="004421AA">
      <w:headerReference w:type="default" r:id="rId10"/>
      <w:footerReference w:type="default" r:id="rId11"/>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19C0" w14:textId="77777777" w:rsidR="009B0CC0" w:rsidRDefault="009B0CC0">
      <w:r>
        <w:separator/>
      </w:r>
    </w:p>
  </w:endnote>
  <w:endnote w:type="continuationSeparator" w:id="0">
    <w:p w14:paraId="6B571297" w14:textId="77777777" w:rsidR="009B0CC0" w:rsidRDefault="009B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F7C3725" w:rsidR="00BE698D" w:rsidRDefault="00B222EC">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noProof/>
        <w:color w:val="000000"/>
      </w:rPr>
      <w:t>1</w:t>
    </w:r>
    <w:r>
      <w:rPr>
        <w:rFonts w:ascii="Times" w:eastAsia="Times" w:hAnsi="Times" w:cs="Time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C56A" w14:textId="77777777" w:rsidR="009B0CC0" w:rsidRDefault="009B0CC0">
      <w:r>
        <w:separator/>
      </w:r>
    </w:p>
  </w:footnote>
  <w:footnote w:type="continuationSeparator" w:id="0">
    <w:p w14:paraId="2CD9D33E" w14:textId="77777777" w:rsidR="009B0CC0" w:rsidRDefault="009B0CC0">
      <w:r>
        <w:continuationSeparator/>
      </w:r>
    </w:p>
  </w:footnote>
  <w:footnote w:id="1">
    <w:p w14:paraId="00000098" w14:textId="77777777" w:rsidR="00BE698D" w:rsidRPr="00777F6E" w:rsidRDefault="00B222EC">
      <w:pPr>
        <w:jc w:val="both"/>
        <w:rPr>
          <w:i/>
          <w:sz w:val="20"/>
          <w:szCs w:val="20"/>
          <w:lang w:val="fr-CA"/>
        </w:rPr>
      </w:pPr>
      <w:r w:rsidRPr="004421AA">
        <w:rPr>
          <w:rStyle w:val="FootnoteReference"/>
          <w:sz w:val="20"/>
          <w:szCs w:val="20"/>
        </w:rPr>
        <w:footnoteRef/>
      </w:r>
      <w:r w:rsidRPr="00777F6E">
        <w:rPr>
          <w:sz w:val="20"/>
          <w:szCs w:val="20"/>
          <w:lang w:val="fr-CA"/>
        </w:rPr>
        <w:t xml:space="preserve"> Voir OMS et OPS. </w:t>
      </w:r>
      <w:r w:rsidRPr="00777F6E">
        <w:rPr>
          <w:i/>
          <w:sz w:val="20"/>
          <w:szCs w:val="20"/>
          <w:lang w:val="fr-CA"/>
        </w:rPr>
        <w:t>Un Coup D'</w:t>
      </w:r>
      <w:proofErr w:type="spellStart"/>
      <w:r w:rsidRPr="00777F6E">
        <w:rPr>
          <w:i/>
          <w:sz w:val="20"/>
          <w:szCs w:val="20"/>
          <w:lang w:val="fr-CA"/>
        </w:rPr>
        <w:t>oeil</w:t>
      </w:r>
      <w:proofErr w:type="spellEnd"/>
      <w:r w:rsidRPr="00777F6E">
        <w:rPr>
          <w:i/>
          <w:sz w:val="20"/>
          <w:szCs w:val="20"/>
          <w:lang w:val="fr-CA"/>
        </w:rPr>
        <w:t xml:space="preserve"> sur les MNT. La mortalité imputable aux maladies non transmissibles et la prévalence des facteurs de risque dans la région américaine, 2019, p.4.  Disponible à: </w:t>
      </w:r>
      <w:r w:rsidR="002E768D">
        <w:fldChar w:fldCharType="begin"/>
      </w:r>
      <w:r w:rsidR="002E768D" w:rsidRPr="002E768D">
        <w:rPr>
          <w:lang w:val="fr-CA"/>
        </w:rPr>
        <w:instrText>HYPERLINK "https://iris.paho.org/handle/10665.</w:instrText>
      </w:r>
      <w:r w:rsidR="002E768D" w:rsidRPr="002E768D">
        <w:rPr>
          <w:lang w:val="fr-CA"/>
        </w:rPr>
        <w:instrText>2/51752" \h</w:instrText>
      </w:r>
      <w:r w:rsidR="002E768D">
        <w:fldChar w:fldCharType="separate"/>
      </w:r>
      <w:r w:rsidRPr="00777F6E">
        <w:rPr>
          <w:sz w:val="20"/>
          <w:szCs w:val="20"/>
          <w:u w:val="single"/>
          <w:lang w:val="fr-CA"/>
        </w:rPr>
        <w:t>https://iris.paho.org/handle/10665.2/51752</w:t>
      </w:r>
      <w:r w:rsidR="002E768D">
        <w:rPr>
          <w:sz w:val="20"/>
          <w:szCs w:val="20"/>
          <w:u w:val="single"/>
          <w:lang w:val="fr-CA"/>
        </w:rPr>
        <w:fldChar w:fldCharType="end"/>
      </w:r>
      <w:r w:rsidRPr="00777F6E">
        <w:rPr>
          <w:sz w:val="20"/>
          <w:szCs w:val="20"/>
          <w:lang w:val="fr-CA"/>
        </w:rPr>
        <w:t>.</w:t>
      </w:r>
    </w:p>
  </w:footnote>
  <w:footnote w:id="2">
    <w:p w14:paraId="00000099" w14:textId="77777777" w:rsidR="00BE698D" w:rsidRPr="00616605" w:rsidRDefault="00B222EC">
      <w:pPr>
        <w:rPr>
          <w:sz w:val="20"/>
          <w:szCs w:val="20"/>
          <w:lang w:val="es-419"/>
        </w:rPr>
      </w:pPr>
      <w:r w:rsidRPr="004421AA">
        <w:rPr>
          <w:rStyle w:val="FootnoteReference"/>
          <w:sz w:val="20"/>
          <w:szCs w:val="20"/>
        </w:rPr>
        <w:footnoteRef/>
      </w:r>
      <w:r w:rsidRPr="00777F6E">
        <w:rPr>
          <w:sz w:val="20"/>
          <w:szCs w:val="20"/>
          <w:lang w:val="fr-CA"/>
        </w:rPr>
        <w:t xml:space="preserve"> OMS et OPS. </w:t>
      </w:r>
      <w:r w:rsidRPr="00616605">
        <w:rPr>
          <w:sz w:val="20"/>
          <w:szCs w:val="20"/>
          <w:lang w:val="es-419"/>
        </w:rPr>
        <w:t xml:space="preserve">Prevención y control de los factores de riesgo de las enfermedades no transmisibles. Estado de la aplicación de las medidas costo eficaces en América Latina, 2019, pág. 5. Disponible en: </w:t>
      </w:r>
      <w:r w:rsidR="002E768D">
        <w:fldChar w:fldCharType="begin"/>
      </w:r>
      <w:r w:rsidR="002E768D" w:rsidRPr="002E768D">
        <w:rPr>
          <w:lang w:val="es-US"/>
        </w:rPr>
        <w:instrText>HYPERLINK "https://iris.paho.org/handle/10665.2/50833" \h</w:instrText>
      </w:r>
      <w:r w:rsidR="002E768D">
        <w:fldChar w:fldCharType="separate"/>
      </w:r>
      <w:r w:rsidRPr="00616605">
        <w:rPr>
          <w:sz w:val="20"/>
          <w:szCs w:val="20"/>
          <w:u w:val="single"/>
          <w:lang w:val="es-419"/>
        </w:rPr>
        <w:t>https://iris.paho.org/handle/10665.2/50833</w:t>
      </w:r>
      <w:r w:rsidR="002E768D">
        <w:rPr>
          <w:sz w:val="20"/>
          <w:szCs w:val="20"/>
          <w:u w:val="single"/>
          <w:lang w:val="es-419"/>
        </w:rPr>
        <w:fldChar w:fldCharType="end"/>
      </w:r>
    </w:p>
  </w:footnote>
  <w:footnote w:id="3">
    <w:p w14:paraId="0000009A" w14:textId="77777777" w:rsidR="00BE698D" w:rsidRPr="00777F6E" w:rsidRDefault="00B222EC">
      <w:pPr>
        <w:rPr>
          <w:sz w:val="20"/>
          <w:szCs w:val="20"/>
          <w:lang w:val="fr-CA"/>
        </w:rPr>
      </w:pPr>
      <w:r w:rsidRPr="004421AA">
        <w:rPr>
          <w:rStyle w:val="FootnoteReference"/>
          <w:sz w:val="20"/>
          <w:szCs w:val="20"/>
        </w:rPr>
        <w:footnoteRef/>
      </w:r>
      <w:r w:rsidRPr="00616605">
        <w:rPr>
          <w:sz w:val="20"/>
          <w:szCs w:val="20"/>
          <w:lang w:val="es-419"/>
        </w:rPr>
        <w:t xml:space="preserve"> OMS. Monitoreo de Avances en materia de las enfermedades no transmisibles 2020, pág. 1. </w:t>
      </w:r>
      <w:r w:rsidRPr="00777F6E">
        <w:rPr>
          <w:sz w:val="20"/>
          <w:szCs w:val="20"/>
          <w:lang w:val="fr-CA"/>
        </w:rPr>
        <w:t xml:space="preserve">Disponible en: </w:t>
      </w:r>
      <w:r w:rsidR="002E768D">
        <w:fldChar w:fldCharType="begin"/>
      </w:r>
      <w:r w:rsidR="002E768D" w:rsidRPr="002E768D">
        <w:rPr>
          <w:lang w:val="fr-CA"/>
        </w:rPr>
        <w:instrText>HYPERLINK "https://www.who.int/es/publications/i/item/ncd-progress-monitor-2020" \h</w:instrText>
      </w:r>
      <w:r w:rsidR="002E768D">
        <w:fldChar w:fldCharType="separate"/>
      </w:r>
      <w:r w:rsidRPr="00777F6E">
        <w:rPr>
          <w:sz w:val="20"/>
          <w:szCs w:val="20"/>
          <w:u w:val="single"/>
          <w:lang w:val="fr-CA"/>
        </w:rPr>
        <w:t>https://www.who.int/es/publications/i/item/ncd-progress-monitor-2020</w:t>
      </w:r>
      <w:r w:rsidR="002E768D">
        <w:rPr>
          <w:sz w:val="20"/>
          <w:szCs w:val="20"/>
          <w:u w:val="single"/>
          <w:lang w:val="fr-CA"/>
        </w:rPr>
        <w:fldChar w:fldCharType="end"/>
      </w:r>
      <w:r w:rsidRPr="00777F6E">
        <w:rPr>
          <w:sz w:val="20"/>
          <w:szCs w:val="20"/>
          <w:lang w:val="fr-CA"/>
        </w:rPr>
        <w:t xml:space="preserve">. </w:t>
      </w:r>
    </w:p>
  </w:footnote>
  <w:footnote w:id="4">
    <w:p w14:paraId="0000009B" w14:textId="77777777" w:rsidR="00BE698D" w:rsidRPr="00777F6E" w:rsidRDefault="00B222EC">
      <w:pPr>
        <w:rPr>
          <w:sz w:val="20"/>
          <w:szCs w:val="20"/>
          <w:lang w:val="fr-CA"/>
        </w:rPr>
      </w:pPr>
      <w:r w:rsidRPr="004421AA">
        <w:rPr>
          <w:rStyle w:val="FootnoteReference"/>
          <w:sz w:val="20"/>
          <w:szCs w:val="20"/>
        </w:rPr>
        <w:footnoteRef/>
      </w:r>
      <w:r w:rsidRPr="00777F6E">
        <w:rPr>
          <w:sz w:val="20"/>
          <w:szCs w:val="20"/>
          <w:lang w:val="fr-CA"/>
        </w:rPr>
        <w:t xml:space="preserve"> OMS et OPS. </w:t>
      </w:r>
      <w:r w:rsidRPr="00616605">
        <w:rPr>
          <w:sz w:val="20"/>
          <w:szCs w:val="20"/>
          <w:lang w:val="es-419"/>
        </w:rPr>
        <w:t xml:space="preserve">Enfermedades no transmisibles. Datos clave. </w:t>
      </w:r>
      <w:r w:rsidRPr="00777F6E">
        <w:rPr>
          <w:sz w:val="20"/>
          <w:szCs w:val="20"/>
          <w:lang w:val="fr-CA"/>
        </w:rPr>
        <w:t xml:space="preserve">Disponible en: </w:t>
      </w:r>
      <w:r w:rsidR="002E768D">
        <w:fldChar w:fldCharType="begin"/>
      </w:r>
      <w:r w:rsidR="002E768D" w:rsidRPr="002E768D">
        <w:rPr>
          <w:lang w:val="fr-CA"/>
        </w:rPr>
        <w:instrText>HYPERLINK "https://www.paho.org/es/temas/enfermedades-no-transmisibles" \h</w:instrText>
      </w:r>
      <w:r w:rsidR="002E768D">
        <w:fldChar w:fldCharType="separate"/>
      </w:r>
      <w:r w:rsidRPr="00777F6E">
        <w:rPr>
          <w:sz w:val="20"/>
          <w:szCs w:val="20"/>
          <w:u w:val="single"/>
          <w:lang w:val="fr-CA"/>
        </w:rPr>
        <w:t>https://www.paho.org/es/temas/enfermedades-no-transmisibles</w:t>
      </w:r>
      <w:r w:rsidR="002E768D">
        <w:rPr>
          <w:sz w:val="20"/>
          <w:szCs w:val="20"/>
          <w:u w:val="single"/>
          <w:lang w:val="fr-CA"/>
        </w:rPr>
        <w:fldChar w:fldCharType="end"/>
      </w:r>
      <w:r w:rsidRPr="00777F6E">
        <w:rPr>
          <w:sz w:val="20"/>
          <w:szCs w:val="20"/>
          <w:lang w:val="fr-CA"/>
        </w:rPr>
        <w:t>.</w:t>
      </w:r>
    </w:p>
  </w:footnote>
  <w:footnote w:id="5">
    <w:p w14:paraId="0000009C" w14:textId="77777777" w:rsidR="00BE698D" w:rsidRPr="00777F6E" w:rsidRDefault="00B222EC">
      <w:pPr>
        <w:rPr>
          <w:sz w:val="20"/>
          <w:szCs w:val="20"/>
          <w:lang w:val="fr-CA"/>
        </w:rPr>
      </w:pPr>
      <w:r w:rsidRPr="004421AA">
        <w:rPr>
          <w:rStyle w:val="FootnoteReference"/>
          <w:sz w:val="20"/>
          <w:szCs w:val="20"/>
        </w:rPr>
        <w:footnoteRef/>
      </w:r>
      <w:r w:rsidRPr="00777F6E">
        <w:rPr>
          <w:sz w:val="20"/>
          <w:szCs w:val="20"/>
          <w:lang w:val="fr-CA"/>
        </w:rPr>
        <w:t xml:space="preserve"> OMS et OPS. </w:t>
      </w:r>
      <w:r w:rsidRPr="00616605">
        <w:rPr>
          <w:sz w:val="20"/>
          <w:szCs w:val="20"/>
          <w:lang w:val="es-419"/>
        </w:rPr>
        <w:t xml:space="preserve">Las ENT de un vistazo. Mortalidad por enfermedades no transmisibles y prevalencia de sus factores de riesgo en la Región de las Américas, 2019, pág. 2. </w:t>
      </w:r>
      <w:r w:rsidRPr="00777F6E">
        <w:rPr>
          <w:sz w:val="20"/>
          <w:szCs w:val="20"/>
          <w:lang w:val="fr-CA"/>
        </w:rPr>
        <w:t xml:space="preserve">Disponible en: </w:t>
      </w:r>
      <w:r w:rsidR="002E768D">
        <w:fldChar w:fldCharType="begin"/>
      </w:r>
      <w:r w:rsidR="002E768D" w:rsidRPr="002E768D">
        <w:rPr>
          <w:lang w:val="fr-CA"/>
        </w:rPr>
        <w:instrText>HYPE</w:instrText>
      </w:r>
      <w:r w:rsidR="002E768D" w:rsidRPr="002E768D">
        <w:rPr>
          <w:lang w:val="fr-CA"/>
        </w:rPr>
        <w:instrText>RLINK "https://iris.paho.org/handle/10665.2/51752" \h</w:instrText>
      </w:r>
      <w:r w:rsidR="002E768D">
        <w:fldChar w:fldCharType="separate"/>
      </w:r>
      <w:r w:rsidRPr="00777F6E">
        <w:rPr>
          <w:sz w:val="20"/>
          <w:szCs w:val="20"/>
          <w:u w:val="single"/>
          <w:lang w:val="fr-CA"/>
        </w:rPr>
        <w:t>https://iris.paho.org/handle/10665.2/51752</w:t>
      </w:r>
      <w:r w:rsidR="002E768D">
        <w:rPr>
          <w:sz w:val="20"/>
          <w:szCs w:val="20"/>
          <w:u w:val="single"/>
          <w:lang w:val="fr-CA"/>
        </w:rPr>
        <w:fldChar w:fldCharType="end"/>
      </w:r>
      <w:r w:rsidRPr="00777F6E">
        <w:rPr>
          <w:sz w:val="20"/>
          <w:szCs w:val="20"/>
          <w:lang w:val="fr-CA"/>
        </w:rPr>
        <w:t>.</w:t>
      </w:r>
    </w:p>
  </w:footnote>
  <w:footnote w:id="6">
    <w:p w14:paraId="0000009D" w14:textId="77777777" w:rsidR="00BE698D" w:rsidRPr="00616605" w:rsidRDefault="00B222EC">
      <w:pPr>
        <w:rPr>
          <w:sz w:val="20"/>
          <w:szCs w:val="20"/>
          <w:lang w:val="es-419"/>
        </w:rPr>
      </w:pPr>
      <w:r w:rsidRPr="004421AA">
        <w:rPr>
          <w:rStyle w:val="FootnoteReference"/>
          <w:sz w:val="20"/>
          <w:szCs w:val="20"/>
        </w:rPr>
        <w:footnoteRef/>
      </w:r>
      <w:r w:rsidRPr="00777F6E">
        <w:rPr>
          <w:sz w:val="20"/>
          <w:szCs w:val="20"/>
          <w:lang w:val="fr-CA"/>
        </w:rPr>
        <w:t xml:space="preserve"> OMS et OPS. </w:t>
      </w:r>
      <w:r w:rsidRPr="00616605">
        <w:rPr>
          <w:sz w:val="20"/>
          <w:szCs w:val="20"/>
          <w:lang w:val="es-419"/>
        </w:rPr>
        <w:t xml:space="preserve">Las ENT de un vistazo. Mortalidad por enfermedades no transmisibles y prevalencia de sus factores de riesgo en la Región de las Américas, 2019, pág. 4. Disponible en: </w:t>
      </w:r>
      <w:r w:rsidR="002E768D">
        <w:fldChar w:fldCharType="begin"/>
      </w:r>
      <w:r w:rsidR="002E768D" w:rsidRPr="002E768D">
        <w:rPr>
          <w:lang w:val="es-US"/>
        </w:rPr>
        <w:instrText>HYPERLINK "https://iris.paho.org/handle/10665.2/51752" \h</w:instrText>
      </w:r>
      <w:r w:rsidR="002E768D">
        <w:fldChar w:fldCharType="separate"/>
      </w:r>
      <w:r w:rsidRPr="00616605">
        <w:rPr>
          <w:sz w:val="20"/>
          <w:szCs w:val="20"/>
          <w:u w:val="single"/>
          <w:lang w:val="es-419"/>
        </w:rPr>
        <w:t>https://iris.paho.org/handle/10665.2/51752</w:t>
      </w:r>
      <w:r w:rsidR="002E768D">
        <w:rPr>
          <w:sz w:val="20"/>
          <w:szCs w:val="20"/>
          <w:u w:val="single"/>
          <w:lang w:val="es-419"/>
        </w:rPr>
        <w:fldChar w:fldCharType="end"/>
      </w:r>
      <w:r w:rsidRPr="00616605">
        <w:rPr>
          <w:sz w:val="20"/>
          <w:szCs w:val="20"/>
          <w:lang w:val="es-419"/>
        </w:rPr>
        <w:t>.</w:t>
      </w:r>
    </w:p>
  </w:footnote>
  <w:footnote w:id="7">
    <w:p w14:paraId="00000097" w14:textId="77777777" w:rsidR="00BE698D" w:rsidRPr="00777F6E" w:rsidRDefault="00B222EC">
      <w:pPr>
        <w:jc w:val="both"/>
        <w:rPr>
          <w:sz w:val="20"/>
          <w:szCs w:val="20"/>
          <w:lang w:val="fr-CA"/>
        </w:rPr>
      </w:pPr>
      <w:r w:rsidRPr="004421AA">
        <w:rPr>
          <w:rStyle w:val="FootnoteReference"/>
          <w:sz w:val="20"/>
          <w:szCs w:val="20"/>
        </w:rPr>
        <w:footnoteRef/>
      </w:r>
      <w:r w:rsidRPr="00616605">
        <w:rPr>
          <w:sz w:val="20"/>
          <w:szCs w:val="20"/>
          <w:lang w:val="es-419"/>
        </w:rPr>
        <w:t xml:space="preserve"> </w:t>
      </w:r>
      <w:r w:rsidRPr="00616605">
        <w:rPr>
          <w:i/>
          <w:sz w:val="20"/>
          <w:szCs w:val="20"/>
          <w:lang w:val="es-419"/>
        </w:rPr>
        <w:t>Véase</w:t>
      </w:r>
      <w:r w:rsidRPr="00616605">
        <w:rPr>
          <w:sz w:val="20"/>
          <w:szCs w:val="20"/>
          <w:lang w:val="es-419"/>
        </w:rPr>
        <w:t xml:space="preserve"> OMS y OPS. </w:t>
      </w:r>
      <w:r w:rsidRPr="00616605">
        <w:rPr>
          <w:i/>
          <w:sz w:val="20"/>
          <w:szCs w:val="20"/>
          <w:lang w:val="es-419"/>
        </w:rPr>
        <w:t>Enfermedades no transmisibles</w:t>
      </w:r>
      <w:r w:rsidRPr="00616605">
        <w:rPr>
          <w:sz w:val="20"/>
          <w:szCs w:val="20"/>
          <w:lang w:val="es-419"/>
        </w:rPr>
        <w:t xml:space="preserve">. </w:t>
      </w:r>
      <w:r w:rsidRPr="00777F6E">
        <w:rPr>
          <w:sz w:val="20"/>
          <w:szCs w:val="20"/>
          <w:lang w:val="fr-CA"/>
        </w:rPr>
        <w:t xml:space="preserve">Disponible en: </w:t>
      </w:r>
      <w:r w:rsidR="002E768D">
        <w:fldChar w:fldCharType="begin"/>
      </w:r>
      <w:r w:rsidR="002E768D" w:rsidRPr="002E768D">
        <w:rPr>
          <w:lang w:val="fr-CA"/>
        </w:rPr>
        <w:instrText>HYPERLINK "https://www.paho.org/es/temas/enfermedades-no-transmisibles" \h</w:instrText>
      </w:r>
      <w:r w:rsidR="002E768D">
        <w:fldChar w:fldCharType="separate"/>
      </w:r>
      <w:r w:rsidRPr="00777F6E">
        <w:rPr>
          <w:sz w:val="20"/>
          <w:szCs w:val="20"/>
          <w:u w:val="single"/>
          <w:lang w:val="fr-CA"/>
        </w:rPr>
        <w:t>https://www.paho.org/es/temas/enfermedades-no-transmisibles</w:t>
      </w:r>
      <w:r w:rsidR="002E768D">
        <w:rPr>
          <w:sz w:val="20"/>
          <w:szCs w:val="20"/>
          <w:u w:val="single"/>
          <w:lang w:val="fr-CA"/>
        </w:rPr>
        <w:fldChar w:fldCharType="end"/>
      </w:r>
      <w:r w:rsidRPr="00777F6E">
        <w:rPr>
          <w:sz w:val="20"/>
          <w:szCs w:val="20"/>
          <w:lang w:val="fr-CA"/>
        </w:rPr>
        <w:t>.</w:t>
      </w:r>
    </w:p>
  </w:footnote>
  <w:footnote w:id="8">
    <w:p w14:paraId="3CFFCE8A" w14:textId="373D58E9" w:rsidR="00BD3B09" w:rsidRPr="00777F6E" w:rsidRDefault="00BD3B09">
      <w:pPr>
        <w:pStyle w:val="FootnoteText"/>
        <w:rPr>
          <w:rFonts w:ascii="Times New Roman" w:hAnsi="Times New Roman" w:cs="Times New Roman"/>
          <w:sz w:val="20"/>
          <w:szCs w:val="20"/>
        </w:rPr>
      </w:pPr>
      <w:r w:rsidRPr="00BD3B09">
        <w:rPr>
          <w:rStyle w:val="FootnoteReference"/>
          <w:rFonts w:ascii="Times New Roman" w:hAnsi="Times New Roman" w:cs="Times New Roman"/>
          <w:sz w:val="20"/>
          <w:szCs w:val="20"/>
        </w:rPr>
        <w:footnoteRef/>
      </w:r>
      <w:r w:rsidRPr="00777F6E">
        <w:rPr>
          <w:rFonts w:ascii="Times New Roman" w:hAnsi="Times New Roman" w:cs="Times New Roman"/>
          <w:sz w:val="20"/>
          <w:szCs w:val="20"/>
          <w:lang w:val="fr-CA"/>
        </w:rPr>
        <w:t xml:space="preserve"> Voir </w:t>
      </w:r>
      <w:r w:rsidRPr="00777F6E">
        <w:rPr>
          <w:rFonts w:ascii="Times New Roman" w:hAnsi="Times New Roman" w:cs="Times New Roman"/>
          <w:color w:val="auto"/>
          <w:sz w:val="20"/>
          <w:szCs w:val="20"/>
          <w:lang w:val="fr-CA"/>
        </w:rPr>
        <w:t xml:space="preserve">OMS et OPS. </w:t>
      </w:r>
      <w:r w:rsidRPr="00616605">
        <w:rPr>
          <w:rFonts w:ascii="Times New Roman" w:hAnsi="Times New Roman" w:cs="Times New Roman"/>
          <w:color w:val="auto"/>
          <w:sz w:val="20"/>
          <w:szCs w:val="20"/>
          <w:lang w:val="es-419"/>
        </w:rPr>
        <w:t xml:space="preserve">Enfermedades no transmisibles. Datos clave. </w:t>
      </w:r>
      <w:r w:rsidRPr="00777F6E">
        <w:rPr>
          <w:rFonts w:ascii="Times New Roman" w:hAnsi="Times New Roman" w:cs="Times New Roman"/>
          <w:color w:val="auto"/>
          <w:sz w:val="20"/>
          <w:szCs w:val="20"/>
        </w:rPr>
        <w:t xml:space="preserve">Disponible </w:t>
      </w:r>
      <w:proofErr w:type="spellStart"/>
      <w:r w:rsidRPr="00777F6E">
        <w:rPr>
          <w:rFonts w:ascii="Times New Roman" w:hAnsi="Times New Roman" w:cs="Times New Roman"/>
          <w:color w:val="auto"/>
          <w:sz w:val="20"/>
          <w:szCs w:val="20"/>
        </w:rPr>
        <w:t>en</w:t>
      </w:r>
      <w:proofErr w:type="spellEnd"/>
      <w:r w:rsidRPr="00777F6E">
        <w:rPr>
          <w:rFonts w:ascii="Times New Roman" w:hAnsi="Times New Roman" w:cs="Times New Roman"/>
          <w:color w:val="auto"/>
          <w:sz w:val="20"/>
          <w:szCs w:val="20"/>
        </w:rPr>
        <w:t xml:space="preserve">: </w:t>
      </w:r>
      <w:hyperlink r:id="rId1">
        <w:r w:rsidRPr="00777F6E">
          <w:rPr>
            <w:rFonts w:ascii="Times New Roman" w:hAnsi="Times New Roman" w:cs="Times New Roman"/>
            <w:color w:val="auto"/>
            <w:sz w:val="20"/>
            <w:szCs w:val="20"/>
            <w:u w:val="single"/>
          </w:rPr>
          <w:t>https://www.paho.org/es/temas/enfermedades-no-transmisibles</w:t>
        </w:r>
      </w:hyperlink>
      <w:r w:rsidRPr="00777F6E">
        <w:rPr>
          <w:rFonts w:ascii="Times New Roman" w:hAnsi="Times New Roman" w:cs="Times New Roman"/>
          <w:color w:val="auto"/>
          <w:sz w:val="20"/>
          <w:szCs w:val="20"/>
          <w:u w:val="single"/>
        </w:rPr>
        <w:t>.</w:t>
      </w:r>
    </w:p>
  </w:footnote>
  <w:footnote w:id="9">
    <w:p w14:paraId="00000096" w14:textId="77777777" w:rsidR="00BE698D" w:rsidRPr="00616605" w:rsidRDefault="00B222EC">
      <w:pPr>
        <w:jc w:val="both"/>
        <w:rPr>
          <w:sz w:val="20"/>
          <w:szCs w:val="20"/>
          <w:lang w:val="es-419"/>
        </w:rPr>
      </w:pPr>
      <w:r w:rsidRPr="004421AA">
        <w:rPr>
          <w:rStyle w:val="FootnoteReference"/>
          <w:sz w:val="20"/>
          <w:szCs w:val="20"/>
        </w:rPr>
        <w:footnoteRef/>
      </w:r>
      <w:r w:rsidRPr="004421AA">
        <w:rPr>
          <w:sz w:val="20"/>
          <w:szCs w:val="20"/>
        </w:rPr>
        <w:t xml:space="preserve"> Pan American Health Organization. NCDs </w:t>
      </w:r>
      <w:proofErr w:type="gramStart"/>
      <w:r w:rsidRPr="004421AA">
        <w:rPr>
          <w:sz w:val="20"/>
          <w:szCs w:val="20"/>
        </w:rPr>
        <w:t>at a Glance</w:t>
      </w:r>
      <w:proofErr w:type="gramEnd"/>
      <w:r w:rsidRPr="004421AA">
        <w:rPr>
          <w:sz w:val="20"/>
          <w:szCs w:val="20"/>
        </w:rPr>
        <w:t xml:space="preserve">: NCD Mortality and Risk Factor Prevalence in the Americas. </w:t>
      </w:r>
      <w:r w:rsidRPr="00616605">
        <w:rPr>
          <w:sz w:val="20"/>
          <w:szCs w:val="20"/>
          <w:lang w:val="es-419"/>
        </w:rPr>
        <w:t xml:space="preserve">Washington, D.C.: PAHO; 2019. Disponible en: </w:t>
      </w:r>
      <w:hyperlink r:id="rId2">
        <w:r w:rsidRPr="00616605">
          <w:rPr>
            <w:sz w:val="20"/>
            <w:szCs w:val="20"/>
            <w:u w:val="single"/>
            <w:lang w:val="es-419"/>
          </w:rPr>
          <w:t>https://iris.paho.org/handle/10665.2/51696?locale-attribute=es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BE698D" w:rsidRDefault="00BE698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340"/>
    <w:multiLevelType w:val="multilevel"/>
    <w:tmpl w:val="A2A630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B46D01"/>
    <w:multiLevelType w:val="multilevel"/>
    <w:tmpl w:val="18082FE2"/>
    <w:lvl w:ilvl="0">
      <w:start w:val="4"/>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2" w15:restartNumberingAfterBreak="0">
    <w:nsid w:val="135B2EA5"/>
    <w:multiLevelType w:val="multilevel"/>
    <w:tmpl w:val="352E6F7C"/>
    <w:lvl w:ilvl="0">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5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6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8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56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CCB47A8"/>
    <w:multiLevelType w:val="multilevel"/>
    <w:tmpl w:val="9DD2329A"/>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4" w15:restartNumberingAfterBreak="0">
    <w:nsid w:val="1F4B4341"/>
    <w:multiLevelType w:val="multilevel"/>
    <w:tmpl w:val="9BA21C84"/>
    <w:lvl w:ilvl="0">
      <w:start w:val="2"/>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5" w15:restartNumberingAfterBreak="0">
    <w:nsid w:val="1FF10FF8"/>
    <w:multiLevelType w:val="multilevel"/>
    <w:tmpl w:val="C1AC883E"/>
    <w:lvl w:ilvl="0">
      <w:start w:val="2"/>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6" w15:restartNumberingAfterBreak="0">
    <w:nsid w:val="26F716AC"/>
    <w:multiLevelType w:val="multilevel"/>
    <w:tmpl w:val="D89672A0"/>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7" w15:restartNumberingAfterBreak="0">
    <w:nsid w:val="31293CBA"/>
    <w:multiLevelType w:val="multilevel"/>
    <w:tmpl w:val="EF7C1360"/>
    <w:lvl w:ilvl="0">
      <w:start w:val="2"/>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8" w15:restartNumberingAfterBreak="0">
    <w:nsid w:val="31984063"/>
    <w:multiLevelType w:val="multilevel"/>
    <w:tmpl w:val="C1488952"/>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0"/>
      </w:pPr>
      <w:rPr>
        <w:b/>
        <w:smallCaps w:val="0"/>
        <w:strike w:val="0"/>
        <w:shd w:val="clear" w:color="auto" w:fill="auto"/>
        <w:vertAlign w:val="baseline"/>
      </w:rPr>
    </w:lvl>
  </w:abstractNum>
  <w:abstractNum w:abstractNumId="9" w15:restartNumberingAfterBreak="0">
    <w:nsid w:val="34EA3871"/>
    <w:multiLevelType w:val="multilevel"/>
    <w:tmpl w:val="4AD409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385717B4"/>
    <w:multiLevelType w:val="multilevel"/>
    <w:tmpl w:val="FA5A1AA4"/>
    <w:lvl w:ilvl="0">
      <w:start w:val="2"/>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11" w15:restartNumberingAfterBreak="0">
    <w:nsid w:val="3E231575"/>
    <w:multiLevelType w:val="multilevel"/>
    <w:tmpl w:val="9BA0D6BA"/>
    <w:lvl w:ilvl="0">
      <w:start w:val="1"/>
      <w:numFmt w:val="decimal"/>
      <w:lvlText w:val="%1."/>
      <w:lvlJc w:val="left"/>
      <w:pPr>
        <w:ind w:left="1440" w:hanging="360"/>
      </w:pPr>
      <w:rPr>
        <w:smallCaps w:val="0"/>
        <w:strike w:val="0"/>
        <w:shd w:val="clear" w:color="auto" w:fill="auto"/>
        <w:vertAlign w:val="baseline"/>
      </w:rPr>
    </w:lvl>
    <w:lvl w:ilvl="1">
      <w:start w:val="1"/>
      <w:numFmt w:val="lowerLetter"/>
      <w:lvlText w:val="%2."/>
      <w:lvlJc w:val="left"/>
      <w:pPr>
        <w:ind w:left="2160" w:hanging="360"/>
      </w:pPr>
      <w:rPr>
        <w:smallCaps w:val="0"/>
        <w:strike w:val="0"/>
        <w:shd w:val="clear" w:color="auto" w:fill="auto"/>
        <w:vertAlign w:val="baseline"/>
      </w:rPr>
    </w:lvl>
    <w:lvl w:ilvl="2">
      <w:start w:val="1"/>
      <w:numFmt w:val="lowerRoman"/>
      <w:lvlText w:val="%3."/>
      <w:lvlJc w:val="left"/>
      <w:pPr>
        <w:ind w:left="2880" w:hanging="300"/>
      </w:pPr>
      <w:rPr>
        <w:smallCaps w:val="0"/>
        <w:strike w:val="0"/>
        <w:shd w:val="clear" w:color="auto" w:fill="auto"/>
        <w:vertAlign w:val="baseline"/>
      </w:rPr>
    </w:lvl>
    <w:lvl w:ilvl="3">
      <w:start w:val="1"/>
      <w:numFmt w:val="decimal"/>
      <w:lvlText w:val="%4."/>
      <w:lvlJc w:val="left"/>
      <w:pPr>
        <w:ind w:left="3600" w:hanging="360"/>
      </w:pPr>
      <w:rPr>
        <w:smallCaps w:val="0"/>
        <w:strike w:val="0"/>
        <w:shd w:val="clear" w:color="auto" w:fill="auto"/>
        <w:vertAlign w:val="baseline"/>
      </w:rPr>
    </w:lvl>
    <w:lvl w:ilvl="4">
      <w:start w:val="1"/>
      <w:numFmt w:val="lowerLetter"/>
      <w:lvlText w:val="%5."/>
      <w:lvlJc w:val="left"/>
      <w:pPr>
        <w:ind w:left="4320" w:hanging="360"/>
      </w:pPr>
      <w:rPr>
        <w:smallCaps w:val="0"/>
        <w:strike w:val="0"/>
        <w:shd w:val="clear" w:color="auto" w:fill="auto"/>
        <w:vertAlign w:val="baseline"/>
      </w:rPr>
    </w:lvl>
    <w:lvl w:ilvl="5">
      <w:start w:val="1"/>
      <w:numFmt w:val="lowerRoman"/>
      <w:lvlText w:val="%6."/>
      <w:lvlJc w:val="left"/>
      <w:pPr>
        <w:ind w:left="5040" w:hanging="300"/>
      </w:pPr>
      <w:rPr>
        <w:smallCaps w:val="0"/>
        <w:strike w:val="0"/>
        <w:shd w:val="clear" w:color="auto" w:fill="auto"/>
        <w:vertAlign w:val="baseline"/>
      </w:rPr>
    </w:lvl>
    <w:lvl w:ilvl="6">
      <w:start w:val="1"/>
      <w:numFmt w:val="decimal"/>
      <w:lvlText w:val="%7."/>
      <w:lvlJc w:val="left"/>
      <w:pPr>
        <w:ind w:left="5760" w:hanging="360"/>
      </w:pPr>
      <w:rPr>
        <w:smallCaps w:val="0"/>
        <w:strike w:val="0"/>
        <w:shd w:val="clear" w:color="auto" w:fill="auto"/>
        <w:vertAlign w:val="baseline"/>
      </w:rPr>
    </w:lvl>
    <w:lvl w:ilvl="7">
      <w:start w:val="1"/>
      <w:numFmt w:val="lowerLetter"/>
      <w:lvlText w:val="%8."/>
      <w:lvlJc w:val="left"/>
      <w:pPr>
        <w:ind w:left="6480" w:hanging="360"/>
      </w:pPr>
      <w:rPr>
        <w:smallCaps w:val="0"/>
        <w:strike w:val="0"/>
        <w:shd w:val="clear" w:color="auto" w:fill="auto"/>
        <w:vertAlign w:val="baseline"/>
      </w:rPr>
    </w:lvl>
    <w:lvl w:ilvl="8">
      <w:start w:val="1"/>
      <w:numFmt w:val="lowerRoman"/>
      <w:lvlText w:val="%9."/>
      <w:lvlJc w:val="left"/>
      <w:pPr>
        <w:ind w:left="7200" w:hanging="300"/>
      </w:pPr>
      <w:rPr>
        <w:smallCaps w:val="0"/>
        <w:strike w:val="0"/>
        <w:shd w:val="clear" w:color="auto" w:fill="auto"/>
        <w:vertAlign w:val="baseline"/>
      </w:rPr>
    </w:lvl>
  </w:abstractNum>
  <w:abstractNum w:abstractNumId="12" w15:restartNumberingAfterBreak="0">
    <w:nsid w:val="42C00F46"/>
    <w:multiLevelType w:val="multilevel"/>
    <w:tmpl w:val="4AD409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49E320F"/>
    <w:multiLevelType w:val="multilevel"/>
    <w:tmpl w:val="4AD409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4" w15:restartNumberingAfterBreak="0">
    <w:nsid w:val="44DE311F"/>
    <w:multiLevelType w:val="multilevel"/>
    <w:tmpl w:val="5D5CF1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1E0444B"/>
    <w:multiLevelType w:val="multilevel"/>
    <w:tmpl w:val="491043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B3544AF"/>
    <w:multiLevelType w:val="multilevel"/>
    <w:tmpl w:val="4BFEE146"/>
    <w:lvl w:ilvl="0">
      <w:start w:val="3"/>
      <w:numFmt w:val="decimal"/>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17" w15:restartNumberingAfterBreak="0">
    <w:nsid w:val="699E2C25"/>
    <w:multiLevelType w:val="multilevel"/>
    <w:tmpl w:val="83B4FE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0BA5045"/>
    <w:multiLevelType w:val="multilevel"/>
    <w:tmpl w:val="4AD409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7262741E"/>
    <w:multiLevelType w:val="multilevel"/>
    <w:tmpl w:val="04EC3A6E"/>
    <w:lvl w:ilvl="0">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5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6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8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560"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746940AC"/>
    <w:multiLevelType w:val="multilevel"/>
    <w:tmpl w:val="9BC42C68"/>
    <w:lvl w:ilvl="0">
      <w:start w:val="1"/>
      <w:numFmt w:val="upperRoman"/>
      <w:lvlText w:val="%1."/>
      <w:lvlJc w:val="left"/>
      <w:pPr>
        <w:ind w:left="720" w:hanging="72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0"/>
      </w:pPr>
      <w:rPr>
        <w:b/>
        <w:smallCaps w:val="0"/>
        <w:strike w:val="0"/>
        <w:shd w:val="clear" w:color="auto" w:fill="auto"/>
        <w:vertAlign w:val="baseline"/>
      </w:rPr>
    </w:lvl>
  </w:abstractNum>
  <w:abstractNum w:abstractNumId="21" w15:restartNumberingAfterBreak="0">
    <w:nsid w:val="7D6865C6"/>
    <w:multiLevelType w:val="multilevel"/>
    <w:tmpl w:val="7476310C"/>
    <w:lvl w:ilvl="0">
      <w:start w:val="1"/>
      <w:numFmt w:val="lowerLetter"/>
      <w:lvlText w:val="%1."/>
      <w:lvlJc w:val="left"/>
      <w:pPr>
        <w:ind w:left="1080" w:hanging="360"/>
      </w:pPr>
      <w:rPr>
        <w:smallCaps w:val="0"/>
        <w:strike w:val="0"/>
        <w:shd w:val="clear" w:color="auto" w:fill="auto"/>
        <w:vertAlign w:val="baseline"/>
      </w:rPr>
    </w:lvl>
    <w:lvl w:ilvl="1">
      <w:start w:val="1"/>
      <w:numFmt w:val="lowerLetter"/>
      <w:lvlText w:val="%2."/>
      <w:lvlJc w:val="left"/>
      <w:pPr>
        <w:ind w:left="1800" w:hanging="360"/>
      </w:pPr>
      <w:rPr>
        <w:smallCaps w:val="0"/>
        <w:strike w:val="0"/>
        <w:shd w:val="clear" w:color="auto" w:fill="auto"/>
        <w:vertAlign w:val="baseline"/>
      </w:rPr>
    </w:lvl>
    <w:lvl w:ilvl="2">
      <w:start w:val="1"/>
      <w:numFmt w:val="lowerRoman"/>
      <w:lvlText w:val="%3."/>
      <w:lvlJc w:val="left"/>
      <w:pPr>
        <w:ind w:left="2520" w:hanging="300"/>
      </w:pPr>
      <w:rPr>
        <w:smallCaps w:val="0"/>
        <w:strike w:val="0"/>
        <w:shd w:val="clear" w:color="auto" w:fill="auto"/>
        <w:vertAlign w:val="baseline"/>
      </w:rPr>
    </w:lvl>
    <w:lvl w:ilvl="3">
      <w:start w:val="1"/>
      <w:numFmt w:val="decimal"/>
      <w:lvlText w:val="%4."/>
      <w:lvlJc w:val="left"/>
      <w:pPr>
        <w:ind w:left="3240" w:hanging="360"/>
      </w:pPr>
      <w:rPr>
        <w:smallCaps w:val="0"/>
        <w:strike w:val="0"/>
        <w:shd w:val="clear" w:color="auto" w:fill="auto"/>
        <w:vertAlign w:val="baseline"/>
      </w:rPr>
    </w:lvl>
    <w:lvl w:ilvl="4">
      <w:start w:val="1"/>
      <w:numFmt w:val="lowerLetter"/>
      <w:lvlText w:val="%5."/>
      <w:lvlJc w:val="left"/>
      <w:pPr>
        <w:ind w:left="3960" w:hanging="360"/>
      </w:pPr>
      <w:rPr>
        <w:smallCaps w:val="0"/>
        <w:strike w:val="0"/>
        <w:shd w:val="clear" w:color="auto" w:fill="auto"/>
        <w:vertAlign w:val="baseline"/>
      </w:rPr>
    </w:lvl>
    <w:lvl w:ilvl="5">
      <w:start w:val="1"/>
      <w:numFmt w:val="lowerRoman"/>
      <w:lvlText w:val="%6."/>
      <w:lvlJc w:val="left"/>
      <w:pPr>
        <w:ind w:left="4680" w:hanging="300"/>
      </w:pPr>
      <w:rPr>
        <w:smallCaps w:val="0"/>
        <w:strike w:val="0"/>
        <w:shd w:val="clear" w:color="auto" w:fill="auto"/>
        <w:vertAlign w:val="baseline"/>
      </w:rPr>
    </w:lvl>
    <w:lvl w:ilvl="6">
      <w:start w:val="1"/>
      <w:numFmt w:val="decimal"/>
      <w:lvlText w:val="%7."/>
      <w:lvlJc w:val="left"/>
      <w:pPr>
        <w:ind w:left="5400" w:hanging="360"/>
      </w:pPr>
      <w:rPr>
        <w:smallCaps w:val="0"/>
        <w:strike w:val="0"/>
        <w:shd w:val="clear" w:color="auto" w:fill="auto"/>
        <w:vertAlign w:val="baseline"/>
      </w:rPr>
    </w:lvl>
    <w:lvl w:ilvl="7">
      <w:start w:val="1"/>
      <w:numFmt w:val="lowerLetter"/>
      <w:lvlText w:val="%8."/>
      <w:lvlJc w:val="left"/>
      <w:pPr>
        <w:ind w:left="6120" w:hanging="360"/>
      </w:pPr>
      <w:rPr>
        <w:smallCaps w:val="0"/>
        <w:strike w:val="0"/>
        <w:shd w:val="clear" w:color="auto" w:fill="auto"/>
        <w:vertAlign w:val="baseline"/>
      </w:rPr>
    </w:lvl>
    <w:lvl w:ilvl="8">
      <w:start w:val="1"/>
      <w:numFmt w:val="lowerRoman"/>
      <w:lvlText w:val="%9."/>
      <w:lvlJc w:val="left"/>
      <w:pPr>
        <w:ind w:left="6840" w:hanging="300"/>
      </w:pPr>
      <w:rPr>
        <w:smallCaps w:val="0"/>
        <w:strike w:val="0"/>
        <w:shd w:val="clear" w:color="auto" w:fill="auto"/>
        <w:vertAlign w:val="baseline"/>
      </w:rPr>
    </w:lvl>
  </w:abstractNum>
  <w:abstractNum w:abstractNumId="22" w15:restartNumberingAfterBreak="0">
    <w:nsid w:val="7E8806EC"/>
    <w:multiLevelType w:val="multilevel"/>
    <w:tmpl w:val="6B2604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8063061">
    <w:abstractNumId w:val="10"/>
  </w:num>
  <w:num w:numId="2" w16cid:durableId="1810899496">
    <w:abstractNumId w:val="14"/>
  </w:num>
  <w:num w:numId="3" w16cid:durableId="1405640898">
    <w:abstractNumId w:val="1"/>
  </w:num>
  <w:num w:numId="4" w16cid:durableId="710346781">
    <w:abstractNumId w:val="4"/>
  </w:num>
  <w:num w:numId="5" w16cid:durableId="1383099270">
    <w:abstractNumId w:val="6"/>
  </w:num>
  <w:num w:numId="6" w16cid:durableId="1546674345">
    <w:abstractNumId w:val="19"/>
  </w:num>
  <w:num w:numId="7" w16cid:durableId="1477185965">
    <w:abstractNumId w:val="22"/>
  </w:num>
  <w:num w:numId="8" w16cid:durableId="1316060577">
    <w:abstractNumId w:val="21"/>
  </w:num>
  <w:num w:numId="9" w16cid:durableId="1570462093">
    <w:abstractNumId w:val="20"/>
  </w:num>
  <w:num w:numId="10" w16cid:durableId="1911034085">
    <w:abstractNumId w:val="0"/>
  </w:num>
  <w:num w:numId="11" w16cid:durableId="1245604469">
    <w:abstractNumId w:val="8"/>
  </w:num>
  <w:num w:numId="12" w16cid:durableId="1827355690">
    <w:abstractNumId w:val="11"/>
  </w:num>
  <w:num w:numId="13" w16cid:durableId="135144367">
    <w:abstractNumId w:val="5"/>
  </w:num>
  <w:num w:numId="14" w16cid:durableId="167135914">
    <w:abstractNumId w:val="3"/>
  </w:num>
  <w:num w:numId="15" w16cid:durableId="493492809">
    <w:abstractNumId w:val="15"/>
  </w:num>
  <w:num w:numId="16" w16cid:durableId="1600142168">
    <w:abstractNumId w:val="2"/>
  </w:num>
  <w:num w:numId="17" w16cid:durableId="2112427674">
    <w:abstractNumId w:val="13"/>
  </w:num>
  <w:num w:numId="18" w16cid:durableId="728915068">
    <w:abstractNumId w:val="7"/>
  </w:num>
  <w:num w:numId="19" w16cid:durableId="1892688818">
    <w:abstractNumId w:val="16"/>
  </w:num>
  <w:num w:numId="20" w16cid:durableId="1107768969">
    <w:abstractNumId w:val="17"/>
  </w:num>
  <w:num w:numId="21" w16cid:durableId="1496385192">
    <w:abstractNumId w:val="12"/>
  </w:num>
  <w:num w:numId="22" w16cid:durableId="719406798">
    <w:abstractNumId w:val="9"/>
  </w:num>
  <w:num w:numId="23" w16cid:durableId="1184436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8D"/>
    <w:rsid w:val="002E768D"/>
    <w:rsid w:val="004421AA"/>
    <w:rsid w:val="00616605"/>
    <w:rsid w:val="00777F6E"/>
    <w:rsid w:val="009A5FB8"/>
    <w:rsid w:val="009B0CC0"/>
    <w:rsid w:val="00A30F1D"/>
    <w:rsid w:val="00B222EC"/>
    <w:rsid w:val="00BD3B09"/>
    <w:rsid w:val="00BE698D"/>
    <w:rsid w:val="00D8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40C6"/>
  <w15:docId w15:val="{06695264-BFE4-45C3-A980-6CDC57CA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u w:color="000000"/>
    </w:rPr>
  </w:style>
  <w:style w:type="character" w:customStyle="1" w:styleId="Ninguno">
    <w:name w:val="Ninguno"/>
  </w:style>
  <w:style w:type="paragraph" w:customStyle="1" w:styleId="Cuerpo">
    <w:name w:val="Cuerpo"/>
    <w:rPr>
      <w:rFonts w:ascii="Calibri" w:hAnsi="Calibri" w:cs="Arial Unicode MS"/>
      <w:color w:val="000000"/>
      <w:u w:color="000000"/>
      <w:lang w:val="es-ES_tradnl"/>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u w:color="000000"/>
    </w:rPr>
  </w:style>
  <w:style w:type="numbering" w:customStyle="1" w:styleId="Estiloimportado1">
    <w:name w:val="Estilo importado 1"/>
  </w:style>
  <w:style w:type="paragraph" w:customStyle="1" w:styleId="Predeterminado">
    <w:name w:val="Predeterminado"/>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FootnoteText">
    <w:name w:val="footnote text"/>
    <w:link w:val="FootnoteTextChar"/>
    <w:uiPriority w:val="99"/>
    <w:rPr>
      <w:rFonts w:ascii="Calibri" w:eastAsia="Calibri" w:hAnsi="Calibri" w:cs="Calibri"/>
      <w:color w:val="000000"/>
      <w:u w:color="000000"/>
    </w:rPr>
  </w:style>
  <w:style w:type="character" w:customStyle="1" w:styleId="Enlace">
    <w:name w:val="Enlace"/>
    <w:rPr>
      <w:outline w:val="0"/>
      <w:color w:val="0563C1"/>
      <w:u w:val="single" w:color="0563C1"/>
    </w:rPr>
  </w:style>
  <w:style w:type="character" w:customStyle="1" w:styleId="Hyperlink0">
    <w:name w:val="Hyperlink.0"/>
    <w:basedOn w:val="Enlace"/>
    <w:rPr>
      <w:rFonts w:ascii="Times New Roman" w:eastAsia="Times New Roman" w:hAnsi="Times New Roman" w:cs="Times New Roman"/>
      <w:outline w:val="0"/>
      <w:color w:val="0563C1"/>
      <w:u w:val="single" w:color="0563C1"/>
      <w:lang w:val="es-ES_tradnl"/>
    </w:rPr>
  </w:style>
  <w:style w:type="numbering" w:customStyle="1" w:styleId="Estiloimportado3">
    <w:name w:val="Estilo importado 3"/>
  </w:style>
  <w:style w:type="numbering" w:customStyle="1" w:styleId="Estiloimportado4">
    <w:name w:val="Estilo importado 4"/>
  </w:style>
  <w:style w:type="numbering" w:customStyle="1" w:styleId="Estiloimportado5">
    <w:name w:val="Estilo importado 5"/>
  </w:style>
  <w:style w:type="numbering" w:customStyle="1" w:styleId="Estiloimportado6">
    <w:name w:val="Estilo importado 6"/>
  </w:style>
  <w:style w:type="numbering" w:customStyle="1" w:styleId="Estiloimportado7">
    <w:name w:val="Estilo importado 7"/>
  </w:style>
  <w:style w:type="numbering" w:customStyle="1" w:styleId="Estiloimportado8">
    <w:name w:val="Estilo importado 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F3216"/>
    <w:rPr>
      <w:b/>
      <w:bCs/>
    </w:rPr>
  </w:style>
  <w:style w:type="character" w:customStyle="1" w:styleId="CommentSubjectChar">
    <w:name w:val="Comment Subject Char"/>
    <w:basedOn w:val="CommentTextChar"/>
    <w:link w:val="CommentSubject"/>
    <w:uiPriority w:val="99"/>
    <w:semiHidden/>
    <w:rsid w:val="003F3216"/>
    <w:rPr>
      <w:b/>
      <w:bCs/>
      <w:lang w:val="en-US" w:eastAsia="en-US"/>
    </w:rPr>
  </w:style>
  <w:style w:type="paragraph" w:styleId="BalloonText">
    <w:name w:val="Balloon Text"/>
    <w:basedOn w:val="Normal"/>
    <w:link w:val="BalloonTextChar"/>
    <w:uiPriority w:val="99"/>
    <w:semiHidden/>
    <w:unhideWhenUsed/>
    <w:rsid w:val="00DB7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05"/>
    <w:rPr>
      <w:rFonts w:ascii="Segoe UI" w:hAnsi="Segoe UI" w:cs="Segoe UI"/>
      <w:sz w:val="18"/>
      <w:szCs w:val="18"/>
      <w:lang w:val="en-US" w:eastAsia="en-US"/>
    </w:rPr>
  </w:style>
  <w:style w:type="paragraph" w:styleId="Revision">
    <w:name w:val="Revision"/>
    <w:hidden/>
    <w:uiPriority w:val="99"/>
    <w:semiHidden/>
    <w:rsid w:val="00767EA4"/>
  </w:style>
  <w:style w:type="character" w:customStyle="1" w:styleId="FootnoteTextChar">
    <w:name w:val="Footnote Text Char"/>
    <w:basedOn w:val="DefaultParagraphFont"/>
    <w:link w:val="FootnoteText"/>
    <w:uiPriority w:val="99"/>
    <w:rsid w:val="004A3F19"/>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4A3F19"/>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D831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IDH_DESCA@oa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ris.paho.org/handle/10665.2/51696?locale-attribute=es" TargetMode="External"/><Relationship Id="rId1" Type="http://schemas.openxmlformats.org/officeDocument/2006/relationships/hyperlink" Target="https://www.paho.org/es/temas/enfermedades-no-transmisibl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w307QQbJ8OpalGDLML2VKEblGw==">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6E3221-1191-44B1-ADE7-47C60DEC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Guerrero</dc:creator>
  <cp:lastModifiedBy>Camilo, Yolanda</cp:lastModifiedBy>
  <cp:revision>2</cp:revision>
  <dcterms:created xsi:type="dcterms:W3CDTF">2022-12-14T21:23:00Z</dcterms:created>
  <dcterms:modified xsi:type="dcterms:W3CDTF">2022-12-14T21:23:00Z</dcterms:modified>
</cp:coreProperties>
</file>