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A75CC3" w:rsidRDefault="00D306D1" w:rsidP="00627C9F">
      <w:pPr>
        <w:jc w:val="both"/>
        <w:rPr>
          <w:rFonts w:asciiTheme="majorHAnsi" w:hAnsiTheme="majorHAnsi" w:cs="Univers"/>
          <w:b/>
          <w:bCs/>
          <w:sz w:val="22"/>
          <w:szCs w:val="22"/>
          <w:lang w:val="pt-BR"/>
        </w:rPr>
      </w:pPr>
      <w:bookmarkStart w:id="0" w:name="_GoBack"/>
      <w:bookmarkEnd w:id="0"/>
      <w:r w:rsidRPr="00A75CC3">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2578C0E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7D70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gelwIAAIYFAAAOAAAAZHJzL2Uyb0RvYy54bWysVE1v2zAMvQ/YfxB0X+ykST+COkWQIsOA&#10;oC3aDj0rshQbkEVNUuJkv36UZLtdV+ww7GKLIvlIPpG8vjk2ihyEdTXogo5HOSVCcyhrvSvo9+f1&#10;l0tKnGe6ZAq0KOhJOHqz+PzpujVzMYEKVCksQRDt5q0paOW9mWeZ45VomBuBERqVEmzDPIp2l5WW&#10;tYjeqGyS5+dZC7Y0FrhwDm9vk5IuIr6Ugvt7KZ3wRBUUc/Pxa+N3G77Z4prNd5aZquZdGuwfsmhY&#10;rTHoAHXLPCN7W/8B1dTcggPpRxyaDKSsuYg1YDXj/F01TxUzItaC5Dgz0OT+Hyy/OzxYUpf4dpRo&#10;1uATPSJpTO+UIONAT2vcHK2ezIPtJIfHUOtR2ib8sQpyjJSeBkrF0ROOl+PZ9CyfIfMcdVf51fnZ&#10;xSygZq/uxjr/VUBDwqGgFsNHKtlh43wy7U1CNAeqLte1UlGwu+1KWXJg+L7r9SrP45Mi+m9mSgdj&#10;DcEtIYabLJSWioknf1Ii2Cn9KCRygulPYiaxG8UQh3EutB8nVcVKkcLPMPgQPfRv8IiVRsCALDH+&#10;gN0B9JYJpMdOWXb2wVXEZh6c878llpwHjxgZtB+cm1qD/QhAYVVd5GTfk5SoCSxtoTxhx1hIo+QM&#10;X9f4bhvm/AOzODv41rgP/D1+pIK2oNCdKKnA/vzoPthjS6OWkhZnsaDux55ZQYn6prHZr8bTaRje&#10;KExnFxMU7FvN9q1G75sVYDtgQ2N28RjsveqP0kLzgmtjGaKiimmOsQvKve2FlU87AhcPF8tlNMOB&#10;Ncxv9JPhATywGvry+fjCrOma12Pf30E/t2z+roeTbfDUsNx7kHVs8FdeO75x2GPjdIspbJO3crR6&#10;XZ+LXwAAAP//AwBQSwMEFAAGAAgAAAAhAOgaGErgAAAADAEAAA8AAABkcnMvZG93bnJldi54bWxM&#10;j81OwzAQhO9IvIO1SNxaJ7WaQohTVRU9cSIF2qMbmySqfyLbTcLbsznBbXZnNPttsZ2MJoPyoXOW&#10;Q7pMgChbO9nZhsPH8bB4AhKisFJoZxWHHxVgW97fFSKXbrTvaqhiQ7DEhlxwaGPsc0pD3SojwtL1&#10;yqL37bwREUffUOnFiOVG01WSZNSIzuKFVvRq36r6Wt0MB6o//dtwYtdzmrBD+jpWZve15/zxYdq9&#10;AIlqin9hmPERHUpkuriblYFoDotsvcboLJ5XQObEZoObCwqWMQa0LOj/J8pfAAAA//8DAFBLAQIt&#10;ABQABgAIAAAAIQC2gziS/gAAAOEBAAATAAAAAAAAAAAAAAAAAAAAAABbQ29udGVudF9UeXBlc10u&#10;eG1sUEsBAi0AFAAGAAgAAAAhADj9If/WAAAAlAEAAAsAAAAAAAAAAAAAAAAALwEAAF9yZWxzLy5y&#10;ZWxzUEsBAi0AFAAGAAgAAAAhAHBYWB6XAgAAhgUAAA4AAAAAAAAAAAAAAAAALgIAAGRycy9lMm9E&#10;b2MueG1sUEsBAi0AFAAGAAgAAAAhAOgaGErgAAAADAEAAA8AAAAAAAAAAAAAAAAA8QQAAGRycy9k&#10;b3ducmV2LnhtbFBLBQYAAAAABAAEAPMAAAD+BQAAAAA=&#10;" fillcolor="#ffc000" stroked="f" strokeweight="2pt"/>
            </w:pict>
          </mc:Fallback>
        </mc:AlternateContent>
      </w:r>
      <w:r w:rsidR="003E6CA1" w:rsidRPr="00A75CC3">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A75CC3" w:rsidRDefault="00040C3A" w:rsidP="00040C3A">
      <w:pPr>
        <w:tabs>
          <w:tab w:val="center" w:pos="5400"/>
        </w:tabs>
        <w:suppressAutoHyphens/>
        <w:jc w:val="both"/>
        <w:rPr>
          <w:rFonts w:asciiTheme="majorHAnsi" w:hAnsiTheme="majorHAnsi"/>
          <w:sz w:val="22"/>
          <w:szCs w:val="22"/>
          <w:lang w:val="pt-BR"/>
        </w:rPr>
      </w:pPr>
    </w:p>
    <w:p w14:paraId="5A87E141" w14:textId="77777777" w:rsidR="00040C3A" w:rsidRPr="00A75CC3" w:rsidRDefault="00040C3A" w:rsidP="00040C3A">
      <w:pPr>
        <w:tabs>
          <w:tab w:val="center" w:pos="5400"/>
        </w:tabs>
        <w:suppressAutoHyphens/>
        <w:jc w:val="both"/>
        <w:rPr>
          <w:rFonts w:asciiTheme="majorHAnsi" w:hAnsiTheme="majorHAnsi"/>
          <w:sz w:val="22"/>
          <w:szCs w:val="22"/>
          <w:lang w:val="pt-BR"/>
        </w:rPr>
      </w:pPr>
    </w:p>
    <w:p w14:paraId="29D95BCC" w14:textId="77777777" w:rsidR="005128E4" w:rsidRPr="00A75CC3" w:rsidRDefault="005128E4" w:rsidP="00040C3A">
      <w:pPr>
        <w:tabs>
          <w:tab w:val="center" w:pos="5400"/>
        </w:tabs>
        <w:suppressAutoHyphens/>
        <w:rPr>
          <w:rFonts w:asciiTheme="majorHAnsi" w:hAnsiTheme="majorHAnsi"/>
          <w:sz w:val="22"/>
          <w:szCs w:val="22"/>
          <w:lang w:val="pt-BR"/>
        </w:rPr>
      </w:pPr>
    </w:p>
    <w:p w14:paraId="12A36B24" w14:textId="77777777" w:rsidR="005128E4" w:rsidRPr="00A75CC3" w:rsidRDefault="005128E4" w:rsidP="00040C3A">
      <w:pPr>
        <w:tabs>
          <w:tab w:val="center" w:pos="5400"/>
        </w:tabs>
        <w:suppressAutoHyphens/>
        <w:rPr>
          <w:rFonts w:asciiTheme="majorHAnsi" w:hAnsiTheme="majorHAnsi"/>
          <w:sz w:val="22"/>
          <w:szCs w:val="22"/>
          <w:lang w:val="pt-BR"/>
        </w:rPr>
      </w:pPr>
    </w:p>
    <w:p w14:paraId="2252093D" w14:textId="77777777" w:rsidR="005128E4" w:rsidRPr="00A75CC3" w:rsidRDefault="005128E4" w:rsidP="00040C3A">
      <w:pPr>
        <w:tabs>
          <w:tab w:val="center" w:pos="5400"/>
        </w:tabs>
        <w:suppressAutoHyphens/>
        <w:rPr>
          <w:rFonts w:asciiTheme="majorHAnsi" w:hAnsiTheme="majorHAnsi"/>
          <w:sz w:val="22"/>
          <w:szCs w:val="22"/>
          <w:lang w:val="pt-BR"/>
        </w:rPr>
      </w:pPr>
    </w:p>
    <w:p w14:paraId="403935BD" w14:textId="77777777" w:rsidR="00040C3A" w:rsidRPr="00A75CC3" w:rsidRDefault="00040C3A" w:rsidP="005128E4">
      <w:pPr>
        <w:tabs>
          <w:tab w:val="center" w:pos="5400"/>
        </w:tabs>
        <w:suppressAutoHyphens/>
        <w:jc w:val="center"/>
        <w:rPr>
          <w:rFonts w:asciiTheme="majorHAnsi" w:hAnsiTheme="majorHAnsi"/>
          <w:sz w:val="22"/>
          <w:szCs w:val="22"/>
          <w:lang w:val="pt-BR"/>
        </w:rPr>
      </w:pPr>
    </w:p>
    <w:p w14:paraId="6DCF5F8F" w14:textId="77777777" w:rsidR="00040C3A" w:rsidRPr="00A75CC3" w:rsidRDefault="00040C3A" w:rsidP="005128E4">
      <w:pPr>
        <w:tabs>
          <w:tab w:val="center" w:pos="5400"/>
        </w:tabs>
        <w:suppressAutoHyphens/>
        <w:jc w:val="center"/>
        <w:rPr>
          <w:rFonts w:asciiTheme="majorHAnsi" w:hAnsiTheme="majorHAnsi"/>
          <w:sz w:val="22"/>
          <w:szCs w:val="22"/>
          <w:lang w:val="pt-BR"/>
        </w:rPr>
      </w:pPr>
    </w:p>
    <w:p w14:paraId="4791F13A" w14:textId="77777777" w:rsidR="005B52B0" w:rsidRPr="00A75CC3" w:rsidRDefault="005B52B0" w:rsidP="005128E4">
      <w:pPr>
        <w:tabs>
          <w:tab w:val="center" w:pos="5400"/>
        </w:tabs>
        <w:suppressAutoHyphens/>
        <w:jc w:val="center"/>
        <w:rPr>
          <w:rFonts w:asciiTheme="majorHAnsi" w:hAnsiTheme="majorHAnsi"/>
          <w:sz w:val="22"/>
          <w:szCs w:val="22"/>
          <w:lang w:val="pt-BR"/>
        </w:rPr>
      </w:pPr>
    </w:p>
    <w:p w14:paraId="44E016B6" w14:textId="77777777" w:rsidR="005B52B0" w:rsidRPr="00A75CC3" w:rsidRDefault="005B52B0" w:rsidP="005128E4">
      <w:pPr>
        <w:tabs>
          <w:tab w:val="center" w:pos="5400"/>
        </w:tabs>
        <w:suppressAutoHyphens/>
        <w:jc w:val="center"/>
        <w:rPr>
          <w:rFonts w:asciiTheme="majorHAnsi" w:hAnsiTheme="majorHAnsi"/>
          <w:sz w:val="22"/>
          <w:szCs w:val="22"/>
          <w:lang w:val="pt-BR"/>
        </w:rPr>
      </w:pPr>
    </w:p>
    <w:p w14:paraId="63D41962" w14:textId="77777777" w:rsidR="005B52B0" w:rsidRPr="00A75CC3" w:rsidRDefault="005B52B0" w:rsidP="005128E4">
      <w:pPr>
        <w:tabs>
          <w:tab w:val="center" w:pos="5400"/>
        </w:tabs>
        <w:suppressAutoHyphens/>
        <w:jc w:val="center"/>
        <w:rPr>
          <w:rFonts w:asciiTheme="majorHAnsi" w:hAnsiTheme="majorHAnsi"/>
          <w:sz w:val="22"/>
          <w:szCs w:val="22"/>
          <w:lang w:val="pt-BR"/>
        </w:rPr>
      </w:pPr>
    </w:p>
    <w:p w14:paraId="5ADEB990"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2D81B7E8"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64791D04" w14:textId="77777777" w:rsidR="00040C3A" w:rsidRPr="00A75CC3" w:rsidRDefault="003D3BC2" w:rsidP="00040C3A">
      <w:pPr>
        <w:tabs>
          <w:tab w:val="center" w:pos="5400"/>
        </w:tabs>
        <w:suppressAutoHyphens/>
        <w:jc w:val="center"/>
        <w:rPr>
          <w:rFonts w:asciiTheme="majorHAnsi" w:hAnsiTheme="majorHAnsi"/>
          <w:sz w:val="22"/>
          <w:szCs w:val="22"/>
          <w:lang w:val="pt-BR"/>
        </w:rPr>
      </w:pPr>
      <w:r w:rsidRPr="00A75CC3">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6251BB" w14:textId="77777777" w:rsidR="00FA3DDB" w:rsidRPr="007665A8" w:rsidRDefault="00FA3DDB" w:rsidP="00FA3DDB">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Pr="007665A8">
                              <w:rPr>
                                <w:rFonts w:asciiTheme="majorHAnsi" w:hAnsiTheme="majorHAnsi" w:cs="Arial"/>
                                <w:b/>
                                <w:bCs/>
                                <w:color w:val="0D0D0D" w:themeColor="text1" w:themeTint="F2"/>
                                <w:sz w:val="36"/>
                                <w:szCs w:val="22"/>
                                <w:lang w:val="pt-BR"/>
                              </w:rPr>
                              <w:t xml:space="preserve"> </w:t>
                            </w:r>
                            <w:r w:rsidRPr="007665A8">
                              <w:rPr>
                                <w:rFonts w:asciiTheme="majorHAnsi" w:hAnsiTheme="majorHAnsi" w:cs="Arial"/>
                                <w:b/>
                                <w:bCs/>
                                <w:color w:val="0D0D0D" w:themeColor="text1" w:themeTint="F2"/>
                                <w:sz w:val="36"/>
                                <w:szCs w:val="40"/>
                                <w:lang w:val="pt-BR"/>
                              </w:rPr>
                              <w:t>No.</w:t>
                            </w:r>
                            <w:r w:rsidRPr="007665A8">
                              <w:rPr>
                                <w:rFonts w:asciiTheme="majorHAnsi" w:hAnsiTheme="majorHAnsi" w:cs="Arial"/>
                                <w:b/>
                                <w:bCs/>
                                <w:color w:val="0D0D0D" w:themeColor="text1" w:themeTint="F2"/>
                                <w:sz w:val="36"/>
                                <w:szCs w:val="22"/>
                                <w:lang w:val="pt-BR"/>
                              </w:rPr>
                              <w:t xml:space="preserve"> </w:t>
                            </w:r>
                            <w:r>
                              <w:rPr>
                                <w:rFonts w:asciiTheme="majorHAnsi" w:hAnsiTheme="majorHAnsi" w:cs="Arial"/>
                                <w:b/>
                                <w:bCs/>
                                <w:color w:val="0D0D0D" w:themeColor="text1" w:themeTint="F2"/>
                                <w:sz w:val="36"/>
                                <w:szCs w:val="22"/>
                                <w:lang w:val="pt-BR"/>
                              </w:rPr>
                              <w:t>37</w:t>
                            </w:r>
                            <w:r w:rsidRPr="007665A8">
                              <w:rPr>
                                <w:rFonts w:asciiTheme="majorHAnsi" w:hAnsiTheme="majorHAnsi" w:cs="Arial"/>
                                <w:b/>
                                <w:bCs/>
                                <w:color w:val="0D0D0D" w:themeColor="text1" w:themeTint="F2"/>
                                <w:sz w:val="36"/>
                                <w:szCs w:val="22"/>
                                <w:lang w:val="pt-BR"/>
                              </w:rPr>
                              <w:t>/1</w:t>
                            </w:r>
                            <w:r>
                              <w:rPr>
                                <w:rFonts w:asciiTheme="majorHAnsi" w:hAnsiTheme="majorHAnsi" w:cs="Arial"/>
                                <w:b/>
                                <w:bCs/>
                                <w:color w:val="0D0D0D" w:themeColor="text1" w:themeTint="F2"/>
                                <w:sz w:val="36"/>
                                <w:szCs w:val="22"/>
                                <w:lang w:val="pt-BR"/>
                              </w:rPr>
                              <w:t>9</w:t>
                            </w:r>
                          </w:p>
                          <w:p w14:paraId="64E66413" w14:textId="77777777" w:rsidR="00FA3DDB" w:rsidRPr="00DA2224" w:rsidRDefault="00FA3DDB" w:rsidP="00FA3DDB">
                            <w:pPr>
                              <w:spacing w:line="276" w:lineRule="auto"/>
                              <w:rPr>
                                <w:rFonts w:asciiTheme="majorHAnsi" w:hAnsiTheme="majorHAnsi" w:cs="Arial"/>
                                <w:b/>
                                <w:color w:val="0D0D0D" w:themeColor="text1" w:themeTint="F2"/>
                                <w:sz w:val="36"/>
                                <w:szCs w:val="22"/>
                                <w:lang w:val="pt-BR"/>
                              </w:rPr>
                            </w:pPr>
                            <w:r w:rsidRPr="00DA2224">
                              <w:rPr>
                                <w:rFonts w:asciiTheme="majorHAnsi" w:hAnsiTheme="majorHAnsi" w:cs="Arial"/>
                                <w:b/>
                                <w:color w:val="0D0D0D" w:themeColor="text1" w:themeTint="F2"/>
                                <w:sz w:val="36"/>
                                <w:szCs w:val="22"/>
                                <w:lang w:val="pt-BR"/>
                              </w:rPr>
                              <w:t xml:space="preserve">PETIÇÃO </w:t>
                            </w:r>
                            <w:r>
                              <w:rPr>
                                <w:rFonts w:asciiTheme="majorHAnsi" w:hAnsiTheme="majorHAnsi" w:cs="Arial"/>
                                <w:b/>
                                <w:color w:val="0D0D0D" w:themeColor="text1" w:themeTint="F2"/>
                                <w:sz w:val="36"/>
                                <w:szCs w:val="22"/>
                                <w:lang w:val="pt-BR"/>
                              </w:rPr>
                              <w:t>354-10</w:t>
                            </w:r>
                            <w:r w:rsidRPr="00DA2224">
                              <w:rPr>
                                <w:rFonts w:asciiTheme="majorHAnsi" w:hAnsiTheme="majorHAnsi" w:cs="Arial"/>
                                <w:b/>
                                <w:color w:val="0D0D0D" w:themeColor="text1" w:themeTint="F2"/>
                                <w:sz w:val="36"/>
                                <w:szCs w:val="22"/>
                                <w:lang w:val="pt-BR"/>
                              </w:rPr>
                              <w:t xml:space="preserve"> </w:t>
                            </w:r>
                          </w:p>
                          <w:p w14:paraId="759A1161" w14:textId="77777777" w:rsidR="00FA3DDB" w:rsidRPr="00DA2224" w:rsidRDefault="00FA3DDB" w:rsidP="00FA3DDB">
                            <w:pPr>
                              <w:spacing w:line="276" w:lineRule="auto"/>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 DE ADMISSIBILIDADE</w:t>
                            </w:r>
                          </w:p>
                          <w:p w14:paraId="3299A655" w14:textId="77777777" w:rsidR="00FA3DDB" w:rsidRPr="00DA2224" w:rsidRDefault="00FA3DDB" w:rsidP="00FA3DDB">
                            <w:pPr>
                              <w:spacing w:line="276" w:lineRule="auto"/>
                              <w:rPr>
                                <w:rFonts w:asciiTheme="majorHAnsi" w:hAnsiTheme="majorHAnsi" w:cs="Arial"/>
                                <w:color w:val="0D0D0D" w:themeColor="text1" w:themeTint="F2"/>
                                <w:szCs w:val="22"/>
                                <w:lang w:val="pt-BR"/>
                              </w:rPr>
                            </w:pPr>
                            <w:bookmarkStart w:id="1" w:name="_ftnref1"/>
                          </w:p>
                          <w:p w14:paraId="4B8EDA87" w14:textId="77777777" w:rsidR="00FA3DDB" w:rsidRPr="007665A8" w:rsidRDefault="00FA3DDB" w:rsidP="00FA3DDB">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ELISABETH SEMANN</w:t>
                            </w:r>
                          </w:p>
                          <w:bookmarkEnd w:id="1"/>
                          <w:p w14:paraId="42624A1B" w14:textId="77777777" w:rsidR="00FA3DDB" w:rsidRPr="007665A8" w:rsidRDefault="00FA3DDB" w:rsidP="00FA3DDB">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5B52B0" w:rsidRPr="007665A8" w:rsidRDefault="005B52B0"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666251BB" w14:textId="77777777" w:rsidR="00FA3DDB" w:rsidRPr="007665A8" w:rsidRDefault="00FA3DDB" w:rsidP="00FA3DDB">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Pr="007665A8">
                        <w:rPr>
                          <w:rFonts w:asciiTheme="majorHAnsi" w:hAnsiTheme="majorHAnsi" w:cs="Arial"/>
                          <w:b/>
                          <w:bCs/>
                          <w:color w:val="0D0D0D" w:themeColor="text1" w:themeTint="F2"/>
                          <w:sz w:val="36"/>
                          <w:szCs w:val="22"/>
                          <w:lang w:val="pt-BR"/>
                        </w:rPr>
                        <w:t xml:space="preserve"> </w:t>
                      </w:r>
                      <w:r w:rsidRPr="007665A8">
                        <w:rPr>
                          <w:rFonts w:asciiTheme="majorHAnsi" w:hAnsiTheme="majorHAnsi" w:cs="Arial"/>
                          <w:b/>
                          <w:bCs/>
                          <w:color w:val="0D0D0D" w:themeColor="text1" w:themeTint="F2"/>
                          <w:sz w:val="36"/>
                          <w:szCs w:val="40"/>
                          <w:lang w:val="pt-BR"/>
                        </w:rPr>
                        <w:t>No.</w:t>
                      </w:r>
                      <w:r w:rsidRPr="007665A8">
                        <w:rPr>
                          <w:rFonts w:asciiTheme="majorHAnsi" w:hAnsiTheme="majorHAnsi" w:cs="Arial"/>
                          <w:b/>
                          <w:bCs/>
                          <w:color w:val="0D0D0D" w:themeColor="text1" w:themeTint="F2"/>
                          <w:sz w:val="36"/>
                          <w:szCs w:val="22"/>
                          <w:lang w:val="pt-BR"/>
                        </w:rPr>
                        <w:t xml:space="preserve"> </w:t>
                      </w:r>
                      <w:r>
                        <w:rPr>
                          <w:rFonts w:asciiTheme="majorHAnsi" w:hAnsiTheme="majorHAnsi" w:cs="Arial"/>
                          <w:b/>
                          <w:bCs/>
                          <w:color w:val="0D0D0D" w:themeColor="text1" w:themeTint="F2"/>
                          <w:sz w:val="36"/>
                          <w:szCs w:val="22"/>
                          <w:lang w:val="pt-BR"/>
                        </w:rPr>
                        <w:t>37</w:t>
                      </w:r>
                      <w:r w:rsidRPr="007665A8">
                        <w:rPr>
                          <w:rFonts w:asciiTheme="majorHAnsi" w:hAnsiTheme="majorHAnsi" w:cs="Arial"/>
                          <w:b/>
                          <w:bCs/>
                          <w:color w:val="0D0D0D" w:themeColor="text1" w:themeTint="F2"/>
                          <w:sz w:val="36"/>
                          <w:szCs w:val="22"/>
                          <w:lang w:val="pt-BR"/>
                        </w:rPr>
                        <w:t>/1</w:t>
                      </w:r>
                      <w:r>
                        <w:rPr>
                          <w:rFonts w:asciiTheme="majorHAnsi" w:hAnsiTheme="majorHAnsi" w:cs="Arial"/>
                          <w:b/>
                          <w:bCs/>
                          <w:color w:val="0D0D0D" w:themeColor="text1" w:themeTint="F2"/>
                          <w:sz w:val="36"/>
                          <w:szCs w:val="22"/>
                          <w:lang w:val="pt-BR"/>
                        </w:rPr>
                        <w:t>9</w:t>
                      </w:r>
                    </w:p>
                    <w:p w14:paraId="64E66413" w14:textId="77777777" w:rsidR="00FA3DDB" w:rsidRPr="00DA2224" w:rsidRDefault="00FA3DDB" w:rsidP="00FA3DDB">
                      <w:pPr>
                        <w:spacing w:line="276" w:lineRule="auto"/>
                        <w:rPr>
                          <w:rFonts w:asciiTheme="majorHAnsi" w:hAnsiTheme="majorHAnsi" w:cs="Arial"/>
                          <w:b/>
                          <w:color w:val="0D0D0D" w:themeColor="text1" w:themeTint="F2"/>
                          <w:sz w:val="36"/>
                          <w:szCs w:val="22"/>
                          <w:lang w:val="pt-BR"/>
                        </w:rPr>
                      </w:pPr>
                      <w:r w:rsidRPr="00DA2224">
                        <w:rPr>
                          <w:rFonts w:asciiTheme="majorHAnsi" w:hAnsiTheme="majorHAnsi" w:cs="Arial"/>
                          <w:b/>
                          <w:color w:val="0D0D0D" w:themeColor="text1" w:themeTint="F2"/>
                          <w:sz w:val="36"/>
                          <w:szCs w:val="22"/>
                          <w:lang w:val="pt-BR"/>
                        </w:rPr>
                        <w:t xml:space="preserve">PETIÇÃO </w:t>
                      </w:r>
                      <w:r>
                        <w:rPr>
                          <w:rFonts w:asciiTheme="majorHAnsi" w:hAnsiTheme="majorHAnsi" w:cs="Arial"/>
                          <w:b/>
                          <w:color w:val="0D0D0D" w:themeColor="text1" w:themeTint="F2"/>
                          <w:sz w:val="36"/>
                          <w:szCs w:val="22"/>
                          <w:lang w:val="pt-BR"/>
                        </w:rPr>
                        <w:t>354-10</w:t>
                      </w:r>
                      <w:r w:rsidRPr="00DA2224">
                        <w:rPr>
                          <w:rFonts w:asciiTheme="majorHAnsi" w:hAnsiTheme="majorHAnsi" w:cs="Arial"/>
                          <w:b/>
                          <w:color w:val="0D0D0D" w:themeColor="text1" w:themeTint="F2"/>
                          <w:sz w:val="36"/>
                          <w:szCs w:val="22"/>
                          <w:lang w:val="pt-BR"/>
                        </w:rPr>
                        <w:t xml:space="preserve"> </w:t>
                      </w:r>
                    </w:p>
                    <w:p w14:paraId="759A1161" w14:textId="77777777" w:rsidR="00FA3DDB" w:rsidRPr="00DA2224" w:rsidRDefault="00FA3DDB" w:rsidP="00FA3DDB">
                      <w:pPr>
                        <w:spacing w:line="276" w:lineRule="auto"/>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 DE ADMISSIBILIDADE</w:t>
                      </w:r>
                    </w:p>
                    <w:p w14:paraId="3299A655" w14:textId="77777777" w:rsidR="00FA3DDB" w:rsidRPr="00DA2224" w:rsidRDefault="00FA3DDB" w:rsidP="00FA3DDB">
                      <w:pPr>
                        <w:spacing w:line="276" w:lineRule="auto"/>
                        <w:rPr>
                          <w:rFonts w:asciiTheme="majorHAnsi" w:hAnsiTheme="majorHAnsi" w:cs="Arial"/>
                          <w:color w:val="0D0D0D" w:themeColor="text1" w:themeTint="F2"/>
                          <w:szCs w:val="22"/>
                          <w:lang w:val="pt-BR"/>
                        </w:rPr>
                      </w:pPr>
                      <w:bookmarkStart w:id="2" w:name="_ftnref1"/>
                    </w:p>
                    <w:p w14:paraId="4B8EDA87" w14:textId="77777777" w:rsidR="00FA3DDB" w:rsidRPr="007665A8" w:rsidRDefault="00FA3DDB" w:rsidP="00FA3DDB">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ELISABETH SEMANN</w:t>
                      </w:r>
                    </w:p>
                    <w:bookmarkEnd w:id="2"/>
                    <w:p w14:paraId="42624A1B" w14:textId="77777777" w:rsidR="00FA3DDB" w:rsidRPr="007665A8" w:rsidRDefault="00FA3DDB" w:rsidP="00FA3DDB">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5B52B0" w:rsidRPr="007665A8" w:rsidRDefault="005B52B0" w:rsidP="007A5817">
                      <w:pPr>
                        <w:rPr>
                          <w:color w:val="0D0D0D" w:themeColor="text1" w:themeTint="F2"/>
                          <w:lang w:val="pt-BR"/>
                        </w:rPr>
                      </w:pPr>
                    </w:p>
                  </w:txbxContent>
                </v:textbox>
              </v:shape>
            </w:pict>
          </mc:Fallback>
        </mc:AlternateContent>
      </w:r>
      <w:r w:rsidR="004E2649" w:rsidRPr="00A75CC3">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E9DB09" w14:textId="77777777" w:rsidR="00FA3DDB" w:rsidRPr="00A75CC3" w:rsidRDefault="00FA3DDB" w:rsidP="00FA3DDB">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5E84A782" w14:textId="77777777" w:rsidR="00FA3DDB" w:rsidRPr="00A75CC3" w:rsidRDefault="00FA3DDB" w:rsidP="00FA3DDB">
                            <w:pPr>
                              <w:spacing w:line="276" w:lineRule="auto"/>
                              <w:jc w:val="right"/>
                              <w:rPr>
                                <w:rFonts w:asciiTheme="minorHAnsi" w:hAnsiTheme="minorHAnsi"/>
                                <w:sz w:val="22"/>
                                <w:lang w:val="pt-BR"/>
                              </w:rPr>
                            </w:pPr>
                            <w:r>
                              <w:rPr>
                                <w:rFonts w:asciiTheme="minorHAnsi" w:hAnsiTheme="minorHAnsi"/>
                                <w:sz w:val="22"/>
                                <w:lang w:val="pt-BR"/>
                              </w:rPr>
                              <w:t>Doc. 42</w:t>
                            </w:r>
                          </w:p>
                          <w:p w14:paraId="221B0BC2" w14:textId="77777777" w:rsidR="00FA3DDB" w:rsidRPr="00A75CC3" w:rsidRDefault="00FA3DDB" w:rsidP="00FA3DDB">
                            <w:pPr>
                              <w:spacing w:line="276" w:lineRule="auto"/>
                              <w:jc w:val="right"/>
                              <w:rPr>
                                <w:rFonts w:asciiTheme="minorHAnsi" w:hAnsiTheme="minorHAnsi"/>
                                <w:sz w:val="22"/>
                              </w:rPr>
                            </w:pPr>
                            <w:r>
                              <w:rPr>
                                <w:rFonts w:asciiTheme="minorHAnsi" w:hAnsiTheme="minorHAnsi"/>
                                <w:sz w:val="22"/>
                              </w:rPr>
                              <w:t xml:space="preserve">12 </w:t>
                            </w:r>
                            <w:proofErr w:type="spellStart"/>
                            <w:r>
                              <w:rPr>
                                <w:rFonts w:asciiTheme="minorHAnsi" w:hAnsiTheme="minorHAnsi"/>
                                <w:sz w:val="22"/>
                              </w:rPr>
                              <w:t>abril</w:t>
                            </w:r>
                            <w:proofErr w:type="spellEnd"/>
                            <w:r w:rsidRPr="00A75CC3">
                              <w:rPr>
                                <w:rFonts w:asciiTheme="minorHAnsi" w:hAnsiTheme="minorHAnsi"/>
                                <w:sz w:val="22"/>
                              </w:rPr>
                              <w:t xml:space="preserve"> 201</w:t>
                            </w:r>
                            <w:r>
                              <w:rPr>
                                <w:rFonts w:asciiTheme="minorHAnsi" w:hAnsiTheme="minorHAnsi"/>
                                <w:sz w:val="22"/>
                              </w:rPr>
                              <w:t>9</w:t>
                            </w:r>
                          </w:p>
                          <w:p w14:paraId="0771DB5B" w14:textId="029EC9AD" w:rsidR="00627C9F" w:rsidRPr="00A75CC3" w:rsidRDefault="00FA3DDB" w:rsidP="00FA3DDB">
                            <w:pPr>
                              <w:spacing w:line="276" w:lineRule="auto"/>
                              <w:jc w:val="right"/>
                              <w:rPr>
                                <w:rFonts w:asciiTheme="minorHAnsi" w:hAnsiTheme="minorHAnsi"/>
                                <w:sz w:val="22"/>
                              </w:rPr>
                            </w:pPr>
                            <w:r w:rsidRPr="00A75CC3">
                              <w:rPr>
                                <w:rFonts w:asciiTheme="minorHAnsi" w:hAnsiTheme="minorHAnsi"/>
                                <w:sz w:val="22"/>
                              </w:rPr>
                              <w:t xml:space="preserve">Original: </w:t>
                            </w:r>
                            <w:proofErr w:type="spellStart"/>
                            <w:r w:rsidRPr="00A75CC3">
                              <w:rPr>
                                <w:rFonts w:asciiTheme="minorHAnsi" w:hAnsiTheme="minorHAnsi"/>
                                <w:sz w:val="22"/>
                              </w:rPr>
                              <w:t>português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8E9DB09" w14:textId="77777777" w:rsidR="00FA3DDB" w:rsidRPr="00A75CC3" w:rsidRDefault="00FA3DDB" w:rsidP="00FA3DDB">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5E84A782" w14:textId="77777777" w:rsidR="00FA3DDB" w:rsidRPr="00A75CC3" w:rsidRDefault="00FA3DDB" w:rsidP="00FA3DDB">
                      <w:pPr>
                        <w:spacing w:line="276" w:lineRule="auto"/>
                        <w:jc w:val="right"/>
                        <w:rPr>
                          <w:rFonts w:asciiTheme="minorHAnsi" w:hAnsiTheme="minorHAnsi"/>
                          <w:sz w:val="22"/>
                          <w:lang w:val="pt-BR"/>
                        </w:rPr>
                      </w:pPr>
                      <w:r>
                        <w:rPr>
                          <w:rFonts w:asciiTheme="minorHAnsi" w:hAnsiTheme="minorHAnsi"/>
                          <w:sz w:val="22"/>
                          <w:lang w:val="pt-BR"/>
                        </w:rPr>
                        <w:t>Doc. 42</w:t>
                      </w:r>
                    </w:p>
                    <w:p w14:paraId="221B0BC2" w14:textId="77777777" w:rsidR="00FA3DDB" w:rsidRPr="00A75CC3" w:rsidRDefault="00FA3DDB" w:rsidP="00FA3DDB">
                      <w:pPr>
                        <w:spacing w:line="276" w:lineRule="auto"/>
                        <w:jc w:val="right"/>
                        <w:rPr>
                          <w:rFonts w:asciiTheme="minorHAnsi" w:hAnsiTheme="minorHAnsi"/>
                          <w:sz w:val="22"/>
                        </w:rPr>
                      </w:pPr>
                      <w:r>
                        <w:rPr>
                          <w:rFonts w:asciiTheme="minorHAnsi" w:hAnsiTheme="minorHAnsi"/>
                          <w:sz w:val="22"/>
                        </w:rPr>
                        <w:t xml:space="preserve">12 </w:t>
                      </w:r>
                      <w:proofErr w:type="spellStart"/>
                      <w:r>
                        <w:rPr>
                          <w:rFonts w:asciiTheme="minorHAnsi" w:hAnsiTheme="minorHAnsi"/>
                          <w:sz w:val="22"/>
                        </w:rPr>
                        <w:t>abril</w:t>
                      </w:r>
                      <w:proofErr w:type="spellEnd"/>
                      <w:r w:rsidRPr="00A75CC3">
                        <w:rPr>
                          <w:rFonts w:asciiTheme="minorHAnsi" w:hAnsiTheme="minorHAnsi"/>
                          <w:sz w:val="22"/>
                        </w:rPr>
                        <w:t xml:space="preserve"> 201</w:t>
                      </w:r>
                      <w:r>
                        <w:rPr>
                          <w:rFonts w:asciiTheme="minorHAnsi" w:hAnsiTheme="minorHAnsi"/>
                          <w:sz w:val="22"/>
                        </w:rPr>
                        <w:t>9</w:t>
                      </w:r>
                    </w:p>
                    <w:p w14:paraId="0771DB5B" w14:textId="029EC9AD" w:rsidR="00627C9F" w:rsidRPr="00A75CC3" w:rsidRDefault="00FA3DDB" w:rsidP="00FA3DDB">
                      <w:pPr>
                        <w:spacing w:line="276" w:lineRule="auto"/>
                        <w:jc w:val="right"/>
                        <w:rPr>
                          <w:rFonts w:asciiTheme="minorHAnsi" w:hAnsiTheme="minorHAnsi"/>
                          <w:sz w:val="22"/>
                        </w:rPr>
                      </w:pPr>
                      <w:r w:rsidRPr="00A75CC3">
                        <w:rPr>
                          <w:rFonts w:asciiTheme="minorHAnsi" w:hAnsiTheme="minorHAnsi"/>
                          <w:sz w:val="22"/>
                        </w:rPr>
                        <w:t xml:space="preserve">Original: </w:t>
                      </w:r>
                      <w:proofErr w:type="spellStart"/>
                      <w:r w:rsidRPr="00A75CC3">
                        <w:rPr>
                          <w:rFonts w:asciiTheme="minorHAnsi" w:hAnsiTheme="minorHAnsi"/>
                          <w:sz w:val="22"/>
                        </w:rPr>
                        <w:t>português</w:t>
                      </w:r>
                      <w:proofErr w:type="spellEnd"/>
                    </w:p>
                  </w:txbxContent>
                </v:textbox>
              </v:shape>
            </w:pict>
          </mc:Fallback>
        </mc:AlternateContent>
      </w:r>
    </w:p>
    <w:p w14:paraId="155B0536"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5FE3AB87"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3C383BC0" w14:textId="77777777" w:rsidR="00040C3A" w:rsidRPr="00A75CC3" w:rsidRDefault="00040C3A" w:rsidP="00040C3A">
      <w:pPr>
        <w:tabs>
          <w:tab w:val="center" w:pos="5400"/>
        </w:tabs>
        <w:suppressAutoHyphens/>
        <w:jc w:val="center"/>
        <w:rPr>
          <w:rFonts w:asciiTheme="majorHAnsi" w:hAnsiTheme="majorHAnsi" w:cs="Arial"/>
          <w:sz w:val="22"/>
          <w:szCs w:val="22"/>
          <w:lang w:val="pt-BR"/>
        </w:rPr>
      </w:pPr>
    </w:p>
    <w:p w14:paraId="54590931"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76C291D6"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2161B44F"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3C4EEE07"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3B0E4647" w14:textId="77777777" w:rsidR="005128E4" w:rsidRPr="00A75CC3" w:rsidRDefault="005128E4" w:rsidP="00040C3A">
      <w:pPr>
        <w:tabs>
          <w:tab w:val="center" w:pos="5400"/>
        </w:tabs>
        <w:suppressAutoHyphens/>
        <w:jc w:val="center"/>
        <w:rPr>
          <w:rFonts w:asciiTheme="majorHAnsi" w:hAnsiTheme="majorHAnsi"/>
          <w:sz w:val="22"/>
          <w:szCs w:val="22"/>
          <w:lang w:val="pt-BR"/>
        </w:rPr>
      </w:pPr>
    </w:p>
    <w:p w14:paraId="2DAAF36D"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12496A14" w14:textId="77777777" w:rsidR="005128E4" w:rsidRPr="00A75CC3" w:rsidRDefault="005128E4" w:rsidP="00040C3A">
      <w:pPr>
        <w:tabs>
          <w:tab w:val="center" w:pos="5400"/>
        </w:tabs>
        <w:suppressAutoHyphens/>
        <w:jc w:val="center"/>
        <w:rPr>
          <w:rFonts w:asciiTheme="majorHAnsi" w:hAnsiTheme="majorHAnsi"/>
          <w:sz w:val="22"/>
          <w:szCs w:val="22"/>
          <w:lang w:val="pt-BR"/>
        </w:rPr>
      </w:pPr>
    </w:p>
    <w:p w14:paraId="25772DB3" w14:textId="77777777" w:rsidR="005128E4" w:rsidRPr="00A75CC3" w:rsidRDefault="005128E4" w:rsidP="00040C3A">
      <w:pPr>
        <w:tabs>
          <w:tab w:val="center" w:pos="5400"/>
        </w:tabs>
        <w:suppressAutoHyphens/>
        <w:jc w:val="center"/>
        <w:rPr>
          <w:rFonts w:asciiTheme="majorHAnsi" w:hAnsiTheme="majorHAnsi"/>
          <w:sz w:val="22"/>
          <w:szCs w:val="22"/>
          <w:lang w:val="pt-BR"/>
        </w:rPr>
      </w:pPr>
    </w:p>
    <w:p w14:paraId="6820FADA" w14:textId="77777777" w:rsidR="005128E4" w:rsidRPr="00A75CC3" w:rsidRDefault="005128E4" w:rsidP="00040C3A">
      <w:pPr>
        <w:tabs>
          <w:tab w:val="center" w:pos="5400"/>
        </w:tabs>
        <w:suppressAutoHyphens/>
        <w:jc w:val="center"/>
        <w:rPr>
          <w:rFonts w:asciiTheme="majorHAnsi" w:hAnsiTheme="majorHAnsi"/>
          <w:sz w:val="22"/>
          <w:szCs w:val="22"/>
          <w:lang w:val="pt-BR"/>
        </w:rPr>
      </w:pPr>
    </w:p>
    <w:p w14:paraId="54445A55"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5D4A4040"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048FBB22"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190ABFB3"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4C690048"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733CA438"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7874DEEB"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3698D0D6"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1F907823"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045D9AC1"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16068EE5"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14A4A430"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0B3B735F"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02C5C441"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7806A2B0"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319C392B"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514A0182" w14:textId="77777777" w:rsidR="00A50FCF" w:rsidRPr="00A75CC3" w:rsidRDefault="0090270B" w:rsidP="00040C3A">
      <w:pPr>
        <w:tabs>
          <w:tab w:val="center" w:pos="5400"/>
        </w:tabs>
        <w:suppressAutoHyphens/>
        <w:jc w:val="center"/>
        <w:rPr>
          <w:rFonts w:asciiTheme="majorHAnsi" w:hAnsiTheme="majorHAnsi"/>
          <w:sz w:val="18"/>
          <w:szCs w:val="22"/>
          <w:lang w:val="pt-BR"/>
        </w:rPr>
      </w:pPr>
      <w:r w:rsidRPr="00A75CC3">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098826" w14:textId="2057174A" w:rsidR="00FA3DDB" w:rsidRPr="0038709A" w:rsidRDefault="00FA3DDB" w:rsidP="00FA3DDB">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Pr>
                                <w:rFonts w:asciiTheme="majorHAnsi" w:hAnsiTheme="majorHAnsi"/>
                                <w:color w:val="0D0D0D" w:themeColor="text1" w:themeTint="F2"/>
                                <w:sz w:val="18"/>
                                <w:szCs w:val="22"/>
                                <w:lang w:val="pt-BR"/>
                              </w:rPr>
                              <w:t xml:space="preserve"> ele</w:t>
                            </w:r>
                            <w:r w:rsidRPr="0038709A">
                              <w:rPr>
                                <w:rFonts w:asciiTheme="majorHAnsi" w:hAnsiTheme="majorHAnsi"/>
                                <w:color w:val="0D0D0D" w:themeColor="text1" w:themeTint="F2"/>
                                <w:sz w:val="18"/>
                                <w:szCs w:val="22"/>
                                <w:lang w:val="pt-BR"/>
                              </w:rPr>
                              <w:t xml:space="preserve">tronicamente pela Comissão em </w:t>
                            </w:r>
                            <w:r>
                              <w:rPr>
                                <w:rFonts w:asciiTheme="majorHAnsi" w:hAnsiTheme="majorHAnsi"/>
                                <w:color w:val="0D0D0D" w:themeColor="text1" w:themeTint="F2"/>
                                <w:sz w:val="18"/>
                                <w:szCs w:val="22"/>
                                <w:lang w:val="pt-BR"/>
                              </w:rPr>
                              <w:t>12</w:t>
                            </w:r>
                            <w:r w:rsidRPr="0038709A">
                              <w:rPr>
                                <w:rFonts w:asciiTheme="majorHAnsi" w:hAnsiTheme="majorHAnsi"/>
                                <w:color w:val="0D0D0D" w:themeColor="text1" w:themeTint="F2"/>
                                <w:sz w:val="18"/>
                                <w:szCs w:val="22"/>
                                <w:lang w:val="pt-BR"/>
                              </w:rPr>
                              <w:t xml:space="preserve"> </w:t>
                            </w:r>
                            <w:r w:rsidRPr="0038709A">
                              <w:rPr>
                                <w:rFonts w:asciiTheme="majorHAnsi" w:hAnsiTheme="majorHAnsi"/>
                                <w:color w:val="0D0D0D" w:themeColor="text1" w:themeTint="F2"/>
                                <w:sz w:val="18"/>
                                <w:szCs w:val="22"/>
                                <w:lang w:val="pt-BR"/>
                              </w:rPr>
                              <w:t xml:space="preserve">de </w:t>
                            </w:r>
                            <w:r>
                              <w:rPr>
                                <w:rFonts w:asciiTheme="majorHAnsi" w:hAnsiTheme="majorHAnsi"/>
                                <w:color w:val="0D0D0D" w:themeColor="text1" w:themeTint="F2"/>
                                <w:sz w:val="18"/>
                                <w:szCs w:val="22"/>
                                <w:lang w:val="pt-BR"/>
                              </w:rPr>
                              <w:t>abril</w:t>
                            </w:r>
                            <w:r w:rsidRPr="0038709A">
                              <w:rPr>
                                <w:rFonts w:asciiTheme="majorHAnsi" w:hAnsiTheme="majorHAnsi"/>
                                <w:color w:val="0D0D0D" w:themeColor="text1" w:themeTint="F2"/>
                                <w:sz w:val="18"/>
                                <w:szCs w:val="22"/>
                                <w:lang w:val="pt-BR"/>
                              </w:rPr>
                              <w:t xml:space="preserve"> de 201</w:t>
                            </w:r>
                            <w:r>
                              <w:rPr>
                                <w:rFonts w:asciiTheme="majorHAnsi" w:hAnsiTheme="majorHAnsi"/>
                                <w:color w:val="0D0D0D" w:themeColor="text1" w:themeTint="F2"/>
                                <w:sz w:val="18"/>
                                <w:szCs w:val="22"/>
                                <w:lang w:val="pt-BR"/>
                              </w:rPr>
                              <w:t>9</w:t>
                            </w:r>
                            <w:r w:rsidR="00F06D2C">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02098826" w14:textId="2057174A" w:rsidR="00FA3DDB" w:rsidRPr="0038709A" w:rsidRDefault="00FA3DDB" w:rsidP="00FA3DDB">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Pr>
                          <w:rFonts w:asciiTheme="majorHAnsi" w:hAnsiTheme="majorHAnsi"/>
                          <w:color w:val="0D0D0D" w:themeColor="text1" w:themeTint="F2"/>
                          <w:sz w:val="18"/>
                          <w:szCs w:val="22"/>
                          <w:lang w:val="pt-BR"/>
                        </w:rPr>
                        <w:t xml:space="preserve"> ele</w:t>
                      </w:r>
                      <w:r w:rsidRPr="0038709A">
                        <w:rPr>
                          <w:rFonts w:asciiTheme="majorHAnsi" w:hAnsiTheme="majorHAnsi"/>
                          <w:color w:val="0D0D0D" w:themeColor="text1" w:themeTint="F2"/>
                          <w:sz w:val="18"/>
                          <w:szCs w:val="22"/>
                          <w:lang w:val="pt-BR"/>
                        </w:rPr>
                        <w:t xml:space="preserve">tronicamente pela Comissão em </w:t>
                      </w:r>
                      <w:r>
                        <w:rPr>
                          <w:rFonts w:asciiTheme="majorHAnsi" w:hAnsiTheme="majorHAnsi"/>
                          <w:color w:val="0D0D0D" w:themeColor="text1" w:themeTint="F2"/>
                          <w:sz w:val="18"/>
                          <w:szCs w:val="22"/>
                          <w:lang w:val="pt-BR"/>
                        </w:rPr>
                        <w:t>12</w:t>
                      </w:r>
                      <w:r w:rsidRPr="0038709A">
                        <w:rPr>
                          <w:rFonts w:asciiTheme="majorHAnsi" w:hAnsiTheme="majorHAnsi"/>
                          <w:color w:val="0D0D0D" w:themeColor="text1" w:themeTint="F2"/>
                          <w:sz w:val="18"/>
                          <w:szCs w:val="22"/>
                          <w:lang w:val="pt-BR"/>
                        </w:rPr>
                        <w:t xml:space="preserve"> </w:t>
                      </w:r>
                      <w:r w:rsidRPr="0038709A">
                        <w:rPr>
                          <w:rFonts w:asciiTheme="majorHAnsi" w:hAnsiTheme="majorHAnsi"/>
                          <w:color w:val="0D0D0D" w:themeColor="text1" w:themeTint="F2"/>
                          <w:sz w:val="18"/>
                          <w:szCs w:val="22"/>
                          <w:lang w:val="pt-BR"/>
                        </w:rPr>
                        <w:t xml:space="preserve">de </w:t>
                      </w:r>
                      <w:r>
                        <w:rPr>
                          <w:rFonts w:asciiTheme="majorHAnsi" w:hAnsiTheme="majorHAnsi"/>
                          <w:color w:val="0D0D0D" w:themeColor="text1" w:themeTint="F2"/>
                          <w:sz w:val="18"/>
                          <w:szCs w:val="22"/>
                          <w:lang w:val="pt-BR"/>
                        </w:rPr>
                        <w:t>abril</w:t>
                      </w:r>
                      <w:r w:rsidRPr="0038709A">
                        <w:rPr>
                          <w:rFonts w:asciiTheme="majorHAnsi" w:hAnsiTheme="majorHAnsi"/>
                          <w:color w:val="0D0D0D" w:themeColor="text1" w:themeTint="F2"/>
                          <w:sz w:val="18"/>
                          <w:szCs w:val="22"/>
                          <w:lang w:val="pt-BR"/>
                        </w:rPr>
                        <w:t xml:space="preserve"> de 201</w:t>
                      </w:r>
                      <w:r>
                        <w:rPr>
                          <w:rFonts w:asciiTheme="majorHAnsi" w:hAnsiTheme="majorHAnsi"/>
                          <w:color w:val="0D0D0D" w:themeColor="text1" w:themeTint="F2"/>
                          <w:sz w:val="18"/>
                          <w:szCs w:val="22"/>
                          <w:lang w:val="pt-BR"/>
                        </w:rPr>
                        <w:t>9</w:t>
                      </w:r>
                      <w:r w:rsidR="00F06D2C">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14:paraId="1F28BEBB"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7929D1FD"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5469D0BE"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7A79F059"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330672AE" w14:textId="77777777" w:rsidR="00A50FCF" w:rsidRPr="00A75CC3" w:rsidRDefault="0090270B" w:rsidP="00040C3A">
      <w:pPr>
        <w:tabs>
          <w:tab w:val="center" w:pos="5400"/>
        </w:tabs>
        <w:suppressAutoHyphens/>
        <w:jc w:val="center"/>
        <w:rPr>
          <w:rFonts w:asciiTheme="majorHAnsi" w:hAnsiTheme="majorHAnsi"/>
          <w:sz w:val="18"/>
          <w:szCs w:val="22"/>
          <w:lang w:val="pt-BR"/>
        </w:rPr>
      </w:pPr>
      <w:r w:rsidRPr="00A75CC3">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BE130E" w14:textId="77777777" w:rsidR="00FA3DDB" w:rsidRPr="0038709A" w:rsidRDefault="00FA3DDB" w:rsidP="00FA3DDB">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Pr>
                                <w:rFonts w:asciiTheme="majorHAnsi" w:hAnsiTheme="majorHAnsi"/>
                                <w:color w:val="595959" w:themeColor="text1" w:themeTint="A6"/>
                                <w:sz w:val="18"/>
                                <w:szCs w:val="18"/>
                                <w:lang w:val="pt-BR"/>
                              </w:rPr>
                              <w:t>37</w:t>
                            </w:r>
                            <w:r w:rsidRPr="0038709A">
                              <w:rPr>
                                <w:rFonts w:asciiTheme="majorHAnsi" w:hAnsiTheme="majorHAnsi"/>
                                <w:color w:val="595959" w:themeColor="text1" w:themeTint="A6"/>
                                <w:sz w:val="18"/>
                                <w:szCs w:val="18"/>
                                <w:lang w:val="pt-BR"/>
                              </w:rPr>
                              <w:t>/</w:t>
                            </w:r>
                            <w:r>
                              <w:rPr>
                                <w:rFonts w:asciiTheme="majorHAnsi" w:hAnsiTheme="majorHAnsi"/>
                                <w:color w:val="595959" w:themeColor="text1" w:themeTint="A6"/>
                                <w:sz w:val="18"/>
                                <w:szCs w:val="18"/>
                                <w:lang w:val="pt-BR"/>
                              </w:rPr>
                              <w:t>19</w:t>
                            </w:r>
                            <w:r w:rsidRPr="0038709A">
                              <w:rPr>
                                <w:rFonts w:asciiTheme="majorHAnsi" w:hAnsiTheme="majorHAnsi"/>
                                <w:color w:val="595959" w:themeColor="text1" w:themeTint="A6"/>
                                <w:sz w:val="18"/>
                                <w:szCs w:val="18"/>
                                <w:lang w:val="pt-BR"/>
                              </w:rPr>
                              <w:t xml:space="preserve">. Petição </w:t>
                            </w:r>
                            <w:r>
                              <w:rPr>
                                <w:rFonts w:asciiTheme="majorHAnsi" w:hAnsiTheme="majorHAnsi"/>
                                <w:color w:val="595959" w:themeColor="text1" w:themeTint="A6"/>
                                <w:sz w:val="18"/>
                                <w:szCs w:val="18"/>
                                <w:lang w:val="pt-BR"/>
                              </w:rPr>
                              <w:t>354-10</w:t>
                            </w:r>
                            <w:r w:rsidRPr="0038709A">
                              <w:rPr>
                                <w:rFonts w:asciiTheme="majorHAnsi" w:hAnsiTheme="majorHAnsi"/>
                                <w:color w:val="595959" w:themeColor="text1" w:themeTint="A6"/>
                                <w:sz w:val="18"/>
                                <w:szCs w:val="18"/>
                                <w:lang w:val="pt-BR"/>
                              </w:rPr>
                              <w:t>. Admissibilidade</w:t>
                            </w:r>
                            <w:r>
                              <w:rPr>
                                <w:rFonts w:asciiTheme="majorHAnsi" w:hAnsiTheme="majorHAnsi"/>
                                <w:color w:val="595959" w:themeColor="text1" w:themeTint="A6"/>
                                <w:sz w:val="18"/>
                                <w:szCs w:val="18"/>
                                <w:lang w:val="pt-BR"/>
                              </w:rPr>
                              <w:t>. Elisabeth Semann. Brasil</w:t>
                            </w:r>
                            <w:r w:rsidRPr="0038709A">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pt-BR"/>
                              </w:rPr>
                              <w:t>12 de abril de 2019</w:t>
                            </w:r>
                            <w:r w:rsidRPr="0038709A">
                              <w:rPr>
                                <w:rFonts w:asciiTheme="majorHAnsi" w:hAnsiTheme="majorHAnsi"/>
                                <w:color w:val="595959" w:themeColor="text1" w:themeTint="A6"/>
                                <w:sz w:val="18"/>
                                <w:szCs w:val="18"/>
                                <w:lang w:val="pt-BR"/>
                              </w:rPr>
                              <w:t>.</w:t>
                            </w:r>
                          </w:p>
                          <w:p w14:paraId="0D1B22CF" w14:textId="446EEE70" w:rsidR="00113F73" w:rsidRPr="0038709A" w:rsidRDefault="00113F73" w:rsidP="00113F73">
                            <w:pPr>
                              <w:spacing w:line="276" w:lineRule="auto"/>
                              <w:rPr>
                                <w:rFonts w:asciiTheme="majorHAnsi" w:hAnsiTheme="majorHAnsi"/>
                                <w:color w:val="595959" w:themeColor="text1" w:themeTint="A6"/>
                                <w:sz w:val="18"/>
                                <w:szCs w:val="18"/>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6EBE130E" w14:textId="77777777" w:rsidR="00FA3DDB" w:rsidRPr="0038709A" w:rsidRDefault="00FA3DDB" w:rsidP="00FA3DDB">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Pr>
                          <w:rFonts w:asciiTheme="majorHAnsi" w:hAnsiTheme="majorHAnsi"/>
                          <w:color w:val="595959" w:themeColor="text1" w:themeTint="A6"/>
                          <w:sz w:val="18"/>
                          <w:szCs w:val="18"/>
                          <w:lang w:val="pt-BR"/>
                        </w:rPr>
                        <w:t>37</w:t>
                      </w:r>
                      <w:r w:rsidRPr="0038709A">
                        <w:rPr>
                          <w:rFonts w:asciiTheme="majorHAnsi" w:hAnsiTheme="majorHAnsi"/>
                          <w:color w:val="595959" w:themeColor="text1" w:themeTint="A6"/>
                          <w:sz w:val="18"/>
                          <w:szCs w:val="18"/>
                          <w:lang w:val="pt-BR"/>
                        </w:rPr>
                        <w:t>/</w:t>
                      </w:r>
                      <w:r>
                        <w:rPr>
                          <w:rFonts w:asciiTheme="majorHAnsi" w:hAnsiTheme="majorHAnsi"/>
                          <w:color w:val="595959" w:themeColor="text1" w:themeTint="A6"/>
                          <w:sz w:val="18"/>
                          <w:szCs w:val="18"/>
                          <w:lang w:val="pt-BR"/>
                        </w:rPr>
                        <w:t>19</w:t>
                      </w:r>
                      <w:r w:rsidRPr="0038709A">
                        <w:rPr>
                          <w:rFonts w:asciiTheme="majorHAnsi" w:hAnsiTheme="majorHAnsi"/>
                          <w:color w:val="595959" w:themeColor="text1" w:themeTint="A6"/>
                          <w:sz w:val="18"/>
                          <w:szCs w:val="18"/>
                          <w:lang w:val="pt-BR"/>
                        </w:rPr>
                        <w:t xml:space="preserve">. Petição </w:t>
                      </w:r>
                      <w:r>
                        <w:rPr>
                          <w:rFonts w:asciiTheme="majorHAnsi" w:hAnsiTheme="majorHAnsi"/>
                          <w:color w:val="595959" w:themeColor="text1" w:themeTint="A6"/>
                          <w:sz w:val="18"/>
                          <w:szCs w:val="18"/>
                          <w:lang w:val="pt-BR"/>
                        </w:rPr>
                        <w:t>354-10</w:t>
                      </w:r>
                      <w:r w:rsidRPr="0038709A">
                        <w:rPr>
                          <w:rFonts w:asciiTheme="majorHAnsi" w:hAnsiTheme="majorHAnsi"/>
                          <w:color w:val="595959" w:themeColor="text1" w:themeTint="A6"/>
                          <w:sz w:val="18"/>
                          <w:szCs w:val="18"/>
                          <w:lang w:val="pt-BR"/>
                        </w:rPr>
                        <w:t>. Admissibilidade</w:t>
                      </w:r>
                      <w:r>
                        <w:rPr>
                          <w:rFonts w:asciiTheme="majorHAnsi" w:hAnsiTheme="majorHAnsi"/>
                          <w:color w:val="595959" w:themeColor="text1" w:themeTint="A6"/>
                          <w:sz w:val="18"/>
                          <w:szCs w:val="18"/>
                          <w:lang w:val="pt-BR"/>
                        </w:rPr>
                        <w:t>. Elisabeth Semann. Brasil</w:t>
                      </w:r>
                      <w:r w:rsidRPr="0038709A">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pt-BR"/>
                        </w:rPr>
                        <w:t>12 de abril de 2019</w:t>
                      </w:r>
                      <w:r w:rsidRPr="0038709A">
                        <w:rPr>
                          <w:rFonts w:asciiTheme="majorHAnsi" w:hAnsiTheme="majorHAnsi"/>
                          <w:color w:val="595959" w:themeColor="text1" w:themeTint="A6"/>
                          <w:sz w:val="18"/>
                          <w:szCs w:val="18"/>
                          <w:lang w:val="pt-BR"/>
                        </w:rPr>
                        <w:t>.</w:t>
                      </w:r>
                    </w:p>
                    <w:p w14:paraId="0D1B22CF" w14:textId="446EEE70" w:rsidR="00113F73" w:rsidRPr="0038709A" w:rsidRDefault="00113F73" w:rsidP="00113F73">
                      <w:pPr>
                        <w:spacing w:line="276" w:lineRule="auto"/>
                        <w:rPr>
                          <w:rFonts w:asciiTheme="majorHAnsi" w:hAnsiTheme="majorHAnsi"/>
                          <w:color w:val="595959" w:themeColor="text1" w:themeTint="A6"/>
                          <w:sz w:val="18"/>
                          <w:szCs w:val="18"/>
                          <w:lang w:val="pt-BR"/>
                        </w:rPr>
                      </w:pPr>
                    </w:p>
                  </w:txbxContent>
                </v:textbox>
              </v:shape>
            </w:pict>
          </mc:Fallback>
        </mc:AlternateContent>
      </w:r>
    </w:p>
    <w:p w14:paraId="196A49DE"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1DA07629" w14:textId="77777777" w:rsidR="0090270B" w:rsidRPr="00A75CC3" w:rsidRDefault="00D306D1" w:rsidP="005516A1">
      <w:pPr>
        <w:tabs>
          <w:tab w:val="center" w:pos="5400"/>
        </w:tabs>
        <w:suppressAutoHyphens/>
        <w:jc w:val="center"/>
        <w:rPr>
          <w:rFonts w:asciiTheme="majorHAnsi" w:hAnsiTheme="majorHAnsi"/>
          <w:b/>
          <w:sz w:val="20"/>
          <w:lang w:val="pt-BR"/>
        </w:rPr>
      </w:pPr>
      <w:r w:rsidRPr="00A75CC3">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633E3142">
                                  <wp:extent cx="1371683" cy="375452"/>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71683" cy="3754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633E3142">
                            <wp:extent cx="1371683" cy="375452"/>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71683" cy="375452"/>
                                    </a:xfrm>
                                    <a:prstGeom prst="rect">
                                      <a:avLst/>
                                    </a:prstGeom>
                                    <a:noFill/>
                                    <a:ln>
                                      <a:noFill/>
                                    </a:ln>
                                  </pic:spPr>
                                </pic:pic>
                              </a:graphicData>
                            </a:graphic>
                          </wp:inline>
                        </w:drawing>
                      </w:r>
                    </w:p>
                  </w:txbxContent>
                </v:textbox>
              </v:shape>
            </w:pict>
          </mc:Fallback>
        </mc:AlternateContent>
      </w:r>
      <w:r w:rsidRPr="00A75CC3">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v:textbox>
              </v:shape>
            </w:pict>
          </mc:Fallback>
        </mc:AlternateContent>
      </w:r>
    </w:p>
    <w:p w14:paraId="2FE1B253" w14:textId="4E43B8E7" w:rsidR="0070697F" w:rsidRPr="00A75CC3" w:rsidRDefault="004A6A54" w:rsidP="005516A1">
      <w:pPr>
        <w:tabs>
          <w:tab w:val="center" w:pos="5400"/>
        </w:tabs>
        <w:suppressAutoHyphens/>
        <w:jc w:val="center"/>
        <w:rPr>
          <w:rFonts w:asciiTheme="majorHAnsi" w:hAnsiTheme="majorHAnsi"/>
          <w:b/>
          <w:sz w:val="20"/>
          <w:lang w:val="pt-BR"/>
        </w:rPr>
        <w:sectPr w:rsidR="0070697F" w:rsidRPr="00A75CC3"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A75CC3">
        <w:rPr>
          <w:rFonts w:asciiTheme="majorHAnsi" w:hAnsiTheme="majorHAnsi"/>
          <w:b/>
          <w:sz w:val="20"/>
          <w:lang w:val="pt-BR"/>
        </w:rPr>
        <w:tab/>
      </w:r>
    </w:p>
    <w:p w14:paraId="376DDC8B" w14:textId="1B8154B1" w:rsidR="003239B8" w:rsidRPr="00A75CC3" w:rsidRDefault="00A37F2E" w:rsidP="004A6A54">
      <w:pPr>
        <w:spacing w:after="240"/>
        <w:ind w:firstLine="720"/>
        <w:jc w:val="both"/>
        <w:rPr>
          <w:rFonts w:asciiTheme="majorHAnsi" w:hAnsiTheme="majorHAnsi"/>
          <w:b/>
          <w:bCs/>
          <w:sz w:val="20"/>
          <w:szCs w:val="20"/>
          <w:lang w:val="pt-BR"/>
        </w:rPr>
      </w:pPr>
      <w:r w:rsidRPr="00A75CC3">
        <w:rPr>
          <w:rFonts w:asciiTheme="majorHAnsi" w:hAnsiTheme="majorHAnsi"/>
          <w:b/>
          <w:bCs/>
          <w:sz w:val="20"/>
          <w:szCs w:val="20"/>
          <w:lang w:val="pt-BR"/>
        </w:rPr>
        <w:lastRenderedPageBreak/>
        <w:t>I.</w:t>
      </w:r>
      <w:r w:rsidRPr="00A75CC3">
        <w:rPr>
          <w:rFonts w:asciiTheme="majorHAnsi" w:hAnsiTheme="majorHAnsi"/>
          <w:b/>
          <w:bCs/>
          <w:sz w:val="20"/>
          <w:szCs w:val="20"/>
          <w:lang w:val="pt-BR"/>
        </w:rPr>
        <w:tab/>
        <w:t>DAD</w:t>
      </w:r>
      <w:r w:rsidR="003239B8" w:rsidRPr="00A75CC3">
        <w:rPr>
          <w:rFonts w:asciiTheme="majorHAnsi" w:hAnsiTheme="majorHAnsi"/>
          <w:b/>
          <w:bCs/>
          <w:sz w:val="20"/>
          <w:szCs w:val="20"/>
          <w:lang w:val="pt-BR"/>
        </w:rPr>
        <w:t xml:space="preserve">OS </w:t>
      </w:r>
      <w:r w:rsidRPr="00A75CC3">
        <w:rPr>
          <w:rFonts w:asciiTheme="majorHAnsi" w:hAnsiTheme="majorHAnsi"/>
          <w:b/>
          <w:bCs/>
          <w:sz w:val="20"/>
          <w:szCs w:val="20"/>
          <w:lang w:val="pt-BR"/>
        </w:rPr>
        <w:t>DA PETIÇÃO</w:t>
      </w:r>
      <w:r w:rsidR="003239B8" w:rsidRPr="00A75CC3">
        <w:rPr>
          <w:rFonts w:asciiTheme="majorHAnsi" w:hAnsiTheme="majorHAnsi"/>
          <w:b/>
          <w:bCs/>
          <w:sz w:val="20"/>
          <w:szCs w:val="20"/>
          <w:lang w:val="pt-BR"/>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A3DDB" w14:paraId="5A79D1F7" w14:textId="77777777" w:rsidTr="0022736D">
        <w:tc>
          <w:tcPr>
            <w:tcW w:w="3600" w:type="dxa"/>
            <w:tcBorders>
              <w:top w:val="single" w:sz="4" w:space="0" w:color="auto"/>
              <w:bottom w:val="single" w:sz="6" w:space="0" w:color="auto"/>
            </w:tcBorders>
            <w:shd w:val="clear" w:color="auto" w:fill="FFC000"/>
            <w:vAlign w:val="center"/>
          </w:tcPr>
          <w:p w14:paraId="0CB2A43B" w14:textId="2CA35E64" w:rsidR="003239B8" w:rsidRPr="00A75CC3" w:rsidRDefault="00A37F2E" w:rsidP="008D2290">
            <w:pPr>
              <w:jc w:val="center"/>
              <w:rPr>
                <w:rFonts w:ascii="Cambria" w:hAnsi="Cambria"/>
                <w:b/>
                <w:bCs/>
                <w:sz w:val="20"/>
                <w:szCs w:val="20"/>
                <w:lang w:val="pt-BR"/>
              </w:rPr>
            </w:pPr>
            <w:r w:rsidRPr="00A75CC3">
              <w:rPr>
                <w:rFonts w:ascii="Cambria" w:hAnsi="Cambria"/>
                <w:b/>
                <w:bCs/>
                <w:sz w:val="20"/>
                <w:szCs w:val="20"/>
                <w:lang w:val="pt-BR"/>
              </w:rPr>
              <w:t>Parte peticioná</w:t>
            </w:r>
            <w:r w:rsidR="003239B8" w:rsidRPr="00A75CC3">
              <w:rPr>
                <w:rFonts w:ascii="Cambria" w:hAnsi="Cambria"/>
                <w:b/>
                <w:bCs/>
                <w:sz w:val="20"/>
                <w:szCs w:val="20"/>
                <w:lang w:val="pt-BR"/>
              </w:rPr>
              <w:t>ria:</w:t>
            </w:r>
          </w:p>
        </w:tc>
        <w:tc>
          <w:tcPr>
            <w:tcW w:w="5760" w:type="dxa"/>
            <w:vAlign w:val="center"/>
          </w:tcPr>
          <w:p w14:paraId="3C5315D8" w14:textId="5B6A46C5" w:rsidR="003239B8" w:rsidRPr="00A75CC3" w:rsidRDefault="00451D3D" w:rsidP="008D2290">
            <w:pPr>
              <w:jc w:val="both"/>
              <w:rPr>
                <w:rFonts w:ascii="Cambria" w:hAnsi="Cambria"/>
                <w:bCs/>
                <w:sz w:val="20"/>
                <w:szCs w:val="20"/>
                <w:lang w:val="pt-BR"/>
              </w:rPr>
            </w:pPr>
            <w:r>
              <w:rPr>
                <w:rFonts w:ascii="Cambria" w:hAnsi="Cambria"/>
                <w:bCs/>
                <w:sz w:val="20"/>
                <w:szCs w:val="20"/>
                <w:lang w:val="pt-BR"/>
              </w:rPr>
              <w:t>Elisabeth Semann e pessoa com identidade reservada</w:t>
            </w:r>
            <w:r>
              <w:rPr>
                <w:rStyle w:val="FootnoteReference"/>
                <w:rFonts w:ascii="Cambria" w:hAnsi="Cambria"/>
                <w:bCs/>
                <w:sz w:val="20"/>
                <w:szCs w:val="20"/>
                <w:lang w:val="pt-BR"/>
              </w:rPr>
              <w:footnoteReference w:id="2"/>
            </w:r>
          </w:p>
        </w:tc>
      </w:tr>
      <w:tr w:rsidR="003239B8" w:rsidRPr="00A75CC3" w14:paraId="593A7E45" w14:textId="77777777" w:rsidTr="0022736D">
        <w:tc>
          <w:tcPr>
            <w:tcW w:w="3600" w:type="dxa"/>
            <w:tcBorders>
              <w:top w:val="single" w:sz="6" w:space="0" w:color="auto"/>
              <w:bottom w:val="single" w:sz="6" w:space="0" w:color="auto"/>
            </w:tcBorders>
            <w:shd w:val="clear" w:color="auto" w:fill="FFC000"/>
            <w:vAlign w:val="center"/>
          </w:tcPr>
          <w:p w14:paraId="0E78CA0C" w14:textId="00586573" w:rsidR="003239B8" w:rsidRPr="00A75CC3" w:rsidRDefault="00A37F2E" w:rsidP="008D2290">
            <w:pPr>
              <w:jc w:val="center"/>
              <w:rPr>
                <w:rFonts w:ascii="Cambria" w:hAnsi="Cambria"/>
                <w:b/>
                <w:bCs/>
                <w:sz w:val="20"/>
                <w:szCs w:val="20"/>
                <w:lang w:val="pt-BR"/>
              </w:rPr>
            </w:pPr>
            <w:r w:rsidRPr="00A75CC3">
              <w:rPr>
                <w:rFonts w:ascii="Cambria" w:hAnsi="Cambria"/>
                <w:b/>
                <w:bCs/>
                <w:sz w:val="20"/>
                <w:szCs w:val="20"/>
                <w:lang w:val="pt-BR"/>
              </w:rPr>
              <w:t>Suposta vítima</w:t>
            </w:r>
            <w:r w:rsidR="003239B8" w:rsidRPr="00A75CC3">
              <w:rPr>
                <w:rFonts w:ascii="Cambria" w:hAnsi="Cambria"/>
                <w:b/>
                <w:bCs/>
                <w:sz w:val="20"/>
                <w:szCs w:val="20"/>
                <w:lang w:val="pt-BR"/>
              </w:rPr>
              <w:t>:</w:t>
            </w:r>
          </w:p>
        </w:tc>
        <w:tc>
          <w:tcPr>
            <w:tcW w:w="5760" w:type="dxa"/>
            <w:vAlign w:val="center"/>
          </w:tcPr>
          <w:p w14:paraId="4AEBF59E" w14:textId="48304150" w:rsidR="003239B8" w:rsidRPr="00A75CC3" w:rsidRDefault="00A8045A" w:rsidP="00182221">
            <w:pPr>
              <w:jc w:val="both"/>
              <w:rPr>
                <w:rFonts w:ascii="Cambria" w:hAnsi="Cambria"/>
                <w:bCs/>
                <w:sz w:val="20"/>
                <w:szCs w:val="20"/>
                <w:lang w:val="pt-BR"/>
              </w:rPr>
            </w:pPr>
            <w:r>
              <w:rPr>
                <w:rFonts w:ascii="Cambria" w:hAnsi="Cambria"/>
                <w:bCs/>
                <w:sz w:val="20"/>
                <w:szCs w:val="20"/>
                <w:lang w:val="pt-BR"/>
              </w:rPr>
              <w:t>Elisabeth Semann</w:t>
            </w:r>
          </w:p>
        </w:tc>
      </w:tr>
      <w:tr w:rsidR="003239B8" w:rsidRPr="00A75CC3" w14:paraId="3E62E1D3" w14:textId="77777777" w:rsidTr="0022736D">
        <w:tc>
          <w:tcPr>
            <w:tcW w:w="3600" w:type="dxa"/>
            <w:tcBorders>
              <w:top w:val="single" w:sz="6" w:space="0" w:color="auto"/>
              <w:bottom w:val="single" w:sz="6" w:space="0" w:color="auto"/>
            </w:tcBorders>
            <w:shd w:val="clear" w:color="auto" w:fill="FFC000"/>
            <w:vAlign w:val="center"/>
          </w:tcPr>
          <w:p w14:paraId="340B0F09" w14:textId="77777777" w:rsidR="003239B8" w:rsidRPr="00A75CC3" w:rsidRDefault="003239B8" w:rsidP="008D2290">
            <w:pPr>
              <w:jc w:val="center"/>
              <w:rPr>
                <w:rFonts w:ascii="Cambria" w:hAnsi="Cambria"/>
                <w:b/>
                <w:bCs/>
                <w:sz w:val="20"/>
                <w:szCs w:val="20"/>
                <w:lang w:val="pt-BR"/>
              </w:rPr>
            </w:pPr>
            <w:r w:rsidRPr="00A75CC3">
              <w:rPr>
                <w:rFonts w:ascii="Cambria" w:hAnsi="Cambria"/>
                <w:b/>
                <w:bCs/>
                <w:sz w:val="20"/>
                <w:szCs w:val="20"/>
                <w:lang w:val="pt-BR"/>
              </w:rPr>
              <w:t>Estado denunciado:</w:t>
            </w:r>
          </w:p>
        </w:tc>
        <w:tc>
          <w:tcPr>
            <w:tcW w:w="5760" w:type="dxa"/>
            <w:vAlign w:val="center"/>
          </w:tcPr>
          <w:p w14:paraId="274C8A50" w14:textId="0B30EFC8" w:rsidR="003239B8" w:rsidRPr="00A75CC3" w:rsidRDefault="006A20E7" w:rsidP="008D2290">
            <w:pPr>
              <w:jc w:val="both"/>
              <w:rPr>
                <w:rFonts w:ascii="Cambria" w:hAnsi="Cambria"/>
                <w:bCs/>
                <w:sz w:val="20"/>
                <w:szCs w:val="20"/>
                <w:lang w:val="pt-BR"/>
              </w:rPr>
            </w:pPr>
            <w:r>
              <w:rPr>
                <w:rFonts w:ascii="Cambria" w:hAnsi="Cambria"/>
                <w:bCs/>
                <w:sz w:val="20"/>
                <w:szCs w:val="20"/>
                <w:lang w:val="pt-BR"/>
              </w:rPr>
              <w:t>Brasil</w:t>
            </w:r>
            <w:r w:rsidR="004A6A54" w:rsidRPr="00A75CC3">
              <w:rPr>
                <w:rStyle w:val="FootnoteReference"/>
                <w:rFonts w:ascii="Cambria" w:hAnsi="Cambria"/>
                <w:bCs/>
                <w:sz w:val="20"/>
                <w:szCs w:val="20"/>
                <w:lang w:val="pt-BR"/>
              </w:rPr>
              <w:footnoteReference w:id="3"/>
            </w:r>
          </w:p>
        </w:tc>
      </w:tr>
      <w:tr w:rsidR="00223A29" w:rsidRPr="00FA3DDB" w14:paraId="632511BC" w14:textId="77777777" w:rsidTr="0022736D">
        <w:tc>
          <w:tcPr>
            <w:tcW w:w="3600" w:type="dxa"/>
            <w:tcBorders>
              <w:top w:val="single" w:sz="6" w:space="0" w:color="auto"/>
              <w:bottom w:val="single" w:sz="6" w:space="0" w:color="auto"/>
            </w:tcBorders>
            <w:shd w:val="clear" w:color="auto" w:fill="FFC000"/>
            <w:vAlign w:val="center"/>
          </w:tcPr>
          <w:p w14:paraId="727E2F6B" w14:textId="2C1BB426" w:rsidR="00223A29" w:rsidRPr="00A75CC3" w:rsidRDefault="001B3A00" w:rsidP="007665A8">
            <w:pPr>
              <w:jc w:val="center"/>
              <w:rPr>
                <w:rFonts w:ascii="Cambria" w:hAnsi="Cambria"/>
                <w:b/>
                <w:bCs/>
                <w:sz w:val="20"/>
                <w:szCs w:val="20"/>
                <w:lang w:val="pt-BR"/>
              </w:rPr>
            </w:pPr>
            <w:r w:rsidRPr="00A75CC3">
              <w:rPr>
                <w:rFonts w:ascii="Cambria" w:hAnsi="Cambria"/>
                <w:b/>
                <w:bCs/>
                <w:sz w:val="20"/>
                <w:szCs w:val="20"/>
                <w:lang w:val="pt-BR"/>
              </w:rPr>
              <w:t>D</w:t>
            </w:r>
            <w:r w:rsidR="00A37F2E" w:rsidRPr="00A75CC3">
              <w:rPr>
                <w:rFonts w:ascii="Cambria" w:hAnsi="Cambria"/>
                <w:b/>
                <w:bCs/>
                <w:sz w:val="20"/>
                <w:szCs w:val="20"/>
                <w:lang w:val="pt-BR"/>
              </w:rPr>
              <w:t>ireitos</w:t>
            </w:r>
            <w:r w:rsidRPr="00A75CC3">
              <w:rPr>
                <w:rFonts w:ascii="Cambria" w:hAnsi="Cambria"/>
                <w:b/>
                <w:bCs/>
                <w:sz w:val="20"/>
                <w:szCs w:val="20"/>
                <w:lang w:val="pt-BR"/>
              </w:rPr>
              <w:t xml:space="preserve"> </w:t>
            </w:r>
            <w:r w:rsidR="007665A8">
              <w:rPr>
                <w:rFonts w:ascii="Cambria" w:hAnsi="Cambria"/>
                <w:b/>
                <w:bCs/>
                <w:sz w:val="20"/>
                <w:szCs w:val="20"/>
                <w:lang w:val="pt-BR"/>
              </w:rPr>
              <w:t>alegados</w:t>
            </w:r>
            <w:r w:rsidRPr="00A75CC3">
              <w:rPr>
                <w:rFonts w:ascii="Cambria" w:hAnsi="Cambria"/>
                <w:b/>
                <w:bCs/>
                <w:sz w:val="20"/>
                <w:szCs w:val="20"/>
                <w:lang w:val="pt-BR"/>
              </w:rPr>
              <w:t>:</w:t>
            </w:r>
          </w:p>
        </w:tc>
        <w:tc>
          <w:tcPr>
            <w:tcW w:w="5760" w:type="dxa"/>
            <w:vAlign w:val="center"/>
          </w:tcPr>
          <w:p w14:paraId="6DEE1EEB" w14:textId="5CAFC9D6" w:rsidR="00223A29" w:rsidRPr="00A75CC3" w:rsidRDefault="005C1E05" w:rsidP="00FF131E">
            <w:pPr>
              <w:jc w:val="both"/>
              <w:rPr>
                <w:rFonts w:ascii="Cambria" w:hAnsi="Cambria"/>
                <w:bCs/>
                <w:sz w:val="20"/>
                <w:szCs w:val="20"/>
                <w:lang w:val="pt-BR"/>
              </w:rPr>
            </w:pPr>
            <w:r>
              <w:rPr>
                <w:rFonts w:ascii="Cambria" w:hAnsi="Cambria"/>
                <w:bCs/>
                <w:sz w:val="20"/>
                <w:szCs w:val="20"/>
                <w:lang w:val="pt-BR"/>
              </w:rPr>
              <w:t>Convenção Americana</w:t>
            </w:r>
            <w:r w:rsidR="00CB20FF">
              <w:rPr>
                <w:rFonts w:ascii="Cambria" w:hAnsi="Cambria"/>
                <w:bCs/>
                <w:sz w:val="20"/>
                <w:szCs w:val="20"/>
                <w:lang w:val="pt-BR"/>
              </w:rPr>
              <w:t xml:space="preserve"> </w:t>
            </w:r>
            <w:r w:rsidR="00FF131E">
              <w:rPr>
                <w:rFonts w:ascii="Cambria" w:hAnsi="Cambria"/>
                <w:bCs/>
                <w:sz w:val="20"/>
                <w:szCs w:val="20"/>
                <w:lang w:val="pt-BR"/>
              </w:rPr>
              <w:t>sobre</w:t>
            </w:r>
            <w:r w:rsidR="00CB20FF">
              <w:rPr>
                <w:rFonts w:ascii="Cambria" w:hAnsi="Cambria"/>
                <w:bCs/>
                <w:sz w:val="20"/>
                <w:szCs w:val="20"/>
                <w:lang w:val="pt-BR"/>
              </w:rPr>
              <w:t xml:space="preserve"> Direitos Humanos</w:t>
            </w:r>
            <w:r w:rsidR="00CB20FF">
              <w:rPr>
                <w:rStyle w:val="FootnoteReference"/>
                <w:rFonts w:ascii="Cambria" w:hAnsi="Cambria"/>
                <w:bCs/>
                <w:sz w:val="20"/>
                <w:szCs w:val="20"/>
                <w:lang w:val="pt-BR"/>
              </w:rPr>
              <w:footnoteReference w:id="4"/>
            </w:r>
            <w:r>
              <w:rPr>
                <w:rFonts w:ascii="Cambria" w:hAnsi="Cambria"/>
                <w:bCs/>
                <w:sz w:val="20"/>
                <w:szCs w:val="20"/>
                <w:lang w:val="pt-BR"/>
              </w:rPr>
              <w:t xml:space="preserve">; Convenção sobre a Eliminação de Todas as Formas de discriminação contra a Mulher; e </w:t>
            </w:r>
            <w:r w:rsidR="00CB20FF">
              <w:rPr>
                <w:rFonts w:ascii="Cambria" w:hAnsi="Cambria"/>
                <w:bCs/>
                <w:sz w:val="20"/>
                <w:szCs w:val="20"/>
                <w:lang w:val="pt-BR"/>
              </w:rPr>
              <w:t xml:space="preserve">artigos 3, 4 e 7 </w:t>
            </w:r>
            <w:r>
              <w:rPr>
                <w:rFonts w:ascii="Cambria" w:hAnsi="Cambria"/>
                <w:bCs/>
                <w:sz w:val="20"/>
                <w:szCs w:val="20"/>
                <w:lang w:val="pt-BR"/>
              </w:rPr>
              <w:t>Convenção Interamericana para Prevenir, Punir e Erradicar a Violência contra a Mu</w:t>
            </w:r>
            <w:r w:rsidR="00AA17DC">
              <w:rPr>
                <w:rFonts w:ascii="Cambria" w:hAnsi="Cambria"/>
                <w:bCs/>
                <w:sz w:val="20"/>
                <w:szCs w:val="20"/>
                <w:lang w:val="pt-BR"/>
              </w:rPr>
              <w:t>lher</w:t>
            </w:r>
            <w:r w:rsidR="00AA17DC">
              <w:rPr>
                <w:rStyle w:val="FootnoteReference"/>
                <w:rFonts w:ascii="Cambria" w:hAnsi="Cambria"/>
                <w:bCs/>
                <w:sz w:val="20"/>
                <w:szCs w:val="20"/>
                <w:lang w:val="pt-BR"/>
              </w:rPr>
              <w:footnoteReference w:id="5"/>
            </w:r>
            <w:r w:rsidR="00AA17DC">
              <w:rPr>
                <w:rFonts w:ascii="Cambria" w:hAnsi="Cambria"/>
                <w:bCs/>
                <w:sz w:val="20"/>
                <w:szCs w:val="20"/>
                <w:lang w:val="pt-BR"/>
              </w:rPr>
              <w:t xml:space="preserve"> </w:t>
            </w:r>
            <w:r w:rsidR="00AA17DC">
              <w:rPr>
                <w:rStyle w:val="FootnoteReference"/>
                <w:rFonts w:ascii="Cambria" w:hAnsi="Cambria"/>
                <w:bCs/>
                <w:sz w:val="20"/>
                <w:szCs w:val="20"/>
                <w:lang w:val="pt-BR"/>
              </w:rPr>
              <w:footnoteReference w:id="6"/>
            </w:r>
          </w:p>
        </w:tc>
      </w:tr>
    </w:tbl>
    <w:p w14:paraId="20263696" w14:textId="4CE349DB" w:rsidR="003239B8" w:rsidRPr="00A75CC3" w:rsidRDefault="00A37F2E" w:rsidP="003239B8">
      <w:pPr>
        <w:spacing w:before="240" w:after="240"/>
        <w:ind w:firstLine="720"/>
        <w:jc w:val="both"/>
        <w:rPr>
          <w:rFonts w:asciiTheme="majorHAnsi" w:hAnsiTheme="majorHAnsi"/>
          <w:b/>
          <w:bCs/>
          <w:sz w:val="20"/>
          <w:szCs w:val="20"/>
          <w:lang w:val="pt-BR"/>
        </w:rPr>
      </w:pPr>
      <w:r w:rsidRPr="00A75CC3">
        <w:rPr>
          <w:rFonts w:asciiTheme="majorHAnsi" w:hAnsiTheme="majorHAnsi"/>
          <w:b/>
          <w:bCs/>
          <w:sz w:val="20"/>
          <w:szCs w:val="20"/>
          <w:lang w:val="pt-BR"/>
        </w:rPr>
        <w:t>II.</w:t>
      </w:r>
      <w:r w:rsidRPr="00A75CC3">
        <w:rPr>
          <w:rFonts w:asciiTheme="majorHAnsi" w:hAnsiTheme="majorHAnsi"/>
          <w:b/>
          <w:bCs/>
          <w:sz w:val="20"/>
          <w:szCs w:val="20"/>
          <w:lang w:val="pt-BR"/>
        </w:rPr>
        <w:tab/>
        <w:t>TRÂMITE ANTE A</w:t>
      </w:r>
      <w:r w:rsidR="003239B8" w:rsidRPr="00A75CC3">
        <w:rPr>
          <w:rFonts w:asciiTheme="majorHAnsi" w:hAnsiTheme="majorHAnsi"/>
          <w:b/>
          <w:bCs/>
          <w:sz w:val="20"/>
          <w:szCs w:val="20"/>
          <w:lang w:val="pt-BR"/>
        </w:rPr>
        <w:t xml:space="preserve"> CIDH</w:t>
      </w:r>
      <w:r w:rsidR="008E3BFE" w:rsidRPr="00A75CC3">
        <w:rPr>
          <w:rStyle w:val="FootnoteReference"/>
          <w:rFonts w:ascii="Cambria" w:hAnsi="Cambria"/>
          <w:b/>
          <w:sz w:val="20"/>
          <w:szCs w:val="20"/>
          <w:lang w:val="pt-BR"/>
        </w:rPr>
        <w:footnoteReference w:id="7"/>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A75CC3" w14:paraId="306EFCB0" w14:textId="77777777" w:rsidTr="0022736D">
        <w:tc>
          <w:tcPr>
            <w:tcW w:w="3600" w:type="dxa"/>
            <w:tcBorders>
              <w:top w:val="single" w:sz="6" w:space="0" w:color="auto"/>
              <w:bottom w:val="single" w:sz="6" w:space="0" w:color="auto"/>
            </w:tcBorders>
            <w:shd w:val="clear" w:color="auto" w:fill="FFC000"/>
            <w:vAlign w:val="center"/>
          </w:tcPr>
          <w:p w14:paraId="7508D16F" w14:textId="7F75E762" w:rsidR="004C2312" w:rsidRPr="00A75CC3" w:rsidRDefault="00A37F2E" w:rsidP="004A6A54">
            <w:pPr>
              <w:jc w:val="center"/>
              <w:rPr>
                <w:rFonts w:ascii="Cambria" w:hAnsi="Cambria"/>
                <w:b/>
                <w:bCs/>
                <w:sz w:val="20"/>
                <w:szCs w:val="20"/>
                <w:lang w:val="pt-BR"/>
              </w:rPr>
            </w:pPr>
            <w:r w:rsidRPr="00A75CC3">
              <w:rPr>
                <w:rFonts w:ascii="Cambria" w:hAnsi="Cambria"/>
                <w:b/>
                <w:bCs/>
                <w:sz w:val="20"/>
                <w:szCs w:val="20"/>
                <w:lang w:val="pt-BR"/>
              </w:rPr>
              <w:t>Apresentação da petição:</w:t>
            </w:r>
          </w:p>
        </w:tc>
        <w:tc>
          <w:tcPr>
            <w:tcW w:w="5760" w:type="dxa"/>
            <w:vAlign w:val="center"/>
          </w:tcPr>
          <w:p w14:paraId="6E579153" w14:textId="44847AD7" w:rsidR="004C2312" w:rsidRPr="00A8045A" w:rsidRDefault="009728E3" w:rsidP="00A8045A">
            <w:pPr>
              <w:jc w:val="both"/>
              <w:rPr>
                <w:rFonts w:ascii="Cambria" w:hAnsi="Cambria"/>
                <w:bCs/>
                <w:sz w:val="20"/>
                <w:szCs w:val="20"/>
                <w:lang w:val="pt-BR"/>
              </w:rPr>
            </w:pPr>
            <w:r>
              <w:rPr>
                <w:rFonts w:ascii="Cambria" w:hAnsi="Cambria"/>
                <w:bCs/>
                <w:sz w:val="20"/>
                <w:szCs w:val="20"/>
                <w:lang w:val="pt-BR"/>
              </w:rPr>
              <w:t>11 de março de 2010</w:t>
            </w:r>
          </w:p>
        </w:tc>
      </w:tr>
      <w:tr w:rsidR="004C2312" w:rsidRPr="006A20E7" w14:paraId="1BDCD5C6" w14:textId="77777777" w:rsidTr="0022736D">
        <w:tc>
          <w:tcPr>
            <w:tcW w:w="3600" w:type="dxa"/>
            <w:tcBorders>
              <w:top w:val="single" w:sz="6" w:space="0" w:color="auto"/>
              <w:bottom w:val="single" w:sz="6" w:space="0" w:color="auto"/>
            </w:tcBorders>
            <w:shd w:val="clear" w:color="auto" w:fill="FFC000"/>
            <w:vAlign w:val="center"/>
          </w:tcPr>
          <w:p w14:paraId="7A18664F" w14:textId="3D89493A" w:rsidR="004C2312" w:rsidRPr="00A75CC3" w:rsidRDefault="004A6A54" w:rsidP="00A37F2E">
            <w:pPr>
              <w:jc w:val="center"/>
              <w:rPr>
                <w:rFonts w:ascii="Cambria" w:hAnsi="Cambria"/>
                <w:b/>
                <w:sz w:val="20"/>
                <w:szCs w:val="20"/>
                <w:lang w:val="pt-BR"/>
              </w:rPr>
            </w:pPr>
            <w:r w:rsidRPr="00A75CC3">
              <w:rPr>
                <w:rFonts w:ascii="Cambria" w:hAnsi="Cambria"/>
                <w:b/>
                <w:sz w:val="20"/>
                <w:szCs w:val="20"/>
                <w:lang w:val="pt-BR"/>
              </w:rPr>
              <w:t>N</w:t>
            </w:r>
            <w:r w:rsidR="00A37F2E" w:rsidRPr="00A75CC3">
              <w:rPr>
                <w:rFonts w:ascii="Cambria" w:hAnsi="Cambria"/>
                <w:b/>
                <w:sz w:val="20"/>
                <w:szCs w:val="20"/>
                <w:lang w:val="pt-BR"/>
              </w:rPr>
              <w:t>otificação da petição ao</w:t>
            </w:r>
            <w:r w:rsidR="004C2312" w:rsidRPr="00A75CC3">
              <w:rPr>
                <w:rFonts w:ascii="Cambria" w:hAnsi="Cambria"/>
                <w:b/>
                <w:sz w:val="20"/>
                <w:szCs w:val="20"/>
                <w:lang w:val="pt-BR"/>
              </w:rPr>
              <w:t xml:space="preserve"> Estado:</w:t>
            </w:r>
          </w:p>
        </w:tc>
        <w:tc>
          <w:tcPr>
            <w:tcW w:w="5760" w:type="dxa"/>
            <w:vAlign w:val="center"/>
          </w:tcPr>
          <w:p w14:paraId="1519DA6A" w14:textId="29696EBC" w:rsidR="004C2312" w:rsidRPr="00A8045A" w:rsidRDefault="009728E3" w:rsidP="00A8045A">
            <w:pPr>
              <w:jc w:val="both"/>
              <w:rPr>
                <w:rFonts w:ascii="Cambria" w:hAnsi="Cambria"/>
                <w:bCs/>
                <w:sz w:val="20"/>
                <w:szCs w:val="20"/>
                <w:lang w:val="pt-BR"/>
              </w:rPr>
            </w:pPr>
            <w:r>
              <w:rPr>
                <w:rFonts w:ascii="Cambria" w:hAnsi="Cambria"/>
                <w:bCs/>
                <w:sz w:val="20"/>
                <w:szCs w:val="20"/>
                <w:lang w:val="pt-BR"/>
              </w:rPr>
              <w:t>20 de abril de 2015</w:t>
            </w:r>
          </w:p>
        </w:tc>
      </w:tr>
      <w:tr w:rsidR="004C2312" w:rsidRPr="00A75CC3" w14:paraId="6147A8D5" w14:textId="77777777" w:rsidTr="0022736D">
        <w:tc>
          <w:tcPr>
            <w:tcW w:w="3600" w:type="dxa"/>
            <w:tcBorders>
              <w:top w:val="single" w:sz="6" w:space="0" w:color="auto"/>
              <w:bottom w:val="single" w:sz="6" w:space="0" w:color="auto"/>
            </w:tcBorders>
            <w:shd w:val="clear" w:color="auto" w:fill="FFC000"/>
            <w:vAlign w:val="center"/>
          </w:tcPr>
          <w:p w14:paraId="0201C86D" w14:textId="569610F0" w:rsidR="004C2312" w:rsidRPr="00A75CC3" w:rsidRDefault="004A6A54" w:rsidP="004A6A54">
            <w:pPr>
              <w:jc w:val="center"/>
              <w:rPr>
                <w:rFonts w:ascii="Cambria" w:hAnsi="Cambria"/>
                <w:b/>
                <w:bCs/>
                <w:sz w:val="20"/>
                <w:szCs w:val="20"/>
                <w:lang w:val="pt-BR"/>
              </w:rPr>
            </w:pPr>
            <w:r w:rsidRPr="00A75CC3">
              <w:rPr>
                <w:rFonts w:ascii="Cambria" w:hAnsi="Cambria"/>
                <w:b/>
                <w:sz w:val="20"/>
                <w:szCs w:val="20"/>
                <w:lang w:val="pt-BR"/>
              </w:rPr>
              <w:t>P</w:t>
            </w:r>
            <w:r w:rsidR="004C2312" w:rsidRPr="00A75CC3">
              <w:rPr>
                <w:rFonts w:ascii="Cambria" w:hAnsi="Cambria"/>
                <w:b/>
                <w:sz w:val="20"/>
                <w:szCs w:val="20"/>
                <w:lang w:val="pt-BR"/>
              </w:rPr>
              <w:t>rime</w:t>
            </w:r>
            <w:r w:rsidR="00A37F2E" w:rsidRPr="00A75CC3">
              <w:rPr>
                <w:rFonts w:ascii="Cambria" w:hAnsi="Cambria"/>
                <w:b/>
                <w:sz w:val="20"/>
                <w:szCs w:val="20"/>
                <w:lang w:val="pt-BR"/>
              </w:rPr>
              <w:t xml:space="preserve">ira resposta do </w:t>
            </w:r>
            <w:r w:rsidR="004C2312" w:rsidRPr="00A75CC3">
              <w:rPr>
                <w:rFonts w:ascii="Cambria" w:hAnsi="Cambria"/>
                <w:b/>
                <w:sz w:val="20"/>
                <w:szCs w:val="20"/>
                <w:lang w:val="pt-BR"/>
              </w:rPr>
              <w:t>Estado:</w:t>
            </w:r>
          </w:p>
        </w:tc>
        <w:tc>
          <w:tcPr>
            <w:tcW w:w="5760" w:type="dxa"/>
            <w:vAlign w:val="center"/>
          </w:tcPr>
          <w:p w14:paraId="1972B99E" w14:textId="7B874022" w:rsidR="004C2312" w:rsidRPr="00A8045A" w:rsidRDefault="009728E3" w:rsidP="00A8045A">
            <w:pPr>
              <w:jc w:val="both"/>
              <w:rPr>
                <w:rFonts w:ascii="Cambria" w:hAnsi="Cambria"/>
                <w:bCs/>
                <w:sz w:val="20"/>
                <w:szCs w:val="20"/>
                <w:lang w:val="pt-BR"/>
              </w:rPr>
            </w:pPr>
            <w:r>
              <w:rPr>
                <w:rFonts w:ascii="Cambria" w:hAnsi="Cambria"/>
                <w:bCs/>
                <w:sz w:val="20"/>
                <w:szCs w:val="20"/>
                <w:lang w:val="pt-BR"/>
              </w:rPr>
              <w:t>1 de setembro de 2015</w:t>
            </w:r>
          </w:p>
        </w:tc>
      </w:tr>
      <w:tr w:rsidR="004C2312" w:rsidRPr="00FA3DDB" w14:paraId="322668B6" w14:textId="77777777" w:rsidTr="0022736D">
        <w:tc>
          <w:tcPr>
            <w:tcW w:w="3600" w:type="dxa"/>
            <w:tcBorders>
              <w:top w:val="single" w:sz="6" w:space="0" w:color="auto"/>
              <w:bottom w:val="single" w:sz="6" w:space="0" w:color="auto"/>
            </w:tcBorders>
            <w:shd w:val="clear" w:color="auto" w:fill="FFC000"/>
            <w:vAlign w:val="center"/>
          </w:tcPr>
          <w:p w14:paraId="1524DA55" w14:textId="785FF5B5" w:rsidR="004C2312" w:rsidRPr="00A75CC3" w:rsidRDefault="00A37F2E" w:rsidP="008E3BFE">
            <w:pPr>
              <w:jc w:val="center"/>
              <w:rPr>
                <w:rFonts w:ascii="Cambria" w:hAnsi="Cambria"/>
                <w:b/>
                <w:bCs/>
                <w:sz w:val="20"/>
                <w:szCs w:val="20"/>
                <w:lang w:val="pt-BR"/>
              </w:rPr>
            </w:pPr>
            <w:r w:rsidRPr="00A75CC3">
              <w:rPr>
                <w:rFonts w:ascii="Cambria" w:hAnsi="Cambria"/>
                <w:b/>
                <w:bCs/>
                <w:sz w:val="20"/>
                <w:szCs w:val="20"/>
                <w:lang w:val="pt-BR"/>
              </w:rPr>
              <w:t>Observações adicionais da parte peticioná</w:t>
            </w:r>
            <w:r w:rsidR="008E3BFE" w:rsidRPr="00A75CC3">
              <w:rPr>
                <w:rFonts w:ascii="Cambria" w:hAnsi="Cambria"/>
                <w:b/>
                <w:bCs/>
                <w:sz w:val="20"/>
                <w:szCs w:val="20"/>
                <w:lang w:val="pt-BR"/>
              </w:rPr>
              <w:t>ria:</w:t>
            </w:r>
          </w:p>
        </w:tc>
        <w:tc>
          <w:tcPr>
            <w:tcW w:w="5760" w:type="dxa"/>
            <w:vAlign w:val="center"/>
          </w:tcPr>
          <w:p w14:paraId="41D8B862" w14:textId="0EB45C87" w:rsidR="004C2312" w:rsidRPr="00A8045A" w:rsidRDefault="009728E3" w:rsidP="00A8045A">
            <w:pPr>
              <w:jc w:val="both"/>
              <w:rPr>
                <w:rFonts w:ascii="Cambria" w:hAnsi="Cambria"/>
                <w:bCs/>
                <w:sz w:val="20"/>
                <w:szCs w:val="20"/>
                <w:lang w:val="pt-BR"/>
              </w:rPr>
            </w:pPr>
            <w:r>
              <w:rPr>
                <w:rFonts w:ascii="Cambria" w:hAnsi="Cambria"/>
                <w:bCs/>
                <w:sz w:val="20"/>
                <w:szCs w:val="20"/>
                <w:lang w:val="pt-BR"/>
              </w:rPr>
              <w:t>24 de abril de 2015; 22 de junho de 2017</w:t>
            </w:r>
          </w:p>
        </w:tc>
      </w:tr>
    </w:tbl>
    <w:p w14:paraId="21DAA666" w14:textId="3B44E0DA" w:rsidR="003239B8" w:rsidRPr="00A75CC3" w:rsidRDefault="00D358AF" w:rsidP="003239B8">
      <w:pPr>
        <w:spacing w:before="240" w:after="240"/>
        <w:ind w:firstLine="720"/>
        <w:jc w:val="both"/>
        <w:rPr>
          <w:rFonts w:asciiTheme="majorHAnsi" w:hAnsiTheme="majorHAnsi"/>
          <w:b/>
          <w:bCs/>
          <w:sz w:val="20"/>
          <w:szCs w:val="20"/>
          <w:lang w:val="pt-BR"/>
        </w:rPr>
      </w:pPr>
      <w:r w:rsidRPr="00A75CC3">
        <w:rPr>
          <w:rFonts w:asciiTheme="majorHAnsi" w:hAnsiTheme="majorHAnsi"/>
          <w:b/>
          <w:bCs/>
          <w:sz w:val="20"/>
          <w:szCs w:val="20"/>
          <w:lang w:val="pt-BR"/>
        </w:rPr>
        <w:t xml:space="preserve">III. </w:t>
      </w:r>
      <w:r w:rsidRPr="00A75CC3">
        <w:rPr>
          <w:rFonts w:asciiTheme="majorHAnsi" w:hAnsiTheme="majorHAnsi"/>
          <w:b/>
          <w:bCs/>
          <w:sz w:val="20"/>
          <w:szCs w:val="20"/>
          <w:lang w:val="pt-BR"/>
        </w:rPr>
        <w:tab/>
        <w:t>COMPETÊ</w:t>
      </w:r>
      <w:r w:rsidR="003239B8" w:rsidRPr="00A75CC3">
        <w:rPr>
          <w:rFonts w:asciiTheme="majorHAnsi" w:hAnsiTheme="majorHAnsi"/>
          <w:b/>
          <w:bCs/>
          <w:sz w:val="20"/>
          <w:szCs w:val="20"/>
          <w:lang w:val="pt-BR"/>
        </w:rPr>
        <w:t>NCIA</w:t>
      </w:r>
      <w:r w:rsidR="00EE00E9" w:rsidRPr="00A75CC3">
        <w:rPr>
          <w:rFonts w:asciiTheme="majorHAnsi" w:hAnsiTheme="majorHAnsi"/>
          <w:b/>
          <w:bCs/>
          <w:sz w:val="20"/>
          <w:szCs w:val="20"/>
          <w:lang w:val="pt-BR"/>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A75CC3" w14:paraId="072532AD" w14:textId="77777777" w:rsidTr="0022736D">
        <w:trPr>
          <w:cantSplit/>
        </w:trPr>
        <w:tc>
          <w:tcPr>
            <w:tcW w:w="3600" w:type="dxa"/>
            <w:tcBorders>
              <w:top w:val="single" w:sz="4" w:space="0" w:color="auto"/>
              <w:bottom w:val="single" w:sz="6" w:space="0" w:color="auto"/>
            </w:tcBorders>
            <w:shd w:val="clear" w:color="auto" w:fill="FFC000"/>
            <w:vAlign w:val="center"/>
          </w:tcPr>
          <w:p w14:paraId="5C2E4B34" w14:textId="4428BC7E" w:rsidR="003239B8" w:rsidRPr="00A75CC3" w:rsidRDefault="00D21316" w:rsidP="008D2290">
            <w:pPr>
              <w:jc w:val="center"/>
              <w:rPr>
                <w:rFonts w:ascii="Cambria" w:hAnsi="Cambria"/>
                <w:b/>
                <w:bCs/>
                <w:i/>
                <w:sz w:val="20"/>
                <w:szCs w:val="20"/>
                <w:lang w:val="pt-BR"/>
              </w:rPr>
            </w:pPr>
            <w:r w:rsidRPr="00A75CC3">
              <w:rPr>
                <w:rFonts w:ascii="Cambria" w:hAnsi="Cambria"/>
                <w:b/>
                <w:bCs/>
                <w:sz w:val="20"/>
                <w:szCs w:val="20"/>
                <w:lang w:val="pt-BR"/>
              </w:rPr>
              <w:t>Competê</w:t>
            </w:r>
            <w:r w:rsidR="003239B8" w:rsidRPr="00A75CC3">
              <w:rPr>
                <w:rFonts w:ascii="Cambria" w:hAnsi="Cambria"/>
                <w:b/>
                <w:bCs/>
                <w:sz w:val="20"/>
                <w:szCs w:val="20"/>
                <w:lang w:val="pt-BR"/>
              </w:rPr>
              <w:t>ncia</w:t>
            </w:r>
            <w:r w:rsidR="003239B8" w:rsidRPr="00A75CC3">
              <w:rPr>
                <w:rFonts w:ascii="Cambria" w:hAnsi="Cambria"/>
                <w:b/>
                <w:bCs/>
                <w:i/>
                <w:sz w:val="20"/>
                <w:szCs w:val="20"/>
                <w:lang w:val="pt-BR"/>
              </w:rPr>
              <w:t xml:space="preserve"> Ratione personae:</w:t>
            </w:r>
          </w:p>
        </w:tc>
        <w:tc>
          <w:tcPr>
            <w:tcW w:w="5760" w:type="dxa"/>
            <w:vAlign w:val="center"/>
          </w:tcPr>
          <w:p w14:paraId="7707F3E9" w14:textId="4EE768E2" w:rsidR="003239B8" w:rsidRPr="00A75CC3" w:rsidRDefault="00D1071F" w:rsidP="008D2290">
            <w:pPr>
              <w:rPr>
                <w:rFonts w:ascii="Cambria" w:hAnsi="Cambria"/>
                <w:bCs/>
                <w:sz w:val="20"/>
                <w:szCs w:val="20"/>
                <w:lang w:val="pt-BR"/>
              </w:rPr>
            </w:pPr>
            <w:r>
              <w:rPr>
                <w:rFonts w:ascii="Cambria" w:hAnsi="Cambria"/>
                <w:bCs/>
                <w:sz w:val="20"/>
                <w:szCs w:val="20"/>
                <w:lang w:val="pt-BR"/>
              </w:rPr>
              <w:t>Sim</w:t>
            </w:r>
          </w:p>
        </w:tc>
      </w:tr>
      <w:tr w:rsidR="003239B8" w:rsidRPr="00A75CC3" w14:paraId="4B8802DA" w14:textId="77777777" w:rsidTr="0022736D">
        <w:trPr>
          <w:cantSplit/>
        </w:trPr>
        <w:tc>
          <w:tcPr>
            <w:tcW w:w="3600" w:type="dxa"/>
            <w:tcBorders>
              <w:top w:val="single" w:sz="6" w:space="0" w:color="auto"/>
              <w:bottom w:val="single" w:sz="6" w:space="0" w:color="auto"/>
            </w:tcBorders>
            <w:shd w:val="clear" w:color="auto" w:fill="FFC000"/>
            <w:vAlign w:val="center"/>
          </w:tcPr>
          <w:p w14:paraId="3915C23B" w14:textId="5BC7D7BF" w:rsidR="003239B8" w:rsidRPr="00A75CC3" w:rsidRDefault="00D21316" w:rsidP="008D2290">
            <w:pPr>
              <w:jc w:val="center"/>
              <w:rPr>
                <w:rFonts w:ascii="Cambria" w:hAnsi="Cambria"/>
                <w:b/>
                <w:bCs/>
                <w:sz w:val="20"/>
                <w:szCs w:val="20"/>
                <w:lang w:val="pt-BR"/>
              </w:rPr>
            </w:pPr>
            <w:r w:rsidRPr="00A75CC3">
              <w:rPr>
                <w:rFonts w:ascii="Cambria" w:hAnsi="Cambria"/>
                <w:b/>
                <w:bCs/>
                <w:sz w:val="20"/>
                <w:szCs w:val="20"/>
                <w:lang w:val="pt-BR"/>
              </w:rPr>
              <w:t>Competê</w:t>
            </w:r>
            <w:r w:rsidR="003239B8" w:rsidRPr="00A75CC3">
              <w:rPr>
                <w:rFonts w:ascii="Cambria" w:hAnsi="Cambria"/>
                <w:b/>
                <w:bCs/>
                <w:sz w:val="20"/>
                <w:szCs w:val="20"/>
                <w:lang w:val="pt-BR"/>
              </w:rPr>
              <w:t>ncia</w:t>
            </w:r>
            <w:r w:rsidR="003239B8" w:rsidRPr="00A75CC3">
              <w:rPr>
                <w:rFonts w:ascii="Cambria" w:hAnsi="Cambria"/>
                <w:b/>
                <w:bCs/>
                <w:i/>
                <w:sz w:val="20"/>
                <w:szCs w:val="20"/>
                <w:lang w:val="pt-BR"/>
              </w:rPr>
              <w:t xml:space="preserve"> Ratione loci</w:t>
            </w:r>
            <w:r w:rsidR="003239B8" w:rsidRPr="00A75CC3">
              <w:rPr>
                <w:rFonts w:ascii="Cambria" w:hAnsi="Cambria"/>
                <w:b/>
                <w:bCs/>
                <w:sz w:val="20"/>
                <w:szCs w:val="20"/>
                <w:lang w:val="pt-BR"/>
              </w:rPr>
              <w:t>:</w:t>
            </w:r>
          </w:p>
        </w:tc>
        <w:tc>
          <w:tcPr>
            <w:tcW w:w="5760" w:type="dxa"/>
            <w:vAlign w:val="center"/>
          </w:tcPr>
          <w:p w14:paraId="12C931CB" w14:textId="1EAF741B" w:rsidR="003239B8" w:rsidRPr="00A75CC3" w:rsidRDefault="00D1071F" w:rsidP="008D2290">
            <w:pPr>
              <w:rPr>
                <w:rFonts w:ascii="Cambria" w:hAnsi="Cambria"/>
                <w:bCs/>
                <w:sz w:val="20"/>
                <w:szCs w:val="20"/>
                <w:lang w:val="pt-BR"/>
              </w:rPr>
            </w:pPr>
            <w:r>
              <w:rPr>
                <w:rFonts w:ascii="Cambria" w:hAnsi="Cambria"/>
                <w:bCs/>
                <w:sz w:val="20"/>
                <w:szCs w:val="20"/>
                <w:lang w:val="pt-BR"/>
              </w:rPr>
              <w:t>Sim</w:t>
            </w:r>
          </w:p>
        </w:tc>
      </w:tr>
      <w:tr w:rsidR="003239B8" w:rsidRPr="00A75CC3" w14:paraId="4362FDF3" w14:textId="77777777" w:rsidTr="0022736D">
        <w:trPr>
          <w:cantSplit/>
        </w:trPr>
        <w:tc>
          <w:tcPr>
            <w:tcW w:w="3600" w:type="dxa"/>
            <w:tcBorders>
              <w:top w:val="single" w:sz="6" w:space="0" w:color="auto"/>
              <w:bottom w:val="single" w:sz="6" w:space="0" w:color="auto"/>
            </w:tcBorders>
            <w:shd w:val="clear" w:color="auto" w:fill="FFC000"/>
            <w:vAlign w:val="center"/>
          </w:tcPr>
          <w:p w14:paraId="3BE23153" w14:textId="0DA4396B" w:rsidR="003239B8" w:rsidRPr="00A75CC3" w:rsidRDefault="00D21316" w:rsidP="008D2290">
            <w:pPr>
              <w:jc w:val="center"/>
              <w:rPr>
                <w:rFonts w:ascii="Cambria" w:hAnsi="Cambria"/>
                <w:b/>
                <w:bCs/>
                <w:sz w:val="20"/>
                <w:szCs w:val="20"/>
                <w:lang w:val="pt-BR"/>
              </w:rPr>
            </w:pPr>
            <w:r w:rsidRPr="00A75CC3">
              <w:rPr>
                <w:rFonts w:ascii="Cambria" w:hAnsi="Cambria"/>
                <w:b/>
                <w:bCs/>
                <w:sz w:val="20"/>
                <w:szCs w:val="20"/>
                <w:lang w:val="pt-BR"/>
              </w:rPr>
              <w:t>Competê</w:t>
            </w:r>
            <w:r w:rsidR="003239B8" w:rsidRPr="00A75CC3">
              <w:rPr>
                <w:rFonts w:ascii="Cambria" w:hAnsi="Cambria"/>
                <w:b/>
                <w:bCs/>
                <w:sz w:val="20"/>
                <w:szCs w:val="20"/>
                <w:lang w:val="pt-BR"/>
              </w:rPr>
              <w:t>ncia</w:t>
            </w:r>
            <w:r w:rsidR="003239B8" w:rsidRPr="00A75CC3">
              <w:rPr>
                <w:rFonts w:ascii="Cambria" w:hAnsi="Cambria"/>
                <w:b/>
                <w:bCs/>
                <w:i/>
                <w:sz w:val="20"/>
                <w:szCs w:val="20"/>
                <w:lang w:val="pt-BR"/>
              </w:rPr>
              <w:t xml:space="preserve"> Ratione temporis</w:t>
            </w:r>
            <w:r w:rsidR="003239B8" w:rsidRPr="00A75CC3">
              <w:rPr>
                <w:rFonts w:ascii="Cambria" w:hAnsi="Cambria"/>
                <w:b/>
                <w:bCs/>
                <w:sz w:val="20"/>
                <w:szCs w:val="20"/>
                <w:lang w:val="pt-BR"/>
              </w:rPr>
              <w:t>:</w:t>
            </w:r>
          </w:p>
        </w:tc>
        <w:tc>
          <w:tcPr>
            <w:tcW w:w="5760" w:type="dxa"/>
            <w:vAlign w:val="center"/>
          </w:tcPr>
          <w:p w14:paraId="6F8B059B" w14:textId="4C05E6A8" w:rsidR="003239B8" w:rsidRPr="00A75CC3" w:rsidRDefault="00D1071F" w:rsidP="008D2290">
            <w:pPr>
              <w:rPr>
                <w:bCs/>
                <w:sz w:val="20"/>
                <w:szCs w:val="20"/>
                <w:lang w:val="pt-BR"/>
              </w:rPr>
            </w:pPr>
            <w:r>
              <w:rPr>
                <w:bCs/>
                <w:sz w:val="20"/>
                <w:szCs w:val="20"/>
                <w:lang w:val="pt-BR"/>
              </w:rPr>
              <w:t>Sim</w:t>
            </w:r>
          </w:p>
        </w:tc>
      </w:tr>
      <w:tr w:rsidR="003239B8" w:rsidRPr="00FA3DDB" w14:paraId="30ABEC3E" w14:textId="77777777" w:rsidTr="0022736D">
        <w:trPr>
          <w:cantSplit/>
        </w:trPr>
        <w:tc>
          <w:tcPr>
            <w:tcW w:w="3600" w:type="dxa"/>
            <w:tcBorders>
              <w:top w:val="single" w:sz="6" w:space="0" w:color="auto"/>
              <w:bottom w:val="single" w:sz="6" w:space="0" w:color="auto"/>
            </w:tcBorders>
            <w:shd w:val="clear" w:color="auto" w:fill="FFC000"/>
            <w:vAlign w:val="center"/>
          </w:tcPr>
          <w:p w14:paraId="47B529D2" w14:textId="38F880CA" w:rsidR="003239B8" w:rsidRPr="00A75CC3" w:rsidRDefault="00D21316" w:rsidP="008D2290">
            <w:pPr>
              <w:jc w:val="center"/>
              <w:rPr>
                <w:rFonts w:ascii="Cambria" w:hAnsi="Cambria"/>
                <w:b/>
                <w:bCs/>
                <w:sz w:val="20"/>
                <w:szCs w:val="20"/>
                <w:lang w:val="pt-BR"/>
              </w:rPr>
            </w:pPr>
            <w:r w:rsidRPr="00A75CC3">
              <w:rPr>
                <w:rFonts w:ascii="Cambria" w:hAnsi="Cambria"/>
                <w:b/>
                <w:bCs/>
                <w:sz w:val="20"/>
                <w:szCs w:val="20"/>
                <w:lang w:val="pt-BR"/>
              </w:rPr>
              <w:t>Competê</w:t>
            </w:r>
            <w:r w:rsidR="003239B8" w:rsidRPr="00A75CC3">
              <w:rPr>
                <w:rFonts w:ascii="Cambria" w:hAnsi="Cambria"/>
                <w:b/>
                <w:bCs/>
                <w:sz w:val="20"/>
                <w:szCs w:val="20"/>
                <w:lang w:val="pt-BR"/>
              </w:rPr>
              <w:t>ncia</w:t>
            </w:r>
            <w:r w:rsidR="003239B8" w:rsidRPr="00A75CC3">
              <w:rPr>
                <w:rFonts w:ascii="Cambria" w:hAnsi="Cambria"/>
                <w:b/>
                <w:bCs/>
                <w:i/>
                <w:sz w:val="20"/>
                <w:szCs w:val="20"/>
                <w:lang w:val="pt-BR"/>
              </w:rPr>
              <w:t xml:space="preserve"> Ratione materia</w:t>
            </w:r>
            <w:r w:rsidR="00EE00E9" w:rsidRPr="00A75CC3">
              <w:rPr>
                <w:rFonts w:ascii="Cambria" w:hAnsi="Cambria"/>
                <w:b/>
                <w:bCs/>
                <w:i/>
                <w:sz w:val="20"/>
                <w:szCs w:val="20"/>
                <w:lang w:val="pt-BR"/>
              </w:rPr>
              <w:t>e</w:t>
            </w:r>
            <w:r w:rsidR="003239B8" w:rsidRPr="00A75CC3">
              <w:rPr>
                <w:rFonts w:ascii="Cambria" w:hAnsi="Cambria"/>
                <w:b/>
                <w:bCs/>
                <w:sz w:val="20"/>
                <w:szCs w:val="20"/>
                <w:lang w:val="pt-BR"/>
              </w:rPr>
              <w:t>:</w:t>
            </w:r>
          </w:p>
        </w:tc>
        <w:tc>
          <w:tcPr>
            <w:tcW w:w="5760" w:type="dxa"/>
            <w:vAlign w:val="center"/>
          </w:tcPr>
          <w:p w14:paraId="0C122F44" w14:textId="216F8146" w:rsidR="003239B8" w:rsidRPr="00A75CC3" w:rsidRDefault="008B4924" w:rsidP="002D6A45">
            <w:pPr>
              <w:jc w:val="both"/>
              <w:rPr>
                <w:rFonts w:ascii="Cambria" w:hAnsi="Cambria"/>
                <w:bCs/>
                <w:sz w:val="20"/>
                <w:szCs w:val="20"/>
                <w:lang w:val="pt-BR"/>
              </w:rPr>
            </w:pPr>
            <w:r>
              <w:rPr>
                <w:rFonts w:ascii="Cambria" w:hAnsi="Cambria"/>
                <w:bCs/>
                <w:sz w:val="20"/>
                <w:szCs w:val="20"/>
                <w:lang w:val="pt-BR"/>
              </w:rPr>
              <w:t xml:space="preserve">Sim, </w:t>
            </w:r>
            <w:r w:rsidR="00AA17DC">
              <w:rPr>
                <w:rFonts w:ascii="Cambria" w:hAnsi="Cambria"/>
                <w:bCs/>
                <w:sz w:val="20"/>
                <w:szCs w:val="20"/>
                <w:lang w:val="pt-BR"/>
              </w:rPr>
              <w:t>nos termos da</w:t>
            </w:r>
            <w:r>
              <w:rPr>
                <w:rFonts w:ascii="Cambria" w:hAnsi="Cambria"/>
                <w:bCs/>
                <w:sz w:val="20"/>
                <w:szCs w:val="20"/>
                <w:lang w:val="pt-BR"/>
              </w:rPr>
              <w:t xml:space="preserve"> </w:t>
            </w:r>
            <w:r w:rsidR="002D6A45">
              <w:rPr>
                <w:rFonts w:ascii="Cambria" w:hAnsi="Cambria"/>
                <w:bCs/>
                <w:sz w:val="20"/>
                <w:szCs w:val="20"/>
                <w:lang w:val="pt-BR"/>
              </w:rPr>
              <w:t>seção</w:t>
            </w:r>
            <w:r>
              <w:rPr>
                <w:rFonts w:ascii="Cambria" w:hAnsi="Cambria"/>
                <w:bCs/>
                <w:sz w:val="20"/>
                <w:szCs w:val="20"/>
                <w:lang w:val="pt-BR"/>
              </w:rPr>
              <w:t xml:space="preserve"> VII</w:t>
            </w:r>
            <w:r w:rsidR="00185496">
              <w:rPr>
                <w:rStyle w:val="FootnoteReference"/>
                <w:rFonts w:ascii="Cambria" w:hAnsi="Cambria"/>
                <w:bCs/>
                <w:sz w:val="20"/>
                <w:szCs w:val="20"/>
                <w:lang w:val="pt-BR"/>
              </w:rPr>
              <w:footnoteReference w:id="8"/>
            </w:r>
          </w:p>
        </w:tc>
      </w:tr>
    </w:tbl>
    <w:p w14:paraId="4E92C444" w14:textId="32D2C3ED" w:rsidR="003239B8" w:rsidRPr="00A75CC3" w:rsidRDefault="003239B8" w:rsidP="003239B8">
      <w:pPr>
        <w:spacing w:before="240" w:after="240"/>
        <w:ind w:firstLine="720"/>
        <w:jc w:val="both"/>
        <w:rPr>
          <w:rFonts w:asciiTheme="majorHAnsi" w:hAnsiTheme="majorHAnsi"/>
          <w:b/>
          <w:bCs/>
          <w:sz w:val="20"/>
          <w:szCs w:val="20"/>
          <w:lang w:val="pt-BR"/>
        </w:rPr>
      </w:pPr>
      <w:r w:rsidRPr="00A75CC3">
        <w:rPr>
          <w:rFonts w:asciiTheme="majorHAnsi" w:hAnsiTheme="majorHAnsi"/>
          <w:b/>
          <w:bCs/>
          <w:sz w:val="20"/>
          <w:szCs w:val="20"/>
          <w:lang w:val="pt-BR"/>
        </w:rPr>
        <w:t xml:space="preserve">IV. </w:t>
      </w:r>
      <w:r w:rsidRPr="00A75CC3">
        <w:rPr>
          <w:rFonts w:asciiTheme="majorHAnsi" w:hAnsiTheme="majorHAnsi"/>
          <w:b/>
          <w:bCs/>
          <w:sz w:val="20"/>
          <w:szCs w:val="20"/>
          <w:lang w:val="pt-BR"/>
        </w:rPr>
        <w:tab/>
      </w:r>
      <w:r w:rsidR="00D21316" w:rsidRPr="00A75CC3">
        <w:rPr>
          <w:rFonts w:asciiTheme="majorHAnsi" w:hAnsiTheme="majorHAnsi"/>
          <w:b/>
          <w:bCs/>
          <w:sz w:val="20"/>
          <w:szCs w:val="20"/>
          <w:lang w:val="pt-BR"/>
        </w:rPr>
        <w:t>DUPLICAÇÃO</w:t>
      </w:r>
      <w:r w:rsidR="00EE00E9" w:rsidRPr="00A75CC3">
        <w:rPr>
          <w:rFonts w:asciiTheme="majorHAnsi" w:hAnsiTheme="majorHAnsi"/>
          <w:b/>
          <w:bCs/>
          <w:color w:val="FFFFFF" w:themeColor="background1"/>
          <w:sz w:val="20"/>
          <w:szCs w:val="20"/>
          <w:lang w:val="pt-BR"/>
        </w:rPr>
        <w:t xml:space="preserve"> </w:t>
      </w:r>
      <w:r w:rsidR="00D21316" w:rsidRPr="00A75CC3">
        <w:rPr>
          <w:rFonts w:asciiTheme="majorHAnsi" w:hAnsiTheme="majorHAnsi"/>
          <w:b/>
          <w:bCs/>
          <w:sz w:val="20"/>
          <w:szCs w:val="20"/>
          <w:lang w:val="pt-BR"/>
        </w:rPr>
        <w:t>DE PROCEDIMENTOS E</w:t>
      </w:r>
      <w:r w:rsidR="00EE00E9" w:rsidRPr="00A75CC3">
        <w:rPr>
          <w:rFonts w:asciiTheme="majorHAnsi" w:hAnsiTheme="majorHAnsi"/>
          <w:b/>
          <w:bCs/>
          <w:sz w:val="20"/>
          <w:szCs w:val="20"/>
          <w:lang w:val="pt-BR"/>
        </w:rPr>
        <w:t xml:space="preserve"> CO</w:t>
      </w:r>
      <w:r w:rsidR="00D21316" w:rsidRPr="00A75CC3">
        <w:rPr>
          <w:rFonts w:asciiTheme="majorHAnsi" w:hAnsiTheme="majorHAnsi"/>
          <w:b/>
          <w:bCs/>
          <w:sz w:val="20"/>
          <w:szCs w:val="20"/>
          <w:lang w:val="pt-BR"/>
        </w:rPr>
        <w:t>ISA JUL</w:t>
      </w:r>
      <w:r w:rsidR="00EE00E9" w:rsidRPr="00A75CC3">
        <w:rPr>
          <w:rFonts w:asciiTheme="majorHAnsi" w:hAnsiTheme="majorHAnsi"/>
          <w:b/>
          <w:bCs/>
          <w:sz w:val="20"/>
          <w:szCs w:val="20"/>
          <w:lang w:val="pt-BR"/>
        </w:rPr>
        <w:t>GADA</w:t>
      </w:r>
      <w:r w:rsidR="00EE00E9" w:rsidRPr="00A75CC3">
        <w:rPr>
          <w:rFonts w:asciiTheme="majorHAnsi" w:hAnsiTheme="majorHAnsi"/>
          <w:b/>
          <w:bCs/>
          <w:i/>
          <w:sz w:val="20"/>
          <w:szCs w:val="20"/>
          <w:lang w:val="pt-BR"/>
        </w:rPr>
        <w:t xml:space="preserve"> </w:t>
      </w:r>
      <w:r w:rsidR="00EE00E9" w:rsidRPr="00A75CC3">
        <w:rPr>
          <w:rFonts w:asciiTheme="majorHAnsi" w:hAnsiTheme="majorHAnsi"/>
          <w:b/>
          <w:bCs/>
          <w:sz w:val="20"/>
          <w:szCs w:val="20"/>
          <w:lang w:val="pt-BR"/>
        </w:rPr>
        <w:t xml:space="preserve">INTERNACIONAL, </w:t>
      </w:r>
      <w:r w:rsidR="00D21316" w:rsidRPr="00A75CC3">
        <w:rPr>
          <w:rFonts w:asciiTheme="majorHAnsi" w:hAnsiTheme="majorHAnsi"/>
          <w:b/>
          <w:bCs/>
          <w:sz w:val="20"/>
          <w:szCs w:val="20"/>
          <w:lang w:val="pt-BR"/>
        </w:rPr>
        <w:t xml:space="preserve"> CARACTERIZAÇÃO</w:t>
      </w:r>
      <w:r w:rsidRPr="00A75CC3">
        <w:rPr>
          <w:rFonts w:asciiTheme="majorHAnsi" w:hAnsiTheme="majorHAnsi"/>
          <w:b/>
          <w:bCs/>
          <w:sz w:val="20"/>
          <w:szCs w:val="20"/>
          <w:lang w:val="pt-BR"/>
        </w:rPr>
        <w:t xml:space="preserve">, </w:t>
      </w:r>
      <w:r w:rsidR="00D21316" w:rsidRPr="00A75CC3">
        <w:rPr>
          <w:rFonts w:asciiTheme="majorHAnsi" w:hAnsiTheme="majorHAnsi"/>
          <w:b/>
          <w:sz w:val="20"/>
          <w:szCs w:val="20"/>
          <w:lang w:val="pt-BR"/>
        </w:rPr>
        <w:t>ESGOTAM</w:t>
      </w:r>
      <w:r w:rsidRPr="00A75CC3">
        <w:rPr>
          <w:rFonts w:asciiTheme="majorHAnsi" w:hAnsiTheme="majorHAnsi"/>
          <w:b/>
          <w:sz w:val="20"/>
          <w:szCs w:val="20"/>
          <w:lang w:val="pt-BR"/>
        </w:rPr>
        <w:t>ENTO D</w:t>
      </w:r>
      <w:r w:rsidR="00D21316" w:rsidRPr="00A75CC3">
        <w:rPr>
          <w:rFonts w:asciiTheme="majorHAnsi" w:hAnsiTheme="majorHAnsi"/>
          <w:b/>
          <w:sz w:val="20"/>
          <w:szCs w:val="20"/>
          <w:lang w:val="pt-BR"/>
        </w:rPr>
        <w:t>OS RECURSOS INTERNOS E PR</w:t>
      </w:r>
      <w:r w:rsidRPr="00A75CC3">
        <w:rPr>
          <w:rFonts w:asciiTheme="majorHAnsi" w:hAnsiTheme="majorHAnsi"/>
          <w:b/>
          <w:sz w:val="20"/>
          <w:szCs w:val="20"/>
          <w:lang w:val="pt-BR"/>
        </w:rPr>
        <w:t xml:space="preserve">AZO DE </w:t>
      </w:r>
      <w:r w:rsidR="00D21316" w:rsidRPr="00A75CC3">
        <w:rPr>
          <w:rFonts w:asciiTheme="majorHAnsi" w:hAnsiTheme="majorHAnsi"/>
          <w:b/>
          <w:sz w:val="20"/>
          <w:szCs w:val="20"/>
          <w:lang w:val="pt-BR"/>
        </w:rPr>
        <w:t>APRESENTAÇÃO</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6A20E7" w14:paraId="1231C988" w14:textId="77777777" w:rsidTr="0022736D">
        <w:trPr>
          <w:cantSplit/>
        </w:trPr>
        <w:tc>
          <w:tcPr>
            <w:tcW w:w="3600" w:type="dxa"/>
            <w:tcBorders>
              <w:top w:val="single" w:sz="4" w:space="0" w:color="auto"/>
              <w:bottom w:val="single" w:sz="6" w:space="0" w:color="auto"/>
            </w:tcBorders>
            <w:shd w:val="clear" w:color="auto" w:fill="FFC000"/>
            <w:vAlign w:val="center"/>
          </w:tcPr>
          <w:p w14:paraId="6F8031F4" w14:textId="7F2FBF91" w:rsidR="00EE00E9" w:rsidRPr="00A75CC3" w:rsidRDefault="00D21316" w:rsidP="008D2290">
            <w:pPr>
              <w:jc w:val="center"/>
              <w:rPr>
                <w:rFonts w:ascii="Cambria" w:hAnsi="Cambria"/>
                <w:b/>
                <w:bCs/>
                <w:sz w:val="20"/>
                <w:szCs w:val="20"/>
                <w:lang w:val="pt-BR"/>
              </w:rPr>
            </w:pPr>
            <w:r w:rsidRPr="00A75CC3">
              <w:rPr>
                <w:rFonts w:ascii="Cambria" w:hAnsi="Cambria"/>
                <w:b/>
                <w:bCs/>
                <w:sz w:val="20"/>
                <w:szCs w:val="20"/>
                <w:lang w:val="pt-BR"/>
              </w:rPr>
              <w:t>Duplicação de procedimentos e</w:t>
            </w:r>
            <w:r w:rsidR="00EE00E9" w:rsidRPr="00A75CC3">
              <w:rPr>
                <w:rFonts w:ascii="Cambria" w:hAnsi="Cambria"/>
                <w:b/>
                <w:bCs/>
                <w:sz w:val="20"/>
                <w:szCs w:val="20"/>
                <w:lang w:val="pt-BR"/>
              </w:rPr>
              <w:t xml:space="preserve"> co</w:t>
            </w:r>
            <w:r w:rsidRPr="00A75CC3">
              <w:rPr>
                <w:rFonts w:ascii="Cambria" w:hAnsi="Cambria"/>
                <w:b/>
                <w:bCs/>
                <w:sz w:val="20"/>
                <w:szCs w:val="20"/>
                <w:lang w:val="pt-BR"/>
              </w:rPr>
              <w:t>isa jul</w:t>
            </w:r>
            <w:r w:rsidR="00EE00E9" w:rsidRPr="00A75CC3">
              <w:rPr>
                <w:rFonts w:ascii="Cambria" w:hAnsi="Cambria"/>
                <w:b/>
                <w:bCs/>
                <w:sz w:val="20"/>
                <w:szCs w:val="20"/>
                <w:lang w:val="pt-BR"/>
              </w:rPr>
              <w:t>gada internacional:</w:t>
            </w:r>
          </w:p>
        </w:tc>
        <w:tc>
          <w:tcPr>
            <w:tcW w:w="5760" w:type="dxa"/>
            <w:vAlign w:val="center"/>
          </w:tcPr>
          <w:p w14:paraId="240941E6" w14:textId="42188345" w:rsidR="00EE00E9" w:rsidRPr="00A75CC3" w:rsidRDefault="00D1071F" w:rsidP="008D2290">
            <w:pPr>
              <w:jc w:val="both"/>
              <w:rPr>
                <w:rFonts w:ascii="Cambria" w:hAnsi="Cambria"/>
                <w:bCs/>
                <w:sz w:val="20"/>
                <w:szCs w:val="20"/>
                <w:lang w:val="pt-BR"/>
              </w:rPr>
            </w:pPr>
            <w:r>
              <w:rPr>
                <w:rFonts w:ascii="Cambria" w:hAnsi="Cambria"/>
                <w:bCs/>
                <w:sz w:val="20"/>
                <w:szCs w:val="20"/>
                <w:lang w:val="pt-BR"/>
              </w:rPr>
              <w:t>Não</w:t>
            </w:r>
          </w:p>
        </w:tc>
      </w:tr>
      <w:tr w:rsidR="003239B8" w:rsidRPr="00FA3DDB" w14:paraId="15FAA7D1" w14:textId="77777777" w:rsidTr="0022736D">
        <w:trPr>
          <w:cantSplit/>
        </w:trPr>
        <w:tc>
          <w:tcPr>
            <w:tcW w:w="3600" w:type="dxa"/>
            <w:tcBorders>
              <w:top w:val="single" w:sz="4" w:space="0" w:color="auto"/>
              <w:bottom w:val="single" w:sz="6" w:space="0" w:color="auto"/>
            </w:tcBorders>
            <w:shd w:val="clear" w:color="auto" w:fill="FFC000"/>
            <w:vAlign w:val="center"/>
          </w:tcPr>
          <w:p w14:paraId="1B0D29FF" w14:textId="577ED540" w:rsidR="003239B8" w:rsidRPr="00A75CC3" w:rsidRDefault="00D21316" w:rsidP="00D21316">
            <w:pPr>
              <w:jc w:val="center"/>
              <w:rPr>
                <w:rFonts w:ascii="Cambria" w:hAnsi="Cambria"/>
                <w:b/>
                <w:bCs/>
                <w:i/>
                <w:sz w:val="20"/>
                <w:szCs w:val="20"/>
                <w:lang w:val="pt-BR"/>
              </w:rPr>
            </w:pPr>
            <w:r w:rsidRPr="00A75CC3">
              <w:rPr>
                <w:rFonts w:ascii="Cambria" w:hAnsi="Cambria"/>
                <w:b/>
                <w:bCs/>
                <w:sz w:val="20"/>
                <w:szCs w:val="20"/>
                <w:lang w:val="pt-BR"/>
              </w:rPr>
              <w:t>Direitos</w:t>
            </w:r>
            <w:r w:rsidR="003239B8" w:rsidRPr="00A75CC3">
              <w:rPr>
                <w:rFonts w:ascii="Cambria" w:hAnsi="Cambria"/>
                <w:b/>
                <w:bCs/>
                <w:sz w:val="20"/>
                <w:szCs w:val="20"/>
                <w:lang w:val="pt-BR"/>
              </w:rPr>
              <w:t xml:space="preserve"> declarados </w:t>
            </w:r>
            <w:r w:rsidRPr="00A75CC3">
              <w:rPr>
                <w:rFonts w:ascii="Cambria" w:hAnsi="Cambria"/>
                <w:b/>
                <w:bCs/>
                <w:sz w:val="20"/>
                <w:szCs w:val="20"/>
                <w:lang w:val="pt-BR"/>
              </w:rPr>
              <w:t>admitidos</w:t>
            </w:r>
            <w:r w:rsidR="003239B8" w:rsidRPr="00A75CC3">
              <w:rPr>
                <w:rFonts w:ascii="Cambria" w:hAnsi="Cambria"/>
                <w:b/>
                <w:bCs/>
                <w:i/>
                <w:sz w:val="20"/>
                <w:szCs w:val="20"/>
                <w:lang w:val="pt-BR"/>
              </w:rPr>
              <w:t>:</w:t>
            </w:r>
          </w:p>
        </w:tc>
        <w:tc>
          <w:tcPr>
            <w:tcW w:w="5760" w:type="dxa"/>
            <w:vAlign w:val="center"/>
          </w:tcPr>
          <w:p w14:paraId="6310C8F7" w14:textId="1C0FA8FE" w:rsidR="003239B8" w:rsidRPr="00A75CC3" w:rsidRDefault="00CB20FF" w:rsidP="008D2290">
            <w:pPr>
              <w:jc w:val="both"/>
              <w:rPr>
                <w:rFonts w:ascii="Cambria" w:hAnsi="Cambria"/>
                <w:bCs/>
                <w:sz w:val="20"/>
                <w:szCs w:val="20"/>
                <w:lang w:val="pt-BR"/>
              </w:rPr>
            </w:pPr>
            <w:r>
              <w:rPr>
                <w:rFonts w:ascii="Cambria" w:hAnsi="Cambria"/>
                <w:bCs/>
                <w:sz w:val="20"/>
                <w:szCs w:val="20"/>
                <w:lang w:val="pt-BR"/>
              </w:rPr>
              <w:t xml:space="preserve">Artigos 5 (integridade pessoal), 8 (garantias judiciais), 17 (proteção </w:t>
            </w:r>
            <w:r w:rsidR="00AA17DC">
              <w:rPr>
                <w:rFonts w:ascii="Cambria" w:hAnsi="Cambria"/>
                <w:bCs/>
                <w:sz w:val="20"/>
                <w:szCs w:val="20"/>
                <w:lang w:val="pt-BR"/>
              </w:rPr>
              <w:t>da</w:t>
            </w:r>
            <w:r>
              <w:rPr>
                <w:rFonts w:ascii="Cambria" w:hAnsi="Cambria"/>
                <w:bCs/>
                <w:sz w:val="20"/>
                <w:szCs w:val="20"/>
                <w:lang w:val="pt-BR"/>
              </w:rPr>
              <w:t xml:space="preserve"> família), 22 (circulação e residência), 24 (igualdade perante a lei) e 25 (proteção judicial), todos relacionados com os artigos 1.1 (obrigação de respeitar os direitos) e 2 (dever de adotar disposições de direito interno) da Convenção Americana; e artigo 7 da Convenção de Belém do Pará</w:t>
            </w:r>
          </w:p>
        </w:tc>
      </w:tr>
      <w:tr w:rsidR="003239B8" w:rsidRPr="00FA3DDB" w14:paraId="4EFD141E" w14:textId="77777777" w:rsidTr="0022736D">
        <w:trPr>
          <w:cantSplit/>
        </w:trPr>
        <w:tc>
          <w:tcPr>
            <w:tcW w:w="3600" w:type="dxa"/>
            <w:tcBorders>
              <w:top w:val="single" w:sz="6" w:space="0" w:color="auto"/>
              <w:bottom w:val="single" w:sz="6" w:space="0" w:color="auto"/>
            </w:tcBorders>
            <w:shd w:val="clear" w:color="auto" w:fill="FFC000"/>
            <w:vAlign w:val="center"/>
          </w:tcPr>
          <w:p w14:paraId="4C04A89C" w14:textId="4CDE326B" w:rsidR="003239B8" w:rsidRPr="00A75CC3" w:rsidRDefault="00D21316" w:rsidP="00D21316">
            <w:pPr>
              <w:jc w:val="center"/>
              <w:rPr>
                <w:rFonts w:ascii="Cambria" w:hAnsi="Cambria"/>
                <w:b/>
                <w:bCs/>
                <w:sz w:val="20"/>
                <w:szCs w:val="20"/>
                <w:lang w:val="pt-BR"/>
              </w:rPr>
            </w:pPr>
            <w:r w:rsidRPr="00A75CC3">
              <w:rPr>
                <w:rFonts w:ascii="Cambria" w:hAnsi="Cambria"/>
                <w:b/>
                <w:bCs/>
                <w:sz w:val="20"/>
                <w:szCs w:val="20"/>
                <w:lang w:val="pt-BR"/>
              </w:rPr>
              <w:t>Esgotamento dos</w:t>
            </w:r>
            <w:r w:rsidR="003239B8" w:rsidRPr="00A75CC3">
              <w:rPr>
                <w:rFonts w:ascii="Cambria" w:hAnsi="Cambria"/>
                <w:b/>
                <w:bCs/>
                <w:sz w:val="20"/>
                <w:szCs w:val="20"/>
                <w:lang w:val="pt-BR"/>
              </w:rPr>
              <w:t xml:space="preserve"> recursos internos</w:t>
            </w:r>
            <w:r w:rsidR="00EE00E9" w:rsidRPr="00A75CC3">
              <w:rPr>
                <w:rFonts w:ascii="Cambria" w:hAnsi="Cambria"/>
                <w:b/>
                <w:bCs/>
                <w:sz w:val="20"/>
                <w:szCs w:val="20"/>
                <w:lang w:val="pt-BR"/>
              </w:rPr>
              <w:t xml:space="preserve"> o</w:t>
            </w:r>
            <w:r w:rsidRPr="00A75CC3">
              <w:rPr>
                <w:rFonts w:ascii="Cambria" w:hAnsi="Cambria"/>
                <w:b/>
                <w:bCs/>
                <w:sz w:val="20"/>
                <w:szCs w:val="20"/>
                <w:lang w:val="pt-BR"/>
              </w:rPr>
              <w:t>u procedência de um</w:t>
            </w:r>
            <w:r w:rsidR="00EE00E9" w:rsidRPr="00A75CC3">
              <w:rPr>
                <w:rFonts w:ascii="Cambria" w:hAnsi="Cambria"/>
                <w:b/>
                <w:bCs/>
                <w:sz w:val="20"/>
                <w:szCs w:val="20"/>
                <w:lang w:val="pt-BR"/>
              </w:rPr>
              <w:t xml:space="preserve">a </w:t>
            </w:r>
            <w:r w:rsidRPr="00A75CC3">
              <w:rPr>
                <w:rFonts w:ascii="Cambria" w:hAnsi="Cambria"/>
                <w:b/>
                <w:bCs/>
                <w:sz w:val="20"/>
                <w:szCs w:val="20"/>
                <w:lang w:val="pt-BR"/>
              </w:rPr>
              <w:t>exceção</w:t>
            </w:r>
            <w:r w:rsidR="003239B8" w:rsidRPr="00A75CC3">
              <w:rPr>
                <w:rFonts w:ascii="Cambria" w:hAnsi="Cambria"/>
                <w:b/>
                <w:bCs/>
                <w:sz w:val="20"/>
                <w:szCs w:val="20"/>
                <w:lang w:val="pt-BR"/>
              </w:rPr>
              <w:t>:</w:t>
            </w:r>
          </w:p>
        </w:tc>
        <w:tc>
          <w:tcPr>
            <w:tcW w:w="5760" w:type="dxa"/>
            <w:vAlign w:val="center"/>
          </w:tcPr>
          <w:p w14:paraId="69C53E8A" w14:textId="5583CEA4" w:rsidR="003239B8" w:rsidRPr="00A75CC3" w:rsidRDefault="00CB20FF" w:rsidP="002D6A45">
            <w:pPr>
              <w:rPr>
                <w:rFonts w:ascii="Cambria" w:hAnsi="Cambria"/>
                <w:bCs/>
                <w:sz w:val="20"/>
                <w:szCs w:val="20"/>
                <w:lang w:val="pt-BR"/>
              </w:rPr>
            </w:pPr>
            <w:r>
              <w:rPr>
                <w:rFonts w:ascii="Cambria" w:hAnsi="Cambria"/>
                <w:bCs/>
                <w:sz w:val="20"/>
                <w:szCs w:val="20"/>
                <w:lang w:val="pt-BR"/>
              </w:rPr>
              <w:t xml:space="preserve">Sim, nos termos da </w:t>
            </w:r>
            <w:r w:rsidR="002D6A45">
              <w:rPr>
                <w:rFonts w:ascii="Cambria" w:hAnsi="Cambria"/>
                <w:bCs/>
                <w:sz w:val="20"/>
                <w:szCs w:val="20"/>
                <w:lang w:val="pt-BR"/>
              </w:rPr>
              <w:t>seção</w:t>
            </w:r>
            <w:r>
              <w:rPr>
                <w:rFonts w:ascii="Cambria" w:hAnsi="Cambria"/>
                <w:bCs/>
                <w:sz w:val="20"/>
                <w:szCs w:val="20"/>
                <w:lang w:val="pt-BR"/>
              </w:rPr>
              <w:t xml:space="preserve"> VI</w:t>
            </w:r>
          </w:p>
        </w:tc>
      </w:tr>
      <w:tr w:rsidR="003239B8" w:rsidRPr="00FA3DDB" w14:paraId="52B5BA17" w14:textId="77777777" w:rsidTr="0022736D">
        <w:trPr>
          <w:cantSplit/>
        </w:trPr>
        <w:tc>
          <w:tcPr>
            <w:tcW w:w="3600" w:type="dxa"/>
            <w:tcBorders>
              <w:top w:val="single" w:sz="6" w:space="0" w:color="auto"/>
              <w:bottom w:val="single" w:sz="6" w:space="0" w:color="auto"/>
            </w:tcBorders>
            <w:shd w:val="clear" w:color="auto" w:fill="FFC000"/>
            <w:vAlign w:val="center"/>
          </w:tcPr>
          <w:p w14:paraId="5DF99086" w14:textId="35473084" w:rsidR="003239B8" w:rsidRPr="00A75CC3" w:rsidRDefault="00D21316" w:rsidP="008D2290">
            <w:pPr>
              <w:jc w:val="center"/>
              <w:rPr>
                <w:rFonts w:ascii="Cambria" w:hAnsi="Cambria"/>
                <w:b/>
                <w:bCs/>
                <w:sz w:val="20"/>
                <w:szCs w:val="20"/>
                <w:lang w:val="pt-BR"/>
              </w:rPr>
            </w:pPr>
            <w:r w:rsidRPr="00A75CC3">
              <w:rPr>
                <w:rFonts w:ascii="Cambria" w:hAnsi="Cambria"/>
                <w:b/>
                <w:bCs/>
                <w:sz w:val="20"/>
                <w:szCs w:val="20"/>
                <w:lang w:val="pt-BR"/>
              </w:rPr>
              <w:t>Apresentação dentro do pr</w:t>
            </w:r>
            <w:r w:rsidR="003239B8" w:rsidRPr="00A75CC3">
              <w:rPr>
                <w:rFonts w:ascii="Cambria" w:hAnsi="Cambria"/>
                <w:b/>
                <w:bCs/>
                <w:sz w:val="20"/>
                <w:szCs w:val="20"/>
                <w:lang w:val="pt-BR"/>
              </w:rPr>
              <w:t>azo:</w:t>
            </w:r>
          </w:p>
        </w:tc>
        <w:tc>
          <w:tcPr>
            <w:tcW w:w="5760" w:type="dxa"/>
            <w:vAlign w:val="center"/>
          </w:tcPr>
          <w:p w14:paraId="4A2A4569" w14:textId="38BA8930" w:rsidR="003239B8" w:rsidRPr="00A75CC3" w:rsidRDefault="00CB20FF" w:rsidP="002D6A45">
            <w:pPr>
              <w:rPr>
                <w:bCs/>
                <w:sz w:val="20"/>
                <w:szCs w:val="20"/>
                <w:lang w:val="pt-BR"/>
              </w:rPr>
            </w:pPr>
            <w:r>
              <w:rPr>
                <w:rFonts w:ascii="Cambria" w:hAnsi="Cambria"/>
                <w:bCs/>
                <w:sz w:val="20"/>
                <w:szCs w:val="20"/>
                <w:lang w:val="pt-BR"/>
              </w:rPr>
              <w:t xml:space="preserve">Sim, nos termos da </w:t>
            </w:r>
            <w:r w:rsidR="002D6A45">
              <w:rPr>
                <w:rFonts w:ascii="Cambria" w:hAnsi="Cambria"/>
                <w:bCs/>
                <w:sz w:val="20"/>
                <w:szCs w:val="20"/>
                <w:lang w:val="pt-BR"/>
              </w:rPr>
              <w:t>seção</w:t>
            </w:r>
            <w:r>
              <w:rPr>
                <w:rFonts w:ascii="Cambria" w:hAnsi="Cambria"/>
                <w:bCs/>
                <w:sz w:val="20"/>
                <w:szCs w:val="20"/>
                <w:lang w:val="pt-BR"/>
              </w:rPr>
              <w:t xml:space="preserve"> VI</w:t>
            </w:r>
          </w:p>
        </w:tc>
      </w:tr>
    </w:tbl>
    <w:p w14:paraId="18E6423B" w14:textId="476F88C0" w:rsidR="003239B8" w:rsidRPr="00A75CC3" w:rsidRDefault="00223A29" w:rsidP="003239B8">
      <w:pPr>
        <w:spacing w:before="240" w:after="240"/>
        <w:ind w:firstLine="720"/>
        <w:jc w:val="both"/>
        <w:rPr>
          <w:rFonts w:asciiTheme="majorHAnsi" w:hAnsiTheme="majorHAnsi"/>
          <w:b/>
          <w:sz w:val="20"/>
          <w:szCs w:val="20"/>
          <w:lang w:val="pt-BR"/>
        </w:rPr>
      </w:pPr>
      <w:r w:rsidRPr="00A75CC3">
        <w:rPr>
          <w:rFonts w:asciiTheme="majorHAnsi" w:hAnsiTheme="majorHAnsi"/>
          <w:b/>
          <w:sz w:val="20"/>
          <w:szCs w:val="20"/>
          <w:lang w:val="pt-BR"/>
        </w:rPr>
        <w:t xml:space="preserve">V. </w:t>
      </w:r>
      <w:r w:rsidRPr="00A75CC3">
        <w:rPr>
          <w:rFonts w:asciiTheme="majorHAnsi" w:hAnsiTheme="majorHAnsi"/>
          <w:b/>
          <w:sz w:val="20"/>
          <w:szCs w:val="20"/>
          <w:lang w:val="pt-BR"/>
        </w:rPr>
        <w:tab/>
      </w:r>
      <w:r w:rsidR="00D21316" w:rsidRPr="00A75CC3">
        <w:rPr>
          <w:rFonts w:asciiTheme="majorHAnsi" w:hAnsiTheme="majorHAnsi"/>
          <w:b/>
          <w:sz w:val="20"/>
          <w:szCs w:val="20"/>
          <w:lang w:val="pt-BR"/>
        </w:rPr>
        <w:t>FATOS</w:t>
      </w:r>
      <w:r w:rsidR="003239B8" w:rsidRPr="00A75CC3">
        <w:rPr>
          <w:rFonts w:asciiTheme="majorHAnsi" w:hAnsiTheme="majorHAnsi"/>
          <w:b/>
          <w:sz w:val="20"/>
          <w:szCs w:val="20"/>
          <w:lang w:val="pt-BR"/>
        </w:rPr>
        <w:t xml:space="preserve"> ALEGADOS </w:t>
      </w:r>
    </w:p>
    <w:p w14:paraId="54878D86" w14:textId="08610E2F" w:rsidR="00A11E44" w:rsidRPr="003F039E" w:rsidRDefault="0005464E" w:rsidP="007A399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3F039E">
        <w:rPr>
          <w:rFonts w:ascii="Cambria" w:hAnsi="Cambria"/>
          <w:sz w:val="20"/>
          <w:szCs w:val="20"/>
          <w:lang w:val="pt-BR"/>
        </w:rPr>
        <w:t xml:space="preserve">O peticionário alega que </w:t>
      </w:r>
      <w:r w:rsidR="008B4924" w:rsidRPr="003F039E">
        <w:rPr>
          <w:rFonts w:ascii="Cambria" w:hAnsi="Cambria"/>
          <w:sz w:val="20"/>
          <w:szCs w:val="20"/>
          <w:lang w:val="pt-BR"/>
        </w:rPr>
        <w:t xml:space="preserve">Elisabeth Semann (adiante “Sra. Semann” ou “suposta vítima”) </w:t>
      </w:r>
      <w:r w:rsidRPr="003F039E">
        <w:rPr>
          <w:rFonts w:ascii="Cambria" w:hAnsi="Cambria"/>
          <w:sz w:val="20"/>
          <w:szCs w:val="20"/>
          <w:lang w:val="pt-BR"/>
        </w:rPr>
        <w:t xml:space="preserve">foi vítima de violência doméstica por parte de seu ex-companheiro, Semar de Souza, com quem tem três filhos. </w:t>
      </w:r>
      <w:r w:rsidRPr="003F039E">
        <w:rPr>
          <w:rFonts w:ascii="Cambria" w:hAnsi="Cambria"/>
          <w:sz w:val="20"/>
          <w:szCs w:val="20"/>
          <w:lang w:val="pt-BR"/>
        </w:rPr>
        <w:lastRenderedPageBreak/>
        <w:t xml:space="preserve">Em 2009, ela denunciou </w:t>
      </w:r>
      <w:r w:rsidR="00AA17DC" w:rsidRPr="003F039E">
        <w:rPr>
          <w:rFonts w:ascii="Cambria" w:hAnsi="Cambria"/>
          <w:sz w:val="20"/>
          <w:szCs w:val="20"/>
          <w:lang w:val="pt-BR"/>
        </w:rPr>
        <w:t xml:space="preserve">à autoridade policial local </w:t>
      </w:r>
      <w:r w:rsidRPr="003F039E">
        <w:rPr>
          <w:rFonts w:ascii="Cambria" w:hAnsi="Cambria"/>
          <w:sz w:val="20"/>
          <w:szCs w:val="20"/>
          <w:lang w:val="pt-BR"/>
        </w:rPr>
        <w:t>as constantes ameaças e viol</w:t>
      </w:r>
      <w:r w:rsidR="00AA17DC" w:rsidRPr="003F039E">
        <w:rPr>
          <w:rFonts w:ascii="Cambria" w:hAnsi="Cambria"/>
          <w:sz w:val="20"/>
          <w:szCs w:val="20"/>
          <w:lang w:val="pt-BR"/>
        </w:rPr>
        <w:t>ências sofridas</w:t>
      </w:r>
      <w:r w:rsidRPr="003F039E">
        <w:rPr>
          <w:rFonts w:ascii="Cambria" w:hAnsi="Cambria"/>
          <w:sz w:val="20"/>
          <w:szCs w:val="20"/>
          <w:lang w:val="pt-BR"/>
        </w:rPr>
        <w:t xml:space="preserve">, levando à prisão em flagrante de seu agressor. </w:t>
      </w:r>
      <w:r w:rsidR="003D1E10" w:rsidRPr="003F039E">
        <w:rPr>
          <w:rFonts w:ascii="Cambria" w:hAnsi="Cambria"/>
          <w:sz w:val="20"/>
          <w:szCs w:val="20"/>
          <w:lang w:val="pt-BR"/>
        </w:rPr>
        <w:t>A prisão foi</w:t>
      </w:r>
      <w:r w:rsidRPr="003F039E">
        <w:rPr>
          <w:rFonts w:ascii="Cambria" w:hAnsi="Cambria"/>
          <w:sz w:val="20"/>
          <w:szCs w:val="20"/>
          <w:lang w:val="pt-BR"/>
        </w:rPr>
        <w:t xml:space="preserve"> homologada judicialmente em 9 de dezembro de 2009, quando designou-se data para a realização de audiência preliminar</w:t>
      </w:r>
      <w:r w:rsidR="001F3160" w:rsidRPr="003F039E">
        <w:rPr>
          <w:rFonts w:ascii="Cambria" w:hAnsi="Cambria"/>
          <w:sz w:val="20"/>
          <w:szCs w:val="20"/>
          <w:lang w:val="pt-BR"/>
        </w:rPr>
        <w:t xml:space="preserve"> conforme previsto na Lei 11.340/06 (Lei Maria da Penha)</w:t>
      </w:r>
      <w:r w:rsidRPr="003F039E">
        <w:rPr>
          <w:rFonts w:ascii="Cambria" w:hAnsi="Cambria"/>
          <w:sz w:val="20"/>
          <w:szCs w:val="20"/>
          <w:lang w:val="pt-BR"/>
        </w:rPr>
        <w:t xml:space="preserve">. Alega que ficou determinado na decisão </w:t>
      </w:r>
      <w:r w:rsidR="003D1E10" w:rsidRPr="003F039E">
        <w:rPr>
          <w:rFonts w:ascii="Cambria" w:hAnsi="Cambria"/>
          <w:sz w:val="20"/>
          <w:szCs w:val="20"/>
          <w:lang w:val="pt-BR"/>
        </w:rPr>
        <w:t xml:space="preserve">que homologou a prisão </w:t>
      </w:r>
      <w:r w:rsidRPr="003F039E">
        <w:rPr>
          <w:rFonts w:ascii="Cambria" w:hAnsi="Cambria"/>
          <w:sz w:val="20"/>
          <w:szCs w:val="20"/>
          <w:lang w:val="pt-BR"/>
        </w:rPr>
        <w:t>que a ausência da suposta vítima na audiência</w:t>
      </w:r>
      <w:r w:rsidR="00E72DD7" w:rsidRPr="003F039E">
        <w:rPr>
          <w:rFonts w:ascii="Cambria" w:hAnsi="Cambria"/>
          <w:sz w:val="20"/>
          <w:szCs w:val="20"/>
          <w:lang w:val="pt-BR"/>
        </w:rPr>
        <w:t xml:space="preserve"> preliminar</w:t>
      </w:r>
      <w:r w:rsidRPr="003F039E">
        <w:rPr>
          <w:rFonts w:ascii="Cambria" w:hAnsi="Cambria"/>
          <w:sz w:val="20"/>
          <w:szCs w:val="20"/>
          <w:lang w:val="pt-BR"/>
        </w:rPr>
        <w:t xml:space="preserve"> implicaria o </w:t>
      </w:r>
      <w:r w:rsidR="00315288" w:rsidRPr="003F039E">
        <w:rPr>
          <w:rFonts w:ascii="Cambria" w:hAnsi="Cambria"/>
          <w:sz w:val="20"/>
          <w:szCs w:val="20"/>
          <w:lang w:val="pt-BR"/>
        </w:rPr>
        <w:t>não prosseguimento da ação penal contra o acusado</w:t>
      </w:r>
      <w:r w:rsidRPr="003F039E">
        <w:rPr>
          <w:rFonts w:ascii="Cambria" w:hAnsi="Cambria"/>
          <w:sz w:val="20"/>
          <w:szCs w:val="20"/>
          <w:lang w:val="pt-BR"/>
        </w:rPr>
        <w:t xml:space="preserve">. Ameaçada por Semar de Souza e sua família, a Sra. Semann </w:t>
      </w:r>
      <w:r w:rsidR="003D1E10" w:rsidRPr="003F039E">
        <w:rPr>
          <w:rFonts w:ascii="Cambria" w:hAnsi="Cambria"/>
          <w:sz w:val="20"/>
          <w:szCs w:val="20"/>
          <w:lang w:val="pt-BR"/>
        </w:rPr>
        <w:t>afirma</w:t>
      </w:r>
      <w:r w:rsidR="00315288" w:rsidRPr="003F039E">
        <w:rPr>
          <w:rFonts w:ascii="Cambria" w:hAnsi="Cambria"/>
          <w:sz w:val="20"/>
          <w:szCs w:val="20"/>
          <w:lang w:val="pt-BR"/>
        </w:rPr>
        <w:t xml:space="preserve"> </w:t>
      </w:r>
      <w:r w:rsidR="007A3994" w:rsidRPr="003F039E">
        <w:rPr>
          <w:rFonts w:ascii="Cambria" w:hAnsi="Cambria"/>
          <w:sz w:val="20"/>
          <w:szCs w:val="20"/>
          <w:lang w:val="pt-BR"/>
        </w:rPr>
        <w:t xml:space="preserve">que por medo e pela falta de proteção por parte das autoridades policiais, apesar de solicitada, ela </w:t>
      </w:r>
      <w:r w:rsidR="00315288" w:rsidRPr="003F039E">
        <w:rPr>
          <w:rFonts w:ascii="Cambria" w:hAnsi="Cambria"/>
          <w:sz w:val="20"/>
          <w:szCs w:val="20"/>
          <w:lang w:val="pt-BR"/>
        </w:rPr>
        <w:t xml:space="preserve">não compareceu </w:t>
      </w:r>
      <w:r w:rsidRPr="003F039E">
        <w:rPr>
          <w:rFonts w:ascii="Cambria" w:hAnsi="Cambria"/>
          <w:sz w:val="20"/>
          <w:szCs w:val="20"/>
          <w:lang w:val="pt-BR"/>
        </w:rPr>
        <w:t>à audiência</w:t>
      </w:r>
      <w:r w:rsidR="007A3994" w:rsidRPr="003F039E">
        <w:rPr>
          <w:rFonts w:ascii="Cambria" w:hAnsi="Cambria"/>
          <w:sz w:val="20"/>
          <w:szCs w:val="20"/>
          <w:lang w:val="pt-BR"/>
        </w:rPr>
        <w:t>. Em consequência</w:t>
      </w:r>
      <w:r w:rsidR="00673E1C" w:rsidRPr="003F039E">
        <w:rPr>
          <w:rFonts w:ascii="Cambria" w:hAnsi="Cambria"/>
          <w:sz w:val="20"/>
          <w:szCs w:val="20"/>
          <w:lang w:val="pt-BR"/>
        </w:rPr>
        <w:t xml:space="preserve">, </w:t>
      </w:r>
      <w:r w:rsidR="007A3994" w:rsidRPr="003F039E">
        <w:rPr>
          <w:rFonts w:ascii="Cambria" w:hAnsi="Cambria"/>
          <w:sz w:val="20"/>
          <w:szCs w:val="20"/>
          <w:lang w:val="pt-BR"/>
        </w:rPr>
        <w:t xml:space="preserve">o </w:t>
      </w:r>
      <w:r w:rsidR="00315288" w:rsidRPr="003F039E">
        <w:rPr>
          <w:rFonts w:ascii="Cambria" w:hAnsi="Cambria"/>
          <w:sz w:val="20"/>
          <w:szCs w:val="20"/>
          <w:lang w:val="pt-BR"/>
        </w:rPr>
        <w:t xml:space="preserve">procedimento </w:t>
      </w:r>
      <w:r w:rsidR="007A3994" w:rsidRPr="003F039E">
        <w:rPr>
          <w:rFonts w:ascii="Cambria" w:hAnsi="Cambria"/>
          <w:sz w:val="20"/>
          <w:szCs w:val="20"/>
          <w:lang w:val="pt-BR"/>
        </w:rPr>
        <w:t xml:space="preserve">foi arquivado </w:t>
      </w:r>
      <w:r w:rsidR="00315288" w:rsidRPr="003F039E">
        <w:rPr>
          <w:rFonts w:ascii="Cambria" w:hAnsi="Cambria"/>
          <w:sz w:val="20"/>
          <w:szCs w:val="20"/>
          <w:lang w:val="pt-BR"/>
        </w:rPr>
        <w:t>e</w:t>
      </w:r>
      <w:r w:rsidR="007A3994" w:rsidRPr="003F039E">
        <w:rPr>
          <w:rFonts w:ascii="Cambria" w:hAnsi="Cambria"/>
          <w:sz w:val="20"/>
          <w:szCs w:val="20"/>
          <w:lang w:val="pt-BR"/>
        </w:rPr>
        <w:t xml:space="preserve"> foi</w:t>
      </w:r>
      <w:r w:rsidR="00315288" w:rsidRPr="003F039E">
        <w:rPr>
          <w:rFonts w:ascii="Cambria" w:hAnsi="Cambria"/>
          <w:sz w:val="20"/>
          <w:szCs w:val="20"/>
          <w:lang w:val="pt-BR"/>
        </w:rPr>
        <w:t xml:space="preserve"> </w:t>
      </w:r>
      <w:r w:rsidR="00673E1C" w:rsidRPr="003F039E">
        <w:rPr>
          <w:rFonts w:ascii="Cambria" w:hAnsi="Cambria"/>
          <w:sz w:val="20"/>
          <w:szCs w:val="20"/>
          <w:lang w:val="pt-BR"/>
        </w:rPr>
        <w:t xml:space="preserve">concedida a liberdade ao agressor </w:t>
      </w:r>
      <w:r w:rsidR="005C1E05" w:rsidRPr="003F039E">
        <w:rPr>
          <w:rFonts w:ascii="Cambria" w:hAnsi="Cambria"/>
          <w:sz w:val="20"/>
          <w:szCs w:val="20"/>
          <w:lang w:val="pt-BR"/>
        </w:rPr>
        <w:t xml:space="preserve">em 17 de dezembro de 2009, </w:t>
      </w:r>
      <w:r w:rsidR="00673E1C" w:rsidRPr="003F039E">
        <w:rPr>
          <w:rFonts w:ascii="Cambria" w:hAnsi="Cambria"/>
          <w:sz w:val="20"/>
          <w:szCs w:val="20"/>
          <w:lang w:val="pt-BR"/>
        </w:rPr>
        <w:t xml:space="preserve">sem que a suposta vítima fosse comunicada. </w:t>
      </w:r>
    </w:p>
    <w:p w14:paraId="139FE72C" w14:textId="67474A22" w:rsidR="00673E1C" w:rsidRPr="00296739" w:rsidRDefault="00673E1C" w:rsidP="00673E1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296739">
        <w:rPr>
          <w:rFonts w:ascii="Cambria" w:hAnsi="Cambria"/>
          <w:sz w:val="20"/>
          <w:szCs w:val="20"/>
          <w:lang w:val="pt-BR"/>
        </w:rPr>
        <w:t xml:space="preserve">Em decorrência das novas ameaças e violências, a Sra. Semann mudou-se a diferentes cidades, </w:t>
      </w:r>
      <w:r w:rsidR="004753B3" w:rsidRPr="00296739">
        <w:rPr>
          <w:rFonts w:ascii="Cambria" w:hAnsi="Cambria"/>
          <w:sz w:val="20"/>
          <w:szCs w:val="20"/>
          <w:lang w:val="pt-BR"/>
        </w:rPr>
        <w:t xml:space="preserve">deixando seus filhos </w:t>
      </w:r>
      <w:r w:rsidR="00BA416D" w:rsidRPr="00296739">
        <w:rPr>
          <w:rFonts w:ascii="Cambria" w:hAnsi="Cambria"/>
          <w:sz w:val="20"/>
          <w:szCs w:val="20"/>
          <w:lang w:val="pt-BR"/>
        </w:rPr>
        <w:t>aos</w:t>
      </w:r>
      <w:r w:rsidR="004753B3" w:rsidRPr="00296739">
        <w:rPr>
          <w:rFonts w:ascii="Cambria" w:hAnsi="Cambria"/>
          <w:sz w:val="20"/>
          <w:szCs w:val="20"/>
          <w:lang w:val="pt-BR"/>
        </w:rPr>
        <w:t xml:space="preserve"> cuidados de parentes</w:t>
      </w:r>
      <w:r w:rsidRPr="00296739">
        <w:rPr>
          <w:rFonts w:ascii="Cambria" w:hAnsi="Cambria"/>
          <w:sz w:val="20"/>
          <w:szCs w:val="20"/>
          <w:lang w:val="pt-BR"/>
        </w:rPr>
        <w:t xml:space="preserve">. Ela teria apresentado duas novas denúncias, em 20 de janeiro de 18 de fevereiro de 2010. </w:t>
      </w:r>
      <w:r w:rsidR="00BB1CD5" w:rsidRPr="00296739">
        <w:rPr>
          <w:rFonts w:ascii="Cambria" w:hAnsi="Cambria"/>
          <w:sz w:val="20"/>
          <w:szCs w:val="20"/>
          <w:lang w:val="pt-BR"/>
        </w:rPr>
        <w:t xml:space="preserve">Afirma, no entanto, que nenhuma medida protetiva foi adotada pelo Estado. Finalmente, em 3 de março de 2010, a suposta vítima foi </w:t>
      </w:r>
      <w:r w:rsidR="00315288" w:rsidRPr="00296739">
        <w:rPr>
          <w:rFonts w:ascii="Cambria" w:hAnsi="Cambria"/>
          <w:sz w:val="20"/>
          <w:szCs w:val="20"/>
          <w:lang w:val="pt-BR"/>
        </w:rPr>
        <w:t xml:space="preserve">espancada e </w:t>
      </w:r>
      <w:r w:rsidR="00BB1CD5" w:rsidRPr="00296739">
        <w:rPr>
          <w:rFonts w:ascii="Cambria" w:hAnsi="Cambria"/>
          <w:sz w:val="20"/>
          <w:szCs w:val="20"/>
          <w:lang w:val="pt-BR"/>
        </w:rPr>
        <w:t xml:space="preserve">esfaqueada </w:t>
      </w:r>
      <w:r w:rsidR="00315288" w:rsidRPr="00296739">
        <w:rPr>
          <w:rFonts w:ascii="Cambria" w:hAnsi="Cambria"/>
          <w:sz w:val="20"/>
          <w:szCs w:val="20"/>
          <w:lang w:val="pt-BR"/>
        </w:rPr>
        <w:t xml:space="preserve">profundamente três vezes no abdome e três vezes entre o ombro e o braço </w:t>
      </w:r>
      <w:r w:rsidR="00BB1CD5" w:rsidRPr="00296739">
        <w:rPr>
          <w:rFonts w:ascii="Cambria" w:hAnsi="Cambria"/>
          <w:sz w:val="20"/>
          <w:szCs w:val="20"/>
          <w:lang w:val="pt-BR"/>
        </w:rPr>
        <w:t xml:space="preserve">pelo ex-companheiro em seu local de trabalho, </w:t>
      </w:r>
      <w:r w:rsidR="00BA416D" w:rsidRPr="00296739">
        <w:rPr>
          <w:rFonts w:ascii="Cambria" w:hAnsi="Cambria"/>
          <w:sz w:val="20"/>
          <w:szCs w:val="20"/>
          <w:lang w:val="pt-BR"/>
        </w:rPr>
        <w:t>fato</w:t>
      </w:r>
      <w:r w:rsidR="00BB1CD5" w:rsidRPr="00296739">
        <w:rPr>
          <w:rFonts w:ascii="Cambria" w:hAnsi="Cambria"/>
          <w:sz w:val="20"/>
          <w:szCs w:val="20"/>
          <w:lang w:val="pt-BR"/>
        </w:rPr>
        <w:t xml:space="preserve"> que gerou nova denúncia à polícia, sem </w:t>
      </w:r>
      <w:r w:rsidR="00BA416D" w:rsidRPr="00296739">
        <w:rPr>
          <w:rFonts w:ascii="Cambria" w:hAnsi="Cambria"/>
          <w:sz w:val="20"/>
          <w:szCs w:val="20"/>
          <w:lang w:val="pt-BR"/>
        </w:rPr>
        <w:t>impulsionar</w:t>
      </w:r>
      <w:r w:rsidR="00BB1CD5" w:rsidRPr="00296739">
        <w:rPr>
          <w:rFonts w:ascii="Cambria" w:hAnsi="Cambria"/>
          <w:sz w:val="20"/>
          <w:szCs w:val="20"/>
          <w:lang w:val="pt-BR"/>
        </w:rPr>
        <w:t xml:space="preserve">, no entanto, qualquer tipo de ação por parte do Estado. </w:t>
      </w:r>
      <w:r w:rsidR="00BA416D" w:rsidRPr="00296739">
        <w:rPr>
          <w:rFonts w:ascii="Cambria" w:hAnsi="Cambria"/>
          <w:sz w:val="20"/>
          <w:szCs w:val="20"/>
          <w:lang w:val="pt-BR"/>
        </w:rPr>
        <w:t>A</w:t>
      </w:r>
      <w:r w:rsidR="00BB1CD5" w:rsidRPr="00296739">
        <w:rPr>
          <w:rFonts w:ascii="Cambria" w:hAnsi="Cambria"/>
          <w:sz w:val="20"/>
          <w:szCs w:val="20"/>
          <w:lang w:val="pt-BR"/>
        </w:rPr>
        <w:t xml:space="preserve"> Sra. Semann </w:t>
      </w:r>
      <w:r w:rsidR="00BA416D" w:rsidRPr="00296739">
        <w:rPr>
          <w:rFonts w:ascii="Cambria" w:hAnsi="Cambria"/>
          <w:sz w:val="20"/>
          <w:szCs w:val="20"/>
          <w:lang w:val="pt-BR"/>
        </w:rPr>
        <w:t>teria</w:t>
      </w:r>
      <w:r w:rsidR="0026221E" w:rsidRPr="00296739">
        <w:rPr>
          <w:rFonts w:ascii="Cambria" w:hAnsi="Cambria"/>
          <w:sz w:val="20"/>
          <w:szCs w:val="20"/>
          <w:lang w:val="pt-BR"/>
        </w:rPr>
        <w:t xml:space="preserve"> sido</w:t>
      </w:r>
      <w:r w:rsidR="00BB1CD5" w:rsidRPr="00296739">
        <w:rPr>
          <w:rFonts w:ascii="Cambria" w:hAnsi="Cambria"/>
          <w:sz w:val="20"/>
          <w:szCs w:val="20"/>
          <w:lang w:val="pt-BR"/>
        </w:rPr>
        <w:t xml:space="preserve"> hospitalizada </w:t>
      </w:r>
      <w:r w:rsidR="00BA416D" w:rsidRPr="00296739">
        <w:rPr>
          <w:rFonts w:ascii="Cambria" w:hAnsi="Cambria"/>
          <w:sz w:val="20"/>
          <w:szCs w:val="20"/>
          <w:lang w:val="pt-BR"/>
        </w:rPr>
        <w:t xml:space="preserve">e submetida a procedimentos cirúrgicos </w:t>
      </w:r>
      <w:r w:rsidR="00BB1CD5" w:rsidRPr="00296739">
        <w:rPr>
          <w:rFonts w:ascii="Cambria" w:hAnsi="Cambria"/>
          <w:sz w:val="20"/>
          <w:szCs w:val="20"/>
          <w:lang w:val="pt-BR"/>
        </w:rPr>
        <w:t>em razão dos graves ferimentos</w:t>
      </w:r>
      <w:r w:rsidR="00BA416D" w:rsidRPr="00296739">
        <w:rPr>
          <w:rFonts w:ascii="Cambria" w:hAnsi="Cambria"/>
          <w:sz w:val="20"/>
          <w:szCs w:val="20"/>
          <w:lang w:val="pt-BR"/>
        </w:rPr>
        <w:t xml:space="preserve"> sofridos</w:t>
      </w:r>
      <w:r w:rsidR="00315288" w:rsidRPr="00296739">
        <w:rPr>
          <w:rFonts w:ascii="Cambria" w:hAnsi="Cambria"/>
          <w:sz w:val="20"/>
          <w:szCs w:val="20"/>
          <w:lang w:val="pt-BR"/>
        </w:rPr>
        <w:t>.</w:t>
      </w:r>
      <w:r w:rsidR="00296739" w:rsidRPr="00296739">
        <w:rPr>
          <w:rFonts w:ascii="Cambria" w:hAnsi="Cambria"/>
          <w:sz w:val="20"/>
          <w:szCs w:val="20"/>
          <w:lang w:val="pt-BR"/>
        </w:rPr>
        <w:t xml:space="preserve"> Menciona que apesar de ter solicitado, as autoridades não lhe brindaram proteção enquanto estava internada apesar das ameaças. </w:t>
      </w:r>
      <w:r w:rsidR="00315288" w:rsidRPr="00296739">
        <w:rPr>
          <w:rFonts w:ascii="Cambria" w:hAnsi="Cambria"/>
          <w:sz w:val="20"/>
          <w:szCs w:val="20"/>
          <w:lang w:val="pt-BR"/>
        </w:rPr>
        <w:t xml:space="preserve">Adiciona, ainda, que Semar </w:t>
      </w:r>
      <w:r w:rsidR="00D77E94" w:rsidRPr="00296739">
        <w:rPr>
          <w:rFonts w:ascii="Cambria" w:hAnsi="Cambria"/>
          <w:sz w:val="20"/>
          <w:szCs w:val="20"/>
          <w:lang w:val="pt-BR"/>
        </w:rPr>
        <w:t>foi à casa da mãe da suposta vítima para ameaça-las de morte.</w:t>
      </w:r>
    </w:p>
    <w:p w14:paraId="1FD496AC" w14:textId="766694A8" w:rsidR="008B1152" w:rsidRPr="00A45EB0" w:rsidRDefault="00BA416D" w:rsidP="00A45EB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Pr>
          <w:rFonts w:ascii="Cambria" w:hAnsi="Cambria"/>
          <w:sz w:val="20"/>
          <w:szCs w:val="20"/>
          <w:lang w:val="pt-BR"/>
        </w:rPr>
        <w:t>Em</w:t>
      </w:r>
      <w:r w:rsidR="00A45EB0">
        <w:rPr>
          <w:rFonts w:ascii="Cambria" w:hAnsi="Cambria"/>
          <w:sz w:val="20"/>
          <w:szCs w:val="20"/>
          <w:lang w:val="pt-BR"/>
        </w:rPr>
        <w:t xml:space="preserve"> </w:t>
      </w:r>
      <w:r w:rsidR="00BC1EEE">
        <w:rPr>
          <w:rFonts w:ascii="Cambria" w:hAnsi="Cambria"/>
          <w:sz w:val="20"/>
          <w:szCs w:val="20"/>
          <w:lang w:val="pt-BR"/>
        </w:rPr>
        <w:t xml:space="preserve">7 de dezembro de </w:t>
      </w:r>
      <w:r w:rsidR="00A45EB0">
        <w:rPr>
          <w:rFonts w:ascii="Cambria" w:hAnsi="Cambria"/>
          <w:sz w:val="20"/>
          <w:szCs w:val="20"/>
          <w:lang w:val="pt-BR"/>
        </w:rPr>
        <w:t>2011,</w:t>
      </w:r>
      <w:r w:rsidR="005C1E05" w:rsidRPr="008B1152">
        <w:rPr>
          <w:rFonts w:ascii="Cambria" w:hAnsi="Cambria"/>
          <w:sz w:val="20"/>
          <w:szCs w:val="20"/>
          <w:lang w:val="pt-BR"/>
        </w:rPr>
        <w:t xml:space="preserve"> a suposta vítima iniciou uma </w:t>
      </w:r>
      <w:r>
        <w:rPr>
          <w:rFonts w:ascii="Cambria" w:hAnsi="Cambria"/>
          <w:sz w:val="20"/>
          <w:szCs w:val="20"/>
          <w:lang w:val="pt-BR"/>
        </w:rPr>
        <w:t>ação de indenização</w:t>
      </w:r>
      <w:r w:rsidR="005C1E05" w:rsidRPr="008B1152">
        <w:rPr>
          <w:rFonts w:ascii="Cambria" w:hAnsi="Cambria"/>
          <w:sz w:val="20"/>
          <w:szCs w:val="20"/>
          <w:lang w:val="pt-BR"/>
        </w:rPr>
        <w:t xml:space="preserve"> contra o Estado de Santa Catarina em razão </w:t>
      </w:r>
      <w:r w:rsidR="00B73969" w:rsidRPr="008B1152">
        <w:rPr>
          <w:rFonts w:ascii="Cambria" w:hAnsi="Cambria"/>
          <w:sz w:val="20"/>
          <w:szCs w:val="20"/>
          <w:lang w:val="pt-BR"/>
        </w:rPr>
        <w:t xml:space="preserve">da omissão das autoridades em adotar medidas para garantir </w:t>
      </w:r>
      <w:r>
        <w:rPr>
          <w:rFonts w:ascii="Cambria" w:hAnsi="Cambria"/>
          <w:sz w:val="20"/>
          <w:szCs w:val="20"/>
          <w:lang w:val="pt-BR"/>
        </w:rPr>
        <w:t xml:space="preserve">a </w:t>
      </w:r>
      <w:r w:rsidR="00B73969" w:rsidRPr="008B1152">
        <w:rPr>
          <w:rFonts w:ascii="Cambria" w:hAnsi="Cambria"/>
          <w:sz w:val="20"/>
          <w:szCs w:val="20"/>
          <w:lang w:val="pt-BR"/>
        </w:rPr>
        <w:t xml:space="preserve">sua segurança. </w:t>
      </w:r>
      <w:r w:rsidR="008B1152" w:rsidRPr="008B1152">
        <w:rPr>
          <w:rFonts w:ascii="Cambria" w:hAnsi="Cambria"/>
          <w:sz w:val="20"/>
          <w:szCs w:val="20"/>
          <w:lang w:val="pt-BR"/>
        </w:rPr>
        <w:t>Afirma, contudo</w:t>
      </w:r>
      <w:r w:rsidR="005C1E05" w:rsidRPr="008B1152">
        <w:rPr>
          <w:rFonts w:ascii="Cambria" w:hAnsi="Cambria"/>
          <w:sz w:val="20"/>
          <w:szCs w:val="20"/>
          <w:lang w:val="pt-BR"/>
        </w:rPr>
        <w:t xml:space="preserve">, que a ação foi julgada antecipadamente, sem produção de provas e </w:t>
      </w:r>
      <w:r w:rsidR="00B73969" w:rsidRPr="008B1152">
        <w:rPr>
          <w:rFonts w:ascii="Cambria" w:hAnsi="Cambria"/>
          <w:sz w:val="20"/>
          <w:szCs w:val="20"/>
          <w:lang w:val="pt-BR"/>
        </w:rPr>
        <w:t xml:space="preserve">avalizando a posição do Estado de que em razão de suas mudanças de cidade, a polícia não a podia localizar. </w:t>
      </w:r>
      <w:r w:rsidR="008B1152" w:rsidRPr="008B1152">
        <w:rPr>
          <w:rFonts w:ascii="Cambria" w:hAnsi="Cambria"/>
          <w:sz w:val="20"/>
          <w:szCs w:val="20"/>
          <w:lang w:val="pt-BR"/>
        </w:rPr>
        <w:t>O peticionário aponta, em contrapartida, que a Sra. Semann comparecia sempre às delegacias de polícia para verificar o andamento das denúncias. A ação teria sido negada em primeira</w:t>
      </w:r>
      <w:r>
        <w:rPr>
          <w:rFonts w:ascii="Cambria" w:hAnsi="Cambria"/>
          <w:sz w:val="20"/>
          <w:szCs w:val="20"/>
          <w:lang w:val="pt-BR"/>
        </w:rPr>
        <w:t xml:space="preserve"> instância</w:t>
      </w:r>
      <w:r w:rsidR="008B1152" w:rsidRPr="008B1152">
        <w:rPr>
          <w:rFonts w:ascii="Cambria" w:hAnsi="Cambria"/>
          <w:sz w:val="20"/>
          <w:szCs w:val="20"/>
          <w:lang w:val="pt-BR"/>
        </w:rPr>
        <w:t xml:space="preserve"> por decisão proferida em </w:t>
      </w:r>
      <w:r w:rsidR="00A45EB0">
        <w:rPr>
          <w:rFonts w:ascii="Cambria" w:hAnsi="Cambria"/>
          <w:sz w:val="20"/>
          <w:szCs w:val="20"/>
          <w:lang w:val="pt-BR"/>
        </w:rPr>
        <w:t>19 de setembro de 2012</w:t>
      </w:r>
      <w:r w:rsidR="008B1152" w:rsidRPr="008B1152">
        <w:rPr>
          <w:rFonts w:ascii="Cambria" w:hAnsi="Cambria"/>
          <w:sz w:val="20"/>
          <w:szCs w:val="20"/>
          <w:lang w:val="pt-BR"/>
        </w:rPr>
        <w:t>, bem como em segunda inst</w:t>
      </w:r>
      <w:r w:rsidR="008B1152">
        <w:rPr>
          <w:rFonts w:ascii="Cambria" w:hAnsi="Cambria"/>
          <w:sz w:val="20"/>
          <w:szCs w:val="20"/>
          <w:lang w:val="pt-BR"/>
        </w:rPr>
        <w:t>ância, por decisão de 22 de setembro de 2013</w:t>
      </w:r>
      <w:r w:rsidR="008B1152" w:rsidRPr="008B1152">
        <w:rPr>
          <w:rFonts w:ascii="Cambria" w:hAnsi="Cambria"/>
          <w:sz w:val="20"/>
          <w:szCs w:val="20"/>
          <w:lang w:val="pt-BR"/>
        </w:rPr>
        <w:t xml:space="preserve">, </w:t>
      </w:r>
      <w:r w:rsidR="00A45EB0">
        <w:rPr>
          <w:rFonts w:ascii="Cambria" w:hAnsi="Cambria"/>
          <w:sz w:val="20"/>
          <w:szCs w:val="20"/>
          <w:lang w:val="pt-BR"/>
        </w:rPr>
        <w:t xml:space="preserve">sob os argumentos de que a culpa </w:t>
      </w:r>
      <w:r>
        <w:rPr>
          <w:rFonts w:ascii="Cambria" w:hAnsi="Cambria"/>
          <w:sz w:val="20"/>
          <w:szCs w:val="20"/>
          <w:lang w:val="pt-BR"/>
        </w:rPr>
        <w:t>foi</w:t>
      </w:r>
      <w:r w:rsidR="00A45EB0">
        <w:rPr>
          <w:rFonts w:ascii="Cambria" w:hAnsi="Cambria"/>
          <w:sz w:val="20"/>
          <w:szCs w:val="20"/>
          <w:lang w:val="pt-BR"/>
        </w:rPr>
        <w:t xml:space="preserve"> exclusiva do </w:t>
      </w:r>
      <w:r>
        <w:rPr>
          <w:rFonts w:ascii="Cambria" w:hAnsi="Cambria"/>
          <w:sz w:val="20"/>
          <w:szCs w:val="20"/>
          <w:lang w:val="pt-BR"/>
        </w:rPr>
        <w:t>agressor</w:t>
      </w:r>
      <w:r w:rsidR="00A45EB0">
        <w:rPr>
          <w:rFonts w:ascii="Cambria" w:hAnsi="Cambria"/>
          <w:sz w:val="20"/>
          <w:szCs w:val="20"/>
          <w:lang w:val="pt-BR"/>
        </w:rPr>
        <w:t>, não sendo poss</w:t>
      </w:r>
      <w:r>
        <w:rPr>
          <w:rFonts w:ascii="Cambria" w:hAnsi="Cambria"/>
          <w:sz w:val="20"/>
          <w:szCs w:val="20"/>
          <w:lang w:val="pt-BR"/>
        </w:rPr>
        <w:t>ível</w:t>
      </w:r>
      <w:r w:rsidR="00A45EB0">
        <w:rPr>
          <w:rFonts w:ascii="Cambria" w:hAnsi="Cambria"/>
          <w:sz w:val="20"/>
          <w:szCs w:val="20"/>
          <w:lang w:val="pt-BR"/>
        </w:rPr>
        <w:t xml:space="preserve"> </w:t>
      </w:r>
      <w:r w:rsidR="00EC77D3">
        <w:rPr>
          <w:rFonts w:ascii="Cambria" w:hAnsi="Cambria"/>
          <w:sz w:val="20"/>
          <w:szCs w:val="20"/>
          <w:lang w:val="pt-BR"/>
        </w:rPr>
        <w:t xml:space="preserve">identificar responsabilidade do Estado ao </w:t>
      </w:r>
      <w:r w:rsidR="008B1152" w:rsidRPr="00A45EB0">
        <w:rPr>
          <w:rFonts w:ascii="Cambria" w:hAnsi="Cambria"/>
          <w:sz w:val="20"/>
          <w:szCs w:val="20"/>
          <w:lang w:val="pt-BR"/>
        </w:rPr>
        <w:t>exigi</w:t>
      </w:r>
      <w:r>
        <w:rPr>
          <w:rFonts w:ascii="Cambria" w:hAnsi="Cambria"/>
          <w:sz w:val="20"/>
          <w:szCs w:val="20"/>
          <w:lang w:val="pt-BR"/>
        </w:rPr>
        <w:t>r a</w:t>
      </w:r>
      <w:r w:rsidR="008B1152" w:rsidRPr="00A45EB0">
        <w:rPr>
          <w:rFonts w:ascii="Cambria" w:hAnsi="Cambria"/>
          <w:sz w:val="20"/>
          <w:szCs w:val="20"/>
          <w:lang w:val="pt-BR"/>
        </w:rPr>
        <w:t xml:space="preserve"> onipresença das autoridades.</w:t>
      </w:r>
    </w:p>
    <w:p w14:paraId="0A2D3451" w14:textId="156A23A9" w:rsidR="002F194E" w:rsidRDefault="002F194E" w:rsidP="00673E1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BC1EEE">
        <w:rPr>
          <w:rFonts w:ascii="Cambria" w:hAnsi="Cambria"/>
          <w:sz w:val="20"/>
          <w:szCs w:val="20"/>
          <w:lang w:val="pt-BR"/>
        </w:rPr>
        <w:t xml:space="preserve">O Estado, por sua vez, </w:t>
      </w:r>
      <w:r w:rsidR="006C36F0" w:rsidRPr="00BC1EEE">
        <w:rPr>
          <w:rFonts w:ascii="Cambria" w:hAnsi="Cambria"/>
          <w:sz w:val="20"/>
          <w:szCs w:val="20"/>
          <w:lang w:val="pt-BR"/>
        </w:rPr>
        <w:t>alega que a petição não contém pedidos específicos conforme prevê o Regulamento da Comissão, impedindo seu direito à ampla defesa</w:t>
      </w:r>
      <w:r w:rsidR="00BC1EEE" w:rsidRPr="00BC1EEE">
        <w:rPr>
          <w:rFonts w:ascii="Cambria" w:hAnsi="Cambria"/>
          <w:sz w:val="20"/>
          <w:szCs w:val="20"/>
          <w:lang w:val="pt-BR"/>
        </w:rPr>
        <w:t xml:space="preserve">. </w:t>
      </w:r>
      <w:r w:rsidR="00BA416D">
        <w:rPr>
          <w:rFonts w:ascii="Cambria" w:hAnsi="Cambria"/>
          <w:sz w:val="20"/>
          <w:szCs w:val="20"/>
          <w:lang w:val="pt-BR"/>
        </w:rPr>
        <w:t>Alega</w:t>
      </w:r>
      <w:r w:rsidR="00BC1EEE" w:rsidRPr="00BC1EEE">
        <w:rPr>
          <w:rFonts w:ascii="Cambria" w:hAnsi="Cambria"/>
          <w:sz w:val="20"/>
          <w:szCs w:val="20"/>
          <w:lang w:val="pt-BR"/>
        </w:rPr>
        <w:t xml:space="preserve"> </w:t>
      </w:r>
      <w:r w:rsidR="006C36F0" w:rsidRPr="00BC1EEE">
        <w:rPr>
          <w:rFonts w:ascii="Cambria" w:hAnsi="Cambria"/>
          <w:sz w:val="20"/>
          <w:szCs w:val="20"/>
          <w:lang w:val="pt-BR"/>
        </w:rPr>
        <w:t>o não esgotamento dos recursos internos, tendo em vista que recursos apresentados pela suposta vítima</w:t>
      </w:r>
      <w:r w:rsidR="00BA416D">
        <w:rPr>
          <w:rFonts w:ascii="Cambria" w:hAnsi="Cambria"/>
          <w:sz w:val="20"/>
          <w:szCs w:val="20"/>
          <w:lang w:val="pt-BR"/>
        </w:rPr>
        <w:t xml:space="preserve"> na ação de indenização</w:t>
      </w:r>
      <w:r w:rsidR="006C36F0" w:rsidRPr="00BC1EEE">
        <w:rPr>
          <w:rFonts w:ascii="Cambria" w:hAnsi="Cambria"/>
          <w:sz w:val="20"/>
          <w:szCs w:val="20"/>
          <w:lang w:val="pt-BR"/>
        </w:rPr>
        <w:t xml:space="preserve"> seguiriam pendentes de julgamento.</w:t>
      </w:r>
      <w:r w:rsidR="00BC1EEE" w:rsidRPr="00BC1EEE">
        <w:rPr>
          <w:rFonts w:ascii="Cambria" w:hAnsi="Cambria"/>
          <w:sz w:val="20"/>
          <w:szCs w:val="20"/>
          <w:lang w:val="pt-BR"/>
        </w:rPr>
        <w:t xml:space="preserve"> Adicionalmente, afirma que a instância internacional foi acionada antes que a suposta vítima apresentasse a </w:t>
      </w:r>
      <w:r w:rsidR="00BA416D">
        <w:rPr>
          <w:rFonts w:ascii="Cambria" w:hAnsi="Cambria"/>
          <w:sz w:val="20"/>
          <w:szCs w:val="20"/>
          <w:lang w:val="pt-BR"/>
        </w:rPr>
        <w:t>ação de indenização</w:t>
      </w:r>
      <w:r w:rsidR="00BC1EEE" w:rsidRPr="00BC1EEE">
        <w:rPr>
          <w:rFonts w:ascii="Cambria" w:hAnsi="Cambria"/>
          <w:sz w:val="20"/>
          <w:szCs w:val="20"/>
          <w:lang w:val="pt-BR"/>
        </w:rPr>
        <w:t xml:space="preserve"> no âmbito interno, impedindo, </w:t>
      </w:r>
      <w:r w:rsidR="00BA416D">
        <w:rPr>
          <w:rFonts w:ascii="Cambria" w:hAnsi="Cambria"/>
          <w:sz w:val="20"/>
          <w:szCs w:val="20"/>
          <w:lang w:val="pt-BR"/>
        </w:rPr>
        <w:t xml:space="preserve">dessa maneira, </w:t>
      </w:r>
      <w:r w:rsidR="00BC1EEE" w:rsidRPr="00BC1EEE">
        <w:rPr>
          <w:rFonts w:ascii="Cambria" w:hAnsi="Cambria"/>
          <w:sz w:val="20"/>
          <w:szCs w:val="20"/>
          <w:lang w:val="pt-BR"/>
        </w:rPr>
        <w:t xml:space="preserve">que o Estado conhecesse do pedido. </w:t>
      </w:r>
      <w:r w:rsidR="00741306">
        <w:rPr>
          <w:rFonts w:ascii="Cambria" w:hAnsi="Cambria"/>
          <w:sz w:val="20"/>
          <w:szCs w:val="20"/>
          <w:lang w:val="pt-BR"/>
        </w:rPr>
        <w:t>Sustenta</w:t>
      </w:r>
      <w:r w:rsidR="00BC1EEE" w:rsidRPr="00BC1EEE">
        <w:rPr>
          <w:rFonts w:ascii="Cambria" w:hAnsi="Cambria"/>
          <w:sz w:val="20"/>
          <w:szCs w:val="20"/>
          <w:lang w:val="pt-BR"/>
        </w:rPr>
        <w:t xml:space="preserve">, em suma, que a </w:t>
      </w:r>
      <w:r w:rsidR="006C36F0" w:rsidRPr="00BC1EEE">
        <w:rPr>
          <w:rFonts w:ascii="Cambria" w:hAnsi="Cambria"/>
          <w:sz w:val="20"/>
          <w:szCs w:val="20"/>
          <w:lang w:val="pt-BR"/>
        </w:rPr>
        <w:t xml:space="preserve">suposta vítima busca o </w:t>
      </w:r>
      <w:r w:rsidR="00741306">
        <w:rPr>
          <w:rFonts w:ascii="Cambria" w:hAnsi="Cambria"/>
          <w:sz w:val="20"/>
          <w:szCs w:val="20"/>
          <w:lang w:val="pt-BR"/>
        </w:rPr>
        <w:t>sistema interamericano</w:t>
      </w:r>
      <w:r w:rsidR="006C36F0" w:rsidRPr="00BC1EEE">
        <w:rPr>
          <w:rFonts w:ascii="Cambria" w:hAnsi="Cambria"/>
          <w:sz w:val="20"/>
          <w:szCs w:val="20"/>
          <w:lang w:val="pt-BR"/>
        </w:rPr>
        <w:t xml:space="preserve"> com a intenção de revisar as decisões adotadas no âmbito interno.</w:t>
      </w:r>
    </w:p>
    <w:p w14:paraId="165122E7" w14:textId="12A7C763" w:rsidR="00BC1EEE" w:rsidRPr="00BC1EEE" w:rsidRDefault="00741306" w:rsidP="00673E1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Pr>
          <w:rFonts w:ascii="Cambria" w:hAnsi="Cambria"/>
          <w:sz w:val="20"/>
          <w:szCs w:val="20"/>
          <w:lang w:val="pt-BR"/>
        </w:rPr>
        <w:t>Esclarece também</w:t>
      </w:r>
      <w:r w:rsidR="00BC1EEE">
        <w:rPr>
          <w:rFonts w:ascii="Cambria" w:hAnsi="Cambria"/>
          <w:sz w:val="20"/>
          <w:szCs w:val="20"/>
          <w:lang w:val="pt-BR"/>
        </w:rPr>
        <w:t xml:space="preserve"> que uma ação penal </w:t>
      </w:r>
      <w:r w:rsidR="00D921E5">
        <w:rPr>
          <w:rFonts w:ascii="Cambria" w:hAnsi="Cambria"/>
          <w:sz w:val="20"/>
          <w:szCs w:val="20"/>
          <w:lang w:val="pt-BR"/>
        </w:rPr>
        <w:t xml:space="preserve">por homicídio qualificado tentado </w:t>
      </w:r>
      <w:r w:rsidR="00BC1EEE">
        <w:rPr>
          <w:rFonts w:ascii="Cambria" w:hAnsi="Cambria"/>
          <w:sz w:val="20"/>
          <w:szCs w:val="20"/>
          <w:lang w:val="pt-BR"/>
        </w:rPr>
        <w:t xml:space="preserve">foi instaurada contra o ex-companheiro da suposta vítima ainda em 2010. Semar de Souza teria sido preso preventivamente </w:t>
      </w:r>
      <w:r>
        <w:rPr>
          <w:rFonts w:ascii="Cambria" w:hAnsi="Cambria"/>
          <w:sz w:val="20"/>
          <w:szCs w:val="20"/>
          <w:lang w:val="pt-BR"/>
        </w:rPr>
        <w:t>em 24 de março de 2010, e</w:t>
      </w:r>
      <w:r w:rsidR="00BC1EEE">
        <w:rPr>
          <w:rFonts w:ascii="Cambria" w:hAnsi="Cambria"/>
          <w:sz w:val="20"/>
          <w:szCs w:val="20"/>
          <w:lang w:val="pt-BR"/>
        </w:rPr>
        <w:t xml:space="preserve"> condenado em 30 de março de 2012 a uma pena de 10 anos e 27 dias de reclusão por tentativa de homicídio. </w:t>
      </w:r>
      <w:r>
        <w:rPr>
          <w:rFonts w:ascii="Cambria" w:hAnsi="Cambria"/>
          <w:sz w:val="20"/>
          <w:szCs w:val="20"/>
          <w:lang w:val="pt-BR"/>
        </w:rPr>
        <w:t>A</w:t>
      </w:r>
      <w:r w:rsidR="00BC1EEE">
        <w:rPr>
          <w:rFonts w:ascii="Cambria" w:hAnsi="Cambria"/>
          <w:sz w:val="20"/>
          <w:szCs w:val="20"/>
          <w:lang w:val="pt-BR"/>
        </w:rPr>
        <w:t xml:space="preserve"> ação transitou em julgado em 18 de julho de 2012, ap</w:t>
      </w:r>
      <w:r>
        <w:rPr>
          <w:rFonts w:ascii="Cambria" w:hAnsi="Cambria"/>
          <w:sz w:val="20"/>
          <w:szCs w:val="20"/>
          <w:lang w:val="pt-BR"/>
        </w:rPr>
        <w:t xml:space="preserve">ós </w:t>
      </w:r>
      <w:r w:rsidR="00D921E5">
        <w:rPr>
          <w:rFonts w:ascii="Cambria" w:hAnsi="Cambria"/>
          <w:sz w:val="20"/>
          <w:szCs w:val="20"/>
          <w:lang w:val="pt-BR"/>
        </w:rPr>
        <w:t>o</w:t>
      </w:r>
      <w:r>
        <w:rPr>
          <w:rFonts w:ascii="Cambria" w:hAnsi="Cambria"/>
          <w:sz w:val="20"/>
          <w:szCs w:val="20"/>
          <w:lang w:val="pt-BR"/>
        </w:rPr>
        <w:t xml:space="preserve"> recurso de apelação</w:t>
      </w:r>
      <w:r w:rsidR="00D921E5">
        <w:rPr>
          <w:rFonts w:ascii="Cambria" w:hAnsi="Cambria"/>
          <w:sz w:val="20"/>
          <w:szCs w:val="20"/>
          <w:lang w:val="pt-BR"/>
        </w:rPr>
        <w:t xml:space="preserve"> que discutia a dosimetria da pena aplicada ter sido</w:t>
      </w:r>
      <w:r>
        <w:rPr>
          <w:rFonts w:ascii="Cambria" w:hAnsi="Cambria"/>
          <w:sz w:val="20"/>
          <w:szCs w:val="20"/>
          <w:lang w:val="pt-BR"/>
        </w:rPr>
        <w:t xml:space="preserve"> </w:t>
      </w:r>
      <w:r w:rsidR="00314414">
        <w:rPr>
          <w:rFonts w:ascii="Cambria" w:hAnsi="Cambria"/>
          <w:sz w:val="20"/>
          <w:szCs w:val="20"/>
          <w:lang w:val="pt-BR"/>
        </w:rPr>
        <w:t>negado</w:t>
      </w:r>
      <w:r w:rsidR="00D921E5">
        <w:rPr>
          <w:rFonts w:ascii="Cambria" w:hAnsi="Cambria"/>
          <w:sz w:val="20"/>
          <w:szCs w:val="20"/>
          <w:lang w:val="pt-BR"/>
        </w:rPr>
        <w:t>, confirmando a condenação.</w:t>
      </w:r>
    </w:p>
    <w:p w14:paraId="6F4D4171" w14:textId="5172C05C" w:rsidR="003239B8" w:rsidRPr="00673E1C" w:rsidRDefault="00673E1C" w:rsidP="00BC1EE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sz w:val="20"/>
          <w:szCs w:val="20"/>
          <w:lang w:val="pt-BR"/>
        </w:rPr>
      </w:pPr>
      <w:r w:rsidRPr="00673E1C">
        <w:rPr>
          <w:rFonts w:ascii="Cambria" w:hAnsi="Cambria"/>
          <w:sz w:val="20"/>
          <w:szCs w:val="20"/>
          <w:lang w:val="pt-BR"/>
        </w:rPr>
        <w:t xml:space="preserve"> </w:t>
      </w:r>
      <w:r w:rsidR="003239B8" w:rsidRPr="00673E1C">
        <w:rPr>
          <w:rFonts w:asciiTheme="majorHAnsi" w:eastAsia="Cambria" w:hAnsiTheme="majorHAnsi" w:cs="Cambria"/>
          <w:b/>
          <w:bCs/>
          <w:color w:val="000000"/>
          <w:sz w:val="20"/>
          <w:szCs w:val="20"/>
          <w:u w:color="000000"/>
          <w:lang w:val="pt-BR" w:eastAsia="es-ES"/>
        </w:rPr>
        <w:t>VI.</w:t>
      </w:r>
      <w:r w:rsidR="003239B8" w:rsidRPr="00673E1C">
        <w:rPr>
          <w:rFonts w:asciiTheme="majorHAnsi" w:eastAsia="Cambria" w:hAnsiTheme="majorHAnsi" w:cs="Cambria"/>
          <w:b/>
          <w:bCs/>
          <w:color w:val="000000"/>
          <w:sz w:val="20"/>
          <w:szCs w:val="20"/>
          <w:u w:color="000000"/>
          <w:lang w:val="pt-BR" w:eastAsia="es-ES"/>
        </w:rPr>
        <w:tab/>
      </w:r>
      <w:r w:rsidR="00D21316" w:rsidRPr="00673E1C">
        <w:rPr>
          <w:rFonts w:asciiTheme="majorHAnsi" w:hAnsiTheme="majorHAnsi"/>
          <w:b/>
          <w:bCs/>
          <w:sz w:val="20"/>
          <w:szCs w:val="20"/>
          <w:lang w:val="pt-BR"/>
        </w:rPr>
        <w:t>ANÁLISE</w:t>
      </w:r>
      <w:r w:rsidR="004A6A54" w:rsidRPr="00673E1C">
        <w:rPr>
          <w:rFonts w:asciiTheme="majorHAnsi" w:hAnsiTheme="majorHAnsi"/>
          <w:b/>
          <w:bCs/>
          <w:sz w:val="20"/>
          <w:szCs w:val="20"/>
          <w:lang w:val="pt-BR"/>
        </w:rPr>
        <w:t xml:space="preserve"> DE </w:t>
      </w:r>
      <w:r w:rsidR="00D21316" w:rsidRPr="00673E1C">
        <w:rPr>
          <w:rFonts w:asciiTheme="majorHAnsi" w:hAnsiTheme="majorHAnsi"/>
          <w:b/>
          <w:sz w:val="20"/>
          <w:szCs w:val="20"/>
          <w:lang w:val="pt-BR"/>
        </w:rPr>
        <w:t>ESGOTAM</w:t>
      </w:r>
      <w:r w:rsidR="00C21FEF" w:rsidRPr="00673E1C">
        <w:rPr>
          <w:rFonts w:asciiTheme="majorHAnsi" w:hAnsiTheme="majorHAnsi"/>
          <w:b/>
          <w:sz w:val="20"/>
          <w:szCs w:val="20"/>
          <w:lang w:val="pt-BR"/>
        </w:rPr>
        <w:t xml:space="preserve">ENTO </w:t>
      </w:r>
      <w:r w:rsidR="00D21316" w:rsidRPr="00673E1C">
        <w:rPr>
          <w:rFonts w:asciiTheme="majorHAnsi" w:hAnsiTheme="majorHAnsi"/>
          <w:b/>
          <w:sz w:val="20"/>
          <w:szCs w:val="20"/>
          <w:lang w:val="pt-BR"/>
        </w:rPr>
        <w:t>DOS</w:t>
      </w:r>
      <w:r w:rsidR="00C21FEF" w:rsidRPr="00673E1C">
        <w:rPr>
          <w:rFonts w:asciiTheme="majorHAnsi" w:hAnsiTheme="majorHAnsi"/>
          <w:b/>
          <w:sz w:val="20"/>
          <w:szCs w:val="20"/>
          <w:lang w:val="pt-BR"/>
        </w:rPr>
        <w:t xml:space="preserve"> RECURSOS INTERNOS</w:t>
      </w:r>
      <w:r w:rsidR="00D21316" w:rsidRPr="00673E1C">
        <w:rPr>
          <w:rFonts w:asciiTheme="majorHAnsi" w:hAnsiTheme="majorHAnsi"/>
          <w:b/>
          <w:sz w:val="20"/>
          <w:szCs w:val="20"/>
          <w:lang w:val="pt-BR"/>
        </w:rPr>
        <w:t xml:space="preserve"> E PR</w:t>
      </w:r>
      <w:r w:rsidR="00C21FEF" w:rsidRPr="00673E1C">
        <w:rPr>
          <w:rFonts w:asciiTheme="majorHAnsi" w:hAnsiTheme="majorHAnsi"/>
          <w:b/>
          <w:sz w:val="20"/>
          <w:szCs w:val="20"/>
          <w:lang w:val="pt-BR"/>
        </w:rPr>
        <w:t xml:space="preserve">AZO DE </w:t>
      </w:r>
      <w:r w:rsidR="00D21316" w:rsidRPr="00673E1C">
        <w:rPr>
          <w:rFonts w:asciiTheme="majorHAnsi" w:hAnsiTheme="majorHAnsi"/>
          <w:b/>
          <w:sz w:val="20"/>
          <w:szCs w:val="20"/>
          <w:lang w:val="pt-BR"/>
        </w:rPr>
        <w:t>APRESENTAÇÃO</w:t>
      </w:r>
      <w:r w:rsidR="00C21FEF" w:rsidRPr="00673E1C">
        <w:rPr>
          <w:rFonts w:asciiTheme="majorHAnsi" w:eastAsia="Cambria" w:hAnsiTheme="majorHAnsi" w:cs="Cambria"/>
          <w:b/>
          <w:bCs/>
          <w:color w:val="000000"/>
          <w:sz w:val="20"/>
          <w:szCs w:val="20"/>
          <w:u w:color="000000"/>
          <w:lang w:val="pt-BR" w:eastAsia="es-ES"/>
        </w:rPr>
        <w:t xml:space="preserve"> </w:t>
      </w:r>
    </w:p>
    <w:p w14:paraId="01D47E3F" w14:textId="06CADB18" w:rsidR="003239B8" w:rsidRDefault="0033543F" w:rsidP="002866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Pr>
          <w:rFonts w:ascii="Cambria" w:hAnsi="Cambria"/>
          <w:sz w:val="20"/>
          <w:szCs w:val="20"/>
          <w:lang w:val="pt-BR"/>
        </w:rPr>
        <w:t xml:space="preserve">O peticionário apresenta a petição em razão da omissão do Estado em proteger a integridade física da suposta vítima, apesar das diversas denúncias apresentadas às autoridades policiais. O Estado, </w:t>
      </w:r>
      <w:r w:rsidR="00286661">
        <w:rPr>
          <w:rFonts w:ascii="Cambria" w:hAnsi="Cambria"/>
          <w:sz w:val="20"/>
          <w:szCs w:val="20"/>
          <w:lang w:val="pt-BR"/>
        </w:rPr>
        <w:t xml:space="preserve">por sua vez, informa que adotou todas as medidas necessárias para responsabilizar o acusado, resultando em sua efetiva condenação judicial. Adicionalmente, afirma </w:t>
      </w:r>
      <w:r w:rsidRPr="00286661">
        <w:rPr>
          <w:rFonts w:ascii="Cambria" w:hAnsi="Cambria"/>
          <w:sz w:val="20"/>
          <w:szCs w:val="20"/>
          <w:lang w:val="pt-BR"/>
        </w:rPr>
        <w:t xml:space="preserve">que os recursos internos não foram esgotados em relação à ação de indenização e que a presente petição foi apresentada à Comissão antes </w:t>
      </w:r>
      <w:r w:rsidR="00741306" w:rsidRPr="00286661">
        <w:rPr>
          <w:rFonts w:ascii="Cambria" w:hAnsi="Cambria"/>
          <w:sz w:val="20"/>
          <w:szCs w:val="20"/>
          <w:lang w:val="pt-BR"/>
        </w:rPr>
        <w:t>da suposta vítima</w:t>
      </w:r>
      <w:r w:rsidRPr="00286661">
        <w:rPr>
          <w:rFonts w:ascii="Cambria" w:hAnsi="Cambria"/>
          <w:sz w:val="20"/>
          <w:szCs w:val="20"/>
          <w:lang w:val="pt-BR"/>
        </w:rPr>
        <w:t xml:space="preserve"> acionar a esfera civil no âmbito interno.</w:t>
      </w:r>
    </w:p>
    <w:p w14:paraId="34F3DB76" w14:textId="6659B64D" w:rsidR="00296739" w:rsidRPr="00646BED" w:rsidRDefault="00C66A45" w:rsidP="00646B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Pr>
          <w:rFonts w:ascii="Cambria" w:hAnsi="Cambria"/>
          <w:sz w:val="20"/>
          <w:szCs w:val="20"/>
          <w:lang w:val="pt-BR"/>
        </w:rPr>
        <w:lastRenderedPageBreak/>
        <w:t xml:space="preserve">Conforme a informação disponível no expediente, </w:t>
      </w:r>
      <w:r w:rsidR="00296739">
        <w:rPr>
          <w:rFonts w:ascii="Cambria" w:hAnsi="Cambria"/>
          <w:sz w:val="20"/>
          <w:szCs w:val="20"/>
          <w:lang w:val="pt-BR"/>
        </w:rPr>
        <w:t>em relação à esfera pe</w:t>
      </w:r>
      <w:r>
        <w:rPr>
          <w:rFonts w:ascii="Cambria" w:hAnsi="Cambria"/>
          <w:sz w:val="20"/>
          <w:szCs w:val="20"/>
          <w:lang w:val="pt-BR"/>
        </w:rPr>
        <w:t xml:space="preserve">nal </w:t>
      </w:r>
      <w:r w:rsidR="00296739">
        <w:rPr>
          <w:rFonts w:ascii="Cambria" w:hAnsi="Cambria"/>
          <w:sz w:val="20"/>
          <w:szCs w:val="20"/>
          <w:lang w:val="pt-BR"/>
        </w:rPr>
        <w:t xml:space="preserve">a Comissão </w:t>
      </w:r>
      <w:r>
        <w:rPr>
          <w:rFonts w:ascii="Cambria" w:hAnsi="Cambria"/>
          <w:sz w:val="20"/>
          <w:szCs w:val="20"/>
          <w:lang w:val="pt-BR"/>
        </w:rPr>
        <w:t>verifica</w:t>
      </w:r>
      <w:r w:rsidR="00296739">
        <w:rPr>
          <w:rFonts w:ascii="Cambria" w:hAnsi="Cambria"/>
          <w:sz w:val="20"/>
          <w:szCs w:val="20"/>
          <w:lang w:val="pt-BR"/>
        </w:rPr>
        <w:t xml:space="preserve"> que a suposta vítima recorreu diversas vezes às autoridades policiais para obter proteção contra as </w:t>
      </w:r>
      <w:r w:rsidR="00460C79">
        <w:rPr>
          <w:rFonts w:ascii="Cambria" w:hAnsi="Cambria"/>
          <w:sz w:val="20"/>
          <w:szCs w:val="20"/>
          <w:lang w:val="pt-BR"/>
        </w:rPr>
        <w:t xml:space="preserve">ameaças e </w:t>
      </w:r>
      <w:r w:rsidR="00296739">
        <w:rPr>
          <w:rFonts w:ascii="Cambria" w:hAnsi="Cambria"/>
          <w:sz w:val="20"/>
          <w:szCs w:val="20"/>
          <w:lang w:val="pt-BR"/>
        </w:rPr>
        <w:t>investidas violentas de seu ex-c</w:t>
      </w:r>
      <w:r w:rsidR="00460C79">
        <w:rPr>
          <w:rFonts w:ascii="Cambria" w:hAnsi="Cambria"/>
          <w:sz w:val="20"/>
          <w:szCs w:val="20"/>
          <w:lang w:val="pt-BR"/>
        </w:rPr>
        <w:t>ompanheiro. Apesar disso, o Estado não teria brindado a proteção necessária, culminando na tentativa de homicídio contra a Sra. Semann</w:t>
      </w:r>
      <w:r>
        <w:rPr>
          <w:rFonts w:ascii="Cambria" w:hAnsi="Cambria"/>
          <w:sz w:val="20"/>
          <w:szCs w:val="20"/>
          <w:lang w:val="pt-BR"/>
        </w:rPr>
        <w:t xml:space="preserve"> em </w:t>
      </w:r>
      <w:r w:rsidRPr="00296739">
        <w:rPr>
          <w:rFonts w:ascii="Cambria" w:hAnsi="Cambria"/>
          <w:sz w:val="20"/>
          <w:szCs w:val="20"/>
          <w:lang w:val="pt-BR"/>
        </w:rPr>
        <w:t>3 de março de 2010</w:t>
      </w:r>
      <w:r>
        <w:rPr>
          <w:rFonts w:ascii="Cambria" w:hAnsi="Cambria"/>
          <w:sz w:val="20"/>
          <w:szCs w:val="20"/>
          <w:lang w:val="pt-BR"/>
        </w:rPr>
        <w:t xml:space="preserve">. No entanto, ainda que Semar de Souza tenha sido responsabilizado pela tentativa de homicídio, </w:t>
      </w:r>
      <w:r w:rsidR="00646BED">
        <w:rPr>
          <w:rFonts w:ascii="Cambria" w:hAnsi="Cambria"/>
          <w:sz w:val="20"/>
          <w:szCs w:val="20"/>
          <w:lang w:val="pt-BR"/>
        </w:rPr>
        <w:t xml:space="preserve">as ameaças e outras violências praticadas contra a suposta vítima não foram investigadas pelas autoridades policiais. </w:t>
      </w:r>
      <w:r w:rsidRPr="00646BED">
        <w:rPr>
          <w:rFonts w:ascii="Cambria" w:hAnsi="Cambria"/>
          <w:sz w:val="20"/>
          <w:szCs w:val="20"/>
          <w:lang w:val="pt-BR"/>
        </w:rPr>
        <w:t>Como consequência, a Comissão conclui pela aplicação da exceção ao esgotamento dos recursos internos prevista no artigo 46.2.c da Convenção.</w:t>
      </w:r>
    </w:p>
    <w:p w14:paraId="1EFDDDF0" w14:textId="748505B8" w:rsidR="00E524E4" w:rsidRPr="008977FC" w:rsidRDefault="00C66A45" w:rsidP="00E524E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Pr>
          <w:rFonts w:ascii="Cambria" w:hAnsi="Cambria"/>
          <w:sz w:val="20"/>
          <w:szCs w:val="20"/>
          <w:lang w:val="pt-BR"/>
        </w:rPr>
        <w:t>Ainda, a</w:t>
      </w:r>
      <w:r w:rsidR="004753B3" w:rsidRPr="008977FC">
        <w:rPr>
          <w:rFonts w:ascii="Cambria" w:hAnsi="Cambria"/>
          <w:sz w:val="20"/>
          <w:szCs w:val="20"/>
          <w:lang w:val="pt-BR"/>
        </w:rPr>
        <w:t xml:space="preserve"> Comissão reafirma que em casos como o presente, não é necessário esgotar uma ação civil antes de acionar o sistema interamericano, tendo em vista que esse remédio não responderia à demanda principal da petição, </w:t>
      </w:r>
      <w:r w:rsidR="00E524E4" w:rsidRPr="008977FC">
        <w:rPr>
          <w:rFonts w:ascii="Cambria" w:hAnsi="Cambria"/>
          <w:sz w:val="20"/>
          <w:szCs w:val="20"/>
          <w:lang w:val="pt-BR"/>
        </w:rPr>
        <w:t>ou seja,</w:t>
      </w:r>
      <w:r w:rsidR="004753B3" w:rsidRPr="008977FC">
        <w:rPr>
          <w:rFonts w:ascii="Cambria" w:hAnsi="Cambria"/>
          <w:sz w:val="20"/>
          <w:szCs w:val="20"/>
          <w:lang w:val="pt-BR"/>
        </w:rPr>
        <w:t xml:space="preserve"> </w:t>
      </w:r>
      <w:r w:rsidR="00AF3BBE" w:rsidRPr="008977FC">
        <w:rPr>
          <w:rFonts w:ascii="Cambria" w:hAnsi="Cambria"/>
          <w:sz w:val="20"/>
          <w:szCs w:val="20"/>
          <w:lang w:val="pt-BR"/>
        </w:rPr>
        <w:t>a omissão do Estado em proteger a</w:t>
      </w:r>
      <w:r w:rsidR="0033543F" w:rsidRPr="008977FC">
        <w:rPr>
          <w:rFonts w:ascii="Cambria" w:hAnsi="Cambria"/>
          <w:sz w:val="20"/>
          <w:szCs w:val="20"/>
          <w:lang w:val="pt-BR"/>
        </w:rPr>
        <w:t xml:space="preserve"> vida e a</w:t>
      </w:r>
      <w:r w:rsidR="00AF3BBE" w:rsidRPr="008977FC">
        <w:rPr>
          <w:rFonts w:ascii="Cambria" w:hAnsi="Cambria"/>
          <w:sz w:val="20"/>
          <w:szCs w:val="20"/>
          <w:lang w:val="pt-BR"/>
        </w:rPr>
        <w:t xml:space="preserve"> integridade física da Sra. Semann, vítima de violência de g</w:t>
      </w:r>
      <w:r w:rsidR="00741306" w:rsidRPr="008977FC">
        <w:rPr>
          <w:rFonts w:ascii="Cambria" w:hAnsi="Cambria"/>
          <w:sz w:val="20"/>
          <w:szCs w:val="20"/>
          <w:lang w:val="pt-BR"/>
        </w:rPr>
        <w:t>ênero.</w:t>
      </w:r>
      <w:r w:rsidR="00E524E4" w:rsidRPr="008977FC">
        <w:rPr>
          <w:rFonts w:ascii="Cambria" w:hAnsi="Cambria"/>
          <w:sz w:val="20"/>
          <w:szCs w:val="20"/>
          <w:lang w:val="pt-BR"/>
        </w:rPr>
        <w:t xml:space="preserve"> Nesse contexto, a Comissão observa que a petição foi recebida em </w:t>
      </w:r>
      <w:r w:rsidR="00E524E4" w:rsidRPr="008977FC">
        <w:rPr>
          <w:rFonts w:ascii="Cambria" w:hAnsi="Cambria"/>
          <w:bCs/>
          <w:sz w:val="20"/>
          <w:szCs w:val="20"/>
          <w:lang w:val="pt-BR"/>
        </w:rPr>
        <w:t>11 de março de 2010, logo após as denúncias realizadas pela suposta vítima nos três meses anteriore</w:t>
      </w:r>
      <w:r w:rsidR="004A06DA" w:rsidRPr="008977FC">
        <w:rPr>
          <w:rFonts w:ascii="Cambria" w:hAnsi="Cambria"/>
          <w:bCs/>
          <w:sz w:val="20"/>
          <w:szCs w:val="20"/>
          <w:lang w:val="pt-BR"/>
        </w:rPr>
        <w:t xml:space="preserve">s. </w:t>
      </w:r>
      <w:r w:rsidR="008977FC" w:rsidRPr="008977FC">
        <w:rPr>
          <w:rFonts w:ascii="Cambria" w:hAnsi="Cambria"/>
          <w:bCs/>
          <w:sz w:val="20"/>
          <w:szCs w:val="20"/>
          <w:lang w:val="pt-BR"/>
        </w:rPr>
        <w:t xml:space="preserve">Tendo em vista a não necessidade de esgotar a via civil, </w:t>
      </w:r>
      <w:r w:rsidR="008977FC">
        <w:rPr>
          <w:rFonts w:ascii="Cambria" w:hAnsi="Cambria"/>
          <w:bCs/>
          <w:sz w:val="20"/>
          <w:szCs w:val="20"/>
          <w:lang w:val="pt-BR"/>
        </w:rPr>
        <w:t>a</w:t>
      </w:r>
      <w:r w:rsidR="004A06DA" w:rsidRPr="008977FC">
        <w:rPr>
          <w:rFonts w:ascii="Cambria" w:hAnsi="Cambria"/>
          <w:bCs/>
          <w:sz w:val="20"/>
          <w:szCs w:val="20"/>
          <w:lang w:val="pt-BR"/>
        </w:rPr>
        <w:t xml:space="preserve">s </w:t>
      </w:r>
      <w:r w:rsidR="00E524E4" w:rsidRPr="008977FC">
        <w:rPr>
          <w:rFonts w:ascii="Cambria" w:hAnsi="Cambria"/>
          <w:bCs/>
          <w:sz w:val="20"/>
          <w:szCs w:val="20"/>
          <w:lang w:val="pt-BR"/>
        </w:rPr>
        <w:t xml:space="preserve">tentativas de </w:t>
      </w:r>
      <w:r w:rsidR="004A06DA" w:rsidRPr="008977FC">
        <w:rPr>
          <w:rFonts w:ascii="Cambria" w:hAnsi="Cambria"/>
          <w:bCs/>
          <w:sz w:val="20"/>
          <w:szCs w:val="20"/>
          <w:lang w:val="pt-BR"/>
        </w:rPr>
        <w:t xml:space="preserve">lograr </w:t>
      </w:r>
      <w:r w:rsidR="00E524E4" w:rsidRPr="008977FC">
        <w:rPr>
          <w:rFonts w:ascii="Cambria" w:hAnsi="Cambria"/>
          <w:bCs/>
          <w:sz w:val="20"/>
          <w:szCs w:val="20"/>
          <w:lang w:val="pt-BR"/>
        </w:rPr>
        <w:t xml:space="preserve">proteção </w:t>
      </w:r>
      <w:r w:rsidR="004A06DA" w:rsidRPr="008977FC">
        <w:rPr>
          <w:rFonts w:ascii="Cambria" w:hAnsi="Cambria"/>
          <w:bCs/>
          <w:sz w:val="20"/>
          <w:szCs w:val="20"/>
          <w:lang w:val="pt-BR"/>
        </w:rPr>
        <w:t>à sua vida e integridade</w:t>
      </w:r>
      <w:r w:rsidR="00E524E4" w:rsidRPr="008977FC">
        <w:rPr>
          <w:rFonts w:ascii="Cambria" w:hAnsi="Cambria"/>
          <w:bCs/>
          <w:sz w:val="20"/>
          <w:szCs w:val="20"/>
          <w:lang w:val="pt-BR"/>
        </w:rPr>
        <w:t xml:space="preserve"> podem ser consideradas recursos idôneos e adequados </w:t>
      </w:r>
      <w:r w:rsidR="004A06DA" w:rsidRPr="008977FC">
        <w:rPr>
          <w:rFonts w:ascii="Cambria" w:hAnsi="Cambria"/>
          <w:bCs/>
          <w:sz w:val="20"/>
          <w:szCs w:val="20"/>
          <w:lang w:val="pt-BR"/>
        </w:rPr>
        <w:t>em casos como o presente</w:t>
      </w:r>
      <w:r w:rsidR="00E524E4" w:rsidRPr="008977FC">
        <w:rPr>
          <w:rFonts w:ascii="Cambria" w:hAnsi="Cambria"/>
          <w:bCs/>
          <w:sz w:val="20"/>
          <w:szCs w:val="20"/>
          <w:lang w:val="pt-BR"/>
        </w:rPr>
        <w:t xml:space="preserve">. </w:t>
      </w:r>
      <w:r w:rsidR="004A06DA" w:rsidRPr="008977FC">
        <w:rPr>
          <w:rFonts w:ascii="Cambria" w:hAnsi="Cambria"/>
          <w:bCs/>
          <w:sz w:val="20"/>
          <w:szCs w:val="20"/>
          <w:lang w:val="pt-BR"/>
        </w:rPr>
        <w:t>Assim</w:t>
      </w:r>
      <w:r w:rsidR="00E524E4" w:rsidRPr="008977FC">
        <w:rPr>
          <w:rFonts w:ascii="Cambria" w:hAnsi="Cambria"/>
          <w:bCs/>
          <w:sz w:val="20"/>
          <w:szCs w:val="20"/>
          <w:lang w:val="pt-BR"/>
        </w:rPr>
        <w:t>, a Comissão considera que a petição foi apresentada dentro de um prazo razoável, nos termos do artigo 32.2 do seu Regulamento e em cumprimento ao artigo 46.1.b da Convenção Americana.</w:t>
      </w:r>
    </w:p>
    <w:p w14:paraId="4FFBE378" w14:textId="3CCE7856" w:rsidR="003239B8" w:rsidRPr="00A75CC3" w:rsidRDefault="003239B8" w:rsidP="003239B8">
      <w:pPr>
        <w:pStyle w:val="ListParagraph"/>
        <w:spacing w:before="240" w:after="240"/>
        <w:jc w:val="both"/>
        <w:rPr>
          <w:rFonts w:asciiTheme="majorHAnsi" w:hAnsiTheme="majorHAnsi"/>
          <w:b/>
          <w:sz w:val="20"/>
          <w:szCs w:val="20"/>
          <w:lang w:val="pt-BR"/>
        </w:rPr>
      </w:pPr>
      <w:r w:rsidRPr="00A75CC3">
        <w:rPr>
          <w:rFonts w:asciiTheme="majorHAnsi" w:hAnsiTheme="majorHAnsi"/>
          <w:b/>
          <w:bCs/>
          <w:sz w:val="20"/>
          <w:szCs w:val="20"/>
          <w:lang w:val="pt-BR"/>
        </w:rPr>
        <w:t>VII.</w:t>
      </w:r>
      <w:r w:rsidRPr="00A75CC3">
        <w:rPr>
          <w:rFonts w:asciiTheme="majorHAnsi" w:hAnsiTheme="majorHAnsi"/>
          <w:b/>
          <w:bCs/>
          <w:sz w:val="20"/>
          <w:szCs w:val="20"/>
          <w:lang w:val="pt-BR"/>
        </w:rPr>
        <w:tab/>
      </w:r>
      <w:r w:rsidR="00D21316" w:rsidRPr="00A75CC3">
        <w:rPr>
          <w:rFonts w:asciiTheme="majorHAnsi" w:hAnsiTheme="majorHAnsi"/>
          <w:b/>
          <w:bCs/>
          <w:sz w:val="20"/>
          <w:szCs w:val="20"/>
          <w:lang w:val="pt-BR"/>
        </w:rPr>
        <w:t>ANÁLISE</w:t>
      </w:r>
      <w:r w:rsidR="004A6A54" w:rsidRPr="00A75CC3">
        <w:rPr>
          <w:rFonts w:asciiTheme="majorHAnsi" w:hAnsiTheme="majorHAnsi"/>
          <w:b/>
          <w:bCs/>
          <w:sz w:val="20"/>
          <w:szCs w:val="20"/>
          <w:lang w:val="pt-BR"/>
        </w:rPr>
        <w:t xml:space="preserve"> DE </w:t>
      </w:r>
      <w:r w:rsidR="00C21FEF" w:rsidRPr="00A75CC3">
        <w:rPr>
          <w:rFonts w:asciiTheme="majorHAnsi" w:hAnsiTheme="majorHAnsi"/>
          <w:b/>
          <w:bCs/>
          <w:sz w:val="20"/>
          <w:szCs w:val="20"/>
          <w:lang w:val="pt-BR"/>
        </w:rPr>
        <w:t>CARACTERIZA</w:t>
      </w:r>
      <w:r w:rsidR="00A53003" w:rsidRPr="00A75CC3">
        <w:rPr>
          <w:rFonts w:asciiTheme="majorHAnsi" w:hAnsiTheme="majorHAnsi"/>
          <w:b/>
          <w:bCs/>
          <w:sz w:val="20"/>
          <w:szCs w:val="20"/>
          <w:lang w:val="pt-BR"/>
        </w:rPr>
        <w:t>ÇÃO</w:t>
      </w:r>
      <w:r w:rsidR="00C21FEF" w:rsidRPr="00A75CC3">
        <w:rPr>
          <w:rFonts w:asciiTheme="majorHAnsi" w:hAnsiTheme="majorHAnsi"/>
          <w:b/>
          <w:bCs/>
          <w:sz w:val="20"/>
          <w:szCs w:val="20"/>
          <w:lang w:val="pt-BR"/>
        </w:rPr>
        <w:t xml:space="preserve"> DOS </w:t>
      </w:r>
      <w:r w:rsidR="00A53003" w:rsidRPr="00A75CC3">
        <w:rPr>
          <w:rFonts w:asciiTheme="majorHAnsi" w:hAnsiTheme="majorHAnsi"/>
          <w:b/>
          <w:bCs/>
          <w:sz w:val="20"/>
          <w:szCs w:val="20"/>
          <w:lang w:val="pt-BR"/>
        </w:rPr>
        <w:t>FATOS</w:t>
      </w:r>
      <w:r w:rsidR="00C21FEF" w:rsidRPr="00A75CC3">
        <w:rPr>
          <w:rFonts w:asciiTheme="majorHAnsi" w:hAnsiTheme="majorHAnsi"/>
          <w:b/>
          <w:bCs/>
          <w:sz w:val="20"/>
          <w:szCs w:val="20"/>
          <w:lang w:val="pt-BR"/>
        </w:rPr>
        <w:t xml:space="preserve"> ALEGADOS</w:t>
      </w:r>
    </w:p>
    <w:p w14:paraId="70103297" w14:textId="2DB42464" w:rsidR="004753B3" w:rsidRPr="004753B3" w:rsidRDefault="004753B3"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sidRPr="004753B3">
        <w:rPr>
          <w:rFonts w:asciiTheme="majorHAnsi" w:hAnsiTheme="majorHAnsi"/>
          <w:sz w:val="20"/>
          <w:szCs w:val="20"/>
          <w:lang w:val="pt-BR"/>
        </w:rPr>
        <w:t xml:space="preserve">Tendo em vista os elementos de fato e de direito expostos pelas partes e a natureza do assunto apresentado, a Comissão considera que, se provados, os fatos narrados poderiam caracterizar possíveis violações dos artigos </w:t>
      </w:r>
      <w:r w:rsidRPr="004753B3">
        <w:rPr>
          <w:rFonts w:ascii="Cambria" w:hAnsi="Cambria"/>
          <w:bCs/>
          <w:sz w:val="20"/>
          <w:szCs w:val="20"/>
          <w:lang w:val="pt-BR"/>
        </w:rPr>
        <w:t>5 (integridade pessoal), 8 (garantias judiciais), 17 (proteção à família), 22 (circulação e residência), 24 (igualdade perante a lei) e 25 (proteção judicial), todos relacionados com os artigos 1.1 (obrigação de respeitar os direitos) e 2 (dever de adotar disposições de direito interno) da Convenç</w:t>
      </w:r>
      <w:r>
        <w:rPr>
          <w:rFonts w:ascii="Cambria" w:hAnsi="Cambria"/>
          <w:bCs/>
          <w:sz w:val="20"/>
          <w:szCs w:val="20"/>
          <w:lang w:val="pt-BR"/>
        </w:rPr>
        <w:t xml:space="preserve">ão Americana, bem como do </w:t>
      </w:r>
      <w:r w:rsidRPr="004753B3">
        <w:rPr>
          <w:rFonts w:ascii="Cambria" w:hAnsi="Cambria"/>
          <w:bCs/>
          <w:sz w:val="20"/>
          <w:szCs w:val="20"/>
          <w:lang w:val="pt-BR"/>
        </w:rPr>
        <w:t>artigo 7 da Convenção de Belém do Pará.</w:t>
      </w:r>
    </w:p>
    <w:p w14:paraId="72E4E61E" w14:textId="23A9A98F" w:rsidR="004753B3" w:rsidRPr="003F039E" w:rsidRDefault="00741306" w:rsidP="004753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pt-BR"/>
        </w:rPr>
      </w:pPr>
      <w:r w:rsidRPr="003F039E">
        <w:rPr>
          <w:rFonts w:asciiTheme="majorHAnsi" w:hAnsiTheme="majorHAnsi"/>
          <w:sz w:val="20"/>
          <w:szCs w:val="20"/>
          <w:lang w:val="pt-BR"/>
        </w:rPr>
        <w:t>Em</w:t>
      </w:r>
      <w:r w:rsidR="004753B3" w:rsidRPr="003F039E">
        <w:rPr>
          <w:rFonts w:asciiTheme="majorHAnsi" w:hAnsiTheme="majorHAnsi"/>
          <w:sz w:val="20"/>
          <w:szCs w:val="20"/>
          <w:lang w:val="pt-BR"/>
        </w:rPr>
        <w:t xml:space="preserve"> </w:t>
      </w:r>
      <w:r w:rsidR="004753B3" w:rsidRPr="003F039E">
        <w:rPr>
          <w:rFonts w:ascii="Cambria" w:hAnsi="Cambria"/>
          <w:bCs/>
          <w:sz w:val="20"/>
          <w:szCs w:val="20"/>
          <w:lang w:val="pt-BR"/>
        </w:rPr>
        <w:t>relação</w:t>
      </w:r>
      <w:r w:rsidR="007A3994" w:rsidRPr="003F039E">
        <w:rPr>
          <w:rFonts w:ascii="Cambria" w:hAnsi="Cambria"/>
          <w:bCs/>
          <w:sz w:val="20"/>
          <w:szCs w:val="20"/>
          <w:lang w:val="pt-BR"/>
        </w:rPr>
        <w:t xml:space="preserve"> à alegada violação da</w:t>
      </w:r>
      <w:r w:rsidR="004753B3" w:rsidRPr="003F039E">
        <w:rPr>
          <w:rFonts w:ascii="Cambria" w:hAnsi="Cambria"/>
          <w:bCs/>
          <w:sz w:val="20"/>
          <w:szCs w:val="20"/>
          <w:lang w:val="pt-BR"/>
        </w:rPr>
        <w:t xml:space="preserve"> Convenção sobre a El</w:t>
      </w:r>
      <w:r w:rsidR="00286661" w:rsidRPr="003F039E">
        <w:rPr>
          <w:rFonts w:ascii="Cambria" w:hAnsi="Cambria"/>
          <w:bCs/>
          <w:sz w:val="20"/>
          <w:szCs w:val="20"/>
          <w:lang w:val="pt-BR"/>
        </w:rPr>
        <w:t>iminação de Todas as Formas de Discriminação C</w:t>
      </w:r>
      <w:r w:rsidR="004753B3" w:rsidRPr="003F039E">
        <w:rPr>
          <w:rFonts w:ascii="Cambria" w:hAnsi="Cambria"/>
          <w:bCs/>
          <w:sz w:val="20"/>
          <w:szCs w:val="20"/>
          <w:lang w:val="pt-BR"/>
        </w:rPr>
        <w:t>ontra a Mulher das Nações Unidas</w:t>
      </w:r>
      <w:r w:rsidR="00781497" w:rsidRPr="003F039E">
        <w:rPr>
          <w:rFonts w:ascii="Cambria" w:hAnsi="Cambria"/>
          <w:bCs/>
          <w:sz w:val="20"/>
          <w:szCs w:val="20"/>
          <w:lang w:val="pt-BR"/>
        </w:rPr>
        <w:t xml:space="preserve">, a Comissão considera que os fatos expostos </w:t>
      </w:r>
      <w:r w:rsidR="007A3994" w:rsidRPr="003F039E">
        <w:rPr>
          <w:rFonts w:ascii="Cambria" w:hAnsi="Cambria"/>
          <w:bCs/>
          <w:sz w:val="20"/>
          <w:szCs w:val="20"/>
          <w:lang w:val="pt-BR"/>
        </w:rPr>
        <w:t>poderiam caracterizar</w:t>
      </w:r>
      <w:r w:rsidR="00781497" w:rsidRPr="003F039E">
        <w:rPr>
          <w:rFonts w:ascii="Cambria" w:hAnsi="Cambria"/>
          <w:bCs/>
          <w:sz w:val="20"/>
          <w:szCs w:val="20"/>
          <w:lang w:val="pt-BR"/>
        </w:rPr>
        <w:t xml:space="preserve"> violações do artigo 7 da Convenção de Belém do Pará. No que se refere às alegadas violações aos artigos 3 e 4 </w:t>
      </w:r>
      <w:r w:rsidR="007A3994" w:rsidRPr="003F039E">
        <w:rPr>
          <w:rFonts w:ascii="Cambria" w:hAnsi="Cambria"/>
          <w:bCs/>
          <w:sz w:val="20"/>
          <w:szCs w:val="20"/>
          <w:lang w:val="pt-BR"/>
        </w:rPr>
        <w:t>desse documento</w:t>
      </w:r>
      <w:r w:rsidR="00781497" w:rsidRPr="003F039E">
        <w:rPr>
          <w:rFonts w:ascii="Cambria" w:hAnsi="Cambria"/>
          <w:bCs/>
          <w:sz w:val="20"/>
          <w:szCs w:val="20"/>
          <w:lang w:val="pt-BR"/>
        </w:rPr>
        <w:t xml:space="preserve">, a Comissão ressalta </w:t>
      </w:r>
      <w:r w:rsidR="007A3994" w:rsidRPr="003F039E">
        <w:rPr>
          <w:rFonts w:ascii="Cambria" w:hAnsi="Cambria"/>
          <w:bCs/>
          <w:sz w:val="20"/>
          <w:szCs w:val="20"/>
          <w:lang w:val="pt-BR"/>
        </w:rPr>
        <w:t xml:space="preserve">que </w:t>
      </w:r>
      <w:r w:rsidR="00781497" w:rsidRPr="003F039E">
        <w:rPr>
          <w:rFonts w:ascii="Cambria" w:hAnsi="Cambria"/>
          <w:bCs/>
          <w:sz w:val="20"/>
          <w:szCs w:val="20"/>
          <w:lang w:val="pt-BR"/>
        </w:rPr>
        <w:t xml:space="preserve">a competência prevista em seu artigo 12 para pronunciar-se no contexto de um caso individual </w:t>
      </w:r>
      <w:r w:rsidR="007A3994" w:rsidRPr="003F039E">
        <w:rPr>
          <w:rFonts w:ascii="Cambria" w:hAnsi="Cambria"/>
          <w:bCs/>
          <w:sz w:val="20"/>
          <w:szCs w:val="20"/>
          <w:lang w:val="pt-BR"/>
        </w:rPr>
        <w:t>é limitada</w:t>
      </w:r>
      <w:r w:rsidR="00781497" w:rsidRPr="003F039E">
        <w:rPr>
          <w:rFonts w:ascii="Cambria" w:hAnsi="Cambria"/>
          <w:bCs/>
          <w:sz w:val="20"/>
          <w:szCs w:val="20"/>
          <w:lang w:val="pt-BR"/>
        </w:rPr>
        <w:t xml:space="preserve"> ao artigo 7. A respeito dos demais artigos, conforme previsto no artigo 29 da Convenção Americana, a Comissão pode tê-los em conta para interpretar a aplicar a Convenção Americana e outros instrumentos sob sua competência.</w:t>
      </w:r>
    </w:p>
    <w:p w14:paraId="29BB41F5" w14:textId="3DC9F7BC" w:rsidR="003239B8" w:rsidRPr="00A75CC3" w:rsidRDefault="003239B8" w:rsidP="004753B3">
      <w:pPr>
        <w:pStyle w:val="ListParagraph"/>
        <w:spacing w:before="240" w:after="240"/>
        <w:jc w:val="both"/>
        <w:rPr>
          <w:rFonts w:asciiTheme="majorHAnsi" w:hAnsiTheme="majorHAnsi"/>
          <w:b/>
          <w:bCs/>
          <w:sz w:val="20"/>
          <w:szCs w:val="20"/>
          <w:lang w:val="pt-BR"/>
        </w:rPr>
      </w:pPr>
      <w:r w:rsidRPr="00A75CC3">
        <w:rPr>
          <w:rFonts w:asciiTheme="majorHAnsi" w:hAnsiTheme="majorHAnsi"/>
          <w:b/>
          <w:bCs/>
          <w:sz w:val="20"/>
          <w:szCs w:val="20"/>
          <w:lang w:val="pt-BR"/>
        </w:rPr>
        <w:t xml:space="preserve">VIII. </w:t>
      </w:r>
      <w:r w:rsidRPr="00A75CC3">
        <w:rPr>
          <w:rFonts w:asciiTheme="majorHAnsi" w:hAnsiTheme="majorHAnsi"/>
          <w:b/>
          <w:bCs/>
          <w:sz w:val="20"/>
          <w:szCs w:val="20"/>
          <w:lang w:val="pt-BR"/>
        </w:rPr>
        <w:tab/>
      </w:r>
      <w:r w:rsidR="00A53003" w:rsidRPr="00A75CC3">
        <w:rPr>
          <w:rFonts w:asciiTheme="majorHAnsi" w:hAnsiTheme="majorHAnsi"/>
          <w:b/>
          <w:bCs/>
          <w:sz w:val="20"/>
          <w:szCs w:val="20"/>
          <w:lang w:val="pt-BR"/>
        </w:rPr>
        <w:t>DECISÃO</w:t>
      </w:r>
    </w:p>
    <w:p w14:paraId="0FDE1D10" w14:textId="46291055" w:rsidR="003239B8" w:rsidRPr="00A75CC3" w:rsidRDefault="003239B8" w:rsidP="004753B3">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A75CC3">
        <w:rPr>
          <w:rFonts w:asciiTheme="majorHAnsi" w:hAnsiTheme="majorHAnsi"/>
          <w:sz w:val="20"/>
          <w:szCs w:val="20"/>
          <w:lang w:val="pt-BR"/>
        </w:rPr>
        <w:t xml:space="preserve">Declarar </w:t>
      </w:r>
      <w:r w:rsidR="00A53003" w:rsidRPr="00A75CC3">
        <w:rPr>
          <w:rFonts w:asciiTheme="majorHAnsi" w:hAnsiTheme="majorHAnsi"/>
          <w:sz w:val="20"/>
          <w:szCs w:val="20"/>
          <w:lang w:val="pt-BR"/>
        </w:rPr>
        <w:t>admitida</w:t>
      </w:r>
      <w:r w:rsidRPr="00A75CC3">
        <w:rPr>
          <w:rFonts w:asciiTheme="majorHAnsi" w:hAnsiTheme="majorHAnsi"/>
          <w:sz w:val="20"/>
          <w:szCs w:val="20"/>
          <w:lang w:val="pt-BR"/>
        </w:rPr>
        <w:t xml:space="preserve"> a presente </w:t>
      </w:r>
      <w:r w:rsidR="00A53003" w:rsidRPr="00A75CC3">
        <w:rPr>
          <w:rFonts w:asciiTheme="majorHAnsi" w:hAnsiTheme="majorHAnsi"/>
          <w:sz w:val="20"/>
          <w:szCs w:val="20"/>
          <w:lang w:val="pt-BR"/>
        </w:rPr>
        <w:t>petição</w:t>
      </w:r>
      <w:r w:rsidRPr="00A75CC3">
        <w:rPr>
          <w:rFonts w:asciiTheme="majorHAnsi" w:hAnsiTheme="majorHAnsi"/>
          <w:sz w:val="20"/>
          <w:szCs w:val="20"/>
          <w:lang w:val="pt-BR"/>
        </w:rPr>
        <w:t xml:space="preserve"> e</w:t>
      </w:r>
      <w:r w:rsidR="00A53003" w:rsidRPr="00A75CC3">
        <w:rPr>
          <w:rFonts w:asciiTheme="majorHAnsi" w:hAnsiTheme="majorHAnsi"/>
          <w:sz w:val="20"/>
          <w:szCs w:val="20"/>
          <w:lang w:val="pt-BR"/>
        </w:rPr>
        <w:t>m</w:t>
      </w:r>
      <w:r w:rsidRPr="00A75CC3">
        <w:rPr>
          <w:rFonts w:asciiTheme="majorHAnsi" w:hAnsiTheme="majorHAnsi"/>
          <w:sz w:val="20"/>
          <w:szCs w:val="20"/>
          <w:lang w:val="pt-BR"/>
        </w:rPr>
        <w:t xml:space="preserve"> </w:t>
      </w:r>
      <w:r w:rsidR="00A53003" w:rsidRPr="00A75CC3">
        <w:rPr>
          <w:rFonts w:asciiTheme="majorHAnsi" w:hAnsiTheme="majorHAnsi"/>
          <w:sz w:val="20"/>
          <w:szCs w:val="20"/>
          <w:lang w:val="pt-BR"/>
        </w:rPr>
        <w:t xml:space="preserve">relação </w:t>
      </w:r>
      <w:r w:rsidR="004753B3">
        <w:rPr>
          <w:rFonts w:asciiTheme="majorHAnsi" w:hAnsiTheme="majorHAnsi"/>
          <w:sz w:val="20"/>
          <w:szCs w:val="20"/>
          <w:lang w:val="pt-BR"/>
        </w:rPr>
        <w:t>aos artigos 5, 8, 17, 22, 24 e 25 da Convenção Americana; e artigo 7 da Convenção de Belém do Pará;</w:t>
      </w:r>
    </w:p>
    <w:p w14:paraId="570DA61C" w14:textId="53DD0F79" w:rsidR="000419AD" w:rsidRPr="00A75CC3" w:rsidRDefault="000419AD" w:rsidP="004753B3">
      <w:pPr>
        <w:pStyle w:val="ListParagraph"/>
        <w:numPr>
          <w:ilvl w:val="0"/>
          <w:numId w:val="109"/>
        </w:numPr>
        <w:jc w:val="both"/>
        <w:rPr>
          <w:rFonts w:eastAsia="Arial Unicode MS" w:cs="Times New Roman"/>
          <w:color w:val="auto"/>
          <w:sz w:val="20"/>
          <w:szCs w:val="20"/>
          <w:lang w:val="pt-BR" w:eastAsia="en-US"/>
        </w:rPr>
      </w:pPr>
      <w:r w:rsidRPr="00A75CC3">
        <w:rPr>
          <w:rFonts w:eastAsia="Arial Unicode MS" w:cs="Times New Roman"/>
          <w:color w:val="auto"/>
          <w:sz w:val="20"/>
          <w:szCs w:val="20"/>
          <w:lang w:val="pt-BR" w:eastAsia="en-US"/>
        </w:rPr>
        <w:t xml:space="preserve">Declarar </w:t>
      </w:r>
      <w:r w:rsidR="00A53003" w:rsidRPr="004753B3">
        <w:rPr>
          <w:rFonts w:eastAsia="Arial Unicode MS" w:cs="Times New Roman"/>
          <w:color w:val="auto"/>
          <w:sz w:val="20"/>
          <w:szCs w:val="20"/>
          <w:lang w:val="pt-BR" w:eastAsia="en-US"/>
        </w:rPr>
        <w:t>inadmitida</w:t>
      </w:r>
      <w:r w:rsidRPr="004753B3">
        <w:rPr>
          <w:rFonts w:eastAsia="Arial Unicode MS" w:cs="Times New Roman"/>
          <w:color w:val="auto"/>
          <w:sz w:val="20"/>
          <w:szCs w:val="20"/>
          <w:lang w:val="pt-BR" w:eastAsia="en-US"/>
        </w:rPr>
        <w:t xml:space="preserve"> </w:t>
      </w:r>
      <w:r w:rsidRPr="00A75CC3">
        <w:rPr>
          <w:rFonts w:eastAsia="Arial Unicode MS" w:cs="Times New Roman"/>
          <w:color w:val="auto"/>
          <w:sz w:val="20"/>
          <w:szCs w:val="20"/>
          <w:lang w:val="pt-BR" w:eastAsia="en-US"/>
        </w:rPr>
        <w:t xml:space="preserve">a presente </w:t>
      </w:r>
      <w:r w:rsidR="00A53003" w:rsidRPr="00A75CC3">
        <w:rPr>
          <w:rFonts w:asciiTheme="majorHAnsi" w:hAnsiTheme="majorHAnsi"/>
          <w:sz w:val="20"/>
          <w:szCs w:val="20"/>
          <w:lang w:val="pt-BR"/>
        </w:rPr>
        <w:t xml:space="preserve">petição em relação </w:t>
      </w:r>
      <w:r w:rsidR="004753B3">
        <w:rPr>
          <w:rFonts w:asciiTheme="majorHAnsi" w:hAnsiTheme="majorHAnsi"/>
          <w:sz w:val="20"/>
          <w:szCs w:val="20"/>
          <w:lang w:val="pt-BR"/>
        </w:rPr>
        <w:t xml:space="preserve">à </w:t>
      </w:r>
      <w:r w:rsidR="004753B3">
        <w:rPr>
          <w:bCs/>
          <w:sz w:val="20"/>
          <w:szCs w:val="20"/>
          <w:lang w:val="pt-BR"/>
        </w:rPr>
        <w:t>Convenção sobre a Eliminação de Todas as Formas de discriminação contra a Mulher e aos artigos 3 e 4 da Convenção de Belém do Pará;</w:t>
      </w:r>
    </w:p>
    <w:p w14:paraId="41AA5BF6" w14:textId="77777777" w:rsidR="000419AD" w:rsidRPr="00A75CC3" w:rsidRDefault="000419AD" w:rsidP="004753B3">
      <w:pPr>
        <w:pStyle w:val="ListParagraph"/>
        <w:jc w:val="both"/>
        <w:rPr>
          <w:rFonts w:eastAsia="Arial Unicode MS" w:cs="Times New Roman"/>
          <w:color w:val="auto"/>
          <w:sz w:val="20"/>
          <w:szCs w:val="20"/>
          <w:lang w:val="pt-BR" w:eastAsia="en-US"/>
        </w:rPr>
      </w:pPr>
    </w:p>
    <w:p w14:paraId="12A7002C" w14:textId="5617EFE6" w:rsidR="004A6A54" w:rsidRPr="00A75CC3" w:rsidRDefault="00A53003" w:rsidP="004753B3">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A75CC3">
        <w:rPr>
          <w:rFonts w:asciiTheme="majorHAnsi" w:hAnsiTheme="majorHAnsi"/>
          <w:sz w:val="20"/>
          <w:szCs w:val="20"/>
          <w:lang w:val="pt-BR"/>
        </w:rPr>
        <w:t xml:space="preserve">Notificar </w:t>
      </w:r>
      <w:r w:rsidR="0022736D" w:rsidRPr="00A75CC3">
        <w:rPr>
          <w:rFonts w:asciiTheme="majorHAnsi" w:hAnsiTheme="majorHAnsi"/>
          <w:sz w:val="20"/>
          <w:szCs w:val="20"/>
          <w:lang w:val="pt-BR"/>
        </w:rPr>
        <w:t>a</w:t>
      </w:r>
      <w:r w:rsidR="004A6A54" w:rsidRPr="00A75CC3">
        <w:rPr>
          <w:rFonts w:asciiTheme="majorHAnsi" w:hAnsiTheme="majorHAnsi"/>
          <w:sz w:val="20"/>
          <w:szCs w:val="20"/>
          <w:lang w:val="pt-BR"/>
        </w:rPr>
        <w:t xml:space="preserve">s partes </w:t>
      </w:r>
      <w:r w:rsidR="0022736D" w:rsidRPr="00A75CC3">
        <w:rPr>
          <w:rFonts w:asciiTheme="majorHAnsi" w:hAnsiTheme="majorHAnsi"/>
          <w:sz w:val="20"/>
          <w:szCs w:val="20"/>
          <w:lang w:val="pt-BR"/>
        </w:rPr>
        <w:t xml:space="preserve">sobre </w:t>
      </w:r>
      <w:r w:rsidRPr="00A75CC3">
        <w:rPr>
          <w:rFonts w:asciiTheme="majorHAnsi" w:hAnsiTheme="majorHAnsi"/>
          <w:sz w:val="20"/>
          <w:szCs w:val="20"/>
          <w:lang w:val="pt-BR"/>
        </w:rPr>
        <w:t>a presente decisão; continuar com a análise de mérito</w:t>
      </w:r>
      <w:r w:rsidR="004A6A54" w:rsidRPr="00A75CC3">
        <w:rPr>
          <w:rFonts w:asciiTheme="majorHAnsi" w:hAnsiTheme="majorHAnsi"/>
          <w:sz w:val="20"/>
          <w:szCs w:val="20"/>
          <w:lang w:val="pt-BR"/>
        </w:rPr>
        <w:t xml:space="preserve"> </w:t>
      </w:r>
      <w:r w:rsidRPr="00A75CC3">
        <w:rPr>
          <w:rFonts w:asciiTheme="majorHAnsi" w:hAnsiTheme="majorHAnsi"/>
          <w:sz w:val="20"/>
          <w:szCs w:val="20"/>
          <w:lang w:val="pt-BR"/>
        </w:rPr>
        <w:t>d</w:t>
      </w:r>
      <w:r w:rsidR="004A6A54" w:rsidRPr="00A75CC3">
        <w:rPr>
          <w:rFonts w:asciiTheme="majorHAnsi" w:hAnsiTheme="majorHAnsi"/>
          <w:sz w:val="20"/>
          <w:szCs w:val="20"/>
          <w:lang w:val="pt-BR"/>
        </w:rPr>
        <w:t xml:space="preserve">a </w:t>
      </w:r>
      <w:r w:rsidRPr="00A75CC3">
        <w:rPr>
          <w:rFonts w:asciiTheme="majorHAnsi" w:hAnsiTheme="majorHAnsi"/>
          <w:sz w:val="20"/>
          <w:szCs w:val="20"/>
          <w:lang w:val="pt-BR"/>
        </w:rPr>
        <w:t>questão; e</w:t>
      </w:r>
      <w:r w:rsidR="004A6A54" w:rsidRPr="00A75CC3">
        <w:rPr>
          <w:rFonts w:asciiTheme="majorHAnsi" w:hAnsiTheme="majorHAnsi"/>
          <w:sz w:val="20"/>
          <w:szCs w:val="20"/>
          <w:lang w:val="pt-BR"/>
        </w:rPr>
        <w:t xml:space="preserve"> publicar esta </w:t>
      </w:r>
      <w:r w:rsidRPr="00A75CC3">
        <w:rPr>
          <w:rFonts w:asciiTheme="majorHAnsi" w:hAnsiTheme="majorHAnsi"/>
          <w:sz w:val="20"/>
          <w:szCs w:val="20"/>
          <w:lang w:val="pt-BR"/>
        </w:rPr>
        <w:t>decisão</w:t>
      </w:r>
      <w:r w:rsidR="007665A8">
        <w:rPr>
          <w:rFonts w:asciiTheme="majorHAnsi" w:hAnsiTheme="majorHAnsi"/>
          <w:sz w:val="20"/>
          <w:szCs w:val="20"/>
          <w:lang w:val="pt-BR"/>
        </w:rPr>
        <w:t xml:space="preserve"> e inclui</w:t>
      </w:r>
      <w:r w:rsidRPr="00A75CC3">
        <w:rPr>
          <w:rFonts w:asciiTheme="majorHAnsi" w:hAnsiTheme="majorHAnsi"/>
          <w:sz w:val="20"/>
          <w:szCs w:val="20"/>
          <w:lang w:val="pt-BR"/>
        </w:rPr>
        <w:t>-</w:t>
      </w:r>
      <w:r w:rsidR="004A6A54" w:rsidRPr="00A75CC3">
        <w:rPr>
          <w:rFonts w:asciiTheme="majorHAnsi" w:hAnsiTheme="majorHAnsi"/>
          <w:sz w:val="20"/>
          <w:szCs w:val="20"/>
          <w:lang w:val="pt-BR"/>
        </w:rPr>
        <w:t xml:space="preserve">la </w:t>
      </w:r>
      <w:r w:rsidRPr="00A75CC3">
        <w:rPr>
          <w:rFonts w:asciiTheme="majorHAnsi" w:hAnsiTheme="majorHAnsi"/>
          <w:sz w:val="20"/>
          <w:szCs w:val="20"/>
          <w:lang w:val="pt-BR"/>
        </w:rPr>
        <w:t xml:space="preserve">em seu Relatório Anual à Assembleia Geral da Organização dos Estados Americanos. </w:t>
      </w:r>
    </w:p>
    <w:p w14:paraId="514A9101" w14:textId="77777777" w:rsidR="00FA3DDB" w:rsidRDefault="00FA3DDB" w:rsidP="00FA3DDB">
      <w:pPr>
        <w:ind w:firstLine="720"/>
        <w:jc w:val="both"/>
        <w:rPr>
          <w:rFonts w:ascii="Cambria" w:hAnsi="Cambria" w:cs="BookAntiqua"/>
          <w:sz w:val="20"/>
          <w:szCs w:val="20"/>
          <w:lang w:val="pt-BR"/>
        </w:rPr>
      </w:pPr>
      <w:r>
        <w:rPr>
          <w:rFonts w:ascii="Cambria" w:hAnsi="Cambria" w:cs="BookAntiqua"/>
          <w:sz w:val="20"/>
          <w:szCs w:val="20"/>
          <w:lang w:val="pt-BR"/>
        </w:rPr>
        <w:t>Aprovado</w:t>
      </w:r>
      <w:r w:rsidRPr="004C183A">
        <w:rPr>
          <w:rFonts w:ascii="Cambria" w:hAnsi="Cambria" w:cs="BookAntiqua"/>
          <w:sz w:val="20"/>
          <w:szCs w:val="20"/>
          <w:lang w:val="pt-BR"/>
        </w:rPr>
        <w:t xml:space="preserve"> </w:t>
      </w:r>
      <w:r>
        <w:rPr>
          <w:rFonts w:ascii="Cambria" w:hAnsi="Cambria" w:cs="BookAntiqua"/>
          <w:sz w:val="20"/>
          <w:szCs w:val="20"/>
          <w:lang w:val="pt-BR"/>
        </w:rPr>
        <w:t>pela Commissão Interamericana de Direitos Humanos aos 12</w:t>
      </w:r>
      <w:r w:rsidRPr="004C183A">
        <w:rPr>
          <w:rFonts w:ascii="Cambria" w:hAnsi="Cambria" w:cs="BookAntiqua"/>
          <w:sz w:val="20"/>
          <w:szCs w:val="20"/>
          <w:lang w:val="pt-BR"/>
        </w:rPr>
        <w:t xml:space="preserve"> dias do mês de </w:t>
      </w:r>
      <w:r>
        <w:rPr>
          <w:rFonts w:ascii="Cambria" w:hAnsi="Cambria" w:cs="BookAntiqua"/>
          <w:sz w:val="20"/>
          <w:szCs w:val="20"/>
          <w:lang w:val="pt-BR"/>
        </w:rPr>
        <w:t>abril</w:t>
      </w:r>
      <w:r w:rsidRPr="004C183A">
        <w:rPr>
          <w:rFonts w:ascii="Cambria" w:hAnsi="Cambria" w:cs="BookAntiqua"/>
          <w:sz w:val="20"/>
          <w:szCs w:val="20"/>
          <w:lang w:val="pt-BR"/>
        </w:rPr>
        <w:t xml:space="preserve"> de 201</w:t>
      </w:r>
      <w:r>
        <w:rPr>
          <w:rFonts w:ascii="Cambria" w:hAnsi="Cambria" w:cs="BookAntiqua"/>
          <w:sz w:val="20"/>
          <w:szCs w:val="20"/>
          <w:lang w:val="pt-BR"/>
        </w:rPr>
        <w:t>9</w:t>
      </w:r>
      <w:r w:rsidRPr="004C183A">
        <w:rPr>
          <w:rFonts w:ascii="Cambria" w:hAnsi="Cambria" w:cs="BookAntiqua"/>
          <w:sz w:val="20"/>
          <w:szCs w:val="20"/>
          <w:lang w:val="pt-BR"/>
        </w:rPr>
        <w:t xml:space="preserve">. </w:t>
      </w:r>
      <w:r w:rsidRPr="00353641">
        <w:rPr>
          <w:rFonts w:ascii="Cambria" w:hAnsi="Cambria" w:cs="BookAntiqua"/>
          <w:sz w:val="20"/>
          <w:szCs w:val="20"/>
          <w:lang w:val="pt-BR"/>
        </w:rPr>
        <w:t xml:space="preserve">(Assinado): </w:t>
      </w:r>
      <w:r w:rsidRPr="00F3588B">
        <w:rPr>
          <w:rFonts w:ascii="Cambria" w:hAnsi="Cambria"/>
          <w:sz w:val="20"/>
          <w:szCs w:val="20"/>
          <w:lang w:val="pt-BR"/>
        </w:rPr>
        <w:t>Esmeralda E. Arosemena Bernal de Troitiño, Presidenta;</w:t>
      </w:r>
      <w:r w:rsidRPr="00287126">
        <w:rPr>
          <w:rFonts w:ascii="Cambria" w:hAnsi="Cambria"/>
          <w:sz w:val="20"/>
          <w:szCs w:val="20"/>
          <w:lang w:val="pt-BR"/>
        </w:rPr>
        <w:t xml:space="preserve"> </w:t>
      </w:r>
      <w:r>
        <w:rPr>
          <w:rFonts w:ascii="Cambria" w:hAnsi="Cambria"/>
          <w:sz w:val="20"/>
          <w:szCs w:val="20"/>
          <w:lang w:val="pt-BR"/>
        </w:rPr>
        <w:t>Joel Hernández García</w:t>
      </w:r>
      <w:r w:rsidRPr="00F3588B">
        <w:rPr>
          <w:rFonts w:ascii="Cambria" w:hAnsi="Cambria"/>
          <w:sz w:val="20"/>
          <w:szCs w:val="20"/>
          <w:lang w:val="pt-BR"/>
        </w:rPr>
        <w:t>, Prime</w:t>
      </w:r>
      <w:r>
        <w:rPr>
          <w:rFonts w:ascii="Cambria" w:hAnsi="Cambria"/>
          <w:sz w:val="20"/>
          <w:szCs w:val="20"/>
          <w:lang w:val="pt-BR"/>
        </w:rPr>
        <w:t>iro</w:t>
      </w:r>
      <w:r w:rsidRPr="00F3588B">
        <w:rPr>
          <w:rFonts w:ascii="Cambria" w:hAnsi="Cambria"/>
          <w:sz w:val="20"/>
          <w:szCs w:val="20"/>
          <w:lang w:val="pt-BR"/>
        </w:rPr>
        <w:t xml:space="preserve"> Vice</w:t>
      </w:r>
      <w:r>
        <w:rPr>
          <w:rFonts w:ascii="Cambria" w:hAnsi="Cambria"/>
          <w:sz w:val="20"/>
          <w:szCs w:val="20"/>
          <w:lang w:val="pt-BR"/>
        </w:rPr>
        <w:t>-</w:t>
      </w:r>
      <w:r w:rsidRPr="00F3588B">
        <w:rPr>
          <w:rFonts w:ascii="Cambria" w:hAnsi="Cambria"/>
          <w:sz w:val="20"/>
          <w:szCs w:val="20"/>
          <w:lang w:val="pt-BR"/>
        </w:rPr>
        <w:t>president</w:t>
      </w:r>
      <w:r>
        <w:rPr>
          <w:rFonts w:ascii="Cambria" w:hAnsi="Cambria"/>
          <w:sz w:val="20"/>
          <w:szCs w:val="20"/>
          <w:lang w:val="pt-BR"/>
        </w:rPr>
        <w:t>e</w:t>
      </w:r>
      <w:r w:rsidRPr="00F3588B">
        <w:rPr>
          <w:rFonts w:ascii="Cambria" w:hAnsi="Cambria"/>
          <w:sz w:val="20"/>
          <w:szCs w:val="20"/>
          <w:lang w:val="pt-BR"/>
        </w:rPr>
        <w:t>; Antonia Urrejola</w:t>
      </w:r>
      <w:r>
        <w:rPr>
          <w:rFonts w:ascii="Cambria" w:hAnsi="Cambria"/>
          <w:sz w:val="20"/>
          <w:szCs w:val="20"/>
          <w:lang w:val="pt-BR"/>
        </w:rPr>
        <w:t>, Segunda</w:t>
      </w:r>
      <w:r w:rsidRPr="00F3588B">
        <w:rPr>
          <w:rFonts w:ascii="Cambria" w:hAnsi="Cambria"/>
          <w:sz w:val="20"/>
          <w:szCs w:val="20"/>
          <w:lang w:val="pt-BR"/>
        </w:rPr>
        <w:t xml:space="preserve"> Vice</w:t>
      </w:r>
      <w:r>
        <w:rPr>
          <w:rFonts w:ascii="Cambria" w:hAnsi="Cambria"/>
          <w:sz w:val="20"/>
          <w:szCs w:val="20"/>
          <w:lang w:val="pt-BR"/>
        </w:rPr>
        <w:t>-</w:t>
      </w:r>
      <w:r w:rsidRPr="00F3588B">
        <w:rPr>
          <w:rFonts w:ascii="Cambria" w:hAnsi="Cambria"/>
          <w:sz w:val="20"/>
          <w:szCs w:val="20"/>
          <w:lang w:val="pt-BR"/>
        </w:rPr>
        <w:t>president</w:t>
      </w:r>
      <w:r>
        <w:rPr>
          <w:rFonts w:ascii="Cambria" w:hAnsi="Cambria"/>
          <w:sz w:val="20"/>
          <w:szCs w:val="20"/>
          <w:lang w:val="pt-BR"/>
        </w:rPr>
        <w:t>a</w:t>
      </w:r>
      <w:r w:rsidRPr="00F3588B">
        <w:rPr>
          <w:rFonts w:ascii="Cambria" w:hAnsi="Cambria"/>
          <w:sz w:val="20"/>
          <w:szCs w:val="20"/>
          <w:lang w:val="pt-BR"/>
        </w:rPr>
        <w:t>; Margarette May Macaulay</w:t>
      </w:r>
      <w:r>
        <w:rPr>
          <w:rFonts w:ascii="Cambria" w:hAnsi="Cambria"/>
          <w:sz w:val="20"/>
          <w:szCs w:val="20"/>
          <w:lang w:val="pt-BR"/>
        </w:rPr>
        <w:t>,</w:t>
      </w:r>
      <w:r w:rsidRPr="00F3588B">
        <w:rPr>
          <w:rFonts w:ascii="Cambria" w:hAnsi="Cambria"/>
          <w:sz w:val="20"/>
          <w:szCs w:val="20"/>
          <w:lang w:val="pt-BR"/>
        </w:rPr>
        <w:t xml:space="preserve"> Francisco José Eguigure</w:t>
      </w:r>
      <w:r>
        <w:rPr>
          <w:rFonts w:ascii="Cambria" w:hAnsi="Cambria"/>
          <w:sz w:val="20"/>
          <w:szCs w:val="20"/>
          <w:lang w:val="pt-BR"/>
        </w:rPr>
        <w:t>n Praeli e</w:t>
      </w:r>
      <w:r w:rsidRPr="00287126">
        <w:rPr>
          <w:rFonts w:ascii="Cambria" w:hAnsi="Cambria"/>
          <w:sz w:val="20"/>
          <w:szCs w:val="20"/>
          <w:lang w:val="pt-BR"/>
        </w:rPr>
        <w:t xml:space="preserve"> </w:t>
      </w:r>
      <w:r w:rsidRPr="00F3588B">
        <w:rPr>
          <w:rFonts w:ascii="Cambria" w:hAnsi="Cambria"/>
          <w:sz w:val="20"/>
          <w:szCs w:val="20"/>
          <w:lang w:val="pt-BR"/>
        </w:rPr>
        <w:t>Lu</w:t>
      </w:r>
      <w:r>
        <w:rPr>
          <w:rFonts w:ascii="Cambria" w:hAnsi="Cambria"/>
          <w:sz w:val="20"/>
          <w:szCs w:val="20"/>
          <w:lang w:val="pt-BR"/>
        </w:rPr>
        <w:t>is Ernesto Vargas Silva</w:t>
      </w:r>
      <w:r w:rsidRPr="00F3588B">
        <w:rPr>
          <w:rFonts w:ascii="Cambria" w:hAnsi="Cambria"/>
          <w:sz w:val="20"/>
          <w:szCs w:val="20"/>
          <w:lang w:val="pt-BR"/>
        </w:rPr>
        <w:t>,</w:t>
      </w:r>
      <w:r w:rsidRPr="00353641">
        <w:rPr>
          <w:rFonts w:ascii="Cambria" w:hAnsi="Cambria" w:cs="BookAntiqua"/>
          <w:sz w:val="20"/>
          <w:szCs w:val="20"/>
          <w:lang w:val="pt-BR"/>
        </w:rPr>
        <w:t xml:space="preserve"> </w:t>
      </w:r>
      <w:r w:rsidRPr="004C183A">
        <w:rPr>
          <w:rFonts w:ascii="Cambria" w:hAnsi="Cambria" w:cs="BookAntiqua"/>
          <w:sz w:val="20"/>
          <w:szCs w:val="20"/>
          <w:lang w:val="pt-BR"/>
        </w:rPr>
        <w:t>Membros da Comissão.</w:t>
      </w:r>
    </w:p>
    <w:sectPr w:rsidR="00FA3DD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67AD1" w14:textId="77777777" w:rsidR="00C45DFC" w:rsidRDefault="00C45DFC">
      <w:r>
        <w:separator/>
      </w:r>
    </w:p>
  </w:endnote>
  <w:endnote w:type="continuationSeparator" w:id="0">
    <w:p w14:paraId="6B7092A1" w14:textId="77777777" w:rsidR="00C45DFC" w:rsidRDefault="00C4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BookAntiqu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3AD2E" w14:textId="77777777" w:rsidR="00603D5C" w:rsidRDefault="00603D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03D5C">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8C7D2" w14:textId="77777777" w:rsidR="00C45DFC" w:rsidRPr="000F35ED" w:rsidRDefault="00C45DF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2E763FF" w14:textId="77777777" w:rsidR="00C45DFC" w:rsidRPr="000F35ED" w:rsidRDefault="00C45DFC" w:rsidP="000F35ED">
      <w:pPr>
        <w:rPr>
          <w:rFonts w:asciiTheme="majorHAnsi" w:hAnsiTheme="majorHAnsi"/>
          <w:sz w:val="16"/>
          <w:szCs w:val="16"/>
        </w:rPr>
      </w:pPr>
      <w:r w:rsidRPr="000F35ED">
        <w:rPr>
          <w:rFonts w:asciiTheme="majorHAnsi" w:hAnsiTheme="majorHAnsi"/>
          <w:sz w:val="16"/>
          <w:szCs w:val="16"/>
        </w:rPr>
        <w:separator/>
      </w:r>
    </w:p>
    <w:p w14:paraId="21F3FF76" w14:textId="77777777" w:rsidR="00C45DFC" w:rsidRPr="000F35ED" w:rsidRDefault="00C45DFC"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068B3B5E" w14:textId="77777777" w:rsidR="00C45DFC" w:rsidRPr="000F35ED" w:rsidRDefault="00C45DFC"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1729E78F" w14:textId="2CE7F657" w:rsidR="00451D3D" w:rsidRPr="002D6A45" w:rsidRDefault="00451D3D" w:rsidP="00451D3D">
      <w:pPr>
        <w:pStyle w:val="FootnoteText"/>
        <w:jc w:val="both"/>
        <w:rPr>
          <w:rFonts w:asciiTheme="majorHAnsi" w:hAnsiTheme="majorHAnsi"/>
          <w:sz w:val="16"/>
          <w:szCs w:val="16"/>
          <w:lang w:val="pt-BR"/>
        </w:rPr>
      </w:pPr>
      <w:r w:rsidRPr="002D6A45">
        <w:rPr>
          <w:rStyle w:val="FootnoteReference"/>
          <w:rFonts w:asciiTheme="majorHAnsi" w:hAnsiTheme="majorHAnsi"/>
          <w:sz w:val="16"/>
          <w:szCs w:val="16"/>
          <w:lang w:val="pt-BR"/>
        </w:rPr>
        <w:footnoteRef/>
      </w:r>
      <w:r w:rsidRPr="002D6A45">
        <w:rPr>
          <w:rFonts w:asciiTheme="majorHAnsi" w:hAnsiTheme="majorHAnsi"/>
          <w:sz w:val="16"/>
          <w:szCs w:val="16"/>
          <w:lang w:val="pt-BR"/>
        </w:rPr>
        <w:t xml:space="preserve"> Por solicitação do peticionário, a Comissão reserva sua identidade com base no artigo 28.2 do seu Regulamento.</w:t>
      </w:r>
    </w:p>
  </w:footnote>
  <w:footnote w:id="3">
    <w:p w14:paraId="06C1BEFA" w14:textId="69DE4796" w:rsidR="004A6A54" w:rsidRPr="002D6A45" w:rsidRDefault="004A6A54" w:rsidP="00451D3D">
      <w:pPr>
        <w:pStyle w:val="FootnoteText"/>
        <w:jc w:val="both"/>
        <w:rPr>
          <w:rFonts w:asciiTheme="majorHAnsi" w:hAnsiTheme="majorHAnsi"/>
          <w:sz w:val="16"/>
          <w:szCs w:val="16"/>
          <w:lang w:val="pt-BR"/>
        </w:rPr>
      </w:pPr>
      <w:r w:rsidRPr="002D6A45">
        <w:rPr>
          <w:rStyle w:val="FootnoteReference"/>
          <w:rFonts w:asciiTheme="majorHAnsi" w:hAnsiTheme="majorHAnsi"/>
          <w:sz w:val="16"/>
          <w:szCs w:val="16"/>
          <w:lang w:val="pt-BR"/>
        </w:rPr>
        <w:footnoteRef/>
      </w:r>
      <w:r w:rsidRPr="002D6A45">
        <w:rPr>
          <w:rFonts w:asciiTheme="majorHAnsi" w:hAnsiTheme="majorHAnsi"/>
          <w:sz w:val="16"/>
          <w:szCs w:val="16"/>
          <w:lang w:val="pt-BR"/>
        </w:rPr>
        <w:t xml:space="preserve"> </w:t>
      </w:r>
      <w:r w:rsidR="006B5EE6" w:rsidRPr="002D6A45">
        <w:rPr>
          <w:rFonts w:asciiTheme="majorHAnsi" w:hAnsiTheme="majorHAnsi"/>
          <w:sz w:val="16"/>
          <w:szCs w:val="16"/>
          <w:lang w:val="pt-BR"/>
        </w:rPr>
        <w:t>Conforme</w:t>
      </w:r>
      <w:r w:rsidRPr="002D6A45">
        <w:rPr>
          <w:rFonts w:asciiTheme="majorHAnsi" w:hAnsiTheme="majorHAnsi"/>
          <w:sz w:val="16"/>
          <w:szCs w:val="16"/>
          <w:lang w:val="pt-BR"/>
        </w:rPr>
        <w:t xml:space="preserve"> </w:t>
      </w:r>
      <w:r w:rsidR="00D21316" w:rsidRPr="002D6A45">
        <w:rPr>
          <w:rFonts w:asciiTheme="majorHAnsi" w:hAnsiTheme="majorHAnsi"/>
          <w:sz w:val="16"/>
          <w:szCs w:val="16"/>
          <w:lang w:val="pt-BR"/>
        </w:rPr>
        <w:t>disposto</w:t>
      </w:r>
      <w:r w:rsidRPr="002D6A45">
        <w:rPr>
          <w:rFonts w:asciiTheme="majorHAnsi" w:hAnsiTheme="majorHAnsi"/>
          <w:sz w:val="16"/>
          <w:szCs w:val="16"/>
          <w:lang w:val="pt-BR"/>
        </w:rPr>
        <w:t xml:space="preserve"> </w:t>
      </w:r>
      <w:r w:rsidR="00D21316" w:rsidRPr="002D6A45">
        <w:rPr>
          <w:rFonts w:asciiTheme="majorHAnsi" w:hAnsiTheme="majorHAnsi"/>
          <w:sz w:val="16"/>
          <w:szCs w:val="16"/>
          <w:lang w:val="pt-BR"/>
        </w:rPr>
        <w:t>no artigo 17.2.a do</w:t>
      </w:r>
      <w:r w:rsidRPr="002D6A45">
        <w:rPr>
          <w:rFonts w:asciiTheme="majorHAnsi" w:hAnsiTheme="majorHAnsi"/>
          <w:sz w:val="16"/>
          <w:szCs w:val="16"/>
          <w:lang w:val="pt-BR"/>
        </w:rPr>
        <w:t xml:space="preserve"> Reg</w:t>
      </w:r>
      <w:r w:rsidR="00D21316" w:rsidRPr="002D6A45">
        <w:rPr>
          <w:rFonts w:asciiTheme="majorHAnsi" w:hAnsiTheme="majorHAnsi"/>
          <w:sz w:val="16"/>
          <w:szCs w:val="16"/>
          <w:lang w:val="pt-BR"/>
        </w:rPr>
        <w:t>u</w:t>
      </w:r>
      <w:r w:rsidRPr="002D6A45">
        <w:rPr>
          <w:rFonts w:asciiTheme="majorHAnsi" w:hAnsiTheme="majorHAnsi"/>
          <w:sz w:val="16"/>
          <w:szCs w:val="16"/>
          <w:lang w:val="pt-BR"/>
        </w:rPr>
        <w:t xml:space="preserve">lamento da </w:t>
      </w:r>
      <w:r w:rsidR="00D21316" w:rsidRPr="002D6A45">
        <w:rPr>
          <w:rFonts w:asciiTheme="majorHAnsi" w:hAnsiTheme="majorHAnsi"/>
          <w:sz w:val="16"/>
          <w:szCs w:val="16"/>
          <w:lang w:val="pt-BR"/>
        </w:rPr>
        <w:t>Comissão</w:t>
      </w:r>
      <w:r w:rsidR="00A53003" w:rsidRPr="002D6A45">
        <w:rPr>
          <w:rFonts w:asciiTheme="majorHAnsi" w:hAnsiTheme="majorHAnsi"/>
          <w:sz w:val="16"/>
          <w:szCs w:val="16"/>
          <w:lang w:val="pt-BR"/>
        </w:rPr>
        <w:t xml:space="preserve">, </w:t>
      </w:r>
      <w:r w:rsidR="00D21316" w:rsidRPr="002D6A45">
        <w:rPr>
          <w:rFonts w:asciiTheme="majorHAnsi" w:hAnsiTheme="majorHAnsi"/>
          <w:sz w:val="16"/>
          <w:szCs w:val="16"/>
          <w:lang w:val="pt-BR"/>
        </w:rPr>
        <w:t>a</w:t>
      </w:r>
      <w:r w:rsidRPr="002D6A45">
        <w:rPr>
          <w:rFonts w:asciiTheme="majorHAnsi" w:hAnsiTheme="majorHAnsi"/>
          <w:sz w:val="16"/>
          <w:szCs w:val="16"/>
          <w:lang w:val="pt-BR"/>
        </w:rPr>
        <w:t xml:space="preserve"> </w:t>
      </w:r>
      <w:r w:rsidR="00A53003" w:rsidRPr="002D6A45">
        <w:rPr>
          <w:rFonts w:asciiTheme="majorHAnsi" w:hAnsiTheme="majorHAnsi"/>
          <w:sz w:val="16"/>
          <w:szCs w:val="16"/>
          <w:lang w:val="pt-BR"/>
        </w:rPr>
        <w:t>Comissária</w:t>
      </w:r>
      <w:r w:rsidRPr="002D6A45">
        <w:rPr>
          <w:rFonts w:asciiTheme="majorHAnsi" w:hAnsiTheme="majorHAnsi"/>
          <w:sz w:val="16"/>
          <w:szCs w:val="16"/>
          <w:lang w:val="pt-BR"/>
        </w:rPr>
        <w:t xml:space="preserve"> </w:t>
      </w:r>
      <w:r w:rsidR="006A20E7" w:rsidRPr="002D6A45">
        <w:rPr>
          <w:rFonts w:asciiTheme="majorHAnsi" w:hAnsiTheme="majorHAnsi"/>
          <w:sz w:val="16"/>
          <w:szCs w:val="16"/>
          <w:lang w:val="pt-BR"/>
        </w:rPr>
        <w:t>Flávia Piovesan</w:t>
      </w:r>
      <w:r w:rsidRPr="002D6A45">
        <w:rPr>
          <w:rFonts w:asciiTheme="majorHAnsi" w:hAnsiTheme="majorHAnsi"/>
          <w:sz w:val="16"/>
          <w:szCs w:val="16"/>
          <w:lang w:val="pt-BR"/>
        </w:rPr>
        <w:t>, de nacionalidad</w:t>
      </w:r>
      <w:r w:rsidR="00B51266" w:rsidRPr="002D6A45">
        <w:rPr>
          <w:rFonts w:asciiTheme="majorHAnsi" w:hAnsiTheme="majorHAnsi"/>
          <w:sz w:val="16"/>
          <w:szCs w:val="16"/>
          <w:lang w:val="pt-BR"/>
        </w:rPr>
        <w:t>e</w:t>
      </w:r>
      <w:r w:rsidRPr="002D6A45">
        <w:rPr>
          <w:rFonts w:asciiTheme="majorHAnsi" w:hAnsiTheme="majorHAnsi"/>
          <w:sz w:val="16"/>
          <w:szCs w:val="16"/>
          <w:lang w:val="pt-BR"/>
        </w:rPr>
        <w:t xml:space="preserve"> </w:t>
      </w:r>
      <w:r w:rsidR="006A20E7" w:rsidRPr="002D6A45">
        <w:rPr>
          <w:rFonts w:asciiTheme="majorHAnsi" w:hAnsiTheme="majorHAnsi"/>
          <w:sz w:val="16"/>
          <w:szCs w:val="16"/>
          <w:lang w:val="pt-BR"/>
        </w:rPr>
        <w:t>brasileira</w:t>
      </w:r>
      <w:r w:rsidR="00A53003" w:rsidRPr="002D6A45">
        <w:rPr>
          <w:rFonts w:asciiTheme="majorHAnsi" w:hAnsiTheme="majorHAnsi"/>
          <w:sz w:val="16"/>
          <w:szCs w:val="16"/>
          <w:lang w:val="pt-BR"/>
        </w:rPr>
        <w:t>, não participou no</w:t>
      </w:r>
      <w:r w:rsidRPr="002D6A45">
        <w:rPr>
          <w:rFonts w:asciiTheme="majorHAnsi" w:hAnsiTheme="majorHAnsi"/>
          <w:sz w:val="16"/>
          <w:szCs w:val="16"/>
          <w:lang w:val="pt-BR"/>
        </w:rPr>
        <w:t xml:space="preserve"> debate </w:t>
      </w:r>
      <w:r w:rsidR="00A53003" w:rsidRPr="002D6A45">
        <w:rPr>
          <w:rFonts w:asciiTheme="majorHAnsi" w:hAnsiTheme="majorHAnsi"/>
          <w:sz w:val="16"/>
          <w:szCs w:val="16"/>
          <w:lang w:val="pt-BR"/>
        </w:rPr>
        <w:t>nem na decisão do</w:t>
      </w:r>
      <w:r w:rsidRPr="002D6A45">
        <w:rPr>
          <w:rFonts w:asciiTheme="majorHAnsi" w:hAnsiTheme="majorHAnsi"/>
          <w:sz w:val="16"/>
          <w:szCs w:val="16"/>
          <w:lang w:val="pt-BR"/>
        </w:rPr>
        <w:t xml:space="preserve"> presente a</w:t>
      </w:r>
      <w:r w:rsidR="00A53003" w:rsidRPr="002D6A45">
        <w:rPr>
          <w:rFonts w:asciiTheme="majorHAnsi" w:hAnsiTheme="majorHAnsi"/>
          <w:sz w:val="16"/>
          <w:szCs w:val="16"/>
          <w:lang w:val="pt-BR"/>
        </w:rPr>
        <w:t>s</w:t>
      </w:r>
      <w:r w:rsidRPr="002D6A45">
        <w:rPr>
          <w:rFonts w:asciiTheme="majorHAnsi" w:hAnsiTheme="majorHAnsi"/>
          <w:sz w:val="16"/>
          <w:szCs w:val="16"/>
          <w:lang w:val="pt-BR"/>
        </w:rPr>
        <w:t>sunto.</w:t>
      </w:r>
    </w:p>
  </w:footnote>
  <w:footnote w:id="4">
    <w:p w14:paraId="50955E3F" w14:textId="028B4915" w:rsidR="00CB20FF" w:rsidRPr="002D6A45" w:rsidRDefault="00CB20FF" w:rsidP="00451D3D">
      <w:pPr>
        <w:pStyle w:val="FootnoteText"/>
        <w:jc w:val="both"/>
        <w:rPr>
          <w:rFonts w:asciiTheme="majorHAnsi" w:hAnsiTheme="majorHAnsi"/>
          <w:sz w:val="16"/>
          <w:szCs w:val="16"/>
          <w:lang w:val="pt-BR"/>
        </w:rPr>
      </w:pPr>
      <w:r w:rsidRPr="002D6A45">
        <w:rPr>
          <w:rStyle w:val="FootnoteReference"/>
          <w:rFonts w:asciiTheme="majorHAnsi" w:hAnsiTheme="majorHAnsi"/>
          <w:sz w:val="16"/>
          <w:szCs w:val="16"/>
          <w:lang w:val="pt-BR"/>
        </w:rPr>
        <w:footnoteRef/>
      </w:r>
      <w:r w:rsidRPr="002D6A45">
        <w:rPr>
          <w:rFonts w:asciiTheme="majorHAnsi" w:hAnsiTheme="majorHAnsi"/>
          <w:sz w:val="16"/>
          <w:szCs w:val="16"/>
          <w:lang w:val="pt-BR"/>
        </w:rPr>
        <w:t xml:space="preserve"> Adiante “Convenção” ou “Convenção Americana”.</w:t>
      </w:r>
    </w:p>
  </w:footnote>
  <w:footnote w:id="5">
    <w:p w14:paraId="3103EFBD" w14:textId="207A3474" w:rsidR="00AA17DC" w:rsidRPr="002D6A45" w:rsidRDefault="00AA17DC" w:rsidP="00451D3D">
      <w:pPr>
        <w:pStyle w:val="FootnoteText"/>
        <w:jc w:val="both"/>
        <w:rPr>
          <w:rFonts w:asciiTheme="majorHAnsi" w:hAnsiTheme="majorHAnsi"/>
          <w:sz w:val="16"/>
          <w:szCs w:val="16"/>
          <w:lang w:val="pt-BR"/>
        </w:rPr>
      </w:pPr>
      <w:r w:rsidRPr="002D6A45">
        <w:rPr>
          <w:rStyle w:val="FootnoteReference"/>
          <w:rFonts w:asciiTheme="majorHAnsi" w:hAnsiTheme="majorHAnsi"/>
          <w:sz w:val="16"/>
          <w:szCs w:val="16"/>
          <w:lang w:val="pt-BR"/>
        </w:rPr>
        <w:footnoteRef/>
      </w:r>
      <w:r w:rsidRPr="002D6A45">
        <w:rPr>
          <w:rFonts w:asciiTheme="majorHAnsi" w:hAnsiTheme="majorHAnsi"/>
          <w:sz w:val="16"/>
          <w:szCs w:val="16"/>
          <w:lang w:val="pt-BR"/>
        </w:rPr>
        <w:t xml:space="preserve"> Adiante “Convenção de Belém do Pará”.</w:t>
      </w:r>
    </w:p>
  </w:footnote>
  <w:footnote w:id="6">
    <w:p w14:paraId="3AD0F055" w14:textId="6C28CC4A" w:rsidR="00AA17DC" w:rsidRPr="002D6A45" w:rsidRDefault="00AA17DC" w:rsidP="00451D3D">
      <w:pPr>
        <w:pStyle w:val="FootnoteText"/>
        <w:jc w:val="both"/>
        <w:rPr>
          <w:rFonts w:asciiTheme="majorHAnsi" w:hAnsiTheme="majorHAnsi"/>
          <w:sz w:val="16"/>
          <w:szCs w:val="16"/>
          <w:lang w:val="pt-BR"/>
        </w:rPr>
      </w:pPr>
      <w:r w:rsidRPr="002D6A45">
        <w:rPr>
          <w:rStyle w:val="FootnoteReference"/>
          <w:rFonts w:asciiTheme="majorHAnsi" w:hAnsiTheme="majorHAnsi"/>
          <w:sz w:val="16"/>
          <w:szCs w:val="16"/>
          <w:lang w:val="pt-BR"/>
        </w:rPr>
        <w:footnoteRef/>
      </w:r>
      <w:r w:rsidRPr="002D6A45">
        <w:rPr>
          <w:rFonts w:asciiTheme="majorHAnsi" w:hAnsiTheme="majorHAnsi"/>
          <w:sz w:val="16"/>
          <w:szCs w:val="16"/>
          <w:lang w:val="pt-BR"/>
        </w:rPr>
        <w:t xml:space="preserve"> O peticionário não alega artigos violados em relação à Convenção Americana e à Convenção </w:t>
      </w:r>
      <w:r w:rsidRPr="002D6A45">
        <w:rPr>
          <w:rFonts w:asciiTheme="majorHAnsi" w:hAnsiTheme="majorHAnsi"/>
          <w:bCs/>
          <w:sz w:val="16"/>
          <w:szCs w:val="16"/>
          <w:lang w:val="pt-BR"/>
        </w:rPr>
        <w:t>sobre a Eliminação de Todas as Formas de discriminação contra a Mulher</w:t>
      </w:r>
    </w:p>
  </w:footnote>
  <w:footnote w:id="7">
    <w:p w14:paraId="79F07139" w14:textId="59ADAE8B" w:rsidR="008E3BFE" w:rsidRPr="002D6A45" w:rsidRDefault="008E3BFE" w:rsidP="00451D3D">
      <w:pPr>
        <w:pStyle w:val="FootnoteText"/>
        <w:jc w:val="both"/>
        <w:rPr>
          <w:rFonts w:asciiTheme="majorHAnsi" w:hAnsiTheme="majorHAnsi"/>
          <w:sz w:val="16"/>
          <w:szCs w:val="16"/>
          <w:lang w:val="pt-BR"/>
        </w:rPr>
      </w:pPr>
      <w:r w:rsidRPr="002D6A45">
        <w:rPr>
          <w:rStyle w:val="FootnoteReference"/>
          <w:rFonts w:asciiTheme="majorHAnsi" w:hAnsiTheme="majorHAnsi"/>
          <w:sz w:val="16"/>
          <w:szCs w:val="16"/>
          <w:lang w:val="pt-BR"/>
        </w:rPr>
        <w:footnoteRef/>
      </w:r>
      <w:r w:rsidRPr="002D6A45">
        <w:rPr>
          <w:rFonts w:asciiTheme="majorHAnsi" w:hAnsiTheme="majorHAnsi"/>
          <w:sz w:val="16"/>
          <w:szCs w:val="16"/>
          <w:lang w:val="pt-BR"/>
        </w:rPr>
        <w:t xml:space="preserve"> </w:t>
      </w:r>
      <w:r w:rsidR="00A53003" w:rsidRPr="002D6A45">
        <w:rPr>
          <w:rFonts w:asciiTheme="majorHAnsi" w:hAnsiTheme="majorHAnsi"/>
          <w:sz w:val="16"/>
          <w:szCs w:val="16"/>
          <w:lang w:val="pt-BR"/>
        </w:rPr>
        <w:t>As observações de cada parte foram dev</w:t>
      </w:r>
      <w:r w:rsidRPr="002D6A45">
        <w:rPr>
          <w:rFonts w:asciiTheme="majorHAnsi" w:hAnsiTheme="majorHAnsi"/>
          <w:sz w:val="16"/>
          <w:szCs w:val="16"/>
          <w:lang w:val="pt-BR"/>
        </w:rPr>
        <w:t>idamente tra</w:t>
      </w:r>
      <w:r w:rsidR="00A53003" w:rsidRPr="002D6A45">
        <w:rPr>
          <w:rFonts w:asciiTheme="majorHAnsi" w:hAnsiTheme="majorHAnsi"/>
          <w:sz w:val="16"/>
          <w:szCs w:val="16"/>
          <w:lang w:val="pt-BR"/>
        </w:rPr>
        <w:t>n</w:t>
      </w:r>
      <w:r w:rsidRPr="002D6A45">
        <w:rPr>
          <w:rFonts w:asciiTheme="majorHAnsi" w:hAnsiTheme="majorHAnsi"/>
          <w:sz w:val="16"/>
          <w:szCs w:val="16"/>
          <w:lang w:val="pt-BR"/>
        </w:rPr>
        <w:t xml:space="preserve">sladadas </w:t>
      </w:r>
      <w:r w:rsidR="00A53003" w:rsidRPr="002D6A45">
        <w:rPr>
          <w:rFonts w:asciiTheme="majorHAnsi" w:hAnsiTheme="majorHAnsi"/>
          <w:sz w:val="16"/>
          <w:szCs w:val="16"/>
          <w:lang w:val="pt-BR"/>
        </w:rPr>
        <w:t>à parte contrá</w:t>
      </w:r>
      <w:r w:rsidRPr="002D6A45">
        <w:rPr>
          <w:rFonts w:asciiTheme="majorHAnsi" w:hAnsiTheme="majorHAnsi"/>
          <w:sz w:val="16"/>
          <w:szCs w:val="16"/>
          <w:lang w:val="pt-BR"/>
        </w:rPr>
        <w:t>ria.</w:t>
      </w:r>
    </w:p>
  </w:footnote>
  <w:footnote w:id="8">
    <w:p w14:paraId="6A3F3E76" w14:textId="5592E9D9" w:rsidR="00185496" w:rsidRPr="002D6A45" w:rsidRDefault="00185496" w:rsidP="00451D3D">
      <w:pPr>
        <w:pStyle w:val="FootnoteText"/>
        <w:jc w:val="both"/>
        <w:rPr>
          <w:rFonts w:asciiTheme="majorHAnsi" w:hAnsiTheme="majorHAnsi"/>
          <w:sz w:val="16"/>
          <w:szCs w:val="16"/>
          <w:lang w:val="pt-BR"/>
        </w:rPr>
      </w:pPr>
      <w:r w:rsidRPr="002D6A45">
        <w:rPr>
          <w:rStyle w:val="FootnoteReference"/>
          <w:rFonts w:asciiTheme="majorHAnsi" w:hAnsiTheme="majorHAnsi"/>
          <w:sz w:val="16"/>
          <w:szCs w:val="16"/>
          <w:lang w:val="pt-BR"/>
        </w:rPr>
        <w:footnoteRef/>
      </w:r>
      <w:r w:rsidRPr="002D6A45">
        <w:rPr>
          <w:rFonts w:asciiTheme="majorHAnsi" w:hAnsiTheme="majorHAnsi"/>
          <w:sz w:val="16"/>
          <w:szCs w:val="16"/>
          <w:lang w:val="pt-BR"/>
        </w:rPr>
        <w:t xml:space="preserve"> </w:t>
      </w:r>
      <w:r w:rsidR="00AA17DC" w:rsidRPr="002D6A45">
        <w:rPr>
          <w:rFonts w:asciiTheme="majorHAnsi" w:hAnsiTheme="majorHAnsi"/>
          <w:bCs/>
          <w:color w:val="auto"/>
          <w:sz w:val="16"/>
          <w:szCs w:val="16"/>
          <w:lang w:val="pt-BR"/>
        </w:rPr>
        <w:t>Convenção Americana (adotada no dia 25 de setembro de 1992); Convenção de Belém do Pará (instrumento depositado em 27 de novembro de 1995).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9B9CAEE">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14:paraId="1CF3204D" w14:textId="77777777" w:rsidR="00040C3A" w:rsidRPr="00EC7D62" w:rsidRDefault="00C45DFC"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9E4B6" w14:textId="77777777" w:rsidR="00603D5C" w:rsidRDefault="00603D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0FF6C19C"/>
    <w:lvl w:ilvl="0" w:tplc="EEDE76EA">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
  <w:docVars>
    <w:docVar w:name="__Grammarly_42____i" w:val="H4sIAAAAAAAEAKtWckksSQxILCpxzi/NK1GyMqwFAAEhoTITAAAA"/>
    <w:docVar w:name="__Grammarly_42___1" w:val="H4sIAAAAAAAEAKtWcslP9kxRslIyNDY0Nzc3NDYzNjM0M7YwNTZQ0lEKTi0uzszPAykwNK4FAE3omOctAAAA"/>
  </w:docVars>
  <w:rsids>
    <w:rsidRoot w:val="006B2D5C"/>
    <w:rsid w:val="0000036F"/>
    <w:rsid w:val="00000CDA"/>
    <w:rsid w:val="00006E1F"/>
    <w:rsid w:val="000070D7"/>
    <w:rsid w:val="0001788C"/>
    <w:rsid w:val="000337EF"/>
    <w:rsid w:val="00040C3A"/>
    <w:rsid w:val="000419AD"/>
    <w:rsid w:val="000433C9"/>
    <w:rsid w:val="0005464E"/>
    <w:rsid w:val="000716C5"/>
    <w:rsid w:val="00075E23"/>
    <w:rsid w:val="0009344A"/>
    <w:rsid w:val="000A392E"/>
    <w:rsid w:val="000A4CEE"/>
    <w:rsid w:val="000A575F"/>
    <w:rsid w:val="000D10DB"/>
    <w:rsid w:val="000E5EB5"/>
    <w:rsid w:val="000F35ED"/>
    <w:rsid w:val="00107131"/>
    <w:rsid w:val="0010736F"/>
    <w:rsid w:val="00113F73"/>
    <w:rsid w:val="00121CC2"/>
    <w:rsid w:val="00126384"/>
    <w:rsid w:val="00133EE5"/>
    <w:rsid w:val="00167A34"/>
    <w:rsid w:val="00182221"/>
    <w:rsid w:val="00185496"/>
    <w:rsid w:val="001A7870"/>
    <w:rsid w:val="001B3A00"/>
    <w:rsid w:val="001C1B41"/>
    <w:rsid w:val="001D65EF"/>
    <w:rsid w:val="001E49E7"/>
    <w:rsid w:val="001F3160"/>
    <w:rsid w:val="001F7201"/>
    <w:rsid w:val="00223A29"/>
    <w:rsid w:val="002250A3"/>
    <w:rsid w:val="0022736D"/>
    <w:rsid w:val="00235217"/>
    <w:rsid w:val="00235B3F"/>
    <w:rsid w:val="00246D1F"/>
    <w:rsid w:val="00247403"/>
    <w:rsid w:val="00247542"/>
    <w:rsid w:val="0026221E"/>
    <w:rsid w:val="00266B61"/>
    <w:rsid w:val="0026712A"/>
    <w:rsid w:val="002704DB"/>
    <w:rsid w:val="00286661"/>
    <w:rsid w:val="00296739"/>
    <w:rsid w:val="002A0AAE"/>
    <w:rsid w:val="002A5820"/>
    <w:rsid w:val="002D2B26"/>
    <w:rsid w:val="002D6A45"/>
    <w:rsid w:val="002D7EA2"/>
    <w:rsid w:val="002E187C"/>
    <w:rsid w:val="002F194E"/>
    <w:rsid w:val="00302733"/>
    <w:rsid w:val="00314078"/>
    <w:rsid w:val="00314414"/>
    <w:rsid w:val="00315288"/>
    <w:rsid w:val="0031535D"/>
    <w:rsid w:val="003239B8"/>
    <w:rsid w:val="0033169F"/>
    <w:rsid w:val="0033543F"/>
    <w:rsid w:val="00344977"/>
    <w:rsid w:val="00345C16"/>
    <w:rsid w:val="00346C95"/>
    <w:rsid w:val="00356185"/>
    <w:rsid w:val="00360380"/>
    <w:rsid w:val="0037519E"/>
    <w:rsid w:val="00386CF0"/>
    <w:rsid w:val="0038709A"/>
    <w:rsid w:val="003B70FB"/>
    <w:rsid w:val="003C676B"/>
    <w:rsid w:val="003D1B86"/>
    <w:rsid w:val="003D1E10"/>
    <w:rsid w:val="003D3BC2"/>
    <w:rsid w:val="003E6CA1"/>
    <w:rsid w:val="003F039E"/>
    <w:rsid w:val="004065A8"/>
    <w:rsid w:val="004165C2"/>
    <w:rsid w:val="00441ECB"/>
    <w:rsid w:val="00445193"/>
    <w:rsid w:val="00451D3D"/>
    <w:rsid w:val="00460C79"/>
    <w:rsid w:val="00462C1B"/>
    <w:rsid w:val="00467B7E"/>
    <w:rsid w:val="00473BB4"/>
    <w:rsid w:val="004753B3"/>
    <w:rsid w:val="00477592"/>
    <w:rsid w:val="004810A3"/>
    <w:rsid w:val="00486F1C"/>
    <w:rsid w:val="0049419D"/>
    <w:rsid w:val="0049751C"/>
    <w:rsid w:val="004A06DA"/>
    <w:rsid w:val="004A6A54"/>
    <w:rsid w:val="004C20D2"/>
    <w:rsid w:val="004C2312"/>
    <w:rsid w:val="004C4B62"/>
    <w:rsid w:val="004C54C9"/>
    <w:rsid w:val="004D4ABA"/>
    <w:rsid w:val="004D6025"/>
    <w:rsid w:val="004E2649"/>
    <w:rsid w:val="004F7C18"/>
    <w:rsid w:val="00501399"/>
    <w:rsid w:val="0050633D"/>
    <w:rsid w:val="00507BC4"/>
    <w:rsid w:val="005128E4"/>
    <w:rsid w:val="005133DB"/>
    <w:rsid w:val="00525560"/>
    <w:rsid w:val="00544C49"/>
    <w:rsid w:val="005516A1"/>
    <w:rsid w:val="00563557"/>
    <w:rsid w:val="0057402A"/>
    <w:rsid w:val="005771D0"/>
    <w:rsid w:val="0059191A"/>
    <w:rsid w:val="005921FF"/>
    <w:rsid w:val="005A24ED"/>
    <w:rsid w:val="005A6D0E"/>
    <w:rsid w:val="005B52B0"/>
    <w:rsid w:val="005B6806"/>
    <w:rsid w:val="005C1E05"/>
    <w:rsid w:val="005C4225"/>
    <w:rsid w:val="005F0DAD"/>
    <w:rsid w:val="005F0F33"/>
    <w:rsid w:val="00600DEB"/>
    <w:rsid w:val="00603D5C"/>
    <w:rsid w:val="00627C9F"/>
    <w:rsid w:val="006311E9"/>
    <w:rsid w:val="00632354"/>
    <w:rsid w:val="00642810"/>
    <w:rsid w:val="00646BED"/>
    <w:rsid w:val="00652333"/>
    <w:rsid w:val="006652E1"/>
    <w:rsid w:val="00673E1C"/>
    <w:rsid w:val="0068009E"/>
    <w:rsid w:val="00692219"/>
    <w:rsid w:val="006A17D2"/>
    <w:rsid w:val="006A20E7"/>
    <w:rsid w:val="006A73E6"/>
    <w:rsid w:val="006B2D5C"/>
    <w:rsid w:val="006B5EE6"/>
    <w:rsid w:val="006C36F0"/>
    <w:rsid w:val="006C4EB1"/>
    <w:rsid w:val="006E0166"/>
    <w:rsid w:val="006E7B34"/>
    <w:rsid w:val="0070697F"/>
    <w:rsid w:val="0072199C"/>
    <w:rsid w:val="00722C9F"/>
    <w:rsid w:val="007253B8"/>
    <w:rsid w:val="0073741F"/>
    <w:rsid w:val="00741306"/>
    <w:rsid w:val="0076643F"/>
    <w:rsid w:val="007665A8"/>
    <w:rsid w:val="00777F63"/>
    <w:rsid w:val="00781497"/>
    <w:rsid w:val="007A3994"/>
    <w:rsid w:val="007A5817"/>
    <w:rsid w:val="007B05C4"/>
    <w:rsid w:val="007B60E9"/>
    <w:rsid w:val="007B6CC3"/>
    <w:rsid w:val="007B76D3"/>
    <w:rsid w:val="007C3334"/>
    <w:rsid w:val="007D2B98"/>
    <w:rsid w:val="007E21BC"/>
    <w:rsid w:val="007E7C82"/>
    <w:rsid w:val="007F588D"/>
    <w:rsid w:val="00803F1C"/>
    <w:rsid w:val="0080600E"/>
    <w:rsid w:val="00817612"/>
    <w:rsid w:val="008338A4"/>
    <w:rsid w:val="00834D49"/>
    <w:rsid w:val="00837C45"/>
    <w:rsid w:val="00844730"/>
    <w:rsid w:val="008457C2"/>
    <w:rsid w:val="00857A82"/>
    <w:rsid w:val="00873836"/>
    <w:rsid w:val="00885737"/>
    <w:rsid w:val="00890650"/>
    <w:rsid w:val="008977FC"/>
    <w:rsid w:val="00897E12"/>
    <w:rsid w:val="008A7E0F"/>
    <w:rsid w:val="008B1152"/>
    <w:rsid w:val="008B12F5"/>
    <w:rsid w:val="008B4924"/>
    <w:rsid w:val="008D768D"/>
    <w:rsid w:val="008E3759"/>
    <w:rsid w:val="008E3BFE"/>
    <w:rsid w:val="008F1912"/>
    <w:rsid w:val="0090270B"/>
    <w:rsid w:val="009041DC"/>
    <w:rsid w:val="00917B5A"/>
    <w:rsid w:val="00920A58"/>
    <w:rsid w:val="00920A8C"/>
    <w:rsid w:val="00934A2C"/>
    <w:rsid w:val="0096706E"/>
    <w:rsid w:val="009728E3"/>
    <w:rsid w:val="00974491"/>
    <w:rsid w:val="00975C4E"/>
    <w:rsid w:val="00977050"/>
    <w:rsid w:val="00981FBA"/>
    <w:rsid w:val="00997BC5"/>
    <w:rsid w:val="009A4F41"/>
    <w:rsid w:val="009B381B"/>
    <w:rsid w:val="009D1753"/>
    <w:rsid w:val="009D7611"/>
    <w:rsid w:val="009E0B61"/>
    <w:rsid w:val="009E53DE"/>
    <w:rsid w:val="00A11212"/>
    <w:rsid w:val="00A11E44"/>
    <w:rsid w:val="00A328B3"/>
    <w:rsid w:val="00A37F2E"/>
    <w:rsid w:val="00A45EB0"/>
    <w:rsid w:val="00A50FCF"/>
    <w:rsid w:val="00A528D1"/>
    <w:rsid w:val="00A53003"/>
    <w:rsid w:val="00A610CD"/>
    <w:rsid w:val="00A758AA"/>
    <w:rsid w:val="00A75CC3"/>
    <w:rsid w:val="00A8045A"/>
    <w:rsid w:val="00AA09A2"/>
    <w:rsid w:val="00AA17DC"/>
    <w:rsid w:val="00AA2CF6"/>
    <w:rsid w:val="00AA7996"/>
    <w:rsid w:val="00AC19CB"/>
    <w:rsid w:val="00AE5488"/>
    <w:rsid w:val="00AE6F91"/>
    <w:rsid w:val="00AF3BBE"/>
    <w:rsid w:val="00AF5571"/>
    <w:rsid w:val="00B07341"/>
    <w:rsid w:val="00B30539"/>
    <w:rsid w:val="00B314DB"/>
    <w:rsid w:val="00B361F2"/>
    <w:rsid w:val="00B3718B"/>
    <w:rsid w:val="00B43F56"/>
    <w:rsid w:val="00B4632A"/>
    <w:rsid w:val="00B51266"/>
    <w:rsid w:val="00B530F1"/>
    <w:rsid w:val="00B73969"/>
    <w:rsid w:val="00BA276C"/>
    <w:rsid w:val="00BA416D"/>
    <w:rsid w:val="00BB1CD5"/>
    <w:rsid w:val="00BB306F"/>
    <w:rsid w:val="00BC1EEE"/>
    <w:rsid w:val="00BD4B89"/>
    <w:rsid w:val="00BD5922"/>
    <w:rsid w:val="00BF02CB"/>
    <w:rsid w:val="00BF6FD8"/>
    <w:rsid w:val="00C03680"/>
    <w:rsid w:val="00C054DF"/>
    <w:rsid w:val="00C21762"/>
    <w:rsid w:val="00C21FEF"/>
    <w:rsid w:val="00C24543"/>
    <w:rsid w:val="00C256A2"/>
    <w:rsid w:val="00C45DFC"/>
    <w:rsid w:val="00C51515"/>
    <w:rsid w:val="00C5660B"/>
    <w:rsid w:val="00C66A45"/>
    <w:rsid w:val="00C66B72"/>
    <w:rsid w:val="00C87AC4"/>
    <w:rsid w:val="00C9567A"/>
    <w:rsid w:val="00CA21A4"/>
    <w:rsid w:val="00CB20FF"/>
    <w:rsid w:val="00CB212D"/>
    <w:rsid w:val="00CB2660"/>
    <w:rsid w:val="00CC5E90"/>
    <w:rsid w:val="00CD046C"/>
    <w:rsid w:val="00CD2B21"/>
    <w:rsid w:val="00CE076C"/>
    <w:rsid w:val="00CE5199"/>
    <w:rsid w:val="00CE66D5"/>
    <w:rsid w:val="00CF637A"/>
    <w:rsid w:val="00D059DE"/>
    <w:rsid w:val="00D05ABD"/>
    <w:rsid w:val="00D1071F"/>
    <w:rsid w:val="00D13FCE"/>
    <w:rsid w:val="00D21316"/>
    <w:rsid w:val="00D306D1"/>
    <w:rsid w:val="00D30800"/>
    <w:rsid w:val="00D34786"/>
    <w:rsid w:val="00D358AF"/>
    <w:rsid w:val="00D37BFC"/>
    <w:rsid w:val="00D47A8E"/>
    <w:rsid w:val="00D52D14"/>
    <w:rsid w:val="00D56D21"/>
    <w:rsid w:val="00D712D3"/>
    <w:rsid w:val="00D71422"/>
    <w:rsid w:val="00D72DC6"/>
    <w:rsid w:val="00D7558D"/>
    <w:rsid w:val="00D77E94"/>
    <w:rsid w:val="00D81D92"/>
    <w:rsid w:val="00D876F9"/>
    <w:rsid w:val="00D921E5"/>
    <w:rsid w:val="00D95087"/>
    <w:rsid w:val="00DA2224"/>
    <w:rsid w:val="00DA7B5F"/>
    <w:rsid w:val="00DC11E7"/>
    <w:rsid w:val="00DC7023"/>
    <w:rsid w:val="00DC769A"/>
    <w:rsid w:val="00DD3D86"/>
    <w:rsid w:val="00DD4AD2"/>
    <w:rsid w:val="00DF1EC4"/>
    <w:rsid w:val="00E0340B"/>
    <w:rsid w:val="00E04A90"/>
    <w:rsid w:val="00E0551F"/>
    <w:rsid w:val="00E219C7"/>
    <w:rsid w:val="00E4118C"/>
    <w:rsid w:val="00E43157"/>
    <w:rsid w:val="00E461CE"/>
    <w:rsid w:val="00E524E4"/>
    <w:rsid w:val="00E720CA"/>
    <w:rsid w:val="00E72DD7"/>
    <w:rsid w:val="00E84EB5"/>
    <w:rsid w:val="00E85662"/>
    <w:rsid w:val="00E8789F"/>
    <w:rsid w:val="00E9764D"/>
    <w:rsid w:val="00E97B71"/>
    <w:rsid w:val="00EA0D10"/>
    <w:rsid w:val="00EA3D34"/>
    <w:rsid w:val="00EB454D"/>
    <w:rsid w:val="00EC77D3"/>
    <w:rsid w:val="00ED549D"/>
    <w:rsid w:val="00ED76BE"/>
    <w:rsid w:val="00EE00E9"/>
    <w:rsid w:val="00EF619B"/>
    <w:rsid w:val="00F00B55"/>
    <w:rsid w:val="00F02AD1"/>
    <w:rsid w:val="00F06D2C"/>
    <w:rsid w:val="00F253CC"/>
    <w:rsid w:val="00F37106"/>
    <w:rsid w:val="00F519CF"/>
    <w:rsid w:val="00F56BA5"/>
    <w:rsid w:val="00F60E22"/>
    <w:rsid w:val="00F615C4"/>
    <w:rsid w:val="00F758EA"/>
    <w:rsid w:val="00F81395"/>
    <w:rsid w:val="00F81BB8"/>
    <w:rsid w:val="00F917D1"/>
    <w:rsid w:val="00F9653B"/>
    <w:rsid w:val="00FA079C"/>
    <w:rsid w:val="00FA3DDB"/>
    <w:rsid w:val="00FB62CF"/>
    <w:rsid w:val="00FD3C3B"/>
    <w:rsid w:val="00FE07DD"/>
    <w:rsid w:val="00FE6B45"/>
    <w:rsid w:val="00FF131E"/>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A21A4"/>
    <w:rPr>
      <w:sz w:val="16"/>
      <w:szCs w:val="16"/>
    </w:rPr>
  </w:style>
  <w:style w:type="paragraph" w:styleId="CommentText">
    <w:name w:val="annotation text"/>
    <w:basedOn w:val="Normal"/>
    <w:link w:val="CommentTextChar"/>
    <w:uiPriority w:val="99"/>
    <w:semiHidden/>
    <w:unhideWhenUsed/>
    <w:rsid w:val="00CA21A4"/>
    <w:rPr>
      <w:sz w:val="20"/>
      <w:szCs w:val="20"/>
    </w:rPr>
  </w:style>
  <w:style w:type="character" w:customStyle="1" w:styleId="CommentTextChar">
    <w:name w:val="Comment Text Char"/>
    <w:basedOn w:val="DefaultParagraphFont"/>
    <w:link w:val="CommentText"/>
    <w:uiPriority w:val="99"/>
    <w:semiHidden/>
    <w:rsid w:val="00CA21A4"/>
    <w:rPr>
      <w:lang w:val="en-US" w:eastAsia="en-US"/>
    </w:rPr>
  </w:style>
  <w:style w:type="paragraph" w:styleId="CommentSubject">
    <w:name w:val="annotation subject"/>
    <w:basedOn w:val="CommentText"/>
    <w:next w:val="CommentText"/>
    <w:link w:val="CommentSubjectChar"/>
    <w:uiPriority w:val="99"/>
    <w:semiHidden/>
    <w:unhideWhenUsed/>
    <w:rsid w:val="00CA21A4"/>
    <w:rPr>
      <w:b/>
      <w:bCs/>
    </w:rPr>
  </w:style>
  <w:style w:type="character" w:customStyle="1" w:styleId="CommentSubjectChar">
    <w:name w:val="Comment Subject Char"/>
    <w:basedOn w:val="CommentTextChar"/>
    <w:link w:val="CommentSubject"/>
    <w:uiPriority w:val="99"/>
    <w:semiHidden/>
    <w:rsid w:val="00CA21A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FE0E5-5AC8-40D0-B2FE-1593ECB3A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1520</Words>
  <Characters>8670</Characters>
  <Application>Microsoft Office Word</Application>
  <DocSecurity>0</DocSecurity>
  <Lines>72</Lines>
  <Paragraphs>20</Paragraphs>
  <ScaleCrop>false</ScaleCrop>
  <Company/>
  <LinksUpToDate>false</LinksUpToDate>
  <CharactersWithSpaces>10170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No. 37/19</dc:title>
  <dc:creator/>
  <cp:lastModifiedBy/>
  <cp:revision>1</cp:revision>
  <dcterms:created xsi:type="dcterms:W3CDTF">2019-10-21T16:47:00Z</dcterms:created>
  <dcterms:modified xsi:type="dcterms:W3CDTF">2019-10-21T16:47:00Z</dcterms:modified>
</cp:coreProperties>
</file>