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759FB" w:rsidRDefault="00D306D1" w:rsidP="00627C9F">
      <w:pPr>
        <w:jc w:val="both"/>
        <w:rPr>
          <w:rFonts w:asciiTheme="majorHAnsi" w:hAnsiTheme="majorHAnsi" w:cs="Univers"/>
          <w:b/>
          <w:bCs/>
          <w:sz w:val="22"/>
          <w:szCs w:val="22"/>
          <w:lang w:val="pt-BR"/>
        </w:rPr>
      </w:pPr>
      <w:r w:rsidRPr="00E759F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7B1851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E759F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759FB"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E759FB"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E759FB" w:rsidRDefault="005128E4" w:rsidP="00040C3A">
      <w:pPr>
        <w:tabs>
          <w:tab w:val="center" w:pos="5400"/>
        </w:tabs>
        <w:suppressAutoHyphens/>
        <w:rPr>
          <w:rFonts w:asciiTheme="majorHAnsi" w:hAnsiTheme="majorHAnsi"/>
          <w:sz w:val="22"/>
          <w:szCs w:val="22"/>
          <w:lang w:val="pt-BR"/>
        </w:rPr>
      </w:pPr>
    </w:p>
    <w:p w14:paraId="12A36B24" w14:textId="77777777" w:rsidR="005128E4" w:rsidRPr="00E759FB" w:rsidRDefault="005128E4" w:rsidP="00040C3A">
      <w:pPr>
        <w:tabs>
          <w:tab w:val="center" w:pos="5400"/>
        </w:tabs>
        <w:suppressAutoHyphens/>
        <w:rPr>
          <w:rFonts w:asciiTheme="majorHAnsi" w:hAnsiTheme="majorHAnsi"/>
          <w:sz w:val="22"/>
          <w:szCs w:val="22"/>
          <w:lang w:val="pt-BR"/>
        </w:rPr>
      </w:pPr>
    </w:p>
    <w:p w14:paraId="2252093D" w14:textId="77777777" w:rsidR="005128E4" w:rsidRPr="00E759FB" w:rsidRDefault="005128E4" w:rsidP="00040C3A">
      <w:pPr>
        <w:tabs>
          <w:tab w:val="center" w:pos="5400"/>
        </w:tabs>
        <w:suppressAutoHyphens/>
        <w:rPr>
          <w:rFonts w:asciiTheme="majorHAnsi" w:hAnsiTheme="majorHAnsi"/>
          <w:sz w:val="22"/>
          <w:szCs w:val="22"/>
          <w:lang w:val="pt-BR"/>
        </w:rPr>
      </w:pPr>
    </w:p>
    <w:p w14:paraId="403935BD" w14:textId="77777777" w:rsidR="00040C3A" w:rsidRPr="00E759FB"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E759FB"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E759FB"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E759FB"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E759FB"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E759FB" w:rsidRDefault="003D3BC2" w:rsidP="00040C3A">
      <w:pPr>
        <w:tabs>
          <w:tab w:val="center" w:pos="5400"/>
        </w:tabs>
        <w:suppressAutoHyphens/>
        <w:jc w:val="center"/>
        <w:rPr>
          <w:rFonts w:asciiTheme="majorHAnsi" w:hAnsiTheme="majorHAnsi"/>
          <w:sz w:val="22"/>
          <w:szCs w:val="22"/>
          <w:lang w:val="pt-BR"/>
        </w:rPr>
      </w:pPr>
      <w:r w:rsidRPr="00E759F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9152488"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FB622A">
                              <w:rPr>
                                <w:rFonts w:asciiTheme="majorHAnsi" w:hAnsiTheme="majorHAnsi" w:cs="Arial"/>
                                <w:b/>
                                <w:bCs/>
                                <w:color w:val="0D0D0D" w:themeColor="text1" w:themeTint="F2"/>
                                <w:sz w:val="36"/>
                                <w:szCs w:val="22"/>
                                <w:lang w:val="pt-BR"/>
                              </w:rPr>
                              <w:t>116</w:t>
                            </w:r>
                            <w:r w:rsidR="007B05C4" w:rsidRPr="007665A8">
                              <w:rPr>
                                <w:rFonts w:asciiTheme="majorHAnsi" w:hAnsiTheme="majorHAnsi" w:cs="Arial"/>
                                <w:b/>
                                <w:bCs/>
                                <w:color w:val="0D0D0D" w:themeColor="text1" w:themeTint="F2"/>
                                <w:sz w:val="36"/>
                                <w:szCs w:val="22"/>
                                <w:lang w:val="pt-BR"/>
                              </w:rPr>
                              <w:t>/</w:t>
                            </w:r>
                            <w:r w:rsidR="003B686B">
                              <w:rPr>
                                <w:rFonts w:asciiTheme="majorHAnsi" w:hAnsiTheme="majorHAnsi" w:cs="Arial"/>
                                <w:b/>
                                <w:bCs/>
                                <w:color w:val="0D0D0D" w:themeColor="text1" w:themeTint="F2"/>
                                <w:sz w:val="36"/>
                                <w:szCs w:val="22"/>
                                <w:lang w:val="pt-BR"/>
                              </w:rPr>
                              <w:t>20</w:t>
                            </w:r>
                          </w:p>
                          <w:p w14:paraId="09C54AB3" w14:textId="2D98603F"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B921FD">
                              <w:rPr>
                                <w:rFonts w:asciiTheme="majorHAnsi" w:hAnsiTheme="majorHAnsi" w:cs="Arial"/>
                                <w:b/>
                                <w:color w:val="0D0D0D" w:themeColor="text1" w:themeTint="F2"/>
                                <w:sz w:val="36"/>
                                <w:szCs w:val="22"/>
                                <w:lang w:val="pt-BR"/>
                              </w:rPr>
                              <w:t>221-12</w:t>
                            </w:r>
                            <w:r w:rsidR="00246D1F" w:rsidRPr="00DA2224">
                              <w:rPr>
                                <w:rFonts w:asciiTheme="majorHAnsi" w:hAnsiTheme="majorHAnsi" w:cs="Arial"/>
                                <w:b/>
                                <w:color w:val="0D0D0D" w:themeColor="text1" w:themeTint="F2"/>
                                <w:sz w:val="36"/>
                                <w:szCs w:val="22"/>
                                <w:lang w:val="pt-BR"/>
                              </w:rPr>
                              <w:t xml:space="preserve"> </w:t>
                            </w:r>
                          </w:p>
                          <w:p w14:paraId="70CF6833" w14:textId="0CEA14F8"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1C4AF7CB" w14:textId="3B8B8E41" w:rsidR="00B51650" w:rsidRPr="00B51650" w:rsidRDefault="00B51650" w:rsidP="00997BC5">
                            <w:pPr>
                              <w:spacing w:line="276" w:lineRule="auto"/>
                              <w:rPr>
                                <w:rFonts w:asciiTheme="majorHAnsi" w:hAnsiTheme="majorHAnsi" w:cs="Arial"/>
                                <w:color w:val="0D0D0D" w:themeColor="text1" w:themeTint="F2"/>
                                <w:lang w:val="pt-BR"/>
                              </w:rPr>
                            </w:pPr>
                            <w:r w:rsidRPr="00B51650">
                              <w:rPr>
                                <w:rFonts w:ascii="Cambria" w:hAnsi="Cambria"/>
                                <w:bCs/>
                                <w:lang w:val="pt-BR"/>
                              </w:rPr>
                              <w:t>CLAUDIO ROGÉRIO RODRIGUES DA SILVA</w:t>
                            </w:r>
                            <w:r w:rsidRPr="00B51650">
                              <w:rPr>
                                <w:rFonts w:asciiTheme="majorHAnsi" w:hAnsiTheme="majorHAnsi" w:cs="Arial"/>
                                <w:color w:val="0D0D0D" w:themeColor="text1" w:themeTint="F2"/>
                                <w:lang w:val="pt-BR"/>
                              </w:rPr>
                              <w:t xml:space="preserve"> </w:t>
                            </w:r>
                          </w:p>
                          <w:p w14:paraId="35068D0D" w14:textId="0310ED4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9152488"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FB622A">
                        <w:rPr>
                          <w:rFonts w:asciiTheme="majorHAnsi" w:hAnsiTheme="majorHAnsi" w:cs="Arial"/>
                          <w:b/>
                          <w:bCs/>
                          <w:color w:val="0D0D0D" w:themeColor="text1" w:themeTint="F2"/>
                          <w:sz w:val="36"/>
                          <w:szCs w:val="22"/>
                          <w:lang w:val="pt-BR"/>
                        </w:rPr>
                        <w:t>116</w:t>
                      </w:r>
                      <w:r w:rsidR="007B05C4" w:rsidRPr="007665A8">
                        <w:rPr>
                          <w:rFonts w:asciiTheme="majorHAnsi" w:hAnsiTheme="majorHAnsi" w:cs="Arial"/>
                          <w:b/>
                          <w:bCs/>
                          <w:color w:val="0D0D0D" w:themeColor="text1" w:themeTint="F2"/>
                          <w:sz w:val="36"/>
                          <w:szCs w:val="22"/>
                          <w:lang w:val="pt-BR"/>
                        </w:rPr>
                        <w:t>/</w:t>
                      </w:r>
                      <w:r w:rsidR="003B686B">
                        <w:rPr>
                          <w:rFonts w:asciiTheme="majorHAnsi" w:hAnsiTheme="majorHAnsi" w:cs="Arial"/>
                          <w:b/>
                          <w:bCs/>
                          <w:color w:val="0D0D0D" w:themeColor="text1" w:themeTint="F2"/>
                          <w:sz w:val="36"/>
                          <w:szCs w:val="22"/>
                          <w:lang w:val="pt-BR"/>
                        </w:rPr>
                        <w:t>20</w:t>
                      </w:r>
                    </w:p>
                    <w:p w14:paraId="09C54AB3" w14:textId="2D98603F"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B921FD">
                        <w:rPr>
                          <w:rFonts w:asciiTheme="majorHAnsi" w:hAnsiTheme="majorHAnsi" w:cs="Arial"/>
                          <w:b/>
                          <w:color w:val="0D0D0D" w:themeColor="text1" w:themeTint="F2"/>
                          <w:sz w:val="36"/>
                          <w:szCs w:val="22"/>
                          <w:lang w:val="pt-BR"/>
                        </w:rPr>
                        <w:t>221-12</w:t>
                      </w:r>
                      <w:r w:rsidR="00246D1F" w:rsidRPr="00DA2224">
                        <w:rPr>
                          <w:rFonts w:asciiTheme="majorHAnsi" w:hAnsiTheme="majorHAnsi" w:cs="Arial"/>
                          <w:b/>
                          <w:color w:val="0D0D0D" w:themeColor="text1" w:themeTint="F2"/>
                          <w:sz w:val="36"/>
                          <w:szCs w:val="22"/>
                          <w:lang w:val="pt-BR"/>
                        </w:rPr>
                        <w:t xml:space="preserve"> </w:t>
                      </w:r>
                    </w:p>
                    <w:p w14:paraId="70CF6833" w14:textId="0CEA14F8"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1C4AF7CB" w14:textId="3B8B8E41" w:rsidR="00B51650" w:rsidRPr="00B51650" w:rsidRDefault="00B51650" w:rsidP="00997BC5">
                      <w:pPr>
                        <w:spacing w:line="276" w:lineRule="auto"/>
                        <w:rPr>
                          <w:rFonts w:asciiTheme="majorHAnsi" w:hAnsiTheme="majorHAnsi" w:cs="Arial"/>
                          <w:color w:val="0D0D0D" w:themeColor="text1" w:themeTint="F2"/>
                          <w:lang w:val="pt-BR"/>
                        </w:rPr>
                      </w:pPr>
                      <w:r w:rsidRPr="00B51650">
                        <w:rPr>
                          <w:rFonts w:ascii="Cambria" w:hAnsi="Cambria"/>
                          <w:bCs/>
                          <w:lang w:val="pt-BR"/>
                        </w:rPr>
                        <w:t>CLAUDIO ROGÉRIO RODRIGUES DA SILVA</w:t>
                      </w:r>
                      <w:r w:rsidRPr="00B51650">
                        <w:rPr>
                          <w:rFonts w:asciiTheme="majorHAnsi" w:hAnsiTheme="majorHAnsi" w:cs="Arial"/>
                          <w:color w:val="0D0D0D" w:themeColor="text1" w:themeTint="F2"/>
                          <w:lang w:val="pt-BR"/>
                        </w:rPr>
                        <w:t xml:space="preserve"> </w:t>
                      </w:r>
                    </w:p>
                    <w:p w14:paraId="35068D0D" w14:textId="0310ED4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E759F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F33EC9C" w:rsidR="00627C9F" w:rsidRPr="00A75CC3" w:rsidRDefault="00FB622A" w:rsidP="007A5817">
                            <w:pPr>
                              <w:spacing w:line="276" w:lineRule="auto"/>
                              <w:jc w:val="right"/>
                              <w:rPr>
                                <w:rFonts w:asciiTheme="minorHAnsi" w:hAnsiTheme="minorHAnsi"/>
                                <w:sz w:val="22"/>
                                <w:lang w:val="pt-BR"/>
                              </w:rPr>
                            </w:pPr>
                            <w:r>
                              <w:rPr>
                                <w:rFonts w:asciiTheme="minorHAnsi" w:hAnsiTheme="minorHAnsi"/>
                                <w:sz w:val="22"/>
                                <w:lang w:val="pt-BR"/>
                              </w:rPr>
                              <w:t>OEA/Ser.L/V/II.</w:t>
                            </w:r>
                          </w:p>
                          <w:p w14:paraId="6A41611B" w14:textId="17D548D3"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FB622A">
                              <w:rPr>
                                <w:rFonts w:asciiTheme="minorHAnsi" w:hAnsiTheme="minorHAnsi"/>
                                <w:sz w:val="22"/>
                                <w:lang w:val="pt-BR"/>
                              </w:rPr>
                              <w:t>126</w:t>
                            </w:r>
                          </w:p>
                          <w:p w14:paraId="69373ED2" w14:textId="0A27416B" w:rsidR="00627C9F" w:rsidRPr="00B445AC" w:rsidRDefault="00FB622A" w:rsidP="007A5817">
                            <w:pPr>
                              <w:spacing w:line="276" w:lineRule="auto"/>
                              <w:jc w:val="right"/>
                              <w:rPr>
                                <w:rFonts w:asciiTheme="minorHAnsi" w:hAnsiTheme="minorHAnsi"/>
                                <w:sz w:val="22"/>
                                <w:lang w:val="es-AR"/>
                              </w:rPr>
                            </w:pPr>
                            <w:r>
                              <w:rPr>
                                <w:rFonts w:asciiTheme="minorHAnsi" w:hAnsiTheme="minorHAnsi"/>
                                <w:sz w:val="22"/>
                                <w:lang w:val="es-AR"/>
                              </w:rPr>
                              <w:t>25 abril</w:t>
                            </w:r>
                            <w:r w:rsidR="00627C9F" w:rsidRPr="00B445AC">
                              <w:rPr>
                                <w:rFonts w:asciiTheme="minorHAnsi" w:hAnsiTheme="minorHAnsi"/>
                                <w:sz w:val="22"/>
                                <w:lang w:val="es-AR"/>
                              </w:rPr>
                              <w:t xml:space="preserve"> 20</w:t>
                            </w:r>
                            <w:r w:rsidR="003B686B" w:rsidRPr="00B445AC">
                              <w:rPr>
                                <w:rFonts w:asciiTheme="minorHAnsi" w:hAnsiTheme="minorHAnsi"/>
                                <w:sz w:val="22"/>
                                <w:lang w:val="es-AR"/>
                              </w:rPr>
                              <w:t>20</w:t>
                            </w:r>
                          </w:p>
                          <w:p w14:paraId="0771DB5B" w14:textId="40CA6718" w:rsidR="00627C9F" w:rsidRPr="00B445AC" w:rsidRDefault="00E0340B" w:rsidP="007A5817">
                            <w:pPr>
                              <w:spacing w:line="276" w:lineRule="auto"/>
                              <w:jc w:val="right"/>
                              <w:rPr>
                                <w:rFonts w:asciiTheme="minorHAnsi" w:hAnsiTheme="minorHAnsi"/>
                                <w:sz w:val="22"/>
                                <w:lang w:val="es-AR"/>
                              </w:rPr>
                            </w:pPr>
                            <w:r w:rsidRPr="00B445AC">
                              <w:rPr>
                                <w:rFonts w:asciiTheme="minorHAnsi" w:hAnsiTheme="minorHAnsi"/>
                                <w:sz w:val="22"/>
                                <w:lang w:val="es-AR"/>
                              </w:rPr>
                              <w:t xml:space="preserve">Original: </w:t>
                            </w:r>
                            <w:r w:rsidR="00DA2224" w:rsidRPr="00B445AC">
                              <w:rPr>
                                <w:rFonts w:asciiTheme="minorHAnsi" w:hAnsiTheme="minorHAnsi"/>
                                <w:sz w:val="22"/>
                                <w:lang w:val="es-A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F33EC9C" w:rsidR="00627C9F" w:rsidRPr="00A75CC3" w:rsidRDefault="00FB622A" w:rsidP="007A5817">
                      <w:pPr>
                        <w:spacing w:line="276" w:lineRule="auto"/>
                        <w:jc w:val="right"/>
                        <w:rPr>
                          <w:rFonts w:asciiTheme="minorHAnsi" w:hAnsiTheme="minorHAnsi"/>
                          <w:sz w:val="22"/>
                          <w:lang w:val="pt-BR"/>
                        </w:rPr>
                      </w:pPr>
                      <w:r>
                        <w:rPr>
                          <w:rFonts w:asciiTheme="minorHAnsi" w:hAnsiTheme="minorHAnsi"/>
                          <w:sz w:val="22"/>
                          <w:lang w:val="pt-BR"/>
                        </w:rPr>
                        <w:t>OEA/Ser.L/V/II.</w:t>
                      </w:r>
                    </w:p>
                    <w:p w14:paraId="6A41611B" w14:textId="17D548D3"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FB622A">
                        <w:rPr>
                          <w:rFonts w:asciiTheme="minorHAnsi" w:hAnsiTheme="minorHAnsi"/>
                          <w:sz w:val="22"/>
                          <w:lang w:val="pt-BR"/>
                        </w:rPr>
                        <w:t>126</w:t>
                      </w:r>
                    </w:p>
                    <w:p w14:paraId="69373ED2" w14:textId="0A27416B" w:rsidR="00627C9F" w:rsidRPr="00B445AC" w:rsidRDefault="00FB622A" w:rsidP="007A5817">
                      <w:pPr>
                        <w:spacing w:line="276" w:lineRule="auto"/>
                        <w:jc w:val="right"/>
                        <w:rPr>
                          <w:rFonts w:asciiTheme="minorHAnsi" w:hAnsiTheme="minorHAnsi"/>
                          <w:sz w:val="22"/>
                          <w:lang w:val="es-AR"/>
                        </w:rPr>
                      </w:pPr>
                      <w:r>
                        <w:rPr>
                          <w:rFonts w:asciiTheme="minorHAnsi" w:hAnsiTheme="minorHAnsi"/>
                          <w:sz w:val="22"/>
                          <w:lang w:val="es-AR"/>
                        </w:rPr>
                        <w:t>25 abril</w:t>
                      </w:r>
                      <w:r w:rsidR="00627C9F" w:rsidRPr="00B445AC">
                        <w:rPr>
                          <w:rFonts w:asciiTheme="minorHAnsi" w:hAnsiTheme="minorHAnsi"/>
                          <w:sz w:val="22"/>
                          <w:lang w:val="es-AR"/>
                        </w:rPr>
                        <w:t xml:space="preserve"> 20</w:t>
                      </w:r>
                      <w:r w:rsidR="003B686B" w:rsidRPr="00B445AC">
                        <w:rPr>
                          <w:rFonts w:asciiTheme="minorHAnsi" w:hAnsiTheme="minorHAnsi"/>
                          <w:sz w:val="22"/>
                          <w:lang w:val="es-AR"/>
                        </w:rPr>
                        <w:t>20</w:t>
                      </w:r>
                    </w:p>
                    <w:p w14:paraId="0771DB5B" w14:textId="40CA6718" w:rsidR="00627C9F" w:rsidRPr="00B445AC" w:rsidRDefault="00E0340B" w:rsidP="007A5817">
                      <w:pPr>
                        <w:spacing w:line="276" w:lineRule="auto"/>
                        <w:jc w:val="right"/>
                        <w:rPr>
                          <w:rFonts w:asciiTheme="minorHAnsi" w:hAnsiTheme="minorHAnsi"/>
                          <w:sz w:val="22"/>
                          <w:lang w:val="es-AR"/>
                        </w:rPr>
                      </w:pPr>
                      <w:r w:rsidRPr="00B445AC">
                        <w:rPr>
                          <w:rFonts w:asciiTheme="minorHAnsi" w:hAnsiTheme="minorHAnsi"/>
                          <w:sz w:val="22"/>
                          <w:lang w:val="es-AR"/>
                        </w:rPr>
                        <w:t xml:space="preserve">Original: </w:t>
                      </w:r>
                      <w:r w:rsidR="00DA2224" w:rsidRPr="00B445AC">
                        <w:rPr>
                          <w:rFonts w:asciiTheme="minorHAnsi" w:hAnsiTheme="minorHAnsi"/>
                          <w:sz w:val="22"/>
                          <w:lang w:val="es-AR"/>
                        </w:rPr>
                        <w:t>português</w:t>
                      </w:r>
                    </w:p>
                  </w:txbxContent>
                </v:textbox>
              </v:shape>
            </w:pict>
          </mc:Fallback>
        </mc:AlternateContent>
      </w:r>
    </w:p>
    <w:p w14:paraId="155B0536"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E759FB"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E759FB" w:rsidRDefault="0090270B" w:rsidP="00040C3A">
      <w:pPr>
        <w:tabs>
          <w:tab w:val="center" w:pos="5400"/>
        </w:tabs>
        <w:suppressAutoHyphens/>
        <w:jc w:val="center"/>
        <w:rPr>
          <w:rFonts w:asciiTheme="majorHAnsi" w:hAnsiTheme="majorHAnsi"/>
          <w:sz w:val="18"/>
          <w:szCs w:val="22"/>
          <w:lang w:val="pt-BR"/>
        </w:rPr>
      </w:pPr>
      <w:r w:rsidRPr="00E759F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B3697AF"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B622A">
                              <w:rPr>
                                <w:rFonts w:asciiTheme="majorHAnsi" w:hAnsiTheme="majorHAnsi"/>
                                <w:color w:val="0D0D0D" w:themeColor="text1" w:themeTint="F2"/>
                                <w:sz w:val="18"/>
                                <w:szCs w:val="22"/>
                                <w:lang w:val="pt-BR"/>
                              </w:rPr>
                              <w:t>25</w:t>
                            </w:r>
                            <w:r w:rsidR="00DD3D86"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 xml:space="preserve">de </w:t>
                            </w:r>
                            <w:r w:rsidR="00FB622A">
                              <w:rPr>
                                <w:rFonts w:asciiTheme="majorHAnsi" w:hAnsiTheme="majorHAnsi"/>
                                <w:color w:val="0D0D0D" w:themeColor="text1" w:themeTint="F2"/>
                                <w:sz w:val="18"/>
                                <w:szCs w:val="22"/>
                                <w:lang w:val="pt-BR"/>
                              </w:rPr>
                              <w:t>abril</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3B686B">
                              <w:rPr>
                                <w:rFonts w:asciiTheme="majorHAnsi" w:hAnsiTheme="majorHAnsi"/>
                                <w:color w:val="0D0D0D" w:themeColor="text1" w:themeTint="F2"/>
                                <w:sz w:val="18"/>
                                <w:szCs w:val="22"/>
                                <w:lang w:val="pt-BR"/>
                              </w:rPr>
                              <w:t>20</w:t>
                            </w:r>
                            <w:r w:rsidR="00F7040C">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B3697AF"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B622A">
                        <w:rPr>
                          <w:rFonts w:asciiTheme="majorHAnsi" w:hAnsiTheme="majorHAnsi"/>
                          <w:color w:val="0D0D0D" w:themeColor="text1" w:themeTint="F2"/>
                          <w:sz w:val="18"/>
                          <w:szCs w:val="22"/>
                          <w:lang w:val="pt-BR"/>
                        </w:rPr>
                        <w:t>25</w:t>
                      </w:r>
                      <w:r w:rsidR="00DD3D86"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 xml:space="preserve">de </w:t>
                      </w:r>
                      <w:r w:rsidR="00FB622A">
                        <w:rPr>
                          <w:rFonts w:asciiTheme="majorHAnsi" w:hAnsiTheme="majorHAnsi"/>
                          <w:color w:val="0D0D0D" w:themeColor="text1" w:themeTint="F2"/>
                          <w:sz w:val="18"/>
                          <w:szCs w:val="22"/>
                          <w:lang w:val="pt-BR"/>
                        </w:rPr>
                        <w:t>abril</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3B686B">
                        <w:rPr>
                          <w:rFonts w:asciiTheme="majorHAnsi" w:hAnsiTheme="majorHAnsi"/>
                          <w:color w:val="0D0D0D" w:themeColor="text1" w:themeTint="F2"/>
                          <w:sz w:val="18"/>
                          <w:szCs w:val="22"/>
                          <w:lang w:val="pt-BR"/>
                        </w:rPr>
                        <w:t>20</w:t>
                      </w:r>
                      <w:r w:rsidR="00F7040C">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E759FB" w:rsidRDefault="0090270B" w:rsidP="00040C3A">
      <w:pPr>
        <w:tabs>
          <w:tab w:val="center" w:pos="5400"/>
        </w:tabs>
        <w:suppressAutoHyphens/>
        <w:jc w:val="center"/>
        <w:rPr>
          <w:rFonts w:asciiTheme="majorHAnsi" w:hAnsiTheme="majorHAnsi"/>
          <w:sz w:val="18"/>
          <w:szCs w:val="22"/>
          <w:lang w:val="pt-BR"/>
        </w:rPr>
      </w:pPr>
      <w:r w:rsidRPr="00E759F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328E491"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FB622A">
                              <w:rPr>
                                <w:rFonts w:asciiTheme="majorHAnsi" w:hAnsiTheme="majorHAnsi"/>
                                <w:color w:val="595959" w:themeColor="text1" w:themeTint="A6"/>
                                <w:sz w:val="18"/>
                                <w:szCs w:val="18"/>
                                <w:lang w:val="pt-BR"/>
                              </w:rPr>
                              <w:t>116</w:t>
                            </w:r>
                            <w:r w:rsidR="0038709A" w:rsidRPr="0038709A">
                              <w:rPr>
                                <w:rFonts w:asciiTheme="majorHAnsi" w:hAnsiTheme="majorHAnsi"/>
                                <w:color w:val="595959" w:themeColor="text1" w:themeTint="A6"/>
                                <w:sz w:val="18"/>
                                <w:szCs w:val="18"/>
                                <w:lang w:val="pt-BR"/>
                              </w:rPr>
                              <w:t>/</w:t>
                            </w:r>
                            <w:r w:rsidR="00FB622A">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B51650">
                              <w:rPr>
                                <w:rFonts w:asciiTheme="majorHAnsi" w:hAnsiTheme="majorHAnsi"/>
                                <w:color w:val="595959" w:themeColor="text1" w:themeTint="A6"/>
                                <w:sz w:val="18"/>
                                <w:szCs w:val="18"/>
                                <w:lang w:val="pt-BR"/>
                              </w:rPr>
                              <w:t>221-12.</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B51650">
                              <w:rPr>
                                <w:rFonts w:asciiTheme="majorHAnsi" w:hAnsiTheme="majorHAnsi"/>
                                <w:color w:val="595959" w:themeColor="text1" w:themeTint="A6"/>
                                <w:sz w:val="18"/>
                                <w:szCs w:val="18"/>
                                <w:lang w:val="pt-BR"/>
                              </w:rPr>
                              <w:t xml:space="preserve">. </w:t>
                            </w:r>
                            <w:r w:rsidR="00B51650" w:rsidRPr="00B51650">
                              <w:rPr>
                                <w:rFonts w:asciiTheme="majorHAnsi" w:hAnsiTheme="majorHAnsi"/>
                                <w:color w:val="595959" w:themeColor="text1" w:themeTint="A6"/>
                                <w:sz w:val="18"/>
                                <w:szCs w:val="18"/>
                                <w:lang w:val="pt-BR"/>
                              </w:rPr>
                              <w:t>Claudio Rogério Rodrigues da Silva</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FB622A">
                              <w:rPr>
                                <w:rFonts w:asciiTheme="majorHAnsi" w:hAnsiTheme="majorHAnsi"/>
                                <w:color w:val="595959" w:themeColor="text1" w:themeTint="A6"/>
                                <w:sz w:val="18"/>
                                <w:szCs w:val="18"/>
                                <w:lang w:val="pt-BR"/>
                              </w:rPr>
                              <w:t>25 de abril de 2020</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328E491"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FB622A">
                        <w:rPr>
                          <w:rFonts w:asciiTheme="majorHAnsi" w:hAnsiTheme="majorHAnsi"/>
                          <w:color w:val="595959" w:themeColor="text1" w:themeTint="A6"/>
                          <w:sz w:val="18"/>
                          <w:szCs w:val="18"/>
                          <w:lang w:val="pt-BR"/>
                        </w:rPr>
                        <w:t>116</w:t>
                      </w:r>
                      <w:r w:rsidR="0038709A" w:rsidRPr="0038709A">
                        <w:rPr>
                          <w:rFonts w:asciiTheme="majorHAnsi" w:hAnsiTheme="majorHAnsi"/>
                          <w:color w:val="595959" w:themeColor="text1" w:themeTint="A6"/>
                          <w:sz w:val="18"/>
                          <w:szCs w:val="18"/>
                          <w:lang w:val="pt-BR"/>
                        </w:rPr>
                        <w:t>/</w:t>
                      </w:r>
                      <w:r w:rsidR="00FB622A">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B51650">
                        <w:rPr>
                          <w:rFonts w:asciiTheme="majorHAnsi" w:hAnsiTheme="majorHAnsi"/>
                          <w:color w:val="595959" w:themeColor="text1" w:themeTint="A6"/>
                          <w:sz w:val="18"/>
                          <w:szCs w:val="18"/>
                          <w:lang w:val="pt-BR"/>
                        </w:rPr>
                        <w:t>221-12.</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B51650">
                        <w:rPr>
                          <w:rFonts w:asciiTheme="majorHAnsi" w:hAnsiTheme="majorHAnsi"/>
                          <w:color w:val="595959" w:themeColor="text1" w:themeTint="A6"/>
                          <w:sz w:val="18"/>
                          <w:szCs w:val="18"/>
                          <w:lang w:val="pt-BR"/>
                        </w:rPr>
                        <w:t xml:space="preserve">. </w:t>
                      </w:r>
                      <w:r w:rsidR="00B51650" w:rsidRPr="00B51650">
                        <w:rPr>
                          <w:rFonts w:asciiTheme="majorHAnsi" w:hAnsiTheme="majorHAnsi"/>
                          <w:color w:val="595959" w:themeColor="text1" w:themeTint="A6"/>
                          <w:sz w:val="18"/>
                          <w:szCs w:val="18"/>
                          <w:lang w:val="pt-BR"/>
                        </w:rPr>
                        <w:t>Claudio Rogério Rodrigues da Silva</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FB622A">
                        <w:rPr>
                          <w:rFonts w:asciiTheme="majorHAnsi" w:hAnsiTheme="majorHAnsi"/>
                          <w:color w:val="595959" w:themeColor="text1" w:themeTint="A6"/>
                          <w:sz w:val="18"/>
                          <w:szCs w:val="18"/>
                          <w:lang w:val="pt-BR"/>
                        </w:rPr>
                        <w:t>25 de abril de 2020</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DA07629" w14:textId="122086F6" w:rsidR="0090270B" w:rsidRPr="00E759FB" w:rsidRDefault="00D306D1" w:rsidP="005516A1">
      <w:pPr>
        <w:tabs>
          <w:tab w:val="center" w:pos="5400"/>
        </w:tabs>
        <w:suppressAutoHyphens/>
        <w:jc w:val="center"/>
        <w:rPr>
          <w:rFonts w:asciiTheme="majorHAnsi" w:hAnsiTheme="majorHAnsi"/>
          <w:b/>
          <w:sz w:val="20"/>
          <w:lang w:val="pt-BR"/>
        </w:rPr>
      </w:pPr>
      <w:r w:rsidRPr="00E759F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1B6E8DE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04E651A7" w:rsidR="0070697F" w:rsidRPr="00E759FB" w:rsidRDefault="00FB622A" w:rsidP="005516A1">
      <w:pPr>
        <w:tabs>
          <w:tab w:val="center" w:pos="5400"/>
        </w:tabs>
        <w:suppressAutoHyphens/>
        <w:jc w:val="center"/>
        <w:rPr>
          <w:rFonts w:asciiTheme="majorHAnsi" w:hAnsiTheme="majorHAnsi"/>
          <w:b/>
          <w:sz w:val="20"/>
          <w:lang w:val="pt-BR"/>
        </w:rPr>
        <w:sectPr w:rsidR="0070697F" w:rsidRPr="00E759FB"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E759F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36AEBEB">
                <wp:simplePos x="0" y="0"/>
                <wp:positionH relativeFrom="column">
                  <wp:posOffset>1273356</wp:posOffset>
                </wp:positionH>
                <wp:positionV relativeFrom="paragraph">
                  <wp:posOffset>419463</wp:posOffset>
                </wp:positionV>
                <wp:extent cx="4120243" cy="6432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120243" cy="643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D0E6063">
                                  <wp:extent cx="2127696" cy="582385"/>
                                  <wp:effectExtent l="0" t="0" r="635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173029" cy="5947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100.25pt;margin-top:33.05pt;width:324.45pt;height:5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D0E6063">
                            <wp:extent cx="2127696" cy="582385"/>
                            <wp:effectExtent l="0" t="0" r="635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173029" cy="594793"/>
                                    </a:xfrm>
                                    <a:prstGeom prst="rect">
                                      <a:avLst/>
                                    </a:prstGeom>
                                    <a:noFill/>
                                    <a:ln>
                                      <a:noFill/>
                                    </a:ln>
                                  </pic:spPr>
                                </pic:pic>
                              </a:graphicData>
                            </a:graphic>
                          </wp:inline>
                        </w:drawing>
                      </w:r>
                    </w:p>
                  </w:txbxContent>
                </v:textbox>
              </v:shape>
            </w:pict>
          </mc:Fallback>
        </mc:AlternateContent>
      </w:r>
      <w:r w:rsidR="004A6A54" w:rsidRPr="00E759FB">
        <w:rPr>
          <w:rFonts w:asciiTheme="majorHAnsi" w:hAnsiTheme="majorHAnsi"/>
          <w:b/>
          <w:sz w:val="20"/>
          <w:lang w:val="pt-BR"/>
        </w:rPr>
        <w:tab/>
      </w:r>
    </w:p>
    <w:p w14:paraId="376DDC8B" w14:textId="1B8154B1" w:rsidR="003239B8" w:rsidRPr="00E759FB" w:rsidRDefault="00A37F2E" w:rsidP="004A6A54">
      <w:pPr>
        <w:spacing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lastRenderedPageBreak/>
        <w:t>I.</w:t>
      </w:r>
      <w:r w:rsidRPr="00E759FB">
        <w:rPr>
          <w:rFonts w:asciiTheme="majorHAnsi" w:hAnsiTheme="majorHAnsi"/>
          <w:b/>
          <w:bCs/>
          <w:sz w:val="20"/>
          <w:szCs w:val="20"/>
          <w:lang w:val="pt-BR"/>
        </w:rPr>
        <w:tab/>
        <w:t>DAD</w:t>
      </w:r>
      <w:r w:rsidR="003239B8" w:rsidRPr="00E759FB">
        <w:rPr>
          <w:rFonts w:asciiTheme="majorHAnsi" w:hAnsiTheme="majorHAnsi"/>
          <w:b/>
          <w:bCs/>
          <w:sz w:val="20"/>
          <w:szCs w:val="20"/>
          <w:lang w:val="pt-BR"/>
        </w:rPr>
        <w:t xml:space="preserve">OS </w:t>
      </w:r>
      <w:r w:rsidRPr="00E759FB">
        <w:rPr>
          <w:rFonts w:asciiTheme="majorHAnsi" w:hAnsiTheme="majorHAnsi"/>
          <w:b/>
          <w:bCs/>
          <w:sz w:val="20"/>
          <w:szCs w:val="20"/>
          <w:lang w:val="pt-BR"/>
        </w:rPr>
        <w:t>DA PETIÇÃO</w:t>
      </w:r>
      <w:r w:rsidR="003239B8" w:rsidRPr="00E759FB">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00FF2"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E759FB" w:rsidRDefault="00A37F2E"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Parte peticioná</w:t>
            </w:r>
            <w:r w:rsidR="003239B8" w:rsidRPr="00E759FB">
              <w:rPr>
                <w:rFonts w:asciiTheme="majorHAnsi" w:hAnsiTheme="majorHAnsi"/>
                <w:b/>
                <w:bCs/>
                <w:sz w:val="20"/>
                <w:szCs w:val="20"/>
                <w:lang w:val="pt-BR"/>
              </w:rPr>
              <w:t>ria:</w:t>
            </w:r>
          </w:p>
        </w:tc>
        <w:tc>
          <w:tcPr>
            <w:tcW w:w="5760" w:type="dxa"/>
            <w:vAlign w:val="center"/>
          </w:tcPr>
          <w:p w14:paraId="3C5315D8" w14:textId="1B456582" w:rsidR="003239B8" w:rsidRPr="00E759FB" w:rsidRDefault="00400A8D" w:rsidP="008D2290">
            <w:pPr>
              <w:jc w:val="both"/>
              <w:rPr>
                <w:rFonts w:asciiTheme="majorHAnsi" w:hAnsiTheme="majorHAnsi"/>
                <w:bCs/>
                <w:sz w:val="20"/>
                <w:szCs w:val="20"/>
                <w:lang w:val="pt-BR"/>
              </w:rPr>
            </w:pPr>
            <w:r w:rsidRPr="00E759FB">
              <w:rPr>
                <w:rFonts w:asciiTheme="majorHAnsi" w:hAnsiTheme="majorHAnsi"/>
                <w:bCs/>
                <w:sz w:val="20"/>
                <w:szCs w:val="20"/>
                <w:lang w:val="pt-BR"/>
              </w:rPr>
              <w:t>Claudio Rogério Rodrigues da Silva e Gustavo Marchiori</w:t>
            </w:r>
          </w:p>
        </w:tc>
      </w:tr>
      <w:tr w:rsidR="003239B8" w:rsidRPr="00900FF2"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E759FB" w:rsidRDefault="00A37F2E"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Suposta vítima</w:t>
            </w:r>
            <w:r w:rsidR="003239B8" w:rsidRPr="00E759FB">
              <w:rPr>
                <w:rFonts w:asciiTheme="majorHAnsi" w:hAnsiTheme="majorHAnsi"/>
                <w:b/>
                <w:bCs/>
                <w:sz w:val="20"/>
                <w:szCs w:val="20"/>
                <w:lang w:val="pt-BR"/>
              </w:rPr>
              <w:t>:</w:t>
            </w:r>
          </w:p>
        </w:tc>
        <w:tc>
          <w:tcPr>
            <w:tcW w:w="5760" w:type="dxa"/>
            <w:vAlign w:val="center"/>
          </w:tcPr>
          <w:p w14:paraId="4AEBF59E" w14:textId="3DE1BAAF" w:rsidR="003239B8" w:rsidRPr="00E759FB" w:rsidRDefault="00400A8D" w:rsidP="008D2290">
            <w:pPr>
              <w:jc w:val="both"/>
              <w:rPr>
                <w:rFonts w:asciiTheme="majorHAnsi" w:hAnsiTheme="majorHAnsi"/>
                <w:bCs/>
                <w:sz w:val="20"/>
                <w:szCs w:val="20"/>
                <w:lang w:val="pt-BR"/>
              </w:rPr>
            </w:pPr>
            <w:r w:rsidRPr="00E759FB">
              <w:rPr>
                <w:rFonts w:asciiTheme="majorHAnsi" w:hAnsiTheme="majorHAnsi"/>
                <w:bCs/>
                <w:sz w:val="20"/>
                <w:szCs w:val="20"/>
                <w:lang w:val="pt-BR"/>
              </w:rPr>
              <w:t>Claudio Rogério Rodrigues da Silva</w:t>
            </w:r>
          </w:p>
        </w:tc>
      </w:tr>
      <w:tr w:rsidR="003239B8" w:rsidRPr="00E759FB"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E759FB" w:rsidRDefault="003239B8"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Estado denunciado:</w:t>
            </w:r>
          </w:p>
        </w:tc>
        <w:tc>
          <w:tcPr>
            <w:tcW w:w="5760" w:type="dxa"/>
            <w:vAlign w:val="center"/>
          </w:tcPr>
          <w:p w14:paraId="274C8A50" w14:textId="0B30EFC8" w:rsidR="003239B8" w:rsidRPr="00E759FB" w:rsidRDefault="006A20E7" w:rsidP="008D2290">
            <w:pPr>
              <w:jc w:val="both"/>
              <w:rPr>
                <w:rFonts w:asciiTheme="majorHAnsi" w:hAnsiTheme="majorHAnsi"/>
                <w:bCs/>
                <w:sz w:val="20"/>
                <w:szCs w:val="20"/>
                <w:lang w:val="pt-BR"/>
              </w:rPr>
            </w:pPr>
            <w:r w:rsidRPr="00E759FB">
              <w:rPr>
                <w:rFonts w:asciiTheme="majorHAnsi" w:hAnsiTheme="majorHAnsi"/>
                <w:bCs/>
                <w:sz w:val="20"/>
                <w:szCs w:val="20"/>
                <w:lang w:val="pt-BR"/>
              </w:rPr>
              <w:t>Brasil</w:t>
            </w:r>
            <w:r w:rsidR="004A6A54" w:rsidRPr="00E759FB">
              <w:rPr>
                <w:rStyle w:val="FootnoteReference"/>
                <w:rFonts w:asciiTheme="majorHAnsi" w:hAnsiTheme="majorHAnsi"/>
                <w:bCs/>
                <w:sz w:val="20"/>
                <w:szCs w:val="20"/>
                <w:lang w:val="pt-BR"/>
              </w:rPr>
              <w:footnoteReference w:id="2"/>
            </w:r>
          </w:p>
        </w:tc>
      </w:tr>
      <w:tr w:rsidR="00223A29" w:rsidRPr="00900FF2"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E759FB" w:rsidRDefault="001B3A00" w:rsidP="007665A8">
            <w:pPr>
              <w:jc w:val="center"/>
              <w:rPr>
                <w:rFonts w:asciiTheme="majorHAnsi" w:hAnsiTheme="majorHAnsi"/>
                <w:b/>
                <w:bCs/>
                <w:sz w:val="20"/>
                <w:szCs w:val="20"/>
                <w:lang w:val="pt-BR"/>
              </w:rPr>
            </w:pPr>
            <w:r w:rsidRPr="00E759FB">
              <w:rPr>
                <w:rFonts w:asciiTheme="majorHAnsi" w:hAnsiTheme="majorHAnsi"/>
                <w:b/>
                <w:bCs/>
                <w:sz w:val="20"/>
                <w:szCs w:val="20"/>
                <w:lang w:val="pt-BR"/>
              </w:rPr>
              <w:t>D</w:t>
            </w:r>
            <w:r w:rsidR="00A37F2E" w:rsidRPr="00E759FB">
              <w:rPr>
                <w:rFonts w:asciiTheme="majorHAnsi" w:hAnsiTheme="majorHAnsi"/>
                <w:b/>
                <w:bCs/>
                <w:sz w:val="20"/>
                <w:szCs w:val="20"/>
                <w:lang w:val="pt-BR"/>
              </w:rPr>
              <w:t>ireitos</w:t>
            </w:r>
            <w:r w:rsidRPr="00E759FB">
              <w:rPr>
                <w:rFonts w:asciiTheme="majorHAnsi" w:hAnsiTheme="majorHAnsi"/>
                <w:b/>
                <w:bCs/>
                <w:sz w:val="20"/>
                <w:szCs w:val="20"/>
                <w:lang w:val="pt-BR"/>
              </w:rPr>
              <w:t xml:space="preserve"> </w:t>
            </w:r>
            <w:r w:rsidR="007665A8" w:rsidRPr="00E759FB">
              <w:rPr>
                <w:rFonts w:asciiTheme="majorHAnsi" w:hAnsiTheme="majorHAnsi"/>
                <w:b/>
                <w:bCs/>
                <w:sz w:val="20"/>
                <w:szCs w:val="20"/>
                <w:lang w:val="pt-BR"/>
              </w:rPr>
              <w:t>alegados</w:t>
            </w:r>
            <w:r w:rsidRPr="00E759FB">
              <w:rPr>
                <w:rFonts w:asciiTheme="majorHAnsi" w:hAnsiTheme="majorHAnsi"/>
                <w:b/>
                <w:bCs/>
                <w:sz w:val="20"/>
                <w:szCs w:val="20"/>
                <w:lang w:val="pt-BR"/>
              </w:rPr>
              <w:t>:</w:t>
            </w:r>
          </w:p>
        </w:tc>
        <w:tc>
          <w:tcPr>
            <w:tcW w:w="5760" w:type="dxa"/>
            <w:vAlign w:val="center"/>
          </w:tcPr>
          <w:p w14:paraId="6DEE1EEB" w14:textId="0124FD34" w:rsidR="00223A29" w:rsidRPr="00E759FB" w:rsidRDefault="00856324" w:rsidP="008D2290">
            <w:pPr>
              <w:jc w:val="both"/>
              <w:rPr>
                <w:rFonts w:asciiTheme="majorHAnsi" w:hAnsiTheme="majorHAnsi"/>
                <w:bCs/>
                <w:sz w:val="20"/>
                <w:szCs w:val="20"/>
                <w:lang w:val="pt-BR"/>
              </w:rPr>
            </w:pPr>
            <w:r w:rsidRPr="00E759FB">
              <w:rPr>
                <w:rFonts w:asciiTheme="majorHAnsi" w:hAnsiTheme="majorHAnsi"/>
                <w:bCs/>
                <w:sz w:val="20"/>
                <w:szCs w:val="20"/>
                <w:lang w:val="pt-BR"/>
              </w:rPr>
              <w:t>Artigos 5 (integridade pessoal), 8 (garantias judiciais), 10 (indenização), 11 (proteção da honra e da dignidade), 14 (retificação ou resposta), 24 (igualdade perante a lei) e 25 (proteção judicial) da Convenção Americana de Direitos Humanos</w:t>
            </w:r>
            <w:r w:rsidRPr="00E759FB">
              <w:rPr>
                <w:rStyle w:val="FootnoteReference"/>
                <w:rFonts w:asciiTheme="majorHAnsi" w:hAnsiTheme="majorHAnsi"/>
                <w:bCs/>
                <w:sz w:val="20"/>
                <w:szCs w:val="20"/>
                <w:lang w:val="pt-BR"/>
              </w:rPr>
              <w:footnoteReference w:id="3"/>
            </w:r>
            <w:r w:rsidRPr="00E759FB">
              <w:rPr>
                <w:rFonts w:asciiTheme="majorHAnsi" w:hAnsiTheme="majorHAnsi"/>
                <w:bCs/>
                <w:sz w:val="20"/>
                <w:szCs w:val="20"/>
                <w:lang w:val="pt-BR"/>
              </w:rPr>
              <w:t>, todos relacionados com seu artigo 1.1</w:t>
            </w:r>
            <w:r w:rsidR="00A4470E" w:rsidRPr="00E759FB">
              <w:rPr>
                <w:rFonts w:asciiTheme="majorHAnsi" w:hAnsiTheme="majorHAnsi"/>
                <w:bCs/>
                <w:sz w:val="20"/>
                <w:szCs w:val="20"/>
                <w:lang w:val="pt-BR"/>
              </w:rPr>
              <w:t>; artigos II (igualdade), V (honra e vida particular), XIV (trabalho),</w:t>
            </w:r>
            <w:r w:rsidR="004107C1" w:rsidRPr="00E759FB">
              <w:rPr>
                <w:rFonts w:asciiTheme="majorHAnsi" w:hAnsiTheme="majorHAnsi"/>
                <w:bCs/>
                <w:sz w:val="20"/>
                <w:szCs w:val="20"/>
                <w:lang w:val="pt-BR"/>
              </w:rPr>
              <w:t xml:space="preserve"> XVII (reconhecimento da personalidade jurídica), XVIII (garantias judiciais), XXIV (proteção judicial) e XXVI (presunção de inocência) da Declaração Americana de Direitos e Deveres do Homem</w:t>
            </w:r>
            <w:r w:rsidR="004107C1" w:rsidRPr="00E759FB">
              <w:rPr>
                <w:rStyle w:val="FootnoteReference"/>
                <w:rFonts w:asciiTheme="majorHAnsi" w:hAnsiTheme="majorHAnsi"/>
                <w:bCs/>
                <w:sz w:val="20"/>
                <w:szCs w:val="20"/>
                <w:lang w:val="pt-BR"/>
              </w:rPr>
              <w:footnoteReference w:id="4"/>
            </w:r>
          </w:p>
        </w:tc>
      </w:tr>
    </w:tbl>
    <w:p w14:paraId="20263696" w14:textId="4CE349DB" w:rsidR="003239B8" w:rsidRPr="00E759FB" w:rsidRDefault="00A37F2E" w:rsidP="003239B8">
      <w:pPr>
        <w:spacing w:before="240"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t>II.</w:t>
      </w:r>
      <w:r w:rsidRPr="00E759FB">
        <w:rPr>
          <w:rFonts w:asciiTheme="majorHAnsi" w:hAnsiTheme="majorHAnsi"/>
          <w:b/>
          <w:bCs/>
          <w:sz w:val="20"/>
          <w:szCs w:val="20"/>
          <w:lang w:val="pt-BR"/>
        </w:rPr>
        <w:tab/>
        <w:t>TRÂMITE ANTE A</w:t>
      </w:r>
      <w:r w:rsidR="003239B8" w:rsidRPr="00E759FB">
        <w:rPr>
          <w:rFonts w:asciiTheme="majorHAnsi" w:hAnsiTheme="majorHAnsi"/>
          <w:b/>
          <w:bCs/>
          <w:sz w:val="20"/>
          <w:szCs w:val="20"/>
          <w:lang w:val="pt-BR"/>
        </w:rPr>
        <w:t xml:space="preserve"> CIDH</w:t>
      </w:r>
      <w:r w:rsidR="008E3BFE" w:rsidRPr="00E759FB">
        <w:rPr>
          <w:rStyle w:val="FootnoteReference"/>
          <w:rFonts w:asciiTheme="majorHAnsi" w:hAnsiTheme="majorHAnsi"/>
          <w:b/>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759FB"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E759FB" w:rsidRDefault="00A37F2E" w:rsidP="004A6A54">
            <w:pPr>
              <w:jc w:val="center"/>
              <w:rPr>
                <w:rFonts w:asciiTheme="majorHAnsi" w:hAnsiTheme="majorHAnsi"/>
                <w:b/>
                <w:bCs/>
                <w:sz w:val="20"/>
                <w:szCs w:val="20"/>
                <w:lang w:val="pt-BR"/>
              </w:rPr>
            </w:pPr>
            <w:r w:rsidRPr="00E759FB">
              <w:rPr>
                <w:rFonts w:asciiTheme="majorHAnsi" w:hAnsiTheme="majorHAnsi"/>
                <w:b/>
                <w:bCs/>
                <w:sz w:val="20"/>
                <w:szCs w:val="20"/>
                <w:lang w:val="pt-BR"/>
              </w:rPr>
              <w:t>Apresentação da petição:</w:t>
            </w:r>
          </w:p>
        </w:tc>
        <w:tc>
          <w:tcPr>
            <w:tcW w:w="5760" w:type="dxa"/>
            <w:vAlign w:val="center"/>
          </w:tcPr>
          <w:p w14:paraId="6E579153" w14:textId="5053ECF7" w:rsidR="004C2312" w:rsidRPr="00E759FB" w:rsidRDefault="00400A8D" w:rsidP="002625EA">
            <w:pPr>
              <w:jc w:val="both"/>
              <w:rPr>
                <w:rFonts w:asciiTheme="majorHAnsi" w:hAnsiTheme="majorHAnsi"/>
                <w:bCs/>
                <w:sz w:val="20"/>
                <w:szCs w:val="20"/>
                <w:lang w:val="pt-BR"/>
              </w:rPr>
            </w:pPr>
            <w:r w:rsidRPr="00E759FB">
              <w:rPr>
                <w:rFonts w:asciiTheme="majorHAnsi" w:hAnsiTheme="majorHAnsi"/>
                <w:bCs/>
                <w:sz w:val="20"/>
                <w:szCs w:val="20"/>
                <w:lang w:val="pt-BR"/>
              </w:rPr>
              <w:t>9 de fevereiro de 2012</w:t>
            </w:r>
          </w:p>
        </w:tc>
      </w:tr>
      <w:tr w:rsidR="004C2312" w:rsidRPr="00E759FB"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E759FB" w:rsidRDefault="004A6A54" w:rsidP="00A37F2E">
            <w:pPr>
              <w:jc w:val="center"/>
              <w:rPr>
                <w:rFonts w:asciiTheme="majorHAnsi" w:hAnsiTheme="majorHAnsi"/>
                <w:b/>
                <w:sz w:val="20"/>
                <w:szCs w:val="20"/>
                <w:lang w:val="pt-BR"/>
              </w:rPr>
            </w:pPr>
            <w:r w:rsidRPr="00E759FB">
              <w:rPr>
                <w:rFonts w:asciiTheme="majorHAnsi" w:hAnsiTheme="majorHAnsi"/>
                <w:b/>
                <w:sz w:val="20"/>
                <w:szCs w:val="20"/>
                <w:lang w:val="pt-BR"/>
              </w:rPr>
              <w:t>N</w:t>
            </w:r>
            <w:r w:rsidR="00A37F2E" w:rsidRPr="00E759FB">
              <w:rPr>
                <w:rFonts w:asciiTheme="majorHAnsi" w:hAnsiTheme="majorHAnsi"/>
                <w:b/>
                <w:sz w:val="20"/>
                <w:szCs w:val="20"/>
                <w:lang w:val="pt-BR"/>
              </w:rPr>
              <w:t>otificação da petição ao</w:t>
            </w:r>
            <w:r w:rsidR="004C2312" w:rsidRPr="00E759FB">
              <w:rPr>
                <w:rFonts w:asciiTheme="majorHAnsi" w:hAnsiTheme="majorHAnsi"/>
                <w:b/>
                <w:sz w:val="20"/>
                <w:szCs w:val="20"/>
                <w:lang w:val="pt-BR"/>
              </w:rPr>
              <w:t xml:space="preserve"> Estado:</w:t>
            </w:r>
          </w:p>
        </w:tc>
        <w:tc>
          <w:tcPr>
            <w:tcW w:w="5760" w:type="dxa"/>
            <w:vAlign w:val="center"/>
          </w:tcPr>
          <w:p w14:paraId="1519DA6A" w14:textId="5B8C50D7" w:rsidR="004C2312" w:rsidRPr="00E759FB" w:rsidRDefault="003F270E" w:rsidP="008D2290">
            <w:pPr>
              <w:jc w:val="both"/>
              <w:rPr>
                <w:rFonts w:asciiTheme="majorHAnsi" w:hAnsiTheme="majorHAnsi"/>
                <w:bCs/>
                <w:sz w:val="20"/>
                <w:szCs w:val="20"/>
                <w:lang w:val="pt-BR"/>
              </w:rPr>
            </w:pPr>
            <w:r w:rsidRPr="00E759FB">
              <w:rPr>
                <w:rFonts w:asciiTheme="majorHAnsi" w:hAnsiTheme="majorHAnsi"/>
                <w:bCs/>
                <w:sz w:val="20"/>
                <w:szCs w:val="20"/>
                <w:lang w:val="pt-BR"/>
              </w:rPr>
              <w:t>2 de outubro de 2013</w:t>
            </w:r>
          </w:p>
        </w:tc>
      </w:tr>
      <w:tr w:rsidR="004C2312" w:rsidRPr="00E759FB"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E759FB" w:rsidRDefault="004A6A54" w:rsidP="004A6A54">
            <w:pPr>
              <w:jc w:val="center"/>
              <w:rPr>
                <w:rFonts w:asciiTheme="majorHAnsi" w:hAnsiTheme="majorHAnsi"/>
                <w:b/>
                <w:bCs/>
                <w:sz w:val="20"/>
                <w:szCs w:val="20"/>
                <w:lang w:val="pt-BR"/>
              </w:rPr>
            </w:pPr>
            <w:r w:rsidRPr="00E759FB">
              <w:rPr>
                <w:rFonts w:asciiTheme="majorHAnsi" w:hAnsiTheme="majorHAnsi"/>
                <w:b/>
                <w:sz w:val="20"/>
                <w:szCs w:val="20"/>
                <w:lang w:val="pt-BR"/>
              </w:rPr>
              <w:t>P</w:t>
            </w:r>
            <w:r w:rsidR="004C2312" w:rsidRPr="00E759FB">
              <w:rPr>
                <w:rFonts w:asciiTheme="majorHAnsi" w:hAnsiTheme="majorHAnsi"/>
                <w:b/>
                <w:sz w:val="20"/>
                <w:szCs w:val="20"/>
                <w:lang w:val="pt-BR"/>
              </w:rPr>
              <w:t>rime</w:t>
            </w:r>
            <w:r w:rsidR="00A37F2E" w:rsidRPr="00E759FB">
              <w:rPr>
                <w:rFonts w:asciiTheme="majorHAnsi" w:hAnsiTheme="majorHAnsi"/>
                <w:b/>
                <w:sz w:val="20"/>
                <w:szCs w:val="20"/>
                <w:lang w:val="pt-BR"/>
              </w:rPr>
              <w:t xml:space="preserve">ira resposta do </w:t>
            </w:r>
            <w:r w:rsidR="004C2312" w:rsidRPr="00E759FB">
              <w:rPr>
                <w:rFonts w:asciiTheme="majorHAnsi" w:hAnsiTheme="majorHAnsi"/>
                <w:b/>
                <w:sz w:val="20"/>
                <w:szCs w:val="20"/>
                <w:lang w:val="pt-BR"/>
              </w:rPr>
              <w:t>Estado:</w:t>
            </w:r>
          </w:p>
        </w:tc>
        <w:tc>
          <w:tcPr>
            <w:tcW w:w="5760" w:type="dxa"/>
            <w:vAlign w:val="center"/>
          </w:tcPr>
          <w:p w14:paraId="1972B99E" w14:textId="31064204" w:rsidR="004C2312" w:rsidRPr="00E759FB" w:rsidRDefault="003F270E" w:rsidP="008D2290">
            <w:pPr>
              <w:jc w:val="both"/>
              <w:rPr>
                <w:rFonts w:asciiTheme="majorHAnsi" w:hAnsiTheme="majorHAnsi"/>
                <w:bCs/>
                <w:sz w:val="20"/>
                <w:szCs w:val="20"/>
                <w:lang w:val="pt-BR"/>
              </w:rPr>
            </w:pPr>
            <w:r w:rsidRPr="00E759FB">
              <w:rPr>
                <w:rFonts w:asciiTheme="majorHAnsi" w:hAnsiTheme="majorHAnsi"/>
                <w:bCs/>
                <w:sz w:val="20"/>
                <w:szCs w:val="20"/>
                <w:lang w:val="pt-BR"/>
              </w:rPr>
              <w:t>27 de dezembro de 2013</w:t>
            </w:r>
          </w:p>
        </w:tc>
      </w:tr>
      <w:tr w:rsidR="004C2312" w:rsidRPr="00900FF2"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E759FB" w:rsidRDefault="00A37F2E" w:rsidP="008E3BFE">
            <w:pPr>
              <w:jc w:val="center"/>
              <w:rPr>
                <w:rFonts w:asciiTheme="majorHAnsi" w:hAnsiTheme="majorHAnsi"/>
                <w:b/>
                <w:bCs/>
                <w:sz w:val="20"/>
                <w:szCs w:val="20"/>
                <w:lang w:val="pt-BR"/>
              </w:rPr>
            </w:pPr>
            <w:r w:rsidRPr="00E759FB">
              <w:rPr>
                <w:rFonts w:asciiTheme="majorHAnsi" w:hAnsiTheme="majorHAnsi"/>
                <w:b/>
                <w:bCs/>
                <w:sz w:val="20"/>
                <w:szCs w:val="20"/>
                <w:lang w:val="pt-BR"/>
              </w:rPr>
              <w:t>Observações adicionais da parte peticioná</w:t>
            </w:r>
            <w:r w:rsidR="008E3BFE" w:rsidRPr="00E759FB">
              <w:rPr>
                <w:rFonts w:asciiTheme="majorHAnsi" w:hAnsiTheme="majorHAnsi"/>
                <w:b/>
                <w:bCs/>
                <w:sz w:val="20"/>
                <w:szCs w:val="20"/>
                <w:lang w:val="pt-BR"/>
              </w:rPr>
              <w:t>ria:</w:t>
            </w:r>
          </w:p>
        </w:tc>
        <w:tc>
          <w:tcPr>
            <w:tcW w:w="5760" w:type="dxa"/>
            <w:vAlign w:val="center"/>
          </w:tcPr>
          <w:p w14:paraId="41D8B862" w14:textId="60A8F37E" w:rsidR="004C2312" w:rsidRPr="00E759FB" w:rsidRDefault="003F270E" w:rsidP="008D2290">
            <w:pPr>
              <w:jc w:val="both"/>
              <w:rPr>
                <w:rFonts w:asciiTheme="majorHAnsi" w:hAnsiTheme="majorHAnsi"/>
                <w:bCs/>
                <w:sz w:val="20"/>
                <w:szCs w:val="20"/>
                <w:lang w:val="pt-BR"/>
              </w:rPr>
            </w:pPr>
            <w:r w:rsidRPr="00E759FB">
              <w:rPr>
                <w:rFonts w:asciiTheme="majorHAnsi" w:hAnsiTheme="majorHAnsi"/>
                <w:bCs/>
                <w:sz w:val="20"/>
                <w:szCs w:val="20"/>
                <w:lang w:val="pt-BR"/>
              </w:rPr>
              <w:t>24 de fevereiro</w:t>
            </w:r>
            <w:r w:rsidR="00856324" w:rsidRPr="00E759FB">
              <w:rPr>
                <w:rFonts w:asciiTheme="majorHAnsi" w:hAnsiTheme="majorHAnsi"/>
                <w:bCs/>
                <w:sz w:val="20"/>
                <w:szCs w:val="20"/>
                <w:lang w:val="pt-BR"/>
              </w:rPr>
              <w:t xml:space="preserve">, </w:t>
            </w:r>
            <w:r w:rsidRPr="00E759FB">
              <w:rPr>
                <w:rFonts w:asciiTheme="majorHAnsi" w:hAnsiTheme="majorHAnsi"/>
                <w:bCs/>
                <w:sz w:val="20"/>
                <w:szCs w:val="20"/>
                <w:lang w:val="pt-BR"/>
              </w:rPr>
              <w:t xml:space="preserve">30 de maio </w:t>
            </w:r>
            <w:r w:rsidR="00856324" w:rsidRPr="00E759FB">
              <w:rPr>
                <w:rFonts w:asciiTheme="majorHAnsi" w:hAnsiTheme="majorHAnsi"/>
                <w:bCs/>
                <w:sz w:val="20"/>
                <w:szCs w:val="20"/>
                <w:lang w:val="pt-BR"/>
              </w:rPr>
              <w:t xml:space="preserve">e 16 de dezembro </w:t>
            </w:r>
            <w:r w:rsidRPr="00E759FB">
              <w:rPr>
                <w:rFonts w:asciiTheme="majorHAnsi" w:hAnsiTheme="majorHAnsi"/>
                <w:bCs/>
                <w:sz w:val="20"/>
                <w:szCs w:val="20"/>
                <w:lang w:val="pt-BR"/>
              </w:rPr>
              <w:t>de 2014</w:t>
            </w:r>
            <w:r w:rsidR="003B686B">
              <w:rPr>
                <w:rFonts w:asciiTheme="majorHAnsi" w:hAnsiTheme="majorHAnsi"/>
                <w:bCs/>
                <w:sz w:val="20"/>
                <w:szCs w:val="20"/>
                <w:lang w:val="pt-BR"/>
              </w:rPr>
              <w:t>, 23 de setembro de 2019</w:t>
            </w:r>
          </w:p>
        </w:tc>
      </w:tr>
      <w:tr w:rsidR="004C2312" w:rsidRPr="00E759FB" w14:paraId="291ACE7A" w14:textId="77777777" w:rsidTr="0022736D">
        <w:tc>
          <w:tcPr>
            <w:tcW w:w="3600" w:type="dxa"/>
            <w:tcBorders>
              <w:top w:val="single" w:sz="6" w:space="0" w:color="auto"/>
              <w:bottom w:val="single" w:sz="6" w:space="0" w:color="auto"/>
            </w:tcBorders>
            <w:shd w:val="clear" w:color="auto" w:fill="FFC000"/>
            <w:vAlign w:val="center"/>
          </w:tcPr>
          <w:p w14:paraId="068BD12F" w14:textId="47EAE2EF" w:rsidR="004C2312" w:rsidRPr="00E759FB" w:rsidRDefault="00A37F2E" w:rsidP="008E3BFE">
            <w:pPr>
              <w:jc w:val="center"/>
              <w:rPr>
                <w:rFonts w:asciiTheme="majorHAnsi" w:hAnsiTheme="majorHAnsi"/>
                <w:b/>
                <w:bCs/>
                <w:sz w:val="20"/>
                <w:szCs w:val="20"/>
                <w:lang w:val="pt-BR"/>
              </w:rPr>
            </w:pPr>
            <w:r w:rsidRPr="00E759FB">
              <w:rPr>
                <w:rFonts w:asciiTheme="majorHAnsi" w:hAnsiTheme="majorHAnsi"/>
                <w:b/>
                <w:bCs/>
                <w:sz w:val="20"/>
                <w:szCs w:val="20"/>
                <w:lang w:val="pt-BR"/>
              </w:rPr>
              <w:t>Observações adicionais do</w:t>
            </w:r>
            <w:r w:rsidR="004C2312" w:rsidRPr="00E759FB">
              <w:rPr>
                <w:rFonts w:asciiTheme="majorHAnsi" w:hAnsiTheme="majorHAnsi"/>
                <w:b/>
                <w:bCs/>
                <w:sz w:val="20"/>
                <w:szCs w:val="20"/>
                <w:lang w:val="pt-BR"/>
              </w:rPr>
              <w:t xml:space="preserve"> Estado:</w:t>
            </w:r>
          </w:p>
        </w:tc>
        <w:tc>
          <w:tcPr>
            <w:tcW w:w="5760" w:type="dxa"/>
            <w:vAlign w:val="center"/>
          </w:tcPr>
          <w:p w14:paraId="3CE49AFE" w14:textId="45FBE716" w:rsidR="004C2312" w:rsidRPr="00E759FB" w:rsidRDefault="003F270E" w:rsidP="008D2290">
            <w:pPr>
              <w:jc w:val="both"/>
              <w:rPr>
                <w:rFonts w:asciiTheme="majorHAnsi" w:hAnsiTheme="majorHAnsi"/>
                <w:bCs/>
                <w:sz w:val="20"/>
                <w:szCs w:val="20"/>
                <w:lang w:val="pt-BR"/>
              </w:rPr>
            </w:pPr>
            <w:r w:rsidRPr="00E759FB">
              <w:rPr>
                <w:rFonts w:asciiTheme="majorHAnsi" w:hAnsiTheme="majorHAnsi"/>
                <w:bCs/>
                <w:sz w:val="20"/>
                <w:szCs w:val="20"/>
                <w:lang w:val="pt-BR"/>
              </w:rPr>
              <w:t>11 de abril de 2014</w:t>
            </w:r>
          </w:p>
        </w:tc>
      </w:tr>
    </w:tbl>
    <w:p w14:paraId="21DAA666" w14:textId="3B44E0DA" w:rsidR="003239B8" w:rsidRPr="00E759FB" w:rsidRDefault="00D358AF" w:rsidP="003239B8">
      <w:pPr>
        <w:spacing w:before="240"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t xml:space="preserve">III. </w:t>
      </w:r>
      <w:r w:rsidRPr="00E759FB">
        <w:rPr>
          <w:rFonts w:asciiTheme="majorHAnsi" w:hAnsiTheme="majorHAnsi"/>
          <w:b/>
          <w:bCs/>
          <w:sz w:val="20"/>
          <w:szCs w:val="20"/>
          <w:lang w:val="pt-BR"/>
        </w:rPr>
        <w:tab/>
        <w:t>COMPETÊ</w:t>
      </w:r>
      <w:r w:rsidR="003239B8" w:rsidRPr="00E759FB">
        <w:rPr>
          <w:rFonts w:asciiTheme="majorHAnsi" w:hAnsiTheme="majorHAnsi"/>
          <w:b/>
          <w:bCs/>
          <w:sz w:val="20"/>
          <w:szCs w:val="20"/>
          <w:lang w:val="pt-BR"/>
        </w:rPr>
        <w:t>NCIA</w:t>
      </w:r>
      <w:r w:rsidR="00EE00E9" w:rsidRPr="00E759FB">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759FB"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E759FB" w:rsidRDefault="00D21316" w:rsidP="008D2290">
            <w:pPr>
              <w:jc w:val="center"/>
              <w:rPr>
                <w:rFonts w:asciiTheme="majorHAnsi" w:hAnsiTheme="majorHAnsi"/>
                <w:b/>
                <w:bCs/>
                <w:i/>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personae:</w:t>
            </w:r>
          </w:p>
        </w:tc>
        <w:tc>
          <w:tcPr>
            <w:tcW w:w="5760" w:type="dxa"/>
            <w:vAlign w:val="center"/>
          </w:tcPr>
          <w:p w14:paraId="7707F3E9" w14:textId="3FFD329A" w:rsidR="003239B8" w:rsidRPr="00E759FB" w:rsidRDefault="00856324" w:rsidP="008D2290">
            <w:pPr>
              <w:rPr>
                <w:rFonts w:asciiTheme="majorHAnsi" w:hAnsiTheme="majorHAnsi"/>
                <w:bCs/>
                <w:sz w:val="20"/>
                <w:szCs w:val="20"/>
                <w:lang w:val="pt-BR"/>
              </w:rPr>
            </w:pPr>
            <w:r w:rsidRPr="00E759FB">
              <w:rPr>
                <w:rFonts w:asciiTheme="majorHAnsi" w:hAnsiTheme="majorHAnsi"/>
                <w:bCs/>
                <w:sz w:val="20"/>
                <w:szCs w:val="20"/>
                <w:lang w:val="pt-BR"/>
              </w:rPr>
              <w:t>Sim</w:t>
            </w:r>
          </w:p>
        </w:tc>
      </w:tr>
      <w:tr w:rsidR="003239B8" w:rsidRPr="00E759FB"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loci</w:t>
            </w:r>
            <w:r w:rsidR="003239B8" w:rsidRPr="00E759FB">
              <w:rPr>
                <w:rFonts w:asciiTheme="majorHAnsi" w:hAnsiTheme="majorHAnsi"/>
                <w:b/>
                <w:bCs/>
                <w:sz w:val="20"/>
                <w:szCs w:val="20"/>
                <w:lang w:val="pt-BR"/>
              </w:rPr>
              <w:t>:</w:t>
            </w:r>
          </w:p>
        </w:tc>
        <w:tc>
          <w:tcPr>
            <w:tcW w:w="5760" w:type="dxa"/>
            <w:vAlign w:val="center"/>
          </w:tcPr>
          <w:p w14:paraId="12C931CB" w14:textId="6F8B110A" w:rsidR="003239B8" w:rsidRPr="00E759FB" w:rsidRDefault="00856324" w:rsidP="008D2290">
            <w:pPr>
              <w:rPr>
                <w:rFonts w:asciiTheme="majorHAnsi" w:hAnsiTheme="majorHAnsi"/>
                <w:bCs/>
                <w:sz w:val="20"/>
                <w:szCs w:val="20"/>
                <w:lang w:val="pt-BR"/>
              </w:rPr>
            </w:pPr>
            <w:r w:rsidRPr="00E759FB">
              <w:rPr>
                <w:rFonts w:asciiTheme="majorHAnsi" w:hAnsiTheme="majorHAnsi"/>
                <w:bCs/>
                <w:sz w:val="20"/>
                <w:szCs w:val="20"/>
                <w:lang w:val="pt-BR"/>
              </w:rPr>
              <w:t>Sim</w:t>
            </w:r>
          </w:p>
        </w:tc>
      </w:tr>
      <w:tr w:rsidR="003239B8" w:rsidRPr="00E759FB"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temporis</w:t>
            </w:r>
            <w:r w:rsidR="003239B8" w:rsidRPr="00E759FB">
              <w:rPr>
                <w:rFonts w:asciiTheme="majorHAnsi" w:hAnsiTheme="majorHAnsi"/>
                <w:b/>
                <w:bCs/>
                <w:sz w:val="20"/>
                <w:szCs w:val="20"/>
                <w:lang w:val="pt-BR"/>
              </w:rPr>
              <w:t>:</w:t>
            </w:r>
          </w:p>
        </w:tc>
        <w:tc>
          <w:tcPr>
            <w:tcW w:w="5760" w:type="dxa"/>
            <w:vAlign w:val="center"/>
          </w:tcPr>
          <w:p w14:paraId="6F8B059B" w14:textId="45199755" w:rsidR="003239B8" w:rsidRPr="00E759FB" w:rsidRDefault="00856324" w:rsidP="008D2290">
            <w:pPr>
              <w:rPr>
                <w:rFonts w:asciiTheme="majorHAnsi" w:hAnsiTheme="majorHAnsi"/>
                <w:bCs/>
                <w:sz w:val="20"/>
                <w:szCs w:val="20"/>
                <w:lang w:val="pt-BR"/>
              </w:rPr>
            </w:pPr>
            <w:r w:rsidRPr="00E759FB">
              <w:rPr>
                <w:rFonts w:asciiTheme="majorHAnsi" w:hAnsiTheme="majorHAnsi"/>
                <w:bCs/>
                <w:sz w:val="20"/>
                <w:szCs w:val="20"/>
                <w:lang w:val="pt-BR"/>
              </w:rPr>
              <w:t>Sim</w:t>
            </w:r>
          </w:p>
        </w:tc>
      </w:tr>
      <w:tr w:rsidR="003239B8" w:rsidRPr="00900FF2"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materia</w:t>
            </w:r>
            <w:r w:rsidR="00EE00E9" w:rsidRPr="00E759FB">
              <w:rPr>
                <w:rFonts w:asciiTheme="majorHAnsi" w:hAnsiTheme="majorHAnsi"/>
                <w:b/>
                <w:bCs/>
                <w:i/>
                <w:sz w:val="20"/>
                <w:szCs w:val="20"/>
                <w:lang w:val="pt-BR"/>
              </w:rPr>
              <w:t>e</w:t>
            </w:r>
            <w:r w:rsidR="003239B8" w:rsidRPr="00E759FB">
              <w:rPr>
                <w:rFonts w:asciiTheme="majorHAnsi" w:hAnsiTheme="majorHAnsi"/>
                <w:b/>
                <w:bCs/>
                <w:sz w:val="20"/>
                <w:szCs w:val="20"/>
                <w:lang w:val="pt-BR"/>
              </w:rPr>
              <w:t>:</w:t>
            </w:r>
          </w:p>
        </w:tc>
        <w:tc>
          <w:tcPr>
            <w:tcW w:w="5760" w:type="dxa"/>
            <w:vAlign w:val="center"/>
          </w:tcPr>
          <w:p w14:paraId="0C122F44" w14:textId="448DB6CA" w:rsidR="003239B8" w:rsidRPr="00E759FB" w:rsidRDefault="003911A2" w:rsidP="008D2290">
            <w:pPr>
              <w:jc w:val="both"/>
              <w:rPr>
                <w:rFonts w:asciiTheme="majorHAnsi" w:hAnsiTheme="majorHAnsi"/>
                <w:bCs/>
                <w:sz w:val="20"/>
                <w:szCs w:val="20"/>
                <w:lang w:val="pt-BR"/>
              </w:rPr>
            </w:pPr>
            <w:r w:rsidRPr="00E759FB">
              <w:rPr>
                <w:rFonts w:asciiTheme="majorHAnsi" w:hAnsiTheme="majorHAnsi"/>
                <w:bCs/>
                <w:sz w:val="20"/>
                <w:szCs w:val="20"/>
                <w:lang w:val="pt-BR"/>
              </w:rPr>
              <w:t>Sim, Convenção Americana (instrumento adotado no dia 25 de setembro de 1992)</w:t>
            </w:r>
          </w:p>
        </w:tc>
      </w:tr>
    </w:tbl>
    <w:p w14:paraId="4E92C444" w14:textId="32D2C3ED" w:rsidR="003239B8" w:rsidRPr="00E759FB" w:rsidRDefault="003239B8" w:rsidP="003239B8">
      <w:pPr>
        <w:spacing w:before="240"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t xml:space="preserve">IV. </w:t>
      </w:r>
      <w:r w:rsidRPr="00E759FB">
        <w:rPr>
          <w:rFonts w:asciiTheme="majorHAnsi" w:hAnsiTheme="majorHAnsi"/>
          <w:b/>
          <w:bCs/>
          <w:sz w:val="20"/>
          <w:szCs w:val="20"/>
          <w:lang w:val="pt-BR"/>
        </w:rPr>
        <w:tab/>
      </w:r>
      <w:r w:rsidR="00D21316" w:rsidRPr="00E759FB">
        <w:rPr>
          <w:rFonts w:asciiTheme="majorHAnsi" w:hAnsiTheme="majorHAnsi"/>
          <w:b/>
          <w:bCs/>
          <w:sz w:val="20"/>
          <w:szCs w:val="20"/>
          <w:lang w:val="pt-BR"/>
        </w:rPr>
        <w:t>DUPLICAÇÃO</w:t>
      </w:r>
      <w:r w:rsidR="00EE00E9" w:rsidRPr="00E759FB">
        <w:rPr>
          <w:rFonts w:asciiTheme="majorHAnsi" w:hAnsiTheme="majorHAnsi"/>
          <w:b/>
          <w:bCs/>
          <w:color w:val="FFFFFF" w:themeColor="background1"/>
          <w:sz w:val="20"/>
          <w:szCs w:val="20"/>
          <w:lang w:val="pt-BR"/>
        </w:rPr>
        <w:t xml:space="preserve"> </w:t>
      </w:r>
      <w:r w:rsidR="00D21316" w:rsidRPr="00E759FB">
        <w:rPr>
          <w:rFonts w:asciiTheme="majorHAnsi" w:hAnsiTheme="majorHAnsi"/>
          <w:b/>
          <w:bCs/>
          <w:sz w:val="20"/>
          <w:szCs w:val="20"/>
          <w:lang w:val="pt-BR"/>
        </w:rPr>
        <w:t>DE PROCEDIMENTOS E</w:t>
      </w:r>
      <w:r w:rsidR="00EE00E9" w:rsidRPr="00E759FB">
        <w:rPr>
          <w:rFonts w:asciiTheme="majorHAnsi" w:hAnsiTheme="majorHAnsi"/>
          <w:b/>
          <w:bCs/>
          <w:sz w:val="20"/>
          <w:szCs w:val="20"/>
          <w:lang w:val="pt-BR"/>
        </w:rPr>
        <w:t xml:space="preserve"> CO</w:t>
      </w:r>
      <w:r w:rsidR="00D21316" w:rsidRPr="00E759FB">
        <w:rPr>
          <w:rFonts w:asciiTheme="majorHAnsi" w:hAnsiTheme="majorHAnsi"/>
          <w:b/>
          <w:bCs/>
          <w:sz w:val="20"/>
          <w:szCs w:val="20"/>
          <w:lang w:val="pt-BR"/>
        </w:rPr>
        <w:t>ISA JUL</w:t>
      </w:r>
      <w:r w:rsidR="00EE00E9" w:rsidRPr="00E759FB">
        <w:rPr>
          <w:rFonts w:asciiTheme="majorHAnsi" w:hAnsiTheme="majorHAnsi"/>
          <w:b/>
          <w:bCs/>
          <w:sz w:val="20"/>
          <w:szCs w:val="20"/>
          <w:lang w:val="pt-BR"/>
        </w:rPr>
        <w:t>GADA</w:t>
      </w:r>
      <w:r w:rsidR="00EE00E9" w:rsidRPr="00E759FB">
        <w:rPr>
          <w:rFonts w:asciiTheme="majorHAnsi" w:hAnsiTheme="majorHAnsi"/>
          <w:b/>
          <w:bCs/>
          <w:i/>
          <w:sz w:val="20"/>
          <w:szCs w:val="20"/>
          <w:lang w:val="pt-BR"/>
        </w:rPr>
        <w:t xml:space="preserve"> </w:t>
      </w:r>
      <w:r w:rsidR="00EE00E9" w:rsidRPr="00E759FB">
        <w:rPr>
          <w:rFonts w:asciiTheme="majorHAnsi" w:hAnsiTheme="majorHAnsi"/>
          <w:b/>
          <w:bCs/>
          <w:sz w:val="20"/>
          <w:szCs w:val="20"/>
          <w:lang w:val="pt-BR"/>
        </w:rPr>
        <w:t xml:space="preserve">INTERNACIONAL, </w:t>
      </w:r>
      <w:r w:rsidR="00D21316" w:rsidRPr="00E759FB">
        <w:rPr>
          <w:rFonts w:asciiTheme="majorHAnsi" w:hAnsiTheme="majorHAnsi"/>
          <w:b/>
          <w:bCs/>
          <w:sz w:val="20"/>
          <w:szCs w:val="20"/>
          <w:lang w:val="pt-BR"/>
        </w:rPr>
        <w:t xml:space="preserve"> CARACTERIZAÇÃO</w:t>
      </w:r>
      <w:r w:rsidRPr="00E759FB">
        <w:rPr>
          <w:rFonts w:asciiTheme="majorHAnsi" w:hAnsiTheme="majorHAnsi"/>
          <w:b/>
          <w:bCs/>
          <w:sz w:val="20"/>
          <w:szCs w:val="20"/>
          <w:lang w:val="pt-BR"/>
        </w:rPr>
        <w:t xml:space="preserve">, </w:t>
      </w:r>
      <w:r w:rsidR="00D21316" w:rsidRPr="00E759FB">
        <w:rPr>
          <w:rFonts w:asciiTheme="majorHAnsi" w:hAnsiTheme="majorHAnsi"/>
          <w:b/>
          <w:sz w:val="20"/>
          <w:szCs w:val="20"/>
          <w:lang w:val="pt-BR"/>
        </w:rPr>
        <w:t>ESGOTAM</w:t>
      </w:r>
      <w:r w:rsidRPr="00E759FB">
        <w:rPr>
          <w:rFonts w:asciiTheme="majorHAnsi" w:hAnsiTheme="majorHAnsi"/>
          <w:b/>
          <w:sz w:val="20"/>
          <w:szCs w:val="20"/>
          <w:lang w:val="pt-BR"/>
        </w:rPr>
        <w:t>ENTO D</w:t>
      </w:r>
      <w:r w:rsidR="00D21316" w:rsidRPr="00E759FB">
        <w:rPr>
          <w:rFonts w:asciiTheme="majorHAnsi" w:hAnsiTheme="majorHAnsi"/>
          <w:b/>
          <w:sz w:val="20"/>
          <w:szCs w:val="20"/>
          <w:lang w:val="pt-BR"/>
        </w:rPr>
        <w:t>OS RECURSOS INTERNOS E PR</w:t>
      </w:r>
      <w:r w:rsidRPr="00E759FB">
        <w:rPr>
          <w:rFonts w:asciiTheme="majorHAnsi" w:hAnsiTheme="majorHAnsi"/>
          <w:b/>
          <w:sz w:val="20"/>
          <w:szCs w:val="20"/>
          <w:lang w:val="pt-BR"/>
        </w:rPr>
        <w:t xml:space="preserve">AZO DE </w:t>
      </w:r>
      <w:r w:rsidR="00D21316" w:rsidRPr="00E759FB">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E759FB"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Duplicação de procedimentos e</w:t>
            </w:r>
            <w:r w:rsidR="00EE00E9" w:rsidRPr="00E759FB">
              <w:rPr>
                <w:rFonts w:asciiTheme="majorHAnsi" w:hAnsiTheme="majorHAnsi"/>
                <w:b/>
                <w:bCs/>
                <w:sz w:val="20"/>
                <w:szCs w:val="20"/>
                <w:lang w:val="pt-BR"/>
              </w:rPr>
              <w:t xml:space="preserve"> co</w:t>
            </w:r>
            <w:r w:rsidRPr="00E759FB">
              <w:rPr>
                <w:rFonts w:asciiTheme="majorHAnsi" w:hAnsiTheme="majorHAnsi"/>
                <w:b/>
                <w:bCs/>
                <w:sz w:val="20"/>
                <w:szCs w:val="20"/>
                <w:lang w:val="pt-BR"/>
              </w:rPr>
              <w:t>isa jul</w:t>
            </w:r>
            <w:r w:rsidR="00EE00E9" w:rsidRPr="00E759FB">
              <w:rPr>
                <w:rFonts w:asciiTheme="majorHAnsi" w:hAnsiTheme="majorHAnsi"/>
                <w:b/>
                <w:bCs/>
                <w:sz w:val="20"/>
                <w:szCs w:val="20"/>
                <w:lang w:val="pt-BR"/>
              </w:rPr>
              <w:t>gada internacional:</w:t>
            </w:r>
          </w:p>
        </w:tc>
        <w:tc>
          <w:tcPr>
            <w:tcW w:w="5760" w:type="dxa"/>
            <w:vAlign w:val="center"/>
          </w:tcPr>
          <w:p w14:paraId="240941E6" w14:textId="689F07D5" w:rsidR="00EE00E9" w:rsidRPr="00E759FB" w:rsidRDefault="00516462" w:rsidP="008D2290">
            <w:pPr>
              <w:jc w:val="both"/>
              <w:rPr>
                <w:rFonts w:asciiTheme="majorHAnsi" w:hAnsiTheme="majorHAnsi"/>
                <w:bCs/>
                <w:sz w:val="20"/>
                <w:szCs w:val="20"/>
                <w:lang w:val="pt-BR"/>
              </w:rPr>
            </w:pPr>
            <w:r w:rsidRPr="00E759FB">
              <w:rPr>
                <w:rFonts w:asciiTheme="majorHAnsi" w:hAnsiTheme="majorHAnsi"/>
                <w:bCs/>
                <w:sz w:val="20"/>
                <w:szCs w:val="20"/>
                <w:lang w:val="pt-BR"/>
              </w:rPr>
              <w:t>Não</w:t>
            </w:r>
          </w:p>
        </w:tc>
      </w:tr>
      <w:tr w:rsidR="003239B8" w:rsidRPr="00900FF2"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E759FB" w:rsidRDefault="00D21316" w:rsidP="00D21316">
            <w:pPr>
              <w:jc w:val="center"/>
              <w:rPr>
                <w:rFonts w:asciiTheme="majorHAnsi" w:hAnsiTheme="majorHAnsi"/>
                <w:b/>
                <w:bCs/>
                <w:i/>
                <w:sz w:val="20"/>
                <w:szCs w:val="20"/>
                <w:lang w:val="pt-BR"/>
              </w:rPr>
            </w:pPr>
            <w:r w:rsidRPr="00E759FB">
              <w:rPr>
                <w:rFonts w:asciiTheme="majorHAnsi" w:hAnsiTheme="majorHAnsi"/>
                <w:b/>
                <w:bCs/>
                <w:sz w:val="20"/>
                <w:szCs w:val="20"/>
                <w:lang w:val="pt-BR"/>
              </w:rPr>
              <w:t>Direitos</w:t>
            </w:r>
            <w:r w:rsidR="003239B8" w:rsidRPr="00E759FB">
              <w:rPr>
                <w:rFonts w:asciiTheme="majorHAnsi" w:hAnsiTheme="majorHAnsi"/>
                <w:b/>
                <w:bCs/>
                <w:sz w:val="20"/>
                <w:szCs w:val="20"/>
                <w:lang w:val="pt-BR"/>
              </w:rPr>
              <w:t xml:space="preserve"> declarados </w:t>
            </w:r>
            <w:r w:rsidRPr="00E759FB">
              <w:rPr>
                <w:rFonts w:asciiTheme="majorHAnsi" w:hAnsiTheme="majorHAnsi"/>
                <w:b/>
                <w:bCs/>
                <w:sz w:val="20"/>
                <w:szCs w:val="20"/>
                <w:lang w:val="pt-BR"/>
              </w:rPr>
              <w:t>admitidos</w:t>
            </w:r>
            <w:r w:rsidR="003239B8" w:rsidRPr="00E759FB">
              <w:rPr>
                <w:rFonts w:asciiTheme="majorHAnsi" w:hAnsiTheme="majorHAnsi"/>
                <w:b/>
                <w:bCs/>
                <w:i/>
                <w:sz w:val="20"/>
                <w:szCs w:val="20"/>
                <w:lang w:val="pt-BR"/>
              </w:rPr>
              <w:t>:</w:t>
            </w:r>
          </w:p>
        </w:tc>
        <w:tc>
          <w:tcPr>
            <w:tcW w:w="5760" w:type="dxa"/>
            <w:vAlign w:val="center"/>
          </w:tcPr>
          <w:p w14:paraId="6310C8F7" w14:textId="57DB4D36" w:rsidR="003239B8" w:rsidRPr="00E759FB" w:rsidRDefault="00D91429" w:rsidP="00786537">
            <w:pPr>
              <w:jc w:val="both"/>
              <w:rPr>
                <w:rFonts w:asciiTheme="majorHAnsi" w:hAnsiTheme="majorHAnsi"/>
                <w:bCs/>
                <w:sz w:val="20"/>
                <w:szCs w:val="20"/>
                <w:lang w:val="pt-BR"/>
              </w:rPr>
            </w:pPr>
            <w:r w:rsidRPr="00786537">
              <w:rPr>
                <w:rFonts w:asciiTheme="majorHAnsi" w:hAnsiTheme="majorHAnsi"/>
                <w:bCs/>
                <w:sz w:val="20"/>
                <w:szCs w:val="20"/>
                <w:lang w:val="pt-BR"/>
              </w:rPr>
              <w:t>Artigos 5 (integridade pessoal), 8 (garantias judiciais), 11 (proteção da honra e da dignidade), 24 (igualdade perante a lei) e 25 (proteção judicial) da Convenção Americana, todos relacionados com seu artigo 1.1</w:t>
            </w:r>
          </w:p>
        </w:tc>
      </w:tr>
      <w:tr w:rsidR="003239B8" w:rsidRPr="00E759FB"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E759FB" w:rsidRDefault="00D21316" w:rsidP="00D21316">
            <w:pPr>
              <w:jc w:val="center"/>
              <w:rPr>
                <w:rFonts w:asciiTheme="majorHAnsi" w:hAnsiTheme="majorHAnsi"/>
                <w:b/>
                <w:bCs/>
                <w:sz w:val="20"/>
                <w:szCs w:val="20"/>
                <w:lang w:val="pt-BR"/>
              </w:rPr>
            </w:pPr>
            <w:r w:rsidRPr="00E759FB">
              <w:rPr>
                <w:rFonts w:asciiTheme="majorHAnsi" w:hAnsiTheme="majorHAnsi"/>
                <w:b/>
                <w:bCs/>
                <w:sz w:val="20"/>
                <w:szCs w:val="20"/>
                <w:lang w:val="pt-BR"/>
              </w:rPr>
              <w:t>Esgotamento dos</w:t>
            </w:r>
            <w:r w:rsidR="003239B8" w:rsidRPr="00E759FB">
              <w:rPr>
                <w:rFonts w:asciiTheme="majorHAnsi" w:hAnsiTheme="majorHAnsi"/>
                <w:b/>
                <w:bCs/>
                <w:sz w:val="20"/>
                <w:szCs w:val="20"/>
                <w:lang w:val="pt-BR"/>
              </w:rPr>
              <w:t xml:space="preserve"> recursos internos</w:t>
            </w:r>
            <w:r w:rsidR="00EE00E9" w:rsidRPr="00E759FB">
              <w:rPr>
                <w:rFonts w:asciiTheme="majorHAnsi" w:hAnsiTheme="majorHAnsi"/>
                <w:b/>
                <w:bCs/>
                <w:sz w:val="20"/>
                <w:szCs w:val="20"/>
                <w:lang w:val="pt-BR"/>
              </w:rPr>
              <w:t xml:space="preserve"> o</w:t>
            </w:r>
            <w:r w:rsidRPr="00E759FB">
              <w:rPr>
                <w:rFonts w:asciiTheme="majorHAnsi" w:hAnsiTheme="majorHAnsi"/>
                <w:b/>
                <w:bCs/>
                <w:sz w:val="20"/>
                <w:szCs w:val="20"/>
                <w:lang w:val="pt-BR"/>
              </w:rPr>
              <w:t>u procedência de um</w:t>
            </w:r>
            <w:r w:rsidR="00EE00E9" w:rsidRPr="00E759FB">
              <w:rPr>
                <w:rFonts w:asciiTheme="majorHAnsi" w:hAnsiTheme="majorHAnsi"/>
                <w:b/>
                <w:bCs/>
                <w:sz w:val="20"/>
                <w:szCs w:val="20"/>
                <w:lang w:val="pt-BR"/>
              </w:rPr>
              <w:t xml:space="preserve">a </w:t>
            </w:r>
            <w:r w:rsidRPr="00E759FB">
              <w:rPr>
                <w:rFonts w:asciiTheme="majorHAnsi" w:hAnsiTheme="majorHAnsi"/>
                <w:b/>
                <w:bCs/>
                <w:sz w:val="20"/>
                <w:szCs w:val="20"/>
                <w:lang w:val="pt-BR"/>
              </w:rPr>
              <w:t>exceção</w:t>
            </w:r>
            <w:r w:rsidR="003239B8" w:rsidRPr="00E759FB">
              <w:rPr>
                <w:rFonts w:asciiTheme="majorHAnsi" w:hAnsiTheme="majorHAnsi"/>
                <w:b/>
                <w:bCs/>
                <w:sz w:val="20"/>
                <w:szCs w:val="20"/>
                <w:lang w:val="pt-BR"/>
              </w:rPr>
              <w:t>:</w:t>
            </w:r>
          </w:p>
        </w:tc>
        <w:tc>
          <w:tcPr>
            <w:tcW w:w="5760" w:type="dxa"/>
            <w:vAlign w:val="center"/>
          </w:tcPr>
          <w:p w14:paraId="69C53E8A" w14:textId="4D3C74A3" w:rsidR="003239B8" w:rsidRPr="00E759FB" w:rsidRDefault="00E759FB" w:rsidP="008D2290">
            <w:pPr>
              <w:rPr>
                <w:rFonts w:asciiTheme="majorHAnsi" w:hAnsiTheme="majorHAnsi"/>
                <w:bCs/>
                <w:sz w:val="20"/>
                <w:szCs w:val="20"/>
                <w:lang w:val="pt-BR"/>
              </w:rPr>
            </w:pPr>
            <w:r w:rsidRPr="00E759FB">
              <w:rPr>
                <w:rFonts w:asciiTheme="majorHAnsi" w:hAnsiTheme="majorHAnsi"/>
                <w:bCs/>
                <w:sz w:val="20"/>
                <w:szCs w:val="20"/>
                <w:lang w:val="pt-BR"/>
              </w:rPr>
              <w:t>Sim</w:t>
            </w:r>
          </w:p>
        </w:tc>
      </w:tr>
      <w:tr w:rsidR="003239B8" w:rsidRPr="00E759FB"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Apresentação dentro do pr</w:t>
            </w:r>
            <w:r w:rsidR="003239B8" w:rsidRPr="00E759FB">
              <w:rPr>
                <w:rFonts w:asciiTheme="majorHAnsi" w:hAnsiTheme="majorHAnsi"/>
                <w:b/>
                <w:bCs/>
                <w:sz w:val="20"/>
                <w:szCs w:val="20"/>
                <w:lang w:val="pt-BR"/>
              </w:rPr>
              <w:t>azo:</w:t>
            </w:r>
          </w:p>
        </w:tc>
        <w:tc>
          <w:tcPr>
            <w:tcW w:w="5760" w:type="dxa"/>
            <w:vAlign w:val="center"/>
          </w:tcPr>
          <w:p w14:paraId="4A2A4569" w14:textId="505EBF5B" w:rsidR="003239B8" w:rsidRPr="00E759FB" w:rsidRDefault="00E759FB" w:rsidP="008D2290">
            <w:pPr>
              <w:rPr>
                <w:rFonts w:asciiTheme="majorHAnsi" w:hAnsiTheme="majorHAnsi"/>
                <w:bCs/>
                <w:sz w:val="20"/>
                <w:szCs w:val="20"/>
                <w:lang w:val="pt-BR"/>
              </w:rPr>
            </w:pPr>
            <w:r w:rsidRPr="00E759FB">
              <w:rPr>
                <w:rFonts w:asciiTheme="majorHAnsi" w:hAnsiTheme="majorHAnsi"/>
                <w:bCs/>
                <w:sz w:val="20"/>
                <w:szCs w:val="20"/>
                <w:lang w:val="pt-BR"/>
              </w:rPr>
              <w:t>Sim, 15 de dezembro de 2014</w:t>
            </w:r>
          </w:p>
        </w:tc>
      </w:tr>
    </w:tbl>
    <w:p w14:paraId="5587792A" w14:textId="77777777" w:rsidR="00FB622A" w:rsidRDefault="00FB622A" w:rsidP="003239B8">
      <w:pPr>
        <w:spacing w:before="240" w:after="240"/>
        <w:ind w:firstLine="720"/>
        <w:jc w:val="both"/>
        <w:rPr>
          <w:rFonts w:asciiTheme="majorHAnsi" w:hAnsiTheme="majorHAnsi"/>
          <w:b/>
          <w:sz w:val="20"/>
          <w:szCs w:val="20"/>
          <w:lang w:val="pt-BR"/>
        </w:rPr>
      </w:pPr>
    </w:p>
    <w:p w14:paraId="18E6423B" w14:textId="5D5A5D44" w:rsidR="003239B8" w:rsidRDefault="00FB622A" w:rsidP="00FB622A">
      <w:pPr>
        <w:rPr>
          <w:rFonts w:asciiTheme="majorHAnsi" w:hAnsiTheme="majorHAnsi"/>
          <w:b/>
          <w:sz w:val="20"/>
          <w:szCs w:val="20"/>
          <w:lang w:val="pt-BR"/>
        </w:rPr>
      </w:pPr>
      <w:r>
        <w:rPr>
          <w:rFonts w:asciiTheme="majorHAnsi" w:hAnsiTheme="majorHAnsi"/>
          <w:b/>
          <w:sz w:val="20"/>
          <w:szCs w:val="20"/>
          <w:lang w:val="pt-BR"/>
        </w:rPr>
        <w:br w:type="page"/>
      </w:r>
      <w:r>
        <w:rPr>
          <w:rFonts w:asciiTheme="majorHAnsi" w:hAnsiTheme="majorHAnsi"/>
          <w:b/>
          <w:sz w:val="20"/>
          <w:szCs w:val="20"/>
          <w:lang w:val="pt-BR"/>
        </w:rPr>
        <w:lastRenderedPageBreak/>
        <w:tab/>
      </w:r>
      <w:r w:rsidR="00223A29" w:rsidRPr="00E759FB">
        <w:rPr>
          <w:rFonts w:asciiTheme="majorHAnsi" w:hAnsiTheme="majorHAnsi"/>
          <w:b/>
          <w:sz w:val="20"/>
          <w:szCs w:val="20"/>
          <w:lang w:val="pt-BR"/>
        </w:rPr>
        <w:t xml:space="preserve">V. </w:t>
      </w:r>
      <w:r w:rsidR="00223A29" w:rsidRPr="00E759FB">
        <w:rPr>
          <w:rFonts w:asciiTheme="majorHAnsi" w:hAnsiTheme="majorHAnsi"/>
          <w:b/>
          <w:sz w:val="20"/>
          <w:szCs w:val="20"/>
          <w:lang w:val="pt-BR"/>
        </w:rPr>
        <w:tab/>
      </w:r>
      <w:r w:rsidR="00D21316" w:rsidRPr="00E759FB">
        <w:rPr>
          <w:rFonts w:asciiTheme="majorHAnsi" w:hAnsiTheme="majorHAnsi"/>
          <w:b/>
          <w:sz w:val="20"/>
          <w:szCs w:val="20"/>
          <w:lang w:val="pt-BR"/>
        </w:rPr>
        <w:t>FATOS</w:t>
      </w:r>
      <w:r w:rsidR="003239B8" w:rsidRPr="00E759FB">
        <w:rPr>
          <w:rFonts w:asciiTheme="majorHAnsi" w:hAnsiTheme="majorHAnsi"/>
          <w:b/>
          <w:sz w:val="20"/>
          <w:szCs w:val="20"/>
          <w:lang w:val="pt-BR"/>
        </w:rPr>
        <w:t xml:space="preserve"> ALEGADOS </w:t>
      </w:r>
    </w:p>
    <w:p w14:paraId="6EB8D4E3" w14:textId="77777777" w:rsidR="00FB622A" w:rsidRPr="00E759FB" w:rsidRDefault="00FB622A" w:rsidP="00FB622A">
      <w:pPr>
        <w:rPr>
          <w:rFonts w:asciiTheme="majorHAnsi" w:hAnsiTheme="majorHAnsi"/>
          <w:b/>
          <w:sz w:val="20"/>
          <w:szCs w:val="20"/>
          <w:lang w:val="pt-BR"/>
        </w:rPr>
      </w:pPr>
    </w:p>
    <w:p w14:paraId="2209219D" w14:textId="57EC99DF" w:rsidR="004B1D1E" w:rsidRPr="00A04D78" w:rsidRDefault="004B1D1E" w:rsidP="004B1D1E">
      <w:pPr>
        <w:pStyle w:val="ListParagraph"/>
        <w:numPr>
          <w:ilvl w:val="0"/>
          <w:numId w:val="103"/>
        </w:numPr>
        <w:jc w:val="both"/>
        <w:rPr>
          <w:rFonts w:asciiTheme="majorHAnsi" w:hAnsiTheme="majorHAnsi"/>
          <w:bCs/>
          <w:sz w:val="20"/>
          <w:szCs w:val="20"/>
          <w:lang w:val="pt-BR"/>
        </w:rPr>
      </w:pPr>
      <w:r w:rsidRPr="00A04D78">
        <w:rPr>
          <w:rFonts w:asciiTheme="majorHAnsi" w:hAnsiTheme="majorHAnsi"/>
          <w:sz w:val="20"/>
          <w:szCs w:val="20"/>
          <w:lang w:val="pt-BR"/>
        </w:rPr>
        <w:t>A parte peticionária afirma que o Estado brasileiro é responsável pela viola</w:t>
      </w:r>
      <w:r w:rsidRPr="00A04D78">
        <w:rPr>
          <w:rFonts w:asciiTheme="majorHAnsi" w:hAnsiTheme="majorHAnsi"/>
          <w:bCs/>
          <w:sz w:val="20"/>
          <w:szCs w:val="20"/>
          <w:lang w:val="pt-BR"/>
        </w:rPr>
        <w:t>ção</w:t>
      </w:r>
      <w:r w:rsidRPr="00A04D78">
        <w:rPr>
          <w:rFonts w:asciiTheme="majorHAnsi" w:hAnsiTheme="majorHAnsi"/>
          <w:sz w:val="20"/>
          <w:szCs w:val="20"/>
          <w:lang w:val="pt-BR"/>
        </w:rPr>
        <w:t xml:space="preserve"> dos direitos </w:t>
      </w:r>
      <w:r w:rsidR="00A04D78" w:rsidRPr="00A04D78">
        <w:rPr>
          <w:rFonts w:asciiTheme="majorHAnsi" w:hAnsiTheme="majorHAnsi" w:cs="Arial"/>
          <w:sz w:val="20"/>
          <w:szCs w:val="20"/>
          <w:shd w:val="clear" w:color="auto" w:fill="FFFFFF"/>
          <w:lang w:val="pt-BR"/>
        </w:rPr>
        <w:t>à</w:t>
      </w:r>
      <w:r w:rsidR="00A04D78" w:rsidRPr="00A04D78">
        <w:rPr>
          <w:rFonts w:asciiTheme="majorHAnsi" w:hAnsiTheme="majorHAnsi"/>
          <w:sz w:val="20"/>
          <w:szCs w:val="20"/>
          <w:lang w:val="pt-BR"/>
        </w:rPr>
        <w:t xml:space="preserve"> </w:t>
      </w:r>
      <w:r w:rsidRPr="00A04D78">
        <w:rPr>
          <w:rFonts w:asciiTheme="majorHAnsi" w:hAnsiTheme="majorHAnsi"/>
          <w:sz w:val="20"/>
          <w:szCs w:val="20"/>
          <w:lang w:val="pt-BR"/>
        </w:rPr>
        <w:t xml:space="preserve">integridade pessoal, </w:t>
      </w:r>
      <w:r w:rsidR="00A04D78" w:rsidRPr="00A04D78">
        <w:rPr>
          <w:rFonts w:asciiTheme="majorHAnsi" w:hAnsiTheme="majorHAnsi" w:cs="Arial"/>
          <w:sz w:val="20"/>
          <w:szCs w:val="20"/>
          <w:shd w:val="clear" w:color="auto" w:fill="FFFFFF"/>
          <w:lang w:val="pt-BR"/>
        </w:rPr>
        <w:t>à</w:t>
      </w:r>
      <w:r w:rsidRPr="00A04D78">
        <w:rPr>
          <w:rFonts w:asciiTheme="majorHAnsi" w:hAnsiTheme="majorHAnsi"/>
          <w:sz w:val="20"/>
          <w:szCs w:val="20"/>
          <w:lang w:val="pt-BR"/>
        </w:rPr>
        <w:t xml:space="preserve"> prote</w:t>
      </w:r>
      <w:r w:rsidR="00A04D78" w:rsidRPr="00A04D78">
        <w:rPr>
          <w:rFonts w:asciiTheme="majorHAnsi" w:hAnsiTheme="majorHAnsi"/>
          <w:bCs/>
          <w:sz w:val="20"/>
          <w:szCs w:val="20"/>
          <w:lang w:val="pt-BR"/>
        </w:rPr>
        <w:t>ção</w:t>
      </w:r>
      <w:r w:rsidRPr="00A04D78">
        <w:rPr>
          <w:rFonts w:asciiTheme="majorHAnsi" w:hAnsiTheme="majorHAnsi"/>
          <w:sz w:val="20"/>
          <w:szCs w:val="20"/>
          <w:lang w:val="pt-BR"/>
        </w:rPr>
        <w:t xml:space="preserve"> da honra e da dignidade, </w:t>
      </w:r>
      <w:r w:rsidR="00A04D78" w:rsidRPr="00A04D78">
        <w:rPr>
          <w:rFonts w:asciiTheme="majorHAnsi" w:hAnsiTheme="majorHAnsi" w:cs="Arial"/>
          <w:sz w:val="20"/>
          <w:szCs w:val="20"/>
          <w:shd w:val="clear" w:color="auto" w:fill="FFFFFF"/>
          <w:lang w:val="pt-BR"/>
        </w:rPr>
        <w:t>à</w:t>
      </w:r>
      <w:r w:rsidRPr="00A04D78">
        <w:rPr>
          <w:rFonts w:asciiTheme="majorHAnsi" w:hAnsiTheme="majorHAnsi"/>
          <w:sz w:val="20"/>
          <w:szCs w:val="20"/>
          <w:lang w:val="pt-BR"/>
        </w:rPr>
        <w:t xml:space="preserve"> igualdade, bem como </w:t>
      </w:r>
      <w:r w:rsidR="00A04D78" w:rsidRPr="00A04D78">
        <w:rPr>
          <w:rFonts w:asciiTheme="majorHAnsi" w:hAnsiTheme="majorHAnsi" w:cs="Arial"/>
          <w:sz w:val="20"/>
          <w:szCs w:val="20"/>
          <w:shd w:val="clear" w:color="auto" w:fill="FFFFFF"/>
          <w:lang w:val="pt-BR"/>
        </w:rPr>
        <w:t>à</w:t>
      </w:r>
      <w:r w:rsidRPr="00A04D78">
        <w:rPr>
          <w:rFonts w:asciiTheme="majorHAnsi" w:hAnsiTheme="majorHAnsi"/>
          <w:sz w:val="20"/>
          <w:szCs w:val="20"/>
          <w:lang w:val="pt-BR"/>
        </w:rPr>
        <w:t>s garantias ju</w:t>
      </w:r>
      <w:r w:rsidR="00A04D78" w:rsidRPr="00A04D78">
        <w:rPr>
          <w:rFonts w:asciiTheme="majorHAnsi" w:hAnsiTheme="majorHAnsi"/>
          <w:sz w:val="20"/>
          <w:szCs w:val="20"/>
          <w:lang w:val="pt-BR"/>
        </w:rPr>
        <w:t xml:space="preserve">dicias e </w:t>
      </w:r>
      <w:r w:rsidR="00A04D78" w:rsidRPr="00A04D78">
        <w:rPr>
          <w:rFonts w:asciiTheme="majorHAnsi" w:hAnsiTheme="majorHAnsi" w:cs="Arial"/>
          <w:sz w:val="20"/>
          <w:szCs w:val="20"/>
          <w:shd w:val="clear" w:color="auto" w:fill="FFFFFF"/>
          <w:lang w:val="pt-BR"/>
        </w:rPr>
        <w:t>à</w:t>
      </w:r>
      <w:r w:rsidR="00A04D78" w:rsidRPr="00A04D78">
        <w:rPr>
          <w:rFonts w:asciiTheme="majorHAnsi" w:hAnsiTheme="majorHAnsi"/>
          <w:sz w:val="20"/>
          <w:szCs w:val="20"/>
          <w:lang w:val="pt-BR"/>
        </w:rPr>
        <w:t xml:space="preserve"> prote</w:t>
      </w:r>
      <w:r w:rsidR="00A04D78" w:rsidRPr="00A04D78">
        <w:rPr>
          <w:rFonts w:asciiTheme="majorHAnsi" w:hAnsiTheme="majorHAnsi"/>
          <w:bCs/>
          <w:sz w:val="20"/>
          <w:szCs w:val="20"/>
          <w:lang w:val="pt-BR"/>
        </w:rPr>
        <w:t>ção</w:t>
      </w:r>
      <w:r w:rsidR="00A04D78" w:rsidRPr="00A04D78">
        <w:rPr>
          <w:rFonts w:asciiTheme="majorHAnsi" w:hAnsiTheme="majorHAnsi"/>
          <w:sz w:val="20"/>
          <w:szCs w:val="20"/>
          <w:lang w:val="pt-BR"/>
        </w:rPr>
        <w:t xml:space="preserve"> judicial de</w:t>
      </w:r>
      <w:r w:rsidRPr="00A04D78">
        <w:rPr>
          <w:rFonts w:asciiTheme="majorHAnsi" w:hAnsiTheme="majorHAnsi"/>
          <w:bCs/>
          <w:sz w:val="20"/>
          <w:szCs w:val="20"/>
          <w:lang w:val="pt-BR"/>
        </w:rPr>
        <w:t xml:space="preserve"> Claudio Rogério Rodrigues da Silva (adiante “Sr. Rodrigues da Silva” ou “suposta vítima”), policial militar que foi </w:t>
      </w:r>
      <w:r w:rsidR="00A04D78" w:rsidRPr="00A04D78">
        <w:rPr>
          <w:rFonts w:asciiTheme="majorHAnsi" w:hAnsiTheme="majorHAnsi"/>
          <w:bCs/>
          <w:sz w:val="20"/>
          <w:szCs w:val="20"/>
          <w:lang w:val="pt-BR"/>
        </w:rPr>
        <w:t>desligado do curso de formação de oficiais mediante processo administrativo cuja decisão baseou-se na orientação sexual da suposta vítima.</w:t>
      </w:r>
    </w:p>
    <w:p w14:paraId="3CD0DEF5" w14:textId="77777777" w:rsidR="004B1D1E" w:rsidRPr="004B1D1E" w:rsidRDefault="004B1D1E" w:rsidP="004B1D1E">
      <w:pPr>
        <w:pStyle w:val="ListParagraph"/>
        <w:jc w:val="both"/>
        <w:rPr>
          <w:bCs/>
          <w:sz w:val="20"/>
          <w:szCs w:val="20"/>
          <w:lang w:val="pt-BR"/>
        </w:rPr>
      </w:pPr>
    </w:p>
    <w:p w14:paraId="2AF4FD1E" w14:textId="40BD8334" w:rsidR="001F0BB5" w:rsidRPr="001F0BB5" w:rsidRDefault="00A04D7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bCs/>
          <w:sz w:val="20"/>
          <w:szCs w:val="20"/>
          <w:lang w:val="pt-BR"/>
        </w:rPr>
        <w:t xml:space="preserve">Os peticionários alegam que a suposta vítima é </w:t>
      </w:r>
      <w:r w:rsidR="00636883" w:rsidRPr="001F0BB5">
        <w:rPr>
          <w:rFonts w:asciiTheme="majorHAnsi" w:hAnsiTheme="majorHAnsi"/>
          <w:bCs/>
          <w:sz w:val="20"/>
          <w:szCs w:val="20"/>
          <w:lang w:val="pt-BR"/>
        </w:rPr>
        <w:t>policial militar desde setembro de 2002</w:t>
      </w:r>
      <w:r>
        <w:rPr>
          <w:rFonts w:asciiTheme="majorHAnsi" w:hAnsiTheme="majorHAnsi"/>
          <w:bCs/>
          <w:sz w:val="20"/>
          <w:szCs w:val="20"/>
          <w:lang w:val="pt-BR"/>
        </w:rPr>
        <w:t xml:space="preserve"> e que, e</w:t>
      </w:r>
      <w:r w:rsidR="00636883" w:rsidRPr="001F0BB5">
        <w:rPr>
          <w:rFonts w:asciiTheme="majorHAnsi" w:hAnsiTheme="majorHAnsi"/>
          <w:bCs/>
          <w:sz w:val="20"/>
          <w:szCs w:val="20"/>
          <w:lang w:val="pt-BR"/>
        </w:rPr>
        <w:t>m 2009, foi aprovad</w:t>
      </w:r>
      <w:r>
        <w:rPr>
          <w:rFonts w:asciiTheme="majorHAnsi" w:hAnsiTheme="majorHAnsi"/>
          <w:bCs/>
          <w:sz w:val="20"/>
          <w:szCs w:val="20"/>
          <w:lang w:val="pt-BR"/>
        </w:rPr>
        <w:t>a</w:t>
      </w:r>
      <w:r w:rsidR="00636883" w:rsidRPr="001F0BB5">
        <w:rPr>
          <w:rFonts w:asciiTheme="majorHAnsi" w:hAnsiTheme="majorHAnsi"/>
          <w:bCs/>
          <w:sz w:val="20"/>
          <w:szCs w:val="20"/>
          <w:lang w:val="pt-BR"/>
        </w:rPr>
        <w:t xml:space="preserve"> em um concurso para o curso de oficiais e, assim, convocado a participar das aulas que teriam início em 9 de fevereiro de 2009. Em 22 de abril de 2009, foi submetido a uma “investigação social” que resultou no seu desligamento do curso no mês s</w:t>
      </w:r>
      <w:r w:rsidR="001F0BB5" w:rsidRPr="001F0BB5">
        <w:rPr>
          <w:rFonts w:asciiTheme="majorHAnsi" w:hAnsiTheme="majorHAnsi"/>
          <w:bCs/>
          <w:sz w:val="20"/>
          <w:szCs w:val="20"/>
          <w:lang w:val="pt-BR"/>
        </w:rPr>
        <w:t>eguinte em razão das conclusões da investigação</w:t>
      </w:r>
      <w:r w:rsidR="00636883" w:rsidRPr="001F0BB5">
        <w:rPr>
          <w:rFonts w:asciiTheme="majorHAnsi" w:hAnsiTheme="majorHAnsi"/>
          <w:bCs/>
          <w:sz w:val="20"/>
          <w:szCs w:val="20"/>
          <w:lang w:val="pt-BR"/>
        </w:rPr>
        <w:t>. Indica que o motivo do desligamento não lhe foi informado, pois teria caráter sigiloso</w:t>
      </w:r>
      <w:r w:rsidR="005F64F0" w:rsidRPr="001F0BB5">
        <w:rPr>
          <w:rFonts w:asciiTheme="majorHAnsi" w:hAnsiTheme="majorHAnsi"/>
          <w:bCs/>
          <w:sz w:val="20"/>
          <w:szCs w:val="20"/>
          <w:lang w:val="pt-BR"/>
        </w:rPr>
        <w:t xml:space="preserve">. </w:t>
      </w:r>
      <w:r w:rsidR="001F0BB5" w:rsidRPr="001F0BB5">
        <w:rPr>
          <w:rFonts w:asciiTheme="majorHAnsi" w:hAnsiTheme="majorHAnsi"/>
          <w:bCs/>
          <w:sz w:val="20"/>
          <w:szCs w:val="20"/>
          <w:lang w:val="pt-BR"/>
        </w:rPr>
        <w:t xml:space="preserve">Indica que apesar de não ter acesso a essa informação, afirma que sofreu discriminação em razão da sua orientação sexual tendo em vista o caráter dos questionamentos feitos. </w:t>
      </w:r>
      <w:r w:rsidR="00AB3EB4" w:rsidRPr="001F0BB5">
        <w:rPr>
          <w:rFonts w:asciiTheme="majorHAnsi" w:hAnsiTheme="majorHAnsi"/>
          <w:bCs/>
          <w:sz w:val="20"/>
          <w:szCs w:val="20"/>
          <w:lang w:val="pt-BR"/>
        </w:rPr>
        <w:t>As perguntas realizadas na investigação social foram relacionadas à sua orientação sexual e detalhes privados de seus relacionamentos pessoais.</w:t>
      </w:r>
      <w:r w:rsidR="00FB38DE" w:rsidRPr="001F0BB5">
        <w:rPr>
          <w:rFonts w:asciiTheme="majorHAnsi" w:hAnsiTheme="majorHAnsi"/>
          <w:bCs/>
          <w:sz w:val="20"/>
          <w:szCs w:val="20"/>
          <w:lang w:val="pt-BR"/>
        </w:rPr>
        <w:t xml:space="preserve"> Afirma que colegas de trabalho </w:t>
      </w:r>
      <w:r w:rsidR="009F41C7" w:rsidRPr="001F0BB5">
        <w:rPr>
          <w:rFonts w:asciiTheme="majorHAnsi" w:hAnsiTheme="majorHAnsi"/>
          <w:bCs/>
          <w:sz w:val="20"/>
          <w:szCs w:val="20"/>
          <w:lang w:val="pt-BR"/>
        </w:rPr>
        <w:t xml:space="preserve">e vizinhos </w:t>
      </w:r>
      <w:r w:rsidR="00FB38DE" w:rsidRPr="001F0BB5">
        <w:rPr>
          <w:rFonts w:asciiTheme="majorHAnsi" w:hAnsiTheme="majorHAnsi"/>
          <w:bCs/>
          <w:sz w:val="20"/>
          <w:szCs w:val="20"/>
          <w:lang w:val="pt-BR"/>
        </w:rPr>
        <w:t xml:space="preserve">foram questionados sobre </w:t>
      </w:r>
      <w:r w:rsidR="009F41C7" w:rsidRPr="001F0BB5">
        <w:rPr>
          <w:rFonts w:asciiTheme="majorHAnsi" w:hAnsiTheme="majorHAnsi"/>
          <w:bCs/>
          <w:sz w:val="20"/>
          <w:szCs w:val="20"/>
          <w:lang w:val="pt-BR"/>
        </w:rPr>
        <w:t>su</w:t>
      </w:r>
      <w:r w:rsidR="00FB38DE" w:rsidRPr="001F0BB5">
        <w:rPr>
          <w:rFonts w:asciiTheme="majorHAnsi" w:hAnsiTheme="majorHAnsi"/>
          <w:bCs/>
          <w:sz w:val="20"/>
          <w:szCs w:val="20"/>
          <w:lang w:val="pt-BR"/>
        </w:rPr>
        <w:t>a orientação sexual.</w:t>
      </w:r>
      <w:r w:rsidR="00B87A18" w:rsidRPr="001F0BB5">
        <w:rPr>
          <w:rFonts w:asciiTheme="majorHAnsi" w:hAnsiTheme="majorHAnsi"/>
          <w:bCs/>
          <w:sz w:val="20"/>
          <w:szCs w:val="20"/>
          <w:lang w:val="pt-BR"/>
        </w:rPr>
        <w:t xml:space="preserve"> </w:t>
      </w:r>
    </w:p>
    <w:p w14:paraId="2C732425" w14:textId="5CA87036" w:rsidR="001F0BB5" w:rsidRPr="00431847" w:rsidRDefault="005F64F0" w:rsidP="004318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31847">
        <w:rPr>
          <w:rFonts w:asciiTheme="majorHAnsi" w:hAnsiTheme="majorHAnsi"/>
          <w:sz w:val="20"/>
          <w:szCs w:val="20"/>
          <w:lang w:val="pt-BR"/>
        </w:rPr>
        <w:t>Diante da falta de informação sobre sua reprovação, impetrou Mandado de Segurança com pedido liminar em 21 de maio de 2009. A liminar teria sido concedida</w:t>
      </w:r>
      <w:r w:rsidR="001F0BB5" w:rsidRPr="00431847">
        <w:rPr>
          <w:rFonts w:asciiTheme="majorHAnsi" w:hAnsiTheme="majorHAnsi"/>
          <w:sz w:val="20"/>
          <w:szCs w:val="20"/>
          <w:lang w:val="pt-BR"/>
        </w:rPr>
        <w:t xml:space="preserve"> </w:t>
      </w:r>
      <w:r w:rsidR="00431847" w:rsidRPr="00431847">
        <w:rPr>
          <w:rFonts w:asciiTheme="majorHAnsi" w:hAnsiTheme="majorHAnsi"/>
          <w:sz w:val="20"/>
          <w:szCs w:val="20"/>
          <w:lang w:val="pt-BR"/>
        </w:rPr>
        <w:t xml:space="preserve">e em 23 de maio de 2009, a suposta vítima pode voltar a frequentar o curso de oficiais. </w:t>
      </w:r>
      <w:r w:rsidR="00431847">
        <w:rPr>
          <w:rFonts w:asciiTheme="majorHAnsi" w:hAnsiTheme="majorHAnsi"/>
          <w:sz w:val="20"/>
          <w:szCs w:val="20"/>
          <w:lang w:val="pt-BR"/>
        </w:rPr>
        <w:t>Em cumprimento à liminar, a</w:t>
      </w:r>
      <w:r w:rsidR="001F0BB5" w:rsidRPr="00431847">
        <w:rPr>
          <w:rFonts w:asciiTheme="majorHAnsi" w:hAnsiTheme="majorHAnsi"/>
          <w:bCs/>
          <w:sz w:val="20"/>
          <w:szCs w:val="20"/>
          <w:lang w:val="pt-BR"/>
        </w:rPr>
        <w:t xml:space="preserve"> </w:t>
      </w:r>
      <w:r w:rsidR="00431847">
        <w:rPr>
          <w:rFonts w:asciiTheme="majorHAnsi" w:hAnsiTheme="majorHAnsi"/>
          <w:bCs/>
          <w:sz w:val="20"/>
          <w:szCs w:val="20"/>
          <w:lang w:val="pt-BR"/>
        </w:rPr>
        <w:t>motivação</w:t>
      </w:r>
      <w:r w:rsidR="001F0BB5" w:rsidRPr="00431847">
        <w:rPr>
          <w:rFonts w:asciiTheme="majorHAnsi" w:hAnsiTheme="majorHAnsi"/>
          <w:bCs/>
          <w:sz w:val="20"/>
          <w:szCs w:val="20"/>
          <w:lang w:val="pt-BR"/>
        </w:rPr>
        <w:t xml:space="preserve"> apresentada pelo comandante da Academia de Polícia Militar do Barro Branco (adiante “APMBB”) foi que a suposta vítima deixou de comunicar ocorrência na qual havia sido conduzido ao distrito policial a apontado como a</w:t>
      </w:r>
      <w:r w:rsidR="00431847">
        <w:rPr>
          <w:rFonts w:asciiTheme="majorHAnsi" w:hAnsiTheme="majorHAnsi"/>
          <w:bCs/>
          <w:sz w:val="20"/>
          <w:szCs w:val="20"/>
          <w:lang w:val="pt-BR"/>
        </w:rPr>
        <w:t xml:space="preserve">utor de um delito e sua </w:t>
      </w:r>
      <w:r w:rsidR="00431847" w:rsidRPr="00E759FB">
        <w:rPr>
          <w:rFonts w:asciiTheme="majorHAnsi" w:hAnsiTheme="majorHAnsi"/>
          <w:bCs/>
          <w:sz w:val="20"/>
          <w:szCs w:val="20"/>
          <w:lang w:val="pt-BR"/>
        </w:rPr>
        <w:t xml:space="preserve">“incompatibilidade com </w:t>
      </w:r>
      <w:r w:rsidR="00431847">
        <w:rPr>
          <w:rFonts w:asciiTheme="majorHAnsi" w:hAnsiTheme="majorHAnsi"/>
          <w:bCs/>
          <w:sz w:val="20"/>
          <w:szCs w:val="20"/>
          <w:lang w:val="pt-BR"/>
        </w:rPr>
        <w:t xml:space="preserve">as funções de policial militar”. </w:t>
      </w:r>
      <w:r w:rsidR="001F0BB5" w:rsidRPr="00431847">
        <w:rPr>
          <w:rFonts w:asciiTheme="majorHAnsi" w:hAnsiTheme="majorHAnsi"/>
          <w:bCs/>
          <w:sz w:val="20"/>
          <w:szCs w:val="20"/>
          <w:lang w:val="pt-BR"/>
        </w:rPr>
        <w:t xml:space="preserve">A suposta vítima, no entanto, nega as </w:t>
      </w:r>
      <w:r w:rsidR="005F0A42">
        <w:rPr>
          <w:rFonts w:asciiTheme="majorHAnsi" w:hAnsiTheme="majorHAnsi"/>
          <w:bCs/>
          <w:sz w:val="20"/>
          <w:szCs w:val="20"/>
          <w:lang w:val="pt-BR"/>
        </w:rPr>
        <w:t>acusações</w:t>
      </w:r>
      <w:r w:rsidR="001F0BB5" w:rsidRPr="00431847">
        <w:rPr>
          <w:rFonts w:asciiTheme="majorHAnsi" w:hAnsiTheme="majorHAnsi"/>
          <w:bCs/>
          <w:sz w:val="20"/>
          <w:szCs w:val="20"/>
          <w:lang w:val="pt-BR"/>
        </w:rPr>
        <w:t>. O Sr. Rodrigues da Silva teria sido desligado do curso na manhã do dia 18 de maio de 2009, a partir de ofício emitido naquela mesma manhã. Afirma, contudo, que o documento referia-se a uma decisão adotada por comissão reunida no mesmo dia no período vespertino. A suposta vítima alega que o ofício fora emitido por outro órgão, em data anterior, e que teria a homofobia como motivação.</w:t>
      </w:r>
    </w:p>
    <w:p w14:paraId="0FE088A2" w14:textId="70A28C81" w:rsidR="00127B79" w:rsidRPr="001F0BB5" w:rsidRDefault="005F64F0" w:rsidP="001F0B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1F0BB5">
        <w:rPr>
          <w:rFonts w:asciiTheme="majorHAnsi" w:hAnsiTheme="majorHAnsi"/>
          <w:sz w:val="20"/>
          <w:szCs w:val="20"/>
          <w:lang w:val="pt-BR"/>
        </w:rPr>
        <w:t xml:space="preserve"> </w:t>
      </w:r>
      <w:r w:rsidR="00431847">
        <w:rPr>
          <w:rFonts w:asciiTheme="majorHAnsi" w:hAnsiTheme="majorHAnsi"/>
          <w:sz w:val="20"/>
          <w:szCs w:val="20"/>
          <w:lang w:val="pt-BR"/>
        </w:rPr>
        <w:t xml:space="preserve">Em </w:t>
      </w:r>
      <w:r w:rsidRPr="001F0BB5">
        <w:rPr>
          <w:rFonts w:asciiTheme="majorHAnsi" w:hAnsiTheme="majorHAnsi"/>
          <w:sz w:val="20"/>
          <w:szCs w:val="20"/>
          <w:lang w:val="pt-BR"/>
        </w:rPr>
        <w:t xml:space="preserve">16 de dezembro de 2009, </w:t>
      </w:r>
      <w:r w:rsidR="00E10473" w:rsidRPr="001F0BB5">
        <w:rPr>
          <w:rFonts w:asciiTheme="majorHAnsi" w:hAnsiTheme="majorHAnsi"/>
          <w:sz w:val="20"/>
          <w:szCs w:val="20"/>
          <w:lang w:val="pt-BR"/>
        </w:rPr>
        <w:t>o</w:t>
      </w:r>
      <w:r w:rsidR="00BD4A74" w:rsidRPr="001F0BB5">
        <w:rPr>
          <w:rFonts w:asciiTheme="majorHAnsi" w:hAnsiTheme="majorHAnsi"/>
          <w:sz w:val="20"/>
          <w:szCs w:val="20"/>
          <w:lang w:val="pt-BR"/>
        </w:rPr>
        <w:t xml:space="preserve"> Mandado de Se</w:t>
      </w:r>
      <w:r w:rsidR="002C4B99" w:rsidRPr="001F0BB5">
        <w:rPr>
          <w:rFonts w:asciiTheme="majorHAnsi" w:hAnsiTheme="majorHAnsi"/>
          <w:sz w:val="20"/>
          <w:szCs w:val="20"/>
          <w:lang w:val="pt-BR"/>
        </w:rPr>
        <w:t xml:space="preserve">gurança foi negado no mérito </w:t>
      </w:r>
      <w:r w:rsidR="00BD4A74" w:rsidRPr="001F0BB5">
        <w:rPr>
          <w:rFonts w:asciiTheme="majorHAnsi" w:hAnsiTheme="majorHAnsi"/>
          <w:sz w:val="20"/>
          <w:szCs w:val="20"/>
          <w:lang w:val="pt-BR"/>
        </w:rPr>
        <w:t xml:space="preserve">e também em sede de apelação </w:t>
      </w:r>
      <w:r w:rsidR="00431847">
        <w:rPr>
          <w:rFonts w:asciiTheme="majorHAnsi" w:hAnsiTheme="majorHAnsi"/>
          <w:sz w:val="20"/>
          <w:szCs w:val="20"/>
          <w:lang w:val="pt-BR"/>
        </w:rPr>
        <w:t>pelo Tribunal de Justiça do Estado de São Paulo (adiante “TJSP”)</w:t>
      </w:r>
      <w:r w:rsidR="006D1BFA">
        <w:rPr>
          <w:rFonts w:asciiTheme="majorHAnsi" w:hAnsiTheme="majorHAnsi"/>
          <w:sz w:val="20"/>
          <w:szCs w:val="20"/>
          <w:lang w:val="pt-BR"/>
        </w:rPr>
        <w:t>,</w:t>
      </w:r>
      <w:r w:rsidR="00431847">
        <w:rPr>
          <w:rFonts w:asciiTheme="majorHAnsi" w:hAnsiTheme="majorHAnsi"/>
          <w:sz w:val="20"/>
          <w:szCs w:val="20"/>
          <w:lang w:val="pt-BR"/>
        </w:rPr>
        <w:t xml:space="preserve"> </w:t>
      </w:r>
      <w:r w:rsidR="00BD4A74" w:rsidRPr="001F0BB5">
        <w:rPr>
          <w:rFonts w:asciiTheme="majorHAnsi" w:hAnsiTheme="majorHAnsi"/>
          <w:sz w:val="20"/>
          <w:szCs w:val="20"/>
          <w:lang w:val="pt-BR"/>
        </w:rPr>
        <w:t xml:space="preserve">em </w:t>
      </w:r>
      <w:r w:rsidR="002C4B99" w:rsidRPr="001F0BB5">
        <w:rPr>
          <w:rFonts w:asciiTheme="majorHAnsi" w:hAnsiTheme="majorHAnsi"/>
          <w:sz w:val="20"/>
          <w:szCs w:val="20"/>
          <w:lang w:val="pt-BR"/>
        </w:rPr>
        <w:t>21 de setembro de</w:t>
      </w:r>
      <w:r w:rsidR="00E10473" w:rsidRPr="001F0BB5">
        <w:rPr>
          <w:rFonts w:asciiTheme="majorHAnsi" w:hAnsiTheme="majorHAnsi"/>
          <w:sz w:val="20"/>
          <w:szCs w:val="20"/>
          <w:lang w:val="pt-BR"/>
        </w:rPr>
        <w:t xml:space="preserve"> 2010</w:t>
      </w:r>
      <w:r w:rsidR="00BD4A74" w:rsidRPr="001F0BB5">
        <w:rPr>
          <w:rFonts w:asciiTheme="majorHAnsi" w:hAnsiTheme="majorHAnsi"/>
          <w:sz w:val="20"/>
          <w:szCs w:val="20"/>
          <w:lang w:val="pt-BR"/>
        </w:rPr>
        <w:t xml:space="preserve">. </w:t>
      </w:r>
      <w:r w:rsidR="00E10473" w:rsidRPr="001F0BB5">
        <w:rPr>
          <w:rFonts w:asciiTheme="majorHAnsi" w:hAnsiTheme="majorHAnsi"/>
          <w:sz w:val="20"/>
          <w:szCs w:val="20"/>
          <w:lang w:val="pt-BR"/>
        </w:rPr>
        <w:t xml:space="preserve">Contra essa decisão, apresentou Embargos de Declaração, também negados em 15 de março de 2011. </w:t>
      </w:r>
      <w:r w:rsidR="00BD4A74" w:rsidRPr="001F0BB5">
        <w:rPr>
          <w:rFonts w:asciiTheme="majorHAnsi" w:hAnsiTheme="majorHAnsi"/>
          <w:sz w:val="20"/>
          <w:szCs w:val="20"/>
          <w:lang w:val="pt-BR"/>
        </w:rPr>
        <w:t>Segundo a suposta vítima, as autoridades judiciais tomaram como verdadeiras todas as a</w:t>
      </w:r>
      <w:r w:rsidR="006D1BFA">
        <w:rPr>
          <w:rFonts w:asciiTheme="majorHAnsi" w:hAnsiTheme="majorHAnsi"/>
          <w:sz w:val="20"/>
          <w:szCs w:val="20"/>
          <w:lang w:val="pt-BR"/>
        </w:rPr>
        <w:t>legações apresentada pela APMBB, apesar de falsas.</w:t>
      </w:r>
      <w:r w:rsidR="005E2852" w:rsidRPr="001F0BB5">
        <w:rPr>
          <w:rFonts w:asciiTheme="majorHAnsi" w:hAnsiTheme="majorHAnsi"/>
          <w:sz w:val="20"/>
          <w:szCs w:val="20"/>
          <w:lang w:val="pt-BR"/>
        </w:rPr>
        <w:t xml:space="preserve"> A suposta vítima opôs Embargos de Declaração em face da decisão de segunda instância, não admitidos pelo </w:t>
      </w:r>
      <w:r w:rsidR="00242EE5">
        <w:rPr>
          <w:rFonts w:asciiTheme="majorHAnsi" w:hAnsiTheme="majorHAnsi"/>
          <w:sz w:val="20"/>
          <w:szCs w:val="20"/>
          <w:lang w:val="pt-BR"/>
        </w:rPr>
        <w:t>TJSP</w:t>
      </w:r>
      <w:r w:rsidR="005E2852" w:rsidRPr="001F0BB5">
        <w:rPr>
          <w:rFonts w:asciiTheme="majorHAnsi" w:hAnsiTheme="majorHAnsi"/>
          <w:sz w:val="20"/>
          <w:szCs w:val="20"/>
          <w:lang w:val="pt-BR"/>
        </w:rPr>
        <w:t xml:space="preserve">. </w:t>
      </w:r>
      <w:r w:rsidR="00242EE5">
        <w:rPr>
          <w:rFonts w:asciiTheme="majorHAnsi" w:hAnsiTheme="majorHAnsi"/>
          <w:sz w:val="20"/>
          <w:szCs w:val="20"/>
          <w:lang w:val="pt-BR"/>
        </w:rPr>
        <w:t xml:space="preserve">Em </w:t>
      </w:r>
      <w:r w:rsidR="00E10473" w:rsidRPr="001F0BB5">
        <w:rPr>
          <w:rFonts w:asciiTheme="majorHAnsi" w:hAnsiTheme="majorHAnsi"/>
          <w:sz w:val="20"/>
          <w:szCs w:val="20"/>
          <w:lang w:val="pt-BR"/>
        </w:rPr>
        <w:t>25 de maio de 2011,</w:t>
      </w:r>
      <w:r w:rsidR="005E2852" w:rsidRPr="001F0BB5">
        <w:rPr>
          <w:rFonts w:asciiTheme="majorHAnsi" w:hAnsiTheme="majorHAnsi"/>
          <w:sz w:val="20"/>
          <w:szCs w:val="20"/>
          <w:lang w:val="pt-BR"/>
        </w:rPr>
        <w:t xml:space="preserve"> </w:t>
      </w:r>
      <w:r w:rsidR="00802B53">
        <w:rPr>
          <w:rFonts w:asciiTheme="majorHAnsi" w:hAnsiTheme="majorHAnsi"/>
          <w:sz w:val="20"/>
          <w:szCs w:val="20"/>
          <w:lang w:val="pt-BR"/>
        </w:rPr>
        <w:t xml:space="preserve">alega que </w:t>
      </w:r>
      <w:r w:rsidR="005E2852" w:rsidRPr="001F0BB5">
        <w:rPr>
          <w:rFonts w:asciiTheme="majorHAnsi" w:hAnsiTheme="majorHAnsi"/>
          <w:sz w:val="20"/>
          <w:szCs w:val="20"/>
          <w:lang w:val="pt-BR"/>
        </w:rPr>
        <w:t xml:space="preserve">apresentou </w:t>
      </w:r>
      <w:r w:rsidR="00242EE5">
        <w:rPr>
          <w:rFonts w:asciiTheme="majorHAnsi" w:hAnsiTheme="majorHAnsi"/>
          <w:sz w:val="20"/>
          <w:szCs w:val="20"/>
          <w:lang w:val="pt-BR"/>
        </w:rPr>
        <w:t xml:space="preserve">Recurso Extraordinário </w:t>
      </w:r>
      <w:r w:rsidR="005F0A42">
        <w:rPr>
          <w:rFonts w:asciiTheme="majorHAnsi" w:hAnsiTheme="majorHAnsi"/>
          <w:sz w:val="20"/>
          <w:szCs w:val="20"/>
          <w:lang w:val="pt-BR"/>
        </w:rPr>
        <w:t>ao</w:t>
      </w:r>
      <w:r w:rsidR="005E2852" w:rsidRPr="001F0BB5">
        <w:rPr>
          <w:rFonts w:asciiTheme="majorHAnsi" w:hAnsiTheme="majorHAnsi"/>
          <w:sz w:val="20"/>
          <w:szCs w:val="20"/>
          <w:lang w:val="pt-BR"/>
        </w:rPr>
        <w:t xml:space="preserve"> Supremo Tribunal Federal (adiante “STF”) e</w:t>
      </w:r>
      <w:r w:rsidR="00242EE5">
        <w:rPr>
          <w:rFonts w:asciiTheme="majorHAnsi" w:hAnsiTheme="majorHAnsi"/>
          <w:sz w:val="20"/>
          <w:szCs w:val="20"/>
          <w:lang w:val="pt-BR"/>
        </w:rPr>
        <w:t xml:space="preserve"> Recurso Especial </w:t>
      </w:r>
      <w:r w:rsidR="005F0A42">
        <w:rPr>
          <w:rFonts w:asciiTheme="majorHAnsi" w:hAnsiTheme="majorHAnsi"/>
          <w:sz w:val="20"/>
          <w:szCs w:val="20"/>
          <w:lang w:val="pt-BR"/>
        </w:rPr>
        <w:t>ao</w:t>
      </w:r>
      <w:r w:rsidR="005E2852" w:rsidRPr="001F0BB5">
        <w:rPr>
          <w:rFonts w:asciiTheme="majorHAnsi" w:hAnsiTheme="majorHAnsi"/>
          <w:sz w:val="20"/>
          <w:szCs w:val="20"/>
          <w:lang w:val="pt-BR"/>
        </w:rPr>
        <w:t xml:space="preserve"> Superior Tribunal de Justiça (adiante “STJ”)</w:t>
      </w:r>
      <w:r w:rsidR="006D2D3C">
        <w:rPr>
          <w:rFonts w:asciiTheme="majorHAnsi" w:hAnsiTheme="majorHAnsi"/>
          <w:sz w:val="20"/>
          <w:szCs w:val="20"/>
          <w:lang w:val="pt-BR"/>
        </w:rPr>
        <w:t>. Por último, indica que apresentou Agravo contra a decisão que negou a admissibili</w:t>
      </w:r>
      <w:r w:rsidR="005F0A42">
        <w:rPr>
          <w:rFonts w:asciiTheme="majorHAnsi" w:hAnsiTheme="majorHAnsi"/>
          <w:sz w:val="20"/>
          <w:szCs w:val="20"/>
          <w:lang w:val="pt-BR"/>
        </w:rPr>
        <w:t>dade do Recurso Extraordinário, informando que até a última comunicação enviada, em 2017, o recurso não havia sido julgado.</w:t>
      </w:r>
    </w:p>
    <w:p w14:paraId="118C23C1" w14:textId="14FDF48B" w:rsidR="00D3186C" w:rsidRPr="00E759FB" w:rsidRDefault="00D3186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E759FB">
        <w:rPr>
          <w:rFonts w:asciiTheme="majorHAnsi" w:hAnsiTheme="majorHAnsi"/>
          <w:sz w:val="20"/>
          <w:szCs w:val="20"/>
          <w:lang w:val="pt-BR"/>
        </w:rPr>
        <w:t>Indica que denunciou o caso ao Ministério Público Estadual, resultando na abertura de um inquérito civil</w:t>
      </w:r>
      <w:r w:rsidR="00E10473" w:rsidRPr="00E759FB">
        <w:rPr>
          <w:rFonts w:asciiTheme="majorHAnsi" w:hAnsiTheme="majorHAnsi"/>
          <w:sz w:val="20"/>
          <w:szCs w:val="20"/>
          <w:lang w:val="pt-BR"/>
        </w:rPr>
        <w:t xml:space="preserve"> em 7 de julho de 2011</w:t>
      </w:r>
      <w:r w:rsidRPr="00E759FB">
        <w:rPr>
          <w:rFonts w:asciiTheme="majorHAnsi" w:hAnsiTheme="majorHAnsi"/>
          <w:sz w:val="20"/>
          <w:szCs w:val="20"/>
          <w:lang w:val="pt-BR"/>
        </w:rPr>
        <w:t xml:space="preserve">. No entanto, foi informado que em razão </w:t>
      </w:r>
      <w:r w:rsidR="00802B53">
        <w:rPr>
          <w:rFonts w:asciiTheme="majorHAnsi" w:hAnsiTheme="majorHAnsi"/>
          <w:sz w:val="20"/>
          <w:szCs w:val="20"/>
          <w:lang w:val="pt-BR"/>
        </w:rPr>
        <w:t>da impossibilidade de provar</w:t>
      </w:r>
      <w:r w:rsidRPr="00E759FB">
        <w:rPr>
          <w:rFonts w:asciiTheme="majorHAnsi" w:hAnsiTheme="majorHAnsi"/>
          <w:sz w:val="20"/>
          <w:szCs w:val="20"/>
          <w:lang w:val="pt-BR"/>
        </w:rPr>
        <w:t xml:space="preserve"> que o tratamento discriminatório seria </w:t>
      </w:r>
      <w:r w:rsidR="005F0A42">
        <w:rPr>
          <w:rFonts w:asciiTheme="majorHAnsi" w:hAnsiTheme="majorHAnsi"/>
          <w:sz w:val="20"/>
          <w:szCs w:val="20"/>
          <w:lang w:val="pt-BR"/>
        </w:rPr>
        <w:t xml:space="preserve">um </w:t>
      </w:r>
      <w:r w:rsidRPr="00E759FB">
        <w:rPr>
          <w:rFonts w:asciiTheme="majorHAnsi" w:hAnsiTheme="majorHAnsi"/>
          <w:sz w:val="20"/>
          <w:szCs w:val="20"/>
          <w:lang w:val="pt-BR"/>
        </w:rPr>
        <w:t xml:space="preserve">padrão dentro da corporação, o procedimento foi arquivado. Em fevereiro de 2011, a suposta vítima denunciou o caso à Secretaria de Justiça </w:t>
      </w:r>
      <w:r w:rsidR="00EF2D89" w:rsidRPr="00E759FB">
        <w:rPr>
          <w:rFonts w:asciiTheme="majorHAnsi" w:hAnsiTheme="majorHAnsi"/>
          <w:sz w:val="20"/>
          <w:szCs w:val="20"/>
          <w:lang w:val="pt-BR"/>
        </w:rPr>
        <w:t xml:space="preserve">e Defesa da Cidadania </w:t>
      </w:r>
      <w:r w:rsidRPr="00E759FB">
        <w:rPr>
          <w:rFonts w:asciiTheme="majorHAnsi" w:hAnsiTheme="majorHAnsi"/>
          <w:sz w:val="20"/>
          <w:szCs w:val="20"/>
          <w:lang w:val="pt-BR"/>
        </w:rPr>
        <w:t>do Estado de São Paulo apontando violações à lei 10948/2001, que dispõe sobre as penalidades a serem aplicadas à prática de discriminação em razão de orientação sexual. A queixa foi enviada à Secretaria de Segurança Pública</w:t>
      </w:r>
      <w:r w:rsidR="00784D0A" w:rsidRPr="00E759FB">
        <w:rPr>
          <w:rFonts w:asciiTheme="majorHAnsi" w:hAnsiTheme="majorHAnsi"/>
          <w:sz w:val="20"/>
          <w:szCs w:val="20"/>
          <w:lang w:val="pt-BR"/>
        </w:rPr>
        <w:t xml:space="preserve"> </w:t>
      </w:r>
      <w:r w:rsidR="005F0A42">
        <w:rPr>
          <w:rFonts w:asciiTheme="majorHAnsi" w:hAnsiTheme="majorHAnsi"/>
          <w:sz w:val="20"/>
          <w:szCs w:val="20"/>
          <w:lang w:val="pt-BR"/>
        </w:rPr>
        <w:t xml:space="preserve">(adiante “SPP”) </w:t>
      </w:r>
      <w:r w:rsidR="00784D0A" w:rsidRPr="00E759FB">
        <w:rPr>
          <w:rFonts w:asciiTheme="majorHAnsi" w:hAnsiTheme="majorHAnsi"/>
          <w:sz w:val="20"/>
          <w:szCs w:val="20"/>
          <w:lang w:val="pt-BR"/>
        </w:rPr>
        <w:t xml:space="preserve">e, posteriormente, à Corregedoria da Polícia Militar em março de 2011. Em setembro do mesmo ano, o Sr. </w:t>
      </w:r>
      <w:r w:rsidR="00784D0A" w:rsidRPr="00E759FB">
        <w:rPr>
          <w:rFonts w:asciiTheme="majorHAnsi" w:hAnsiTheme="majorHAnsi"/>
          <w:bCs/>
          <w:sz w:val="20"/>
          <w:szCs w:val="20"/>
          <w:lang w:val="pt-BR"/>
        </w:rPr>
        <w:t>Rodrigues da Silva solicitou informação sobre o andamento do caso à Corregedoria da Pol</w:t>
      </w:r>
      <w:r w:rsidR="00A4470E" w:rsidRPr="00E759FB">
        <w:rPr>
          <w:rFonts w:asciiTheme="majorHAnsi" w:hAnsiTheme="majorHAnsi"/>
          <w:bCs/>
          <w:sz w:val="20"/>
          <w:szCs w:val="20"/>
          <w:lang w:val="pt-BR"/>
        </w:rPr>
        <w:t>ícia Militar, quem negou o pedido e informou que apenas remeteria informação ao órgão solicitante</w:t>
      </w:r>
      <w:r w:rsidR="005F0A42">
        <w:rPr>
          <w:rFonts w:asciiTheme="majorHAnsi" w:hAnsiTheme="majorHAnsi"/>
          <w:bCs/>
          <w:sz w:val="20"/>
          <w:szCs w:val="20"/>
          <w:lang w:val="pt-BR"/>
        </w:rPr>
        <w:t xml:space="preserve"> (SSP)</w:t>
      </w:r>
      <w:r w:rsidR="00A4470E" w:rsidRPr="00E759FB">
        <w:rPr>
          <w:rFonts w:asciiTheme="majorHAnsi" w:hAnsiTheme="majorHAnsi"/>
          <w:bCs/>
          <w:sz w:val="20"/>
          <w:szCs w:val="20"/>
          <w:lang w:val="pt-BR"/>
        </w:rPr>
        <w:t xml:space="preserve">. Ele </w:t>
      </w:r>
      <w:r w:rsidR="00802B53">
        <w:rPr>
          <w:rFonts w:asciiTheme="majorHAnsi" w:hAnsiTheme="majorHAnsi"/>
          <w:bCs/>
          <w:sz w:val="20"/>
          <w:szCs w:val="20"/>
          <w:lang w:val="pt-BR"/>
        </w:rPr>
        <w:t>recorreu</w:t>
      </w:r>
      <w:r w:rsidR="00A4470E" w:rsidRPr="00E759FB">
        <w:rPr>
          <w:rFonts w:asciiTheme="majorHAnsi" w:hAnsiTheme="majorHAnsi"/>
          <w:bCs/>
          <w:sz w:val="20"/>
          <w:szCs w:val="20"/>
          <w:lang w:val="pt-BR"/>
        </w:rPr>
        <w:t xml:space="preserve">, então, à Secretaria de Segurança Pública, </w:t>
      </w:r>
      <w:r w:rsidR="00802B53">
        <w:rPr>
          <w:rFonts w:asciiTheme="majorHAnsi" w:hAnsiTheme="majorHAnsi"/>
          <w:bCs/>
          <w:sz w:val="20"/>
          <w:szCs w:val="20"/>
          <w:lang w:val="pt-BR"/>
        </w:rPr>
        <w:t>sendo informado</w:t>
      </w:r>
      <w:r w:rsidR="00A4470E" w:rsidRPr="00E759FB">
        <w:rPr>
          <w:rFonts w:asciiTheme="majorHAnsi" w:hAnsiTheme="majorHAnsi"/>
          <w:bCs/>
          <w:sz w:val="20"/>
          <w:szCs w:val="20"/>
          <w:lang w:val="pt-BR"/>
        </w:rPr>
        <w:t xml:space="preserve"> que deveria buscar informação sobre seu caso com a Ouvidoria da Polícia</w:t>
      </w:r>
      <w:r w:rsidR="001A12B0" w:rsidRPr="00E759FB">
        <w:rPr>
          <w:rFonts w:asciiTheme="majorHAnsi" w:hAnsiTheme="majorHAnsi"/>
          <w:bCs/>
          <w:sz w:val="20"/>
          <w:szCs w:val="20"/>
          <w:lang w:val="pt-BR"/>
        </w:rPr>
        <w:t>, sem que obtivesse resposta</w:t>
      </w:r>
      <w:r w:rsidR="00802B53">
        <w:rPr>
          <w:rFonts w:asciiTheme="majorHAnsi" w:hAnsiTheme="majorHAnsi"/>
          <w:bCs/>
          <w:sz w:val="20"/>
          <w:szCs w:val="20"/>
          <w:lang w:val="pt-BR"/>
        </w:rPr>
        <w:t xml:space="preserve">. Recorreu, por fim, </w:t>
      </w:r>
      <w:r w:rsidR="001A12B0" w:rsidRPr="00E759FB">
        <w:rPr>
          <w:rFonts w:asciiTheme="majorHAnsi" w:hAnsiTheme="majorHAnsi"/>
          <w:bCs/>
          <w:sz w:val="20"/>
          <w:szCs w:val="20"/>
          <w:lang w:val="pt-BR"/>
        </w:rPr>
        <w:t>à Secretaria de Direitos Humanos da Presidência da República, quem o encaminhou à Defensoria Pública do Estado de São Pa</w:t>
      </w:r>
      <w:r w:rsidR="005F0A42">
        <w:rPr>
          <w:rFonts w:asciiTheme="majorHAnsi" w:hAnsiTheme="majorHAnsi"/>
          <w:bCs/>
          <w:sz w:val="20"/>
          <w:szCs w:val="20"/>
          <w:lang w:val="pt-BR"/>
        </w:rPr>
        <w:t>ulo, porém sem brindar informação sobre se alguma medida foi tomada.</w:t>
      </w:r>
      <w:r w:rsidR="00941503">
        <w:rPr>
          <w:rFonts w:asciiTheme="majorHAnsi" w:hAnsiTheme="majorHAnsi"/>
          <w:bCs/>
          <w:sz w:val="20"/>
          <w:szCs w:val="20"/>
          <w:lang w:val="pt-BR"/>
        </w:rPr>
        <w:t xml:space="preserve"> Finalmente, afirma que foi privado de liberdade devido a um processo fraudulento iniciado em 15 de agosto de 2019.</w:t>
      </w:r>
    </w:p>
    <w:p w14:paraId="758FFCEF" w14:textId="3BE263C3" w:rsidR="00554D0C" w:rsidRPr="00DD3344" w:rsidRDefault="0094150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bCs/>
          <w:sz w:val="20"/>
          <w:szCs w:val="20"/>
          <w:lang w:val="pt-BR"/>
        </w:rPr>
        <w:lastRenderedPageBreak/>
        <w:t>O</w:t>
      </w:r>
      <w:r w:rsidR="00466F47" w:rsidRPr="00DD3344">
        <w:rPr>
          <w:rFonts w:asciiTheme="majorHAnsi" w:hAnsiTheme="majorHAnsi"/>
          <w:bCs/>
          <w:sz w:val="20"/>
          <w:szCs w:val="20"/>
          <w:lang w:val="pt-BR"/>
        </w:rPr>
        <w:t xml:space="preserve"> E</w:t>
      </w:r>
      <w:r w:rsidR="00E446AD" w:rsidRPr="00DD3344">
        <w:rPr>
          <w:rFonts w:asciiTheme="majorHAnsi" w:hAnsiTheme="majorHAnsi"/>
          <w:bCs/>
          <w:sz w:val="20"/>
          <w:szCs w:val="20"/>
          <w:lang w:val="pt-BR"/>
        </w:rPr>
        <w:t xml:space="preserve">stado </w:t>
      </w:r>
      <w:r w:rsidR="00554D0C" w:rsidRPr="00DD3344">
        <w:rPr>
          <w:rFonts w:asciiTheme="majorHAnsi" w:hAnsiTheme="majorHAnsi"/>
          <w:bCs/>
          <w:sz w:val="20"/>
          <w:szCs w:val="20"/>
          <w:lang w:val="pt-BR"/>
        </w:rPr>
        <w:t xml:space="preserve">não </w:t>
      </w:r>
      <w:r>
        <w:rPr>
          <w:rFonts w:asciiTheme="majorHAnsi" w:hAnsiTheme="majorHAnsi"/>
          <w:bCs/>
          <w:sz w:val="20"/>
          <w:szCs w:val="20"/>
          <w:lang w:val="pt-BR"/>
        </w:rPr>
        <w:t xml:space="preserve">controverte </w:t>
      </w:r>
      <w:r w:rsidR="00554D0C" w:rsidRPr="00DD3344">
        <w:rPr>
          <w:rFonts w:asciiTheme="majorHAnsi" w:hAnsiTheme="majorHAnsi"/>
          <w:bCs/>
          <w:sz w:val="20"/>
          <w:szCs w:val="20"/>
          <w:lang w:val="pt-BR"/>
        </w:rPr>
        <w:t>os fatos apresentados na petiç</w:t>
      </w:r>
      <w:r w:rsidR="00DD3344" w:rsidRPr="00DD3344">
        <w:rPr>
          <w:rFonts w:asciiTheme="majorHAnsi" w:hAnsiTheme="majorHAnsi"/>
          <w:bCs/>
          <w:sz w:val="20"/>
          <w:szCs w:val="20"/>
          <w:lang w:val="pt-BR"/>
        </w:rPr>
        <w:t xml:space="preserve">ão. Indica que o Mandado de Segurança foi negado </w:t>
      </w:r>
      <w:r w:rsidR="00DD3344" w:rsidRPr="00DD3344">
        <w:rPr>
          <w:rFonts w:asciiTheme="majorHAnsi" w:hAnsiTheme="majorHAnsi"/>
          <w:sz w:val="20"/>
          <w:szCs w:val="20"/>
          <w:lang w:val="pt-BR"/>
        </w:rPr>
        <w:t>por entender que a suposta vítima possui comportamento incompatível</w:t>
      </w:r>
      <w:r w:rsidR="00F54E03">
        <w:rPr>
          <w:rFonts w:asciiTheme="majorHAnsi" w:hAnsiTheme="majorHAnsi"/>
          <w:sz w:val="20"/>
          <w:szCs w:val="20"/>
          <w:lang w:val="pt-BR"/>
        </w:rPr>
        <w:t xml:space="preserve"> com a carreira</w:t>
      </w:r>
      <w:r w:rsidR="00DD3344" w:rsidRPr="00DD3344">
        <w:rPr>
          <w:rFonts w:asciiTheme="majorHAnsi" w:hAnsiTheme="majorHAnsi"/>
          <w:sz w:val="20"/>
          <w:szCs w:val="20"/>
          <w:lang w:val="pt-BR"/>
        </w:rPr>
        <w:t xml:space="preserve">, pois para o cargo almejado a reputação deve ser irrepreensível e ilibada. Ademais, que qualquer aluno </w:t>
      </w:r>
      <w:r w:rsidR="00F54E03">
        <w:rPr>
          <w:rFonts w:asciiTheme="majorHAnsi" w:hAnsiTheme="majorHAnsi"/>
          <w:sz w:val="20"/>
          <w:szCs w:val="20"/>
          <w:lang w:val="pt-BR"/>
        </w:rPr>
        <w:t>possui</w:t>
      </w:r>
      <w:r w:rsidR="00DD3344" w:rsidRPr="00DD3344">
        <w:rPr>
          <w:rFonts w:asciiTheme="majorHAnsi" w:hAnsiTheme="majorHAnsi"/>
          <w:sz w:val="20"/>
          <w:szCs w:val="20"/>
          <w:lang w:val="pt-BR"/>
        </w:rPr>
        <w:t xml:space="preserve"> a mera expectativa de direito em relação à sua formação e não o direito de permanecer nos quadros da corporação. </w:t>
      </w:r>
      <w:r w:rsidR="00DD3344">
        <w:rPr>
          <w:rFonts w:asciiTheme="majorHAnsi" w:hAnsiTheme="majorHAnsi"/>
          <w:sz w:val="20"/>
          <w:szCs w:val="20"/>
          <w:lang w:val="pt-BR"/>
        </w:rPr>
        <w:t xml:space="preserve">Ressalta </w:t>
      </w:r>
      <w:r w:rsidR="00554D0C" w:rsidRPr="00DD3344">
        <w:rPr>
          <w:rFonts w:asciiTheme="majorHAnsi" w:hAnsiTheme="majorHAnsi"/>
          <w:bCs/>
          <w:sz w:val="20"/>
          <w:szCs w:val="20"/>
          <w:lang w:val="pt-BR"/>
        </w:rPr>
        <w:t>que o Recurso Especial apresentando ao STJ foi negado em 13 de março de 2013 e o Recurso Extraordinário apresentado ao STF negado em 18 de abril de 2013. Indica, ainda, que a investigação em trâmite perante a Ouvidoria da Pol</w:t>
      </w:r>
      <w:r w:rsidR="00686832" w:rsidRPr="00DD3344">
        <w:rPr>
          <w:rFonts w:asciiTheme="majorHAnsi" w:hAnsiTheme="majorHAnsi"/>
          <w:bCs/>
          <w:sz w:val="20"/>
          <w:szCs w:val="20"/>
          <w:lang w:val="pt-BR"/>
        </w:rPr>
        <w:t xml:space="preserve">ícia ainda não conta com decisão definitiva, fazendo com que o processo administrativo siga pendente. </w:t>
      </w:r>
      <w:r w:rsidR="00E446AD" w:rsidRPr="00DD3344">
        <w:rPr>
          <w:rFonts w:asciiTheme="majorHAnsi" w:hAnsiTheme="majorHAnsi"/>
          <w:bCs/>
          <w:sz w:val="20"/>
          <w:szCs w:val="20"/>
          <w:lang w:val="pt-BR"/>
        </w:rPr>
        <w:t>Por isso</w:t>
      </w:r>
      <w:r w:rsidR="00686832" w:rsidRPr="00DD3344">
        <w:rPr>
          <w:rFonts w:asciiTheme="majorHAnsi" w:hAnsiTheme="majorHAnsi"/>
          <w:bCs/>
          <w:sz w:val="20"/>
          <w:szCs w:val="20"/>
          <w:lang w:val="pt-BR"/>
        </w:rPr>
        <w:t>, alega a falta de esgotamento dos recursos internos. Adicionalmente, afirma que não há caracterização de violação de direitos protegidos pela Convenção Americana por entender que a suposta vítima não</w:t>
      </w:r>
      <w:r w:rsidR="00E446AD" w:rsidRPr="00DD3344">
        <w:rPr>
          <w:rFonts w:asciiTheme="majorHAnsi" w:hAnsiTheme="majorHAnsi"/>
          <w:bCs/>
          <w:sz w:val="20"/>
          <w:szCs w:val="20"/>
          <w:lang w:val="pt-BR"/>
        </w:rPr>
        <w:t xml:space="preserve"> logra</w:t>
      </w:r>
      <w:r w:rsidR="00686832" w:rsidRPr="00DD3344">
        <w:rPr>
          <w:rFonts w:asciiTheme="majorHAnsi" w:hAnsiTheme="majorHAnsi"/>
          <w:bCs/>
          <w:sz w:val="20"/>
          <w:szCs w:val="20"/>
          <w:lang w:val="pt-BR"/>
        </w:rPr>
        <w:t xml:space="preserve"> prova</w:t>
      </w:r>
      <w:r w:rsidR="00E446AD" w:rsidRPr="00DD3344">
        <w:rPr>
          <w:rFonts w:asciiTheme="majorHAnsi" w:hAnsiTheme="majorHAnsi"/>
          <w:bCs/>
          <w:sz w:val="20"/>
          <w:szCs w:val="20"/>
          <w:lang w:val="pt-BR"/>
        </w:rPr>
        <w:t>r</w:t>
      </w:r>
      <w:r w:rsidR="00686832" w:rsidRPr="00DD3344">
        <w:rPr>
          <w:rFonts w:asciiTheme="majorHAnsi" w:hAnsiTheme="majorHAnsi"/>
          <w:bCs/>
          <w:sz w:val="20"/>
          <w:szCs w:val="20"/>
          <w:lang w:val="pt-BR"/>
        </w:rPr>
        <w:t xml:space="preserve"> suas alegaç</w:t>
      </w:r>
      <w:r w:rsidR="00E446AD" w:rsidRPr="00DD3344">
        <w:rPr>
          <w:rFonts w:asciiTheme="majorHAnsi" w:hAnsiTheme="majorHAnsi"/>
          <w:bCs/>
          <w:sz w:val="20"/>
          <w:szCs w:val="20"/>
          <w:lang w:val="pt-BR"/>
        </w:rPr>
        <w:t xml:space="preserve">ões e </w:t>
      </w:r>
      <w:r w:rsidR="00C049B8" w:rsidRPr="00DD3344">
        <w:rPr>
          <w:rFonts w:asciiTheme="majorHAnsi" w:hAnsiTheme="majorHAnsi"/>
          <w:bCs/>
          <w:sz w:val="20"/>
          <w:szCs w:val="20"/>
          <w:lang w:val="pt-BR"/>
        </w:rPr>
        <w:t>ressalta que não cabe à Comissão revisar as decisões já adotadas pelos tribunais domésticos.</w:t>
      </w:r>
    </w:p>
    <w:p w14:paraId="6F4D4171" w14:textId="266A49F1" w:rsidR="003239B8" w:rsidRPr="00DD3344" w:rsidRDefault="00DD3344" w:rsidP="00DD33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rFonts w:asciiTheme="majorHAnsi" w:hAnsiTheme="majorHAnsi"/>
          <w:sz w:val="20"/>
          <w:szCs w:val="20"/>
          <w:lang w:val="pt-BR"/>
        </w:rPr>
      </w:pPr>
      <w:r>
        <w:rPr>
          <w:rFonts w:asciiTheme="majorHAnsi" w:eastAsia="Cambria" w:hAnsiTheme="majorHAnsi" w:cs="Cambria"/>
          <w:b/>
          <w:bCs/>
          <w:color w:val="000000"/>
          <w:sz w:val="20"/>
          <w:szCs w:val="20"/>
          <w:u w:color="000000"/>
          <w:lang w:val="pt-BR" w:eastAsia="es-ES"/>
        </w:rPr>
        <w:tab/>
        <w:t>VI.</w:t>
      </w:r>
      <w:r>
        <w:rPr>
          <w:rFonts w:asciiTheme="majorHAnsi" w:eastAsia="Cambria" w:hAnsiTheme="majorHAnsi" w:cs="Cambria"/>
          <w:b/>
          <w:bCs/>
          <w:color w:val="000000"/>
          <w:sz w:val="20"/>
          <w:szCs w:val="20"/>
          <w:u w:color="000000"/>
          <w:lang w:val="pt-BR" w:eastAsia="es-ES"/>
        </w:rPr>
        <w:tab/>
        <w:t xml:space="preserve"> </w:t>
      </w:r>
      <w:r w:rsidR="00D21316" w:rsidRPr="00DD3344">
        <w:rPr>
          <w:rFonts w:asciiTheme="majorHAnsi" w:hAnsiTheme="majorHAnsi"/>
          <w:b/>
          <w:bCs/>
          <w:sz w:val="20"/>
          <w:szCs w:val="20"/>
          <w:lang w:val="pt-BR"/>
        </w:rPr>
        <w:t>ANÁLISE</w:t>
      </w:r>
      <w:r w:rsidR="004A6A54" w:rsidRPr="00DD3344">
        <w:rPr>
          <w:rFonts w:asciiTheme="majorHAnsi" w:hAnsiTheme="majorHAnsi"/>
          <w:b/>
          <w:bCs/>
          <w:sz w:val="20"/>
          <w:szCs w:val="20"/>
          <w:lang w:val="pt-BR"/>
        </w:rPr>
        <w:t xml:space="preserve"> DE </w:t>
      </w:r>
      <w:r w:rsidR="00D21316" w:rsidRPr="00DD3344">
        <w:rPr>
          <w:rFonts w:asciiTheme="majorHAnsi" w:hAnsiTheme="majorHAnsi"/>
          <w:b/>
          <w:sz w:val="20"/>
          <w:szCs w:val="20"/>
          <w:lang w:val="pt-BR"/>
        </w:rPr>
        <w:t>ESGOTAM</w:t>
      </w:r>
      <w:r w:rsidR="00C21FEF" w:rsidRPr="00DD3344">
        <w:rPr>
          <w:rFonts w:asciiTheme="majorHAnsi" w:hAnsiTheme="majorHAnsi"/>
          <w:b/>
          <w:sz w:val="20"/>
          <w:szCs w:val="20"/>
          <w:lang w:val="pt-BR"/>
        </w:rPr>
        <w:t xml:space="preserve">ENTO </w:t>
      </w:r>
      <w:r w:rsidR="00D21316" w:rsidRPr="00DD3344">
        <w:rPr>
          <w:rFonts w:asciiTheme="majorHAnsi" w:hAnsiTheme="majorHAnsi"/>
          <w:b/>
          <w:sz w:val="20"/>
          <w:szCs w:val="20"/>
          <w:lang w:val="pt-BR"/>
        </w:rPr>
        <w:t>DOS</w:t>
      </w:r>
      <w:r w:rsidR="00C21FEF" w:rsidRPr="00DD3344">
        <w:rPr>
          <w:rFonts w:asciiTheme="majorHAnsi" w:hAnsiTheme="majorHAnsi"/>
          <w:b/>
          <w:sz w:val="20"/>
          <w:szCs w:val="20"/>
          <w:lang w:val="pt-BR"/>
        </w:rPr>
        <w:t xml:space="preserve"> RECURSOS INTERNOS</w:t>
      </w:r>
      <w:r w:rsidR="00D21316" w:rsidRPr="00DD3344">
        <w:rPr>
          <w:rFonts w:asciiTheme="majorHAnsi" w:hAnsiTheme="majorHAnsi"/>
          <w:b/>
          <w:sz w:val="20"/>
          <w:szCs w:val="20"/>
          <w:lang w:val="pt-BR"/>
        </w:rPr>
        <w:t xml:space="preserve"> E PR</w:t>
      </w:r>
      <w:r w:rsidR="00C21FEF" w:rsidRPr="00DD3344">
        <w:rPr>
          <w:rFonts w:asciiTheme="majorHAnsi" w:hAnsiTheme="majorHAnsi"/>
          <w:b/>
          <w:sz w:val="20"/>
          <w:szCs w:val="20"/>
          <w:lang w:val="pt-BR"/>
        </w:rPr>
        <w:t xml:space="preserve">AZO DE </w:t>
      </w:r>
      <w:r w:rsidR="00D21316" w:rsidRPr="00DD3344">
        <w:rPr>
          <w:rFonts w:asciiTheme="majorHAnsi" w:hAnsiTheme="majorHAnsi"/>
          <w:b/>
          <w:sz w:val="20"/>
          <w:szCs w:val="20"/>
          <w:lang w:val="pt-BR"/>
        </w:rPr>
        <w:t>APRESENTAÇÃO</w:t>
      </w:r>
      <w:r w:rsidR="00C21FEF" w:rsidRPr="00DD3344">
        <w:rPr>
          <w:rFonts w:asciiTheme="majorHAnsi" w:eastAsia="Cambria" w:hAnsiTheme="majorHAnsi" w:cs="Cambria"/>
          <w:b/>
          <w:bCs/>
          <w:color w:val="000000"/>
          <w:sz w:val="20"/>
          <w:szCs w:val="20"/>
          <w:u w:color="000000"/>
          <w:lang w:val="pt-BR" w:eastAsia="es-ES"/>
        </w:rPr>
        <w:t xml:space="preserve"> </w:t>
      </w:r>
    </w:p>
    <w:p w14:paraId="01D47E3F" w14:textId="0358B702" w:rsidR="003239B8" w:rsidRPr="00A17913" w:rsidRDefault="001A12B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A17913">
        <w:rPr>
          <w:rFonts w:asciiTheme="majorHAnsi" w:hAnsiTheme="majorHAnsi"/>
          <w:sz w:val="20"/>
          <w:szCs w:val="20"/>
          <w:lang w:val="pt-BR"/>
        </w:rPr>
        <w:t>A suposta vítima alega a demora injustificada do Estado na resolução</w:t>
      </w:r>
      <w:r w:rsidR="001F0BB5" w:rsidRPr="00A17913">
        <w:rPr>
          <w:rFonts w:asciiTheme="majorHAnsi" w:hAnsiTheme="majorHAnsi"/>
          <w:sz w:val="20"/>
          <w:szCs w:val="20"/>
          <w:lang w:val="pt-BR"/>
        </w:rPr>
        <w:t xml:space="preserve"> do</w:t>
      </w:r>
      <w:r w:rsidRPr="00A17913">
        <w:rPr>
          <w:rFonts w:asciiTheme="majorHAnsi" w:hAnsiTheme="majorHAnsi"/>
          <w:sz w:val="20"/>
          <w:szCs w:val="20"/>
          <w:lang w:val="pt-BR"/>
        </w:rPr>
        <w:t xml:space="preserve"> </w:t>
      </w:r>
      <w:r w:rsidR="00E759FB" w:rsidRPr="00A17913">
        <w:rPr>
          <w:rFonts w:asciiTheme="majorHAnsi" w:hAnsiTheme="majorHAnsi"/>
          <w:sz w:val="20"/>
          <w:szCs w:val="20"/>
          <w:lang w:val="pt-BR"/>
        </w:rPr>
        <w:t>Agravo em Recurso Extraordin</w:t>
      </w:r>
      <w:r w:rsidR="006A5EF3" w:rsidRPr="00A17913">
        <w:rPr>
          <w:rFonts w:asciiTheme="majorHAnsi" w:hAnsiTheme="majorHAnsi"/>
          <w:sz w:val="20"/>
          <w:szCs w:val="20"/>
          <w:lang w:val="pt-BR"/>
        </w:rPr>
        <w:t>ário apresentado</w:t>
      </w:r>
      <w:r w:rsidR="00E759FB" w:rsidRPr="00A17913">
        <w:rPr>
          <w:rFonts w:asciiTheme="majorHAnsi" w:hAnsiTheme="majorHAnsi"/>
          <w:sz w:val="20"/>
          <w:szCs w:val="20"/>
          <w:lang w:val="pt-BR"/>
        </w:rPr>
        <w:t xml:space="preserve"> ao STF contra a decisão que negou o mencionado recurso. </w:t>
      </w:r>
      <w:r w:rsidR="00A17913" w:rsidRPr="00A17913">
        <w:rPr>
          <w:rFonts w:asciiTheme="majorHAnsi" w:hAnsiTheme="majorHAnsi"/>
          <w:sz w:val="20"/>
          <w:szCs w:val="20"/>
          <w:lang w:val="pt-BR"/>
        </w:rPr>
        <w:t xml:space="preserve">Aponta que o retardo na conclusão do processo impede as chances que possui para tornar-se oficial, tendo em vista o avançar da idade e os prazos para progressão na carreira. </w:t>
      </w:r>
      <w:r w:rsidR="00E759FB" w:rsidRPr="00A17913">
        <w:rPr>
          <w:rFonts w:asciiTheme="majorHAnsi" w:hAnsiTheme="majorHAnsi"/>
          <w:sz w:val="20"/>
          <w:szCs w:val="20"/>
          <w:lang w:val="pt-BR"/>
        </w:rPr>
        <w:t xml:space="preserve">O Estado, por sua vez, afirma que os recursos internos não foram esgotados </w:t>
      </w:r>
      <w:r w:rsidR="006A5EF3" w:rsidRPr="00A17913">
        <w:rPr>
          <w:rFonts w:asciiTheme="majorHAnsi" w:hAnsiTheme="majorHAnsi"/>
          <w:sz w:val="20"/>
          <w:szCs w:val="20"/>
          <w:lang w:val="pt-BR"/>
        </w:rPr>
        <w:t xml:space="preserve">e que, </w:t>
      </w:r>
      <w:r w:rsidR="00A17913">
        <w:rPr>
          <w:rFonts w:asciiTheme="majorHAnsi" w:hAnsiTheme="majorHAnsi"/>
          <w:sz w:val="20"/>
          <w:szCs w:val="20"/>
          <w:lang w:val="pt-BR"/>
        </w:rPr>
        <w:t>além disso</w:t>
      </w:r>
      <w:r w:rsidR="006A5EF3" w:rsidRPr="00A17913">
        <w:rPr>
          <w:rFonts w:asciiTheme="majorHAnsi" w:hAnsiTheme="majorHAnsi"/>
          <w:sz w:val="20"/>
          <w:szCs w:val="20"/>
          <w:lang w:val="pt-BR"/>
        </w:rPr>
        <w:t>, não é papel da Comissão revisar as decisões adotadas internamente.</w:t>
      </w:r>
    </w:p>
    <w:p w14:paraId="0A504BE0" w14:textId="0C4ACB70" w:rsidR="006A5EF3" w:rsidRDefault="006D2D3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A17913">
        <w:rPr>
          <w:rFonts w:asciiTheme="majorHAnsi" w:hAnsiTheme="majorHAnsi"/>
          <w:sz w:val="20"/>
          <w:szCs w:val="20"/>
          <w:lang w:val="pt-BR"/>
        </w:rPr>
        <w:t>A</w:t>
      </w:r>
      <w:r w:rsidR="00E759FB" w:rsidRPr="00A17913">
        <w:rPr>
          <w:rFonts w:asciiTheme="majorHAnsi" w:hAnsiTheme="majorHAnsi"/>
          <w:sz w:val="20"/>
          <w:szCs w:val="20"/>
          <w:lang w:val="pt-BR"/>
        </w:rPr>
        <w:t xml:space="preserve"> partir de informação</w:t>
      </w:r>
      <w:r w:rsidR="006A5EF3" w:rsidRPr="00A17913">
        <w:rPr>
          <w:rFonts w:asciiTheme="majorHAnsi" w:hAnsiTheme="majorHAnsi"/>
          <w:sz w:val="20"/>
          <w:szCs w:val="20"/>
          <w:lang w:val="pt-BR"/>
        </w:rPr>
        <w:t xml:space="preserve"> disponível e de público acesso, </w:t>
      </w:r>
      <w:r w:rsidR="00E759FB" w:rsidRPr="00A17913">
        <w:rPr>
          <w:rFonts w:asciiTheme="majorHAnsi" w:hAnsiTheme="majorHAnsi"/>
          <w:sz w:val="20"/>
          <w:szCs w:val="20"/>
          <w:lang w:val="pt-BR"/>
        </w:rPr>
        <w:t xml:space="preserve">a Comissão </w:t>
      </w:r>
      <w:r w:rsidR="006A5EF3" w:rsidRPr="00A17913">
        <w:rPr>
          <w:rFonts w:asciiTheme="majorHAnsi" w:hAnsiTheme="majorHAnsi"/>
          <w:sz w:val="20"/>
          <w:szCs w:val="20"/>
          <w:lang w:val="pt-BR"/>
        </w:rPr>
        <w:t>pode verificar</w:t>
      </w:r>
      <w:r w:rsidR="00E759FB" w:rsidRPr="00A17913">
        <w:rPr>
          <w:rFonts w:asciiTheme="majorHAnsi" w:hAnsiTheme="majorHAnsi"/>
          <w:sz w:val="20"/>
          <w:szCs w:val="20"/>
          <w:lang w:val="pt-BR"/>
        </w:rPr>
        <w:t xml:space="preserve"> que o STF julgou </w:t>
      </w:r>
      <w:r w:rsidRPr="00A17913">
        <w:rPr>
          <w:rFonts w:asciiTheme="majorHAnsi" w:hAnsiTheme="majorHAnsi"/>
          <w:sz w:val="20"/>
          <w:szCs w:val="20"/>
          <w:lang w:val="pt-BR"/>
        </w:rPr>
        <w:t xml:space="preserve">improcedente </w:t>
      </w:r>
      <w:r w:rsidR="00E759FB" w:rsidRPr="00A17913">
        <w:rPr>
          <w:rFonts w:asciiTheme="majorHAnsi" w:hAnsiTheme="majorHAnsi"/>
          <w:sz w:val="20"/>
          <w:szCs w:val="20"/>
          <w:lang w:val="pt-BR"/>
        </w:rPr>
        <w:t xml:space="preserve">o </w:t>
      </w:r>
      <w:r w:rsidR="00C44969">
        <w:rPr>
          <w:rFonts w:asciiTheme="majorHAnsi" w:hAnsiTheme="majorHAnsi"/>
          <w:sz w:val="20"/>
          <w:szCs w:val="20"/>
          <w:lang w:val="pt-BR"/>
        </w:rPr>
        <w:t>referido Agravo</w:t>
      </w:r>
      <w:r w:rsidR="006A5EF3" w:rsidRPr="00A17913">
        <w:rPr>
          <w:rFonts w:asciiTheme="majorHAnsi" w:hAnsiTheme="majorHAnsi"/>
          <w:sz w:val="20"/>
          <w:szCs w:val="20"/>
          <w:lang w:val="pt-BR"/>
        </w:rPr>
        <w:t xml:space="preserve"> </w:t>
      </w:r>
      <w:r w:rsidR="00E759FB" w:rsidRPr="00A17913">
        <w:rPr>
          <w:rFonts w:asciiTheme="majorHAnsi" w:hAnsiTheme="majorHAnsi"/>
          <w:sz w:val="20"/>
          <w:szCs w:val="20"/>
          <w:lang w:val="pt-BR"/>
        </w:rPr>
        <w:t xml:space="preserve">em 15 de dezembro de 2014. </w:t>
      </w:r>
      <w:r w:rsidR="006A5EF3" w:rsidRPr="00A17913">
        <w:rPr>
          <w:rFonts w:asciiTheme="majorHAnsi" w:hAnsiTheme="majorHAnsi"/>
          <w:sz w:val="20"/>
          <w:szCs w:val="20"/>
          <w:lang w:val="pt-BR"/>
        </w:rPr>
        <w:t>A Comissão ressalta que</w:t>
      </w:r>
      <w:r w:rsidR="00F54E03">
        <w:rPr>
          <w:rFonts w:asciiTheme="majorHAnsi" w:hAnsiTheme="majorHAnsi"/>
          <w:sz w:val="20"/>
          <w:szCs w:val="20"/>
          <w:lang w:val="pt-BR"/>
        </w:rPr>
        <w:t>,</w:t>
      </w:r>
      <w:r w:rsidR="006A5EF3" w:rsidRPr="00A17913">
        <w:rPr>
          <w:rFonts w:asciiTheme="majorHAnsi" w:hAnsiTheme="majorHAnsi"/>
          <w:sz w:val="20"/>
          <w:szCs w:val="20"/>
          <w:lang w:val="pt-BR"/>
        </w:rPr>
        <w:t xml:space="preserve"> em termos gerais, não se exige o esgotamento dos recursos extraordin</w:t>
      </w:r>
      <w:r w:rsidR="00C44969">
        <w:rPr>
          <w:rFonts w:asciiTheme="majorHAnsi" w:hAnsiTheme="majorHAnsi"/>
          <w:sz w:val="20"/>
          <w:szCs w:val="20"/>
          <w:lang w:val="pt-BR"/>
        </w:rPr>
        <w:t xml:space="preserve">ários, mas </w:t>
      </w:r>
      <w:r w:rsidR="006A5EF3" w:rsidRPr="00A17913">
        <w:rPr>
          <w:rFonts w:asciiTheme="majorHAnsi" w:hAnsiTheme="majorHAnsi"/>
          <w:sz w:val="20"/>
          <w:szCs w:val="20"/>
          <w:lang w:val="pt-BR"/>
        </w:rPr>
        <w:t>em casos em que esses recursos resultem serem os adequados e efetivos para a situação específica que se denuncia, pode ser avaliada a necessidade do seu esgotamento. Assim, se o peticionário decide esgotá-lo, deve fazê-lo de acordo com a norma processual correspondente.</w:t>
      </w:r>
      <w:r w:rsidR="00A17913">
        <w:rPr>
          <w:rFonts w:asciiTheme="majorHAnsi" w:hAnsiTheme="majorHAnsi"/>
          <w:sz w:val="20"/>
          <w:szCs w:val="20"/>
          <w:lang w:val="pt-BR"/>
        </w:rPr>
        <w:t xml:space="preserve"> No presente caso, </w:t>
      </w:r>
      <w:r w:rsidR="00C44969">
        <w:rPr>
          <w:rFonts w:asciiTheme="majorHAnsi" w:hAnsiTheme="majorHAnsi"/>
          <w:sz w:val="20"/>
          <w:szCs w:val="20"/>
          <w:lang w:val="pt-BR"/>
        </w:rPr>
        <w:t>a Comissão nota</w:t>
      </w:r>
      <w:r w:rsidR="00A17913">
        <w:rPr>
          <w:rFonts w:asciiTheme="majorHAnsi" w:hAnsiTheme="majorHAnsi"/>
          <w:sz w:val="20"/>
          <w:szCs w:val="20"/>
          <w:lang w:val="pt-BR"/>
        </w:rPr>
        <w:t xml:space="preserve"> que a suposta vítima apresentou todos os recursos ordinários e extraordinários disponíveis para denunciar a alegada discriminação em relação à sua orientação sexual. Dessa forma, considera cumprido o requisito de esgotamento dos recursos internos conforme previsto </w:t>
      </w:r>
      <w:r w:rsidR="00670CA0">
        <w:rPr>
          <w:rFonts w:asciiTheme="majorHAnsi" w:hAnsiTheme="majorHAnsi"/>
          <w:sz w:val="20"/>
          <w:szCs w:val="20"/>
          <w:lang w:val="pt-BR"/>
        </w:rPr>
        <w:t>pela</w:t>
      </w:r>
      <w:r w:rsidR="00A17913">
        <w:rPr>
          <w:rFonts w:asciiTheme="majorHAnsi" w:hAnsiTheme="majorHAnsi"/>
          <w:sz w:val="20"/>
          <w:szCs w:val="20"/>
          <w:lang w:val="pt-BR"/>
        </w:rPr>
        <w:t xml:space="preserve"> Convenção Americana.</w:t>
      </w:r>
    </w:p>
    <w:p w14:paraId="3489B790" w14:textId="1A12B21C" w:rsidR="00A17913" w:rsidRPr="00A17913" w:rsidRDefault="00A17913" w:rsidP="00A179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Sobre o prazo de apresentação, a Comissão reitera sua constante posição segundo a qual a situação para estabelecer se os recursos da jurisdição interna foram esgotados é aquela existente ao decidir sobre a admissibilidade, tendo em vista que o momento da apresentação da denúncia e o pronunciamento sobre a admissibilidade é distinto</w:t>
      </w:r>
      <w:r w:rsidRPr="00BB560E">
        <w:rPr>
          <w:rStyle w:val="FootnoteReference"/>
          <w:rFonts w:ascii="Cambria" w:hAnsi="Cambria"/>
          <w:sz w:val="20"/>
          <w:szCs w:val="20"/>
          <w:lang w:val="es-MX"/>
        </w:rPr>
        <w:footnoteReference w:id="6"/>
      </w:r>
      <w:r>
        <w:rPr>
          <w:rFonts w:asciiTheme="majorHAnsi" w:hAnsiTheme="majorHAnsi"/>
          <w:sz w:val="20"/>
          <w:szCs w:val="20"/>
          <w:lang w:val="pt-BR"/>
        </w:rPr>
        <w:t xml:space="preserve">. Diante do exposto, considera que a petição cumpre com </w:t>
      </w:r>
      <w:r w:rsidR="00670CA0">
        <w:rPr>
          <w:rFonts w:asciiTheme="majorHAnsi" w:hAnsiTheme="majorHAnsi"/>
          <w:sz w:val="20"/>
          <w:szCs w:val="20"/>
          <w:lang w:val="pt-BR"/>
        </w:rPr>
        <w:t xml:space="preserve">o </w:t>
      </w:r>
      <w:r w:rsidR="00C44969">
        <w:rPr>
          <w:rFonts w:asciiTheme="majorHAnsi" w:hAnsiTheme="majorHAnsi"/>
          <w:sz w:val="20"/>
          <w:szCs w:val="20"/>
          <w:lang w:val="pt-BR"/>
        </w:rPr>
        <w:t>critério</w:t>
      </w:r>
      <w:r w:rsidR="00670CA0">
        <w:rPr>
          <w:rFonts w:asciiTheme="majorHAnsi" w:hAnsiTheme="majorHAnsi"/>
          <w:sz w:val="20"/>
          <w:szCs w:val="20"/>
          <w:lang w:val="pt-BR"/>
        </w:rPr>
        <w:t xml:space="preserve"> requerido pela Convenção Americana</w:t>
      </w:r>
      <w:r w:rsidR="00C44969">
        <w:rPr>
          <w:rFonts w:asciiTheme="majorHAnsi" w:hAnsiTheme="majorHAnsi"/>
          <w:sz w:val="20"/>
          <w:szCs w:val="20"/>
          <w:lang w:val="pt-BR"/>
        </w:rPr>
        <w:t xml:space="preserve"> também em seu artigo 46.1.</w:t>
      </w:r>
    </w:p>
    <w:p w14:paraId="4FFBE378" w14:textId="3CCE7856" w:rsidR="003239B8" w:rsidRPr="00E759FB" w:rsidRDefault="003239B8" w:rsidP="003239B8">
      <w:pPr>
        <w:pStyle w:val="ListParagraph"/>
        <w:spacing w:before="240" w:after="240"/>
        <w:jc w:val="both"/>
        <w:rPr>
          <w:rFonts w:asciiTheme="majorHAnsi" w:hAnsiTheme="majorHAnsi"/>
          <w:b/>
          <w:sz w:val="20"/>
          <w:szCs w:val="20"/>
          <w:lang w:val="pt-BR"/>
        </w:rPr>
      </w:pPr>
      <w:r w:rsidRPr="00E759FB">
        <w:rPr>
          <w:rFonts w:asciiTheme="majorHAnsi" w:hAnsiTheme="majorHAnsi"/>
          <w:b/>
          <w:bCs/>
          <w:sz w:val="20"/>
          <w:szCs w:val="20"/>
          <w:lang w:val="pt-BR"/>
        </w:rPr>
        <w:t>VII.</w:t>
      </w:r>
      <w:r w:rsidRPr="00E759FB">
        <w:rPr>
          <w:rFonts w:asciiTheme="majorHAnsi" w:hAnsiTheme="majorHAnsi"/>
          <w:b/>
          <w:bCs/>
          <w:sz w:val="20"/>
          <w:szCs w:val="20"/>
          <w:lang w:val="pt-BR"/>
        </w:rPr>
        <w:tab/>
      </w:r>
      <w:r w:rsidR="00D21316" w:rsidRPr="00E759FB">
        <w:rPr>
          <w:rFonts w:asciiTheme="majorHAnsi" w:hAnsiTheme="majorHAnsi"/>
          <w:b/>
          <w:bCs/>
          <w:sz w:val="20"/>
          <w:szCs w:val="20"/>
          <w:lang w:val="pt-BR"/>
        </w:rPr>
        <w:t>ANÁLISE</w:t>
      </w:r>
      <w:r w:rsidR="004A6A54" w:rsidRPr="00E759FB">
        <w:rPr>
          <w:rFonts w:asciiTheme="majorHAnsi" w:hAnsiTheme="majorHAnsi"/>
          <w:b/>
          <w:bCs/>
          <w:sz w:val="20"/>
          <w:szCs w:val="20"/>
          <w:lang w:val="pt-BR"/>
        </w:rPr>
        <w:t xml:space="preserve"> DE </w:t>
      </w:r>
      <w:r w:rsidR="00C21FEF" w:rsidRPr="00E759FB">
        <w:rPr>
          <w:rFonts w:asciiTheme="majorHAnsi" w:hAnsiTheme="majorHAnsi"/>
          <w:b/>
          <w:bCs/>
          <w:sz w:val="20"/>
          <w:szCs w:val="20"/>
          <w:lang w:val="pt-BR"/>
        </w:rPr>
        <w:t>CARACTERIZA</w:t>
      </w:r>
      <w:r w:rsidR="00A53003" w:rsidRPr="00E759FB">
        <w:rPr>
          <w:rFonts w:asciiTheme="majorHAnsi" w:hAnsiTheme="majorHAnsi"/>
          <w:b/>
          <w:bCs/>
          <w:sz w:val="20"/>
          <w:szCs w:val="20"/>
          <w:lang w:val="pt-BR"/>
        </w:rPr>
        <w:t>ÇÃO</w:t>
      </w:r>
      <w:r w:rsidR="00C21FEF" w:rsidRPr="00E759FB">
        <w:rPr>
          <w:rFonts w:asciiTheme="majorHAnsi" w:hAnsiTheme="majorHAnsi"/>
          <w:b/>
          <w:bCs/>
          <w:sz w:val="20"/>
          <w:szCs w:val="20"/>
          <w:lang w:val="pt-BR"/>
        </w:rPr>
        <w:t xml:space="preserve"> DOS </w:t>
      </w:r>
      <w:r w:rsidR="00A53003" w:rsidRPr="00E759FB">
        <w:rPr>
          <w:rFonts w:asciiTheme="majorHAnsi" w:hAnsiTheme="majorHAnsi"/>
          <w:b/>
          <w:bCs/>
          <w:sz w:val="20"/>
          <w:szCs w:val="20"/>
          <w:lang w:val="pt-BR"/>
        </w:rPr>
        <w:t>FATOS</w:t>
      </w:r>
      <w:r w:rsidR="00C21FEF" w:rsidRPr="00E759FB">
        <w:rPr>
          <w:rFonts w:asciiTheme="majorHAnsi" w:hAnsiTheme="majorHAnsi"/>
          <w:b/>
          <w:bCs/>
          <w:sz w:val="20"/>
          <w:szCs w:val="20"/>
          <w:lang w:val="pt-BR"/>
        </w:rPr>
        <w:t xml:space="preserve"> ALEGADOS</w:t>
      </w:r>
    </w:p>
    <w:p w14:paraId="68DCE8F4" w14:textId="390BDE6D" w:rsidR="0031465A" w:rsidRPr="004B1D1E" w:rsidRDefault="0031465A" w:rsidP="003146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4B1D1E">
        <w:rPr>
          <w:rFonts w:asciiTheme="majorHAnsi" w:hAnsiTheme="majorHAnsi"/>
          <w:sz w:val="20"/>
          <w:szCs w:val="20"/>
          <w:lang w:val="pt-BR"/>
        </w:rPr>
        <w:t>A Comissão considera que a presente pretição inclui alega</w:t>
      </w:r>
      <w:r w:rsidRPr="004B1D1E">
        <w:rPr>
          <w:rStyle w:val="Emphasis"/>
          <w:rFonts w:asciiTheme="majorHAnsi" w:hAnsiTheme="majorHAnsi" w:cs="Arial"/>
          <w:bCs/>
          <w:i w:val="0"/>
          <w:sz w:val="20"/>
          <w:szCs w:val="20"/>
          <w:shd w:val="clear" w:color="auto" w:fill="FFFFFF"/>
          <w:lang w:val="pt-BR"/>
        </w:rPr>
        <w:t>ções</w:t>
      </w:r>
      <w:r w:rsidRPr="004B1D1E">
        <w:rPr>
          <w:rStyle w:val="Emphasis"/>
          <w:rFonts w:asciiTheme="majorHAnsi" w:hAnsiTheme="majorHAnsi" w:cs="Arial"/>
          <w:bCs/>
          <w:sz w:val="20"/>
          <w:szCs w:val="20"/>
          <w:shd w:val="clear" w:color="auto" w:fill="FFFFFF"/>
          <w:lang w:val="pt-BR"/>
        </w:rPr>
        <w:t xml:space="preserve"> </w:t>
      </w:r>
      <w:r w:rsidRPr="004B1D1E">
        <w:rPr>
          <w:rStyle w:val="Emphasis"/>
          <w:rFonts w:asciiTheme="majorHAnsi" w:hAnsiTheme="majorHAnsi" w:cs="Arial"/>
          <w:bCs/>
          <w:i w:val="0"/>
          <w:sz w:val="20"/>
          <w:szCs w:val="20"/>
          <w:shd w:val="clear" w:color="auto" w:fill="FFFFFF"/>
          <w:lang w:val="pt-BR"/>
        </w:rPr>
        <w:t>a respeito</w:t>
      </w:r>
      <w:r w:rsidRPr="004B1D1E">
        <w:rPr>
          <w:rFonts w:asciiTheme="majorHAnsi" w:hAnsiTheme="majorHAnsi"/>
          <w:i/>
          <w:sz w:val="20"/>
          <w:szCs w:val="20"/>
          <w:lang w:val="pt-BR"/>
        </w:rPr>
        <w:t xml:space="preserve"> </w:t>
      </w:r>
      <w:r w:rsidRPr="004B1D1E">
        <w:rPr>
          <w:rFonts w:asciiTheme="majorHAnsi" w:hAnsiTheme="majorHAnsi"/>
          <w:sz w:val="20"/>
          <w:szCs w:val="20"/>
          <w:lang w:val="pt-BR"/>
        </w:rPr>
        <w:t>da discrimina</w:t>
      </w:r>
      <w:r w:rsidR="004B1D1E" w:rsidRPr="004B1D1E">
        <w:rPr>
          <w:rFonts w:asciiTheme="majorHAnsi" w:hAnsiTheme="majorHAnsi"/>
          <w:sz w:val="20"/>
          <w:szCs w:val="20"/>
          <w:lang w:val="pt-BR"/>
        </w:rPr>
        <w:t>ção</w:t>
      </w:r>
      <w:r w:rsidRPr="004B1D1E">
        <w:rPr>
          <w:rFonts w:asciiTheme="majorHAnsi" w:hAnsiTheme="majorHAnsi"/>
          <w:sz w:val="20"/>
          <w:szCs w:val="20"/>
          <w:lang w:val="pt-BR"/>
        </w:rPr>
        <w:t xml:space="preserve"> devido a orienta</w:t>
      </w:r>
      <w:r w:rsidR="004B1D1E" w:rsidRPr="004B1D1E">
        <w:rPr>
          <w:rFonts w:asciiTheme="majorHAnsi" w:hAnsiTheme="majorHAnsi"/>
          <w:sz w:val="20"/>
          <w:szCs w:val="20"/>
          <w:lang w:val="pt-BR"/>
        </w:rPr>
        <w:t>ção sexual</w:t>
      </w:r>
      <w:r w:rsidRPr="004B1D1E">
        <w:rPr>
          <w:rFonts w:asciiTheme="majorHAnsi" w:hAnsiTheme="majorHAnsi"/>
          <w:sz w:val="20"/>
          <w:szCs w:val="20"/>
          <w:lang w:val="pt-BR"/>
        </w:rPr>
        <w:t xml:space="preserve"> sofrida por </w:t>
      </w:r>
      <w:r w:rsidRPr="004B1D1E">
        <w:rPr>
          <w:rFonts w:asciiTheme="majorHAnsi" w:hAnsiTheme="majorHAnsi"/>
          <w:bCs/>
          <w:sz w:val="20"/>
          <w:szCs w:val="20"/>
          <w:lang w:val="pt-BR"/>
        </w:rPr>
        <w:t>Claudio Rogério Rodrigues da Silva durante o seu ingresso na Polícia Militar e o curso de forma</w:t>
      </w:r>
      <w:r w:rsidR="004B1D1E" w:rsidRPr="004B1D1E">
        <w:rPr>
          <w:rFonts w:asciiTheme="majorHAnsi" w:hAnsiTheme="majorHAnsi"/>
          <w:sz w:val="20"/>
          <w:szCs w:val="20"/>
          <w:lang w:val="pt-BR"/>
        </w:rPr>
        <w:t>ção</w:t>
      </w:r>
      <w:r w:rsidRPr="004B1D1E">
        <w:rPr>
          <w:rFonts w:asciiTheme="majorHAnsi" w:hAnsiTheme="majorHAnsi"/>
          <w:bCs/>
          <w:sz w:val="20"/>
          <w:szCs w:val="20"/>
          <w:lang w:val="pt-BR"/>
        </w:rPr>
        <w:t xml:space="preserve"> de oficiais, do qual foi desligado após </w:t>
      </w:r>
      <w:r w:rsidR="004B1D1E" w:rsidRPr="004B1D1E">
        <w:rPr>
          <w:rFonts w:asciiTheme="majorHAnsi" w:hAnsiTheme="majorHAnsi"/>
          <w:bCs/>
          <w:sz w:val="20"/>
          <w:szCs w:val="20"/>
          <w:lang w:val="pt-BR"/>
        </w:rPr>
        <w:t>entrevista na qual lhe foram feitas perguntas relacionadas a sua orienta</w:t>
      </w:r>
      <w:r w:rsidR="004B1D1E" w:rsidRPr="004B1D1E">
        <w:rPr>
          <w:rFonts w:asciiTheme="majorHAnsi" w:hAnsiTheme="majorHAnsi"/>
          <w:sz w:val="20"/>
          <w:szCs w:val="20"/>
          <w:lang w:val="pt-BR"/>
        </w:rPr>
        <w:t>ção</w:t>
      </w:r>
      <w:r w:rsidR="004B1D1E" w:rsidRPr="004B1D1E">
        <w:rPr>
          <w:rFonts w:asciiTheme="majorHAnsi" w:hAnsiTheme="majorHAnsi"/>
          <w:bCs/>
          <w:sz w:val="20"/>
          <w:szCs w:val="20"/>
          <w:lang w:val="pt-BR"/>
        </w:rPr>
        <w:t xml:space="preserve"> sexual. </w:t>
      </w:r>
      <w:r w:rsidR="004B1D1E">
        <w:rPr>
          <w:rFonts w:asciiTheme="majorHAnsi" w:hAnsiTheme="majorHAnsi"/>
          <w:bCs/>
          <w:sz w:val="20"/>
          <w:szCs w:val="20"/>
          <w:lang w:val="pt-BR"/>
        </w:rPr>
        <w:t xml:space="preserve">Ainda, a CIDH observa que a presente </w:t>
      </w:r>
      <w:r w:rsidR="004B1D1E" w:rsidRPr="004B1D1E">
        <w:rPr>
          <w:rFonts w:asciiTheme="majorHAnsi" w:hAnsiTheme="majorHAnsi"/>
          <w:sz w:val="20"/>
          <w:szCs w:val="20"/>
          <w:lang w:val="pt-BR"/>
        </w:rPr>
        <w:t>pretição</w:t>
      </w:r>
      <w:r w:rsidR="004B1D1E">
        <w:rPr>
          <w:rFonts w:asciiTheme="majorHAnsi" w:hAnsiTheme="majorHAnsi"/>
          <w:sz w:val="20"/>
          <w:szCs w:val="20"/>
          <w:lang w:val="pt-BR"/>
        </w:rPr>
        <w:t xml:space="preserve"> se relaciona com o processo administrativo que promoveu o desligamento do Sr. </w:t>
      </w:r>
      <w:r w:rsidR="004B1D1E" w:rsidRPr="001F0BB5">
        <w:rPr>
          <w:rFonts w:asciiTheme="majorHAnsi" w:hAnsiTheme="majorHAnsi"/>
          <w:bCs/>
          <w:sz w:val="20"/>
          <w:szCs w:val="20"/>
          <w:lang w:val="pt-BR"/>
        </w:rPr>
        <w:t>Rodrigues da Silva</w:t>
      </w:r>
      <w:r w:rsidR="004B1D1E">
        <w:rPr>
          <w:rFonts w:asciiTheme="majorHAnsi" w:hAnsiTheme="majorHAnsi"/>
          <w:bCs/>
          <w:sz w:val="20"/>
          <w:szCs w:val="20"/>
          <w:lang w:val="pt-BR"/>
        </w:rPr>
        <w:t xml:space="preserve"> do referido curso, no qual houveram incurs</w:t>
      </w:r>
      <w:r w:rsidR="004B1D1E" w:rsidRPr="004B1D1E">
        <w:rPr>
          <w:rStyle w:val="Emphasis"/>
          <w:rFonts w:asciiTheme="majorHAnsi" w:hAnsiTheme="majorHAnsi" w:cs="Arial"/>
          <w:bCs/>
          <w:i w:val="0"/>
          <w:sz w:val="20"/>
          <w:szCs w:val="20"/>
          <w:shd w:val="clear" w:color="auto" w:fill="FFFFFF"/>
          <w:lang w:val="pt-BR"/>
        </w:rPr>
        <w:t>ões</w:t>
      </w:r>
      <w:r w:rsidR="004B1D1E">
        <w:rPr>
          <w:rFonts w:asciiTheme="majorHAnsi" w:hAnsiTheme="majorHAnsi"/>
          <w:bCs/>
          <w:sz w:val="20"/>
          <w:szCs w:val="20"/>
          <w:lang w:val="pt-BR"/>
        </w:rPr>
        <w:t xml:space="preserve"> sobre sua vida privada e sexualidade.</w:t>
      </w:r>
    </w:p>
    <w:p w14:paraId="68FE2EE2" w14:textId="6ADE252B" w:rsidR="000E052E" w:rsidRPr="000E052E" w:rsidRDefault="000E052E" w:rsidP="00D23F09">
      <w:pPr>
        <w:pStyle w:val="ListParagraph"/>
        <w:numPr>
          <w:ilvl w:val="0"/>
          <w:numId w:val="103"/>
        </w:numPr>
        <w:contextualSpacing/>
        <w:jc w:val="both"/>
        <w:rPr>
          <w:rFonts w:eastAsia="Batang" w:cs="Calibri"/>
          <w:bCs/>
          <w:color w:val="auto"/>
          <w:sz w:val="20"/>
          <w:szCs w:val="20"/>
          <w:lang w:val="pt-BR"/>
        </w:rPr>
      </w:pPr>
      <w:r w:rsidRPr="000E052E">
        <w:rPr>
          <w:rFonts w:eastAsia="Batang" w:cs="Calibri"/>
          <w:bCs/>
          <w:color w:val="auto"/>
          <w:spacing w:val="-2"/>
          <w:sz w:val="20"/>
          <w:szCs w:val="20"/>
          <w:lang w:val="pt-BR"/>
        </w:rPr>
        <w:t>Primeiramente, a Comissão</w:t>
      </w:r>
      <w:r w:rsidR="0031465A">
        <w:rPr>
          <w:rFonts w:eastAsia="Batang" w:cs="Calibri"/>
          <w:bCs/>
          <w:color w:val="auto"/>
          <w:spacing w:val="-2"/>
          <w:sz w:val="20"/>
          <w:szCs w:val="20"/>
          <w:lang w:val="pt-BR"/>
        </w:rPr>
        <w:t xml:space="preserve"> recorda que</w:t>
      </w:r>
      <w:r w:rsidRPr="000E052E">
        <w:rPr>
          <w:rFonts w:eastAsia="Batang" w:cs="Calibri"/>
          <w:bCs/>
          <w:color w:val="auto"/>
          <w:spacing w:val="-2"/>
          <w:sz w:val="20"/>
          <w:szCs w:val="20"/>
          <w:lang w:val="pt-BR"/>
        </w:rPr>
        <w:t xml:space="preserve"> já estabeleceu </w:t>
      </w:r>
      <w:r w:rsidR="00F54E03">
        <w:rPr>
          <w:rFonts w:eastAsia="Batang" w:cs="Calibri"/>
          <w:bCs/>
          <w:color w:val="auto"/>
          <w:spacing w:val="-2"/>
          <w:sz w:val="20"/>
          <w:szCs w:val="20"/>
          <w:lang w:val="pt-BR"/>
        </w:rPr>
        <w:t>ser</w:t>
      </w:r>
      <w:r w:rsidRPr="000E052E">
        <w:rPr>
          <w:rFonts w:eastAsia="Batang" w:cs="Calibri"/>
          <w:bCs/>
          <w:color w:val="auto"/>
          <w:spacing w:val="-2"/>
          <w:sz w:val="20"/>
          <w:szCs w:val="20"/>
          <w:lang w:val="pt-BR"/>
        </w:rPr>
        <w:t xml:space="preserve"> competente para declarar admissível uma petição e decidir sobre </w:t>
      </w:r>
      <w:r w:rsidR="00F54E03">
        <w:rPr>
          <w:rFonts w:eastAsia="Batang" w:cs="Calibri"/>
          <w:bCs/>
          <w:color w:val="auto"/>
          <w:spacing w:val="-2"/>
          <w:sz w:val="20"/>
          <w:szCs w:val="20"/>
          <w:lang w:val="pt-BR"/>
        </w:rPr>
        <w:t xml:space="preserve">o </w:t>
      </w:r>
      <w:r w:rsidRPr="000E052E">
        <w:rPr>
          <w:rFonts w:eastAsia="Batang" w:cs="Calibri"/>
          <w:bCs/>
          <w:color w:val="auto"/>
          <w:spacing w:val="-2"/>
          <w:sz w:val="20"/>
          <w:szCs w:val="20"/>
          <w:lang w:val="pt-BR"/>
        </w:rPr>
        <w:t xml:space="preserve">seu fundamento quando esta se refere a uma sentença judicial nacional que tenha sido proferida à margem do devido processo ou que aparentemente viola qualquer outro direito garantido pela Convenção. A Comissão recorda que já admitiu petições quando das alegações das partes se depreende </w:t>
      </w:r>
      <w:r>
        <w:rPr>
          <w:rFonts w:eastAsia="Batang" w:cs="Calibri"/>
          <w:bCs/>
          <w:i/>
          <w:color w:val="auto"/>
          <w:spacing w:val="-2"/>
          <w:sz w:val="20"/>
          <w:szCs w:val="20"/>
          <w:lang w:val="pt-BR"/>
        </w:rPr>
        <w:t>prima facie</w:t>
      </w:r>
      <w:r>
        <w:rPr>
          <w:rFonts w:eastAsia="Batang" w:cs="Calibri"/>
          <w:bCs/>
          <w:color w:val="auto"/>
          <w:spacing w:val="-2"/>
          <w:sz w:val="20"/>
          <w:szCs w:val="20"/>
          <w:lang w:val="pt-BR"/>
        </w:rPr>
        <w:t xml:space="preserve"> que as sentenças judiciais ou os procedimentos seguintes puderam ter sido arbitrários ou implicar um possível tratamento desigual arbitrário ou uma possível </w:t>
      </w:r>
      <w:r w:rsidRPr="000E052E">
        <w:rPr>
          <w:rFonts w:eastAsia="Batang" w:cs="Calibri"/>
          <w:bCs/>
          <w:color w:val="auto"/>
          <w:spacing w:val="-2"/>
          <w:sz w:val="20"/>
          <w:szCs w:val="20"/>
          <w:lang w:val="pt-BR"/>
        </w:rPr>
        <w:t>discriminação</w:t>
      </w:r>
      <w:r w:rsidRPr="000E052E">
        <w:rPr>
          <w:rStyle w:val="FootnoteReference"/>
          <w:rFonts w:eastAsia="Batang" w:cs="Calibri"/>
          <w:bCs/>
          <w:color w:val="auto"/>
          <w:sz w:val="20"/>
          <w:szCs w:val="20"/>
          <w:lang w:val="es-MX"/>
        </w:rPr>
        <w:footnoteReference w:id="7"/>
      </w:r>
      <w:r w:rsidRPr="000E052E">
        <w:rPr>
          <w:rFonts w:eastAsia="Batang" w:cs="Calibri"/>
          <w:bCs/>
          <w:color w:val="auto"/>
          <w:spacing w:val="-2"/>
          <w:sz w:val="20"/>
          <w:szCs w:val="20"/>
          <w:lang w:val="pt-BR"/>
        </w:rPr>
        <w:t>.</w:t>
      </w:r>
    </w:p>
    <w:p w14:paraId="75B3B00C" w14:textId="77777777" w:rsidR="000E052E" w:rsidRPr="00EC3813" w:rsidRDefault="000E052E" w:rsidP="000E052E">
      <w:pPr>
        <w:contextualSpacing/>
        <w:jc w:val="both"/>
        <w:rPr>
          <w:rFonts w:asciiTheme="majorHAnsi" w:eastAsia="Batang" w:hAnsiTheme="majorHAnsi" w:cs="Calibri"/>
          <w:bCs/>
          <w:sz w:val="20"/>
          <w:szCs w:val="20"/>
          <w:lang w:val="pt-BR"/>
        </w:rPr>
      </w:pPr>
    </w:p>
    <w:p w14:paraId="1D56733F" w14:textId="5630144E" w:rsidR="00941503" w:rsidRPr="00FB622A" w:rsidRDefault="0031465A" w:rsidP="009415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EC3813">
        <w:rPr>
          <w:rFonts w:asciiTheme="majorHAnsi" w:hAnsiTheme="majorHAnsi"/>
          <w:sz w:val="20"/>
          <w:szCs w:val="20"/>
          <w:lang w:val="pt-BR"/>
        </w:rPr>
        <w:lastRenderedPageBreak/>
        <w:t>Em atenção a estas considera</w:t>
      </w:r>
      <w:r w:rsidRPr="00EC3813">
        <w:rPr>
          <w:rStyle w:val="Emphasis"/>
          <w:rFonts w:asciiTheme="majorHAnsi" w:hAnsiTheme="majorHAnsi" w:cs="Arial"/>
          <w:bCs/>
          <w:i w:val="0"/>
          <w:sz w:val="20"/>
          <w:szCs w:val="20"/>
          <w:shd w:val="clear" w:color="auto" w:fill="FFFFFF"/>
          <w:lang w:val="pt-BR"/>
        </w:rPr>
        <w:t>ções</w:t>
      </w:r>
      <w:r w:rsidRPr="00EC3813">
        <w:rPr>
          <w:rFonts w:asciiTheme="majorHAnsi" w:hAnsiTheme="majorHAnsi"/>
          <w:sz w:val="20"/>
          <w:szCs w:val="20"/>
          <w:lang w:val="pt-BR"/>
        </w:rPr>
        <w:t xml:space="preserve"> e após examinar os elementos de fato e de direito expostos pelas partes, a Comissão estima que as alega</w:t>
      </w:r>
      <w:r w:rsidRPr="00EC3813">
        <w:rPr>
          <w:rStyle w:val="Emphasis"/>
          <w:rFonts w:asciiTheme="majorHAnsi" w:hAnsiTheme="majorHAnsi" w:cs="Arial"/>
          <w:bCs/>
          <w:i w:val="0"/>
          <w:sz w:val="20"/>
          <w:szCs w:val="20"/>
          <w:shd w:val="clear" w:color="auto" w:fill="FFFFFF"/>
          <w:lang w:val="pt-BR"/>
        </w:rPr>
        <w:t>ções</w:t>
      </w:r>
      <w:r w:rsidRPr="00EC3813">
        <w:rPr>
          <w:rFonts w:asciiTheme="majorHAnsi" w:hAnsiTheme="majorHAnsi"/>
          <w:i/>
          <w:sz w:val="20"/>
          <w:szCs w:val="20"/>
          <w:lang w:val="pt-BR"/>
        </w:rPr>
        <w:t xml:space="preserve"> </w:t>
      </w:r>
      <w:r w:rsidRPr="00EC3813">
        <w:rPr>
          <w:rFonts w:asciiTheme="majorHAnsi" w:hAnsiTheme="majorHAnsi"/>
          <w:sz w:val="20"/>
          <w:szCs w:val="20"/>
          <w:lang w:val="pt-BR"/>
        </w:rPr>
        <w:t>da parte peticionária não são manifestamente infundada</w:t>
      </w:r>
      <w:r w:rsidR="00B445AC" w:rsidRPr="00EC3813">
        <w:rPr>
          <w:rFonts w:asciiTheme="majorHAnsi" w:hAnsiTheme="majorHAnsi"/>
          <w:sz w:val="20"/>
          <w:szCs w:val="20"/>
          <w:lang w:val="pt-BR"/>
        </w:rPr>
        <w:t>s</w:t>
      </w:r>
      <w:r w:rsidRPr="00EC3813">
        <w:rPr>
          <w:rFonts w:asciiTheme="majorHAnsi" w:hAnsiTheme="majorHAnsi"/>
          <w:sz w:val="20"/>
          <w:szCs w:val="20"/>
          <w:lang w:val="pt-BR"/>
        </w:rPr>
        <w:t xml:space="preserve"> e requerem um estudo de mérito, pois os fatos alegados, se corroborados como certos, podem caracterizar </w:t>
      </w:r>
      <w:r w:rsidRPr="00EC3813">
        <w:rPr>
          <w:rFonts w:asciiTheme="majorHAnsi" w:hAnsiTheme="majorHAnsi"/>
          <w:bCs/>
          <w:i/>
          <w:sz w:val="20"/>
          <w:szCs w:val="20"/>
          <w:lang w:val="pt-BR"/>
        </w:rPr>
        <w:t>v</w:t>
      </w:r>
      <w:r w:rsidRPr="00EC3813">
        <w:rPr>
          <w:rStyle w:val="Emphasis"/>
          <w:rFonts w:asciiTheme="majorHAnsi" w:hAnsiTheme="majorHAnsi" w:cs="Arial"/>
          <w:bCs/>
          <w:i w:val="0"/>
          <w:sz w:val="20"/>
          <w:szCs w:val="20"/>
          <w:shd w:val="clear" w:color="auto" w:fill="FFFFFF"/>
          <w:lang w:val="pt-BR"/>
        </w:rPr>
        <w:t>iolações</w:t>
      </w:r>
      <w:r w:rsidRPr="00EC3813">
        <w:rPr>
          <w:rFonts w:asciiTheme="majorHAnsi" w:hAnsiTheme="majorHAnsi"/>
          <w:sz w:val="20"/>
          <w:szCs w:val="20"/>
          <w:lang w:val="pt-BR"/>
        </w:rPr>
        <w:t xml:space="preserve"> aos direitos protegidos nos </w:t>
      </w:r>
      <w:r w:rsidR="00941503" w:rsidRPr="00EC3813">
        <w:rPr>
          <w:rFonts w:asciiTheme="majorHAnsi" w:hAnsiTheme="majorHAnsi"/>
          <w:sz w:val="20"/>
          <w:szCs w:val="20"/>
          <w:lang w:val="pt-BR"/>
        </w:rPr>
        <w:t xml:space="preserve">artigos </w:t>
      </w:r>
      <w:r w:rsidR="00941503" w:rsidRPr="00EC3813">
        <w:rPr>
          <w:rFonts w:asciiTheme="majorHAnsi" w:hAnsiTheme="majorHAnsi"/>
          <w:bCs/>
          <w:sz w:val="20"/>
          <w:szCs w:val="20"/>
          <w:lang w:val="pt-BR"/>
        </w:rPr>
        <w:t>5 (integridade pessoal), 8 (garantias judiciais), 11 (proteção da honra e da dignidade), 24 (igualdade perante a lei) e 25 (proteção judicial) da Convenção Americana, todos relacionados com seu artigo 1.1</w:t>
      </w:r>
      <w:r w:rsidR="00941503" w:rsidRPr="00B0258F">
        <w:rPr>
          <w:rFonts w:asciiTheme="majorHAnsi" w:hAnsiTheme="majorHAnsi"/>
          <w:bCs/>
          <w:sz w:val="20"/>
          <w:szCs w:val="20"/>
          <w:lang w:val="pt-BR"/>
        </w:rPr>
        <w:t>.</w:t>
      </w:r>
      <w:r w:rsidR="003C0907" w:rsidRPr="00B0258F">
        <w:rPr>
          <w:rFonts w:asciiTheme="majorHAnsi" w:hAnsiTheme="majorHAnsi"/>
          <w:bCs/>
          <w:sz w:val="20"/>
          <w:szCs w:val="20"/>
          <w:lang w:val="pt-BR"/>
        </w:rPr>
        <w:t xml:space="preserve"> </w:t>
      </w:r>
      <w:r w:rsidR="003C0907" w:rsidRPr="00B0258F">
        <w:rPr>
          <w:rFonts w:asciiTheme="majorHAnsi" w:eastAsia="Batang" w:hAnsiTheme="majorHAnsi" w:cs="Calibri"/>
          <w:bCs/>
          <w:sz w:val="20"/>
          <w:szCs w:val="20"/>
          <w:lang w:val="pt-BR"/>
        </w:rPr>
        <w:t>Em relação aos</w:t>
      </w:r>
      <w:r w:rsidR="003C0907" w:rsidRPr="00B0258F">
        <w:rPr>
          <w:rFonts w:asciiTheme="majorHAnsi" w:hAnsiTheme="majorHAnsi"/>
          <w:sz w:val="20"/>
          <w:szCs w:val="20"/>
          <w:lang w:val="pt-BR"/>
        </w:rPr>
        <w:t xml:space="preserve"> artigos </w:t>
      </w:r>
      <w:r w:rsidR="00EC3813" w:rsidRPr="00B0258F">
        <w:rPr>
          <w:rFonts w:asciiTheme="majorHAnsi" w:hAnsiTheme="majorHAnsi"/>
          <w:sz w:val="20"/>
          <w:szCs w:val="20"/>
          <w:lang w:val="pt-BR"/>
        </w:rPr>
        <w:t xml:space="preserve">aos 10 </w:t>
      </w:r>
      <w:r w:rsidR="00EC3813" w:rsidRPr="00B0258F">
        <w:rPr>
          <w:rFonts w:asciiTheme="majorHAnsi" w:hAnsiTheme="majorHAnsi"/>
          <w:bCs/>
          <w:sz w:val="20"/>
          <w:szCs w:val="20"/>
          <w:lang w:val="pt-BR"/>
        </w:rPr>
        <w:t>(indenização)</w:t>
      </w:r>
      <w:r w:rsidR="00EC3813" w:rsidRPr="00B0258F">
        <w:rPr>
          <w:rFonts w:asciiTheme="majorHAnsi" w:hAnsiTheme="majorHAnsi"/>
          <w:sz w:val="20"/>
          <w:szCs w:val="20"/>
          <w:lang w:val="pt-BR"/>
        </w:rPr>
        <w:t xml:space="preserve"> e 14 </w:t>
      </w:r>
      <w:r w:rsidR="00EC3813" w:rsidRPr="00B0258F">
        <w:rPr>
          <w:rFonts w:asciiTheme="majorHAnsi" w:hAnsiTheme="majorHAnsi"/>
          <w:bCs/>
          <w:sz w:val="20"/>
          <w:szCs w:val="20"/>
          <w:lang w:val="pt-BR"/>
        </w:rPr>
        <w:t xml:space="preserve">(retificação ou resposta), a Comissão considera que a informação aportada </w:t>
      </w:r>
      <w:r w:rsidR="00C61FA9" w:rsidRPr="00B0258F">
        <w:rPr>
          <w:rFonts w:asciiTheme="majorHAnsi" w:hAnsiTheme="majorHAnsi"/>
          <w:bCs/>
          <w:sz w:val="20"/>
          <w:szCs w:val="20"/>
          <w:lang w:val="pt-BR"/>
        </w:rPr>
        <w:t xml:space="preserve">pela parte peticionária não permite presumir que, </w:t>
      </w:r>
      <w:r w:rsidR="00C61FA9" w:rsidRPr="00B0258F">
        <w:rPr>
          <w:rFonts w:asciiTheme="majorHAnsi" w:hAnsiTheme="majorHAnsi"/>
          <w:bCs/>
          <w:i/>
          <w:sz w:val="20"/>
          <w:szCs w:val="20"/>
          <w:lang w:val="pt-BR"/>
        </w:rPr>
        <w:t>prima facie</w:t>
      </w:r>
      <w:r w:rsidR="00C61FA9" w:rsidRPr="00B0258F">
        <w:rPr>
          <w:rFonts w:asciiTheme="majorHAnsi" w:hAnsiTheme="majorHAnsi"/>
          <w:bCs/>
          <w:sz w:val="20"/>
          <w:szCs w:val="20"/>
          <w:lang w:val="pt-BR"/>
        </w:rPr>
        <w:t>, os fatos alegados poderiam caracterizar violação aos referidos artigos.</w:t>
      </w:r>
      <w:r w:rsidR="0064365C" w:rsidRPr="00B0258F">
        <w:rPr>
          <w:rFonts w:asciiTheme="majorHAnsi" w:hAnsiTheme="majorHAnsi"/>
          <w:bCs/>
          <w:sz w:val="20"/>
          <w:szCs w:val="20"/>
          <w:lang w:val="pt-BR"/>
        </w:rPr>
        <w:t xml:space="preserve"> Especialmente em rela</w:t>
      </w:r>
      <w:r w:rsidR="00B008C9" w:rsidRPr="00B0258F">
        <w:rPr>
          <w:rFonts w:asciiTheme="majorHAnsi" w:hAnsiTheme="majorHAnsi"/>
          <w:bCs/>
          <w:sz w:val="20"/>
          <w:szCs w:val="20"/>
          <w:lang w:val="pt-BR"/>
        </w:rPr>
        <w:t>ção</w:t>
      </w:r>
      <w:r w:rsidR="0064365C" w:rsidRPr="00B0258F">
        <w:rPr>
          <w:rFonts w:asciiTheme="majorHAnsi" w:hAnsiTheme="majorHAnsi"/>
          <w:bCs/>
          <w:sz w:val="20"/>
          <w:szCs w:val="20"/>
          <w:lang w:val="pt-BR"/>
        </w:rPr>
        <w:t xml:space="preserve"> ao artigo 10, a Comiss</w:t>
      </w:r>
      <w:r w:rsidR="00B008C9" w:rsidRPr="00B0258F">
        <w:rPr>
          <w:rFonts w:asciiTheme="majorHAnsi" w:hAnsiTheme="majorHAnsi"/>
          <w:bCs/>
          <w:sz w:val="20"/>
          <w:szCs w:val="20"/>
          <w:lang w:val="pt-BR"/>
        </w:rPr>
        <w:t>ão</w:t>
      </w:r>
      <w:r w:rsidR="0064365C" w:rsidRPr="00B0258F">
        <w:rPr>
          <w:rFonts w:asciiTheme="majorHAnsi" w:hAnsiTheme="majorHAnsi"/>
          <w:bCs/>
          <w:sz w:val="20"/>
          <w:szCs w:val="20"/>
          <w:lang w:val="pt-BR"/>
        </w:rPr>
        <w:t xml:space="preserve"> destaca que o artigo 10 garante </w:t>
      </w:r>
      <w:r w:rsidR="00B008C9" w:rsidRPr="00B0258F">
        <w:rPr>
          <w:rFonts w:asciiTheme="majorHAnsi" w:hAnsiTheme="majorHAnsi"/>
          <w:bCs/>
          <w:sz w:val="20"/>
          <w:szCs w:val="20"/>
          <w:lang w:val="pt-BR"/>
        </w:rPr>
        <w:t>o direito a suposta vítima ser “s</w:t>
      </w:r>
      <w:r w:rsidR="00B008C9" w:rsidRPr="00B0258F">
        <w:rPr>
          <w:rFonts w:asciiTheme="majorHAnsi" w:hAnsiTheme="majorHAnsi"/>
          <w:spacing w:val="-3"/>
          <w:sz w:val="20"/>
          <w:szCs w:val="20"/>
          <w:lang w:val="pt-BR"/>
        </w:rPr>
        <w:t>er indenizada conforme a lei, no caso de haver sido condenada em sentença passada em julgado, por erro judiciário”</w:t>
      </w:r>
      <w:r w:rsidR="00EC3813" w:rsidRPr="00B0258F">
        <w:rPr>
          <w:rFonts w:asciiTheme="majorHAnsi" w:hAnsiTheme="majorHAnsi"/>
          <w:bCs/>
          <w:sz w:val="20"/>
          <w:szCs w:val="20"/>
          <w:lang w:val="pt-BR"/>
        </w:rPr>
        <w:t>.</w:t>
      </w:r>
      <w:r w:rsidR="00B008C9" w:rsidRPr="00B0258F">
        <w:rPr>
          <w:rFonts w:asciiTheme="majorHAnsi" w:hAnsiTheme="majorHAnsi"/>
          <w:bCs/>
          <w:sz w:val="20"/>
          <w:szCs w:val="20"/>
          <w:lang w:val="pt-BR"/>
        </w:rPr>
        <w:t xml:space="preserve"> Desta forma, não havendo alega</w:t>
      </w:r>
      <w:r w:rsidR="00B008C9" w:rsidRPr="00B0258F">
        <w:rPr>
          <w:rStyle w:val="Emphasis"/>
          <w:rFonts w:asciiTheme="majorHAnsi" w:hAnsiTheme="majorHAnsi" w:cs="Arial"/>
          <w:bCs/>
          <w:i w:val="0"/>
          <w:iCs w:val="0"/>
          <w:sz w:val="20"/>
          <w:szCs w:val="20"/>
          <w:shd w:val="clear" w:color="auto" w:fill="FFFFFF"/>
          <w:lang w:val="pt-BR"/>
        </w:rPr>
        <w:t>ções</w:t>
      </w:r>
      <w:r w:rsidR="00B008C9" w:rsidRPr="00B0258F">
        <w:rPr>
          <w:rFonts w:asciiTheme="majorHAnsi" w:hAnsiTheme="majorHAnsi"/>
          <w:bCs/>
          <w:sz w:val="20"/>
          <w:szCs w:val="20"/>
          <w:lang w:val="pt-BR"/>
        </w:rPr>
        <w:t xml:space="preserve"> de erro judicial, a reparação a que a suposta vítima se refere, seria aquela prevista no artigo 63 da Convenção Americana</w:t>
      </w:r>
      <w:r w:rsidR="00B008C9" w:rsidRPr="00FB622A">
        <w:rPr>
          <w:rFonts w:asciiTheme="majorHAnsi" w:hAnsiTheme="majorHAnsi"/>
          <w:bCs/>
          <w:sz w:val="20"/>
          <w:szCs w:val="20"/>
          <w:lang w:val="pt-BR"/>
        </w:rPr>
        <w:t>.</w:t>
      </w:r>
    </w:p>
    <w:p w14:paraId="7B4288FD" w14:textId="0FD3A4D8" w:rsidR="000E052E" w:rsidRPr="000E052E" w:rsidRDefault="000E052E" w:rsidP="000E052E">
      <w:pPr>
        <w:pStyle w:val="ListParagraph"/>
        <w:numPr>
          <w:ilvl w:val="0"/>
          <w:numId w:val="103"/>
        </w:numPr>
        <w:contextualSpacing/>
        <w:jc w:val="both"/>
        <w:rPr>
          <w:rFonts w:eastAsia="Batang" w:cs="Calibri"/>
          <w:bCs/>
          <w:sz w:val="20"/>
          <w:szCs w:val="20"/>
          <w:lang w:val="pt-BR"/>
        </w:rPr>
      </w:pPr>
      <w:r>
        <w:rPr>
          <w:rFonts w:eastAsia="Batang" w:cs="Calibri"/>
          <w:bCs/>
          <w:sz w:val="20"/>
          <w:szCs w:val="20"/>
          <w:lang w:val="pt-BR"/>
        </w:rPr>
        <w:t xml:space="preserve">Em relação às alegações feitas pela suposta vítima que violariam a Declaração Americana, a Comissão ressalta que já estabeleceu anteriormente que uma vez que a Convenção Americana entra em vigor em relação a um determinado Estado, ela e não a Declaração passa a ser a fonte primária de direito aplicável, sempre que a petição se refira a uma suposta violação de direitos </w:t>
      </w:r>
      <w:r w:rsidR="00273AD3">
        <w:rPr>
          <w:rFonts w:eastAsia="Batang" w:cs="Calibri"/>
          <w:bCs/>
          <w:sz w:val="20"/>
          <w:szCs w:val="20"/>
          <w:lang w:val="pt-BR"/>
        </w:rPr>
        <w:t>idênticos em ambos os instrumentos e não se trate de uma situação de violação continuada.</w:t>
      </w:r>
    </w:p>
    <w:p w14:paraId="29BB41F5" w14:textId="3DC9F7BC" w:rsidR="003239B8" w:rsidRPr="00E759FB" w:rsidRDefault="003239B8" w:rsidP="003239B8">
      <w:pPr>
        <w:pStyle w:val="ListParagraph"/>
        <w:spacing w:before="240" w:after="240"/>
        <w:jc w:val="both"/>
        <w:rPr>
          <w:rFonts w:asciiTheme="majorHAnsi" w:hAnsiTheme="majorHAnsi"/>
          <w:b/>
          <w:bCs/>
          <w:sz w:val="20"/>
          <w:szCs w:val="20"/>
          <w:lang w:val="pt-BR"/>
        </w:rPr>
      </w:pPr>
      <w:r w:rsidRPr="00E759FB">
        <w:rPr>
          <w:rFonts w:asciiTheme="majorHAnsi" w:hAnsiTheme="majorHAnsi"/>
          <w:b/>
          <w:bCs/>
          <w:sz w:val="20"/>
          <w:szCs w:val="20"/>
          <w:lang w:val="pt-BR"/>
        </w:rPr>
        <w:t xml:space="preserve">VIII. </w:t>
      </w:r>
      <w:r w:rsidRPr="00E759FB">
        <w:rPr>
          <w:rFonts w:asciiTheme="majorHAnsi" w:hAnsiTheme="majorHAnsi"/>
          <w:b/>
          <w:bCs/>
          <w:sz w:val="20"/>
          <w:szCs w:val="20"/>
          <w:lang w:val="pt-BR"/>
        </w:rPr>
        <w:tab/>
      </w:r>
      <w:r w:rsidR="00A53003" w:rsidRPr="00E759FB">
        <w:rPr>
          <w:rFonts w:asciiTheme="majorHAnsi" w:hAnsiTheme="majorHAnsi"/>
          <w:b/>
          <w:bCs/>
          <w:sz w:val="20"/>
          <w:szCs w:val="20"/>
          <w:lang w:val="pt-BR"/>
        </w:rPr>
        <w:t>DECISÃO</w:t>
      </w:r>
    </w:p>
    <w:p w14:paraId="0FDE1D10" w14:textId="44B4B1F4" w:rsidR="003239B8" w:rsidRPr="00387ADC" w:rsidRDefault="003239B8" w:rsidP="00AB0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E759FB">
        <w:rPr>
          <w:rFonts w:asciiTheme="majorHAnsi" w:hAnsiTheme="majorHAnsi"/>
          <w:sz w:val="20"/>
          <w:szCs w:val="20"/>
          <w:lang w:val="pt-BR"/>
        </w:rPr>
        <w:t xml:space="preserve">Declarar </w:t>
      </w:r>
      <w:r w:rsidR="00A53003" w:rsidRPr="00E759FB">
        <w:rPr>
          <w:rFonts w:asciiTheme="majorHAnsi" w:hAnsiTheme="majorHAnsi"/>
          <w:sz w:val="20"/>
          <w:szCs w:val="20"/>
          <w:lang w:val="pt-BR"/>
        </w:rPr>
        <w:t>admitida</w:t>
      </w:r>
      <w:r w:rsidRPr="00E759FB">
        <w:rPr>
          <w:rFonts w:asciiTheme="majorHAnsi" w:hAnsiTheme="majorHAnsi"/>
          <w:sz w:val="20"/>
          <w:szCs w:val="20"/>
          <w:lang w:val="pt-BR"/>
        </w:rPr>
        <w:t xml:space="preserve"> </w:t>
      </w:r>
      <w:r w:rsidRPr="00387ADC">
        <w:rPr>
          <w:rFonts w:asciiTheme="majorHAnsi" w:hAnsiTheme="majorHAnsi"/>
          <w:sz w:val="20"/>
          <w:szCs w:val="20"/>
          <w:lang w:val="pt-BR"/>
        </w:rPr>
        <w:t xml:space="preserve">a presente </w:t>
      </w:r>
      <w:r w:rsidR="00A53003" w:rsidRPr="00387ADC">
        <w:rPr>
          <w:rFonts w:asciiTheme="majorHAnsi" w:hAnsiTheme="majorHAnsi"/>
          <w:sz w:val="20"/>
          <w:szCs w:val="20"/>
          <w:lang w:val="pt-BR"/>
        </w:rPr>
        <w:t>petição</w:t>
      </w:r>
      <w:r w:rsidRPr="00387ADC">
        <w:rPr>
          <w:rFonts w:asciiTheme="majorHAnsi" w:hAnsiTheme="majorHAnsi"/>
          <w:sz w:val="20"/>
          <w:szCs w:val="20"/>
          <w:lang w:val="pt-BR"/>
        </w:rPr>
        <w:t xml:space="preserve"> e</w:t>
      </w:r>
      <w:r w:rsidR="00A53003" w:rsidRPr="00387ADC">
        <w:rPr>
          <w:rFonts w:asciiTheme="majorHAnsi" w:hAnsiTheme="majorHAnsi"/>
          <w:sz w:val="20"/>
          <w:szCs w:val="20"/>
          <w:lang w:val="pt-BR"/>
        </w:rPr>
        <w:t>m</w:t>
      </w:r>
      <w:r w:rsidRPr="00387ADC">
        <w:rPr>
          <w:rFonts w:asciiTheme="majorHAnsi" w:hAnsiTheme="majorHAnsi"/>
          <w:sz w:val="20"/>
          <w:szCs w:val="20"/>
          <w:lang w:val="pt-BR"/>
        </w:rPr>
        <w:t xml:space="preserve"> </w:t>
      </w:r>
      <w:r w:rsidR="00A53003" w:rsidRPr="00387ADC">
        <w:rPr>
          <w:rFonts w:asciiTheme="majorHAnsi" w:hAnsiTheme="majorHAnsi"/>
          <w:sz w:val="20"/>
          <w:szCs w:val="20"/>
          <w:lang w:val="pt-BR"/>
        </w:rPr>
        <w:t xml:space="preserve">relação </w:t>
      </w:r>
      <w:r w:rsidR="00AB0171" w:rsidRPr="00387ADC">
        <w:rPr>
          <w:rFonts w:asciiTheme="majorHAnsi" w:hAnsiTheme="majorHAnsi"/>
          <w:sz w:val="20"/>
          <w:szCs w:val="20"/>
          <w:lang w:val="pt-BR"/>
        </w:rPr>
        <w:t xml:space="preserve">aos artigos </w:t>
      </w:r>
      <w:r w:rsidR="00941503" w:rsidRPr="00786537">
        <w:rPr>
          <w:rFonts w:asciiTheme="majorHAnsi" w:hAnsiTheme="majorHAnsi"/>
          <w:bCs/>
          <w:sz w:val="20"/>
          <w:szCs w:val="20"/>
          <w:lang w:val="pt-BR"/>
        </w:rPr>
        <w:t>5 (integridade pessoal), 8 (garantias judiciais), 11 (proteção da honra e da dignidade), 24 (igualdade perante a lei) e 25 (proteção judicial) da Convenção Americana, todos relacionados com seu artigo 1.1</w:t>
      </w:r>
      <w:r w:rsidR="00A758AA" w:rsidRPr="00387ADC">
        <w:rPr>
          <w:rFonts w:asciiTheme="majorHAnsi" w:hAnsiTheme="majorHAnsi"/>
          <w:sz w:val="20"/>
          <w:szCs w:val="20"/>
          <w:lang w:val="pt-BR"/>
        </w:rPr>
        <w:t>;</w:t>
      </w:r>
      <w:r w:rsidR="00B0258F">
        <w:rPr>
          <w:rFonts w:asciiTheme="majorHAnsi" w:hAnsiTheme="majorHAnsi"/>
          <w:sz w:val="20"/>
          <w:szCs w:val="20"/>
          <w:lang w:val="pt-BR"/>
        </w:rPr>
        <w:t xml:space="preserve"> </w:t>
      </w:r>
    </w:p>
    <w:p w14:paraId="570DA61C" w14:textId="3BB8DA7B" w:rsidR="000419AD" w:rsidRPr="00387ADC" w:rsidRDefault="000419AD" w:rsidP="000419AD">
      <w:pPr>
        <w:pStyle w:val="ListParagraph"/>
        <w:numPr>
          <w:ilvl w:val="0"/>
          <w:numId w:val="109"/>
        </w:numPr>
        <w:rPr>
          <w:rFonts w:asciiTheme="majorHAnsi" w:eastAsia="Arial Unicode MS" w:hAnsiTheme="majorHAnsi" w:cs="Times New Roman"/>
          <w:color w:val="auto"/>
          <w:sz w:val="20"/>
          <w:szCs w:val="20"/>
          <w:lang w:val="pt-BR" w:eastAsia="en-US"/>
        </w:rPr>
      </w:pPr>
      <w:r w:rsidRPr="00387ADC">
        <w:rPr>
          <w:rFonts w:asciiTheme="majorHAnsi" w:eastAsia="Arial Unicode MS" w:hAnsiTheme="majorHAnsi" w:cs="Times New Roman"/>
          <w:color w:val="auto"/>
          <w:sz w:val="20"/>
          <w:szCs w:val="20"/>
          <w:lang w:val="pt-BR" w:eastAsia="en-US"/>
        </w:rPr>
        <w:t xml:space="preserve">Declarar </w:t>
      </w:r>
      <w:r w:rsidR="00A53003" w:rsidRPr="00387ADC">
        <w:rPr>
          <w:rFonts w:asciiTheme="majorHAnsi" w:eastAsia="Arial Unicode MS" w:hAnsiTheme="majorHAnsi" w:cs="Times New Roman"/>
          <w:color w:val="auto"/>
          <w:sz w:val="20"/>
          <w:szCs w:val="20"/>
          <w:lang w:val="pt-BR" w:eastAsia="en-US"/>
        </w:rPr>
        <w:t>inadmitida</w:t>
      </w:r>
      <w:r w:rsidRPr="00387ADC">
        <w:rPr>
          <w:rFonts w:asciiTheme="majorHAnsi" w:eastAsia="Arial Unicode MS" w:hAnsiTheme="majorHAnsi" w:cs="Times New Roman"/>
          <w:color w:val="auto"/>
          <w:sz w:val="20"/>
          <w:szCs w:val="20"/>
          <w:lang w:val="pt-BR" w:eastAsia="en-US"/>
        </w:rPr>
        <w:t xml:space="preserve"> a presente </w:t>
      </w:r>
      <w:r w:rsidR="00A53003" w:rsidRPr="00387ADC">
        <w:rPr>
          <w:rFonts w:asciiTheme="majorHAnsi" w:hAnsiTheme="majorHAnsi"/>
          <w:color w:val="auto"/>
          <w:sz w:val="20"/>
          <w:szCs w:val="20"/>
          <w:lang w:val="pt-BR"/>
        </w:rPr>
        <w:t>petição em relação a</w:t>
      </w:r>
      <w:r w:rsidR="00AB0171" w:rsidRPr="00387ADC">
        <w:rPr>
          <w:rFonts w:asciiTheme="majorHAnsi" w:hAnsiTheme="majorHAnsi"/>
          <w:color w:val="auto"/>
          <w:sz w:val="20"/>
          <w:szCs w:val="20"/>
          <w:lang w:val="pt-BR"/>
        </w:rPr>
        <w:t xml:space="preserve">os </w:t>
      </w:r>
      <w:r w:rsidR="00387ADC" w:rsidRPr="00387ADC">
        <w:rPr>
          <w:rFonts w:asciiTheme="majorHAnsi" w:hAnsiTheme="majorHAnsi"/>
          <w:color w:val="auto"/>
          <w:sz w:val="20"/>
          <w:szCs w:val="20"/>
          <w:lang w:val="pt-BR"/>
        </w:rPr>
        <w:t>10</w:t>
      </w:r>
      <w:r w:rsidR="00941503">
        <w:rPr>
          <w:rFonts w:asciiTheme="majorHAnsi" w:hAnsiTheme="majorHAnsi"/>
          <w:color w:val="auto"/>
          <w:sz w:val="20"/>
          <w:szCs w:val="20"/>
          <w:lang w:val="pt-BR"/>
        </w:rPr>
        <w:t xml:space="preserve"> </w:t>
      </w:r>
      <w:r w:rsidR="00941503" w:rsidRPr="00E759FB">
        <w:rPr>
          <w:rFonts w:asciiTheme="majorHAnsi" w:hAnsiTheme="majorHAnsi"/>
          <w:bCs/>
          <w:sz w:val="20"/>
          <w:szCs w:val="20"/>
          <w:lang w:val="pt-BR"/>
        </w:rPr>
        <w:t>(indenização)</w:t>
      </w:r>
      <w:r w:rsidR="00387ADC" w:rsidRPr="00387ADC">
        <w:rPr>
          <w:rFonts w:asciiTheme="majorHAnsi" w:hAnsiTheme="majorHAnsi"/>
          <w:color w:val="auto"/>
          <w:sz w:val="20"/>
          <w:szCs w:val="20"/>
          <w:lang w:val="pt-BR"/>
        </w:rPr>
        <w:t xml:space="preserve"> e 14</w:t>
      </w:r>
      <w:r w:rsidR="00941503">
        <w:rPr>
          <w:rFonts w:asciiTheme="majorHAnsi" w:hAnsiTheme="majorHAnsi"/>
          <w:color w:val="auto"/>
          <w:sz w:val="20"/>
          <w:szCs w:val="20"/>
          <w:lang w:val="pt-BR"/>
        </w:rPr>
        <w:t xml:space="preserve"> </w:t>
      </w:r>
      <w:r w:rsidR="00941503" w:rsidRPr="00E759FB">
        <w:rPr>
          <w:rFonts w:asciiTheme="majorHAnsi" w:hAnsiTheme="majorHAnsi"/>
          <w:bCs/>
          <w:sz w:val="20"/>
          <w:szCs w:val="20"/>
          <w:lang w:val="pt-BR"/>
        </w:rPr>
        <w:t>(</w:t>
      </w:r>
      <w:r w:rsidR="00B445AC" w:rsidRPr="00E759FB">
        <w:rPr>
          <w:rFonts w:asciiTheme="majorHAnsi" w:hAnsiTheme="majorHAnsi"/>
          <w:bCs/>
          <w:sz w:val="20"/>
          <w:szCs w:val="20"/>
          <w:lang w:val="pt-BR"/>
        </w:rPr>
        <w:t>retificação ou resposta</w:t>
      </w:r>
      <w:r w:rsidR="00B445AC" w:rsidRPr="00E759FB" w:rsidDel="00B445AC">
        <w:rPr>
          <w:rFonts w:asciiTheme="majorHAnsi" w:hAnsiTheme="majorHAnsi"/>
          <w:bCs/>
          <w:sz w:val="20"/>
          <w:szCs w:val="20"/>
          <w:lang w:val="pt-BR"/>
        </w:rPr>
        <w:t xml:space="preserve"> </w:t>
      </w:r>
      <w:r w:rsidR="00941503" w:rsidRPr="00E759FB">
        <w:rPr>
          <w:rFonts w:asciiTheme="majorHAnsi" w:hAnsiTheme="majorHAnsi"/>
          <w:bCs/>
          <w:sz w:val="20"/>
          <w:szCs w:val="20"/>
          <w:lang w:val="pt-BR"/>
        </w:rPr>
        <w:t>)</w:t>
      </w:r>
      <w:r w:rsidR="00387ADC" w:rsidRPr="00387ADC">
        <w:rPr>
          <w:rFonts w:asciiTheme="majorHAnsi" w:hAnsiTheme="majorHAnsi"/>
          <w:color w:val="auto"/>
          <w:sz w:val="20"/>
          <w:szCs w:val="20"/>
          <w:lang w:val="pt-BR"/>
        </w:rPr>
        <w:t xml:space="preserve"> da Convenção Americana; e</w:t>
      </w:r>
    </w:p>
    <w:p w14:paraId="41AA5BF6" w14:textId="41CBAFB2" w:rsidR="000419AD" w:rsidRDefault="000419AD" w:rsidP="000419AD">
      <w:pPr>
        <w:pStyle w:val="ListParagraph"/>
        <w:rPr>
          <w:rFonts w:asciiTheme="majorHAnsi" w:eastAsia="Arial Unicode MS" w:hAnsiTheme="majorHAnsi" w:cs="Times New Roman"/>
          <w:color w:val="auto"/>
          <w:sz w:val="20"/>
          <w:szCs w:val="20"/>
          <w:lang w:val="pt-BR" w:eastAsia="en-US"/>
        </w:rPr>
      </w:pPr>
    </w:p>
    <w:p w14:paraId="12A7002C" w14:textId="5617EFE6" w:rsidR="004A6A54" w:rsidRPr="00387ADC" w:rsidRDefault="00A53003"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387ADC">
        <w:rPr>
          <w:rFonts w:asciiTheme="majorHAnsi" w:hAnsiTheme="majorHAnsi"/>
          <w:sz w:val="20"/>
          <w:szCs w:val="20"/>
          <w:lang w:val="pt-BR"/>
        </w:rPr>
        <w:t xml:space="preserve">Notificar </w:t>
      </w:r>
      <w:r w:rsidR="0022736D" w:rsidRPr="00387ADC">
        <w:rPr>
          <w:rFonts w:asciiTheme="majorHAnsi" w:hAnsiTheme="majorHAnsi"/>
          <w:sz w:val="20"/>
          <w:szCs w:val="20"/>
          <w:lang w:val="pt-BR"/>
        </w:rPr>
        <w:t>a</w:t>
      </w:r>
      <w:r w:rsidR="004A6A54" w:rsidRPr="00387ADC">
        <w:rPr>
          <w:rFonts w:asciiTheme="majorHAnsi" w:hAnsiTheme="majorHAnsi"/>
          <w:sz w:val="20"/>
          <w:szCs w:val="20"/>
          <w:lang w:val="pt-BR"/>
        </w:rPr>
        <w:t xml:space="preserve">s partes </w:t>
      </w:r>
      <w:r w:rsidR="0022736D" w:rsidRPr="00387ADC">
        <w:rPr>
          <w:rFonts w:asciiTheme="majorHAnsi" w:hAnsiTheme="majorHAnsi"/>
          <w:sz w:val="20"/>
          <w:szCs w:val="20"/>
          <w:lang w:val="pt-BR"/>
        </w:rPr>
        <w:t xml:space="preserve">sobre </w:t>
      </w:r>
      <w:r w:rsidRPr="00387ADC">
        <w:rPr>
          <w:rFonts w:asciiTheme="majorHAnsi" w:hAnsiTheme="majorHAnsi"/>
          <w:sz w:val="20"/>
          <w:szCs w:val="20"/>
          <w:lang w:val="pt-BR"/>
        </w:rPr>
        <w:t>a presente decisão; continuar com a análise de mérito</w:t>
      </w:r>
      <w:r w:rsidR="004A6A54" w:rsidRPr="00387ADC">
        <w:rPr>
          <w:rFonts w:asciiTheme="majorHAnsi" w:hAnsiTheme="majorHAnsi"/>
          <w:sz w:val="20"/>
          <w:szCs w:val="20"/>
          <w:lang w:val="pt-BR"/>
        </w:rPr>
        <w:t xml:space="preserve"> </w:t>
      </w:r>
      <w:r w:rsidRPr="00387ADC">
        <w:rPr>
          <w:rFonts w:asciiTheme="majorHAnsi" w:hAnsiTheme="majorHAnsi"/>
          <w:sz w:val="20"/>
          <w:szCs w:val="20"/>
          <w:lang w:val="pt-BR"/>
        </w:rPr>
        <w:t>d</w:t>
      </w:r>
      <w:r w:rsidR="004A6A54" w:rsidRPr="00387ADC">
        <w:rPr>
          <w:rFonts w:asciiTheme="majorHAnsi" w:hAnsiTheme="majorHAnsi"/>
          <w:sz w:val="20"/>
          <w:szCs w:val="20"/>
          <w:lang w:val="pt-BR"/>
        </w:rPr>
        <w:t xml:space="preserve">a </w:t>
      </w:r>
      <w:r w:rsidRPr="00387ADC">
        <w:rPr>
          <w:rFonts w:asciiTheme="majorHAnsi" w:hAnsiTheme="majorHAnsi"/>
          <w:sz w:val="20"/>
          <w:szCs w:val="20"/>
          <w:lang w:val="pt-BR"/>
        </w:rPr>
        <w:t>questão; e</w:t>
      </w:r>
      <w:r w:rsidR="004A6A54" w:rsidRPr="00387ADC">
        <w:rPr>
          <w:rFonts w:asciiTheme="majorHAnsi" w:hAnsiTheme="majorHAnsi"/>
          <w:sz w:val="20"/>
          <w:szCs w:val="20"/>
          <w:lang w:val="pt-BR"/>
        </w:rPr>
        <w:t xml:space="preserve"> publicar esta </w:t>
      </w:r>
      <w:r w:rsidRPr="00387ADC">
        <w:rPr>
          <w:rFonts w:asciiTheme="majorHAnsi" w:hAnsiTheme="majorHAnsi"/>
          <w:sz w:val="20"/>
          <w:szCs w:val="20"/>
          <w:lang w:val="pt-BR"/>
        </w:rPr>
        <w:t>decisão</w:t>
      </w:r>
      <w:r w:rsidR="007665A8" w:rsidRPr="00387ADC">
        <w:rPr>
          <w:rFonts w:asciiTheme="majorHAnsi" w:hAnsiTheme="majorHAnsi"/>
          <w:sz w:val="20"/>
          <w:szCs w:val="20"/>
          <w:lang w:val="pt-BR"/>
        </w:rPr>
        <w:t xml:space="preserve"> e inclui</w:t>
      </w:r>
      <w:r w:rsidRPr="00387ADC">
        <w:rPr>
          <w:rFonts w:asciiTheme="majorHAnsi" w:hAnsiTheme="majorHAnsi"/>
          <w:sz w:val="20"/>
          <w:szCs w:val="20"/>
          <w:lang w:val="pt-BR"/>
        </w:rPr>
        <w:t>-</w:t>
      </w:r>
      <w:r w:rsidR="004A6A54" w:rsidRPr="00387ADC">
        <w:rPr>
          <w:rFonts w:asciiTheme="majorHAnsi" w:hAnsiTheme="majorHAnsi"/>
          <w:sz w:val="20"/>
          <w:szCs w:val="20"/>
          <w:lang w:val="pt-BR"/>
        </w:rPr>
        <w:t xml:space="preserve">la </w:t>
      </w:r>
      <w:r w:rsidRPr="00387ADC">
        <w:rPr>
          <w:rFonts w:asciiTheme="majorHAnsi" w:hAnsiTheme="majorHAnsi"/>
          <w:sz w:val="20"/>
          <w:szCs w:val="20"/>
          <w:lang w:val="pt-BR"/>
        </w:rPr>
        <w:t xml:space="preserve">em seu Relatório Anual à Assembleia Geral da Organização dos Estados Americanos. </w:t>
      </w:r>
    </w:p>
    <w:p w14:paraId="53A891B0" w14:textId="77777777" w:rsidR="008A50DD" w:rsidRDefault="008A50DD" w:rsidP="008A50DD">
      <w:pPr>
        <w:ind w:firstLine="720"/>
        <w:jc w:val="both"/>
        <w:rPr>
          <w:rFonts w:ascii="Cambria" w:hAnsi="Cambria" w:cs="BookAntiqua"/>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 xml:space="preserve">pela Commissão Interamericana de Direitos Humanos aos 25 </w:t>
      </w:r>
      <w:r w:rsidRPr="004C183A">
        <w:rPr>
          <w:rFonts w:ascii="Cambria" w:hAnsi="Cambria" w:cs="BookAntiqua"/>
          <w:sz w:val="20"/>
          <w:szCs w:val="20"/>
          <w:lang w:val="pt-BR"/>
        </w:rPr>
        <w:t xml:space="preserve">dias do mês de </w:t>
      </w:r>
      <w:r>
        <w:rPr>
          <w:rFonts w:ascii="Cambria" w:hAnsi="Cambria" w:cs="BookAntiqua"/>
          <w:sz w:val="20"/>
          <w:szCs w:val="20"/>
          <w:lang w:val="pt-BR"/>
        </w:rPr>
        <w:t>abril</w:t>
      </w:r>
      <w:r w:rsidRPr="004C183A">
        <w:rPr>
          <w:rFonts w:ascii="Cambria" w:hAnsi="Cambria" w:cs="BookAntiqua"/>
          <w:sz w:val="20"/>
          <w:szCs w:val="20"/>
          <w:lang w:val="pt-BR"/>
        </w:rPr>
        <w:t xml:space="preserve"> de 20</w:t>
      </w:r>
      <w:r>
        <w:rPr>
          <w:rFonts w:ascii="Cambria" w:hAnsi="Cambria" w:cs="BookAntiqua"/>
          <w:sz w:val="20"/>
          <w:szCs w:val="20"/>
          <w:lang w:val="pt-BR"/>
        </w:rPr>
        <w:t>20</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Pr>
          <w:rFonts w:ascii="Cambria" w:hAnsi="Cambria"/>
          <w:sz w:val="20"/>
          <w:szCs w:val="20"/>
          <w:lang w:val="pt-BR"/>
        </w:rPr>
        <w:t>Joel Hernández, Presidente</w:t>
      </w:r>
      <w:r w:rsidRPr="00F3588B">
        <w:rPr>
          <w:rFonts w:ascii="Cambria" w:hAnsi="Cambria"/>
          <w:sz w:val="20"/>
          <w:szCs w:val="20"/>
          <w:lang w:val="pt-BR"/>
        </w:rPr>
        <w:t>;</w:t>
      </w:r>
      <w:r w:rsidRPr="00287126">
        <w:rPr>
          <w:rFonts w:ascii="Cambria" w:hAnsi="Cambria"/>
          <w:sz w:val="20"/>
          <w:szCs w:val="20"/>
          <w:lang w:val="pt-BR"/>
        </w:rPr>
        <w:t xml:space="preserve"> </w:t>
      </w:r>
      <w:r w:rsidRPr="00AD1E73">
        <w:rPr>
          <w:rFonts w:asciiTheme="majorHAnsi" w:hAnsiTheme="majorHAnsi" w:cs="Arial"/>
          <w:noProof/>
          <w:spacing w:val="-2"/>
          <w:sz w:val="20"/>
          <w:szCs w:val="20"/>
          <w:lang w:val="pt-BR"/>
        </w:rPr>
        <w:t>Antonia Urrejola</w:t>
      </w:r>
      <w:r w:rsidRPr="00F3588B">
        <w:rPr>
          <w:rFonts w:ascii="Cambria" w:hAnsi="Cambria"/>
          <w:sz w:val="20"/>
          <w:szCs w:val="20"/>
          <w:lang w:val="pt-BR"/>
        </w:rPr>
        <w:t>, Prime</w:t>
      </w:r>
      <w:r>
        <w:rPr>
          <w:rFonts w:ascii="Cambria" w:hAnsi="Cambria"/>
          <w:sz w:val="20"/>
          <w:szCs w:val="20"/>
          <w:lang w:val="pt-BR"/>
        </w:rPr>
        <w:t>ira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xml:space="preserve">; </w:t>
      </w:r>
      <w:r w:rsidRPr="00AD1E73">
        <w:rPr>
          <w:rFonts w:asciiTheme="majorHAnsi" w:hAnsiTheme="majorHAnsi" w:cs="Arial"/>
          <w:noProof/>
          <w:spacing w:val="-2"/>
          <w:sz w:val="20"/>
          <w:szCs w:val="20"/>
          <w:lang w:val="pt-BR"/>
        </w:rPr>
        <w:t>Margarette May Macaulay, Esmeralda E. Arosemena Bernal de Troitiño</w:t>
      </w:r>
      <w:r>
        <w:rPr>
          <w:rFonts w:asciiTheme="majorHAnsi" w:hAnsiTheme="majorHAnsi" w:cs="Arial"/>
          <w:noProof/>
          <w:spacing w:val="-2"/>
          <w:sz w:val="20"/>
          <w:szCs w:val="20"/>
          <w:lang w:val="pt-BR"/>
        </w:rPr>
        <w:t xml:space="preserve">, </w:t>
      </w:r>
      <w:r w:rsidRPr="00AD1E73">
        <w:rPr>
          <w:rFonts w:asciiTheme="majorHAnsi" w:hAnsiTheme="majorHAnsi" w:cs="Arial"/>
          <w:noProof/>
          <w:spacing w:val="-2"/>
          <w:sz w:val="20"/>
          <w:szCs w:val="20"/>
          <w:lang w:val="pt-BR"/>
        </w:rPr>
        <w:t>Julissa Mantilla Falcón</w:t>
      </w:r>
      <w:r>
        <w:rPr>
          <w:rFonts w:asciiTheme="majorHAnsi" w:hAnsiTheme="majorHAnsi" w:cs="Arial"/>
          <w:noProof/>
          <w:spacing w:val="-2"/>
          <w:sz w:val="20"/>
          <w:szCs w:val="20"/>
          <w:lang w:val="pt-BR"/>
        </w:rPr>
        <w:t xml:space="preserve"> e </w:t>
      </w:r>
      <w:r w:rsidRPr="00FC7910">
        <w:rPr>
          <w:rFonts w:asciiTheme="majorHAnsi" w:hAnsiTheme="majorHAnsi" w:cs="Arial"/>
          <w:noProof/>
          <w:spacing w:val="-2"/>
          <w:sz w:val="20"/>
          <w:szCs w:val="20"/>
          <w:lang w:val="pt-BR"/>
        </w:rPr>
        <w:t>Stuardo Ralón Orellana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p w14:paraId="04E9DDB7" w14:textId="77777777" w:rsidR="008A50DD" w:rsidRPr="00FA3DDB" w:rsidRDefault="008A50DD" w:rsidP="008A50DD">
      <w:pPr>
        <w:pStyle w:val="ListParagraph"/>
        <w:suppressAutoHyphens/>
        <w:ind w:left="0" w:firstLine="720"/>
        <w:jc w:val="both"/>
        <w:rPr>
          <w:sz w:val="20"/>
          <w:szCs w:val="20"/>
          <w:lang w:val="pt-BR"/>
        </w:rPr>
      </w:pPr>
    </w:p>
    <w:sectPr w:rsidR="008A50DD" w:rsidRPr="00FA3DD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D2771" w14:textId="77777777" w:rsidR="009C4B39" w:rsidRDefault="009C4B39">
      <w:r>
        <w:separator/>
      </w:r>
    </w:p>
  </w:endnote>
  <w:endnote w:type="continuationSeparator" w:id="0">
    <w:p w14:paraId="7EFE6BD9" w14:textId="77777777" w:rsidR="009C4B39" w:rsidRDefault="009C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59ED0" w14:textId="77777777" w:rsidR="00900FF2" w:rsidRDefault="00900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1232081886"/>
      <w:docPartObj>
        <w:docPartGallery w:val="Page Numbers (Bottom of Page)"/>
        <w:docPartUnique/>
      </w:docPartObj>
    </w:sdtPr>
    <w:sdtEndPr>
      <w:rPr>
        <w:noProof/>
        <w:sz w:val="16"/>
        <w:szCs w:val="22"/>
      </w:rPr>
    </w:sdtEndPr>
    <w:sdtContent>
      <w:p w14:paraId="29E243E2" w14:textId="56E30F25" w:rsidR="0070697F" w:rsidRPr="00E82288" w:rsidRDefault="0070697F">
        <w:pPr>
          <w:pStyle w:val="Footer"/>
          <w:jc w:val="center"/>
          <w:rPr>
            <w:rFonts w:asciiTheme="majorHAnsi" w:hAnsiTheme="majorHAnsi"/>
            <w:sz w:val="16"/>
            <w:szCs w:val="22"/>
          </w:rPr>
        </w:pPr>
        <w:r w:rsidRPr="00E82288">
          <w:rPr>
            <w:rFonts w:asciiTheme="majorHAnsi" w:hAnsiTheme="majorHAnsi"/>
            <w:sz w:val="16"/>
            <w:szCs w:val="22"/>
          </w:rPr>
          <w:fldChar w:fldCharType="begin"/>
        </w:r>
        <w:r w:rsidRPr="00E82288">
          <w:rPr>
            <w:rFonts w:asciiTheme="majorHAnsi" w:hAnsiTheme="majorHAnsi"/>
            <w:sz w:val="16"/>
            <w:szCs w:val="22"/>
          </w:rPr>
          <w:instrText xml:space="preserve"> PAGE   \* MERGEFORMAT </w:instrText>
        </w:r>
        <w:r w:rsidRPr="00E82288">
          <w:rPr>
            <w:rFonts w:asciiTheme="majorHAnsi" w:hAnsiTheme="majorHAnsi"/>
            <w:sz w:val="16"/>
            <w:szCs w:val="22"/>
          </w:rPr>
          <w:fldChar w:fldCharType="separate"/>
        </w:r>
        <w:r w:rsidR="00900FF2">
          <w:rPr>
            <w:rFonts w:asciiTheme="majorHAnsi" w:hAnsiTheme="majorHAnsi"/>
            <w:noProof/>
            <w:sz w:val="16"/>
            <w:szCs w:val="22"/>
          </w:rPr>
          <w:t>3</w:t>
        </w:r>
        <w:r w:rsidRPr="00E82288">
          <w:rPr>
            <w:rFonts w:asciiTheme="majorHAnsi" w:hAnsiTheme="majorHAnsi"/>
            <w:noProof/>
            <w:sz w:val="16"/>
            <w:szCs w:val="22"/>
          </w:rPr>
          <w:fldChar w:fldCharType="end"/>
        </w:r>
      </w:p>
    </w:sdtContent>
  </w:sdt>
  <w:p w14:paraId="68530E6A" w14:textId="77777777" w:rsidR="0070697F" w:rsidRPr="00E82288" w:rsidRDefault="0070697F">
    <w:pPr>
      <w:pStyle w:val="Foote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D1807" w14:textId="77777777" w:rsidR="009C4B39" w:rsidRPr="000F35ED" w:rsidRDefault="009C4B3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E82B67A" w14:textId="77777777" w:rsidR="009C4B39" w:rsidRPr="000F35ED" w:rsidRDefault="009C4B39" w:rsidP="000F35ED">
      <w:pPr>
        <w:rPr>
          <w:rFonts w:asciiTheme="majorHAnsi" w:hAnsiTheme="majorHAnsi"/>
          <w:sz w:val="16"/>
          <w:szCs w:val="16"/>
        </w:rPr>
      </w:pPr>
      <w:r w:rsidRPr="000F35ED">
        <w:rPr>
          <w:rFonts w:asciiTheme="majorHAnsi" w:hAnsiTheme="majorHAnsi"/>
          <w:sz w:val="16"/>
          <w:szCs w:val="16"/>
        </w:rPr>
        <w:separator/>
      </w:r>
    </w:p>
    <w:p w14:paraId="279F47BB" w14:textId="77777777" w:rsidR="009C4B39" w:rsidRPr="000F35ED" w:rsidRDefault="009C4B3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19AF906" w14:textId="77777777" w:rsidR="009C4B39" w:rsidRPr="000F35ED" w:rsidRDefault="009C4B3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10036CDC" w:rsidR="004A6A54" w:rsidRPr="00E82288" w:rsidRDefault="004A77BF" w:rsidP="003B686B">
      <w:pPr>
        <w:pStyle w:val="FootnoteText"/>
        <w:jc w:val="both"/>
        <w:rPr>
          <w:rFonts w:asciiTheme="majorHAnsi" w:hAnsiTheme="majorHAnsi"/>
          <w:sz w:val="16"/>
          <w:szCs w:val="16"/>
          <w:lang w:val="pt-BR"/>
        </w:rPr>
      </w:pPr>
      <w:r>
        <w:rPr>
          <w:rFonts w:asciiTheme="majorHAnsi" w:hAnsiTheme="majorHAnsi"/>
          <w:sz w:val="16"/>
          <w:szCs w:val="16"/>
          <w:lang w:val="pt-BR"/>
        </w:rPr>
        <w:tab/>
      </w:r>
      <w:r w:rsidR="004A6A54" w:rsidRPr="00E82288">
        <w:rPr>
          <w:rStyle w:val="FootnoteReference"/>
          <w:rFonts w:asciiTheme="majorHAnsi" w:hAnsiTheme="majorHAnsi"/>
          <w:sz w:val="16"/>
          <w:szCs w:val="16"/>
          <w:lang w:val="pt-BR"/>
        </w:rPr>
        <w:footnoteRef/>
      </w:r>
      <w:r w:rsidR="004A6A54" w:rsidRPr="00E82288">
        <w:rPr>
          <w:rFonts w:asciiTheme="majorHAnsi" w:hAnsiTheme="majorHAnsi"/>
          <w:sz w:val="16"/>
          <w:szCs w:val="16"/>
          <w:lang w:val="pt-BR"/>
        </w:rPr>
        <w:t xml:space="preserve"> </w:t>
      </w:r>
      <w:r w:rsidR="006B5EE6" w:rsidRPr="00E82288">
        <w:rPr>
          <w:rFonts w:asciiTheme="majorHAnsi" w:hAnsiTheme="majorHAnsi"/>
          <w:sz w:val="16"/>
          <w:szCs w:val="16"/>
          <w:lang w:val="pt-BR"/>
        </w:rPr>
        <w:t>Conforme</w:t>
      </w:r>
      <w:r w:rsidR="004A6A54" w:rsidRPr="00E82288">
        <w:rPr>
          <w:rFonts w:asciiTheme="majorHAnsi" w:hAnsiTheme="majorHAnsi"/>
          <w:sz w:val="16"/>
          <w:szCs w:val="16"/>
          <w:lang w:val="pt-BR"/>
        </w:rPr>
        <w:t xml:space="preserve"> </w:t>
      </w:r>
      <w:r w:rsidR="00D21316" w:rsidRPr="00E82288">
        <w:rPr>
          <w:rFonts w:asciiTheme="majorHAnsi" w:hAnsiTheme="majorHAnsi"/>
          <w:sz w:val="16"/>
          <w:szCs w:val="16"/>
          <w:lang w:val="pt-BR"/>
        </w:rPr>
        <w:t>disposto</w:t>
      </w:r>
      <w:r w:rsidR="004A6A54" w:rsidRPr="00E82288">
        <w:rPr>
          <w:rFonts w:asciiTheme="majorHAnsi" w:hAnsiTheme="majorHAnsi"/>
          <w:sz w:val="16"/>
          <w:szCs w:val="16"/>
          <w:lang w:val="pt-BR"/>
        </w:rPr>
        <w:t xml:space="preserve"> </w:t>
      </w:r>
      <w:r w:rsidR="00D21316" w:rsidRPr="00E82288">
        <w:rPr>
          <w:rFonts w:asciiTheme="majorHAnsi" w:hAnsiTheme="majorHAnsi"/>
          <w:sz w:val="16"/>
          <w:szCs w:val="16"/>
          <w:lang w:val="pt-BR"/>
        </w:rPr>
        <w:t>no artigo 17.2.a do</w:t>
      </w:r>
      <w:r w:rsidR="004A6A54" w:rsidRPr="00E82288">
        <w:rPr>
          <w:rFonts w:asciiTheme="majorHAnsi" w:hAnsiTheme="majorHAnsi"/>
          <w:sz w:val="16"/>
          <w:szCs w:val="16"/>
          <w:lang w:val="pt-BR"/>
        </w:rPr>
        <w:t xml:space="preserve"> Reg</w:t>
      </w:r>
      <w:r w:rsidR="00D21316" w:rsidRPr="00E82288">
        <w:rPr>
          <w:rFonts w:asciiTheme="majorHAnsi" w:hAnsiTheme="majorHAnsi"/>
          <w:sz w:val="16"/>
          <w:szCs w:val="16"/>
          <w:lang w:val="pt-BR"/>
        </w:rPr>
        <w:t>u</w:t>
      </w:r>
      <w:r w:rsidR="004A6A54" w:rsidRPr="00E82288">
        <w:rPr>
          <w:rFonts w:asciiTheme="majorHAnsi" w:hAnsiTheme="majorHAnsi"/>
          <w:sz w:val="16"/>
          <w:szCs w:val="16"/>
          <w:lang w:val="pt-BR"/>
        </w:rPr>
        <w:t xml:space="preserve">lamento da </w:t>
      </w:r>
      <w:r w:rsidR="00D21316" w:rsidRPr="00E82288">
        <w:rPr>
          <w:rFonts w:asciiTheme="majorHAnsi" w:hAnsiTheme="majorHAnsi"/>
          <w:sz w:val="16"/>
          <w:szCs w:val="16"/>
          <w:lang w:val="pt-BR"/>
        </w:rPr>
        <w:t>Comissão</w:t>
      </w:r>
      <w:r w:rsidR="00A53003" w:rsidRPr="00E82288">
        <w:rPr>
          <w:rFonts w:asciiTheme="majorHAnsi" w:hAnsiTheme="majorHAnsi"/>
          <w:sz w:val="16"/>
          <w:szCs w:val="16"/>
          <w:lang w:val="pt-BR"/>
        </w:rPr>
        <w:t xml:space="preserve">, </w:t>
      </w:r>
      <w:r w:rsidR="00D21316" w:rsidRPr="00E82288">
        <w:rPr>
          <w:rFonts w:asciiTheme="majorHAnsi" w:hAnsiTheme="majorHAnsi"/>
          <w:sz w:val="16"/>
          <w:szCs w:val="16"/>
          <w:lang w:val="pt-BR"/>
        </w:rPr>
        <w:t>a</w:t>
      </w:r>
      <w:r w:rsidR="004A6A54" w:rsidRPr="00E82288">
        <w:rPr>
          <w:rFonts w:asciiTheme="majorHAnsi" w:hAnsiTheme="majorHAnsi"/>
          <w:sz w:val="16"/>
          <w:szCs w:val="16"/>
          <w:lang w:val="pt-BR"/>
        </w:rPr>
        <w:t xml:space="preserve"> </w:t>
      </w:r>
      <w:r w:rsidR="00A53003" w:rsidRPr="00E82288">
        <w:rPr>
          <w:rFonts w:asciiTheme="majorHAnsi" w:hAnsiTheme="majorHAnsi"/>
          <w:sz w:val="16"/>
          <w:szCs w:val="16"/>
          <w:lang w:val="pt-BR"/>
        </w:rPr>
        <w:t>Comissária</w:t>
      </w:r>
      <w:r w:rsidR="004A6A54" w:rsidRPr="00E82288">
        <w:rPr>
          <w:rFonts w:asciiTheme="majorHAnsi" w:hAnsiTheme="majorHAnsi"/>
          <w:sz w:val="16"/>
          <w:szCs w:val="16"/>
          <w:lang w:val="pt-BR"/>
        </w:rPr>
        <w:t xml:space="preserve"> </w:t>
      </w:r>
      <w:r w:rsidR="006A20E7" w:rsidRPr="00E82288">
        <w:rPr>
          <w:rFonts w:asciiTheme="majorHAnsi" w:hAnsiTheme="majorHAnsi"/>
          <w:sz w:val="16"/>
          <w:szCs w:val="16"/>
          <w:lang w:val="pt-BR"/>
        </w:rPr>
        <w:t>Flávia Piovesan</w:t>
      </w:r>
      <w:r w:rsidR="004A6A54" w:rsidRPr="00E82288">
        <w:rPr>
          <w:rFonts w:asciiTheme="majorHAnsi" w:hAnsiTheme="majorHAnsi"/>
          <w:sz w:val="16"/>
          <w:szCs w:val="16"/>
          <w:lang w:val="pt-BR"/>
        </w:rPr>
        <w:t>, de nacionalidad</w:t>
      </w:r>
      <w:r w:rsidR="00B51266" w:rsidRPr="00E82288">
        <w:rPr>
          <w:rFonts w:asciiTheme="majorHAnsi" w:hAnsiTheme="majorHAnsi"/>
          <w:sz w:val="16"/>
          <w:szCs w:val="16"/>
          <w:lang w:val="pt-BR"/>
        </w:rPr>
        <w:t>e</w:t>
      </w:r>
      <w:r w:rsidR="004A6A54" w:rsidRPr="00E82288">
        <w:rPr>
          <w:rFonts w:asciiTheme="majorHAnsi" w:hAnsiTheme="majorHAnsi"/>
          <w:sz w:val="16"/>
          <w:szCs w:val="16"/>
          <w:lang w:val="pt-BR"/>
        </w:rPr>
        <w:t xml:space="preserve"> </w:t>
      </w:r>
      <w:r w:rsidR="006A20E7" w:rsidRPr="00E82288">
        <w:rPr>
          <w:rFonts w:asciiTheme="majorHAnsi" w:hAnsiTheme="majorHAnsi"/>
          <w:sz w:val="16"/>
          <w:szCs w:val="16"/>
          <w:lang w:val="pt-BR"/>
        </w:rPr>
        <w:t>brasileira</w:t>
      </w:r>
      <w:r w:rsidR="00A53003" w:rsidRPr="00E82288">
        <w:rPr>
          <w:rFonts w:asciiTheme="majorHAnsi" w:hAnsiTheme="majorHAnsi"/>
          <w:sz w:val="16"/>
          <w:szCs w:val="16"/>
          <w:lang w:val="pt-BR"/>
        </w:rPr>
        <w:t>, não participou no</w:t>
      </w:r>
      <w:r w:rsidR="004A6A54" w:rsidRPr="00E82288">
        <w:rPr>
          <w:rFonts w:asciiTheme="majorHAnsi" w:hAnsiTheme="majorHAnsi"/>
          <w:sz w:val="16"/>
          <w:szCs w:val="16"/>
          <w:lang w:val="pt-BR"/>
        </w:rPr>
        <w:t xml:space="preserve"> debate </w:t>
      </w:r>
      <w:r w:rsidR="00A53003" w:rsidRPr="00E82288">
        <w:rPr>
          <w:rFonts w:asciiTheme="majorHAnsi" w:hAnsiTheme="majorHAnsi"/>
          <w:sz w:val="16"/>
          <w:szCs w:val="16"/>
          <w:lang w:val="pt-BR"/>
        </w:rPr>
        <w:t>nem na decisão do</w:t>
      </w:r>
      <w:r w:rsidR="004A6A54" w:rsidRPr="00E82288">
        <w:rPr>
          <w:rFonts w:asciiTheme="majorHAnsi" w:hAnsiTheme="majorHAnsi"/>
          <w:sz w:val="16"/>
          <w:szCs w:val="16"/>
          <w:lang w:val="pt-BR"/>
        </w:rPr>
        <w:t xml:space="preserve"> presente a</w:t>
      </w:r>
      <w:r w:rsidR="00A53003" w:rsidRPr="00E82288">
        <w:rPr>
          <w:rFonts w:asciiTheme="majorHAnsi" w:hAnsiTheme="majorHAnsi"/>
          <w:sz w:val="16"/>
          <w:szCs w:val="16"/>
          <w:lang w:val="pt-BR"/>
        </w:rPr>
        <w:t>s</w:t>
      </w:r>
      <w:r w:rsidR="004A6A54" w:rsidRPr="00E82288">
        <w:rPr>
          <w:rFonts w:asciiTheme="majorHAnsi" w:hAnsiTheme="majorHAnsi"/>
          <w:sz w:val="16"/>
          <w:szCs w:val="16"/>
          <w:lang w:val="pt-BR"/>
        </w:rPr>
        <w:t>sunto.</w:t>
      </w:r>
    </w:p>
  </w:footnote>
  <w:footnote w:id="3">
    <w:p w14:paraId="3E6F34CE" w14:textId="5DDB2547" w:rsidR="00856324" w:rsidRPr="00E82288" w:rsidRDefault="004A77BF" w:rsidP="003B686B">
      <w:pPr>
        <w:pStyle w:val="FootnoteText"/>
        <w:jc w:val="both"/>
        <w:rPr>
          <w:rFonts w:asciiTheme="majorHAnsi" w:hAnsiTheme="majorHAnsi"/>
          <w:sz w:val="16"/>
          <w:szCs w:val="16"/>
          <w:lang w:val="pt-BR"/>
        </w:rPr>
      </w:pPr>
      <w:r>
        <w:rPr>
          <w:rFonts w:asciiTheme="majorHAnsi" w:hAnsiTheme="majorHAnsi"/>
          <w:sz w:val="16"/>
          <w:szCs w:val="16"/>
          <w:lang w:val="pt-BR"/>
        </w:rPr>
        <w:tab/>
      </w:r>
      <w:r w:rsidR="00856324" w:rsidRPr="00E82288">
        <w:rPr>
          <w:rStyle w:val="FootnoteReference"/>
          <w:rFonts w:asciiTheme="majorHAnsi" w:hAnsiTheme="majorHAnsi"/>
          <w:sz w:val="16"/>
          <w:szCs w:val="16"/>
          <w:lang w:val="pt-BR"/>
        </w:rPr>
        <w:footnoteRef/>
      </w:r>
      <w:r w:rsidR="00856324" w:rsidRPr="00E82288">
        <w:rPr>
          <w:rFonts w:asciiTheme="majorHAnsi" w:hAnsiTheme="majorHAnsi"/>
          <w:sz w:val="16"/>
          <w:szCs w:val="16"/>
          <w:lang w:val="pt-BR"/>
        </w:rPr>
        <w:t xml:space="preserve"> Adiante “Convenção Americana” ou “Convenção”.</w:t>
      </w:r>
    </w:p>
  </w:footnote>
  <w:footnote w:id="4">
    <w:p w14:paraId="031276F5" w14:textId="3F8BEE25" w:rsidR="004107C1" w:rsidRPr="00E82288" w:rsidRDefault="004A77BF" w:rsidP="003B686B">
      <w:pPr>
        <w:pStyle w:val="FootnoteText"/>
        <w:jc w:val="both"/>
        <w:rPr>
          <w:rFonts w:asciiTheme="majorHAnsi" w:hAnsiTheme="majorHAnsi"/>
          <w:sz w:val="16"/>
          <w:szCs w:val="16"/>
          <w:lang w:val="pt-BR"/>
        </w:rPr>
      </w:pPr>
      <w:r>
        <w:rPr>
          <w:rFonts w:asciiTheme="majorHAnsi" w:hAnsiTheme="majorHAnsi"/>
          <w:sz w:val="16"/>
          <w:szCs w:val="16"/>
          <w:lang w:val="pt-BR"/>
        </w:rPr>
        <w:tab/>
      </w:r>
      <w:r w:rsidR="004107C1" w:rsidRPr="00E82288">
        <w:rPr>
          <w:rStyle w:val="FootnoteReference"/>
          <w:rFonts w:asciiTheme="majorHAnsi" w:hAnsiTheme="majorHAnsi"/>
          <w:sz w:val="16"/>
          <w:szCs w:val="16"/>
          <w:lang w:val="pt-BR"/>
        </w:rPr>
        <w:footnoteRef/>
      </w:r>
      <w:r w:rsidR="004107C1" w:rsidRPr="00E82288">
        <w:rPr>
          <w:rFonts w:asciiTheme="majorHAnsi" w:hAnsiTheme="majorHAnsi"/>
          <w:sz w:val="16"/>
          <w:szCs w:val="16"/>
          <w:lang w:val="pt-BR"/>
        </w:rPr>
        <w:t xml:space="preserve"> Adiante “Declaração Americana” ou “Declaração”.</w:t>
      </w:r>
    </w:p>
  </w:footnote>
  <w:footnote w:id="5">
    <w:p w14:paraId="79F07139" w14:textId="79B56322" w:rsidR="008E3BFE" w:rsidRPr="00E82288" w:rsidRDefault="004A77BF" w:rsidP="003B686B">
      <w:pPr>
        <w:pStyle w:val="FootnoteText"/>
        <w:jc w:val="both"/>
        <w:rPr>
          <w:rFonts w:asciiTheme="majorHAnsi" w:hAnsiTheme="majorHAnsi"/>
          <w:sz w:val="16"/>
          <w:szCs w:val="16"/>
          <w:lang w:val="pt-BR"/>
        </w:rPr>
      </w:pPr>
      <w:r>
        <w:rPr>
          <w:rFonts w:asciiTheme="majorHAnsi" w:hAnsiTheme="majorHAnsi"/>
          <w:sz w:val="16"/>
          <w:szCs w:val="16"/>
          <w:lang w:val="pt-BR"/>
        </w:rPr>
        <w:tab/>
      </w:r>
      <w:r w:rsidR="008E3BFE" w:rsidRPr="00E82288">
        <w:rPr>
          <w:rStyle w:val="FootnoteReference"/>
          <w:rFonts w:asciiTheme="majorHAnsi" w:hAnsiTheme="majorHAnsi"/>
          <w:sz w:val="16"/>
          <w:szCs w:val="16"/>
          <w:lang w:val="pt-BR"/>
        </w:rPr>
        <w:footnoteRef/>
      </w:r>
      <w:r w:rsidR="008E3BFE" w:rsidRPr="00E82288">
        <w:rPr>
          <w:rFonts w:asciiTheme="majorHAnsi" w:hAnsiTheme="majorHAnsi"/>
          <w:sz w:val="16"/>
          <w:szCs w:val="16"/>
          <w:lang w:val="pt-BR"/>
        </w:rPr>
        <w:t xml:space="preserve"> </w:t>
      </w:r>
      <w:r w:rsidR="00A53003" w:rsidRPr="00E82288">
        <w:rPr>
          <w:rFonts w:asciiTheme="majorHAnsi" w:hAnsiTheme="majorHAnsi"/>
          <w:sz w:val="16"/>
          <w:szCs w:val="16"/>
          <w:lang w:val="pt-BR"/>
        </w:rPr>
        <w:t>As observações de cada parte foram dev</w:t>
      </w:r>
      <w:r w:rsidR="008E3BFE" w:rsidRPr="00E82288">
        <w:rPr>
          <w:rFonts w:asciiTheme="majorHAnsi" w:hAnsiTheme="majorHAnsi"/>
          <w:sz w:val="16"/>
          <w:szCs w:val="16"/>
          <w:lang w:val="pt-BR"/>
        </w:rPr>
        <w:t>idamente tra</w:t>
      </w:r>
      <w:r w:rsidR="00A53003" w:rsidRPr="00E82288">
        <w:rPr>
          <w:rFonts w:asciiTheme="majorHAnsi" w:hAnsiTheme="majorHAnsi"/>
          <w:sz w:val="16"/>
          <w:szCs w:val="16"/>
          <w:lang w:val="pt-BR"/>
        </w:rPr>
        <w:t>n</w:t>
      </w:r>
      <w:r w:rsidR="008E3BFE" w:rsidRPr="00E82288">
        <w:rPr>
          <w:rFonts w:asciiTheme="majorHAnsi" w:hAnsiTheme="majorHAnsi"/>
          <w:sz w:val="16"/>
          <w:szCs w:val="16"/>
          <w:lang w:val="pt-BR"/>
        </w:rPr>
        <w:t xml:space="preserve">sladadas </w:t>
      </w:r>
      <w:r w:rsidR="00A53003" w:rsidRPr="00E82288">
        <w:rPr>
          <w:rFonts w:asciiTheme="majorHAnsi" w:hAnsiTheme="majorHAnsi"/>
          <w:sz w:val="16"/>
          <w:szCs w:val="16"/>
          <w:lang w:val="pt-BR"/>
        </w:rPr>
        <w:t>à parte contrá</w:t>
      </w:r>
      <w:r w:rsidR="008E3BFE" w:rsidRPr="00E82288">
        <w:rPr>
          <w:rFonts w:asciiTheme="majorHAnsi" w:hAnsiTheme="majorHAnsi"/>
          <w:sz w:val="16"/>
          <w:szCs w:val="16"/>
          <w:lang w:val="pt-BR"/>
        </w:rPr>
        <w:t>ria.</w:t>
      </w:r>
    </w:p>
  </w:footnote>
  <w:footnote w:id="6">
    <w:p w14:paraId="498C2A8C" w14:textId="5B5D6EC6" w:rsidR="00A17913" w:rsidRPr="00E82288" w:rsidRDefault="004A77BF" w:rsidP="0031465A">
      <w:pPr>
        <w:pStyle w:val="FootnoteText"/>
        <w:jc w:val="both"/>
        <w:rPr>
          <w:rFonts w:asciiTheme="majorHAnsi" w:hAnsiTheme="majorHAnsi"/>
          <w:sz w:val="16"/>
          <w:szCs w:val="16"/>
          <w:lang w:val="pt-BR"/>
        </w:rPr>
      </w:pPr>
      <w:r>
        <w:rPr>
          <w:rFonts w:asciiTheme="majorHAnsi" w:hAnsiTheme="majorHAnsi"/>
          <w:sz w:val="16"/>
          <w:szCs w:val="16"/>
          <w:lang w:val="pt-BR"/>
        </w:rPr>
        <w:tab/>
      </w:r>
      <w:r w:rsidR="00A17913" w:rsidRPr="00E82288">
        <w:rPr>
          <w:rStyle w:val="FootnoteReference"/>
          <w:rFonts w:asciiTheme="majorHAnsi" w:hAnsiTheme="majorHAnsi"/>
          <w:sz w:val="16"/>
          <w:szCs w:val="16"/>
          <w:lang w:val="pt-BR"/>
        </w:rPr>
        <w:footnoteRef/>
      </w:r>
      <w:r w:rsidR="00A17913" w:rsidRPr="00E82288">
        <w:rPr>
          <w:rFonts w:asciiTheme="majorHAnsi" w:hAnsiTheme="majorHAnsi"/>
          <w:sz w:val="16"/>
          <w:szCs w:val="16"/>
          <w:lang w:val="pt-BR"/>
        </w:rPr>
        <w:t xml:space="preserve"> CIDH. </w:t>
      </w:r>
      <w:r w:rsidR="00E82288" w:rsidRPr="00E82288">
        <w:rPr>
          <w:rFonts w:asciiTheme="majorHAnsi" w:hAnsiTheme="majorHAnsi"/>
          <w:sz w:val="16"/>
          <w:szCs w:val="16"/>
          <w:lang w:val="pt-BR"/>
        </w:rPr>
        <w:t>Relatório</w:t>
      </w:r>
      <w:r w:rsidR="00A17913" w:rsidRPr="00E82288">
        <w:rPr>
          <w:rFonts w:asciiTheme="majorHAnsi" w:hAnsiTheme="majorHAnsi"/>
          <w:sz w:val="16"/>
          <w:szCs w:val="16"/>
          <w:lang w:val="pt-BR"/>
        </w:rPr>
        <w:t xml:space="preserve"> 4/15, </w:t>
      </w:r>
      <w:r w:rsidR="00E82288" w:rsidRPr="00E82288">
        <w:rPr>
          <w:rFonts w:asciiTheme="majorHAnsi" w:hAnsiTheme="majorHAnsi"/>
          <w:sz w:val="16"/>
          <w:szCs w:val="16"/>
          <w:lang w:val="pt-BR"/>
        </w:rPr>
        <w:t>Admissibilidade</w:t>
      </w:r>
      <w:r w:rsidR="00A17913" w:rsidRPr="00E82288">
        <w:rPr>
          <w:rFonts w:asciiTheme="majorHAnsi" w:hAnsiTheme="majorHAnsi"/>
          <w:sz w:val="16"/>
          <w:szCs w:val="16"/>
          <w:lang w:val="pt-BR"/>
        </w:rPr>
        <w:t xml:space="preserve">, </w:t>
      </w:r>
      <w:r w:rsidR="00E82288" w:rsidRPr="00E82288">
        <w:rPr>
          <w:rFonts w:asciiTheme="majorHAnsi" w:hAnsiTheme="majorHAnsi"/>
          <w:sz w:val="16"/>
          <w:szCs w:val="16"/>
          <w:lang w:val="pt-BR"/>
        </w:rPr>
        <w:t>Petição</w:t>
      </w:r>
      <w:r w:rsidR="00A17913" w:rsidRPr="00E82288">
        <w:rPr>
          <w:rFonts w:asciiTheme="majorHAnsi" w:hAnsiTheme="majorHAnsi"/>
          <w:sz w:val="16"/>
          <w:szCs w:val="16"/>
          <w:lang w:val="pt-BR"/>
        </w:rPr>
        <w:t xml:space="preserve"> </w:t>
      </w:r>
      <w:r w:rsidR="00E82288" w:rsidRPr="00E82288">
        <w:rPr>
          <w:rFonts w:asciiTheme="majorHAnsi" w:hAnsiTheme="majorHAnsi"/>
          <w:sz w:val="16"/>
          <w:szCs w:val="16"/>
          <w:lang w:val="pt-BR"/>
        </w:rPr>
        <w:t>582-</w:t>
      </w:r>
      <w:r w:rsidR="00A17913" w:rsidRPr="00E82288">
        <w:rPr>
          <w:rFonts w:asciiTheme="majorHAnsi" w:hAnsiTheme="majorHAnsi"/>
          <w:sz w:val="16"/>
          <w:szCs w:val="16"/>
          <w:lang w:val="pt-BR"/>
        </w:rPr>
        <w:t xml:space="preserve">01, Raúl Rolando Romero Feris, Argentina, 29 de </w:t>
      </w:r>
      <w:r w:rsidR="00E82288" w:rsidRPr="00E82288">
        <w:rPr>
          <w:rFonts w:asciiTheme="majorHAnsi" w:hAnsiTheme="majorHAnsi"/>
          <w:sz w:val="16"/>
          <w:szCs w:val="16"/>
          <w:lang w:val="pt-BR"/>
        </w:rPr>
        <w:t>janeiro</w:t>
      </w:r>
      <w:r w:rsidR="00A17913" w:rsidRPr="00E82288">
        <w:rPr>
          <w:rFonts w:asciiTheme="majorHAnsi" w:hAnsiTheme="majorHAnsi"/>
          <w:sz w:val="16"/>
          <w:szCs w:val="16"/>
          <w:lang w:val="pt-BR"/>
        </w:rPr>
        <w:t xml:space="preserve"> de 2015, </w:t>
      </w:r>
      <w:r w:rsidR="00E82288" w:rsidRPr="00E82288">
        <w:rPr>
          <w:rFonts w:asciiTheme="majorHAnsi" w:hAnsiTheme="majorHAnsi"/>
          <w:sz w:val="16"/>
          <w:szCs w:val="16"/>
          <w:lang w:val="pt-BR"/>
        </w:rPr>
        <w:t>par</w:t>
      </w:r>
      <w:r w:rsidR="00A17913" w:rsidRPr="00E82288">
        <w:rPr>
          <w:rFonts w:asciiTheme="majorHAnsi" w:hAnsiTheme="majorHAnsi"/>
          <w:sz w:val="16"/>
          <w:szCs w:val="16"/>
          <w:lang w:val="pt-BR"/>
        </w:rPr>
        <w:t>. 40.</w:t>
      </w:r>
    </w:p>
  </w:footnote>
  <w:footnote w:id="7">
    <w:p w14:paraId="5109FC00" w14:textId="6A061AF3" w:rsidR="000E052E" w:rsidRPr="00E82288" w:rsidRDefault="004A77BF" w:rsidP="00387ADC">
      <w:pPr>
        <w:pStyle w:val="FootnoteText"/>
        <w:jc w:val="both"/>
        <w:rPr>
          <w:rFonts w:asciiTheme="majorHAnsi" w:hAnsiTheme="majorHAnsi"/>
          <w:sz w:val="16"/>
          <w:szCs w:val="16"/>
          <w:lang w:val="pt-BR"/>
        </w:rPr>
      </w:pPr>
      <w:r>
        <w:rPr>
          <w:rFonts w:asciiTheme="majorHAnsi" w:hAnsiTheme="majorHAnsi"/>
          <w:sz w:val="16"/>
          <w:szCs w:val="16"/>
          <w:lang w:val="pt-BR"/>
        </w:rPr>
        <w:tab/>
      </w:r>
      <w:r w:rsidR="000E052E" w:rsidRPr="00E82288">
        <w:rPr>
          <w:rStyle w:val="FootnoteReference"/>
          <w:rFonts w:asciiTheme="majorHAnsi" w:hAnsiTheme="majorHAnsi"/>
          <w:sz w:val="16"/>
          <w:szCs w:val="16"/>
          <w:lang w:val="pt-BR"/>
        </w:rPr>
        <w:footnoteRef/>
      </w:r>
      <w:r w:rsidR="000E052E" w:rsidRPr="00E82288">
        <w:rPr>
          <w:rFonts w:asciiTheme="majorHAnsi" w:hAnsiTheme="majorHAnsi"/>
          <w:sz w:val="16"/>
          <w:szCs w:val="16"/>
          <w:lang w:val="pt-BR"/>
        </w:rPr>
        <w:t xml:space="preserve"> CIDH, </w:t>
      </w:r>
      <w:r w:rsidR="00387ADC" w:rsidRPr="00E82288">
        <w:rPr>
          <w:rFonts w:asciiTheme="majorHAnsi" w:hAnsiTheme="majorHAnsi"/>
          <w:sz w:val="16"/>
          <w:szCs w:val="16"/>
          <w:lang w:val="pt-BR"/>
        </w:rPr>
        <w:t>Relatório</w:t>
      </w:r>
      <w:r w:rsidR="000E052E" w:rsidRPr="00E82288">
        <w:rPr>
          <w:rFonts w:asciiTheme="majorHAnsi" w:hAnsiTheme="majorHAnsi"/>
          <w:sz w:val="16"/>
          <w:szCs w:val="16"/>
          <w:lang w:val="pt-BR"/>
        </w:rPr>
        <w:t xml:space="preserve"> No. 64/14, </w:t>
      </w:r>
      <w:r w:rsidR="00387ADC" w:rsidRPr="00E82288">
        <w:rPr>
          <w:rFonts w:asciiTheme="majorHAnsi" w:hAnsiTheme="majorHAnsi"/>
          <w:sz w:val="16"/>
          <w:szCs w:val="16"/>
          <w:lang w:val="pt-BR"/>
        </w:rPr>
        <w:t>Petição</w:t>
      </w:r>
      <w:r w:rsidR="000E052E" w:rsidRPr="00E82288">
        <w:rPr>
          <w:rFonts w:asciiTheme="majorHAnsi" w:hAnsiTheme="majorHAnsi"/>
          <w:sz w:val="16"/>
          <w:szCs w:val="16"/>
          <w:lang w:val="pt-BR"/>
        </w:rPr>
        <w:t xml:space="preserve"> 806-06. </w:t>
      </w:r>
      <w:r w:rsidR="00387ADC" w:rsidRPr="00E82288">
        <w:rPr>
          <w:rFonts w:asciiTheme="majorHAnsi" w:hAnsiTheme="majorHAnsi"/>
          <w:sz w:val="16"/>
          <w:szCs w:val="16"/>
          <w:lang w:val="pt-BR"/>
        </w:rPr>
        <w:t>Admissibilidade</w:t>
      </w:r>
      <w:r w:rsidR="000E052E" w:rsidRPr="00E82288">
        <w:rPr>
          <w:rFonts w:asciiTheme="majorHAnsi" w:hAnsiTheme="majorHAnsi"/>
          <w:sz w:val="16"/>
          <w:szCs w:val="16"/>
          <w:lang w:val="pt-BR"/>
        </w:rPr>
        <w:t xml:space="preserve">. Laureano Brizuela Wilde. México. 25 de </w:t>
      </w:r>
      <w:r w:rsidR="00387ADC" w:rsidRPr="00E82288">
        <w:rPr>
          <w:rFonts w:asciiTheme="majorHAnsi" w:hAnsiTheme="majorHAnsi"/>
          <w:sz w:val="16"/>
          <w:szCs w:val="16"/>
          <w:lang w:val="pt-BR"/>
        </w:rPr>
        <w:t>julho</w:t>
      </w:r>
      <w:r w:rsidR="000E052E" w:rsidRPr="00E82288">
        <w:rPr>
          <w:rFonts w:asciiTheme="majorHAnsi" w:hAnsiTheme="majorHAnsi"/>
          <w:sz w:val="16"/>
          <w:szCs w:val="16"/>
          <w:lang w:val="pt-BR"/>
        </w:rPr>
        <w:t xml:space="preserve"> de 2014, </w:t>
      </w:r>
      <w:r w:rsidR="00387ADC" w:rsidRPr="00E82288">
        <w:rPr>
          <w:rFonts w:asciiTheme="majorHAnsi" w:hAnsiTheme="majorHAnsi"/>
          <w:sz w:val="16"/>
          <w:szCs w:val="16"/>
          <w:lang w:val="pt-BR"/>
        </w:rPr>
        <w:t>par.</w:t>
      </w:r>
      <w:r w:rsidR="000E052E" w:rsidRPr="00E82288">
        <w:rPr>
          <w:rFonts w:asciiTheme="majorHAnsi" w:hAnsiTheme="majorHAnsi"/>
          <w:sz w:val="16"/>
          <w:szCs w:val="16"/>
          <w:lang w:val="pt-BR"/>
        </w:rPr>
        <w:t>.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9C4B39"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7DEAE" w14:textId="77777777" w:rsidR="00900FF2" w:rsidRDefault="00900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6E1F"/>
    <w:rsid w:val="000070D7"/>
    <w:rsid w:val="0001788C"/>
    <w:rsid w:val="000337EF"/>
    <w:rsid w:val="00040C3A"/>
    <w:rsid w:val="000419AD"/>
    <w:rsid w:val="000433C9"/>
    <w:rsid w:val="000716C5"/>
    <w:rsid w:val="00075E23"/>
    <w:rsid w:val="0009344A"/>
    <w:rsid w:val="000A392E"/>
    <w:rsid w:val="000A575F"/>
    <w:rsid w:val="000D10DB"/>
    <w:rsid w:val="000E052E"/>
    <w:rsid w:val="000E5EB5"/>
    <w:rsid w:val="000E6BA8"/>
    <w:rsid w:val="000F35ED"/>
    <w:rsid w:val="00107131"/>
    <w:rsid w:val="0010736F"/>
    <w:rsid w:val="00113F73"/>
    <w:rsid w:val="00121CC2"/>
    <w:rsid w:val="00126384"/>
    <w:rsid w:val="00127B79"/>
    <w:rsid w:val="00133EE5"/>
    <w:rsid w:val="00167A34"/>
    <w:rsid w:val="001A12B0"/>
    <w:rsid w:val="001A7068"/>
    <w:rsid w:val="001A7870"/>
    <w:rsid w:val="001B3A00"/>
    <w:rsid w:val="001C1B41"/>
    <w:rsid w:val="001C67D9"/>
    <w:rsid w:val="001D65EF"/>
    <w:rsid w:val="001E49E7"/>
    <w:rsid w:val="001F0BB5"/>
    <w:rsid w:val="001F7201"/>
    <w:rsid w:val="00222404"/>
    <w:rsid w:val="00223A29"/>
    <w:rsid w:val="002250A3"/>
    <w:rsid w:val="0022736D"/>
    <w:rsid w:val="00235217"/>
    <w:rsid w:val="00242EE5"/>
    <w:rsid w:val="00246D1F"/>
    <w:rsid w:val="00247403"/>
    <w:rsid w:val="00247542"/>
    <w:rsid w:val="00266B61"/>
    <w:rsid w:val="0026712A"/>
    <w:rsid w:val="002704DB"/>
    <w:rsid w:val="00273AD3"/>
    <w:rsid w:val="0027545C"/>
    <w:rsid w:val="002A0AAE"/>
    <w:rsid w:val="002A5820"/>
    <w:rsid w:val="002B7247"/>
    <w:rsid w:val="002C4B99"/>
    <w:rsid w:val="002D2B26"/>
    <w:rsid w:val="002D7EA2"/>
    <w:rsid w:val="002E187C"/>
    <w:rsid w:val="002E3D25"/>
    <w:rsid w:val="00302733"/>
    <w:rsid w:val="00304DE7"/>
    <w:rsid w:val="00311314"/>
    <w:rsid w:val="00314078"/>
    <w:rsid w:val="0031465A"/>
    <w:rsid w:val="0031535D"/>
    <w:rsid w:val="003239B8"/>
    <w:rsid w:val="0033169F"/>
    <w:rsid w:val="00344977"/>
    <w:rsid w:val="00346C95"/>
    <w:rsid w:val="00356185"/>
    <w:rsid w:val="00360380"/>
    <w:rsid w:val="0037519E"/>
    <w:rsid w:val="0038072E"/>
    <w:rsid w:val="00386CF0"/>
    <w:rsid w:val="0038709A"/>
    <w:rsid w:val="00387ADC"/>
    <w:rsid w:val="003911A2"/>
    <w:rsid w:val="003B0F0F"/>
    <w:rsid w:val="003B4B47"/>
    <w:rsid w:val="003B686B"/>
    <w:rsid w:val="003B70FB"/>
    <w:rsid w:val="003C0907"/>
    <w:rsid w:val="003C2955"/>
    <w:rsid w:val="003C676B"/>
    <w:rsid w:val="003D3BC2"/>
    <w:rsid w:val="003E6CA1"/>
    <w:rsid w:val="003F270E"/>
    <w:rsid w:val="00400A8D"/>
    <w:rsid w:val="004065A8"/>
    <w:rsid w:val="004107C1"/>
    <w:rsid w:val="004165C2"/>
    <w:rsid w:val="00431847"/>
    <w:rsid w:val="00441ECB"/>
    <w:rsid w:val="00445193"/>
    <w:rsid w:val="00462C1B"/>
    <w:rsid w:val="00466F47"/>
    <w:rsid w:val="00467B7E"/>
    <w:rsid w:val="00473BB4"/>
    <w:rsid w:val="00477592"/>
    <w:rsid w:val="00486F1C"/>
    <w:rsid w:val="0049329D"/>
    <w:rsid w:val="0049419D"/>
    <w:rsid w:val="004949D2"/>
    <w:rsid w:val="004A6A54"/>
    <w:rsid w:val="004A77BF"/>
    <w:rsid w:val="004B1D1E"/>
    <w:rsid w:val="004C20D2"/>
    <w:rsid w:val="004C2312"/>
    <w:rsid w:val="004C4B62"/>
    <w:rsid w:val="004C54C9"/>
    <w:rsid w:val="004D4ABA"/>
    <w:rsid w:val="004D6025"/>
    <w:rsid w:val="004E2649"/>
    <w:rsid w:val="00501399"/>
    <w:rsid w:val="00503E37"/>
    <w:rsid w:val="0050633D"/>
    <w:rsid w:val="00507BC4"/>
    <w:rsid w:val="005128E4"/>
    <w:rsid w:val="005133DB"/>
    <w:rsid w:val="00516462"/>
    <w:rsid w:val="00525560"/>
    <w:rsid w:val="00544C49"/>
    <w:rsid w:val="005516A1"/>
    <w:rsid w:val="00554D0C"/>
    <w:rsid w:val="00563557"/>
    <w:rsid w:val="0057402A"/>
    <w:rsid w:val="005771D0"/>
    <w:rsid w:val="0059191A"/>
    <w:rsid w:val="005921FF"/>
    <w:rsid w:val="005A24ED"/>
    <w:rsid w:val="005A6D0E"/>
    <w:rsid w:val="005A7DCB"/>
    <w:rsid w:val="005B52B0"/>
    <w:rsid w:val="005B6806"/>
    <w:rsid w:val="005C4225"/>
    <w:rsid w:val="005E2852"/>
    <w:rsid w:val="005F0A42"/>
    <w:rsid w:val="005F0DAD"/>
    <w:rsid w:val="005F0F33"/>
    <w:rsid w:val="005F64F0"/>
    <w:rsid w:val="00600DEB"/>
    <w:rsid w:val="00622A03"/>
    <w:rsid w:val="00627C9F"/>
    <w:rsid w:val="006311E9"/>
    <w:rsid w:val="00632354"/>
    <w:rsid w:val="00636883"/>
    <w:rsid w:val="00642810"/>
    <w:rsid w:val="0064365C"/>
    <w:rsid w:val="00652333"/>
    <w:rsid w:val="00670CA0"/>
    <w:rsid w:val="0068009E"/>
    <w:rsid w:val="00686832"/>
    <w:rsid w:val="00692219"/>
    <w:rsid w:val="006A17D2"/>
    <w:rsid w:val="006A20E7"/>
    <w:rsid w:val="006A5EF3"/>
    <w:rsid w:val="006A73E6"/>
    <w:rsid w:val="006B2D5C"/>
    <w:rsid w:val="006B5EE6"/>
    <w:rsid w:val="006C4EB1"/>
    <w:rsid w:val="006C6A60"/>
    <w:rsid w:val="006D1BFA"/>
    <w:rsid w:val="006D2D3C"/>
    <w:rsid w:val="006E0166"/>
    <w:rsid w:val="006E2CE6"/>
    <w:rsid w:val="006E7B34"/>
    <w:rsid w:val="0070697F"/>
    <w:rsid w:val="0072199C"/>
    <w:rsid w:val="00722C9F"/>
    <w:rsid w:val="007253B8"/>
    <w:rsid w:val="0073741F"/>
    <w:rsid w:val="0076643F"/>
    <w:rsid w:val="007665A8"/>
    <w:rsid w:val="00777F63"/>
    <w:rsid w:val="00784D0A"/>
    <w:rsid w:val="00786537"/>
    <w:rsid w:val="007A5817"/>
    <w:rsid w:val="007B05C4"/>
    <w:rsid w:val="007B60E9"/>
    <w:rsid w:val="007B6CC3"/>
    <w:rsid w:val="007B76D3"/>
    <w:rsid w:val="007C3334"/>
    <w:rsid w:val="007D2B98"/>
    <w:rsid w:val="007E21BC"/>
    <w:rsid w:val="007E7C82"/>
    <w:rsid w:val="007F588D"/>
    <w:rsid w:val="00802B53"/>
    <w:rsid w:val="00803F1C"/>
    <w:rsid w:val="0080600E"/>
    <w:rsid w:val="00817612"/>
    <w:rsid w:val="008338A4"/>
    <w:rsid w:val="00834D49"/>
    <w:rsid w:val="00837C45"/>
    <w:rsid w:val="00844730"/>
    <w:rsid w:val="008457C2"/>
    <w:rsid w:val="00856324"/>
    <w:rsid w:val="00857A82"/>
    <w:rsid w:val="00873836"/>
    <w:rsid w:val="00885737"/>
    <w:rsid w:val="00890650"/>
    <w:rsid w:val="00897E12"/>
    <w:rsid w:val="008A50DD"/>
    <w:rsid w:val="008A7E0F"/>
    <w:rsid w:val="008B12F5"/>
    <w:rsid w:val="008D768D"/>
    <w:rsid w:val="008E2EC9"/>
    <w:rsid w:val="008E3759"/>
    <w:rsid w:val="008E3BFE"/>
    <w:rsid w:val="008F1912"/>
    <w:rsid w:val="00900FF2"/>
    <w:rsid w:val="0090270B"/>
    <w:rsid w:val="009041DC"/>
    <w:rsid w:val="00917B5A"/>
    <w:rsid w:val="00920A58"/>
    <w:rsid w:val="00920A8C"/>
    <w:rsid w:val="00934A2C"/>
    <w:rsid w:val="00941503"/>
    <w:rsid w:val="0096706E"/>
    <w:rsid w:val="00974491"/>
    <w:rsid w:val="00975C4E"/>
    <w:rsid w:val="00981FBA"/>
    <w:rsid w:val="00997BC5"/>
    <w:rsid w:val="009A4F41"/>
    <w:rsid w:val="009A7689"/>
    <w:rsid w:val="009B381B"/>
    <w:rsid w:val="009C4B39"/>
    <w:rsid w:val="009D1753"/>
    <w:rsid w:val="009D7611"/>
    <w:rsid w:val="009E0B61"/>
    <w:rsid w:val="009E53DE"/>
    <w:rsid w:val="009F41C7"/>
    <w:rsid w:val="00A04D78"/>
    <w:rsid w:val="00A101AB"/>
    <w:rsid w:val="00A11212"/>
    <w:rsid w:val="00A11E44"/>
    <w:rsid w:val="00A15FEB"/>
    <w:rsid w:val="00A17913"/>
    <w:rsid w:val="00A30A58"/>
    <w:rsid w:val="00A328B3"/>
    <w:rsid w:val="00A37F2E"/>
    <w:rsid w:val="00A4470E"/>
    <w:rsid w:val="00A50FCF"/>
    <w:rsid w:val="00A528D1"/>
    <w:rsid w:val="00A53003"/>
    <w:rsid w:val="00A610CD"/>
    <w:rsid w:val="00A66BAB"/>
    <w:rsid w:val="00A758AA"/>
    <w:rsid w:val="00A75CC3"/>
    <w:rsid w:val="00AA09A2"/>
    <w:rsid w:val="00AA7996"/>
    <w:rsid w:val="00AB0171"/>
    <w:rsid w:val="00AB3EB4"/>
    <w:rsid w:val="00AC19CB"/>
    <w:rsid w:val="00AE5488"/>
    <w:rsid w:val="00AE6F91"/>
    <w:rsid w:val="00AF5571"/>
    <w:rsid w:val="00B008C9"/>
    <w:rsid w:val="00B0258F"/>
    <w:rsid w:val="00B07341"/>
    <w:rsid w:val="00B30539"/>
    <w:rsid w:val="00B314DB"/>
    <w:rsid w:val="00B361F2"/>
    <w:rsid w:val="00B3718B"/>
    <w:rsid w:val="00B445AC"/>
    <w:rsid w:val="00B4632A"/>
    <w:rsid w:val="00B51266"/>
    <w:rsid w:val="00B51650"/>
    <w:rsid w:val="00B530F1"/>
    <w:rsid w:val="00B87A18"/>
    <w:rsid w:val="00B901B1"/>
    <w:rsid w:val="00B921FD"/>
    <w:rsid w:val="00BA276C"/>
    <w:rsid w:val="00BB306F"/>
    <w:rsid w:val="00BD0ABC"/>
    <w:rsid w:val="00BD4A74"/>
    <w:rsid w:val="00BD4B89"/>
    <w:rsid w:val="00BD5922"/>
    <w:rsid w:val="00BF02CB"/>
    <w:rsid w:val="00BF6FD8"/>
    <w:rsid w:val="00C03680"/>
    <w:rsid w:val="00C049B8"/>
    <w:rsid w:val="00C054DF"/>
    <w:rsid w:val="00C14781"/>
    <w:rsid w:val="00C21762"/>
    <w:rsid w:val="00C21FEF"/>
    <w:rsid w:val="00C24543"/>
    <w:rsid w:val="00C256A2"/>
    <w:rsid w:val="00C44969"/>
    <w:rsid w:val="00C51515"/>
    <w:rsid w:val="00C5660B"/>
    <w:rsid w:val="00C61FA9"/>
    <w:rsid w:val="00C66B72"/>
    <w:rsid w:val="00C87AC4"/>
    <w:rsid w:val="00C9567A"/>
    <w:rsid w:val="00CB212D"/>
    <w:rsid w:val="00CB2660"/>
    <w:rsid w:val="00CC5E90"/>
    <w:rsid w:val="00CD046C"/>
    <w:rsid w:val="00CD455E"/>
    <w:rsid w:val="00CE076C"/>
    <w:rsid w:val="00CE22E8"/>
    <w:rsid w:val="00CE5199"/>
    <w:rsid w:val="00CE66D5"/>
    <w:rsid w:val="00CF459A"/>
    <w:rsid w:val="00CF637A"/>
    <w:rsid w:val="00D059DE"/>
    <w:rsid w:val="00D05ABD"/>
    <w:rsid w:val="00D13FCE"/>
    <w:rsid w:val="00D21316"/>
    <w:rsid w:val="00D23F09"/>
    <w:rsid w:val="00D268B9"/>
    <w:rsid w:val="00D306D1"/>
    <w:rsid w:val="00D30800"/>
    <w:rsid w:val="00D3186C"/>
    <w:rsid w:val="00D34786"/>
    <w:rsid w:val="00D358AF"/>
    <w:rsid w:val="00D36B32"/>
    <w:rsid w:val="00D37BFC"/>
    <w:rsid w:val="00D47A8E"/>
    <w:rsid w:val="00D52D14"/>
    <w:rsid w:val="00D712D3"/>
    <w:rsid w:val="00D71422"/>
    <w:rsid w:val="00D72DC6"/>
    <w:rsid w:val="00D7558D"/>
    <w:rsid w:val="00D81D92"/>
    <w:rsid w:val="00D876F9"/>
    <w:rsid w:val="00D91429"/>
    <w:rsid w:val="00DA2224"/>
    <w:rsid w:val="00DA7B5F"/>
    <w:rsid w:val="00DB1F50"/>
    <w:rsid w:val="00DC11E7"/>
    <w:rsid w:val="00DC7023"/>
    <w:rsid w:val="00DC769A"/>
    <w:rsid w:val="00DD3344"/>
    <w:rsid w:val="00DD3D86"/>
    <w:rsid w:val="00DD4AD2"/>
    <w:rsid w:val="00DF1EC4"/>
    <w:rsid w:val="00E0340B"/>
    <w:rsid w:val="00E04A90"/>
    <w:rsid w:val="00E0551F"/>
    <w:rsid w:val="00E066AD"/>
    <w:rsid w:val="00E10473"/>
    <w:rsid w:val="00E219C7"/>
    <w:rsid w:val="00E4118C"/>
    <w:rsid w:val="00E43157"/>
    <w:rsid w:val="00E446AD"/>
    <w:rsid w:val="00E44B04"/>
    <w:rsid w:val="00E461CE"/>
    <w:rsid w:val="00E720CA"/>
    <w:rsid w:val="00E759FB"/>
    <w:rsid w:val="00E82288"/>
    <w:rsid w:val="00E84EB5"/>
    <w:rsid w:val="00E85662"/>
    <w:rsid w:val="00E8789F"/>
    <w:rsid w:val="00E97B71"/>
    <w:rsid w:val="00EA3D34"/>
    <w:rsid w:val="00EB454D"/>
    <w:rsid w:val="00EC3813"/>
    <w:rsid w:val="00ED38BC"/>
    <w:rsid w:val="00ED549D"/>
    <w:rsid w:val="00ED76BE"/>
    <w:rsid w:val="00EE00E9"/>
    <w:rsid w:val="00EF2D89"/>
    <w:rsid w:val="00EF619B"/>
    <w:rsid w:val="00F00B55"/>
    <w:rsid w:val="00F02AD1"/>
    <w:rsid w:val="00F253CC"/>
    <w:rsid w:val="00F3108B"/>
    <w:rsid w:val="00F37106"/>
    <w:rsid w:val="00F519CF"/>
    <w:rsid w:val="00F54E03"/>
    <w:rsid w:val="00F56BA5"/>
    <w:rsid w:val="00F60E22"/>
    <w:rsid w:val="00F7040C"/>
    <w:rsid w:val="00F81395"/>
    <w:rsid w:val="00F81BB8"/>
    <w:rsid w:val="00F916B8"/>
    <w:rsid w:val="00F917D1"/>
    <w:rsid w:val="00F9653B"/>
    <w:rsid w:val="00FB38DE"/>
    <w:rsid w:val="00FB622A"/>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465A"/>
    <w:rPr>
      <w:i/>
      <w:iCs/>
    </w:rPr>
  </w:style>
  <w:style w:type="character" w:styleId="CommentReference">
    <w:name w:val="annotation reference"/>
    <w:basedOn w:val="DefaultParagraphFont"/>
    <w:uiPriority w:val="99"/>
    <w:semiHidden/>
    <w:unhideWhenUsed/>
    <w:rsid w:val="003C0907"/>
    <w:rPr>
      <w:sz w:val="16"/>
      <w:szCs w:val="16"/>
    </w:rPr>
  </w:style>
  <w:style w:type="paragraph" w:styleId="CommentText">
    <w:name w:val="annotation text"/>
    <w:basedOn w:val="Normal"/>
    <w:link w:val="CommentTextChar"/>
    <w:uiPriority w:val="99"/>
    <w:semiHidden/>
    <w:unhideWhenUsed/>
    <w:rsid w:val="003C0907"/>
    <w:rPr>
      <w:sz w:val="20"/>
      <w:szCs w:val="20"/>
    </w:rPr>
  </w:style>
  <w:style w:type="character" w:customStyle="1" w:styleId="CommentTextChar">
    <w:name w:val="Comment Text Char"/>
    <w:basedOn w:val="DefaultParagraphFont"/>
    <w:link w:val="CommentText"/>
    <w:uiPriority w:val="99"/>
    <w:semiHidden/>
    <w:rsid w:val="003C0907"/>
    <w:rPr>
      <w:lang w:val="en-US" w:eastAsia="en-US"/>
    </w:rPr>
  </w:style>
  <w:style w:type="paragraph" w:styleId="CommentSubject">
    <w:name w:val="annotation subject"/>
    <w:basedOn w:val="CommentText"/>
    <w:next w:val="CommentText"/>
    <w:link w:val="CommentSubjectChar"/>
    <w:uiPriority w:val="99"/>
    <w:semiHidden/>
    <w:unhideWhenUsed/>
    <w:rsid w:val="003C0907"/>
    <w:rPr>
      <w:b/>
      <w:bCs/>
    </w:rPr>
  </w:style>
  <w:style w:type="character" w:customStyle="1" w:styleId="CommentSubjectChar">
    <w:name w:val="Comment Subject Char"/>
    <w:basedOn w:val="CommentTextChar"/>
    <w:link w:val="CommentSubject"/>
    <w:uiPriority w:val="99"/>
    <w:semiHidden/>
    <w:rsid w:val="003C0907"/>
    <w:rPr>
      <w:b/>
      <w:bCs/>
      <w:lang w:val="en-US" w:eastAsia="en-US"/>
    </w:rPr>
  </w:style>
  <w:style w:type="paragraph" w:styleId="Revision">
    <w:name w:val="Revision"/>
    <w:hidden/>
    <w:uiPriority w:val="99"/>
    <w:semiHidden/>
    <w:rsid w:val="003C09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64390">
      <w:bodyDiv w:val="1"/>
      <w:marLeft w:val="0"/>
      <w:marRight w:val="0"/>
      <w:marTop w:val="0"/>
      <w:marBottom w:val="0"/>
      <w:divBdr>
        <w:top w:val="none" w:sz="0" w:space="0" w:color="auto"/>
        <w:left w:val="none" w:sz="0" w:space="0" w:color="auto"/>
        <w:bottom w:val="none" w:sz="0" w:space="0" w:color="auto"/>
        <w:right w:val="none" w:sz="0" w:space="0" w:color="auto"/>
      </w:divBdr>
      <w:divsChild>
        <w:div w:id="1383481437">
          <w:marLeft w:val="0"/>
          <w:marRight w:val="0"/>
          <w:marTop w:val="0"/>
          <w:marBottom w:val="0"/>
          <w:divBdr>
            <w:top w:val="none" w:sz="0" w:space="0" w:color="auto"/>
            <w:left w:val="none" w:sz="0" w:space="0" w:color="auto"/>
            <w:bottom w:val="none" w:sz="0" w:space="0" w:color="auto"/>
            <w:right w:val="none" w:sz="0" w:space="0" w:color="auto"/>
          </w:divBdr>
          <w:divsChild>
            <w:div w:id="20482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gif"/><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FABE9-FD84-483C-ACFB-5967959F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11488</Characters>
  <Application>Microsoft Office Word</Application>
  <DocSecurity>0</DocSecurity>
  <Lines>205</Lines>
  <Paragraphs>51</Paragraphs>
  <ScaleCrop>false</ScaleCrop>
  <Company/>
  <LinksUpToDate>false</LinksUpToDate>
  <CharactersWithSpaces>13495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116/20</dc:title>
  <dc:creator/>
  <cp:lastModifiedBy/>
  <cp:revision>1</cp:revision>
  <dcterms:created xsi:type="dcterms:W3CDTF">2020-08-03T19:13:00Z</dcterms:created>
  <dcterms:modified xsi:type="dcterms:W3CDTF">2020-08-03T19:13:00Z</dcterms:modified>
</cp:coreProperties>
</file>