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759FB" w:rsidRDefault="00D306D1" w:rsidP="00627C9F">
      <w:pPr>
        <w:jc w:val="both"/>
        <w:rPr>
          <w:rFonts w:asciiTheme="majorHAnsi" w:hAnsiTheme="majorHAnsi" w:cs="Univers"/>
          <w:b/>
          <w:bCs/>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65D4AA">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2pt" w14:anchorId="47B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w:pict>
          </mc:Fallback>
        </mc:AlternateContent>
      </w:r>
      <w:r w:rsidR="003E6CA1" w:rsidRPr="00E759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A8F050">
              <v:shapetype id="_x0000_t202" coordsize="21600,21600" o:spt="202" path="m,l,21600r21600,l21600,xe" w14:anchorId="10F4F91A">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v:textbox>
                  <w:txbxContent>
                    <w:p w:rsidR="00CB2660" w:rsidP="00AE5488" w:rsidRDefault="00AE5488" w14:paraId="3D8553D8" w14:textId="77777777">
                      <w:r>
                        <w:rPr>
                          <w:noProof/>
                        </w:rPr>
                        <w:drawing>
                          <wp:inline distT="0" distB="0" distL="0" distR="0" wp14:anchorId="6AE9E8D7" wp14:editId="7554D5B3">
                            <wp:extent cx="2164258" cy="510765"/>
                            <wp:effectExtent l="0" t="0" r="7620" b="3810"/>
                            <wp:docPr id="9444019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E759FB" w:rsidRDefault="005128E4" w:rsidP="00040C3A">
      <w:pPr>
        <w:tabs>
          <w:tab w:val="center" w:pos="5400"/>
        </w:tabs>
        <w:suppressAutoHyphens/>
        <w:rPr>
          <w:rFonts w:asciiTheme="majorHAnsi" w:hAnsiTheme="majorHAnsi"/>
          <w:sz w:val="22"/>
          <w:szCs w:val="22"/>
          <w:lang w:val="pt-BR"/>
        </w:rPr>
      </w:pPr>
    </w:p>
    <w:p w14:paraId="12A36B24" w14:textId="77777777" w:rsidR="005128E4" w:rsidRPr="00E759FB" w:rsidRDefault="005128E4" w:rsidP="00040C3A">
      <w:pPr>
        <w:tabs>
          <w:tab w:val="center" w:pos="5400"/>
        </w:tabs>
        <w:suppressAutoHyphens/>
        <w:rPr>
          <w:rFonts w:asciiTheme="majorHAnsi" w:hAnsiTheme="majorHAnsi"/>
          <w:sz w:val="22"/>
          <w:szCs w:val="22"/>
          <w:lang w:val="pt-BR"/>
        </w:rPr>
      </w:pPr>
    </w:p>
    <w:p w14:paraId="2252093D" w14:textId="77777777" w:rsidR="005128E4" w:rsidRPr="00E759FB" w:rsidRDefault="005128E4" w:rsidP="00040C3A">
      <w:pPr>
        <w:tabs>
          <w:tab w:val="center" w:pos="5400"/>
        </w:tabs>
        <w:suppressAutoHyphens/>
        <w:rPr>
          <w:rFonts w:asciiTheme="majorHAnsi" w:hAnsiTheme="majorHAnsi"/>
          <w:sz w:val="22"/>
          <w:szCs w:val="22"/>
          <w:lang w:val="pt-BR"/>
        </w:rPr>
      </w:pPr>
    </w:p>
    <w:p w14:paraId="403935BD"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E759FB" w:rsidRDefault="003D3BC2" w:rsidP="00040C3A">
      <w:pPr>
        <w:tabs>
          <w:tab w:val="center" w:pos="5400"/>
        </w:tabs>
        <w:suppressAutoHyphens/>
        <w:jc w:val="center"/>
        <w:rPr>
          <w:rFonts w:asciiTheme="majorHAnsi" w:hAnsiTheme="majorHAnsi"/>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7AB0137">
                <wp:simplePos x="0" y="0"/>
                <wp:positionH relativeFrom="column">
                  <wp:posOffset>1355271</wp:posOffset>
                </wp:positionH>
                <wp:positionV relativeFrom="paragraph">
                  <wp:posOffset>107859</wp:posOffset>
                </wp:positionV>
                <wp:extent cx="5023758"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23758"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EE20663"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6B78D0">
                              <w:rPr>
                                <w:rFonts w:asciiTheme="majorHAnsi" w:hAnsiTheme="majorHAnsi" w:cs="Arial"/>
                                <w:b/>
                                <w:bCs/>
                                <w:color w:val="0D0D0D" w:themeColor="text1" w:themeTint="F2"/>
                                <w:sz w:val="36"/>
                                <w:szCs w:val="22"/>
                                <w:lang w:val="pt-BR"/>
                              </w:rPr>
                              <w:t>2</w:t>
                            </w:r>
                            <w:r w:rsidR="007B05C4" w:rsidRPr="007665A8">
                              <w:rPr>
                                <w:rFonts w:asciiTheme="majorHAnsi" w:hAnsiTheme="majorHAnsi" w:cs="Arial"/>
                                <w:b/>
                                <w:bCs/>
                                <w:color w:val="0D0D0D" w:themeColor="text1" w:themeTint="F2"/>
                                <w:sz w:val="36"/>
                                <w:szCs w:val="22"/>
                                <w:lang w:val="pt-BR"/>
                              </w:rPr>
                              <w:t>/</w:t>
                            </w:r>
                            <w:r w:rsidR="003B686B">
                              <w:rPr>
                                <w:rFonts w:asciiTheme="majorHAnsi" w:hAnsiTheme="majorHAnsi" w:cs="Arial"/>
                                <w:b/>
                                <w:bCs/>
                                <w:color w:val="0D0D0D" w:themeColor="text1" w:themeTint="F2"/>
                                <w:sz w:val="36"/>
                                <w:szCs w:val="22"/>
                                <w:lang w:val="pt-BR"/>
                              </w:rPr>
                              <w:t>2</w:t>
                            </w:r>
                            <w:r w:rsidR="006B78D0">
                              <w:rPr>
                                <w:rFonts w:asciiTheme="majorHAnsi" w:hAnsiTheme="majorHAnsi" w:cs="Arial"/>
                                <w:b/>
                                <w:bCs/>
                                <w:color w:val="0D0D0D" w:themeColor="text1" w:themeTint="F2"/>
                                <w:sz w:val="36"/>
                                <w:szCs w:val="22"/>
                                <w:lang w:val="pt-BR"/>
                              </w:rPr>
                              <w:t>2</w:t>
                            </w:r>
                          </w:p>
                          <w:p w14:paraId="09C54AB3" w14:textId="7FB106FA"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84230D">
                              <w:rPr>
                                <w:rFonts w:asciiTheme="majorHAnsi" w:hAnsiTheme="majorHAnsi" w:cs="Arial"/>
                                <w:b/>
                                <w:color w:val="0D0D0D" w:themeColor="text1" w:themeTint="F2"/>
                                <w:sz w:val="36"/>
                                <w:szCs w:val="22"/>
                                <w:lang w:val="pt-BR"/>
                              </w:rPr>
                              <w:t>1604</w:t>
                            </w:r>
                            <w:r w:rsidR="00B921FD">
                              <w:rPr>
                                <w:rFonts w:asciiTheme="majorHAnsi" w:hAnsiTheme="majorHAnsi" w:cs="Arial"/>
                                <w:b/>
                                <w:color w:val="0D0D0D" w:themeColor="text1" w:themeTint="F2"/>
                                <w:sz w:val="36"/>
                                <w:szCs w:val="22"/>
                                <w:lang w:val="pt-BR"/>
                              </w:rPr>
                              <w:t>-1</w:t>
                            </w:r>
                            <w:r w:rsidR="00A12802">
                              <w:rPr>
                                <w:rFonts w:asciiTheme="majorHAnsi" w:hAnsiTheme="majorHAnsi" w:cs="Arial"/>
                                <w:b/>
                                <w:color w:val="0D0D0D" w:themeColor="text1" w:themeTint="F2"/>
                                <w:sz w:val="36"/>
                                <w:szCs w:val="22"/>
                                <w:lang w:val="pt-BR"/>
                              </w:rPr>
                              <w:t>3</w:t>
                            </w:r>
                            <w:r w:rsidR="00246D1F" w:rsidRPr="00DA2224">
                              <w:rPr>
                                <w:rFonts w:asciiTheme="majorHAnsi" w:hAnsiTheme="majorHAnsi" w:cs="Arial"/>
                                <w:b/>
                                <w:color w:val="0D0D0D" w:themeColor="text1" w:themeTint="F2"/>
                                <w:sz w:val="36"/>
                                <w:szCs w:val="22"/>
                                <w:lang w:val="pt-BR"/>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1C4AF7CB" w14:textId="2FCE162D" w:rsidR="00B51650" w:rsidRPr="00B51650" w:rsidRDefault="0084230D" w:rsidP="00997BC5">
                            <w:pPr>
                              <w:spacing w:line="276" w:lineRule="auto"/>
                              <w:rPr>
                                <w:rFonts w:asciiTheme="majorHAnsi" w:hAnsiTheme="majorHAnsi" w:cs="Arial"/>
                                <w:color w:val="0D0D0D" w:themeColor="text1" w:themeTint="F2"/>
                                <w:lang w:val="pt-BR"/>
                              </w:rPr>
                            </w:pPr>
                            <w:r>
                              <w:rPr>
                                <w:rFonts w:ascii="Cambria" w:hAnsi="Cambria"/>
                                <w:bCs/>
                                <w:lang w:val="pt-BR"/>
                              </w:rPr>
                              <w:t>MEMBROS DA CARTEIRA DE PREVIDÊNCIA DOS ADVOGADOS DO IPESP</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028018">
              <v:shapetype id="_x0000_t202" coordsize="21600,21600" o:spt="202" path="m,l,21600r21600,l21600,xe" w14:anchorId="5980ED94">
                <v:stroke joinstyle="miter"/>
                <v:path gradientshapeok="t" o:connecttype="rect"/>
              </v:shapetype>
              <v:shape id="Text Box 5" style="position:absolute;left:0;text-align:left;margin-left:106.7pt;margin-top:8.5pt;width:395.5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">
                <v:textbox>
                  <w:txbxContent>
                    <w:p w:rsidRPr="007665A8" w:rsidR="005B52B0" w:rsidP="00997BC5" w:rsidRDefault="00DA2224" w14:paraId="513E4798" w14:textId="0EE20663">
                      <w:pPr>
                        <w:spacing w:line="276" w:lineRule="auto"/>
                        <w:rPr>
                          <w:rFonts w:cs="Arial" w:asciiTheme="majorHAnsi" w:hAnsiTheme="majorHAnsi"/>
                          <w:b/>
                          <w:bCs/>
                          <w:color w:val="0D0D0D" w:themeColor="text1" w:themeTint="F2"/>
                          <w:sz w:val="36"/>
                          <w:szCs w:val="22"/>
                          <w:lang w:val="pt-BR"/>
                        </w:rPr>
                      </w:pPr>
                      <w:r w:rsidRPr="007665A8">
                        <w:rPr>
                          <w:rFonts w:cs="Arial" w:asciiTheme="majorHAnsi" w:hAnsiTheme="majorHAnsi"/>
                          <w:b/>
                          <w:bCs/>
                          <w:color w:val="0D0D0D" w:themeColor="text1" w:themeTint="F2"/>
                          <w:sz w:val="36"/>
                          <w:szCs w:val="22"/>
                          <w:lang w:val="pt-BR"/>
                        </w:rPr>
                        <w:t>RELA</w:t>
                      </w:r>
                      <w:r>
                        <w:rPr>
                          <w:rFonts w:cs="Arial" w:asciiTheme="majorHAnsi" w:hAnsiTheme="majorHAnsi"/>
                          <w:b/>
                          <w:bCs/>
                          <w:color w:val="0D0D0D" w:themeColor="text1" w:themeTint="F2"/>
                          <w:sz w:val="36"/>
                          <w:szCs w:val="22"/>
                          <w:lang w:val="pt-BR"/>
                        </w:rPr>
                        <w:t>TÓRIO</w:t>
                      </w:r>
                      <w:r w:rsidRPr="007665A8" w:rsidR="005B52B0">
                        <w:rPr>
                          <w:rFonts w:cs="Arial" w:asciiTheme="majorHAnsi" w:hAnsiTheme="majorHAnsi"/>
                          <w:b/>
                          <w:bCs/>
                          <w:color w:val="0D0D0D" w:themeColor="text1" w:themeTint="F2"/>
                          <w:sz w:val="36"/>
                          <w:szCs w:val="22"/>
                          <w:lang w:val="pt-BR"/>
                        </w:rPr>
                        <w:t xml:space="preserve"> </w:t>
                      </w:r>
                      <w:r w:rsidRPr="007665A8" w:rsidR="00477592">
                        <w:rPr>
                          <w:rFonts w:cs="Arial" w:asciiTheme="majorHAnsi" w:hAnsiTheme="majorHAnsi"/>
                          <w:b/>
                          <w:bCs/>
                          <w:color w:val="0D0D0D" w:themeColor="text1" w:themeTint="F2"/>
                          <w:sz w:val="36"/>
                          <w:szCs w:val="40"/>
                          <w:lang w:val="pt-BR"/>
                        </w:rPr>
                        <w:t>No.</w:t>
                      </w:r>
                      <w:r w:rsidRPr="007665A8" w:rsidR="007B05C4">
                        <w:rPr>
                          <w:rFonts w:cs="Arial" w:asciiTheme="majorHAnsi" w:hAnsiTheme="majorHAnsi"/>
                          <w:b/>
                          <w:bCs/>
                          <w:color w:val="0D0D0D" w:themeColor="text1" w:themeTint="F2"/>
                          <w:sz w:val="36"/>
                          <w:szCs w:val="22"/>
                          <w:lang w:val="pt-BR"/>
                        </w:rPr>
                        <w:t xml:space="preserve"> </w:t>
                      </w:r>
                      <w:r w:rsidR="006B78D0">
                        <w:rPr>
                          <w:rFonts w:cs="Arial" w:asciiTheme="majorHAnsi" w:hAnsiTheme="majorHAnsi"/>
                          <w:b/>
                          <w:bCs/>
                          <w:color w:val="0D0D0D" w:themeColor="text1" w:themeTint="F2"/>
                          <w:sz w:val="36"/>
                          <w:szCs w:val="22"/>
                          <w:lang w:val="pt-BR"/>
                        </w:rPr>
                        <w:t>2</w:t>
                      </w:r>
                      <w:r w:rsidRPr="007665A8" w:rsidR="007B05C4">
                        <w:rPr>
                          <w:rFonts w:cs="Arial" w:asciiTheme="majorHAnsi" w:hAnsiTheme="majorHAnsi"/>
                          <w:b/>
                          <w:bCs/>
                          <w:color w:val="0D0D0D" w:themeColor="text1" w:themeTint="F2"/>
                          <w:sz w:val="36"/>
                          <w:szCs w:val="22"/>
                          <w:lang w:val="pt-BR"/>
                        </w:rPr>
                        <w:t>/</w:t>
                      </w:r>
                      <w:r w:rsidR="003B686B">
                        <w:rPr>
                          <w:rFonts w:cs="Arial" w:asciiTheme="majorHAnsi" w:hAnsiTheme="majorHAnsi"/>
                          <w:b/>
                          <w:bCs/>
                          <w:color w:val="0D0D0D" w:themeColor="text1" w:themeTint="F2"/>
                          <w:sz w:val="36"/>
                          <w:szCs w:val="22"/>
                          <w:lang w:val="pt-BR"/>
                        </w:rPr>
                        <w:t>2</w:t>
                      </w:r>
                      <w:r w:rsidR="006B78D0">
                        <w:rPr>
                          <w:rFonts w:cs="Arial" w:asciiTheme="majorHAnsi" w:hAnsiTheme="majorHAnsi"/>
                          <w:b/>
                          <w:bCs/>
                          <w:color w:val="0D0D0D" w:themeColor="text1" w:themeTint="F2"/>
                          <w:sz w:val="36"/>
                          <w:szCs w:val="22"/>
                          <w:lang w:val="pt-BR"/>
                        </w:rPr>
                        <w:t>2</w:t>
                      </w:r>
                    </w:p>
                    <w:p w:rsidRPr="00DA2224" w:rsidR="007B05C4" w:rsidP="00997BC5" w:rsidRDefault="00DA2224" w14:paraId="44103C0E" w14:textId="7FB106FA">
                      <w:pPr>
                        <w:spacing w:line="276" w:lineRule="auto"/>
                        <w:rPr>
                          <w:rFonts w:cs="Arial" w:asciiTheme="majorHAnsi" w:hAnsiTheme="majorHAnsi"/>
                          <w:b/>
                          <w:color w:val="0D0D0D" w:themeColor="text1" w:themeTint="F2"/>
                          <w:sz w:val="36"/>
                          <w:szCs w:val="22"/>
                          <w:lang w:val="pt-BR"/>
                        </w:rPr>
                      </w:pPr>
                      <w:r w:rsidRPr="00DA2224">
                        <w:rPr>
                          <w:rFonts w:cs="Arial" w:asciiTheme="majorHAnsi" w:hAnsiTheme="majorHAnsi"/>
                          <w:b/>
                          <w:color w:val="0D0D0D" w:themeColor="text1" w:themeTint="F2"/>
                          <w:sz w:val="36"/>
                          <w:szCs w:val="22"/>
                          <w:lang w:val="pt-BR"/>
                        </w:rPr>
                        <w:t>PETIÇÃO</w:t>
                      </w:r>
                      <w:r w:rsidRPr="00DA2224" w:rsidR="005B52B0">
                        <w:rPr>
                          <w:rFonts w:cs="Arial" w:asciiTheme="majorHAnsi" w:hAnsiTheme="majorHAnsi"/>
                          <w:b/>
                          <w:color w:val="0D0D0D" w:themeColor="text1" w:themeTint="F2"/>
                          <w:sz w:val="36"/>
                          <w:szCs w:val="22"/>
                          <w:lang w:val="pt-BR"/>
                        </w:rPr>
                        <w:t xml:space="preserve"> </w:t>
                      </w:r>
                      <w:r w:rsidR="0084230D">
                        <w:rPr>
                          <w:rFonts w:cs="Arial" w:asciiTheme="majorHAnsi" w:hAnsiTheme="majorHAnsi"/>
                          <w:b/>
                          <w:color w:val="0D0D0D" w:themeColor="text1" w:themeTint="F2"/>
                          <w:sz w:val="36"/>
                          <w:szCs w:val="22"/>
                          <w:lang w:val="pt-BR"/>
                        </w:rPr>
                        <w:t>1604</w:t>
                      </w:r>
                      <w:r w:rsidR="00B921FD">
                        <w:rPr>
                          <w:rFonts w:cs="Arial" w:asciiTheme="majorHAnsi" w:hAnsiTheme="majorHAnsi"/>
                          <w:b/>
                          <w:color w:val="0D0D0D" w:themeColor="text1" w:themeTint="F2"/>
                          <w:sz w:val="36"/>
                          <w:szCs w:val="22"/>
                          <w:lang w:val="pt-BR"/>
                        </w:rPr>
                        <w:t>-1</w:t>
                      </w:r>
                      <w:r w:rsidR="00A12802">
                        <w:rPr>
                          <w:rFonts w:cs="Arial" w:asciiTheme="majorHAnsi" w:hAnsiTheme="majorHAnsi"/>
                          <w:b/>
                          <w:color w:val="0D0D0D" w:themeColor="text1" w:themeTint="F2"/>
                          <w:sz w:val="36"/>
                          <w:szCs w:val="22"/>
                          <w:lang w:val="pt-BR"/>
                        </w:rPr>
                        <w:t>3</w:t>
                      </w:r>
                      <w:r w:rsidRPr="00DA2224" w:rsidR="00246D1F">
                        <w:rPr>
                          <w:rFonts w:cs="Arial" w:asciiTheme="majorHAnsi" w:hAnsiTheme="majorHAnsi"/>
                          <w:b/>
                          <w:color w:val="0D0D0D" w:themeColor="text1" w:themeTint="F2"/>
                          <w:sz w:val="36"/>
                          <w:szCs w:val="22"/>
                          <w:lang w:val="pt-BR"/>
                        </w:rPr>
                        <w:t xml:space="preserve"> </w:t>
                      </w:r>
                    </w:p>
                    <w:p w:rsidRPr="00DA2224" w:rsidR="00CD046C" w:rsidP="00997BC5" w:rsidRDefault="00DA2224" w14:paraId="7ABB8B20" w14:textId="0CEA14F8">
                      <w:pPr>
                        <w:spacing w:line="276" w:lineRule="auto"/>
                        <w:rPr>
                          <w:rFonts w:cs="Arial" w:asciiTheme="majorHAnsi" w:hAnsiTheme="majorHAnsi"/>
                          <w:color w:val="0D0D0D" w:themeColor="text1" w:themeTint="F2"/>
                          <w:szCs w:val="22"/>
                          <w:lang w:val="pt-BR"/>
                        </w:rPr>
                      </w:pPr>
                      <w:r w:rsidRPr="00DA2224">
                        <w:rPr>
                          <w:rFonts w:cs="Arial" w:asciiTheme="majorHAnsi" w:hAnsiTheme="majorHAnsi"/>
                          <w:color w:val="0D0D0D" w:themeColor="text1" w:themeTint="F2"/>
                          <w:szCs w:val="22"/>
                          <w:lang w:val="pt-BR"/>
                        </w:rPr>
                        <w:t>RELATÓRIO</w:t>
                      </w:r>
                      <w:r w:rsidRPr="00DA2224" w:rsidR="005B52B0">
                        <w:rPr>
                          <w:rFonts w:cs="Arial" w:asciiTheme="majorHAnsi" w:hAnsiTheme="majorHAnsi"/>
                          <w:color w:val="0D0D0D" w:themeColor="text1" w:themeTint="F2"/>
                          <w:szCs w:val="22"/>
                          <w:lang w:val="pt-BR"/>
                        </w:rPr>
                        <w:t xml:space="preserve"> DE ADMIS</w:t>
                      </w:r>
                      <w:r w:rsidRPr="00DA2224">
                        <w:rPr>
                          <w:rFonts w:cs="Arial" w:asciiTheme="majorHAnsi" w:hAnsiTheme="majorHAnsi"/>
                          <w:color w:val="0D0D0D" w:themeColor="text1" w:themeTint="F2"/>
                          <w:szCs w:val="22"/>
                          <w:lang w:val="pt-BR"/>
                        </w:rPr>
                        <w:t>S</w:t>
                      </w:r>
                      <w:r w:rsidRPr="00DA2224" w:rsidR="005B52B0">
                        <w:rPr>
                          <w:rFonts w:cs="Arial" w:asciiTheme="majorHAnsi" w:hAnsiTheme="majorHAnsi"/>
                          <w:color w:val="0D0D0D" w:themeColor="text1" w:themeTint="F2"/>
                          <w:szCs w:val="22"/>
                          <w:lang w:val="pt-BR"/>
                        </w:rPr>
                        <w:t>IBILIDAD</w:t>
                      </w:r>
                      <w:r w:rsidRPr="00DA2224">
                        <w:rPr>
                          <w:rFonts w:cs="Arial" w:asciiTheme="majorHAnsi" w:hAnsiTheme="majorHAnsi"/>
                          <w:color w:val="0D0D0D" w:themeColor="text1" w:themeTint="F2"/>
                          <w:szCs w:val="22"/>
                          <w:lang w:val="pt-BR"/>
                        </w:rPr>
                        <w:t>E</w:t>
                      </w:r>
                    </w:p>
                    <w:p w:rsidRPr="00DA2224" w:rsidR="008F1912" w:rsidP="00997BC5" w:rsidRDefault="008F1912" w14:paraId="672A6659" w14:textId="77777777">
                      <w:pPr>
                        <w:spacing w:line="276" w:lineRule="auto"/>
                        <w:rPr>
                          <w:rFonts w:cs="Arial" w:asciiTheme="majorHAnsi" w:hAnsiTheme="majorHAnsi"/>
                          <w:color w:val="0D0D0D" w:themeColor="text1" w:themeTint="F2"/>
                          <w:szCs w:val="22"/>
                          <w:lang w:val="pt-BR"/>
                        </w:rPr>
                      </w:pPr>
                    </w:p>
                    <w:p w:rsidRPr="00B51650" w:rsidR="00B51650" w:rsidP="00997BC5" w:rsidRDefault="0084230D" w14:paraId="0348E52D" w14:textId="2FCE162D">
                      <w:pPr>
                        <w:spacing w:line="276" w:lineRule="auto"/>
                        <w:rPr>
                          <w:rFonts w:cs="Arial" w:asciiTheme="majorHAnsi" w:hAnsiTheme="majorHAnsi"/>
                          <w:color w:val="0D0D0D" w:themeColor="text1" w:themeTint="F2"/>
                          <w:lang w:val="pt-BR"/>
                        </w:rPr>
                      </w:pPr>
                      <w:r>
                        <w:rPr>
                          <w:rFonts w:ascii="Cambria" w:hAnsi="Cambria"/>
                          <w:bCs/>
                          <w:lang w:val="pt-BR"/>
                        </w:rPr>
                        <w:t>MEMBROS DA CARTEIRA DE PREVIDÊNCIA DOS ADVOGADOS DO IPESP</w:t>
                      </w:r>
                    </w:p>
                    <w:p w:rsidRPr="007665A8" w:rsidR="005B52B0" w:rsidP="00997BC5" w:rsidRDefault="006A20E7" w14:paraId="31F4DCC7" w14:textId="0310ED42">
                      <w:pPr>
                        <w:spacing w:line="276" w:lineRule="auto"/>
                        <w:rPr>
                          <w:rFonts w:cs="Arial" w:asciiTheme="majorHAnsi" w:hAnsiTheme="majorHAnsi"/>
                          <w:color w:val="0D0D0D" w:themeColor="text1" w:themeTint="F2"/>
                          <w:szCs w:val="22"/>
                          <w:lang w:val="pt-BR"/>
                        </w:rPr>
                      </w:pPr>
                      <w:r>
                        <w:rPr>
                          <w:rFonts w:cs="Arial" w:asciiTheme="majorHAnsi" w:hAnsiTheme="majorHAnsi"/>
                          <w:color w:val="0D0D0D" w:themeColor="text1" w:themeTint="F2"/>
                          <w:szCs w:val="22"/>
                          <w:lang w:val="pt-BR"/>
                        </w:rPr>
                        <w:t>BRASIL</w:t>
                      </w:r>
                    </w:p>
                    <w:p w:rsidRPr="007665A8" w:rsidR="005B52B0" w:rsidP="007A5817" w:rsidRDefault="005B52B0" w14:paraId="0A37501D" w14:textId="77777777">
                      <w:pPr>
                        <w:rPr>
                          <w:color w:val="0D0D0D" w:themeColor="text1" w:themeTint="F2"/>
                          <w:lang w:val="pt-BR"/>
                        </w:rPr>
                      </w:pPr>
                    </w:p>
                  </w:txbxContent>
                </v:textbox>
              </v:shape>
            </w:pict>
          </mc:Fallback>
        </mc:AlternateContent>
      </w:r>
      <w:r w:rsidR="004E2649" w:rsidRPr="00E759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11C8AD"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0FD132F0"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6B78D0">
                              <w:rPr>
                                <w:rFonts w:asciiTheme="minorHAnsi" w:hAnsiTheme="minorHAnsi"/>
                                <w:sz w:val="22"/>
                                <w:lang w:val="pt-BR"/>
                              </w:rPr>
                              <w:t>3</w:t>
                            </w:r>
                          </w:p>
                          <w:p w14:paraId="69373ED2" w14:textId="777DF690" w:rsidR="00627C9F" w:rsidRPr="0028514E" w:rsidRDefault="00FF2A62" w:rsidP="007A5817">
                            <w:pPr>
                              <w:spacing w:line="276" w:lineRule="auto"/>
                              <w:jc w:val="right"/>
                              <w:rPr>
                                <w:rFonts w:asciiTheme="minorHAnsi" w:hAnsiTheme="minorHAnsi"/>
                                <w:sz w:val="22"/>
                                <w:lang w:val="pt-BR"/>
                              </w:rPr>
                            </w:pPr>
                            <w:r w:rsidRPr="0028514E">
                              <w:rPr>
                                <w:rFonts w:asciiTheme="minorHAnsi" w:hAnsiTheme="minorHAnsi"/>
                                <w:sz w:val="22"/>
                                <w:lang w:val="pt-BR"/>
                              </w:rPr>
                              <w:t>9 fevereiro</w:t>
                            </w:r>
                            <w:r w:rsidR="00627C9F" w:rsidRPr="0028514E">
                              <w:rPr>
                                <w:rFonts w:asciiTheme="minorHAnsi" w:hAnsiTheme="minorHAnsi"/>
                                <w:sz w:val="22"/>
                                <w:lang w:val="pt-BR"/>
                              </w:rPr>
                              <w:t xml:space="preserve"> 20</w:t>
                            </w:r>
                            <w:r w:rsidR="003B686B" w:rsidRPr="0028514E">
                              <w:rPr>
                                <w:rFonts w:asciiTheme="minorHAnsi" w:hAnsiTheme="minorHAnsi"/>
                                <w:sz w:val="22"/>
                                <w:lang w:val="pt-BR"/>
                              </w:rPr>
                              <w:t>2</w:t>
                            </w:r>
                            <w:r w:rsidRPr="0028514E">
                              <w:rPr>
                                <w:rFonts w:asciiTheme="minorHAnsi" w:hAnsiTheme="minorHAnsi"/>
                                <w:sz w:val="22"/>
                                <w:lang w:val="pt-BR"/>
                              </w:rPr>
                              <w:t>2</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proofErr w:type="spellStart"/>
                            <w:r w:rsidR="00DA2224" w:rsidRPr="00B445AC">
                              <w:rPr>
                                <w:rFonts w:asciiTheme="minorHAnsi" w:hAnsiTheme="minorHAnsi"/>
                                <w:sz w:val="22"/>
                                <w:lang w:val="es-AR"/>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B11C8AD"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0FD132F0"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6B78D0">
                        <w:rPr>
                          <w:rFonts w:asciiTheme="minorHAnsi" w:hAnsiTheme="minorHAnsi"/>
                          <w:sz w:val="22"/>
                          <w:lang w:val="pt-BR"/>
                        </w:rPr>
                        <w:t>3</w:t>
                      </w:r>
                    </w:p>
                    <w:p w14:paraId="69373ED2" w14:textId="777DF690" w:rsidR="00627C9F" w:rsidRPr="0028514E" w:rsidRDefault="00FF2A62" w:rsidP="007A5817">
                      <w:pPr>
                        <w:spacing w:line="276" w:lineRule="auto"/>
                        <w:jc w:val="right"/>
                        <w:rPr>
                          <w:rFonts w:asciiTheme="minorHAnsi" w:hAnsiTheme="minorHAnsi"/>
                          <w:sz w:val="22"/>
                          <w:lang w:val="pt-BR"/>
                        </w:rPr>
                      </w:pPr>
                      <w:r w:rsidRPr="0028514E">
                        <w:rPr>
                          <w:rFonts w:asciiTheme="minorHAnsi" w:hAnsiTheme="minorHAnsi"/>
                          <w:sz w:val="22"/>
                          <w:lang w:val="pt-BR"/>
                        </w:rPr>
                        <w:t>9 fevereiro</w:t>
                      </w:r>
                      <w:r w:rsidR="00627C9F" w:rsidRPr="0028514E">
                        <w:rPr>
                          <w:rFonts w:asciiTheme="minorHAnsi" w:hAnsiTheme="minorHAnsi"/>
                          <w:sz w:val="22"/>
                          <w:lang w:val="pt-BR"/>
                        </w:rPr>
                        <w:t xml:space="preserve"> 20</w:t>
                      </w:r>
                      <w:r w:rsidR="003B686B" w:rsidRPr="0028514E">
                        <w:rPr>
                          <w:rFonts w:asciiTheme="minorHAnsi" w:hAnsiTheme="minorHAnsi"/>
                          <w:sz w:val="22"/>
                          <w:lang w:val="pt-BR"/>
                        </w:rPr>
                        <w:t>2</w:t>
                      </w:r>
                      <w:r w:rsidRPr="0028514E">
                        <w:rPr>
                          <w:rFonts w:asciiTheme="minorHAnsi" w:hAnsiTheme="minorHAnsi"/>
                          <w:sz w:val="22"/>
                          <w:lang w:val="pt-BR"/>
                        </w:rPr>
                        <w:t>2</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v:textbox>
              </v:shape>
            </w:pict>
          </mc:Fallback>
        </mc:AlternateContent>
      </w:r>
    </w:p>
    <w:p w14:paraId="155B053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E759FB"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3E72F7D"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F2A62">
                              <w:rPr>
                                <w:rFonts w:asciiTheme="majorHAnsi" w:hAnsiTheme="majorHAnsi"/>
                                <w:color w:val="0D0D0D" w:themeColor="text1" w:themeTint="F2"/>
                                <w:sz w:val="18"/>
                                <w:szCs w:val="22"/>
                                <w:lang w:val="pt-BR"/>
                              </w:rPr>
                              <w:t>9</w:t>
                            </w:r>
                            <w:r w:rsidR="00DD3D86" w:rsidRPr="0038709A">
                              <w:rPr>
                                <w:rFonts w:asciiTheme="majorHAnsi" w:hAnsiTheme="majorHAnsi"/>
                                <w:color w:val="0D0D0D" w:themeColor="text1" w:themeTint="F2"/>
                                <w:sz w:val="18"/>
                                <w:szCs w:val="22"/>
                                <w:lang w:val="pt-BR"/>
                              </w:rPr>
                              <w:t xml:space="preserve"> de </w:t>
                            </w:r>
                            <w:r w:rsidR="00FF2A62">
                              <w:rPr>
                                <w:rFonts w:asciiTheme="majorHAnsi" w:hAnsiTheme="majorHAnsi"/>
                                <w:color w:val="0D0D0D" w:themeColor="text1" w:themeTint="F2"/>
                                <w:sz w:val="18"/>
                                <w:szCs w:val="22"/>
                                <w:lang w:val="pt-BR"/>
                              </w:rPr>
                              <w:t>fevereiro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2763A8">
                              <w:rPr>
                                <w:rFonts w:asciiTheme="majorHAnsi" w:hAnsiTheme="majorHAnsi"/>
                                <w:color w:val="0D0D0D" w:themeColor="text1" w:themeTint="F2"/>
                                <w:sz w:val="18"/>
                                <w:szCs w:val="22"/>
                                <w:lang w:val="pt-BR"/>
                              </w:rPr>
                              <w:t>2</w:t>
                            </w:r>
                            <w:r w:rsidR="00FF2A62">
                              <w:rPr>
                                <w:rFonts w:asciiTheme="majorHAnsi" w:hAnsiTheme="majorHAnsi"/>
                                <w:color w:val="0D0D0D" w:themeColor="text1" w:themeTint="F2"/>
                                <w:sz w:val="18"/>
                                <w:szCs w:val="22"/>
                                <w:lang w:val="pt-BR"/>
                              </w:rPr>
                              <w:t>2</w:t>
                            </w:r>
                            <w:r w:rsidR="009F7EC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3E72F7D"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F2A62">
                        <w:rPr>
                          <w:rFonts w:asciiTheme="majorHAnsi" w:hAnsiTheme="majorHAnsi"/>
                          <w:color w:val="0D0D0D" w:themeColor="text1" w:themeTint="F2"/>
                          <w:sz w:val="18"/>
                          <w:szCs w:val="22"/>
                          <w:lang w:val="pt-BR"/>
                        </w:rPr>
                        <w:t>9</w:t>
                      </w:r>
                      <w:r w:rsidR="00DD3D86" w:rsidRPr="0038709A">
                        <w:rPr>
                          <w:rFonts w:asciiTheme="majorHAnsi" w:hAnsiTheme="majorHAnsi"/>
                          <w:color w:val="0D0D0D" w:themeColor="text1" w:themeTint="F2"/>
                          <w:sz w:val="18"/>
                          <w:szCs w:val="22"/>
                          <w:lang w:val="pt-BR"/>
                        </w:rPr>
                        <w:t xml:space="preserve"> de </w:t>
                      </w:r>
                      <w:r w:rsidR="00FF2A62">
                        <w:rPr>
                          <w:rFonts w:asciiTheme="majorHAnsi" w:hAnsiTheme="majorHAnsi"/>
                          <w:color w:val="0D0D0D" w:themeColor="text1" w:themeTint="F2"/>
                          <w:sz w:val="18"/>
                          <w:szCs w:val="22"/>
                          <w:lang w:val="pt-BR"/>
                        </w:rPr>
                        <w:t>fevereiro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2763A8">
                        <w:rPr>
                          <w:rFonts w:asciiTheme="majorHAnsi" w:hAnsiTheme="majorHAnsi"/>
                          <w:color w:val="0D0D0D" w:themeColor="text1" w:themeTint="F2"/>
                          <w:sz w:val="18"/>
                          <w:szCs w:val="22"/>
                          <w:lang w:val="pt-BR"/>
                        </w:rPr>
                        <w:t>2</w:t>
                      </w:r>
                      <w:r w:rsidR="00FF2A62">
                        <w:rPr>
                          <w:rFonts w:asciiTheme="majorHAnsi" w:hAnsiTheme="majorHAnsi"/>
                          <w:color w:val="0D0D0D" w:themeColor="text1" w:themeTint="F2"/>
                          <w:sz w:val="18"/>
                          <w:szCs w:val="22"/>
                          <w:lang w:val="pt-BR"/>
                        </w:rPr>
                        <w:t>2</w:t>
                      </w:r>
                      <w:r w:rsidR="009F7EC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2ACFE2B"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F2A62">
                              <w:rPr>
                                <w:rFonts w:asciiTheme="majorHAnsi" w:hAnsiTheme="majorHAnsi"/>
                                <w:color w:val="595959" w:themeColor="text1" w:themeTint="A6"/>
                                <w:sz w:val="18"/>
                                <w:szCs w:val="18"/>
                                <w:lang w:val="pt-BR"/>
                              </w:rPr>
                              <w:t>2</w:t>
                            </w:r>
                            <w:r w:rsidR="0038709A" w:rsidRPr="0038709A">
                              <w:rPr>
                                <w:rFonts w:asciiTheme="majorHAnsi" w:hAnsiTheme="majorHAnsi"/>
                                <w:color w:val="595959" w:themeColor="text1" w:themeTint="A6"/>
                                <w:sz w:val="18"/>
                                <w:szCs w:val="18"/>
                                <w:lang w:val="pt-BR"/>
                              </w:rPr>
                              <w:t>/</w:t>
                            </w:r>
                            <w:r w:rsidR="00FF2A62">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4679A">
                              <w:rPr>
                                <w:rFonts w:asciiTheme="majorHAnsi" w:hAnsiTheme="majorHAnsi"/>
                                <w:color w:val="595959" w:themeColor="text1" w:themeTint="A6"/>
                                <w:sz w:val="18"/>
                                <w:szCs w:val="18"/>
                                <w:lang w:val="pt-BR"/>
                              </w:rPr>
                              <w:t>1604</w:t>
                            </w:r>
                            <w:r w:rsidR="00B51650">
                              <w:rPr>
                                <w:rFonts w:asciiTheme="majorHAnsi" w:hAnsiTheme="majorHAnsi"/>
                                <w:color w:val="595959" w:themeColor="text1" w:themeTint="A6"/>
                                <w:sz w:val="18"/>
                                <w:szCs w:val="18"/>
                                <w:lang w:val="pt-BR"/>
                              </w:rPr>
                              <w:t>-1</w:t>
                            </w:r>
                            <w:r w:rsidR="00A4679A">
                              <w:rPr>
                                <w:rFonts w:asciiTheme="majorHAnsi" w:hAnsiTheme="majorHAnsi"/>
                                <w:color w:val="595959" w:themeColor="text1" w:themeTint="A6"/>
                                <w:sz w:val="18"/>
                                <w:szCs w:val="18"/>
                                <w:lang w:val="pt-BR"/>
                              </w:rPr>
                              <w:t>3</w:t>
                            </w:r>
                            <w:r w:rsidR="00B51650">
                              <w:rPr>
                                <w:rFonts w:asciiTheme="majorHAnsi" w:hAnsiTheme="majorHAnsi"/>
                                <w:color w:val="595959" w:themeColor="text1" w:themeTint="A6"/>
                                <w:sz w:val="18"/>
                                <w:szCs w:val="18"/>
                                <w:lang w:val="pt-BR"/>
                              </w:rPr>
                              <w:t>.</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 xml:space="preserve">. </w:t>
                            </w:r>
                            <w:r w:rsidR="006871E7" w:rsidRPr="006871E7">
                              <w:rPr>
                                <w:rFonts w:asciiTheme="majorHAnsi" w:hAnsiTheme="majorHAnsi"/>
                                <w:color w:val="595959" w:themeColor="text1" w:themeTint="A6"/>
                                <w:sz w:val="18"/>
                                <w:szCs w:val="18"/>
                                <w:lang w:val="pt-BR"/>
                              </w:rPr>
                              <w:t>Membros da Carteira de Previdência dos Advogados do IPESP</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6871E7">
                              <w:rPr>
                                <w:rFonts w:asciiTheme="majorHAnsi" w:hAnsiTheme="majorHAnsi"/>
                                <w:color w:val="595959" w:themeColor="text1" w:themeTint="A6"/>
                                <w:sz w:val="18"/>
                                <w:szCs w:val="18"/>
                                <w:lang w:val="pt-BR"/>
                              </w:rPr>
                              <w:t>9 de fevereiro de 2022</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2ACFE2B"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F2A62">
                        <w:rPr>
                          <w:rFonts w:asciiTheme="majorHAnsi" w:hAnsiTheme="majorHAnsi"/>
                          <w:color w:val="595959" w:themeColor="text1" w:themeTint="A6"/>
                          <w:sz w:val="18"/>
                          <w:szCs w:val="18"/>
                          <w:lang w:val="pt-BR"/>
                        </w:rPr>
                        <w:t>2</w:t>
                      </w:r>
                      <w:r w:rsidR="0038709A" w:rsidRPr="0038709A">
                        <w:rPr>
                          <w:rFonts w:asciiTheme="majorHAnsi" w:hAnsiTheme="majorHAnsi"/>
                          <w:color w:val="595959" w:themeColor="text1" w:themeTint="A6"/>
                          <w:sz w:val="18"/>
                          <w:szCs w:val="18"/>
                          <w:lang w:val="pt-BR"/>
                        </w:rPr>
                        <w:t>/</w:t>
                      </w:r>
                      <w:r w:rsidR="00FF2A62">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4679A">
                        <w:rPr>
                          <w:rFonts w:asciiTheme="majorHAnsi" w:hAnsiTheme="majorHAnsi"/>
                          <w:color w:val="595959" w:themeColor="text1" w:themeTint="A6"/>
                          <w:sz w:val="18"/>
                          <w:szCs w:val="18"/>
                          <w:lang w:val="pt-BR"/>
                        </w:rPr>
                        <w:t>1604</w:t>
                      </w:r>
                      <w:r w:rsidR="00B51650">
                        <w:rPr>
                          <w:rFonts w:asciiTheme="majorHAnsi" w:hAnsiTheme="majorHAnsi"/>
                          <w:color w:val="595959" w:themeColor="text1" w:themeTint="A6"/>
                          <w:sz w:val="18"/>
                          <w:szCs w:val="18"/>
                          <w:lang w:val="pt-BR"/>
                        </w:rPr>
                        <w:t>-1</w:t>
                      </w:r>
                      <w:r w:rsidR="00A4679A">
                        <w:rPr>
                          <w:rFonts w:asciiTheme="majorHAnsi" w:hAnsiTheme="majorHAnsi"/>
                          <w:color w:val="595959" w:themeColor="text1" w:themeTint="A6"/>
                          <w:sz w:val="18"/>
                          <w:szCs w:val="18"/>
                          <w:lang w:val="pt-BR"/>
                        </w:rPr>
                        <w:t>3</w:t>
                      </w:r>
                      <w:r w:rsidR="00B51650">
                        <w:rPr>
                          <w:rFonts w:asciiTheme="majorHAnsi" w:hAnsiTheme="majorHAnsi"/>
                          <w:color w:val="595959" w:themeColor="text1" w:themeTint="A6"/>
                          <w:sz w:val="18"/>
                          <w:szCs w:val="18"/>
                          <w:lang w:val="pt-BR"/>
                        </w:rPr>
                        <w:t>.</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 xml:space="preserve">. </w:t>
                      </w:r>
                      <w:r w:rsidR="006871E7" w:rsidRPr="006871E7">
                        <w:rPr>
                          <w:rFonts w:asciiTheme="majorHAnsi" w:hAnsiTheme="majorHAnsi"/>
                          <w:color w:val="595959" w:themeColor="text1" w:themeTint="A6"/>
                          <w:sz w:val="18"/>
                          <w:szCs w:val="18"/>
                          <w:lang w:val="pt-BR"/>
                        </w:rPr>
                        <w:t>Membros da Carteira de Previdência dos Advogados do IPESP</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6871E7">
                        <w:rPr>
                          <w:rFonts w:asciiTheme="majorHAnsi" w:hAnsiTheme="majorHAnsi"/>
                          <w:color w:val="595959" w:themeColor="text1" w:themeTint="A6"/>
                          <w:sz w:val="18"/>
                          <w:szCs w:val="18"/>
                          <w:lang w:val="pt-BR"/>
                        </w:rPr>
                        <w:t>9 de fevereiro de 2022</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DA07629" w14:textId="628F0BC5" w:rsidR="0090270B" w:rsidRPr="00E759FB" w:rsidRDefault="00D306D1" w:rsidP="005516A1">
      <w:pPr>
        <w:tabs>
          <w:tab w:val="center" w:pos="5400"/>
        </w:tabs>
        <w:suppressAutoHyphens/>
        <w:jc w:val="center"/>
        <w:rPr>
          <w:rFonts w:asciiTheme="majorHAnsi" w:hAnsiTheme="majorHAnsi"/>
          <w:b/>
          <w:sz w:val="20"/>
          <w:lang w:val="pt-BR"/>
        </w:rPr>
      </w:pPr>
      <w:r w:rsidRPr="00E759F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A595BC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A9EBAF">
              <v:shape id="Text Box 4"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02EDA5EE">
                <v:textbox>
                  <w:txbxContent>
                    <w:p w:rsidRPr="00A75CC3" w:rsidR="00D306D1" w:rsidP="00D306D1" w:rsidRDefault="00D306D1" w14:paraId="16B1486B" w14:textId="77777777">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24C37B2E" w:rsidR="0070697F" w:rsidRPr="00E759FB" w:rsidRDefault="00FF2A62" w:rsidP="005516A1">
      <w:pPr>
        <w:tabs>
          <w:tab w:val="center" w:pos="5400"/>
        </w:tabs>
        <w:suppressAutoHyphens/>
        <w:jc w:val="center"/>
        <w:rPr>
          <w:rFonts w:asciiTheme="majorHAnsi" w:hAnsiTheme="majorHAnsi"/>
          <w:b/>
          <w:sz w:val="20"/>
          <w:lang w:val="pt-BR"/>
        </w:rPr>
        <w:sectPr w:rsidR="0070697F" w:rsidRPr="00E759F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E759F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1602ACA">
                <wp:simplePos x="0" y="0"/>
                <wp:positionH relativeFrom="column">
                  <wp:posOffset>1329690</wp:posOffset>
                </wp:positionH>
                <wp:positionV relativeFrom="paragraph">
                  <wp:posOffset>577578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CC8C42D">
                                  <wp:extent cx="1809536" cy="495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31023" cy="5011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42929C">
              <v:shape id="Text Box 9" style="position:absolute;left:0;text-align:left;margin-left:104.7pt;margin-top: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H8Rqq+EA&#10;AAAKAQAADwAAAAAAAAAAAAAAAADUBAAAZHJzL2Rvd25yZXYueG1sUEsFBgAAAAAEAAQA8wAAAOIF&#10;AAAAAA==&#10;" w14:anchorId="50472543">
                <v:textbox>
                  <w:txbxContent>
                    <w:p w:rsidRPr="00D72DC6" w:rsidR="00D72DC6" w:rsidP="00F02AD1" w:rsidRDefault="00D72DC6" w14:paraId="6A05A809" w14:textId="77777777">
                      <w:pPr>
                        <w:rPr>
                          <w:color w:val="FFFFFF" w:themeColor="background1"/>
                          <w14:textFill>
                            <w14:noFill/>
                          </w14:textFill>
                        </w:rPr>
                      </w:pPr>
                      <w:r w:rsidRPr="00D72DC6">
                        <w:rPr>
                          <w:noProof/>
                          <w:color w:val="FFFFFF" w:themeColor="background1"/>
                          <w14:textFill>
                            <w14:noFill/>
                          </w14:textFill>
                        </w:rPr>
                        <w:drawing>
                          <wp:inline distT="0" distB="0" distL="0" distR="0" wp14:anchorId="7AB95DDF" wp14:editId="1CC8C42D">
                            <wp:extent cx="1809536" cy="495300"/>
                            <wp:effectExtent l="0" t="0" r="635" b="0"/>
                            <wp:docPr id="2901806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31023" cy="501181"/>
                                    </a:xfrm>
                                    <a:prstGeom prst="rect">
                                      <a:avLst/>
                                    </a:prstGeom>
                                    <a:noFill/>
                                    <a:ln>
                                      <a:noFill/>
                                    </a:ln>
                                  </pic:spPr>
                                </pic:pic>
                              </a:graphicData>
                            </a:graphic>
                          </wp:inline>
                        </w:drawing>
                      </w:r>
                    </w:p>
                  </w:txbxContent>
                </v:textbox>
              </v:shape>
            </w:pict>
          </mc:Fallback>
        </mc:AlternateContent>
      </w:r>
      <w:r w:rsidR="004A6A54" w:rsidRPr="00E759FB">
        <w:rPr>
          <w:rFonts w:asciiTheme="majorHAnsi" w:hAnsiTheme="majorHAnsi"/>
          <w:b/>
          <w:sz w:val="20"/>
          <w:lang w:val="pt-BR"/>
        </w:rPr>
        <w:tab/>
      </w:r>
    </w:p>
    <w:p w14:paraId="376DDC8B" w14:textId="1B8154B1" w:rsidR="003239B8" w:rsidRPr="00E759FB" w:rsidRDefault="00A37F2E" w:rsidP="004A6A54">
      <w:pPr>
        <w:spacing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lastRenderedPageBreak/>
        <w:t>I.</w:t>
      </w:r>
      <w:r w:rsidRPr="00E759FB">
        <w:rPr>
          <w:rFonts w:asciiTheme="majorHAnsi" w:hAnsiTheme="majorHAnsi"/>
          <w:b/>
          <w:bCs/>
          <w:sz w:val="20"/>
          <w:szCs w:val="20"/>
          <w:lang w:val="pt-BR"/>
        </w:rPr>
        <w:tab/>
        <w:t>DAD</w:t>
      </w:r>
      <w:r w:rsidR="003239B8" w:rsidRPr="00E759FB">
        <w:rPr>
          <w:rFonts w:asciiTheme="majorHAnsi" w:hAnsiTheme="majorHAnsi"/>
          <w:b/>
          <w:bCs/>
          <w:sz w:val="20"/>
          <w:szCs w:val="20"/>
          <w:lang w:val="pt-BR"/>
        </w:rPr>
        <w:t xml:space="preserve">OS </w:t>
      </w:r>
      <w:r w:rsidRPr="00E759FB">
        <w:rPr>
          <w:rFonts w:asciiTheme="majorHAnsi" w:hAnsiTheme="majorHAnsi"/>
          <w:b/>
          <w:bCs/>
          <w:sz w:val="20"/>
          <w:szCs w:val="20"/>
          <w:lang w:val="pt-BR"/>
        </w:rPr>
        <w:t>DA PETIÇÃO</w:t>
      </w:r>
      <w:r w:rsidR="003239B8" w:rsidRPr="00E759FB">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02779"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Parte peticioná</w:t>
            </w:r>
            <w:r w:rsidR="003239B8" w:rsidRPr="00E759FB">
              <w:rPr>
                <w:rFonts w:asciiTheme="majorHAnsi" w:hAnsiTheme="majorHAnsi"/>
                <w:b/>
                <w:bCs/>
                <w:sz w:val="20"/>
                <w:szCs w:val="20"/>
                <w:lang w:val="pt-BR"/>
              </w:rPr>
              <w:t>ria:</w:t>
            </w:r>
          </w:p>
        </w:tc>
        <w:tc>
          <w:tcPr>
            <w:tcW w:w="5760" w:type="dxa"/>
            <w:vAlign w:val="center"/>
          </w:tcPr>
          <w:p w14:paraId="3C5315D8" w14:textId="427FE892" w:rsidR="003239B8" w:rsidRPr="00E759FB" w:rsidRDefault="00C54ACB" w:rsidP="008D2290">
            <w:pPr>
              <w:jc w:val="both"/>
              <w:rPr>
                <w:rFonts w:asciiTheme="majorHAnsi" w:hAnsiTheme="majorHAnsi"/>
                <w:bCs/>
                <w:sz w:val="20"/>
                <w:szCs w:val="20"/>
                <w:lang w:val="pt-BR"/>
              </w:rPr>
            </w:pPr>
            <w:r>
              <w:rPr>
                <w:rFonts w:asciiTheme="majorHAnsi" w:hAnsiTheme="majorHAnsi"/>
                <w:bCs/>
                <w:sz w:val="20"/>
                <w:szCs w:val="20"/>
                <w:lang w:val="pt-BR"/>
              </w:rPr>
              <w:t>Federação das Associações dos Advogados do Estado de São Paulo</w:t>
            </w:r>
            <w:r w:rsidR="007C273E">
              <w:rPr>
                <w:rFonts w:asciiTheme="majorHAnsi" w:hAnsiTheme="majorHAnsi"/>
                <w:bCs/>
                <w:sz w:val="20"/>
                <w:szCs w:val="20"/>
                <w:lang w:val="pt-BR"/>
              </w:rPr>
              <w:t xml:space="preserve"> (FADESP)</w:t>
            </w:r>
            <w:r>
              <w:rPr>
                <w:rFonts w:asciiTheme="majorHAnsi" w:hAnsiTheme="majorHAnsi"/>
                <w:bCs/>
                <w:sz w:val="20"/>
                <w:szCs w:val="20"/>
                <w:lang w:val="pt-BR"/>
              </w:rPr>
              <w:t>, Carlos Giannazi,</w:t>
            </w:r>
            <w:r w:rsidR="00DD774C">
              <w:rPr>
                <w:rFonts w:asciiTheme="majorHAnsi" w:hAnsiTheme="majorHAnsi"/>
                <w:bCs/>
                <w:sz w:val="20"/>
                <w:szCs w:val="20"/>
                <w:lang w:val="pt-BR"/>
              </w:rPr>
              <w:t xml:space="preserve"> Débora Guimarães Barbosa, Edson de Almeida Freire, </w:t>
            </w:r>
            <w:r>
              <w:rPr>
                <w:rFonts w:asciiTheme="majorHAnsi" w:hAnsiTheme="majorHAnsi"/>
                <w:bCs/>
                <w:sz w:val="20"/>
                <w:szCs w:val="20"/>
                <w:lang w:val="pt-BR"/>
              </w:rPr>
              <w:t xml:space="preserve">Floriano Monteiro de Araújo, Maria das Graças Pereira Rolim, </w:t>
            </w:r>
            <w:r w:rsidR="0084230D">
              <w:rPr>
                <w:rFonts w:asciiTheme="majorHAnsi" w:hAnsiTheme="majorHAnsi"/>
                <w:bCs/>
                <w:sz w:val="20"/>
                <w:szCs w:val="20"/>
                <w:lang w:val="pt-BR"/>
              </w:rPr>
              <w:t xml:space="preserve">Mauricio de Campos Canto, </w:t>
            </w:r>
            <w:r>
              <w:rPr>
                <w:rFonts w:asciiTheme="majorHAnsi" w:hAnsiTheme="majorHAnsi"/>
                <w:bCs/>
                <w:sz w:val="20"/>
                <w:szCs w:val="20"/>
                <w:lang w:val="pt-BR"/>
              </w:rPr>
              <w:t>Virginia Braga Candido</w:t>
            </w:r>
            <w:r w:rsidR="00D6780C">
              <w:rPr>
                <w:rStyle w:val="FootnoteReference"/>
                <w:rFonts w:asciiTheme="majorHAnsi" w:hAnsiTheme="majorHAnsi"/>
                <w:bCs/>
                <w:sz w:val="20"/>
                <w:szCs w:val="20"/>
                <w:lang w:val="pt-BR"/>
              </w:rPr>
              <w:footnoteReference w:id="2"/>
            </w:r>
            <w:r w:rsidR="00B632E1" w:rsidRPr="00B632E1">
              <w:rPr>
                <w:rFonts w:asciiTheme="majorHAnsi" w:hAnsiTheme="majorHAnsi"/>
                <w:bCs/>
                <w:sz w:val="20"/>
                <w:szCs w:val="20"/>
                <w:vertAlign w:val="superscript"/>
                <w:lang w:val="pt-BR"/>
              </w:rPr>
              <w:t>-</w:t>
            </w:r>
            <w:r w:rsidR="00B632E1">
              <w:rPr>
                <w:rStyle w:val="FootnoteReference"/>
                <w:rFonts w:asciiTheme="majorHAnsi" w:hAnsiTheme="majorHAnsi"/>
                <w:bCs/>
                <w:sz w:val="20"/>
                <w:szCs w:val="20"/>
                <w:lang w:val="pt-BR"/>
              </w:rPr>
              <w:footnoteReference w:id="3"/>
            </w:r>
          </w:p>
        </w:tc>
      </w:tr>
      <w:tr w:rsidR="003239B8" w:rsidRPr="00602779"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Suposta vítima</w:t>
            </w:r>
            <w:r w:rsidR="003239B8" w:rsidRPr="00E759FB">
              <w:rPr>
                <w:rFonts w:asciiTheme="majorHAnsi" w:hAnsiTheme="majorHAnsi"/>
                <w:b/>
                <w:bCs/>
                <w:sz w:val="20"/>
                <w:szCs w:val="20"/>
                <w:lang w:val="pt-BR"/>
              </w:rPr>
              <w:t>:</w:t>
            </w:r>
          </w:p>
        </w:tc>
        <w:tc>
          <w:tcPr>
            <w:tcW w:w="5760" w:type="dxa"/>
            <w:vAlign w:val="center"/>
          </w:tcPr>
          <w:p w14:paraId="4AEBF59E" w14:textId="2A32BE8F" w:rsidR="007C273E" w:rsidRPr="00E759FB" w:rsidRDefault="007C273E" w:rsidP="007C273E">
            <w:pPr>
              <w:jc w:val="both"/>
              <w:rPr>
                <w:rFonts w:asciiTheme="majorHAnsi" w:hAnsiTheme="majorHAnsi"/>
                <w:bCs/>
                <w:sz w:val="20"/>
                <w:szCs w:val="20"/>
                <w:lang w:val="pt-BR"/>
              </w:rPr>
            </w:pPr>
            <w:r>
              <w:rPr>
                <w:rFonts w:asciiTheme="majorHAnsi" w:hAnsiTheme="majorHAnsi"/>
                <w:bCs/>
                <w:sz w:val="20"/>
                <w:szCs w:val="20"/>
                <w:lang w:val="pt-BR"/>
              </w:rPr>
              <w:t>Membros da Carteira de Previdência dos Advogados do IPESP</w:t>
            </w:r>
          </w:p>
        </w:tc>
      </w:tr>
      <w:tr w:rsidR="003239B8" w:rsidRPr="00E759FB"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E759FB" w:rsidRDefault="003239B8"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Estado denunciado:</w:t>
            </w:r>
          </w:p>
        </w:tc>
        <w:tc>
          <w:tcPr>
            <w:tcW w:w="5760" w:type="dxa"/>
            <w:vAlign w:val="center"/>
          </w:tcPr>
          <w:p w14:paraId="274C8A50" w14:textId="7CEE66AC" w:rsidR="003239B8" w:rsidRPr="00E759FB" w:rsidRDefault="006A20E7" w:rsidP="008D2290">
            <w:pPr>
              <w:jc w:val="both"/>
              <w:rPr>
                <w:rFonts w:asciiTheme="majorHAnsi" w:hAnsiTheme="majorHAnsi"/>
                <w:bCs/>
                <w:sz w:val="20"/>
                <w:szCs w:val="20"/>
                <w:lang w:val="pt-BR"/>
              </w:rPr>
            </w:pPr>
            <w:r w:rsidRPr="00E759FB">
              <w:rPr>
                <w:rFonts w:asciiTheme="majorHAnsi" w:hAnsiTheme="majorHAnsi"/>
                <w:bCs/>
                <w:sz w:val="20"/>
                <w:szCs w:val="20"/>
                <w:lang w:val="pt-BR"/>
              </w:rPr>
              <w:t>Brasil</w:t>
            </w:r>
          </w:p>
        </w:tc>
      </w:tr>
      <w:tr w:rsidR="00223A29" w:rsidRPr="00602779"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E759FB" w:rsidRDefault="001B3A00" w:rsidP="007665A8">
            <w:pPr>
              <w:jc w:val="center"/>
              <w:rPr>
                <w:rFonts w:asciiTheme="majorHAnsi" w:hAnsiTheme="majorHAnsi"/>
                <w:b/>
                <w:bCs/>
                <w:sz w:val="20"/>
                <w:szCs w:val="20"/>
                <w:lang w:val="pt-BR"/>
              </w:rPr>
            </w:pPr>
            <w:r w:rsidRPr="00E759FB">
              <w:rPr>
                <w:rFonts w:asciiTheme="majorHAnsi" w:hAnsiTheme="majorHAnsi"/>
                <w:b/>
                <w:bCs/>
                <w:sz w:val="20"/>
                <w:szCs w:val="20"/>
                <w:lang w:val="pt-BR"/>
              </w:rPr>
              <w:t>D</w:t>
            </w:r>
            <w:r w:rsidR="00A37F2E" w:rsidRPr="00E759FB">
              <w:rPr>
                <w:rFonts w:asciiTheme="majorHAnsi" w:hAnsiTheme="majorHAnsi"/>
                <w:b/>
                <w:bCs/>
                <w:sz w:val="20"/>
                <w:szCs w:val="20"/>
                <w:lang w:val="pt-BR"/>
              </w:rPr>
              <w:t>ireitos</w:t>
            </w:r>
            <w:r w:rsidRPr="00E759FB">
              <w:rPr>
                <w:rFonts w:asciiTheme="majorHAnsi" w:hAnsiTheme="majorHAnsi"/>
                <w:b/>
                <w:bCs/>
                <w:sz w:val="20"/>
                <w:szCs w:val="20"/>
                <w:lang w:val="pt-BR"/>
              </w:rPr>
              <w:t xml:space="preserve"> </w:t>
            </w:r>
            <w:r w:rsidR="007665A8" w:rsidRPr="00E759FB">
              <w:rPr>
                <w:rFonts w:asciiTheme="majorHAnsi" w:hAnsiTheme="majorHAnsi"/>
                <w:b/>
                <w:bCs/>
                <w:sz w:val="20"/>
                <w:szCs w:val="20"/>
                <w:lang w:val="pt-BR"/>
              </w:rPr>
              <w:t>alegados</w:t>
            </w:r>
            <w:r w:rsidRPr="00E759FB">
              <w:rPr>
                <w:rFonts w:asciiTheme="majorHAnsi" w:hAnsiTheme="majorHAnsi"/>
                <w:b/>
                <w:bCs/>
                <w:sz w:val="20"/>
                <w:szCs w:val="20"/>
                <w:lang w:val="pt-BR"/>
              </w:rPr>
              <w:t>:</w:t>
            </w:r>
          </w:p>
        </w:tc>
        <w:tc>
          <w:tcPr>
            <w:tcW w:w="5760" w:type="dxa"/>
            <w:vAlign w:val="center"/>
          </w:tcPr>
          <w:p w14:paraId="6DEE1EEB" w14:textId="4757A2CE" w:rsidR="00223A29" w:rsidRPr="0084230D" w:rsidRDefault="0084230D" w:rsidP="008D2290">
            <w:pPr>
              <w:jc w:val="both"/>
              <w:rPr>
                <w:rFonts w:asciiTheme="majorHAnsi" w:hAnsiTheme="majorHAnsi"/>
                <w:bCs/>
                <w:sz w:val="20"/>
                <w:szCs w:val="20"/>
                <w:lang w:val="pt-BR"/>
              </w:rPr>
            </w:pPr>
            <w:r w:rsidRPr="0084230D">
              <w:rPr>
                <w:rFonts w:asciiTheme="majorHAnsi" w:hAnsiTheme="majorHAnsi"/>
                <w:bCs/>
                <w:sz w:val="20"/>
                <w:szCs w:val="20"/>
                <w:lang w:val="pt-BR"/>
              </w:rPr>
              <w:t xml:space="preserve">Artigos </w:t>
            </w:r>
            <w:r w:rsidR="007C273E" w:rsidRPr="0084230D">
              <w:rPr>
                <w:rFonts w:asciiTheme="majorHAnsi" w:hAnsiTheme="majorHAnsi"/>
                <w:bCs/>
                <w:sz w:val="20"/>
                <w:szCs w:val="20"/>
                <w:lang w:val="pt-BR"/>
              </w:rPr>
              <w:t>11</w:t>
            </w:r>
            <w:r w:rsidRPr="0084230D">
              <w:rPr>
                <w:rFonts w:asciiTheme="majorHAnsi" w:hAnsiTheme="majorHAnsi"/>
                <w:bCs/>
                <w:sz w:val="20"/>
                <w:szCs w:val="20"/>
                <w:lang w:val="pt-BR"/>
              </w:rPr>
              <w:t xml:space="preserve"> (proteção da honra e da dignidade)</w:t>
            </w:r>
            <w:r w:rsidR="007C273E" w:rsidRPr="0084230D">
              <w:rPr>
                <w:rFonts w:asciiTheme="majorHAnsi" w:hAnsiTheme="majorHAnsi"/>
                <w:bCs/>
                <w:sz w:val="20"/>
                <w:szCs w:val="20"/>
                <w:lang w:val="pt-BR"/>
              </w:rPr>
              <w:t>, 21</w:t>
            </w:r>
            <w:r w:rsidRPr="0084230D">
              <w:rPr>
                <w:rFonts w:asciiTheme="majorHAnsi" w:hAnsiTheme="majorHAnsi"/>
                <w:bCs/>
                <w:sz w:val="20"/>
                <w:szCs w:val="20"/>
                <w:lang w:val="pt-BR"/>
              </w:rPr>
              <w:t xml:space="preserve"> (propriedade privada)</w:t>
            </w:r>
            <w:r w:rsidR="00CF1D36">
              <w:rPr>
                <w:rFonts w:asciiTheme="majorHAnsi" w:hAnsiTheme="majorHAnsi"/>
                <w:bCs/>
                <w:sz w:val="20"/>
                <w:szCs w:val="20"/>
                <w:lang w:val="pt-BR"/>
              </w:rPr>
              <w:t xml:space="preserve"> e</w:t>
            </w:r>
            <w:r w:rsidR="00051090" w:rsidRPr="0084230D">
              <w:rPr>
                <w:rFonts w:asciiTheme="majorHAnsi" w:hAnsiTheme="majorHAnsi"/>
                <w:bCs/>
                <w:sz w:val="20"/>
                <w:szCs w:val="20"/>
                <w:lang w:val="pt-BR"/>
              </w:rPr>
              <w:t xml:space="preserve"> 26</w:t>
            </w:r>
            <w:r w:rsidRPr="0084230D">
              <w:rPr>
                <w:rFonts w:asciiTheme="majorHAnsi" w:hAnsiTheme="majorHAnsi"/>
                <w:bCs/>
                <w:sz w:val="20"/>
                <w:szCs w:val="20"/>
                <w:lang w:val="pt-BR"/>
              </w:rPr>
              <w:t xml:space="preserve"> (direitos econômicos, sociais e culturais)</w:t>
            </w:r>
            <w:r w:rsidR="007C273E" w:rsidRPr="0084230D">
              <w:rPr>
                <w:rFonts w:asciiTheme="majorHAnsi" w:hAnsiTheme="majorHAnsi"/>
                <w:bCs/>
                <w:sz w:val="20"/>
                <w:szCs w:val="20"/>
                <w:lang w:val="pt-BR"/>
              </w:rPr>
              <w:t xml:space="preserve"> </w:t>
            </w:r>
            <w:r w:rsidRPr="0084230D">
              <w:rPr>
                <w:rFonts w:asciiTheme="majorHAnsi" w:hAnsiTheme="majorHAnsi"/>
                <w:bCs/>
                <w:sz w:val="20"/>
                <w:szCs w:val="20"/>
                <w:lang w:val="pt-BR"/>
              </w:rPr>
              <w:t>da Convenção Americana sobre Direitos Humanos</w:t>
            </w:r>
            <w:r w:rsidRPr="0084230D">
              <w:rPr>
                <w:rStyle w:val="FootnoteReference"/>
                <w:rFonts w:asciiTheme="majorHAnsi" w:hAnsiTheme="majorHAnsi"/>
                <w:bCs/>
                <w:sz w:val="20"/>
                <w:szCs w:val="20"/>
                <w:lang w:val="pt-BR"/>
              </w:rPr>
              <w:footnoteReference w:id="4"/>
            </w:r>
            <w:r w:rsidRPr="0084230D">
              <w:rPr>
                <w:rFonts w:asciiTheme="majorHAnsi" w:hAnsiTheme="majorHAnsi"/>
                <w:bCs/>
                <w:sz w:val="20"/>
                <w:szCs w:val="20"/>
                <w:lang w:val="pt-BR"/>
              </w:rPr>
              <w:t xml:space="preserve"> </w:t>
            </w:r>
            <w:r w:rsidR="007C273E" w:rsidRPr="0084230D">
              <w:rPr>
                <w:rFonts w:asciiTheme="majorHAnsi" w:hAnsiTheme="majorHAnsi"/>
                <w:bCs/>
                <w:sz w:val="20"/>
                <w:szCs w:val="20"/>
                <w:lang w:val="pt-BR"/>
              </w:rPr>
              <w:t xml:space="preserve">em relação com os artigos 1 </w:t>
            </w:r>
            <w:r w:rsidRPr="0084230D">
              <w:rPr>
                <w:rFonts w:asciiTheme="majorHAnsi" w:hAnsiTheme="majorHAnsi"/>
                <w:bCs/>
                <w:sz w:val="20"/>
                <w:szCs w:val="20"/>
                <w:lang w:val="pt-BR"/>
              </w:rPr>
              <w:t xml:space="preserve">(obrigação de respeitar os direitos) </w:t>
            </w:r>
            <w:r w:rsidR="007C273E" w:rsidRPr="0084230D">
              <w:rPr>
                <w:rFonts w:asciiTheme="majorHAnsi" w:hAnsiTheme="majorHAnsi"/>
                <w:bCs/>
                <w:sz w:val="20"/>
                <w:szCs w:val="20"/>
                <w:lang w:val="pt-BR"/>
              </w:rPr>
              <w:t>e 2</w:t>
            </w:r>
            <w:r w:rsidRPr="0084230D">
              <w:rPr>
                <w:rFonts w:asciiTheme="majorHAnsi" w:hAnsiTheme="majorHAnsi"/>
                <w:bCs/>
                <w:sz w:val="20"/>
                <w:szCs w:val="20"/>
                <w:lang w:val="pt-BR"/>
              </w:rPr>
              <w:t xml:space="preserve"> (dever de adotar disposições de direito interno) do mesmo tratado</w:t>
            </w:r>
          </w:p>
        </w:tc>
      </w:tr>
    </w:tbl>
    <w:p w14:paraId="23F03ED4" w14:textId="178FE787" w:rsidR="00C54ACB" w:rsidRPr="00E759FB" w:rsidRDefault="00A37F2E" w:rsidP="00C54ACB">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II.</w:t>
      </w:r>
      <w:r w:rsidRPr="00E759FB">
        <w:rPr>
          <w:rFonts w:asciiTheme="majorHAnsi" w:hAnsiTheme="majorHAnsi"/>
          <w:b/>
          <w:bCs/>
          <w:sz w:val="20"/>
          <w:szCs w:val="20"/>
          <w:lang w:val="pt-BR"/>
        </w:rPr>
        <w:tab/>
        <w:t>TRÂMITE ANTE A</w:t>
      </w:r>
      <w:r w:rsidR="003239B8" w:rsidRPr="00E759FB">
        <w:rPr>
          <w:rFonts w:asciiTheme="majorHAnsi" w:hAnsiTheme="majorHAnsi"/>
          <w:b/>
          <w:bCs/>
          <w:sz w:val="20"/>
          <w:szCs w:val="20"/>
          <w:lang w:val="pt-BR"/>
        </w:rPr>
        <w:t xml:space="preserve"> CIDH</w:t>
      </w:r>
      <w:r w:rsidR="008E3BFE" w:rsidRPr="00E759FB">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759FB"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3C074D" w:rsidRDefault="00A37F2E" w:rsidP="004A6A54">
            <w:pPr>
              <w:jc w:val="center"/>
              <w:rPr>
                <w:rFonts w:asciiTheme="majorHAnsi" w:hAnsiTheme="majorHAnsi"/>
                <w:b/>
                <w:bCs/>
                <w:sz w:val="20"/>
                <w:szCs w:val="20"/>
                <w:lang w:val="pt-BR"/>
              </w:rPr>
            </w:pPr>
            <w:r w:rsidRPr="003C074D">
              <w:rPr>
                <w:rFonts w:asciiTheme="majorHAnsi" w:hAnsiTheme="majorHAnsi"/>
                <w:b/>
                <w:bCs/>
                <w:sz w:val="20"/>
                <w:szCs w:val="20"/>
                <w:lang w:val="pt-BR"/>
              </w:rPr>
              <w:t>Apresentação da petição:</w:t>
            </w:r>
          </w:p>
        </w:tc>
        <w:tc>
          <w:tcPr>
            <w:tcW w:w="5760" w:type="dxa"/>
            <w:vAlign w:val="center"/>
          </w:tcPr>
          <w:p w14:paraId="6E579153" w14:textId="4B9A6B7F" w:rsidR="004C2312" w:rsidRPr="003C074D" w:rsidRDefault="007C273E" w:rsidP="002625EA">
            <w:pPr>
              <w:jc w:val="both"/>
              <w:rPr>
                <w:rFonts w:asciiTheme="majorHAnsi" w:hAnsiTheme="majorHAnsi"/>
                <w:bCs/>
                <w:sz w:val="20"/>
                <w:szCs w:val="20"/>
                <w:lang w:val="pt-BR"/>
              </w:rPr>
            </w:pPr>
            <w:r>
              <w:rPr>
                <w:rFonts w:asciiTheme="majorHAnsi" w:hAnsiTheme="majorHAnsi"/>
                <w:bCs/>
                <w:sz w:val="20"/>
                <w:szCs w:val="20"/>
                <w:lang w:val="pt-BR"/>
              </w:rPr>
              <w:t>7 de outubro de 2013</w:t>
            </w:r>
          </w:p>
        </w:tc>
      </w:tr>
      <w:tr w:rsidR="004C2312" w:rsidRPr="0084230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3C074D" w:rsidRDefault="004A6A54" w:rsidP="00A37F2E">
            <w:pPr>
              <w:jc w:val="center"/>
              <w:rPr>
                <w:rFonts w:asciiTheme="majorHAnsi" w:hAnsiTheme="majorHAnsi"/>
                <w:b/>
                <w:sz w:val="20"/>
                <w:szCs w:val="20"/>
                <w:lang w:val="pt-BR"/>
              </w:rPr>
            </w:pPr>
            <w:r w:rsidRPr="003C074D">
              <w:rPr>
                <w:rFonts w:asciiTheme="majorHAnsi" w:hAnsiTheme="majorHAnsi"/>
                <w:b/>
                <w:sz w:val="20"/>
                <w:szCs w:val="20"/>
                <w:lang w:val="pt-BR"/>
              </w:rPr>
              <w:t>N</w:t>
            </w:r>
            <w:r w:rsidR="00A37F2E" w:rsidRPr="003C074D">
              <w:rPr>
                <w:rFonts w:asciiTheme="majorHAnsi" w:hAnsiTheme="majorHAnsi"/>
                <w:b/>
                <w:sz w:val="20"/>
                <w:szCs w:val="20"/>
                <w:lang w:val="pt-BR"/>
              </w:rPr>
              <w:t>otificação da petição ao</w:t>
            </w:r>
            <w:r w:rsidR="004C2312" w:rsidRPr="003C074D">
              <w:rPr>
                <w:rFonts w:asciiTheme="majorHAnsi" w:hAnsiTheme="majorHAnsi"/>
                <w:b/>
                <w:sz w:val="20"/>
                <w:szCs w:val="20"/>
                <w:lang w:val="pt-BR"/>
              </w:rPr>
              <w:t xml:space="preserve"> Estado:</w:t>
            </w:r>
          </w:p>
        </w:tc>
        <w:tc>
          <w:tcPr>
            <w:tcW w:w="5760" w:type="dxa"/>
            <w:vAlign w:val="center"/>
          </w:tcPr>
          <w:p w14:paraId="1519DA6A" w14:textId="309F2766" w:rsidR="004C2312" w:rsidRPr="003C074D" w:rsidRDefault="0084230D" w:rsidP="008D2290">
            <w:pPr>
              <w:jc w:val="both"/>
              <w:rPr>
                <w:rFonts w:asciiTheme="majorHAnsi" w:hAnsiTheme="majorHAnsi"/>
                <w:bCs/>
                <w:sz w:val="20"/>
                <w:szCs w:val="20"/>
                <w:lang w:val="pt-BR"/>
              </w:rPr>
            </w:pPr>
            <w:r>
              <w:rPr>
                <w:rFonts w:asciiTheme="majorHAnsi" w:hAnsiTheme="majorHAnsi"/>
                <w:bCs/>
                <w:sz w:val="20"/>
                <w:szCs w:val="20"/>
                <w:lang w:val="pt-BR"/>
              </w:rPr>
              <w:t>5 de janeiro de 2016</w:t>
            </w:r>
          </w:p>
        </w:tc>
      </w:tr>
      <w:tr w:rsidR="004C2312" w:rsidRPr="00E759FB"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3C074D" w:rsidRDefault="004A6A54" w:rsidP="004A6A54">
            <w:pPr>
              <w:jc w:val="center"/>
              <w:rPr>
                <w:rFonts w:asciiTheme="majorHAnsi" w:hAnsiTheme="majorHAnsi"/>
                <w:b/>
                <w:bCs/>
                <w:sz w:val="20"/>
                <w:szCs w:val="20"/>
                <w:lang w:val="pt-BR"/>
              </w:rPr>
            </w:pPr>
            <w:r w:rsidRPr="003C074D">
              <w:rPr>
                <w:rFonts w:asciiTheme="majorHAnsi" w:hAnsiTheme="majorHAnsi"/>
                <w:b/>
                <w:sz w:val="20"/>
                <w:szCs w:val="20"/>
                <w:lang w:val="pt-BR"/>
              </w:rPr>
              <w:t>P</w:t>
            </w:r>
            <w:r w:rsidR="004C2312" w:rsidRPr="003C074D">
              <w:rPr>
                <w:rFonts w:asciiTheme="majorHAnsi" w:hAnsiTheme="majorHAnsi"/>
                <w:b/>
                <w:sz w:val="20"/>
                <w:szCs w:val="20"/>
                <w:lang w:val="pt-BR"/>
              </w:rPr>
              <w:t>rime</w:t>
            </w:r>
            <w:r w:rsidR="00A37F2E" w:rsidRPr="003C074D">
              <w:rPr>
                <w:rFonts w:asciiTheme="majorHAnsi" w:hAnsiTheme="majorHAnsi"/>
                <w:b/>
                <w:sz w:val="20"/>
                <w:szCs w:val="20"/>
                <w:lang w:val="pt-BR"/>
              </w:rPr>
              <w:t xml:space="preserve">ira resposta do </w:t>
            </w:r>
            <w:r w:rsidR="004C2312" w:rsidRPr="003C074D">
              <w:rPr>
                <w:rFonts w:asciiTheme="majorHAnsi" w:hAnsiTheme="majorHAnsi"/>
                <w:b/>
                <w:sz w:val="20"/>
                <w:szCs w:val="20"/>
                <w:lang w:val="pt-BR"/>
              </w:rPr>
              <w:t>Estado:</w:t>
            </w:r>
          </w:p>
        </w:tc>
        <w:tc>
          <w:tcPr>
            <w:tcW w:w="5760" w:type="dxa"/>
            <w:vAlign w:val="center"/>
          </w:tcPr>
          <w:p w14:paraId="1972B99E" w14:textId="72085260" w:rsidR="004C2312" w:rsidRPr="003C074D" w:rsidRDefault="00CE531D" w:rsidP="008D2290">
            <w:pPr>
              <w:jc w:val="both"/>
              <w:rPr>
                <w:rFonts w:asciiTheme="majorHAnsi" w:hAnsiTheme="majorHAnsi"/>
                <w:bCs/>
                <w:sz w:val="20"/>
                <w:szCs w:val="20"/>
                <w:lang w:val="pt-BR"/>
              </w:rPr>
            </w:pPr>
            <w:r>
              <w:rPr>
                <w:rFonts w:asciiTheme="majorHAnsi" w:hAnsiTheme="majorHAnsi"/>
                <w:bCs/>
                <w:sz w:val="20"/>
                <w:szCs w:val="20"/>
                <w:lang w:val="pt-BR"/>
              </w:rPr>
              <w:t>5 de outubro de 2016</w:t>
            </w:r>
          </w:p>
        </w:tc>
      </w:tr>
      <w:tr w:rsidR="004C2312" w:rsidRPr="00602779"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3C074D" w:rsidRDefault="00A37F2E" w:rsidP="008E3BFE">
            <w:pPr>
              <w:jc w:val="center"/>
              <w:rPr>
                <w:rFonts w:asciiTheme="majorHAnsi" w:hAnsiTheme="majorHAnsi"/>
                <w:b/>
                <w:bCs/>
                <w:sz w:val="20"/>
                <w:szCs w:val="20"/>
                <w:lang w:val="pt-BR"/>
              </w:rPr>
            </w:pPr>
            <w:r w:rsidRPr="003C074D">
              <w:rPr>
                <w:rFonts w:asciiTheme="majorHAnsi" w:hAnsiTheme="majorHAnsi"/>
                <w:b/>
                <w:bCs/>
                <w:sz w:val="20"/>
                <w:szCs w:val="20"/>
                <w:lang w:val="pt-BR"/>
              </w:rPr>
              <w:t>Observações adicionais da parte peticioná</w:t>
            </w:r>
            <w:r w:rsidR="008E3BFE" w:rsidRPr="003C074D">
              <w:rPr>
                <w:rFonts w:asciiTheme="majorHAnsi" w:hAnsiTheme="majorHAnsi"/>
                <w:b/>
                <w:bCs/>
                <w:sz w:val="20"/>
                <w:szCs w:val="20"/>
                <w:lang w:val="pt-BR"/>
              </w:rPr>
              <w:t>ria:</w:t>
            </w:r>
          </w:p>
        </w:tc>
        <w:tc>
          <w:tcPr>
            <w:tcW w:w="5760" w:type="dxa"/>
            <w:vAlign w:val="center"/>
          </w:tcPr>
          <w:p w14:paraId="41D8B862" w14:textId="123AB160" w:rsidR="004C2312" w:rsidRPr="00D6780C" w:rsidRDefault="00CE531D" w:rsidP="008D2290">
            <w:pPr>
              <w:jc w:val="both"/>
              <w:rPr>
                <w:rFonts w:asciiTheme="majorHAnsi" w:hAnsiTheme="majorHAnsi"/>
                <w:bCs/>
                <w:color w:val="FF0000"/>
                <w:sz w:val="20"/>
                <w:szCs w:val="20"/>
                <w:lang w:val="pt-BR"/>
              </w:rPr>
            </w:pPr>
            <w:r>
              <w:rPr>
                <w:rFonts w:asciiTheme="majorHAnsi" w:hAnsiTheme="majorHAnsi"/>
                <w:bCs/>
                <w:sz w:val="20"/>
                <w:szCs w:val="20"/>
                <w:lang w:val="pt-BR"/>
              </w:rPr>
              <w:t xml:space="preserve">4 de agosto de 2016; 22 de março de 2017; 30 de maio de 2017; 5 de agosto de 2017; </w:t>
            </w:r>
            <w:r w:rsidR="00201282">
              <w:rPr>
                <w:rFonts w:asciiTheme="majorHAnsi" w:hAnsiTheme="majorHAnsi"/>
                <w:bCs/>
                <w:sz w:val="20"/>
                <w:szCs w:val="20"/>
                <w:lang w:val="pt-BR"/>
              </w:rPr>
              <w:t xml:space="preserve">27 </w:t>
            </w:r>
            <w:r w:rsidR="00201282" w:rsidRPr="00DF1632">
              <w:rPr>
                <w:rFonts w:asciiTheme="majorHAnsi" w:hAnsiTheme="majorHAnsi"/>
                <w:bCs/>
                <w:sz w:val="20"/>
                <w:szCs w:val="20"/>
                <w:lang w:val="pt-BR"/>
              </w:rPr>
              <w:t>de junho de 2018</w:t>
            </w:r>
            <w:r w:rsidR="00CF1D36" w:rsidRPr="00DF1632">
              <w:rPr>
                <w:rFonts w:asciiTheme="majorHAnsi" w:hAnsiTheme="majorHAnsi"/>
                <w:bCs/>
                <w:sz w:val="20"/>
                <w:szCs w:val="20"/>
                <w:lang w:val="pt-BR"/>
              </w:rPr>
              <w:t xml:space="preserve"> e</w:t>
            </w:r>
            <w:r w:rsidR="00201282" w:rsidRPr="00DF1632">
              <w:rPr>
                <w:rFonts w:asciiTheme="majorHAnsi" w:hAnsiTheme="majorHAnsi"/>
                <w:bCs/>
                <w:sz w:val="20"/>
                <w:szCs w:val="20"/>
                <w:lang w:val="pt-BR"/>
              </w:rPr>
              <w:t xml:space="preserve"> </w:t>
            </w:r>
            <w:r w:rsidRPr="00DF1632">
              <w:rPr>
                <w:rFonts w:asciiTheme="majorHAnsi" w:hAnsiTheme="majorHAnsi"/>
                <w:bCs/>
                <w:sz w:val="20"/>
                <w:szCs w:val="20"/>
                <w:lang w:val="pt-BR"/>
              </w:rPr>
              <w:t>7 de agosto de 2018</w:t>
            </w:r>
            <w:r w:rsidR="000853CA" w:rsidRPr="00DF1632">
              <w:rPr>
                <w:rFonts w:asciiTheme="majorHAnsi" w:hAnsiTheme="majorHAnsi"/>
                <w:bCs/>
                <w:sz w:val="20"/>
                <w:szCs w:val="20"/>
                <w:lang w:val="pt-BR"/>
              </w:rPr>
              <w:t>;</w:t>
            </w:r>
            <w:r w:rsidR="00D6780C" w:rsidRPr="00DF1632">
              <w:rPr>
                <w:rFonts w:asciiTheme="majorHAnsi" w:hAnsiTheme="majorHAnsi"/>
                <w:bCs/>
                <w:sz w:val="20"/>
                <w:szCs w:val="20"/>
                <w:lang w:val="pt-BR"/>
              </w:rPr>
              <w:t xml:space="preserve"> 26 de junho de 2020; 21 de setembro de 2020</w:t>
            </w:r>
            <w:r w:rsidR="00DF1632" w:rsidRPr="00DF1632">
              <w:rPr>
                <w:rFonts w:asciiTheme="majorHAnsi" w:hAnsiTheme="majorHAnsi"/>
                <w:bCs/>
                <w:sz w:val="20"/>
                <w:szCs w:val="20"/>
                <w:lang w:val="pt-BR"/>
              </w:rPr>
              <w:t xml:space="preserve"> e</w:t>
            </w:r>
            <w:r w:rsidR="00D6780C" w:rsidRPr="00DF1632">
              <w:rPr>
                <w:rFonts w:asciiTheme="majorHAnsi" w:hAnsiTheme="majorHAnsi"/>
                <w:bCs/>
                <w:sz w:val="20"/>
                <w:szCs w:val="20"/>
                <w:lang w:val="pt-BR"/>
              </w:rPr>
              <w:t xml:space="preserve"> 25 de setembro de 2020 </w:t>
            </w:r>
          </w:p>
        </w:tc>
      </w:tr>
      <w:tr w:rsidR="004C2312" w:rsidRPr="00E759FB"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3C074D" w:rsidRDefault="00A37F2E" w:rsidP="008E3BFE">
            <w:pPr>
              <w:jc w:val="center"/>
              <w:rPr>
                <w:rFonts w:asciiTheme="majorHAnsi" w:hAnsiTheme="majorHAnsi"/>
                <w:b/>
                <w:bCs/>
                <w:sz w:val="20"/>
                <w:szCs w:val="20"/>
                <w:lang w:val="pt-BR"/>
              </w:rPr>
            </w:pPr>
            <w:r w:rsidRPr="003C074D">
              <w:rPr>
                <w:rFonts w:asciiTheme="majorHAnsi" w:hAnsiTheme="majorHAnsi"/>
                <w:b/>
                <w:bCs/>
                <w:sz w:val="20"/>
                <w:szCs w:val="20"/>
                <w:lang w:val="pt-BR"/>
              </w:rPr>
              <w:t>Observações adicionais do</w:t>
            </w:r>
            <w:r w:rsidR="004C2312" w:rsidRPr="003C074D">
              <w:rPr>
                <w:rFonts w:asciiTheme="majorHAnsi" w:hAnsiTheme="majorHAnsi"/>
                <w:b/>
                <w:bCs/>
                <w:sz w:val="20"/>
                <w:szCs w:val="20"/>
                <w:lang w:val="pt-BR"/>
              </w:rPr>
              <w:t xml:space="preserve"> Estado:</w:t>
            </w:r>
          </w:p>
        </w:tc>
        <w:tc>
          <w:tcPr>
            <w:tcW w:w="5760" w:type="dxa"/>
            <w:vAlign w:val="center"/>
          </w:tcPr>
          <w:p w14:paraId="3CE49AFE" w14:textId="28327E6B" w:rsidR="004C2312" w:rsidRPr="003C074D" w:rsidRDefault="00CE531D" w:rsidP="008D2290">
            <w:pPr>
              <w:jc w:val="both"/>
              <w:rPr>
                <w:rFonts w:asciiTheme="majorHAnsi" w:hAnsiTheme="majorHAnsi"/>
                <w:bCs/>
                <w:sz w:val="20"/>
                <w:szCs w:val="20"/>
                <w:lang w:val="pt-BR"/>
              </w:rPr>
            </w:pPr>
            <w:r>
              <w:rPr>
                <w:rFonts w:asciiTheme="majorHAnsi" w:hAnsiTheme="majorHAnsi"/>
                <w:bCs/>
                <w:sz w:val="20"/>
                <w:szCs w:val="20"/>
                <w:lang w:val="pt-BR"/>
              </w:rPr>
              <w:t>1 de março de 2018</w:t>
            </w:r>
          </w:p>
        </w:tc>
      </w:tr>
    </w:tbl>
    <w:p w14:paraId="21DAA666" w14:textId="3B44E0DA" w:rsidR="003239B8" w:rsidRPr="00E759FB" w:rsidRDefault="00D358AF" w:rsidP="0084230D">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III. </w:t>
      </w:r>
      <w:r w:rsidRPr="00E759FB">
        <w:rPr>
          <w:rFonts w:asciiTheme="majorHAnsi" w:hAnsiTheme="majorHAnsi"/>
          <w:b/>
          <w:bCs/>
          <w:sz w:val="20"/>
          <w:szCs w:val="20"/>
          <w:lang w:val="pt-BR"/>
        </w:rPr>
        <w:tab/>
        <w:t>COMPETÊ</w:t>
      </w:r>
      <w:r w:rsidR="003239B8" w:rsidRPr="00E759FB">
        <w:rPr>
          <w:rFonts w:asciiTheme="majorHAnsi" w:hAnsiTheme="majorHAnsi"/>
          <w:b/>
          <w:bCs/>
          <w:sz w:val="20"/>
          <w:szCs w:val="20"/>
          <w:lang w:val="pt-BR"/>
        </w:rPr>
        <w:t>NCIA</w:t>
      </w:r>
      <w:r w:rsidR="00EE00E9" w:rsidRPr="00E759FB">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759FB"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E759FB" w:rsidRDefault="00D21316" w:rsidP="008D2290">
            <w:pPr>
              <w:jc w:val="center"/>
              <w:rPr>
                <w:rFonts w:asciiTheme="majorHAnsi" w:hAnsiTheme="majorHAnsi"/>
                <w:b/>
                <w:bCs/>
                <w:i/>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personae:</w:t>
            </w:r>
          </w:p>
        </w:tc>
        <w:tc>
          <w:tcPr>
            <w:tcW w:w="5760" w:type="dxa"/>
            <w:vAlign w:val="center"/>
          </w:tcPr>
          <w:p w14:paraId="7707F3E9" w14:textId="3FFD329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loci</w:t>
            </w:r>
            <w:r w:rsidR="003239B8" w:rsidRPr="00E759FB">
              <w:rPr>
                <w:rFonts w:asciiTheme="majorHAnsi" w:hAnsiTheme="majorHAnsi"/>
                <w:b/>
                <w:bCs/>
                <w:sz w:val="20"/>
                <w:szCs w:val="20"/>
                <w:lang w:val="pt-BR"/>
              </w:rPr>
              <w:t>:</w:t>
            </w:r>
          </w:p>
        </w:tc>
        <w:tc>
          <w:tcPr>
            <w:tcW w:w="5760" w:type="dxa"/>
            <w:vAlign w:val="center"/>
          </w:tcPr>
          <w:p w14:paraId="12C931CB" w14:textId="6F8B110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temporis</w:t>
            </w:r>
            <w:r w:rsidR="003239B8" w:rsidRPr="00E759FB">
              <w:rPr>
                <w:rFonts w:asciiTheme="majorHAnsi" w:hAnsiTheme="majorHAnsi"/>
                <w:b/>
                <w:bCs/>
                <w:sz w:val="20"/>
                <w:szCs w:val="20"/>
                <w:lang w:val="pt-BR"/>
              </w:rPr>
              <w:t>:</w:t>
            </w:r>
          </w:p>
        </w:tc>
        <w:tc>
          <w:tcPr>
            <w:tcW w:w="5760" w:type="dxa"/>
            <w:vAlign w:val="center"/>
          </w:tcPr>
          <w:p w14:paraId="6F8B059B" w14:textId="45199755"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602779"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materia</w:t>
            </w:r>
            <w:r w:rsidR="00EE00E9" w:rsidRPr="00E759FB">
              <w:rPr>
                <w:rFonts w:asciiTheme="majorHAnsi" w:hAnsiTheme="majorHAnsi"/>
                <w:b/>
                <w:bCs/>
                <w:i/>
                <w:sz w:val="20"/>
                <w:szCs w:val="20"/>
                <w:lang w:val="pt-BR"/>
              </w:rPr>
              <w:t>e</w:t>
            </w:r>
            <w:r w:rsidR="003239B8" w:rsidRPr="00E759FB">
              <w:rPr>
                <w:rFonts w:asciiTheme="majorHAnsi" w:hAnsiTheme="majorHAnsi"/>
                <w:b/>
                <w:bCs/>
                <w:sz w:val="20"/>
                <w:szCs w:val="20"/>
                <w:lang w:val="pt-BR"/>
              </w:rPr>
              <w:t>:</w:t>
            </w:r>
          </w:p>
        </w:tc>
        <w:tc>
          <w:tcPr>
            <w:tcW w:w="5760" w:type="dxa"/>
            <w:vAlign w:val="center"/>
          </w:tcPr>
          <w:p w14:paraId="0C122F44" w14:textId="70FDAC73" w:rsidR="003239B8" w:rsidRPr="00E759FB" w:rsidRDefault="003911A2" w:rsidP="008D2290">
            <w:pPr>
              <w:jc w:val="both"/>
              <w:rPr>
                <w:rFonts w:asciiTheme="majorHAnsi" w:hAnsiTheme="majorHAnsi"/>
                <w:bCs/>
                <w:sz w:val="20"/>
                <w:szCs w:val="20"/>
                <w:lang w:val="pt-BR"/>
              </w:rPr>
            </w:pPr>
            <w:r w:rsidRPr="00E759FB">
              <w:rPr>
                <w:rFonts w:asciiTheme="majorHAnsi" w:hAnsiTheme="majorHAnsi"/>
                <w:bCs/>
                <w:sz w:val="20"/>
                <w:szCs w:val="20"/>
                <w:lang w:val="pt-BR"/>
              </w:rPr>
              <w:t xml:space="preserve">Sim, </w:t>
            </w:r>
            <w:r w:rsidR="00A12802" w:rsidRPr="00E759FB">
              <w:rPr>
                <w:rFonts w:asciiTheme="majorHAnsi" w:hAnsiTheme="majorHAnsi"/>
                <w:bCs/>
                <w:sz w:val="20"/>
                <w:szCs w:val="20"/>
                <w:lang w:val="pt-BR"/>
              </w:rPr>
              <w:t>Convenção Americana de Direitos Humanos</w:t>
            </w:r>
            <w:r w:rsidR="00A12802">
              <w:rPr>
                <w:rFonts w:asciiTheme="majorHAnsi" w:hAnsiTheme="majorHAnsi"/>
                <w:bCs/>
                <w:sz w:val="20"/>
                <w:szCs w:val="20"/>
                <w:lang w:val="pt-BR"/>
              </w:rPr>
              <w:t xml:space="preserve"> </w:t>
            </w:r>
            <w:r w:rsidRPr="00E759FB">
              <w:rPr>
                <w:rFonts w:asciiTheme="majorHAnsi" w:hAnsiTheme="majorHAnsi"/>
                <w:bCs/>
                <w:sz w:val="20"/>
                <w:szCs w:val="20"/>
                <w:lang w:val="pt-BR"/>
              </w:rPr>
              <w:t>(instrumento adotado no dia 25 de setembro de 1992)</w:t>
            </w:r>
          </w:p>
        </w:tc>
      </w:tr>
    </w:tbl>
    <w:p w14:paraId="4E92C444" w14:textId="32F3540A" w:rsidR="003239B8" w:rsidRPr="00E759FB" w:rsidRDefault="003239B8"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IV. </w:t>
      </w:r>
      <w:r w:rsidRPr="00E759FB">
        <w:rPr>
          <w:rFonts w:asciiTheme="majorHAnsi" w:hAnsiTheme="majorHAnsi"/>
          <w:b/>
          <w:bCs/>
          <w:sz w:val="20"/>
          <w:szCs w:val="20"/>
          <w:lang w:val="pt-BR"/>
        </w:rPr>
        <w:tab/>
      </w:r>
      <w:r w:rsidR="00D21316" w:rsidRPr="00E759FB">
        <w:rPr>
          <w:rFonts w:asciiTheme="majorHAnsi" w:hAnsiTheme="majorHAnsi"/>
          <w:b/>
          <w:bCs/>
          <w:sz w:val="20"/>
          <w:szCs w:val="20"/>
          <w:lang w:val="pt-BR"/>
        </w:rPr>
        <w:t>DUPLICAÇÃO</w:t>
      </w:r>
      <w:r w:rsidR="00EE00E9" w:rsidRPr="00E759FB">
        <w:rPr>
          <w:rFonts w:asciiTheme="majorHAnsi" w:hAnsiTheme="majorHAnsi"/>
          <w:b/>
          <w:bCs/>
          <w:color w:val="FFFFFF" w:themeColor="background1"/>
          <w:sz w:val="20"/>
          <w:szCs w:val="20"/>
          <w:lang w:val="pt-BR"/>
        </w:rPr>
        <w:t xml:space="preserve"> </w:t>
      </w:r>
      <w:r w:rsidR="00D21316" w:rsidRPr="00E759FB">
        <w:rPr>
          <w:rFonts w:asciiTheme="majorHAnsi" w:hAnsiTheme="majorHAnsi"/>
          <w:b/>
          <w:bCs/>
          <w:sz w:val="20"/>
          <w:szCs w:val="20"/>
          <w:lang w:val="pt-BR"/>
        </w:rPr>
        <w:t>DE PROCEDIMENTOS E</w:t>
      </w:r>
      <w:r w:rsidR="00EE00E9" w:rsidRPr="00E759FB">
        <w:rPr>
          <w:rFonts w:asciiTheme="majorHAnsi" w:hAnsiTheme="majorHAnsi"/>
          <w:b/>
          <w:bCs/>
          <w:sz w:val="20"/>
          <w:szCs w:val="20"/>
          <w:lang w:val="pt-BR"/>
        </w:rPr>
        <w:t xml:space="preserve"> CO</w:t>
      </w:r>
      <w:r w:rsidR="00D21316"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w:t>
      </w:r>
      <w:r w:rsidR="00EE00E9" w:rsidRPr="00E759FB">
        <w:rPr>
          <w:rFonts w:asciiTheme="majorHAnsi" w:hAnsiTheme="majorHAnsi"/>
          <w:b/>
          <w:bCs/>
          <w:i/>
          <w:sz w:val="20"/>
          <w:szCs w:val="20"/>
          <w:lang w:val="pt-BR"/>
        </w:rPr>
        <w:t xml:space="preserve"> </w:t>
      </w:r>
      <w:r w:rsidR="00EE00E9" w:rsidRPr="00E759FB">
        <w:rPr>
          <w:rFonts w:asciiTheme="majorHAnsi" w:hAnsiTheme="majorHAnsi"/>
          <w:b/>
          <w:bCs/>
          <w:sz w:val="20"/>
          <w:szCs w:val="20"/>
          <w:lang w:val="pt-BR"/>
        </w:rPr>
        <w:t xml:space="preserve">INTERNACIONAL, </w:t>
      </w:r>
      <w:r w:rsidR="00D21316" w:rsidRPr="00E759FB">
        <w:rPr>
          <w:rFonts w:asciiTheme="majorHAnsi" w:hAnsiTheme="majorHAnsi"/>
          <w:b/>
          <w:bCs/>
          <w:sz w:val="20"/>
          <w:szCs w:val="20"/>
          <w:lang w:val="pt-BR"/>
        </w:rPr>
        <w:t>CARACTERIZAÇÃO</w:t>
      </w:r>
      <w:r w:rsidRPr="00E759FB">
        <w:rPr>
          <w:rFonts w:asciiTheme="majorHAnsi" w:hAnsiTheme="majorHAnsi"/>
          <w:b/>
          <w:bCs/>
          <w:sz w:val="20"/>
          <w:szCs w:val="20"/>
          <w:lang w:val="pt-BR"/>
        </w:rPr>
        <w:t xml:space="preserve">, </w:t>
      </w:r>
      <w:r w:rsidR="00D21316" w:rsidRPr="00E759FB">
        <w:rPr>
          <w:rFonts w:asciiTheme="majorHAnsi" w:hAnsiTheme="majorHAnsi"/>
          <w:b/>
          <w:sz w:val="20"/>
          <w:szCs w:val="20"/>
          <w:lang w:val="pt-BR"/>
        </w:rPr>
        <w:t>ESGOTAM</w:t>
      </w:r>
      <w:r w:rsidRPr="00E759FB">
        <w:rPr>
          <w:rFonts w:asciiTheme="majorHAnsi" w:hAnsiTheme="majorHAnsi"/>
          <w:b/>
          <w:sz w:val="20"/>
          <w:szCs w:val="20"/>
          <w:lang w:val="pt-BR"/>
        </w:rPr>
        <w:t>ENTO D</w:t>
      </w:r>
      <w:r w:rsidR="00D21316" w:rsidRPr="00E759FB">
        <w:rPr>
          <w:rFonts w:asciiTheme="majorHAnsi" w:hAnsiTheme="majorHAnsi"/>
          <w:b/>
          <w:sz w:val="20"/>
          <w:szCs w:val="20"/>
          <w:lang w:val="pt-BR"/>
        </w:rPr>
        <w:t>OS RECURSOS INTERNOS E PR</w:t>
      </w:r>
      <w:r w:rsidRPr="00E759FB">
        <w:rPr>
          <w:rFonts w:asciiTheme="majorHAnsi" w:hAnsiTheme="majorHAnsi"/>
          <w:b/>
          <w:sz w:val="20"/>
          <w:szCs w:val="20"/>
          <w:lang w:val="pt-BR"/>
        </w:rPr>
        <w:t xml:space="preserve">AZO DE </w:t>
      </w:r>
      <w:r w:rsidR="00D21316" w:rsidRPr="00E759FB">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E759FB"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Duplicação de procedimentos e</w:t>
            </w:r>
            <w:r w:rsidR="00EE00E9" w:rsidRPr="00E759FB">
              <w:rPr>
                <w:rFonts w:asciiTheme="majorHAnsi" w:hAnsiTheme="majorHAnsi"/>
                <w:b/>
                <w:bCs/>
                <w:sz w:val="20"/>
                <w:szCs w:val="20"/>
                <w:lang w:val="pt-BR"/>
              </w:rPr>
              <w:t xml:space="preserve"> co</w:t>
            </w:r>
            <w:r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 internacional:</w:t>
            </w:r>
          </w:p>
        </w:tc>
        <w:tc>
          <w:tcPr>
            <w:tcW w:w="5760" w:type="dxa"/>
            <w:vAlign w:val="center"/>
          </w:tcPr>
          <w:p w14:paraId="240941E6" w14:textId="689F07D5" w:rsidR="00EE00E9" w:rsidRPr="00E759FB" w:rsidRDefault="00516462" w:rsidP="008D2290">
            <w:pPr>
              <w:jc w:val="both"/>
              <w:rPr>
                <w:rFonts w:asciiTheme="majorHAnsi" w:hAnsiTheme="majorHAnsi"/>
                <w:bCs/>
                <w:sz w:val="20"/>
                <w:szCs w:val="20"/>
                <w:lang w:val="pt-BR"/>
              </w:rPr>
            </w:pPr>
            <w:r w:rsidRPr="00E759FB">
              <w:rPr>
                <w:rFonts w:asciiTheme="majorHAnsi" w:hAnsiTheme="majorHAnsi"/>
                <w:bCs/>
                <w:sz w:val="20"/>
                <w:szCs w:val="20"/>
                <w:lang w:val="pt-BR"/>
              </w:rPr>
              <w:t>Não</w:t>
            </w:r>
          </w:p>
        </w:tc>
      </w:tr>
      <w:tr w:rsidR="003239B8" w:rsidRPr="00602779"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E759FB" w:rsidRDefault="00D21316" w:rsidP="00D21316">
            <w:pPr>
              <w:jc w:val="center"/>
              <w:rPr>
                <w:rFonts w:asciiTheme="majorHAnsi" w:hAnsiTheme="majorHAnsi"/>
                <w:b/>
                <w:bCs/>
                <w:i/>
                <w:sz w:val="20"/>
                <w:szCs w:val="20"/>
                <w:lang w:val="pt-BR"/>
              </w:rPr>
            </w:pPr>
            <w:r w:rsidRPr="00E759FB">
              <w:rPr>
                <w:rFonts w:asciiTheme="majorHAnsi" w:hAnsiTheme="majorHAnsi"/>
                <w:b/>
                <w:bCs/>
                <w:sz w:val="20"/>
                <w:szCs w:val="20"/>
                <w:lang w:val="pt-BR"/>
              </w:rPr>
              <w:t>Direitos</w:t>
            </w:r>
            <w:r w:rsidR="003239B8" w:rsidRPr="00E759FB">
              <w:rPr>
                <w:rFonts w:asciiTheme="majorHAnsi" w:hAnsiTheme="majorHAnsi"/>
                <w:b/>
                <w:bCs/>
                <w:sz w:val="20"/>
                <w:szCs w:val="20"/>
                <w:lang w:val="pt-BR"/>
              </w:rPr>
              <w:t xml:space="preserve"> declarados </w:t>
            </w:r>
            <w:r w:rsidRPr="00E759FB">
              <w:rPr>
                <w:rFonts w:asciiTheme="majorHAnsi" w:hAnsiTheme="majorHAnsi"/>
                <w:b/>
                <w:bCs/>
                <w:sz w:val="20"/>
                <w:szCs w:val="20"/>
                <w:lang w:val="pt-BR"/>
              </w:rPr>
              <w:t>admitidos</w:t>
            </w:r>
            <w:r w:rsidR="003239B8" w:rsidRPr="00E759FB">
              <w:rPr>
                <w:rFonts w:asciiTheme="majorHAnsi" w:hAnsiTheme="majorHAnsi"/>
                <w:b/>
                <w:bCs/>
                <w:i/>
                <w:sz w:val="20"/>
                <w:szCs w:val="20"/>
                <w:lang w:val="pt-BR"/>
              </w:rPr>
              <w:t>:</w:t>
            </w:r>
          </w:p>
        </w:tc>
        <w:tc>
          <w:tcPr>
            <w:tcW w:w="5760" w:type="dxa"/>
            <w:vAlign w:val="center"/>
          </w:tcPr>
          <w:p w14:paraId="6310C8F7" w14:textId="490E4D6E" w:rsidR="003239B8" w:rsidRPr="009F7EC3" w:rsidRDefault="00B119CB" w:rsidP="00786537">
            <w:pPr>
              <w:jc w:val="both"/>
              <w:rPr>
                <w:rFonts w:asciiTheme="majorHAnsi" w:hAnsiTheme="majorHAnsi"/>
                <w:bCs/>
                <w:sz w:val="19"/>
                <w:szCs w:val="19"/>
                <w:lang w:val="pt-BR"/>
              </w:rPr>
            </w:pPr>
            <w:r w:rsidRPr="009F7EC3">
              <w:rPr>
                <w:rFonts w:asciiTheme="majorHAnsi" w:hAnsiTheme="majorHAnsi"/>
                <w:bCs/>
                <w:sz w:val="19"/>
                <w:szCs w:val="19"/>
                <w:lang w:val="pt-BR"/>
              </w:rPr>
              <w:t xml:space="preserve">Artigos </w:t>
            </w:r>
            <w:r w:rsidRPr="009F7EC3">
              <w:rPr>
                <w:rFonts w:asciiTheme="majorHAnsi" w:hAnsiTheme="majorHAnsi"/>
                <w:bCs/>
                <w:color w:val="000000" w:themeColor="text1"/>
                <w:sz w:val="19"/>
                <w:szCs w:val="19"/>
                <w:lang w:val="pt-BR"/>
              </w:rPr>
              <w:t xml:space="preserve">4 (direito à vida), 8 (garantias judiciais) 11 (honra e dignidade), 21 (propriedade privada), 25 (proteção judicial) e 26 (direitos econômicos, sociais e culturais) </w:t>
            </w:r>
            <w:r w:rsidRPr="009F7EC3">
              <w:rPr>
                <w:rFonts w:asciiTheme="majorHAnsi" w:hAnsiTheme="majorHAnsi"/>
                <w:bCs/>
                <w:sz w:val="19"/>
                <w:szCs w:val="19"/>
                <w:lang w:val="pt-BR"/>
              </w:rPr>
              <w:t>da Convenção Americana em relação com os artigos 1 (obrigação de respeitar os direitos) e 2 (dever de adotar disposições de direito interno) do mesmo tratado</w:t>
            </w:r>
          </w:p>
        </w:tc>
      </w:tr>
      <w:tr w:rsidR="003239B8" w:rsidRPr="00602779"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E759FB" w:rsidRDefault="00D21316" w:rsidP="00D21316">
            <w:pPr>
              <w:jc w:val="center"/>
              <w:rPr>
                <w:rFonts w:asciiTheme="majorHAnsi" w:hAnsiTheme="majorHAnsi"/>
                <w:b/>
                <w:bCs/>
                <w:sz w:val="20"/>
                <w:szCs w:val="20"/>
                <w:lang w:val="pt-BR"/>
              </w:rPr>
            </w:pPr>
            <w:r w:rsidRPr="00E759FB">
              <w:rPr>
                <w:rFonts w:asciiTheme="majorHAnsi" w:hAnsiTheme="majorHAnsi"/>
                <w:b/>
                <w:bCs/>
                <w:sz w:val="20"/>
                <w:szCs w:val="20"/>
                <w:lang w:val="pt-BR"/>
              </w:rPr>
              <w:t>Esgotamento dos</w:t>
            </w:r>
            <w:r w:rsidR="003239B8" w:rsidRPr="00E759FB">
              <w:rPr>
                <w:rFonts w:asciiTheme="majorHAnsi" w:hAnsiTheme="majorHAnsi"/>
                <w:b/>
                <w:bCs/>
                <w:sz w:val="20"/>
                <w:szCs w:val="20"/>
                <w:lang w:val="pt-BR"/>
              </w:rPr>
              <w:t xml:space="preserve"> recursos internos</w:t>
            </w:r>
            <w:r w:rsidR="00EE00E9" w:rsidRPr="00E759FB">
              <w:rPr>
                <w:rFonts w:asciiTheme="majorHAnsi" w:hAnsiTheme="majorHAnsi"/>
                <w:b/>
                <w:bCs/>
                <w:sz w:val="20"/>
                <w:szCs w:val="20"/>
                <w:lang w:val="pt-BR"/>
              </w:rPr>
              <w:t xml:space="preserve"> o</w:t>
            </w:r>
            <w:r w:rsidRPr="00E759FB">
              <w:rPr>
                <w:rFonts w:asciiTheme="majorHAnsi" w:hAnsiTheme="majorHAnsi"/>
                <w:b/>
                <w:bCs/>
                <w:sz w:val="20"/>
                <w:szCs w:val="20"/>
                <w:lang w:val="pt-BR"/>
              </w:rPr>
              <w:t>u procedência de um</w:t>
            </w:r>
            <w:r w:rsidR="00EE00E9" w:rsidRPr="00E759FB">
              <w:rPr>
                <w:rFonts w:asciiTheme="majorHAnsi" w:hAnsiTheme="majorHAnsi"/>
                <w:b/>
                <w:bCs/>
                <w:sz w:val="20"/>
                <w:szCs w:val="20"/>
                <w:lang w:val="pt-BR"/>
              </w:rPr>
              <w:t xml:space="preserve">a </w:t>
            </w:r>
            <w:r w:rsidRPr="00E759FB">
              <w:rPr>
                <w:rFonts w:asciiTheme="majorHAnsi" w:hAnsiTheme="majorHAnsi"/>
                <w:b/>
                <w:bCs/>
                <w:sz w:val="20"/>
                <w:szCs w:val="20"/>
                <w:lang w:val="pt-BR"/>
              </w:rPr>
              <w:t>exceção</w:t>
            </w:r>
            <w:r w:rsidR="003239B8" w:rsidRPr="00E759FB">
              <w:rPr>
                <w:rFonts w:asciiTheme="majorHAnsi" w:hAnsiTheme="majorHAnsi"/>
                <w:b/>
                <w:bCs/>
                <w:sz w:val="20"/>
                <w:szCs w:val="20"/>
                <w:lang w:val="pt-BR"/>
              </w:rPr>
              <w:t>:</w:t>
            </w:r>
          </w:p>
        </w:tc>
        <w:tc>
          <w:tcPr>
            <w:tcW w:w="5760" w:type="dxa"/>
            <w:vAlign w:val="center"/>
          </w:tcPr>
          <w:p w14:paraId="69C53E8A" w14:textId="1C938244" w:rsidR="003239B8" w:rsidRPr="00574228" w:rsidRDefault="00E759FB" w:rsidP="008D2290">
            <w:pPr>
              <w:rPr>
                <w:rFonts w:asciiTheme="majorHAnsi" w:hAnsiTheme="majorHAnsi"/>
                <w:bCs/>
                <w:sz w:val="20"/>
                <w:szCs w:val="20"/>
                <w:lang w:val="pt-BR"/>
              </w:rPr>
            </w:pPr>
            <w:r w:rsidRPr="00574228">
              <w:rPr>
                <w:rFonts w:asciiTheme="majorHAnsi" w:hAnsiTheme="majorHAnsi"/>
                <w:bCs/>
                <w:sz w:val="20"/>
                <w:szCs w:val="20"/>
                <w:lang w:val="pt-BR"/>
              </w:rPr>
              <w:t>Sim</w:t>
            </w:r>
            <w:r w:rsidR="00B3147B" w:rsidRPr="00574228">
              <w:rPr>
                <w:rFonts w:asciiTheme="majorHAnsi" w:hAnsiTheme="majorHAnsi"/>
                <w:bCs/>
                <w:sz w:val="20"/>
                <w:szCs w:val="20"/>
                <w:lang w:val="pt-BR"/>
              </w:rPr>
              <w:t xml:space="preserve">, </w:t>
            </w:r>
            <w:r w:rsidR="002763A8">
              <w:rPr>
                <w:rFonts w:asciiTheme="majorHAnsi" w:hAnsiTheme="majorHAnsi"/>
                <w:bCs/>
                <w:sz w:val="20"/>
                <w:szCs w:val="20"/>
                <w:lang w:val="pt-BR"/>
              </w:rPr>
              <w:t>nos termos da Seção VI</w:t>
            </w:r>
          </w:p>
        </w:tc>
      </w:tr>
      <w:tr w:rsidR="003239B8" w:rsidRPr="00602779"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Apresentação dentro do pr</w:t>
            </w:r>
            <w:r w:rsidR="003239B8" w:rsidRPr="00E759FB">
              <w:rPr>
                <w:rFonts w:asciiTheme="majorHAnsi" w:hAnsiTheme="majorHAnsi"/>
                <w:b/>
                <w:bCs/>
                <w:sz w:val="20"/>
                <w:szCs w:val="20"/>
                <w:lang w:val="pt-BR"/>
              </w:rPr>
              <w:t>azo:</w:t>
            </w:r>
          </w:p>
        </w:tc>
        <w:tc>
          <w:tcPr>
            <w:tcW w:w="5760" w:type="dxa"/>
            <w:vAlign w:val="center"/>
          </w:tcPr>
          <w:p w14:paraId="4A2A4569" w14:textId="2953CDE4" w:rsidR="003239B8" w:rsidRPr="00574228" w:rsidRDefault="00B3147B" w:rsidP="008D2290">
            <w:pPr>
              <w:rPr>
                <w:rFonts w:asciiTheme="majorHAnsi" w:hAnsiTheme="majorHAnsi"/>
                <w:bCs/>
                <w:sz w:val="20"/>
                <w:szCs w:val="20"/>
                <w:lang w:val="pt-BR"/>
              </w:rPr>
            </w:pPr>
            <w:r w:rsidRPr="00574228">
              <w:rPr>
                <w:rFonts w:asciiTheme="majorHAnsi" w:hAnsiTheme="majorHAnsi"/>
                <w:bCs/>
                <w:sz w:val="20"/>
                <w:szCs w:val="20"/>
                <w:lang w:val="pt-BR"/>
              </w:rPr>
              <w:t xml:space="preserve">Sim, </w:t>
            </w:r>
            <w:r w:rsidR="002763A8">
              <w:rPr>
                <w:rFonts w:asciiTheme="majorHAnsi" w:hAnsiTheme="majorHAnsi"/>
                <w:bCs/>
                <w:sz w:val="20"/>
                <w:szCs w:val="20"/>
                <w:lang w:val="pt-BR"/>
              </w:rPr>
              <w:t>nos termos da Seção VI</w:t>
            </w:r>
          </w:p>
        </w:tc>
      </w:tr>
    </w:tbl>
    <w:p w14:paraId="18E6423B" w14:textId="476F88C0" w:rsidR="003239B8" w:rsidRPr="00E759FB" w:rsidRDefault="00223A29" w:rsidP="003239B8">
      <w:pPr>
        <w:spacing w:before="240" w:after="240"/>
        <w:ind w:firstLine="720"/>
        <w:jc w:val="both"/>
        <w:rPr>
          <w:rFonts w:asciiTheme="majorHAnsi" w:hAnsiTheme="majorHAnsi"/>
          <w:b/>
          <w:sz w:val="20"/>
          <w:szCs w:val="20"/>
          <w:lang w:val="pt-BR"/>
        </w:rPr>
      </w:pPr>
      <w:r w:rsidRPr="00E759FB">
        <w:rPr>
          <w:rFonts w:asciiTheme="majorHAnsi" w:hAnsiTheme="majorHAnsi"/>
          <w:b/>
          <w:sz w:val="20"/>
          <w:szCs w:val="20"/>
          <w:lang w:val="pt-BR"/>
        </w:rPr>
        <w:lastRenderedPageBreak/>
        <w:t xml:space="preserve">V. </w:t>
      </w:r>
      <w:r w:rsidRPr="00E759FB">
        <w:rPr>
          <w:rFonts w:asciiTheme="majorHAnsi" w:hAnsiTheme="majorHAnsi"/>
          <w:b/>
          <w:sz w:val="20"/>
          <w:szCs w:val="20"/>
          <w:lang w:val="pt-BR"/>
        </w:rPr>
        <w:tab/>
      </w:r>
      <w:r w:rsidR="00D21316" w:rsidRPr="00E759FB">
        <w:rPr>
          <w:rFonts w:asciiTheme="majorHAnsi" w:hAnsiTheme="majorHAnsi"/>
          <w:b/>
          <w:sz w:val="20"/>
          <w:szCs w:val="20"/>
          <w:lang w:val="pt-BR"/>
        </w:rPr>
        <w:t>FATOS</w:t>
      </w:r>
      <w:r w:rsidR="003239B8" w:rsidRPr="00E759FB">
        <w:rPr>
          <w:rFonts w:asciiTheme="majorHAnsi" w:hAnsiTheme="majorHAnsi"/>
          <w:b/>
          <w:sz w:val="20"/>
          <w:szCs w:val="20"/>
          <w:lang w:val="pt-BR"/>
        </w:rPr>
        <w:t xml:space="preserve"> ALEGADOS </w:t>
      </w:r>
    </w:p>
    <w:p w14:paraId="7DEA25E6" w14:textId="03F98833" w:rsidR="0084230D" w:rsidRDefault="004B1D1E" w:rsidP="0084230D">
      <w:pPr>
        <w:pStyle w:val="ListParagraph"/>
        <w:numPr>
          <w:ilvl w:val="0"/>
          <w:numId w:val="103"/>
        </w:numPr>
        <w:jc w:val="both"/>
        <w:rPr>
          <w:rFonts w:asciiTheme="majorHAnsi" w:hAnsiTheme="majorHAnsi"/>
          <w:sz w:val="20"/>
          <w:szCs w:val="20"/>
          <w:lang w:val="pt-BR"/>
        </w:rPr>
      </w:pPr>
      <w:r w:rsidRPr="00B3147B">
        <w:rPr>
          <w:rFonts w:asciiTheme="majorHAnsi" w:hAnsiTheme="majorHAnsi"/>
          <w:sz w:val="20"/>
          <w:szCs w:val="20"/>
          <w:lang w:val="pt-BR"/>
        </w:rPr>
        <w:t xml:space="preserve">A parte peticionária </w:t>
      </w:r>
      <w:r w:rsidRPr="0084230D">
        <w:rPr>
          <w:rFonts w:asciiTheme="majorHAnsi" w:hAnsiTheme="majorHAnsi"/>
          <w:sz w:val="20"/>
          <w:szCs w:val="20"/>
          <w:lang w:val="pt-BR"/>
        </w:rPr>
        <w:t>afirma que o Estado brasileiro é responsável pela viola</w:t>
      </w:r>
      <w:r w:rsidRPr="0084230D">
        <w:rPr>
          <w:rFonts w:asciiTheme="majorHAnsi" w:hAnsiTheme="majorHAnsi"/>
          <w:bCs/>
          <w:sz w:val="20"/>
          <w:szCs w:val="20"/>
          <w:lang w:val="pt-BR"/>
        </w:rPr>
        <w:t>ção</w:t>
      </w:r>
      <w:r w:rsidRPr="0084230D">
        <w:rPr>
          <w:rFonts w:asciiTheme="majorHAnsi" w:hAnsiTheme="majorHAnsi"/>
          <w:sz w:val="20"/>
          <w:szCs w:val="20"/>
          <w:lang w:val="pt-BR"/>
        </w:rPr>
        <w:t xml:space="preserve"> </w:t>
      </w:r>
      <w:r w:rsidR="007C273E" w:rsidRPr="0084230D">
        <w:rPr>
          <w:rFonts w:asciiTheme="majorHAnsi" w:hAnsiTheme="majorHAnsi"/>
          <w:sz w:val="20"/>
          <w:szCs w:val="20"/>
          <w:lang w:val="pt-BR"/>
        </w:rPr>
        <w:t>dos direitos à proteção da honra e da dignidade, bem como do direito à propriedade</w:t>
      </w:r>
      <w:r w:rsidR="0084230D" w:rsidRPr="0084230D">
        <w:rPr>
          <w:rFonts w:asciiTheme="majorHAnsi" w:hAnsiTheme="majorHAnsi"/>
          <w:sz w:val="20"/>
          <w:szCs w:val="20"/>
          <w:lang w:val="pt-BR"/>
        </w:rPr>
        <w:t xml:space="preserve"> dos advogados</w:t>
      </w:r>
      <w:r w:rsidR="00B30A1F">
        <w:rPr>
          <w:rFonts w:asciiTheme="majorHAnsi" w:hAnsiTheme="majorHAnsi"/>
          <w:sz w:val="20"/>
          <w:szCs w:val="20"/>
          <w:lang w:val="pt-BR"/>
        </w:rPr>
        <w:t xml:space="preserve"> e advogadas</w:t>
      </w:r>
      <w:r w:rsidR="0084230D" w:rsidRPr="0084230D">
        <w:rPr>
          <w:rFonts w:asciiTheme="majorHAnsi" w:hAnsiTheme="majorHAnsi"/>
          <w:sz w:val="20"/>
          <w:szCs w:val="20"/>
          <w:lang w:val="pt-BR"/>
        </w:rPr>
        <w:t xml:space="preserve"> membros do Instituto de Previdência do Estado de São Paulo (adiante “IPESP”)</w:t>
      </w:r>
      <w:r w:rsidR="007C273E">
        <w:rPr>
          <w:rFonts w:asciiTheme="majorHAnsi" w:hAnsiTheme="majorHAnsi"/>
          <w:sz w:val="20"/>
          <w:szCs w:val="20"/>
          <w:lang w:val="pt-BR"/>
        </w:rPr>
        <w:t xml:space="preserve">, </w:t>
      </w:r>
      <w:r w:rsidR="00BD5919">
        <w:rPr>
          <w:rFonts w:asciiTheme="majorHAnsi" w:hAnsiTheme="majorHAnsi"/>
          <w:sz w:val="20"/>
          <w:szCs w:val="20"/>
          <w:lang w:val="pt-BR"/>
        </w:rPr>
        <w:t>devido à ato d</w:t>
      </w:r>
      <w:r w:rsidR="007C273E">
        <w:rPr>
          <w:rFonts w:asciiTheme="majorHAnsi" w:hAnsiTheme="majorHAnsi"/>
          <w:sz w:val="20"/>
          <w:szCs w:val="20"/>
          <w:lang w:val="pt-BR"/>
        </w:rPr>
        <w:t>o estado de São Paulo</w:t>
      </w:r>
      <w:r w:rsidR="00BD5919">
        <w:rPr>
          <w:rFonts w:asciiTheme="majorHAnsi" w:hAnsiTheme="majorHAnsi"/>
          <w:sz w:val="20"/>
          <w:szCs w:val="20"/>
          <w:lang w:val="pt-BR"/>
        </w:rPr>
        <w:t xml:space="preserve"> que publicou a Lei No. 13.549/200</w:t>
      </w:r>
      <w:r w:rsidR="00450545">
        <w:rPr>
          <w:rFonts w:asciiTheme="majorHAnsi" w:hAnsiTheme="majorHAnsi"/>
          <w:sz w:val="20"/>
          <w:szCs w:val="20"/>
          <w:lang w:val="pt-BR"/>
        </w:rPr>
        <w:t>9</w:t>
      </w:r>
      <w:r w:rsidR="0084230D">
        <w:rPr>
          <w:rFonts w:asciiTheme="majorHAnsi" w:hAnsiTheme="majorHAnsi"/>
          <w:sz w:val="20"/>
          <w:szCs w:val="20"/>
          <w:lang w:val="pt-BR"/>
        </w:rPr>
        <w:t xml:space="preserve"> </w:t>
      </w:r>
      <w:r w:rsidR="00F30CB2">
        <w:rPr>
          <w:rFonts w:asciiTheme="majorHAnsi" w:hAnsiTheme="majorHAnsi"/>
          <w:sz w:val="20"/>
          <w:szCs w:val="20"/>
          <w:lang w:val="pt-BR"/>
        </w:rPr>
        <w:t xml:space="preserve">e </w:t>
      </w:r>
      <w:r w:rsidR="0084230D">
        <w:rPr>
          <w:rFonts w:asciiTheme="majorHAnsi" w:hAnsiTheme="majorHAnsi"/>
          <w:sz w:val="20"/>
          <w:szCs w:val="20"/>
          <w:lang w:val="pt-BR"/>
        </w:rPr>
        <w:t>modificou o regime de aposentadoria d</w:t>
      </w:r>
      <w:r w:rsidR="00F30CB2">
        <w:rPr>
          <w:rFonts w:asciiTheme="majorHAnsi" w:hAnsiTheme="majorHAnsi"/>
          <w:sz w:val="20"/>
          <w:szCs w:val="20"/>
          <w:lang w:val="pt-BR"/>
        </w:rPr>
        <w:t>es</w:t>
      </w:r>
      <w:r w:rsidR="0084230D">
        <w:rPr>
          <w:rFonts w:asciiTheme="majorHAnsi" w:hAnsiTheme="majorHAnsi"/>
          <w:sz w:val="20"/>
          <w:szCs w:val="20"/>
          <w:lang w:val="pt-BR"/>
        </w:rPr>
        <w:t>s</w:t>
      </w:r>
      <w:r w:rsidR="00F30CB2">
        <w:rPr>
          <w:rFonts w:asciiTheme="majorHAnsi" w:hAnsiTheme="majorHAnsi"/>
          <w:sz w:val="20"/>
          <w:szCs w:val="20"/>
          <w:lang w:val="pt-BR"/>
        </w:rPr>
        <w:t>es</w:t>
      </w:r>
      <w:r w:rsidR="0084230D">
        <w:rPr>
          <w:rFonts w:asciiTheme="majorHAnsi" w:hAnsiTheme="majorHAnsi"/>
          <w:sz w:val="20"/>
          <w:szCs w:val="20"/>
          <w:lang w:val="pt-BR"/>
        </w:rPr>
        <w:t xml:space="preserve"> advogados</w:t>
      </w:r>
      <w:r w:rsidR="0084230D" w:rsidRPr="0084230D">
        <w:rPr>
          <w:rFonts w:asciiTheme="majorHAnsi" w:hAnsiTheme="majorHAnsi"/>
          <w:sz w:val="20"/>
          <w:szCs w:val="20"/>
          <w:lang w:val="pt-BR"/>
        </w:rPr>
        <w:t>, implicando na redução dos valores de futuros benefícios; na ampliação da idade mínima para a concessão da aposentadoria, cumulando-se com 35 anos de inscrição do advogado junto à Seção de São Paulo da Ordem dos Advogados do Brasil (adiante “OAB-SP”)</w:t>
      </w:r>
      <w:r w:rsidR="0084230D">
        <w:rPr>
          <w:rFonts w:asciiTheme="majorHAnsi" w:hAnsiTheme="majorHAnsi"/>
          <w:sz w:val="20"/>
          <w:szCs w:val="20"/>
          <w:lang w:val="pt-BR"/>
        </w:rPr>
        <w:t xml:space="preserve">; </w:t>
      </w:r>
      <w:r w:rsidR="00F30CB2">
        <w:rPr>
          <w:rFonts w:asciiTheme="majorHAnsi" w:hAnsiTheme="majorHAnsi"/>
          <w:sz w:val="20"/>
          <w:szCs w:val="20"/>
          <w:lang w:val="pt-BR"/>
        </w:rPr>
        <w:t xml:space="preserve">no </w:t>
      </w:r>
      <w:r w:rsidR="0084230D">
        <w:rPr>
          <w:rFonts w:asciiTheme="majorHAnsi" w:hAnsiTheme="majorHAnsi"/>
          <w:sz w:val="20"/>
          <w:szCs w:val="20"/>
          <w:lang w:val="pt-BR"/>
        </w:rPr>
        <w:t xml:space="preserve">aumento da contribuição de 5% para 20%; </w:t>
      </w:r>
      <w:r w:rsidR="00F30CB2">
        <w:rPr>
          <w:rFonts w:asciiTheme="majorHAnsi" w:hAnsiTheme="majorHAnsi"/>
          <w:sz w:val="20"/>
          <w:szCs w:val="20"/>
          <w:lang w:val="pt-BR"/>
        </w:rPr>
        <w:t xml:space="preserve">e na </w:t>
      </w:r>
      <w:r w:rsidR="0084230D">
        <w:rPr>
          <w:rFonts w:asciiTheme="majorHAnsi" w:hAnsiTheme="majorHAnsi"/>
          <w:sz w:val="20"/>
          <w:szCs w:val="20"/>
          <w:lang w:val="pt-BR"/>
        </w:rPr>
        <w:t xml:space="preserve">transformação da aposentadoria vitalícia em um título de capitalização, cujo fundo individualizado seria resgatado no período médio de três anos. </w:t>
      </w:r>
      <w:r w:rsidR="0084230D" w:rsidRPr="0084230D">
        <w:rPr>
          <w:rFonts w:asciiTheme="majorHAnsi" w:hAnsiTheme="majorHAnsi"/>
          <w:sz w:val="20"/>
          <w:szCs w:val="20"/>
          <w:lang w:val="pt-BR"/>
        </w:rPr>
        <w:t>Ademais, sustenta que devido à condição de pessoas idosas, as supostas vítimas foram mais afetadas pelas violações</w:t>
      </w:r>
      <w:r w:rsidR="0084230D">
        <w:rPr>
          <w:rFonts w:asciiTheme="majorHAnsi" w:hAnsiTheme="majorHAnsi"/>
          <w:sz w:val="20"/>
          <w:szCs w:val="20"/>
          <w:lang w:val="pt-BR"/>
        </w:rPr>
        <w:t>, tendo violado os seus projetos de vida</w:t>
      </w:r>
      <w:r w:rsidR="00592B70">
        <w:rPr>
          <w:rFonts w:asciiTheme="majorHAnsi" w:hAnsiTheme="majorHAnsi"/>
          <w:sz w:val="20"/>
          <w:szCs w:val="20"/>
          <w:lang w:val="pt-BR"/>
        </w:rPr>
        <w:t xml:space="preserve"> e seu direito à vida digna</w:t>
      </w:r>
      <w:r w:rsidR="0084230D">
        <w:rPr>
          <w:rFonts w:asciiTheme="majorHAnsi" w:hAnsiTheme="majorHAnsi"/>
          <w:sz w:val="20"/>
          <w:szCs w:val="20"/>
          <w:lang w:val="pt-BR"/>
        </w:rPr>
        <w:t>.</w:t>
      </w:r>
    </w:p>
    <w:p w14:paraId="5E1A9CAC" w14:textId="77777777" w:rsidR="00F30CB2" w:rsidRPr="00F30CB2" w:rsidRDefault="00F30CB2" w:rsidP="00F30CB2">
      <w:pPr>
        <w:pStyle w:val="ListParagraph"/>
        <w:jc w:val="both"/>
        <w:rPr>
          <w:rFonts w:asciiTheme="majorHAnsi" w:hAnsiTheme="majorHAnsi"/>
          <w:sz w:val="20"/>
          <w:szCs w:val="20"/>
          <w:lang w:val="pt-BR"/>
        </w:rPr>
      </w:pPr>
    </w:p>
    <w:p w14:paraId="0893B778" w14:textId="25F22F77" w:rsidR="001A1696" w:rsidRPr="001A1696" w:rsidRDefault="00426C26" w:rsidP="00051090">
      <w:pPr>
        <w:pStyle w:val="ListParagraph"/>
        <w:numPr>
          <w:ilvl w:val="0"/>
          <w:numId w:val="103"/>
        </w:numPr>
        <w:jc w:val="both"/>
        <w:rPr>
          <w:rFonts w:asciiTheme="majorHAnsi" w:hAnsiTheme="majorHAnsi"/>
          <w:bCs/>
          <w:sz w:val="20"/>
          <w:szCs w:val="20"/>
          <w:lang w:val="pt-BR"/>
        </w:rPr>
      </w:pPr>
      <w:r>
        <w:rPr>
          <w:rFonts w:asciiTheme="majorHAnsi" w:hAnsiTheme="majorHAnsi"/>
          <w:sz w:val="20"/>
          <w:szCs w:val="20"/>
          <w:lang w:val="pt-BR"/>
        </w:rPr>
        <w:t>Esclarece que a Lei Estadual No. 5.174/1959, do Estado de São Paulo, criou, em 1959, a Carteira de Previdência dos Advogados de São Paulo,</w:t>
      </w:r>
      <w:r w:rsidR="00E3563D">
        <w:rPr>
          <w:rFonts w:asciiTheme="majorHAnsi" w:hAnsiTheme="majorHAnsi"/>
          <w:sz w:val="20"/>
          <w:szCs w:val="20"/>
          <w:lang w:val="pt-BR"/>
        </w:rPr>
        <w:t xml:space="preserve"> </w:t>
      </w:r>
      <w:r>
        <w:rPr>
          <w:rFonts w:asciiTheme="majorHAnsi" w:hAnsiTheme="majorHAnsi"/>
          <w:sz w:val="20"/>
          <w:szCs w:val="20"/>
          <w:lang w:val="pt-BR"/>
        </w:rPr>
        <w:t>órgão com autonomia financeira</w:t>
      </w:r>
      <w:r w:rsidR="00E3563D">
        <w:rPr>
          <w:rFonts w:asciiTheme="majorHAnsi" w:hAnsiTheme="majorHAnsi"/>
          <w:sz w:val="20"/>
          <w:szCs w:val="20"/>
          <w:lang w:val="pt-BR"/>
        </w:rPr>
        <w:t xml:space="preserve"> e patrimônio próprio, com o objetivo de proporcionar aposentadoria aos advogados e pensão aos seus dependentes. Afirma que a criação da Carteira </w:t>
      </w:r>
      <w:r w:rsidR="00E3563D" w:rsidRPr="00E3563D">
        <w:rPr>
          <w:rFonts w:asciiTheme="majorHAnsi" w:hAnsiTheme="majorHAnsi"/>
          <w:sz w:val="20"/>
          <w:szCs w:val="20"/>
          <w:lang w:val="pt-BR"/>
        </w:rPr>
        <w:t>de Previdência dos Advogados de São Paulo</w:t>
      </w:r>
      <w:r w:rsidR="00E3563D">
        <w:rPr>
          <w:rFonts w:asciiTheme="majorHAnsi" w:hAnsiTheme="majorHAnsi"/>
          <w:sz w:val="20"/>
          <w:szCs w:val="20"/>
          <w:lang w:val="pt-BR"/>
        </w:rPr>
        <w:t xml:space="preserve"> foi um marco na conquista de benefícios previdenciários aos advogados, pois eles haviam sido excluídos do regime previdenciário que criou os Institutos de Aposentadoria (IAPI, IAPC). A Carteira de Previdência dos Advogados de São Paulo foi criada como órgão que vinculava obrigatoriamente todos os advogados e advogadas de São Paulo.</w:t>
      </w:r>
      <w:r w:rsidR="00793073">
        <w:rPr>
          <w:rFonts w:asciiTheme="majorHAnsi" w:hAnsiTheme="majorHAnsi"/>
          <w:sz w:val="20"/>
          <w:szCs w:val="20"/>
          <w:lang w:val="pt-BR"/>
        </w:rPr>
        <w:t xml:space="preserve"> </w:t>
      </w:r>
    </w:p>
    <w:p w14:paraId="5713BCE6" w14:textId="77777777" w:rsidR="001A1696" w:rsidRPr="001A1696" w:rsidRDefault="001A1696" w:rsidP="00D80E93">
      <w:pPr>
        <w:pStyle w:val="ListParagraph"/>
        <w:jc w:val="both"/>
        <w:rPr>
          <w:rFonts w:asciiTheme="majorHAnsi" w:hAnsiTheme="majorHAnsi"/>
          <w:bCs/>
          <w:sz w:val="20"/>
          <w:szCs w:val="20"/>
          <w:lang w:val="pt-BR"/>
        </w:rPr>
      </w:pPr>
    </w:p>
    <w:p w14:paraId="3712AC8D" w14:textId="3CE644E5" w:rsidR="001A1696" w:rsidRDefault="00793073" w:rsidP="00051090">
      <w:pPr>
        <w:pStyle w:val="ListParagraph"/>
        <w:numPr>
          <w:ilvl w:val="0"/>
          <w:numId w:val="103"/>
        </w:numPr>
        <w:jc w:val="both"/>
        <w:rPr>
          <w:rFonts w:asciiTheme="majorHAnsi" w:hAnsiTheme="majorHAnsi"/>
          <w:bCs/>
          <w:sz w:val="20"/>
          <w:szCs w:val="20"/>
          <w:lang w:val="pt-BR"/>
        </w:rPr>
      </w:pPr>
      <w:r>
        <w:rPr>
          <w:rFonts w:asciiTheme="majorHAnsi" w:hAnsiTheme="majorHAnsi"/>
          <w:sz w:val="20"/>
          <w:szCs w:val="20"/>
          <w:lang w:val="pt-BR"/>
        </w:rPr>
        <w:t xml:space="preserve">Porém, com o advento da Lei Orgânica da Previdência Social, em 1960, os advogados e as advogadas, foram abrangidos pelo regime de previdência federal, administrado pelo Instituto Nacional de Previdência Social (adiante “o INSS”), e a Carteira </w:t>
      </w:r>
      <w:r w:rsidR="00037F35">
        <w:rPr>
          <w:rFonts w:asciiTheme="majorHAnsi" w:hAnsiTheme="majorHAnsi"/>
          <w:sz w:val="20"/>
          <w:szCs w:val="20"/>
          <w:lang w:val="pt-BR"/>
        </w:rPr>
        <w:t>de Previdência Social dos Advogados de São Paulo foi reformulada pela Lei Estadual No. 10.394, de 16 de dezembro de 1970, e a vinculação dos advogados e advogadas ao regime de previdência passou a ser facultativa.</w:t>
      </w:r>
      <w:r w:rsidR="00037F35" w:rsidRPr="00037F35">
        <w:rPr>
          <w:rFonts w:asciiTheme="majorHAnsi" w:hAnsiTheme="majorHAnsi"/>
          <w:bCs/>
          <w:sz w:val="20"/>
          <w:szCs w:val="20"/>
          <w:lang w:val="pt-BR"/>
        </w:rPr>
        <w:t xml:space="preserve"> </w:t>
      </w:r>
      <w:r w:rsidR="00037F35">
        <w:rPr>
          <w:rFonts w:asciiTheme="majorHAnsi" w:hAnsiTheme="majorHAnsi"/>
          <w:bCs/>
          <w:sz w:val="20"/>
          <w:szCs w:val="20"/>
          <w:lang w:val="pt-BR"/>
        </w:rPr>
        <w:t>Nesse sentido, a parte peticionária afirma que o estado de São Paulo procurou garantir a previdência complementar dos profissionais sujeitos apenas ao regime do INSS.</w:t>
      </w:r>
      <w:r w:rsidR="002B08B3">
        <w:rPr>
          <w:rFonts w:asciiTheme="majorHAnsi" w:hAnsiTheme="majorHAnsi"/>
          <w:bCs/>
          <w:sz w:val="20"/>
          <w:szCs w:val="20"/>
          <w:lang w:val="pt-BR"/>
        </w:rPr>
        <w:t xml:space="preserve"> </w:t>
      </w:r>
    </w:p>
    <w:p w14:paraId="68EDE014" w14:textId="77777777" w:rsidR="003E1CF3" w:rsidRPr="003E1CF3" w:rsidRDefault="003E1CF3" w:rsidP="003E1CF3">
      <w:pPr>
        <w:jc w:val="both"/>
        <w:rPr>
          <w:rFonts w:asciiTheme="majorHAnsi" w:hAnsiTheme="majorHAnsi"/>
          <w:bCs/>
          <w:sz w:val="20"/>
          <w:szCs w:val="20"/>
          <w:lang w:val="pt-BR"/>
        </w:rPr>
      </w:pPr>
    </w:p>
    <w:p w14:paraId="0344F141" w14:textId="5497F974" w:rsidR="0084230D" w:rsidRPr="00D80E93" w:rsidRDefault="00037F35">
      <w:pPr>
        <w:pStyle w:val="ListParagraph"/>
        <w:numPr>
          <w:ilvl w:val="0"/>
          <w:numId w:val="103"/>
        </w:numPr>
        <w:jc w:val="both"/>
        <w:rPr>
          <w:rFonts w:asciiTheme="majorHAnsi" w:hAnsiTheme="majorHAnsi"/>
          <w:bCs/>
          <w:sz w:val="20"/>
          <w:szCs w:val="20"/>
          <w:lang w:val="pt-BR"/>
        </w:rPr>
      </w:pPr>
      <w:r w:rsidRPr="00CA6B02">
        <w:rPr>
          <w:rFonts w:asciiTheme="majorHAnsi" w:hAnsiTheme="majorHAnsi"/>
          <w:bCs/>
          <w:sz w:val="20"/>
          <w:szCs w:val="20"/>
          <w:lang w:val="pt-BR"/>
        </w:rPr>
        <w:t>Entretanto, os peticionários alegam que a Lei Estadual No. 13.549, de 26 de maio de 2009, extinguiu o regime da Carteira de previdência dos Advogados de São Paulo, e que o seu artigo 1.2 afirma que o Estado não será responsável pelo pagamento dos benefícios já concedidos ou que venham a ser concedidos no âmbito da Carteira de Advogados, e que tampouco pagar</w:t>
      </w:r>
      <w:r w:rsidR="00E025FF" w:rsidRPr="00CA6B02">
        <w:rPr>
          <w:rFonts w:asciiTheme="majorHAnsi" w:hAnsiTheme="majorHAnsi"/>
          <w:bCs/>
          <w:sz w:val="20"/>
          <w:szCs w:val="20"/>
          <w:lang w:val="pt-BR"/>
        </w:rPr>
        <w:t>ia</w:t>
      </w:r>
      <w:r w:rsidRPr="00CA6B02">
        <w:rPr>
          <w:rFonts w:asciiTheme="majorHAnsi" w:hAnsiTheme="majorHAnsi"/>
          <w:bCs/>
          <w:sz w:val="20"/>
          <w:szCs w:val="20"/>
          <w:lang w:val="pt-BR"/>
        </w:rPr>
        <w:t xml:space="preserve"> indenização a seus participantes ou insuficiência patrimonial passada ou futura. </w:t>
      </w:r>
      <w:r w:rsidR="00E025FF" w:rsidRPr="00CA6B02">
        <w:rPr>
          <w:rFonts w:asciiTheme="majorHAnsi" w:hAnsiTheme="majorHAnsi"/>
          <w:bCs/>
          <w:sz w:val="20"/>
          <w:szCs w:val="20"/>
          <w:lang w:val="pt-BR"/>
        </w:rPr>
        <w:t>Segundo os peticionários, o Estado de São Paulo era gestor dos fundos da Carteira, que geravam rendimentos destinados a mantê-lo.</w:t>
      </w:r>
      <w:r w:rsidR="00051090" w:rsidRPr="00CA6B02">
        <w:rPr>
          <w:rFonts w:asciiTheme="majorHAnsi" w:hAnsiTheme="majorHAnsi"/>
          <w:bCs/>
          <w:sz w:val="20"/>
          <w:szCs w:val="20"/>
          <w:lang w:val="pt-BR"/>
        </w:rPr>
        <w:t xml:space="preserve"> Assim, um grande número de advogados e advogadas não pode se aposentar. </w:t>
      </w:r>
      <w:r w:rsidR="00F30CB2" w:rsidRPr="00CA6B02">
        <w:rPr>
          <w:rFonts w:asciiTheme="majorHAnsi" w:hAnsiTheme="majorHAnsi"/>
          <w:bCs/>
          <w:sz w:val="20"/>
          <w:szCs w:val="20"/>
          <w:lang w:val="pt-BR"/>
        </w:rPr>
        <w:t xml:space="preserve">Ademais, afirmam que em 2018, o Estado de São Paulo publicou a Lei No. 16.877 que extinguiu a Carteira de Previdência, </w:t>
      </w:r>
      <w:r w:rsidR="00F30CB2">
        <w:rPr>
          <w:rFonts w:asciiTheme="majorHAnsi" w:hAnsiTheme="majorHAnsi"/>
          <w:bCs/>
          <w:sz w:val="20"/>
          <w:szCs w:val="20"/>
          <w:lang w:val="pt-BR"/>
        </w:rPr>
        <w:t>extinguindo todas as aposentadorias, e determinando que os contribuintes levantassem os saldos de suas contas individuais</w:t>
      </w:r>
      <w:r w:rsidR="00F30CB2" w:rsidRPr="00CA6B02">
        <w:rPr>
          <w:rFonts w:asciiTheme="majorHAnsi" w:hAnsiTheme="majorHAnsi"/>
          <w:bCs/>
          <w:sz w:val="20"/>
          <w:szCs w:val="20"/>
          <w:lang w:val="pt-BR"/>
        </w:rPr>
        <w:t>.</w:t>
      </w:r>
      <w:r w:rsidR="001A1696">
        <w:rPr>
          <w:rFonts w:asciiTheme="majorHAnsi" w:hAnsiTheme="majorHAnsi"/>
          <w:bCs/>
          <w:sz w:val="20"/>
          <w:szCs w:val="20"/>
          <w:lang w:val="pt-BR"/>
        </w:rPr>
        <w:t xml:space="preserve"> Aduz que essa decisao afetou os advogados e advogadas, viúvas e órfãos que já recebiam as aposentadorias e pensões; os advogados que contribuíram, mas não requereram a aposentadoria, embora já tivessem todas as condições; os advogados que ainda contribuíam para o fundo. </w:t>
      </w:r>
    </w:p>
    <w:p w14:paraId="6667857B" w14:textId="77777777" w:rsidR="00F30CB2" w:rsidRPr="00F30CB2" w:rsidRDefault="00F30CB2" w:rsidP="00F30CB2">
      <w:pPr>
        <w:pStyle w:val="ListParagraph"/>
        <w:jc w:val="both"/>
        <w:rPr>
          <w:rFonts w:asciiTheme="majorHAnsi" w:hAnsiTheme="majorHAnsi"/>
          <w:bCs/>
          <w:sz w:val="20"/>
          <w:szCs w:val="20"/>
          <w:lang w:val="pt-BR"/>
        </w:rPr>
      </w:pPr>
    </w:p>
    <w:p w14:paraId="5A367AE7" w14:textId="7715CE8D" w:rsidR="001A1696" w:rsidRPr="00D80E93" w:rsidRDefault="00037F35" w:rsidP="001A1696">
      <w:pPr>
        <w:pStyle w:val="ListParagraph"/>
        <w:numPr>
          <w:ilvl w:val="0"/>
          <w:numId w:val="103"/>
        </w:numPr>
        <w:jc w:val="both"/>
        <w:rPr>
          <w:rFonts w:asciiTheme="majorHAnsi" w:hAnsiTheme="majorHAnsi"/>
          <w:bCs/>
          <w:sz w:val="20"/>
          <w:szCs w:val="20"/>
          <w:lang w:val="pt-BR"/>
        </w:rPr>
      </w:pPr>
      <w:r w:rsidRPr="002B08B3">
        <w:rPr>
          <w:rFonts w:asciiTheme="majorHAnsi" w:hAnsiTheme="majorHAnsi"/>
          <w:bCs/>
          <w:sz w:val="20"/>
          <w:szCs w:val="20"/>
          <w:lang w:val="pt-BR"/>
        </w:rPr>
        <w:t xml:space="preserve">Afirmam que diante da </w:t>
      </w:r>
      <w:r w:rsidR="00F30CB2" w:rsidRPr="00CA6B02">
        <w:rPr>
          <w:rFonts w:asciiTheme="majorHAnsi" w:hAnsiTheme="majorHAnsi"/>
          <w:bCs/>
          <w:sz w:val="20"/>
          <w:szCs w:val="20"/>
          <w:lang w:val="pt-BR"/>
        </w:rPr>
        <w:t>Lei Estadual No. 13.549</w:t>
      </w:r>
      <w:r w:rsidRPr="002B08B3">
        <w:rPr>
          <w:rFonts w:asciiTheme="majorHAnsi" w:hAnsiTheme="majorHAnsi"/>
          <w:bCs/>
          <w:sz w:val="20"/>
          <w:szCs w:val="20"/>
          <w:lang w:val="pt-BR"/>
        </w:rPr>
        <w:t xml:space="preserve">, o Partido Socialismo e Liberdade (adiante “PSOL”) e o Conselho Federal da Ordem dos Advogados do Brasil (adiante “o CFOAB”) </w:t>
      </w:r>
      <w:r w:rsidR="00734C17" w:rsidRPr="002B08B3">
        <w:rPr>
          <w:rFonts w:asciiTheme="majorHAnsi" w:hAnsiTheme="majorHAnsi"/>
          <w:bCs/>
          <w:sz w:val="20"/>
          <w:szCs w:val="20"/>
          <w:lang w:val="pt-BR"/>
        </w:rPr>
        <w:t xml:space="preserve">ingressaram com ações direta de inconstitucionalidade (ADI 4291 e ADI 4429) perante o Supremo Tribunal Federal (adiante “o STF”).  Essas ações </w:t>
      </w:r>
      <w:r w:rsidR="002B08B3">
        <w:rPr>
          <w:rFonts w:asciiTheme="majorHAnsi" w:hAnsiTheme="majorHAnsi"/>
          <w:bCs/>
          <w:sz w:val="20"/>
          <w:szCs w:val="20"/>
          <w:lang w:val="pt-BR"/>
        </w:rPr>
        <w:t>teriam demonstrado q</w:t>
      </w:r>
      <w:r w:rsidR="00734C17" w:rsidRPr="002B08B3">
        <w:rPr>
          <w:rFonts w:asciiTheme="majorHAnsi" w:hAnsiTheme="majorHAnsi"/>
          <w:bCs/>
          <w:sz w:val="20"/>
          <w:szCs w:val="20"/>
          <w:lang w:val="pt-BR"/>
        </w:rPr>
        <w:t>ue a Lei Estadual No. 13.549/2009</w:t>
      </w:r>
      <w:r w:rsidR="002B08B3" w:rsidRPr="002B08B3">
        <w:rPr>
          <w:rFonts w:asciiTheme="majorHAnsi" w:hAnsiTheme="majorHAnsi"/>
          <w:bCs/>
          <w:sz w:val="20"/>
          <w:szCs w:val="20"/>
          <w:lang w:val="pt-BR"/>
        </w:rPr>
        <w:t xml:space="preserve"> desrespeitou o direito adquirido e a segurança jurídica, contrariou os princípios da moralidade, impessoalidade e responsabilidade da Administração Pública ao extinguir a Carteira de Previdência dos Advogados de São Paulo e ao afastar a responsabilidade do </w:t>
      </w:r>
      <w:r w:rsidR="002B08B3">
        <w:rPr>
          <w:rFonts w:asciiTheme="majorHAnsi" w:hAnsiTheme="majorHAnsi"/>
          <w:bCs/>
          <w:sz w:val="20"/>
          <w:szCs w:val="20"/>
          <w:lang w:val="pt-BR"/>
        </w:rPr>
        <w:t>e</w:t>
      </w:r>
      <w:r w:rsidR="002B08B3" w:rsidRPr="002B08B3">
        <w:rPr>
          <w:rFonts w:asciiTheme="majorHAnsi" w:hAnsiTheme="majorHAnsi"/>
          <w:bCs/>
          <w:sz w:val="20"/>
          <w:szCs w:val="20"/>
          <w:lang w:val="pt-BR"/>
        </w:rPr>
        <w:t xml:space="preserve">stado de São Paulo para com os segurados. </w:t>
      </w:r>
      <w:r w:rsidR="002B08B3">
        <w:rPr>
          <w:rFonts w:asciiTheme="majorHAnsi" w:hAnsiTheme="majorHAnsi"/>
          <w:bCs/>
          <w:sz w:val="20"/>
          <w:szCs w:val="20"/>
          <w:lang w:val="pt-BR"/>
        </w:rPr>
        <w:t>Porém, alega que</w:t>
      </w:r>
      <w:r w:rsidR="00E025FF">
        <w:rPr>
          <w:rFonts w:asciiTheme="majorHAnsi" w:hAnsiTheme="majorHAnsi"/>
          <w:bCs/>
          <w:sz w:val="20"/>
          <w:szCs w:val="20"/>
          <w:lang w:val="pt-BR"/>
        </w:rPr>
        <w:t>, em 14 de dezembro de 2011,</w:t>
      </w:r>
      <w:r w:rsidR="002B08B3">
        <w:rPr>
          <w:rFonts w:asciiTheme="majorHAnsi" w:hAnsiTheme="majorHAnsi"/>
          <w:bCs/>
          <w:sz w:val="20"/>
          <w:szCs w:val="20"/>
          <w:lang w:val="pt-BR"/>
        </w:rPr>
        <w:t xml:space="preserve"> o STF julgou parcialmente procedente as referidas ações para declarar a inconstitucionalidade da </w:t>
      </w:r>
      <w:r w:rsidR="002B08B3" w:rsidRPr="002B08B3">
        <w:rPr>
          <w:rFonts w:asciiTheme="majorHAnsi" w:hAnsiTheme="majorHAnsi"/>
          <w:bCs/>
          <w:sz w:val="20"/>
          <w:szCs w:val="20"/>
          <w:lang w:val="pt-BR"/>
        </w:rPr>
        <w:t>Lei Estadual No. 13.549/2009</w:t>
      </w:r>
      <w:r w:rsidR="002B08B3">
        <w:rPr>
          <w:rFonts w:asciiTheme="majorHAnsi" w:hAnsiTheme="majorHAnsi"/>
          <w:bCs/>
          <w:sz w:val="20"/>
          <w:szCs w:val="20"/>
          <w:lang w:val="pt-BR"/>
        </w:rPr>
        <w:t xml:space="preserve"> no que diz respeito à exclusão da responsabilidade do estado de São Paulo</w:t>
      </w:r>
      <w:r w:rsidR="00D31501">
        <w:rPr>
          <w:rFonts w:asciiTheme="majorHAnsi" w:hAnsiTheme="majorHAnsi"/>
          <w:bCs/>
          <w:sz w:val="20"/>
          <w:szCs w:val="20"/>
          <w:lang w:val="pt-BR"/>
        </w:rPr>
        <w:t xml:space="preserve">, e conferir a interpretação conforme a Constituição de que as regras da referida lei não se aplicam àqueles </w:t>
      </w:r>
      <w:r w:rsidR="00E025FF">
        <w:rPr>
          <w:rFonts w:asciiTheme="majorHAnsi" w:hAnsiTheme="majorHAnsi"/>
          <w:bCs/>
          <w:sz w:val="20"/>
          <w:szCs w:val="20"/>
          <w:lang w:val="pt-BR"/>
        </w:rPr>
        <w:t xml:space="preserve">que quando da publicação da Lei já gozavam de benefício ou tinham cumprido os requisitos necessários à concessão da aposentadoria. Desta forma, afirma que o STF não se manifestou a respeito dos advogados e advogadas que eram contribuintes da Carteira, mas não tinham </w:t>
      </w:r>
      <w:r w:rsidR="00E025FF" w:rsidRPr="0084230D">
        <w:rPr>
          <w:rFonts w:asciiTheme="majorHAnsi" w:hAnsiTheme="majorHAnsi"/>
          <w:bCs/>
          <w:color w:val="000000" w:themeColor="text1"/>
          <w:sz w:val="20"/>
          <w:szCs w:val="20"/>
          <w:lang w:val="pt-BR"/>
        </w:rPr>
        <w:t>implementado as condições à concessão da aposentadoria.</w:t>
      </w:r>
    </w:p>
    <w:p w14:paraId="1AA1E0E0" w14:textId="77777777" w:rsidR="001A1696" w:rsidRPr="00D80E93" w:rsidRDefault="001A1696" w:rsidP="00D80E93">
      <w:pPr>
        <w:pStyle w:val="ListParagraph"/>
        <w:jc w:val="both"/>
        <w:rPr>
          <w:rFonts w:asciiTheme="majorHAnsi" w:hAnsiTheme="majorHAnsi"/>
          <w:bCs/>
          <w:sz w:val="20"/>
          <w:szCs w:val="20"/>
          <w:lang w:val="pt-BR"/>
        </w:rPr>
      </w:pPr>
    </w:p>
    <w:p w14:paraId="4CF7F715" w14:textId="49F2D7EA" w:rsidR="001A1696" w:rsidRPr="00D80E93" w:rsidRDefault="00E025FF" w:rsidP="001A1696">
      <w:pPr>
        <w:pStyle w:val="ListParagraph"/>
        <w:numPr>
          <w:ilvl w:val="0"/>
          <w:numId w:val="103"/>
        </w:numPr>
        <w:jc w:val="both"/>
        <w:rPr>
          <w:rFonts w:asciiTheme="majorHAnsi" w:hAnsiTheme="majorHAnsi"/>
          <w:bCs/>
          <w:sz w:val="20"/>
          <w:szCs w:val="20"/>
          <w:lang w:val="pt-BR"/>
        </w:rPr>
      </w:pPr>
      <w:r w:rsidRPr="0084230D">
        <w:rPr>
          <w:rFonts w:asciiTheme="majorHAnsi" w:hAnsiTheme="majorHAnsi"/>
          <w:bCs/>
          <w:color w:val="000000" w:themeColor="text1"/>
          <w:sz w:val="20"/>
          <w:szCs w:val="20"/>
          <w:lang w:val="pt-BR"/>
        </w:rPr>
        <w:t>Contra a decisão do STF, foram opostos embargos de declaração, rejeitados em 20 de março de 2013 e publicados em 17 de maio de 2013 e em 21 de maio de 2013.</w:t>
      </w:r>
      <w:r w:rsidR="0084230D" w:rsidRPr="0084230D">
        <w:rPr>
          <w:rFonts w:asciiTheme="majorHAnsi" w:hAnsiTheme="majorHAnsi"/>
          <w:bCs/>
          <w:color w:val="000000" w:themeColor="text1"/>
          <w:sz w:val="20"/>
          <w:szCs w:val="20"/>
          <w:lang w:val="pt-BR"/>
        </w:rPr>
        <w:t xml:space="preserve"> Nesse sentido, </w:t>
      </w:r>
      <w:r w:rsidR="0084230D">
        <w:rPr>
          <w:rFonts w:asciiTheme="majorHAnsi" w:hAnsiTheme="majorHAnsi"/>
          <w:bCs/>
          <w:color w:val="000000" w:themeColor="text1"/>
          <w:sz w:val="20"/>
          <w:szCs w:val="20"/>
          <w:lang w:val="pt-BR"/>
        </w:rPr>
        <w:t xml:space="preserve">a parte peticionária </w:t>
      </w:r>
      <w:r w:rsidR="0084230D" w:rsidRPr="0084230D">
        <w:rPr>
          <w:rFonts w:asciiTheme="majorHAnsi" w:hAnsiTheme="majorHAnsi"/>
          <w:bCs/>
          <w:color w:val="000000" w:themeColor="text1"/>
          <w:sz w:val="20"/>
          <w:szCs w:val="20"/>
          <w:lang w:val="pt-BR"/>
        </w:rPr>
        <w:t>sustenta que a demanda apresentada não pretende revisar as decisões proferidas pelo STF, senão estabelecer e declarar que o Estado brasileiro violou preceitos da Convenção Americana.</w:t>
      </w:r>
      <w:r w:rsidR="0084230D">
        <w:rPr>
          <w:rFonts w:asciiTheme="majorHAnsi" w:hAnsiTheme="majorHAnsi"/>
          <w:bCs/>
          <w:color w:val="000000" w:themeColor="text1"/>
          <w:sz w:val="20"/>
          <w:szCs w:val="20"/>
          <w:lang w:val="pt-BR"/>
        </w:rPr>
        <w:t xml:space="preserve"> Alega que a ação de reparação pecuniária não é a ação efetiva e eficaz para garantir os direitos das supostas vítimas.</w:t>
      </w:r>
      <w:r w:rsidR="0084230D" w:rsidRPr="0084230D">
        <w:rPr>
          <w:rFonts w:asciiTheme="majorHAnsi" w:hAnsiTheme="majorHAnsi"/>
          <w:bCs/>
          <w:color w:val="000000" w:themeColor="text1"/>
          <w:sz w:val="20"/>
          <w:szCs w:val="20"/>
          <w:lang w:val="pt-BR"/>
        </w:rPr>
        <w:t xml:space="preserve"> Adicionalmente, a parte peticionária alega que a CIDH possui competência em razão da matéria em relação ao artigo 26 da Convenção Americana.</w:t>
      </w:r>
    </w:p>
    <w:p w14:paraId="1808BAAD" w14:textId="77777777" w:rsidR="002B08B3" w:rsidRPr="002B08B3" w:rsidRDefault="002B08B3" w:rsidP="002B08B3">
      <w:pPr>
        <w:pStyle w:val="ListParagraph"/>
        <w:rPr>
          <w:rFonts w:asciiTheme="majorHAnsi" w:hAnsiTheme="majorHAnsi"/>
          <w:bCs/>
          <w:sz w:val="20"/>
          <w:szCs w:val="20"/>
          <w:lang w:val="pt-BR"/>
        </w:rPr>
      </w:pPr>
    </w:p>
    <w:p w14:paraId="7E97CE42" w14:textId="497CD2E3" w:rsidR="0084230D" w:rsidRPr="00F30CB2" w:rsidRDefault="00BC12A3" w:rsidP="008423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4230D">
        <w:rPr>
          <w:rFonts w:ascii="Cambria" w:hAnsi="Cambria"/>
          <w:sz w:val="20"/>
          <w:szCs w:val="20"/>
          <w:lang w:val="pt-BR"/>
        </w:rPr>
        <w:t xml:space="preserve">Por sua vez, o Estado afirma </w:t>
      </w:r>
      <w:r w:rsidR="007D0BF8" w:rsidRPr="0084230D">
        <w:rPr>
          <w:rFonts w:ascii="Cambria" w:hAnsi="Cambria"/>
          <w:sz w:val="20"/>
          <w:szCs w:val="20"/>
          <w:lang w:val="pt-BR"/>
        </w:rPr>
        <w:t xml:space="preserve">que </w:t>
      </w:r>
      <w:r w:rsidR="0084230D" w:rsidRPr="0084230D">
        <w:rPr>
          <w:rFonts w:ascii="Cambria" w:hAnsi="Cambria"/>
          <w:sz w:val="20"/>
          <w:szCs w:val="20"/>
          <w:lang w:val="pt-BR"/>
        </w:rPr>
        <w:t xml:space="preserve">a Comissão carece de competência em razão da matéria em relação ao artigo 26 da Convenção Americana e ao Protocolo de San Salvador, a exceção dos direitos à liberdade sindical, à livre associação e ao direito à educação, conforme o artigo 19.6 do Protocolo de San Salvador. Acrescenta que a irresignação dos peticionários quanto às conclusões dos recursos internos, não pode dar ensejo à submissão do caso perante o sistema interamericano, pois a CIDH não pode atuar como órgão de quarta instância. </w:t>
      </w:r>
      <w:r w:rsidR="0084230D">
        <w:rPr>
          <w:rFonts w:ascii="Cambria" w:hAnsi="Cambria"/>
          <w:sz w:val="20"/>
          <w:szCs w:val="20"/>
          <w:lang w:val="pt-BR"/>
        </w:rPr>
        <w:t>Nesse sentido, a</w:t>
      </w:r>
      <w:r w:rsidR="0084230D" w:rsidRPr="0084230D">
        <w:rPr>
          <w:rFonts w:ascii="Cambria" w:hAnsi="Cambria"/>
          <w:sz w:val="20"/>
          <w:szCs w:val="20"/>
          <w:lang w:val="pt-BR"/>
        </w:rPr>
        <w:t>firma que por meio das ADI</w:t>
      </w:r>
      <w:r w:rsidR="0084230D">
        <w:rPr>
          <w:rFonts w:ascii="Cambria" w:hAnsi="Cambria"/>
          <w:sz w:val="20"/>
          <w:szCs w:val="20"/>
          <w:lang w:val="pt-BR"/>
        </w:rPr>
        <w:t>’</w:t>
      </w:r>
      <w:r w:rsidR="0084230D" w:rsidRPr="0084230D">
        <w:rPr>
          <w:rFonts w:ascii="Cambria" w:hAnsi="Cambria"/>
          <w:sz w:val="20"/>
          <w:szCs w:val="20"/>
          <w:lang w:val="pt-BR"/>
        </w:rPr>
        <w:t xml:space="preserve">S No. 4291 e 4429, o STF declarou inconstitucional os </w:t>
      </w:r>
      <w:r w:rsidR="0084230D" w:rsidRPr="0084230D">
        <w:rPr>
          <w:rFonts w:ascii="Cambria" w:eastAsia="Times New Roman" w:hAnsi="Cambria" w:cs="Arial"/>
          <w:color w:val="222222"/>
          <w:sz w:val="20"/>
          <w:szCs w:val="20"/>
          <w:bdr w:val="none" w:sz="0" w:space="0" w:color="auto"/>
          <w:shd w:val="clear" w:color="auto" w:fill="FFFFFF"/>
          <w:lang w:val="pt-BR" w:eastAsia="pt-BR"/>
        </w:rPr>
        <w:t>§§</w:t>
      </w:r>
      <w:r w:rsidR="0084230D">
        <w:rPr>
          <w:rFonts w:ascii="Cambria" w:eastAsia="Times New Roman" w:hAnsi="Cambria" w:cs="Arial"/>
          <w:color w:val="222222"/>
          <w:sz w:val="20"/>
          <w:szCs w:val="20"/>
          <w:bdr w:val="none" w:sz="0" w:space="0" w:color="auto"/>
          <w:shd w:val="clear" w:color="auto" w:fill="FFFFFF"/>
          <w:lang w:val="pt-BR" w:eastAsia="pt-BR"/>
        </w:rPr>
        <w:t xml:space="preserve"> 2º e 3º do artigo 2º da Lei Estadual No. 13.459/09, decidindo que a referida lei não se aplica àqueles que, à data de sua publicação, já gozassem do benefício previdenciário, ou que já tivessem cumprido os requisitos necessários à concessão da aposentadoria. Ademais, alega que o STF reconheceu a inexistência de direito adquirido ao regime jurídico em relação aos advogados e advogadas que não haviam preenchido os requisitos para a concessão do benefício na data da modificação da lei, de maneira que não têm direito à aposentadoria. Afirma que as decisões do STF foram proferidas em processos conduzidos de acordo com as normas processuais internas. </w:t>
      </w:r>
      <w:r w:rsidR="0084230D" w:rsidRPr="00F30CB2">
        <w:rPr>
          <w:rFonts w:ascii="Cambria" w:hAnsi="Cambria"/>
          <w:color w:val="000000" w:themeColor="text1"/>
          <w:sz w:val="20"/>
          <w:szCs w:val="20"/>
          <w:lang w:val="pt-BR"/>
        </w:rPr>
        <w:t xml:space="preserve">Finalmente, o Estado alega que os peticionários não esgotaram os recursos internos, pois a ação direta de inconstitucionalidade não é o recurso idôneo para o reconhecimento de danos patrimoniais de responsabilidade do Estado e a consequente reparação dos danos, e que deveriam ter solicitado uma reparação pecuniária com base no artigo 37, </w:t>
      </w:r>
      <w:r w:rsidR="0084230D" w:rsidRPr="00F30CB2">
        <w:rPr>
          <w:rFonts w:ascii="Cambria" w:eastAsia="Times New Roman" w:hAnsi="Cambria" w:cs="Arial"/>
          <w:color w:val="000000" w:themeColor="text1"/>
          <w:sz w:val="20"/>
          <w:szCs w:val="20"/>
          <w:bdr w:val="none" w:sz="0" w:space="0" w:color="auto"/>
          <w:shd w:val="clear" w:color="auto" w:fill="FFFFFF"/>
          <w:lang w:val="pt-BR" w:eastAsia="pt-BR"/>
        </w:rPr>
        <w:t>§ 6º, da Constituição Federal.</w:t>
      </w:r>
      <w:r w:rsidR="0084230D" w:rsidRPr="00F30CB2">
        <w:rPr>
          <w:rFonts w:ascii="Cambria" w:hAnsi="Cambria"/>
          <w:color w:val="000000" w:themeColor="text1"/>
          <w:sz w:val="20"/>
          <w:szCs w:val="20"/>
          <w:lang w:val="pt-BR"/>
        </w:rPr>
        <w:t xml:space="preserve"> </w:t>
      </w:r>
    </w:p>
    <w:p w14:paraId="6F4D4171" w14:textId="266A49F1" w:rsidR="003239B8" w:rsidRPr="00B3147B"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pt-BR"/>
        </w:rPr>
      </w:pPr>
      <w:r w:rsidRPr="00B3147B">
        <w:rPr>
          <w:rFonts w:asciiTheme="majorHAnsi" w:eastAsia="Cambria" w:hAnsiTheme="majorHAnsi" w:cs="Cambria"/>
          <w:b/>
          <w:bCs/>
          <w:color w:val="000000"/>
          <w:sz w:val="20"/>
          <w:szCs w:val="20"/>
          <w:u w:color="000000"/>
          <w:lang w:val="pt-BR" w:eastAsia="es-ES"/>
        </w:rPr>
        <w:tab/>
        <w:t>VI.</w:t>
      </w:r>
      <w:r w:rsidRPr="00B3147B">
        <w:rPr>
          <w:rFonts w:asciiTheme="majorHAnsi" w:eastAsia="Cambria" w:hAnsiTheme="majorHAnsi" w:cs="Cambria"/>
          <w:b/>
          <w:bCs/>
          <w:color w:val="000000"/>
          <w:sz w:val="20"/>
          <w:szCs w:val="20"/>
          <w:u w:color="000000"/>
          <w:lang w:val="pt-BR" w:eastAsia="es-ES"/>
        </w:rPr>
        <w:tab/>
        <w:t xml:space="preserve"> </w:t>
      </w:r>
      <w:r w:rsidR="00D21316" w:rsidRPr="00B3147B">
        <w:rPr>
          <w:rFonts w:asciiTheme="majorHAnsi" w:hAnsiTheme="majorHAnsi"/>
          <w:b/>
          <w:bCs/>
          <w:sz w:val="20"/>
          <w:szCs w:val="20"/>
          <w:lang w:val="pt-BR"/>
        </w:rPr>
        <w:t>ANÁLISE</w:t>
      </w:r>
      <w:r w:rsidR="004A6A54" w:rsidRPr="00B3147B">
        <w:rPr>
          <w:rFonts w:asciiTheme="majorHAnsi" w:hAnsiTheme="majorHAnsi"/>
          <w:b/>
          <w:bCs/>
          <w:sz w:val="20"/>
          <w:szCs w:val="20"/>
          <w:lang w:val="pt-BR"/>
        </w:rPr>
        <w:t xml:space="preserve"> DE </w:t>
      </w:r>
      <w:r w:rsidR="00D21316" w:rsidRPr="00B3147B">
        <w:rPr>
          <w:rFonts w:asciiTheme="majorHAnsi" w:hAnsiTheme="majorHAnsi"/>
          <w:b/>
          <w:sz w:val="20"/>
          <w:szCs w:val="20"/>
          <w:lang w:val="pt-BR"/>
        </w:rPr>
        <w:t>ESGOTAM</w:t>
      </w:r>
      <w:r w:rsidR="00C21FEF" w:rsidRPr="00B3147B">
        <w:rPr>
          <w:rFonts w:asciiTheme="majorHAnsi" w:hAnsiTheme="majorHAnsi"/>
          <w:b/>
          <w:sz w:val="20"/>
          <w:szCs w:val="20"/>
          <w:lang w:val="pt-BR"/>
        </w:rPr>
        <w:t xml:space="preserve">ENTO </w:t>
      </w:r>
      <w:r w:rsidR="00D21316" w:rsidRPr="00B3147B">
        <w:rPr>
          <w:rFonts w:asciiTheme="majorHAnsi" w:hAnsiTheme="majorHAnsi"/>
          <w:b/>
          <w:sz w:val="20"/>
          <w:szCs w:val="20"/>
          <w:lang w:val="pt-BR"/>
        </w:rPr>
        <w:t>DOS</w:t>
      </w:r>
      <w:r w:rsidR="00C21FEF" w:rsidRPr="00B3147B">
        <w:rPr>
          <w:rFonts w:asciiTheme="majorHAnsi" w:hAnsiTheme="majorHAnsi"/>
          <w:b/>
          <w:sz w:val="20"/>
          <w:szCs w:val="20"/>
          <w:lang w:val="pt-BR"/>
        </w:rPr>
        <w:t xml:space="preserve"> RECURSOS INTERNOS</w:t>
      </w:r>
      <w:r w:rsidR="00D21316" w:rsidRPr="00B3147B">
        <w:rPr>
          <w:rFonts w:asciiTheme="majorHAnsi" w:hAnsiTheme="majorHAnsi"/>
          <w:b/>
          <w:sz w:val="20"/>
          <w:szCs w:val="20"/>
          <w:lang w:val="pt-BR"/>
        </w:rPr>
        <w:t xml:space="preserve"> E PR</w:t>
      </w:r>
      <w:r w:rsidR="00C21FEF" w:rsidRPr="00B3147B">
        <w:rPr>
          <w:rFonts w:asciiTheme="majorHAnsi" w:hAnsiTheme="majorHAnsi"/>
          <w:b/>
          <w:sz w:val="20"/>
          <w:szCs w:val="20"/>
          <w:lang w:val="pt-BR"/>
        </w:rPr>
        <w:t xml:space="preserve">AZO DE </w:t>
      </w:r>
      <w:r w:rsidR="00D21316" w:rsidRPr="00B3147B">
        <w:rPr>
          <w:rFonts w:asciiTheme="majorHAnsi" w:hAnsiTheme="majorHAnsi"/>
          <w:b/>
          <w:sz w:val="20"/>
          <w:szCs w:val="20"/>
          <w:lang w:val="pt-BR"/>
        </w:rPr>
        <w:t>APRESENTAÇÃO</w:t>
      </w:r>
      <w:r w:rsidR="00C21FEF" w:rsidRPr="00B3147B">
        <w:rPr>
          <w:rFonts w:asciiTheme="majorHAnsi" w:eastAsia="Cambria" w:hAnsiTheme="majorHAnsi" w:cs="Cambria"/>
          <w:b/>
          <w:bCs/>
          <w:color w:val="000000"/>
          <w:sz w:val="20"/>
          <w:szCs w:val="20"/>
          <w:u w:color="000000"/>
          <w:lang w:val="pt-BR" w:eastAsia="es-ES"/>
        </w:rPr>
        <w:t xml:space="preserve"> </w:t>
      </w:r>
    </w:p>
    <w:p w14:paraId="520B318B" w14:textId="4DD6F489" w:rsidR="002F41E9" w:rsidRPr="00DF1632" w:rsidRDefault="002F41E9" w:rsidP="006919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color w:val="auto"/>
          <w:sz w:val="20"/>
          <w:szCs w:val="20"/>
          <w:lang w:val="pt-BR"/>
        </w:rPr>
      </w:pPr>
      <w:r w:rsidRPr="00DF1632">
        <w:rPr>
          <w:rFonts w:asciiTheme="majorHAnsi" w:hAnsiTheme="majorHAnsi"/>
          <w:color w:val="auto"/>
          <w:sz w:val="20"/>
          <w:szCs w:val="20"/>
          <w:lang w:val="pt-BR"/>
        </w:rPr>
        <w:t>Inicialmente, em sede preliminar, a Comissão destaca que se bem não há identificação expressa de cada uma das supostas vítimas, a CIDH considera que as supostas vítimas são passíveis de identificação</w:t>
      </w:r>
      <w:r w:rsidR="00D03251" w:rsidRPr="00DF1632">
        <w:rPr>
          <w:rFonts w:asciiTheme="majorHAnsi" w:hAnsiTheme="majorHAnsi"/>
          <w:color w:val="auto"/>
          <w:sz w:val="20"/>
          <w:szCs w:val="20"/>
          <w:lang w:val="pt-BR"/>
        </w:rPr>
        <w:t xml:space="preserve">, pois se </w:t>
      </w:r>
      <w:r w:rsidR="002A52F5" w:rsidRPr="00DF1632">
        <w:rPr>
          <w:rFonts w:asciiTheme="majorHAnsi" w:hAnsiTheme="majorHAnsi"/>
          <w:color w:val="auto"/>
          <w:sz w:val="20"/>
          <w:szCs w:val="20"/>
          <w:lang w:val="pt-BR"/>
        </w:rPr>
        <w:t>trata</w:t>
      </w:r>
      <w:r w:rsidR="00D03251" w:rsidRPr="00DF1632">
        <w:rPr>
          <w:rFonts w:asciiTheme="majorHAnsi" w:hAnsiTheme="majorHAnsi"/>
          <w:color w:val="auto"/>
          <w:sz w:val="20"/>
          <w:szCs w:val="20"/>
          <w:lang w:val="pt-BR"/>
        </w:rPr>
        <w:t xml:space="preserve"> de advogados inscritos na Ordem dos Advogados do Brasil, seccional de São Paulo, </w:t>
      </w:r>
      <w:r w:rsidR="002A52F5" w:rsidRPr="00DF1632">
        <w:rPr>
          <w:rFonts w:asciiTheme="majorHAnsi" w:hAnsiTheme="majorHAnsi"/>
          <w:color w:val="auto"/>
          <w:sz w:val="20"/>
          <w:szCs w:val="20"/>
          <w:lang w:val="pt-BR"/>
        </w:rPr>
        <w:t xml:space="preserve">que se inscreveram na Carteira de Previdência do respectivo órgão. Assim, seria possível identifica-los. </w:t>
      </w:r>
    </w:p>
    <w:p w14:paraId="620D1407" w14:textId="787C425F" w:rsidR="006919BD" w:rsidRPr="006919BD" w:rsidRDefault="006919BD" w:rsidP="006919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000000" w:themeColor="text1"/>
          <w:sz w:val="20"/>
          <w:szCs w:val="20"/>
          <w:lang w:val="pt-BR"/>
        </w:rPr>
      </w:pPr>
      <w:r w:rsidRPr="006919BD">
        <w:rPr>
          <w:rFonts w:asciiTheme="majorHAnsi" w:hAnsiTheme="majorHAnsi"/>
          <w:bCs/>
          <w:color w:val="000000" w:themeColor="text1"/>
          <w:sz w:val="20"/>
          <w:szCs w:val="20"/>
          <w:lang w:val="pt-BR"/>
        </w:rPr>
        <w:t xml:space="preserve">A parte peticionária alega que esgotou os recursos internos aplicáveis com o exercício de duas ações de inconstitucionalidade, ADI 4291 e ADI 4429, contra as disposições da </w:t>
      </w:r>
      <w:r w:rsidRPr="006919BD">
        <w:rPr>
          <w:rFonts w:eastAsia="Times New Roman" w:cs="Arial"/>
          <w:color w:val="222222"/>
          <w:sz w:val="20"/>
          <w:szCs w:val="20"/>
          <w:bdr w:val="none" w:sz="0" w:space="0" w:color="auto"/>
          <w:shd w:val="clear" w:color="auto" w:fill="FFFFFF"/>
          <w:lang w:val="pt-BR" w:eastAsia="pt-BR"/>
        </w:rPr>
        <w:t xml:space="preserve">Lei </w:t>
      </w:r>
      <w:r>
        <w:rPr>
          <w:rFonts w:eastAsia="Times New Roman" w:cs="Arial"/>
          <w:color w:val="222222"/>
          <w:sz w:val="20"/>
          <w:szCs w:val="20"/>
          <w:bdr w:val="none" w:sz="0" w:space="0" w:color="auto"/>
          <w:shd w:val="clear" w:color="auto" w:fill="FFFFFF"/>
          <w:lang w:val="pt-BR" w:eastAsia="pt-BR"/>
        </w:rPr>
        <w:t>do Estado de São Paulo</w:t>
      </w:r>
      <w:r w:rsidRPr="006919BD">
        <w:rPr>
          <w:rFonts w:eastAsia="Times New Roman" w:cs="Arial"/>
          <w:color w:val="222222"/>
          <w:sz w:val="20"/>
          <w:szCs w:val="20"/>
          <w:bdr w:val="none" w:sz="0" w:space="0" w:color="auto"/>
          <w:shd w:val="clear" w:color="auto" w:fill="FFFFFF"/>
          <w:lang w:val="pt-BR" w:eastAsia="pt-BR"/>
        </w:rPr>
        <w:t xml:space="preserve"> No. 13.459/09, que, a seu juízo, impõe obstáculos legais para que os advogados e advogadas membros da Carteira de Previdência do IPESP, supostas vítimas no presente caso, tenham garantido o seu direito à aposentadoria. Afirma que </w:t>
      </w:r>
      <w:r w:rsidRPr="006919BD">
        <w:rPr>
          <w:rFonts w:asciiTheme="majorHAnsi" w:hAnsiTheme="majorHAnsi"/>
          <w:bCs/>
          <w:color w:val="000000" w:themeColor="text1"/>
          <w:sz w:val="20"/>
          <w:szCs w:val="20"/>
          <w:lang w:val="pt-BR"/>
        </w:rPr>
        <w:t xml:space="preserve">as referidas ações de inconstitucionalidade transitaram em julgado, respectivamente, em 21 de maio de 2013 e 17 de maio de 2013, e que não cabe mais qualquer recurso interno contra as referidas decisões e que ação de reparação pecuniária não é efetiva e eficaz para reparar os direitos das supostas vítimas, pois a reparação </w:t>
      </w:r>
      <w:r w:rsidRPr="006919BD">
        <w:rPr>
          <w:rFonts w:asciiTheme="majorHAnsi" w:hAnsiTheme="majorHAnsi"/>
          <w:bCs/>
          <w:i/>
          <w:iCs/>
          <w:color w:val="000000" w:themeColor="text1"/>
          <w:sz w:val="20"/>
          <w:szCs w:val="20"/>
          <w:lang w:val="pt-BR"/>
        </w:rPr>
        <w:t xml:space="preserve">in integrum </w:t>
      </w:r>
      <w:r w:rsidRPr="006919BD">
        <w:rPr>
          <w:rFonts w:asciiTheme="majorHAnsi" w:hAnsiTheme="majorHAnsi"/>
          <w:bCs/>
          <w:color w:val="000000" w:themeColor="text1"/>
          <w:sz w:val="20"/>
          <w:szCs w:val="20"/>
          <w:lang w:val="pt-BR"/>
        </w:rPr>
        <w:t xml:space="preserve">das violações dos direitos das supostas vítimas. Por sua vez, o Estado sustenta que as ações de inconstitucionalidade não eram o recurso adequado e que a parte peticionária não esgotou os recursos internos, pois não apresentou uma solicitação de reparação pecuniária com base no </w:t>
      </w:r>
      <w:r w:rsidRPr="006919BD">
        <w:rPr>
          <w:color w:val="000000" w:themeColor="text1"/>
          <w:sz w:val="20"/>
          <w:szCs w:val="20"/>
          <w:lang w:val="pt-BR"/>
        </w:rPr>
        <w:t xml:space="preserve">artigo 37, </w:t>
      </w:r>
      <w:r w:rsidRPr="006919BD">
        <w:rPr>
          <w:rFonts w:eastAsia="Times New Roman" w:cs="Arial"/>
          <w:color w:val="000000" w:themeColor="text1"/>
          <w:sz w:val="20"/>
          <w:szCs w:val="20"/>
          <w:bdr w:val="none" w:sz="0" w:space="0" w:color="auto"/>
          <w:shd w:val="clear" w:color="auto" w:fill="FFFFFF"/>
          <w:lang w:val="pt-BR" w:eastAsia="pt-BR"/>
        </w:rPr>
        <w:t>§ 6º, da Constituição Federal.</w:t>
      </w:r>
    </w:p>
    <w:p w14:paraId="654A05EA" w14:textId="2E552820" w:rsidR="00574228" w:rsidRPr="00574228" w:rsidRDefault="006919BD" w:rsidP="0057422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000000" w:themeColor="text1"/>
          <w:sz w:val="20"/>
          <w:szCs w:val="20"/>
          <w:lang w:val="pt-BR"/>
        </w:rPr>
      </w:pPr>
      <w:r>
        <w:rPr>
          <w:rFonts w:asciiTheme="majorHAnsi" w:hAnsiTheme="majorHAnsi"/>
          <w:bCs/>
          <w:color w:val="000000" w:themeColor="text1"/>
          <w:sz w:val="20"/>
          <w:szCs w:val="20"/>
          <w:lang w:val="pt-BR"/>
        </w:rPr>
        <w:t xml:space="preserve">Para efeitos de admissibilidade, a Comissão considera que as disposições legislativas impugnadas constitucionalmente no presente caso têm efeito direto nos direitos das supostas vítimas, que alegam que a Lei </w:t>
      </w:r>
      <w:r>
        <w:rPr>
          <w:rFonts w:eastAsia="Times New Roman" w:cs="Arial"/>
          <w:color w:val="222222"/>
          <w:sz w:val="20"/>
          <w:szCs w:val="20"/>
          <w:bdr w:val="none" w:sz="0" w:space="0" w:color="auto"/>
          <w:shd w:val="clear" w:color="auto" w:fill="FFFFFF"/>
          <w:lang w:val="pt-BR" w:eastAsia="pt-BR"/>
        </w:rPr>
        <w:t>do Estado de São Paulo</w:t>
      </w:r>
      <w:r w:rsidRPr="006919BD">
        <w:rPr>
          <w:rFonts w:eastAsia="Times New Roman" w:cs="Arial"/>
          <w:color w:val="222222"/>
          <w:sz w:val="20"/>
          <w:szCs w:val="20"/>
          <w:bdr w:val="none" w:sz="0" w:space="0" w:color="auto"/>
          <w:shd w:val="clear" w:color="auto" w:fill="FFFFFF"/>
          <w:lang w:val="pt-BR" w:eastAsia="pt-BR"/>
        </w:rPr>
        <w:t xml:space="preserve"> No. 13.459/09</w:t>
      </w:r>
      <w:r w:rsidR="00574228">
        <w:rPr>
          <w:rFonts w:eastAsia="Times New Roman" w:cs="Arial"/>
          <w:color w:val="222222"/>
          <w:sz w:val="20"/>
          <w:szCs w:val="20"/>
          <w:bdr w:val="none" w:sz="0" w:space="0" w:color="auto"/>
          <w:shd w:val="clear" w:color="auto" w:fill="FFFFFF"/>
          <w:lang w:val="pt-BR" w:eastAsia="pt-BR"/>
        </w:rPr>
        <w:t xml:space="preserve"> viola o direito adquirido e o ato jurídico perfeito, uma vez que isenta o Estado de responsabilidade pelos pagamentos do fundo previdenciário, lhes impedindo de exercer seus direitos à propriedade e à previdência, uma vez que tolheu o direito à aposentadoria de advogados e advogadas que haviam contribuído ao fundo previdenciário. Nesse tipo de situações, a ação de inconstitucionalidade pode constituir um recurso idôneo para proteger a situação jurídica infringida.</w:t>
      </w:r>
    </w:p>
    <w:p w14:paraId="1F88C44C" w14:textId="5325E682" w:rsidR="00B35447" w:rsidRPr="00C153BE" w:rsidRDefault="00574228" w:rsidP="00C153B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000000" w:themeColor="text1"/>
          <w:sz w:val="20"/>
          <w:szCs w:val="20"/>
          <w:lang w:val="pt-BR"/>
        </w:rPr>
      </w:pPr>
      <w:r>
        <w:rPr>
          <w:rFonts w:asciiTheme="majorHAnsi" w:hAnsiTheme="majorHAnsi"/>
          <w:bCs/>
          <w:color w:val="000000" w:themeColor="text1"/>
          <w:sz w:val="20"/>
          <w:szCs w:val="20"/>
          <w:lang w:val="pt-BR"/>
        </w:rPr>
        <w:t xml:space="preserve">Dado que no presente caso há uma decisão definitiva da mais alta instância judicial do Brasil sobre os fatos denunciados, a Comissão considera que foram esgotados os recursos internos nos termos do </w:t>
      </w:r>
      <w:r>
        <w:rPr>
          <w:rFonts w:asciiTheme="majorHAnsi" w:hAnsiTheme="majorHAnsi"/>
          <w:bCs/>
          <w:color w:val="000000" w:themeColor="text1"/>
          <w:sz w:val="20"/>
          <w:szCs w:val="20"/>
          <w:lang w:val="pt-BR"/>
        </w:rPr>
        <w:lastRenderedPageBreak/>
        <w:t>artigo 46.1.a da Convenção Americana</w:t>
      </w:r>
      <w:r w:rsidR="00C153BE">
        <w:rPr>
          <w:rFonts w:asciiTheme="majorHAnsi" w:hAnsiTheme="majorHAnsi"/>
          <w:bCs/>
          <w:color w:val="000000" w:themeColor="text1"/>
          <w:sz w:val="20"/>
          <w:szCs w:val="20"/>
          <w:lang w:val="pt-BR"/>
        </w:rPr>
        <w:t>,</w:t>
      </w:r>
      <w:r w:rsidR="00C153BE" w:rsidRPr="00FC2B4A">
        <w:rPr>
          <w:rStyle w:val="FootnoteReference"/>
          <w:rFonts w:cs="Calibri"/>
          <w:sz w:val="20"/>
          <w:szCs w:val="20"/>
        </w:rPr>
        <w:footnoteReference w:id="6"/>
      </w:r>
      <w:r w:rsidR="00C153BE">
        <w:rPr>
          <w:rFonts w:asciiTheme="majorHAnsi" w:hAnsiTheme="majorHAnsi"/>
          <w:bCs/>
          <w:color w:val="000000" w:themeColor="text1"/>
          <w:sz w:val="20"/>
          <w:szCs w:val="20"/>
          <w:lang w:val="pt-BR"/>
        </w:rPr>
        <w:t xml:space="preserve"> com a decisão definitiva das ações direta de inconstitucionalidade </w:t>
      </w:r>
      <w:r w:rsidR="00C153BE" w:rsidRPr="006919BD">
        <w:rPr>
          <w:rFonts w:asciiTheme="majorHAnsi" w:hAnsiTheme="majorHAnsi"/>
          <w:bCs/>
          <w:color w:val="000000" w:themeColor="text1"/>
          <w:sz w:val="20"/>
          <w:szCs w:val="20"/>
          <w:lang w:val="pt-BR"/>
        </w:rPr>
        <w:t>ADI 4291 e ADI 4429</w:t>
      </w:r>
      <w:r w:rsidR="00C153BE">
        <w:rPr>
          <w:rFonts w:asciiTheme="majorHAnsi" w:hAnsiTheme="majorHAnsi"/>
          <w:bCs/>
          <w:color w:val="000000" w:themeColor="text1"/>
          <w:sz w:val="20"/>
          <w:szCs w:val="20"/>
          <w:lang w:val="pt-BR"/>
        </w:rPr>
        <w:t xml:space="preserve"> que transitaram em julgado,</w:t>
      </w:r>
      <w:r w:rsidR="00C153BE" w:rsidRPr="00C153BE">
        <w:rPr>
          <w:rFonts w:asciiTheme="majorHAnsi" w:hAnsiTheme="majorHAnsi"/>
          <w:bCs/>
          <w:color w:val="000000" w:themeColor="text1"/>
          <w:sz w:val="20"/>
          <w:szCs w:val="20"/>
          <w:lang w:val="pt-BR"/>
        </w:rPr>
        <w:t xml:space="preserve"> </w:t>
      </w:r>
      <w:r w:rsidR="00C153BE" w:rsidRPr="006919BD">
        <w:rPr>
          <w:rFonts w:asciiTheme="majorHAnsi" w:hAnsiTheme="majorHAnsi"/>
          <w:bCs/>
          <w:color w:val="000000" w:themeColor="text1"/>
          <w:sz w:val="20"/>
          <w:szCs w:val="20"/>
          <w:lang w:val="pt-BR"/>
        </w:rPr>
        <w:t>respectivamente, em 21 de maio de 2013 e 17 de maio de 2013</w:t>
      </w:r>
      <w:r w:rsidR="00C153BE">
        <w:rPr>
          <w:rFonts w:asciiTheme="majorHAnsi" w:hAnsiTheme="majorHAnsi"/>
          <w:bCs/>
          <w:color w:val="000000" w:themeColor="text1"/>
          <w:sz w:val="20"/>
          <w:szCs w:val="20"/>
          <w:lang w:val="pt-BR"/>
        </w:rPr>
        <w:t>. Ademais, a Comissão observa que a petição foi apresentada em 7 de outubro de 2013, portanto, dentro do prazo de seis meses estabelecido no artigo 46.1.b da Convenção Americana.</w:t>
      </w:r>
    </w:p>
    <w:p w14:paraId="4FFBE378" w14:textId="65A2544C" w:rsidR="003239B8" w:rsidRPr="00B3147B" w:rsidRDefault="003239B8" w:rsidP="003239B8">
      <w:pPr>
        <w:pStyle w:val="ListParagraph"/>
        <w:spacing w:before="240" w:after="240"/>
        <w:jc w:val="both"/>
        <w:rPr>
          <w:rFonts w:asciiTheme="majorHAnsi" w:hAnsiTheme="majorHAnsi"/>
          <w:b/>
          <w:sz w:val="20"/>
          <w:szCs w:val="20"/>
          <w:lang w:val="pt-BR"/>
        </w:rPr>
      </w:pPr>
      <w:r w:rsidRPr="00B3147B">
        <w:rPr>
          <w:rFonts w:asciiTheme="majorHAnsi" w:hAnsiTheme="majorHAnsi"/>
          <w:b/>
          <w:bCs/>
          <w:sz w:val="20"/>
          <w:szCs w:val="20"/>
          <w:lang w:val="pt-BR"/>
        </w:rPr>
        <w:t>VII.</w:t>
      </w:r>
      <w:r w:rsidRPr="00B3147B">
        <w:rPr>
          <w:rFonts w:asciiTheme="majorHAnsi" w:hAnsiTheme="majorHAnsi"/>
          <w:b/>
          <w:bCs/>
          <w:sz w:val="20"/>
          <w:szCs w:val="20"/>
          <w:lang w:val="pt-BR"/>
        </w:rPr>
        <w:tab/>
      </w:r>
      <w:r w:rsidR="00D21316" w:rsidRPr="00B3147B">
        <w:rPr>
          <w:rFonts w:asciiTheme="majorHAnsi" w:hAnsiTheme="majorHAnsi"/>
          <w:b/>
          <w:bCs/>
          <w:sz w:val="20"/>
          <w:szCs w:val="20"/>
          <w:lang w:val="pt-BR"/>
        </w:rPr>
        <w:t>ANÁLISE</w:t>
      </w:r>
      <w:r w:rsidR="004A6A54" w:rsidRPr="00B3147B">
        <w:rPr>
          <w:rFonts w:asciiTheme="majorHAnsi" w:hAnsiTheme="majorHAnsi"/>
          <w:b/>
          <w:bCs/>
          <w:sz w:val="20"/>
          <w:szCs w:val="20"/>
          <w:lang w:val="pt-BR"/>
        </w:rPr>
        <w:t xml:space="preserve"> DE </w:t>
      </w:r>
      <w:r w:rsidR="00C21FEF" w:rsidRPr="00B3147B">
        <w:rPr>
          <w:rFonts w:asciiTheme="majorHAnsi" w:hAnsiTheme="majorHAnsi"/>
          <w:b/>
          <w:bCs/>
          <w:sz w:val="20"/>
          <w:szCs w:val="20"/>
          <w:lang w:val="pt-BR"/>
        </w:rPr>
        <w:t>CARACTERIZA</w:t>
      </w:r>
      <w:r w:rsidR="00A53003" w:rsidRPr="00B3147B">
        <w:rPr>
          <w:rFonts w:asciiTheme="majorHAnsi" w:hAnsiTheme="majorHAnsi"/>
          <w:b/>
          <w:bCs/>
          <w:sz w:val="20"/>
          <w:szCs w:val="20"/>
          <w:lang w:val="pt-BR"/>
        </w:rPr>
        <w:t>ÇÃO</w:t>
      </w:r>
      <w:r w:rsidR="00C21FEF" w:rsidRPr="00B3147B">
        <w:rPr>
          <w:rFonts w:asciiTheme="majorHAnsi" w:hAnsiTheme="majorHAnsi"/>
          <w:b/>
          <w:bCs/>
          <w:sz w:val="20"/>
          <w:szCs w:val="20"/>
          <w:lang w:val="pt-BR"/>
        </w:rPr>
        <w:t xml:space="preserve"> DOS </w:t>
      </w:r>
      <w:r w:rsidR="00A53003" w:rsidRPr="00B3147B">
        <w:rPr>
          <w:rFonts w:asciiTheme="majorHAnsi" w:hAnsiTheme="majorHAnsi"/>
          <w:b/>
          <w:bCs/>
          <w:sz w:val="20"/>
          <w:szCs w:val="20"/>
          <w:lang w:val="pt-BR"/>
        </w:rPr>
        <w:t>FATOS</w:t>
      </w:r>
      <w:r w:rsidR="00C21FEF" w:rsidRPr="00B3147B">
        <w:rPr>
          <w:rFonts w:asciiTheme="majorHAnsi" w:hAnsiTheme="majorHAnsi"/>
          <w:b/>
          <w:bCs/>
          <w:sz w:val="20"/>
          <w:szCs w:val="20"/>
          <w:lang w:val="pt-BR"/>
        </w:rPr>
        <w:t xml:space="preserve"> ALEGADOS</w:t>
      </w:r>
    </w:p>
    <w:p w14:paraId="3CE26F6D" w14:textId="77777777" w:rsidR="002A52F5" w:rsidRPr="002A52F5" w:rsidRDefault="0031465A"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B119CB">
        <w:rPr>
          <w:rFonts w:asciiTheme="majorHAnsi" w:hAnsiTheme="majorHAnsi"/>
          <w:color w:val="000000" w:themeColor="text1"/>
          <w:sz w:val="20"/>
          <w:szCs w:val="20"/>
          <w:lang w:val="pt-BR"/>
        </w:rPr>
        <w:t>A Comissão considera que a presente pretição inclui alega</w:t>
      </w:r>
      <w:r w:rsidRPr="00B119CB">
        <w:rPr>
          <w:rStyle w:val="Emphasis"/>
          <w:rFonts w:asciiTheme="majorHAnsi" w:hAnsiTheme="majorHAnsi" w:cs="Arial"/>
          <w:bCs/>
          <w:i w:val="0"/>
          <w:color w:val="000000" w:themeColor="text1"/>
          <w:sz w:val="20"/>
          <w:szCs w:val="20"/>
          <w:shd w:val="clear" w:color="auto" w:fill="FFFFFF"/>
          <w:lang w:val="pt-BR"/>
        </w:rPr>
        <w:t>ções</w:t>
      </w:r>
      <w:r w:rsidRPr="00B119CB">
        <w:rPr>
          <w:rStyle w:val="Emphasis"/>
          <w:rFonts w:asciiTheme="majorHAnsi" w:hAnsiTheme="majorHAnsi" w:cs="Arial"/>
          <w:bCs/>
          <w:color w:val="000000" w:themeColor="text1"/>
          <w:sz w:val="20"/>
          <w:szCs w:val="20"/>
          <w:shd w:val="clear" w:color="auto" w:fill="FFFFFF"/>
          <w:lang w:val="pt-BR"/>
        </w:rPr>
        <w:t xml:space="preserve"> </w:t>
      </w:r>
      <w:r w:rsidRPr="00B119CB">
        <w:rPr>
          <w:rStyle w:val="Emphasis"/>
          <w:rFonts w:asciiTheme="majorHAnsi" w:hAnsiTheme="majorHAnsi" w:cs="Arial"/>
          <w:bCs/>
          <w:i w:val="0"/>
          <w:color w:val="000000" w:themeColor="text1"/>
          <w:sz w:val="20"/>
          <w:szCs w:val="20"/>
          <w:shd w:val="clear" w:color="auto" w:fill="FFFFFF"/>
          <w:lang w:val="pt-BR"/>
        </w:rPr>
        <w:t>a respeito</w:t>
      </w:r>
      <w:r w:rsidRPr="00B119CB">
        <w:rPr>
          <w:rFonts w:asciiTheme="majorHAnsi" w:hAnsiTheme="majorHAnsi"/>
          <w:i/>
          <w:color w:val="000000" w:themeColor="text1"/>
          <w:sz w:val="20"/>
          <w:szCs w:val="20"/>
          <w:lang w:val="pt-BR"/>
        </w:rPr>
        <w:t xml:space="preserve"> </w:t>
      </w:r>
      <w:r w:rsidRPr="00B119CB">
        <w:rPr>
          <w:rFonts w:asciiTheme="majorHAnsi" w:hAnsiTheme="majorHAnsi"/>
          <w:color w:val="000000" w:themeColor="text1"/>
          <w:sz w:val="20"/>
          <w:szCs w:val="20"/>
          <w:lang w:val="pt-BR"/>
        </w:rPr>
        <w:t>da</w:t>
      </w:r>
      <w:r w:rsidR="00C10EC3" w:rsidRPr="00B119CB">
        <w:rPr>
          <w:rFonts w:asciiTheme="majorHAnsi" w:hAnsiTheme="majorHAnsi"/>
          <w:color w:val="000000" w:themeColor="text1"/>
          <w:sz w:val="20"/>
          <w:szCs w:val="20"/>
          <w:lang w:val="pt-BR"/>
        </w:rPr>
        <w:t xml:space="preserve"> </w:t>
      </w:r>
      <w:r w:rsidR="00B119CB" w:rsidRPr="00B119CB">
        <w:rPr>
          <w:rFonts w:asciiTheme="majorHAnsi" w:hAnsiTheme="majorHAnsi"/>
          <w:color w:val="000000" w:themeColor="text1"/>
          <w:sz w:val="20"/>
          <w:szCs w:val="20"/>
          <w:lang w:val="pt-BR"/>
        </w:rPr>
        <w:t>perda do direito adquirido e do direito à propriedade e à previdência dos advogados e advogadas que contribuíam à Carteira de Previdência do IPESP devido à promulgação de Lei pelo Estado de São Paulo que modificou critérios de aposentadoria e isentou o Estado de responsabilidade pelo pagamento das verbas previdenciárias, levando à extinção do sistema previdenciário das supostas vítimas. Ademais, a presente petição versa sobre os efeitos à vida digna e à dignidade das supostas vítimas, pessoas idosas, ante a perda da aposentadoria e da possibilidade de se aposentar pelo sistema que haviam escolhido.</w:t>
      </w:r>
      <w:r w:rsidR="002A52F5">
        <w:rPr>
          <w:rFonts w:asciiTheme="majorHAnsi" w:hAnsiTheme="majorHAnsi"/>
          <w:color w:val="FF0000"/>
          <w:sz w:val="20"/>
          <w:szCs w:val="20"/>
          <w:lang w:val="pt-BR"/>
        </w:rPr>
        <w:t xml:space="preserve"> </w:t>
      </w:r>
    </w:p>
    <w:p w14:paraId="08FD6D84" w14:textId="294F13F5" w:rsidR="00B3147B" w:rsidRPr="00DF1632" w:rsidRDefault="002A52F5"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DF1632">
        <w:rPr>
          <w:rFonts w:asciiTheme="majorHAnsi" w:hAnsiTheme="majorHAnsi"/>
          <w:sz w:val="20"/>
          <w:szCs w:val="20"/>
          <w:lang w:val="pt-BR"/>
        </w:rPr>
        <w:t xml:space="preserve">Nesse sentido, a CIDH reconhece que embora as supostas vítimas não tenham preenchidos todos os requisitos legais necessários à concessão da aposentadoria, a análise sobre as causas da restrição </w:t>
      </w:r>
      <w:r w:rsidR="003063B4" w:rsidRPr="00DF1632">
        <w:rPr>
          <w:rFonts w:asciiTheme="majorHAnsi" w:hAnsiTheme="majorHAnsi"/>
          <w:sz w:val="20"/>
          <w:szCs w:val="20"/>
          <w:lang w:val="pt-BR"/>
        </w:rPr>
        <w:t xml:space="preserve">aos direitos dos pensionistas requer um exame de mérito. </w:t>
      </w:r>
    </w:p>
    <w:p w14:paraId="499CA0F2" w14:textId="79E70C6C" w:rsidR="00A21307" w:rsidRPr="00A21307" w:rsidRDefault="00A21307" w:rsidP="00A213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C0504D" w:themeColor="accent2"/>
          <w:sz w:val="20"/>
          <w:szCs w:val="20"/>
          <w:lang w:val="pt-BR"/>
        </w:rPr>
      </w:pPr>
      <w:r>
        <w:rPr>
          <w:rFonts w:asciiTheme="majorHAnsi" w:hAnsiTheme="majorHAnsi"/>
          <w:sz w:val="20"/>
          <w:szCs w:val="20"/>
          <w:lang w:val="pt-BR"/>
        </w:rPr>
        <w:t>I</w:t>
      </w:r>
      <w:r w:rsidRPr="00230537">
        <w:rPr>
          <w:rFonts w:asciiTheme="majorHAnsi" w:hAnsiTheme="majorHAnsi"/>
          <w:sz w:val="20"/>
          <w:szCs w:val="20"/>
          <w:lang w:val="pt-BR"/>
        </w:rPr>
        <w:t>nicialmente,</w:t>
      </w:r>
      <w:r>
        <w:rPr>
          <w:rFonts w:asciiTheme="majorHAnsi" w:hAnsiTheme="majorHAnsi"/>
          <w:sz w:val="20"/>
          <w:szCs w:val="20"/>
          <w:lang w:val="pt-BR"/>
        </w:rPr>
        <w:t xml:space="preserve"> em relação ao argumento de que a CIDH carece de competência para analisar violações ao artigo 26 da Convenção Americana, a Comissão sinal que o referido artigo estabelece a obrigação de os Estados-partes de desenvolver progressivamente a plena efetividade dos direitos derivados de normas econômicas, sociais e educativas, científicas e culturais previstas na Carta da Organização dos Estados Americanos. Nesse sentido, à luz da jurisprudência atual, a Comissão está facultada para reconhecer não só o retrocesso e a violação do desenvolvimento progressivo dos direitos econômicos, sociais, culturais e ambientais, como também a violação autônoma desses direitos consagrados na Carta da OEA.</w:t>
      </w:r>
      <w:r w:rsidRPr="00FC2B4A">
        <w:rPr>
          <w:rStyle w:val="FootnoteReference"/>
          <w:rFonts w:ascii="Cambria" w:hAnsi="Cambria" w:cs="Calibri"/>
          <w:sz w:val="20"/>
          <w:szCs w:val="20"/>
        </w:rPr>
        <w:footnoteReference w:id="7"/>
      </w:r>
    </w:p>
    <w:p w14:paraId="201ECED1" w14:textId="4A0CFBA8" w:rsidR="00DE4122" w:rsidRPr="00C153BE" w:rsidRDefault="0031465A" w:rsidP="00DE4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DE4122">
        <w:rPr>
          <w:rFonts w:asciiTheme="majorHAnsi" w:hAnsiTheme="majorHAnsi"/>
          <w:color w:val="000000" w:themeColor="text1"/>
          <w:sz w:val="20"/>
          <w:szCs w:val="20"/>
          <w:lang w:val="pt-BR"/>
        </w:rPr>
        <w:t>Em atenção a estas considera</w:t>
      </w:r>
      <w:r w:rsidRPr="00DE4122">
        <w:rPr>
          <w:rStyle w:val="Emphasis"/>
          <w:rFonts w:asciiTheme="majorHAnsi" w:hAnsiTheme="majorHAnsi" w:cs="Arial"/>
          <w:bCs/>
          <w:i w:val="0"/>
          <w:color w:val="000000" w:themeColor="text1"/>
          <w:sz w:val="20"/>
          <w:szCs w:val="20"/>
          <w:shd w:val="clear" w:color="auto" w:fill="FFFFFF"/>
          <w:lang w:val="pt-BR"/>
        </w:rPr>
        <w:t>ções</w:t>
      </w:r>
      <w:r w:rsidRPr="00DE4122">
        <w:rPr>
          <w:rFonts w:asciiTheme="majorHAnsi" w:hAnsiTheme="majorHAnsi"/>
          <w:color w:val="000000" w:themeColor="text1"/>
          <w:sz w:val="20"/>
          <w:szCs w:val="20"/>
          <w:lang w:val="pt-BR"/>
        </w:rPr>
        <w:t xml:space="preserve"> e após examinar os elementos de fato e de direito expostos pelas partes, a Comissão estima que as alega</w:t>
      </w:r>
      <w:r w:rsidRPr="00DE4122">
        <w:rPr>
          <w:rStyle w:val="Emphasis"/>
          <w:rFonts w:asciiTheme="majorHAnsi" w:hAnsiTheme="majorHAnsi" w:cs="Arial"/>
          <w:bCs/>
          <w:i w:val="0"/>
          <w:color w:val="000000" w:themeColor="text1"/>
          <w:sz w:val="20"/>
          <w:szCs w:val="20"/>
          <w:shd w:val="clear" w:color="auto" w:fill="FFFFFF"/>
          <w:lang w:val="pt-BR"/>
        </w:rPr>
        <w:t>ções</w:t>
      </w:r>
      <w:r w:rsidRPr="00DE4122">
        <w:rPr>
          <w:rFonts w:asciiTheme="majorHAnsi" w:hAnsiTheme="majorHAnsi"/>
          <w:i/>
          <w:color w:val="000000" w:themeColor="text1"/>
          <w:sz w:val="20"/>
          <w:szCs w:val="20"/>
          <w:lang w:val="pt-BR"/>
        </w:rPr>
        <w:t xml:space="preserve"> </w:t>
      </w:r>
      <w:r w:rsidRPr="00DE4122">
        <w:rPr>
          <w:rFonts w:asciiTheme="majorHAnsi" w:hAnsiTheme="majorHAnsi"/>
          <w:color w:val="000000" w:themeColor="text1"/>
          <w:sz w:val="20"/>
          <w:szCs w:val="20"/>
          <w:lang w:val="pt-BR"/>
        </w:rPr>
        <w:t>da parte peticionária não são manifestamente infundada</w:t>
      </w:r>
      <w:r w:rsidR="00B445AC" w:rsidRPr="00DE4122">
        <w:rPr>
          <w:rFonts w:asciiTheme="majorHAnsi" w:hAnsiTheme="majorHAnsi"/>
          <w:color w:val="000000" w:themeColor="text1"/>
          <w:sz w:val="20"/>
          <w:szCs w:val="20"/>
          <w:lang w:val="pt-BR"/>
        </w:rPr>
        <w:t>s</w:t>
      </w:r>
      <w:r w:rsidRPr="00DE4122">
        <w:rPr>
          <w:rFonts w:asciiTheme="majorHAnsi" w:hAnsiTheme="majorHAnsi"/>
          <w:color w:val="000000" w:themeColor="text1"/>
          <w:sz w:val="20"/>
          <w:szCs w:val="20"/>
          <w:lang w:val="pt-BR"/>
        </w:rPr>
        <w:t xml:space="preserve"> e requerem um estudo de mérito, pois os fatos alegados, se corroborados como certos, podem caracterizar </w:t>
      </w:r>
      <w:r w:rsidRPr="00DE4122">
        <w:rPr>
          <w:rFonts w:asciiTheme="majorHAnsi" w:hAnsiTheme="majorHAnsi"/>
          <w:bCs/>
          <w:i/>
          <w:color w:val="000000" w:themeColor="text1"/>
          <w:sz w:val="20"/>
          <w:szCs w:val="20"/>
          <w:lang w:val="pt-BR"/>
        </w:rPr>
        <w:t>v</w:t>
      </w:r>
      <w:r w:rsidRPr="00DE4122">
        <w:rPr>
          <w:rStyle w:val="Emphasis"/>
          <w:rFonts w:asciiTheme="majorHAnsi" w:hAnsiTheme="majorHAnsi" w:cs="Arial"/>
          <w:bCs/>
          <w:i w:val="0"/>
          <w:color w:val="000000" w:themeColor="text1"/>
          <w:sz w:val="20"/>
          <w:szCs w:val="20"/>
          <w:shd w:val="clear" w:color="auto" w:fill="FFFFFF"/>
          <w:lang w:val="pt-BR"/>
        </w:rPr>
        <w:t>iolações</w:t>
      </w:r>
      <w:r w:rsidRPr="00DE4122">
        <w:rPr>
          <w:rFonts w:asciiTheme="majorHAnsi" w:hAnsiTheme="majorHAnsi"/>
          <w:color w:val="000000" w:themeColor="text1"/>
          <w:sz w:val="20"/>
          <w:szCs w:val="20"/>
          <w:lang w:val="pt-BR"/>
        </w:rPr>
        <w:t xml:space="preserve"> aos direitos protegidos nos </w:t>
      </w:r>
      <w:r w:rsidR="00941503" w:rsidRPr="00DE4122">
        <w:rPr>
          <w:rFonts w:asciiTheme="majorHAnsi" w:hAnsiTheme="majorHAnsi"/>
          <w:color w:val="000000" w:themeColor="text1"/>
          <w:sz w:val="20"/>
          <w:szCs w:val="20"/>
          <w:lang w:val="pt-BR"/>
        </w:rPr>
        <w:t xml:space="preserve">artigos </w:t>
      </w:r>
      <w:r w:rsidR="00B119CB">
        <w:rPr>
          <w:rFonts w:asciiTheme="majorHAnsi" w:hAnsiTheme="majorHAnsi"/>
          <w:bCs/>
          <w:color w:val="000000" w:themeColor="text1"/>
          <w:sz w:val="20"/>
          <w:szCs w:val="20"/>
          <w:lang w:val="pt-BR"/>
        </w:rPr>
        <w:t>8 (garantias judiciais)</w:t>
      </w:r>
      <w:r w:rsidR="001B7087">
        <w:rPr>
          <w:rFonts w:asciiTheme="majorHAnsi" w:hAnsiTheme="majorHAnsi"/>
          <w:bCs/>
          <w:color w:val="000000" w:themeColor="text1"/>
          <w:sz w:val="20"/>
          <w:szCs w:val="20"/>
          <w:lang w:val="pt-BR"/>
        </w:rPr>
        <w:t>,</w:t>
      </w:r>
      <w:r w:rsidR="00B119CB">
        <w:rPr>
          <w:rFonts w:asciiTheme="majorHAnsi" w:hAnsiTheme="majorHAnsi"/>
          <w:bCs/>
          <w:color w:val="000000" w:themeColor="text1"/>
          <w:sz w:val="20"/>
          <w:szCs w:val="20"/>
          <w:lang w:val="pt-BR"/>
        </w:rPr>
        <w:t xml:space="preserve"> 11 (honra e dignidade), </w:t>
      </w:r>
      <w:r w:rsidR="00B119CB" w:rsidRPr="00DE4122">
        <w:rPr>
          <w:rFonts w:asciiTheme="majorHAnsi" w:hAnsiTheme="majorHAnsi"/>
          <w:bCs/>
          <w:color w:val="000000" w:themeColor="text1"/>
          <w:sz w:val="20"/>
          <w:szCs w:val="20"/>
          <w:lang w:val="pt-BR"/>
        </w:rPr>
        <w:t xml:space="preserve">21 (propriedade privada), </w:t>
      </w:r>
      <w:r w:rsidR="00B119CB">
        <w:rPr>
          <w:rFonts w:asciiTheme="majorHAnsi" w:hAnsiTheme="majorHAnsi"/>
          <w:bCs/>
          <w:color w:val="000000" w:themeColor="text1"/>
          <w:sz w:val="20"/>
          <w:szCs w:val="20"/>
          <w:lang w:val="pt-BR"/>
        </w:rPr>
        <w:t xml:space="preserve">25 (proteção judicial) e </w:t>
      </w:r>
      <w:r w:rsidR="00B119CB" w:rsidRPr="00DE4122">
        <w:rPr>
          <w:rFonts w:asciiTheme="majorHAnsi" w:hAnsiTheme="majorHAnsi"/>
          <w:bCs/>
          <w:color w:val="000000" w:themeColor="text1"/>
          <w:sz w:val="20"/>
          <w:szCs w:val="20"/>
          <w:lang w:val="pt-BR"/>
        </w:rPr>
        <w:t>26 (direitos econômicos, sociais e culturais)</w:t>
      </w:r>
      <w:r w:rsidR="00DE4122" w:rsidRPr="00DE4122">
        <w:rPr>
          <w:rFonts w:asciiTheme="majorHAnsi" w:hAnsiTheme="majorHAnsi"/>
          <w:bCs/>
          <w:color w:val="000000" w:themeColor="text1"/>
          <w:sz w:val="20"/>
          <w:szCs w:val="20"/>
          <w:lang w:val="pt-BR"/>
        </w:rPr>
        <w:t xml:space="preserve"> em relação com os artigos 1 (obrigação de respeitar os direitos) e 2 (dever de adotar disposições de direito interno) do mesmo tratado</w:t>
      </w:r>
      <w:r w:rsidR="00B35447">
        <w:rPr>
          <w:rFonts w:asciiTheme="majorHAnsi" w:hAnsiTheme="majorHAnsi"/>
          <w:bCs/>
          <w:color w:val="000000" w:themeColor="text1"/>
          <w:sz w:val="20"/>
          <w:szCs w:val="20"/>
          <w:lang w:val="pt-BR"/>
        </w:rPr>
        <w:t>.</w:t>
      </w:r>
    </w:p>
    <w:p w14:paraId="2D6555D7" w14:textId="01E2BC9B" w:rsidR="00DE4122" w:rsidRPr="00B93F0B" w:rsidRDefault="00C153BE" w:rsidP="00DE4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Pr>
          <w:rFonts w:asciiTheme="majorHAnsi" w:hAnsiTheme="majorHAnsi"/>
          <w:bCs/>
          <w:color w:val="000000" w:themeColor="text1"/>
          <w:sz w:val="20"/>
          <w:szCs w:val="20"/>
          <w:lang w:val="pt-BR"/>
        </w:rPr>
        <w:t xml:space="preserve">Por fim, a respeito da alegação do Estado sobre quarta instância, a Comissão observa que ao admitir esta petição não pretende suplantar a competência das autoridades judiciais domésticas. Senão que analisará </w:t>
      </w:r>
      <w:r w:rsidR="00B119CB">
        <w:rPr>
          <w:rFonts w:asciiTheme="majorHAnsi" w:hAnsiTheme="majorHAnsi"/>
          <w:bCs/>
          <w:color w:val="000000" w:themeColor="text1"/>
          <w:sz w:val="20"/>
          <w:szCs w:val="20"/>
          <w:lang w:val="pt-BR"/>
        </w:rPr>
        <w:t>na etapa de mérito da presente petição se os processos judiciais internos cumpriram com as garantias do devido processo e proteção judicial, e ofereceu as devidas garantias de acesso à justiça às supostas vítimas nos termos da Convenção Americana</w:t>
      </w:r>
    </w:p>
    <w:p w14:paraId="29BB41F5" w14:textId="3DC9F7BC" w:rsidR="003239B8" w:rsidRPr="00B3147B" w:rsidRDefault="003239B8" w:rsidP="003239B8">
      <w:pPr>
        <w:pStyle w:val="ListParagraph"/>
        <w:spacing w:before="240" w:after="240"/>
        <w:jc w:val="both"/>
        <w:rPr>
          <w:rFonts w:asciiTheme="majorHAnsi" w:hAnsiTheme="majorHAnsi"/>
          <w:b/>
          <w:bCs/>
          <w:sz w:val="20"/>
          <w:szCs w:val="20"/>
          <w:lang w:val="pt-BR"/>
        </w:rPr>
      </w:pPr>
      <w:r w:rsidRPr="00B3147B">
        <w:rPr>
          <w:rFonts w:asciiTheme="majorHAnsi" w:hAnsiTheme="majorHAnsi"/>
          <w:b/>
          <w:bCs/>
          <w:sz w:val="20"/>
          <w:szCs w:val="20"/>
          <w:lang w:val="pt-BR"/>
        </w:rPr>
        <w:t xml:space="preserve">VIII. </w:t>
      </w:r>
      <w:r w:rsidRPr="00B3147B">
        <w:rPr>
          <w:rFonts w:asciiTheme="majorHAnsi" w:hAnsiTheme="majorHAnsi"/>
          <w:b/>
          <w:bCs/>
          <w:sz w:val="20"/>
          <w:szCs w:val="20"/>
          <w:lang w:val="pt-BR"/>
        </w:rPr>
        <w:tab/>
      </w:r>
      <w:r w:rsidR="00A53003" w:rsidRPr="00B3147B">
        <w:rPr>
          <w:rFonts w:asciiTheme="majorHAnsi" w:hAnsiTheme="majorHAnsi"/>
          <w:b/>
          <w:bCs/>
          <w:sz w:val="20"/>
          <w:szCs w:val="20"/>
          <w:lang w:val="pt-BR"/>
        </w:rPr>
        <w:t>DECISÃO</w:t>
      </w:r>
    </w:p>
    <w:p w14:paraId="41AA5BF6" w14:textId="2861EB11" w:rsidR="000419AD" w:rsidRPr="00B35447" w:rsidRDefault="003239B8" w:rsidP="00C10E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sz w:val="20"/>
          <w:szCs w:val="20"/>
          <w:lang w:val="pt-BR"/>
        </w:rPr>
        <w:t xml:space="preserve">Declarar </w:t>
      </w:r>
      <w:r w:rsidR="00A53003" w:rsidRPr="00B3147B">
        <w:rPr>
          <w:rFonts w:asciiTheme="majorHAnsi" w:hAnsiTheme="majorHAnsi"/>
          <w:sz w:val="20"/>
          <w:szCs w:val="20"/>
          <w:lang w:val="pt-BR"/>
        </w:rPr>
        <w:t>admitida</w:t>
      </w:r>
      <w:r w:rsidRPr="00B3147B">
        <w:rPr>
          <w:rFonts w:asciiTheme="majorHAnsi" w:hAnsiTheme="majorHAnsi"/>
          <w:sz w:val="20"/>
          <w:szCs w:val="20"/>
          <w:lang w:val="pt-BR"/>
        </w:rPr>
        <w:t xml:space="preserve"> a presente </w:t>
      </w:r>
      <w:r w:rsidR="00A53003" w:rsidRPr="00B3147B">
        <w:rPr>
          <w:rFonts w:asciiTheme="majorHAnsi" w:hAnsiTheme="majorHAnsi"/>
          <w:sz w:val="20"/>
          <w:szCs w:val="20"/>
          <w:lang w:val="pt-BR"/>
        </w:rPr>
        <w:t>petição</w:t>
      </w:r>
      <w:r w:rsidRPr="00B3147B">
        <w:rPr>
          <w:rFonts w:asciiTheme="majorHAnsi" w:hAnsiTheme="majorHAnsi"/>
          <w:sz w:val="20"/>
          <w:szCs w:val="20"/>
          <w:lang w:val="pt-BR"/>
        </w:rPr>
        <w:t xml:space="preserve"> e</w:t>
      </w:r>
      <w:r w:rsidR="00A53003" w:rsidRPr="00B3147B">
        <w:rPr>
          <w:rFonts w:asciiTheme="majorHAnsi" w:hAnsiTheme="majorHAnsi"/>
          <w:sz w:val="20"/>
          <w:szCs w:val="20"/>
          <w:lang w:val="pt-BR"/>
        </w:rPr>
        <w:t>m</w:t>
      </w:r>
      <w:r w:rsidRPr="00B3147B">
        <w:rPr>
          <w:rFonts w:asciiTheme="majorHAnsi" w:hAnsiTheme="majorHAnsi"/>
          <w:sz w:val="20"/>
          <w:szCs w:val="20"/>
          <w:lang w:val="pt-BR"/>
        </w:rPr>
        <w:t xml:space="preserve"> </w:t>
      </w:r>
      <w:r w:rsidR="00A53003" w:rsidRPr="00B3147B">
        <w:rPr>
          <w:rFonts w:asciiTheme="majorHAnsi" w:hAnsiTheme="majorHAnsi"/>
          <w:sz w:val="20"/>
          <w:szCs w:val="20"/>
          <w:lang w:val="pt-BR"/>
        </w:rPr>
        <w:t xml:space="preserve">relação </w:t>
      </w:r>
      <w:r w:rsidR="00B35447">
        <w:rPr>
          <w:rFonts w:asciiTheme="majorHAnsi" w:hAnsiTheme="majorHAnsi"/>
          <w:sz w:val="20"/>
          <w:szCs w:val="20"/>
          <w:lang w:val="pt-BR"/>
        </w:rPr>
        <w:t xml:space="preserve">aos </w:t>
      </w:r>
      <w:r w:rsidR="00B35447" w:rsidRPr="00DE4122">
        <w:rPr>
          <w:rFonts w:asciiTheme="majorHAnsi" w:hAnsiTheme="majorHAnsi"/>
          <w:color w:val="000000" w:themeColor="text1"/>
          <w:sz w:val="20"/>
          <w:szCs w:val="20"/>
          <w:lang w:val="pt-BR"/>
        </w:rPr>
        <w:t xml:space="preserve">artigos </w:t>
      </w:r>
      <w:r w:rsidR="00B35447" w:rsidRPr="00DE4122">
        <w:rPr>
          <w:rFonts w:asciiTheme="majorHAnsi" w:hAnsiTheme="majorHAnsi"/>
          <w:bCs/>
          <w:color w:val="000000" w:themeColor="text1"/>
          <w:sz w:val="20"/>
          <w:szCs w:val="20"/>
          <w:lang w:val="pt-BR"/>
        </w:rPr>
        <w:t xml:space="preserve">4 (direito à vida), </w:t>
      </w:r>
      <w:r w:rsidR="00B119CB">
        <w:rPr>
          <w:rFonts w:asciiTheme="majorHAnsi" w:hAnsiTheme="majorHAnsi"/>
          <w:bCs/>
          <w:color w:val="000000" w:themeColor="text1"/>
          <w:sz w:val="20"/>
          <w:szCs w:val="20"/>
          <w:lang w:val="pt-BR"/>
        </w:rPr>
        <w:t xml:space="preserve">8 (garantias judiciais) </w:t>
      </w:r>
      <w:r w:rsidR="00C153BE">
        <w:rPr>
          <w:rFonts w:asciiTheme="majorHAnsi" w:hAnsiTheme="majorHAnsi"/>
          <w:bCs/>
          <w:color w:val="000000" w:themeColor="text1"/>
          <w:sz w:val="20"/>
          <w:szCs w:val="20"/>
          <w:lang w:val="pt-BR"/>
        </w:rPr>
        <w:t xml:space="preserve">11 (honra e dignidade), </w:t>
      </w:r>
      <w:r w:rsidR="00B35447" w:rsidRPr="00DE4122">
        <w:rPr>
          <w:rFonts w:asciiTheme="majorHAnsi" w:hAnsiTheme="majorHAnsi"/>
          <w:bCs/>
          <w:color w:val="000000" w:themeColor="text1"/>
          <w:sz w:val="20"/>
          <w:szCs w:val="20"/>
          <w:lang w:val="pt-BR"/>
        </w:rPr>
        <w:t xml:space="preserve">21 (propriedade privada), </w:t>
      </w:r>
      <w:r w:rsidR="00B119CB">
        <w:rPr>
          <w:rFonts w:asciiTheme="majorHAnsi" w:hAnsiTheme="majorHAnsi"/>
          <w:bCs/>
          <w:color w:val="000000" w:themeColor="text1"/>
          <w:sz w:val="20"/>
          <w:szCs w:val="20"/>
          <w:lang w:val="pt-BR"/>
        </w:rPr>
        <w:t xml:space="preserve">25 (proteção judicial) e </w:t>
      </w:r>
      <w:r w:rsidR="00B35447" w:rsidRPr="00DE4122">
        <w:rPr>
          <w:rFonts w:asciiTheme="majorHAnsi" w:hAnsiTheme="majorHAnsi"/>
          <w:bCs/>
          <w:color w:val="000000" w:themeColor="text1"/>
          <w:sz w:val="20"/>
          <w:szCs w:val="20"/>
          <w:lang w:val="pt-BR"/>
        </w:rPr>
        <w:t>26 (direitos econômicos, sociais e culturais) da Convenção Americana em relação com os artigos 1 (obrigação de respeitar os direitos) e 2 (dever de adotar disposições de direito interno) do mesmo tratado</w:t>
      </w:r>
      <w:r w:rsidR="004C6391">
        <w:rPr>
          <w:rFonts w:asciiTheme="majorHAnsi" w:hAnsiTheme="majorHAnsi"/>
          <w:bCs/>
          <w:sz w:val="20"/>
          <w:szCs w:val="20"/>
          <w:lang w:val="pt-BR"/>
        </w:rPr>
        <w:t>.</w:t>
      </w:r>
    </w:p>
    <w:p w14:paraId="6AC80CA6" w14:textId="486A16AB" w:rsidR="00722C9F" w:rsidRDefault="00A53003" w:rsidP="140C215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140C215D">
        <w:rPr>
          <w:rFonts w:asciiTheme="majorHAnsi" w:hAnsiTheme="majorHAnsi"/>
          <w:sz w:val="20"/>
          <w:szCs w:val="20"/>
          <w:lang w:val="pt-BR"/>
        </w:rPr>
        <w:lastRenderedPageBreak/>
        <w:t xml:space="preserve">Notificar </w:t>
      </w:r>
      <w:r w:rsidR="0022736D" w:rsidRPr="140C215D">
        <w:rPr>
          <w:rFonts w:asciiTheme="majorHAnsi" w:hAnsiTheme="majorHAnsi"/>
          <w:sz w:val="20"/>
          <w:szCs w:val="20"/>
          <w:lang w:val="pt-BR"/>
        </w:rPr>
        <w:t>a</w:t>
      </w:r>
      <w:r w:rsidR="004A6A54" w:rsidRPr="140C215D">
        <w:rPr>
          <w:rFonts w:asciiTheme="majorHAnsi" w:hAnsiTheme="majorHAnsi"/>
          <w:sz w:val="20"/>
          <w:szCs w:val="20"/>
          <w:lang w:val="pt-BR"/>
        </w:rPr>
        <w:t xml:space="preserve">s partes </w:t>
      </w:r>
      <w:r w:rsidR="0022736D" w:rsidRPr="140C215D">
        <w:rPr>
          <w:rFonts w:asciiTheme="majorHAnsi" w:hAnsiTheme="majorHAnsi"/>
          <w:sz w:val="20"/>
          <w:szCs w:val="20"/>
          <w:lang w:val="pt-BR"/>
        </w:rPr>
        <w:t xml:space="preserve">sobre </w:t>
      </w:r>
      <w:r w:rsidRPr="140C215D">
        <w:rPr>
          <w:rFonts w:asciiTheme="majorHAnsi" w:hAnsiTheme="majorHAnsi"/>
          <w:sz w:val="20"/>
          <w:szCs w:val="20"/>
          <w:lang w:val="pt-BR"/>
        </w:rPr>
        <w:t>a presente decisão; continuar com a análise de mérito</w:t>
      </w:r>
      <w:r w:rsidR="004A6A54" w:rsidRPr="140C215D">
        <w:rPr>
          <w:rFonts w:asciiTheme="majorHAnsi" w:hAnsiTheme="majorHAnsi"/>
          <w:sz w:val="20"/>
          <w:szCs w:val="20"/>
          <w:lang w:val="pt-BR"/>
        </w:rPr>
        <w:t xml:space="preserve"> </w:t>
      </w:r>
      <w:r w:rsidRPr="140C215D">
        <w:rPr>
          <w:rFonts w:asciiTheme="majorHAnsi" w:hAnsiTheme="majorHAnsi"/>
          <w:sz w:val="20"/>
          <w:szCs w:val="20"/>
          <w:lang w:val="pt-BR"/>
        </w:rPr>
        <w:t>d</w:t>
      </w:r>
      <w:r w:rsidR="004A6A54" w:rsidRPr="140C215D">
        <w:rPr>
          <w:rFonts w:asciiTheme="majorHAnsi" w:hAnsiTheme="majorHAnsi"/>
          <w:sz w:val="20"/>
          <w:szCs w:val="20"/>
          <w:lang w:val="pt-BR"/>
        </w:rPr>
        <w:t xml:space="preserve">a </w:t>
      </w:r>
      <w:r w:rsidRPr="140C215D">
        <w:rPr>
          <w:rFonts w:asciiTheme="majorHAnsi" w:hAnsiTheme="majorHAnsi"/>
          <w:sz w:val="20"/>
          <w:szCs w:val="20"/>
          <w:lang w:val="pt-BR"/>
        </w:rPr>
        <w:t>questão; e</w:t>
      </w:r>
      <w:r w:rsidR="004A6A54" w:rsidRPr="140C215D">
        <w:rPr>
          <w:rFonts w:asciiTheme="majorHAnsi" w:hAnsiTheme="majorHAnsi"/>
          <w:sz w:val="20"/>
          <w:szCs w:val="20"/>
          <w:lang w:val="pt-BR"/>
        </w:rPr>
        <w:t xml:space="preserve"> publicar esta </w:t>
      </w:r>
      <w:r w:rsidRPr="140C215D">
        <w:rPr>
          <w:rFonts w:asciiTheme="majorHAnsi" w:hAnsiTheme="majorHAnsi"/>
          <w:sz w:val="20"/>
          <w:szCs w:val="20"/>
          <w:lang w:val="pt-BR"/>
        </w:rPr>
        <w:t>decisão</w:t>
      </w:r>
      <w:r w:rsidR="007665A8" w:rsidRPr="140C215D">
        <w:rPr>
          <w:rFonts w:asciiTheme="majorHAnsi" w:hAnsiTheme="majorHAnsi"/>
          <w:sz w:val="20"/>
          <w:szCs w:val="20"/>
          <w:lang w:val="pt-BR"/>
        </w:rPr>
        <w:t xml:space="preserve"> e inclui</w:t>
      </w:r>
      <w:r w:rsidRPr="140C215D">
        <w:rPr>
          <w:rFonts w:asciiTheme="majorHAnsi" w:hAnsiTheme="majorHAnsi"/>
          <w:sz w:val="20"/>
          <w:szCs w:val="20"/>
          <w:lang w:val="pt-BR"/>
        </w:rPr>
        <w:t>-</w:t>
      </w:r>
      <w:r w:rsidR="004A6A54" w:rsidRPr="140C215D">
        <w:rPr>
          <w:rFonts w:asciiTheme="majorHAnsi" w:hAnsiTheme="majorHAnsi"/>
          <w:sz w:val="20"/>
          <w:szCs w:val="20"/>
          <w:lang w:val="pt-BR"/>
        </w:rPr>
        <w:t xml:space="preserve">la </w:t>
      </w:r>
      <w:r w:rsidRPr="140C215D">
        <w:rPr>
          <w:rFonts w:asciiTheme="majorHAnsi" w:hAnsiTheme="majorHAnsi"/>
          <w:sz w:val="20"/>
          <w:szCs w:val="20"/>
          <w:lang w:val="pt-BR"/>
        </w:rPr>
        <w:t xml:space="preserve">em seu Relatório Anual à Assembleia Geral da Organização dos Estados Americanos. </w:t>
      </w:r>
    </w:p>
    <w:p w14:paraId="31E077AC" w14:textId="40A2D57A" w:rsidR="140C215D" w:rsidRPr="0028514E" w:rsidRDefault="140C215D" w:rsidP="140C215D">
      <w:pPr>
        <w:ind w:firstLine="720"/>
        <w:jc w:val="both"/>
        <w:rPr>
          <w:lang w:val="pt-BR"/>
        </w:rPr>
      </w:pPr>
      <w:r w:rsidRPr="140C215D">
        <w:rPr>
          <w:rFonts w:ascii="Cambria" w:eastAsia="Cambria" w:hAnsi="Cambria" w:cs="Cambria"/>
          <w:sz w:val="20"/>
          <w:szCs w:val="20"/>
          <w:lang w:val="pt-BR"/>
        </w:rPr>
        <w:t xml:space="preserve">Aprovado pela Comissão Interamericana de Direitos Humanos aos </w:t>
      </w:r>
      <w:r w:rsidR="0028514E">
        <w:rPr>
          <w:rFonts w:ascii="Cambria" w:eastAsia="Cambria" w:hAnsi="Cambria" w:cs="Cambria"/>
          <w:sz w:val="20"/>
          <w:szCs w:val="20"/>
          <w:lang w:val="pt-BR"/>
        </w:rPr>
        <w:t>9</w:t>
      </w:r>
      <w:r w:rsidRPr="140C215D">
        <w:rPr>
          <w:rFonts w:ascii="Cambria" w:eastAsia="Cambria" w:hAnsi="Cambria" w:cs="Cambria"/>
          <w:sz w:val="20"/>
          <w:szCs w:val="20"/>
          <w:lang w:val="pt-BR"/>
        </w:rPr>
        <w:t xml:space="preserve"> dias do mês de </w:t>
      </w:r>
      <w:r w:rsidR="000C6D38">
        <w:rPr>
          <w:rFonts w:ascii="Cambria" w:eastAsia="Cambria" w:hAnsi="Cambria" w:cs="Cambria"/>
          <w:sz w:val="20"/>
          <w:szCs w:val="20"/>
          <w:lang w:val="pt-BR"/>
        </w:rPr>
        <w:t>fevereiro</w:t>
      </w:r>
      <w:r w:rsidRPr="140C215D">
        <w:rPr>
          <w:rFonts w:ascii="Cambria" w:eastAsia="Cambria" w:hAnsi="Cambria" w:cs="Cambria"/>
          <w:sz w:val="20"/>
          <w:szCs w:val="20"/>
          <w:lang w:val="pt-BR"/>
        </w:rPr>
        <w:t xml:space="preserve"> de 2022. (Assinado): Julissa Mantilla Falcón, Presidenta; Stuardo Ralón Orellana, Primeira Vicepresidenta; Esmeralda E. Arosemena Bernal de Troitiño</w:t>
      </w:r>
      <w:r w:rsidR="00007CDB">
        <w:rPr>
          <w:rFonts w:ascii="Cambria" w:eastAsia="Cambria" w:hAnsi="Cambria" w:cs="Cambria"/>
          <w:sz w:val="20"/>
          <w:szCs w:val="20"/>
          <w:lang w:val="pt-BR"/>
        </w:rPr>
        <w:t xml:space="preserve"> e</w:t>
      </w:r>
      <w:r w:rsidRPr="140C215D">
        <w:rPr>
          <w:rFonts w:ascii="Cambria" w:eastAsia="Cambria" w:hAnsi="Cambria" w:cs="Cambria"/>
          <w:sz w:val="20"/>
          <w:szCs w:val="20"/>
          <w:lang w:val="pt-BR"/>
        </w:rPr>
        <w:t xml:space="preserve"> Joel Hernández, membros da Comissão.</w:t>
      </w:r>
    </w:p>
    <w:p w14:paraId="1E65FD6C" w14:textId="534EAB69" w:rsidR="140C215D" w:rsidRDefault="140C215D" w:rsidP="140C215D">
      <w:pPr>
        <w:ind w:firstLine="720"/>
        <w:jc w:val="both"/>
        <w:rPr>
          <w:rFonts w:ascii="Cambria" w:eastAsia="Cambria" w:hAnsi="Cambria" w:cs="Cambria"/>
          <w:lang w:val="pt-BR"/>
        </w:rPr>
      </w:pPr>
    </w:p>
    <w:sectPr w:rsidR="140C21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034B" w14:textId="77777777" w:rsidR="00DB66ED" w:rsidRDefault="00DB66ED">
      <w:r>
        <w:separator/>
      </w:r>
    </w:p>
  </w:endnote>
  <w:endnote w:type="continuationSeparator" w:id="0">
    <w:p w14:paraId="56D9E429" w14:textId="77777777" w:rsidR="00DB66ED" w:rsidRDefault="00DB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09BCF6B0" w:rsidR="0070697F" w:rsidRPr="00E82288" w:rsidRDefault="0070697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B0258F">
          <w:rPr>
            <w:rFonts w:asciiTheme="majorHAnsi" w:hAnsiTheme="majorHAnsi"/>
            <w:noProof/>
            <w:sz w:val="16"/>
            <w:szCs w:val="22"/>
          </w:rPr>
          <w:t>3</w:t>
        </w:r>
        <w:r w:rsidRPr="00E82288">
          <w:rPr>
            <w:rFonts w:asciiTheme="majorHAnsi" w:hAnsiTheme="majorHAnsi"/>
            <w:noProof/>
            <w:sz w:val="16"/>
            <w:szCs w:val="22"/>
          </w:rPr>
          <w:fldChar w:fldCharType="end"/>
        </w:r>
      </w:p>
    </w:sdtContent>
  </w:sdt>
  <w:p w14:paraId="68530E6A" w14:textId="77777777" w:rsidR="0070697F" w:rsidRPr="00E82288" w:rsidRDefault="0070697F">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9B34" w14:textId="77777777" w:rsidR="00DB66ED" w:rsidRPr="000F35ED" w:rsidRDefault="00DB66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5EEAE1" w14:textId="77777777" w:rsidR="00DB66ED" w:rsidRPr="000F35ED" w:rsidRDefault="00DB66ED" w:rsidP="000F35ED">
      <w:pPr>
        <w:rPr>
          <w:rFonts w:asciiTheme="majorHAnsi" w:hAnsiTheme="majorHAnsi"/>
          <w:sz w:val="16"/>
          <w:szCs w:val="16"/>
        </w:rPr>
      </w:pPr>
      <w:r w:rsidRPr="000F35ED">
        <w:rPr>
          <w:rFonts w:asciiTheme="majorHAnsi" w:hAnsiTheme="majorHAnsi"/>
          <w:sz w:val="16"/>
          <w:szCs w:val="16"/>
        </w:rPr>
        <w:separator/>
      </w:r>
    </w:p>
    <w:p w14:paraId="18656DF7" w14:textId="77777777" w:rsidR="00DB66ED" w:rsidRPr="000F35ED" w:rsidRDefault="00DB66E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CE20AF7" w14:textId="77777777" w:rsidR="00DB66ED" w:rsidRPr="000F35ED" w:rsidRDefault="00DB66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2A0171" w14:textId="393E02A3" w:rsidR="00D6780C" w:rsidRPr="00DF1632" w:rsidRDefault="00D6780C" w:rsidP="00B632E1">
      <w:pPr>
        <w:pStyle w:val="FootnoteText"/>
        <w:ind w:firstLine="709"/>
        <w:jc w:val="both"/>
        <w:rPr>
          <w:rFonts w:ascii="Cambria" w:hAnsi="Cambria"/>
          <w:color w:val="auto"/>
          <w:sz w:val="16"/>
          <w:szCs w:val="16"/>
          <w:lang w:val="pt-BR"/>
        </w:rPr>
      </w:pPr>
      <w:r w:rsidRPr="00DF1632">
        <w:rPr>
          <w:rStyle w:val="FootnoteReference"/>
          <w:rFonts w:ascii="Cambria" w:hAnsi="Cambria"/>
          <w:color w:val="auto"/>
          <w:sz w:val="16"/>
          <w:szCs w:val="16"/>
        </w:rPr>
        <w:footnoteRef/>
      </w:r>
      <w:r w:rsidRPr="00DF1632">
        <w:rPr>
          <w:rFonts w:ascii="Cambria" w:hAnsi="Cambria"/>
          <w:color w:val="auto"/>
          <w:sz w:val="16"/>
          <w:szCs w:val="16"/>
          <w:lang w:val="pt-BR"/>
        </w:rPr>
        <w:t xml:space="preserve"> </w:t>
      </w:r>
      <w:r w:rsidR="00B632E1" w:rsidRPr="00DF1632">
        <w:rPr>
          <w:rFonts w:ascii="Cambria" w:hAnsi="Cambria"/>
          <w:color w:val="auto"/>
          <w:sz w:val="16"/>
          <w:szCs w:val="16"/>
          <w:lang w:val="pt-BR"/>
        </w:rPr>
        <w:t>A</w:t>
      </w:r>
      <w:r w:rsidRPr="00DF1632">
        <w:rPr>
          <w:rFonts w:ascii="Cambria" w:hAnsi="Cambria"/>
          <w:color w:val="auto"/>
          <w:sz w:val="16"/>
          <w:szCs w:val="16"/>
          <w:lang w:val="pt-BR"/>
        </w:rPr>
        <w:t xml:space="preserve"> Sub</w:t>
      </w:r>
      <w:r w:rsidR="002C2B35">
        <w:rPr>
          <w:rFonts w:ascii="Cambria" w:hAnsi="Cambria"/>
          <w:color w:val="auto"/>
          <w:sz w:val="16"/>
          <w:szCs w:val="16"/>
          <w:lang w:val="pt-BR"/>
        </w:rPr>
        <w:t>s</w:t>
      </w:r>
      <w:r w:rsidRPr="00DF1632">
        <w:rPr>
          <w:rFonts w:ascii="Cambria" w:hAnsi="Cambria"/>
          <w:color w:val="auto"/>
          <w:sz w:val="16"/>
          <w:szCs w:val="16"/>
          <w:lang w:val="pt-BR"/>
        </w:rPr>
        <w:t xml:space="preserve">eção de Santos da Ordem dos Advogados do Brasil requereu o seu ingresso na condição de </w:t>
      </w:r>
      <w:r w:rsidRPr="00DF1632">
        <w:rPr>
          <w:rFonts w:ascii="Cambria" w:hAnsi="Cambria"/>
          <w:i/>
          <w:iCs/>
          <w:color w:val="auto"/>
          <w:sz w:val="16"/>
          <w:szCs w:val="16"/>
          <w:lang w:val="pt-BR"/>
        </w:rPr>
        <w:t xml:space="preserve">amicus curiae. </w:t>
      </w:r>
      <w:r w:rsidR="00B632E1" w:rsidRPr="00DF1632">
        <w:rPr>
          <w:rFonts w:ascii="Cambria" w:hAnsi="Cambria"/>
          <w:color w:val="auto"/>
          <w:sz w:val="16"/>
          <w:szCs w:val="16"/>
          <w:lang w:val="pt-BR"/>
        </w:rPr>
        <w:t>Em seus argumentos, afirma que a Lei no. 13.549/2009, que disciplinou a liquidação da Carteira de Previdência dos Advogados do Estado e São Paulo, comprometeu a aposentadoria dos advogados e advogadas inscritos na Carteira.</w:t>
      </w:r>
    </w:p>
  </w:footnote>
  <w:footnote w:id="3">
    <w:p w14:paraId="400A0520" w14:textId="2366AB53" w:rsidR="00B632E1" w:rsidRPr="00B632E1" w:rsidRDefault="00B632E1" w:rsidP="00B632E1">
      <w:pPr>
        <w:pStyle w:val="FootnoteText"/>
        <w:ind w:firstLine="709"/>
        <w:jc w:val="both"/>
        <w:rPr>
          <w:lang w:val="pt-BR"/>
        </w:rPr>
      </w:pPr>
      <w:r w:rsidRPr="00DF1632">
        <w:rPr>
          <w:rStyle w:val="FootnoteReference"/>
          <w:rFonts w:ascii="Cambria" w:hAnsi="Cambria"/>
          <w:color w:val="auto"/>
          <w:sz w:val="16"/>
          <w:szCs w:val="16"/>
        </w:rPr>
        <w:footnoteRef/>
      </w:r>
      <w:r w:rsidRPr="00DF1632">
        <w:rPr>
          <w:rFonts w:ascii="Cambria" w:hAnsi="Cambria"/>
          <w:color w:val="auto"/>
          <w:sz w:val="16"/>
          <w:szCs w:val="16"/>
          <w:lang w:val="pt-BR"/>
        </w:rPr>
        <w:t xml:space="preserve"> O vereador Celso Giannazi, parlamentar da Câmara Municipal de São Paulo, e o Deputado Estadual Carlos Gianazi solicitaram oss seus ingressos na condição de </w:t>
      </w:r>
      <w:r w:rsidRPr="00DF1632">
        <w:rPr>
          <w:rFonts w:ascii="Cambria" w:hAnsi="Cambria"/>
          <w:i/>
          <w:iCs/>
          <w:color w:val="auto"/>
          <w:sz w:val="16"/>
          <w:szCs w:val="16"/>
          <w:lang w:val="pt-BR"/>
        </w:rPr>
        <w:t>amicus curiae.</w:t>
      </w:r>
      <w:r w:rsidRPr="00DF1632">
        <w:rPr>
          <w:rFonts w:ascii="Cambria" w:hAnsi="Cambria"/>
          <w:i/>
          <w:iCs/>
          <w:color w:val="auto"/>
          <w:lang w:val="pt-BR"/>
        </w:rPr>
        <w:t xml:space="preserve"> </w:t>
      </w:r>
    </w:p>
  </w:footnote>
  <w:footnote w:id="4">
    <w:p w14:paraId="3799440D" w14:textId="77777777" w:rsidR="0084230D" w:rsidRPr="00B3147B" w:rsidRDefault="0084230D" w:rsidP="00CF1D36">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Adiante “Convenção Americana” ou “Convenção”.</w:t>
      </w:r>
    </w:p>
  </w:footnote>
  <w:footnote w:id="5">
    <w:p w14:paraId="79F07139" w14:textId="59ADAE8B" w:rsidR="008E3BFE" w:rsidRPr="00B3147B" w:rsidRDefault="008E3BFE" w:rsidP="00CF1D36">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w:t>
      </w:r>
      <w:r w:rsidR="00A53003" w:rsidRPr="00B3147B">
        <w:rPr>
          <w:rFonts w:ascii="Cambria" w:hAnsi="Cambria"/>
          <w:sz w:val="16"/>
          <w:szCs w:val="16"/>
          <w:lang w:val="pt-BR"/>
        </w:rPr>
        <w:t>As observações de cada parte foram dev</w:t>
      </w:r>
      <w:r w:rsidRPr="00B3147B">
        <w:rPr>
          <w:rFonts w:ascii="Cambria" w:hAnsi="Cambria"/>
          <w:sz w:val="16"/>
          <w:szCs w:val="16"/>
          <w:lang w:val="pt-BR"/>
        </w:rPr>
        <w:t>idamente tra</w:t>
      </w:r>
      <w:r w:rsidR="00A53003" w:rsidRPr="00B3147B">
        <w:rPr>
          <w:rFonts w:ascii="Cambria" w:hAnsi="Cambria"/>
          <w:sz w:val="16"/>
          <w:szCs w:val="16"/>
          <w:lang w:val="pt-BR"/>
        </w:rPr>
        <w:t>n</w:t>
      </w:r>
      <w:r w:rsidRPr="00B3147B">
        <w:rPr>
          <w:rFonts w:ascii="Cambria" w:hAnsi="Cambria"/>
          <w:sz w:val="16"/>
          <w:szCs w:val="16"/>
          <w:lang w:val="pt-BR"/>
        </w:rPr>
        <w:t xml:space="preserve">sladadas </w:t>
      </w:r>
      <w:r w:rsidR="00A53003" w:rsidRPr="00B3147B">
        <w:rPr>
          <w:rFonts w:ascii="Cambria" w:hAnsi="Cambria"/>
          <w:sz w:val="16"/>
          <w:szCs w:val="16"/>
          <w:lang w:val="pt-BR"/>
        </w:rPr>
        <w:t>à parte contrá</w:t>
      </w:r>
      <w:r w:rsidRPr="00B3147B">
        <w:rPr>
          <w:rFonts w:ascii="Cambria" w:hAnsi="Cambria"/>
          <w:sz w:val="16"/>
          <w:szCs w:val="16"/>
          <w:lang w:val="pt-BR"/>
        </w:rPr>
        <w:t>ria.</w:t>
      </w:r>
    </w:p>
  </w:footnote>
  <w:footnote w:id="6">
    <w:p w14:paraId="4C61A2F6" w14:textId="77777777" w:rsidR="00C153BE" w:rsidRPr="00B93F0B" w:rsidRDefault="00C153BE" w:rsidP="00CF1D36">
      <w:pPr>
        <w:pStyle w:val="FootnoteText"/>
        <w:ind w:firstLine="720"/>
        <w:jc w:val="both"/>
        <w:rPr>
          <w:rFonts w:ascii="Cambria" w:hAnsi="Cambria"/>
          <w:sz w:val="16"/>
          <w:szCs w:val="16"/>
          <w:lang w:val="pt-BR"/>
        </w:rPr>
      </w:pPr>
      <w:r w:rsidRPr="006132CC">
        <w:rPr>
          <w:rStyle w:val="FootnoteReference"/>
          <w:rFonts w:ascii="Cambria" w:hAnsi="Cambria"/>
          <w:sz w:val="16"/>
          <w:szCs w:val="16"/>
        </w:rPr>
        <w:footnoteRef/>
      </w:r>
      <w:r w:rsidRPr="00B93F0B">
        <w:rPr>
          <w:rFonts w:ascii="Cambria" w:hAnsi="Cambria"/>
          <w:sz w:val="16"/>
          <w:szCs w:val="16"/>
          <w:lang w:val="pt-BR"/>
        </w:rPr>
        <w:t xml:space="preserve"> CIDH, Relatório No. 51/18, Petição 1779-12. Admisibilidade. Povos Indígenas Maya Kaqchikuel de Sumpango e outros. Guatemala. 5 de maio de 2018, par. 13, 14 e 16.</w:t>
      </w:r>
    </w:p>
  </w:footnote>
  <w:footnote w:id="7">
    <w:p w14:paraId="1388B0E0" w14:textId="624EBE4B" w:rsidR="00A21307" w:rsidRPr="000129A6" w:rsidRDefault="00A21307" w:rsidP="00CF1D36">
      <w:pPr>
        <w:ind w:firstLine="720"/>
        <w:jc w:val="both"/>
        <w:rPr>
          <w:rFonts w:ascii="Cambria" w:eastAsia="Times New Roman" w:hAnsi="Cambria"/>
          <w:sz w:val="16"/>
          <w:szCs w:val="16"/>
          <w:bdr w:val="none" w:sz="0" w:space="0" w:color="auto"/>
          <w:lang w:val="pt-BR" w:eastAsia="pt-BR"/>
        </w:rPr>
      </w:pPr>
      <w:r w:rsidRPr="000129A6">
        <w:rPr>
          <w:rStyle w:val="FootnoteReference"/>
          <w:rFonts w:ascii="Cambria" w:hAnsi="Cambria"/>
          <w:sz w:val="16"/>
          <w:szCs w:val="16"/>
        </w:rPr>
        <w:footnoteRef/>
      </w:r>
      <w:r w:rsidRPr="00B93F0B">
        <w:rPr>
          <w:rFonts w:ascii="Cambria" w:hAnsi="Cambria"/>
          <w:sz w:val="16"/>
          <w:szCs w:val="16"/>
          <w:lang w:val="pt-BR"/>
        </w:rPr>
        <w:t xml:space="preserve"> </w:t>
      </w:r>
      <w:r w:rsidRPr="00B93F0B">
        <w:rPr>
          <w:rFonts w:ascii="Cambria" w:hAnsi="Cambria" w:cs="Calibri"/>
          <w:sz w:val="16"/>
          <w:szCs w:val="16"/>
          <w:lang w:val="pt-BR"/>
        </w:rPr>
        <w:t xml:space="preserve">CIDH, Relatório No. 70/04, Petição 667/01. Admissibilidade. Jesús Manuel Naranjo Cárdenas e outros (Aposentados da Empresa Venezuelana de Aviação VIASA). Venezuela. 15 de outubro de 2004, par. 61. </w:t>
      </w:r>
      <w:r w:rsidRPr="000129A6">
        <w:rPr>
          <w:rFonts w:ascii="Cambria" w:eastAsia="Times New Roman" w:hAnsi="Cambria"/>
          <w:color w:val="000000"/>
          <w:sz w:val="16"/>
          <w:szCs w:val="16"/>
          <w:bdr w:val="none" w:sz="0" w:space="0" w:color="auto"/>
          <w:lang w:val="pt-BR" w:eastAsia="pt-BR"/>
        </w:rPr>
        <w:t xml:space="preserve">Corte IDH. Caso Comunidades Indígenas </w:t>
      </w:r>
      <w:r>
        <w:rPr>
          <w:rFonts w:ascii="Cambria" w:eastAsia="Times New Roman" w:hAnsi="Cambria"/>
          <w:color w:val="000000"/>
          <w:sz w:val="16"/>
          <w:szCs w:val="16"/>
          <w:bdr w:val="none" w:sz="0" w:space="0" w:color="auto"/>
          <w:lang w:val="pt-BR" w:eastAsia="pt-BR"/>
        </w:rPr>
        <w:t>Membros</w:t>
      </w:r>
      <w:r w:rsidRPr="000129A6">
        <w:rPr>
          <w:rFonts w:ascii="Cambria" w:eastAsia="Times New Roman" w:hAnsi="Cambria"/>
          <w:color w:val="000000"/>
          <w:sz w:val="16"/>
          <w:szCs w:val="16"/>
          <w:bdr w:val="none" w:sz="0" w:space="0" w:color="auto"/>
          <w:lang w:val="pt-BR" w:eastAsia="pt-BR"/>
        </w:rPr>
        <w:t xml:space="preserve"> d</w:t>
      </w:r>
      <w:r>
        <w:rPr>
          <w:rFonts w:ascii="Cambria" w:eastAsia="Times New Roman" w:hAnsi="Cambria"/>
          <w:color w:val="000000"/>
          <w:sz w:val="16"/>
          <w:szCs w:val="16"/>
          <w:bdr w:val="none" w:sz="0" w:space="0" w:color="auto"/>
          <w:lang w:val="pt-BR" w:eastAsia="pt-BR"/>
        </w:rPr>
        <w:t>a</w:t>
      </w:r>
      <w:r w:rsidRPr="000129A6">
        <w:rPr>
          <w:rFonts w:ascii="Cambria" w:eastAsia="Times New Roman" w:hAnsi="Cambria"/>
          <w:color w:val="000000"/>
          <w:sz w:val="16"/>
          <w:szCs w:val="16"/>
          <w:bdr w:val="none" w:sz="0" w:space="0" w:color="auto"/>
          <w:lang w:val="pt-BR" w:eastAsia="pt-BR"/>
        </w:rPr>
        <w:t xml:space="preserve"> </w:t>
      </w:r>
      <w:r>
        <w:rPr>
          <w:rFonts w:ascii="Cambria" w:eastAsia="Times New Roman" w:hAnsi="Cambria"/>
          <w:color w:val="000000"/>
          <w:sz w:val="16"/>
          <w:szCs w:val="16"/>
          <w:bdr w:val="none" w:sz="0" w:space="0" w:color="auto"/>
          <w:lang w:val="pt-BR" w:eastAsia="pt-BR"/>
        </w:rPr>
        <w:t>Associação</w:t>
      </w:r>
      <w:r w:rsidRPr="000129A6">
        <w:rPr>
          <w:rFonts w:ascii="Cambria" w:eastAsia="Times New Roman" w:hAnsi="Cambria"/>
          <w:color w:val="000000"/>
          <w:sz w:val="16"/>
          <w:szCs w:val="16"/>
          <w:bdr w:val="none" w:sz="0" w:space="0" w:color="auto"/>
          <w:lang w:val="pt-BR" w:eastAsia="pt-BR"/>
        </w:rPr>
        <w:t xml:space="preserve"> Lhaka Honhat (</w:t>
      </w:r>
      <w:r>
        <w:rPr>
          <w:rFonts w:ascii="Cambria" w:eastAsia="Times New Roman" w:hAnsi="Cambria"/>
          <w:color w:val="000000"/>
          <w:sz w:val="16"/>
          <w:szCs w:val="16"/>
          <w:bdr w:val="none" w:sz="0" w:space="0" w:color="auto"/>
          <w:lang w:val="pt-BR" w:eastAsia="pt-BR"/>
        </w:rPr>
        <w:t>Nossa Terra</w:t>
      </w:r>
      <w:r w:rsidRPr="000129A6">
        <w:rPr>
          <w:rFonts w:ascii="Cambria" w:eastAsia="Times New Roman" w:hAnsi="Cambria"/>
          <w:color w:val="000000"/>
          <w:sz w:val="16"/>
          <w:szCs w:val="16"/>
          <w:bdr w:val="none" w:sz="0" w:space="0" w:color="auto"/>
          <w:lang w:val="pt-BR" w:eastAsia="pt-BR"/>
        </w:rPr>
        <w:t xml:space="preserve">) Vs. Argentina. </w:t>
      </w:r>
      <w:r>
        <w:rPr>
          <w:rFonts w:ascii="Cambria" w:eastAsia="Times New Roman" w:hAnsi="Cambria"/>
          <w:color w:val="000000"/>
          <w:sz w:val="16"/>
          <w:szCs w:val="16"/>
          <w:bdr w:val="none" w:sz="0" w:space="0" w:color="auto"/>
          <w:lang w:val="pt-BR" w:eastAsia="pt-BR"/>
        </w:rPr>
        <w:t>Mérito, Reparações e Custas</w:t>
      </w:r>
      <w:r w:rsidRPr="000129A6">
        <w:rPr>
          <w:rFonts w:ascii="Cambria" w:eastAsia="Times New Roman" w:hAnsi="Cambria"/>
          <w:color w:val="000000"/>
          <w:sz w:val="16"/>
          <w:szCs w:val="16"/>
          <w:bdr w:val="none" w:sz="0" w:space="0" w:color="auto"/>
          <w:lang w:val="pt-BR" w:eastAsia="pt-BR"/>
        </w:rPr>
        <w:t>. Senten</w:t>
      </w:r>
      <w:r>
        <w:rPr>
          <w:rFonts w:ascii="Cambria" w:eastAsia="Times New Roman" w:hAnsi="Cambria"/>
          <w:color w:val="000000"/>
          <w:sz w:val="16"/>
          <w:szCs w:val="16"/>
          <w:bdr w:val="none" w:sz="0" w:space="0" w:color="auto"/>
          <w:lang w:val="pt-BR" w:eastAsia="pt-BR"/>
        </w:rPr>
        <w:t>ça</w:t>
      </w:r>
      <w:r w:rsidRPr="000129A6">
        <w:rPr>
          <w:rFonts w:ascii="Cambria" w:eastAsia="Times New Roman" w:hAnsi="Cambria"/>
          <w:color w:val="000000"/>
          <w:sz w:val="16"/>
          <w:szCs w:val="16"/>
          <w:bdr w:val="none" w:sz="0" w:space="0" w:color="auto"/>
          <w:lang w:val="pt-BR" w:eastAsia="pt-BR"/>
        </w:rPr>
        <w:t xml:space="preserve"> de 6 de </w:t>
      </w:r>
      <w:r>
        <w:rPr>
          <w:rFonts w:ascii="Cambria" w:eastAsia="Times New Roman" w:hAnsi="Cambria"/>
          <w:color w:val="000000"/>
          <w:sz w:val="16"/>
          <w:szCs w:val="16"/>
          <w:bdr w:val="none" w:sz="0" w:space="0" w:color="auto"/>
          <w:lang w:val="pt-BR" w:eastAsia="pt-BR"/>
        </w:rPr>
        <w:t xml:space="preserve">fevereiro </w:t>
      </w:r>
      <w:r w:rsidRPr="000129A6">
        <w:rPr>
          <w:rFonts w:ascii="Cambria" w:eastAsia="Times New Roman" w:hAnsi="Cambria"/>
          <w:color w:val="000000"/>
          <w:sz w:val="16"/>
          <w:szCs w:val="16"/>
          <w:bdr w:val="none" w:sz="0" w:space="0" w:color="auto"/>
          <w:lang w:val="pt-BR" w:eastAsia="pt-BR"/>
        </w:rPr>
        <w:t xml:space="preserve">de 2020. </w:t>
      </w:r>
      <w:r w:rsidRPr="00B93F0B">
        <w:rPr>
          <w:rFonts w:ascii="Cambria" w:eastAsia="Times New Roman" w:hAnsi="Cambria"/>
          <w:color w:val="000000"/>
          <w:sz w:val="16"/>
          <w:szCs w:val="16"/>
          <w:bdr w:val="none" w:sz="0" w:space="0" w:color="auto"/>
          <w:lang w:val="es-ES" w:eastAsia="pt-BR"/>
        </w:rPr>
        <w:t xml:space="preserve">Serie C No. 400; Corte IDH. Caso Lagos del Campo Vs. </w:t>
      </w:r>
      <w:r w:rsidRPr="000129A6">
        <w:rPr>
          <w:rFonts w:ascii="Cambria" w:eastAsia="Times New Roman" w:hAnsi="Cambria"/>
          <w:color w:val="000000"/>
          <w:sz w:val="16"/>
          <w:szCs w:val="16"/>
          <w:bdr w:val="none" w:sz="0" w:space="0" w:color="auto"/>
          <w:lang w:val="pt-BR" w:eastAsia="pt-BR"/>
        </w:rPr>
        <w:t xml:space="preserve">Perú. </w:t>
      </w:r>
      <w:r>
        <w:rPr>
          <w:rFonts w:ascii="Cambria" w:eastAsia="Times New Roman" w:hAnsi="Cambria"/>
          <w:color w:val="000000"/>
          <w:sz w:val="16"/>
          <w:szCs w:val="16"/>
          <w:bdr w:val="none" w:sz="0" w:space="0" w:color="auto"/>
          <w:lang w:val="pt-BR" w:eastAsia="pt-BR"/>
        </w:rPr>
        <w:t>Exceções Preliminares, Mérito, Reparações e Custas</w:t>
      </w:r>
      <w:r w:rsidRPr="000129A6">
        <w:rPr>
          <w:rFonts w:ascii="Cambria" w:eastAsia="Times New Roman" w:hAnsi="Cambria"/>
          <w:color w:val="000000"/>
          <w:sz w:val="16"/>
          <w:szCs w:val="16"/>
          <w:bdr w:val="none" w:sz="0" w:space="0" w:color="auto"/>
          <w:lang w:val="pt-BR" w:eastAsia="pt-BR"/>
        </w:rPr>
        <w:t>. Senten</w:t>
      </w:r>
      <w:r>
        <w:rPr>
          <w:rFonts w:ascii="Cambria" w:eastAsia="Times New Roman" w:hAnsi="Cambria"/>
          <w:color w:val="000000"/>
          <w:sz w:val="16"/>
          <w:szCs w:val="16"/>
          <w:bdr w:val="none" w:sz="0" w:space="0" w:color="auto"/>
          <w:lang w:val="pt-BR" w:eastAsia="pt-BR"/>
        </w:rPr>
        <w:t>ça</w:t>
      </w:r>
      <w:r w:rsidRPr="000129A6">
        <w:rPr>
          <w:rFonts w:ascii="Cambria" w:eastAsia="Times New Roman" w:hAnsi="Cambria"/>
          <w:color w:val="000000"/>
          <w:sz w:val="16"/>
          <w:szCs w:val="16"/>
          <w:bdr w:val="none" w:sz="0" w:space="0" w:color="auto"/>
          <w:lang w:val="pt-BR" w:eastAsia="pt-BR"/>
        </w:rPr>
        <w:t xml:space="preserve"> de 31 de agosto de 2017. </w:t>
      </w:r>
      <w:r w:rsidRPr="00B93F0B">
        <w:rPr>
          <w:rFonts w:ascii="Cambria" w:eastAsia="Times New Roman" w:hAnsi="Cambria"/>
          <w:color w:val="000000"/>
          <w:sz w:val="16"/>
          <w:szCs w:val="16"/>
          <w:bdr w:val="none" w:sz="0" w:space="0" w:color="auto"/>
          <w:lang w:val="es-ES" w:eastAsia="pt-BR"/>
        </w:rPr>
        <w:t xml:space="preserve">Serie C No. 340; Corte IDH. Caso </w:t>
      </w:r>
      <w:proofErr w:type="spellStart"/>
      <w:r w:rsidRPr="00B93F0B">
        <w:rPr>
          <w:rFonts w:ascii="Cambria" w:eastAsia="Times New Roman" w:hAnsi="Cambria"/>
          <w:color w:val="000000"/>
          <w:sz w:val="16"/>
          <w:szCs w:val="16"/>
          <w:bdr w:val="none" w:sz="0" w:space="0" w:color="auto"/>
          <w:lang w:val="es-ES" w:eastAsia="pt-BR"/>
        </w:rPr>
        <w:t>Cuscul</w:t>
      </w:r>
      <w:proofErr w:type="spellEnd"/>
      <w:r w:rsidRPr="00B93F0B">
        <w:rPr>
          <w:rFonts w:ascii="Cambria" w:eastAsia="Times New Roman" w:hAnsi="Cambria"/>
          <w:color w:val="000000"/>
          <w:sz w:val="16"/>
          <w:szCs w:val="16"/>
          <w:bdr w:val="none" w:sz="0" w:space="0" w:color="auto"/>
          <w:lang w:val="es-ES" w:eastAsia="pt-BR"/>
        </w:rPr>
        <w:t xml:space="preserve"> Pivaral y otros Vs. </w:t>
      </w:r>
      <w:r w:rsidRPr="000129A6">
        <w:rPr>
          <w:rFonts w:ascii="Cambria" w:eastAsia="Times New Roman" w:hAnsi="Cambria"/>
          <w:color w:val="000000"/>
          <w:sz w:val="16"/>
          <w:szCs w:val="16"/>
          <w:bdr w:val="none" w:sz="0" w:space="0" w:color="auto"/>
          <w:lang w:val="pt-BR" w:eastAsia="pt-BR"/>
        </w:rPr>
        <w:t xml:space="preserve">Guatemala. </w:t>
      </w:r>
      <w:r>
        <w:rPr>
          <w:rFonts w:ascii="Cambria" w:eastAsia="Times New Roman" w:hAnsi="Cambria"/>
          <w:color w:val="000000"/>
          <w:sz w:val="16"/>
          <w:szCs w:val="16"/>
          <w:bdr w:val="none" w:sz="0" w:space="0" w:color="auto"/>
          <w:lang w:val="pt-BR" w:eastAsia="pt-BR"/>
        </w:rPr>
        <w:t>Exceções Preliminares, Mérito, Reparações e Custas</w:t>
      </w:r>
      <w:r w:rsidRPr="000129A6">
        <w:rPr>
          <w:rFonts w:ascii="Cambria" w:eastAsia="Times New Roman" w:hAnsi="Cambria"/>
          <w:color w:val="000000"/>
          <w:sz w:val="16"/>
          <w:szCs w:val="16"/>
          <w:bdr w:val="none" w:sz="0" w:space="0" w:color="auto"/>
          <w:lang w:val="pt-BR" w:eastAsia="pt-BR"/>
        </w:rPr>
        <w:t>. Senten</w:t>
      </w:r>
      <w:r>
        <w:rPr>
          <w:rFonts w:ascii="Cambria" w:eastAsia="Times New Roman" w:hAnsi="Cambria"/>
          <w:color w:val="000000"/>
          <w:sz w:val="16"/>
          <w:szCs w:val="16"/>
          <w:bdr w:val="none" w:sz="0" w:space="0" w:color="auto"/>
          <w:lang w:val="pt-BR" w:eastAsia="pt-BR"/>
        </w:rPr>
        <w:t>ça</w:t>
      </w:r>
      <w:r w:rsidRPr="000129A6">
        <w:rPr>
          <w:rFonts w:ascii="Cambria" w:eastAsia="Times New Roman" w:hAnsi="Cambria"/>
          <w:color w:val="000000"/>
          <w:sz w:val="16"/>
          <w:szCs w:val="16"/>
          <w:bdr w:val="none" w:sz="0" w:space="0" w:color="auto"/>
          <w:lang w:val="pt-BR" w:eastAsia="pt-BR"/>
        </w:rPr>
        <w:t xml:space="preserve"> de 23 de agosto de 2018. Serie C No. 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DB66E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20379F"/>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6"/>
  </w:num>
  <w:num w:numId="110">
    <w:abstractNumId w:val="60"/>
  </w:num>
  <w:num w:numId="111">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07CDB"/>
    <w:rsid w:val="0001788C"/>
    <w:rsid w:val="000337EF"/>
    <w:rsid w:val="00037F35"/>
    <w:rsid w:val="00040C3A"/>
    <w:rsid w:val="000419AD"/>
    <w:rsid w:val="000433C9"/>
    <w:rsid w:val="00051090"/>
    <w:rsid w:val="000716C5"/>
    <w:rsid w:val="00075E23"/>
    <w:rsid w:val="000853CA"/>
    <w:rsid w:val="0009344A"/>
    <w:rsid w:val="000A392E"/>
    <w:rsid w:val="000A575F"/>
    <w:rsid w:val="000C6D38"/>
    <w:rsid w:val="000D10DB"/>
    <w:rsid w:val="000E052E"/>
    <w:rsid w:val="000E5EB5"/>
    <w:rsid w:val="000E6BA8"/>
    <w:rsid w:val="000F35ED"/>
    <w:rsid w:val="00104CB9"/>
    <w:rsid w:val="00107131"/>
    <w:rsid w:val="0010736F"/>
    <w:rsid w:val="00111699"/>
    <w:rsid w:val="00113F73"/>
    <w:rsid w:val="00121CC2"/>
    <w:rsid w:val="00126384"/>
    <w:rsid w:val="00127B79"/>
    <w:rsid w:val="00133EE5"/>
    <w:rsid w:val="00167A34"/>
    <w:rsid w:val="001A12B0"/>
    <w:rsid w:val="001A1696"/>
    <w:rsid w:val="001A7068"/>
    <w:rsid w:val="001A7870"/>
    <w:rsid w:val="001B3A00"/>
    <w:rsid w:val="001B7087"/>
    <w:rsid w:val="001C1B41"/>
    <w:rsid w:val="001C67D9"/>
    <w:rsid w:val="001D01D3"/>
    <w:rsid w:val="001D65EF"/>
    <w:rsid w:val="001E49E7"/>
    <w:rsid w:val="001F0BB5"/>
    <w:rsid w:val="001F7201"/>
    <w:rsid w:val="00201282"/>
    <w:rsid w:val="00222404"/>
    <w:rsid w:val="00223A29"/>
    <w:rsid w:val="002250A3"/>
    <w:rsid w:val="0022736D"/>
    <w:rsid w:val="00235217"/>
    <w:rsid w:val="00242EE5"/>
    <w:rsid w:val="00246D1F"/>
    <w:rsid w:val="00247403"/>
    <w:rsid w:val="00247542"/>
    <w:rsid w:val="00266B61"/>
    <w:rsid w:val="0026712A"/>
    <w:rsid w:val="002704DB"/>
    <w:rsid w:val="00271DD1"/>
    <w:rsid w:val="00273AD3"/>
    <w:rsid w:val="0027545C"/>
    <w:rsid w:val="002763A8"/>
    <w:rsid w:val="0028514E"/>
    <w:rsid w:val="00286EA3"/>
    <w:rsid w:val="002A0AAE"/>
    <w:rsid w:val="002A52F5"/>
    <w:rsid w:val="002A5820"/>
    <w:rsid w:val="002B08B3"/>
    <w:rsid w:val="002B69AB"/>
    <w:rsid w:val="002B7247"/>
    <w:rsid w:val="002C2B35"/>
    <w:rsid w:val="002C3042"/>
    <w:rsid w:val="002C4B99"/>
    <w:rsid w:val="002D2B26"/>
    <w:rsid w:val="002D7EA2"/>
    <w:rsid w:val="002E187C"/>
    <w:rsid w:val="002E3D25"/>
    <w:rsid w:val="002F41E9"/>
    <w:rsid w:val="002F764B"/>
    <w:rsid w:val="00302733"/>
    <w:rsid w:val="00304DE7"/>
    <w:rsid w:val="003063B4"/>
    <w:rsid w:val="00311314"/>
    <w:rsid w:val="00314078"/>
    <w:rsid w:val="0031465A"/>
    <w:rsid w:val="0031535D"/>
    <w:rsid w:val="003239B8"/>
    <w:rsid w:val="0033169F"/>
    <w:rsid w:val="00343E90"/>
    <w:rsid w:val="00344977"/>
    <w:rsid w:val="00346C95"/>
    <w:rsid w:val="00356185"/>
    <w:rsid w:val="00360380"/>
    <w:rsid w:val="0037519E"/>
    <w:rsid w:val="0038072E"/>
    <w:rsid w:val="00386CF0"/>
    <w:rsid w:val="0038709A"/>
    <w:rsid w:val="00387ADC"/>
    <w:rsid w:val="003911A2"/>
    <w:rsid w:val="003B0F0F"/>
    <w:rsid w:val="003B4B47"/>
    <w:rsid w:val="003B686B"/>
    <w:rsid w:val="003B70FB"/>
    <w:rsid w:val="003C074D"/>
    <w:rsid w:val="003C0907"/>
    <w:rsid w:val="003C2955"/>
    <w:rsid w:val="003C676B"/>
    <w:rsid w:val="003C6BC8"/>
    <w:rsid w:val="003D3BC2"/>
    <w:rsid w:val="003D56D2"/>
    <w:rsid w:val="003E1CF3"/>
    <w:rsid w:val="003E6CA1"/>
    <w:rsid w:val="003F270E"/>
    <w:rsid w:val="00400A8D"/>
    <w:rsid w:val="004053A9"/>
    <w:rsid w:val="004065A8"/>
    <w:rsid w:val="004107C1"/>
    <w:rsid w:val="004165C2"/>
    <w:rsid w:val="00426C26"/>
    <w:rsid w:val="00431847"/>
    <w:rsid w:val="00441ECB"/>
    <w:rsid w:val="00445193"/>
    <w:rsid w:val="00450545"/>
    <w:rsid w:val="00462C1B"/>
    <w:rsid w:val="00466F47"/>
    <w:rsid w:val="00467B7E"/>
    <w:rsid w:val="00473BB4"/>
    <w:rsid w:val="00477592"/>
    <w:rsid w:val="00486F1C"/>
    <w:rsid w:val="0049329D"/>
    <w:rsid w:val="0049419D"/>
    <w:rsid w:val="004949D2"/>
    <w:rsid w:val="004A6A54"/>
    <w:rsid w:val="004B1D1E"/>
    <w:rsid w:val="004C20D2"/>
    <w:rsid w:val="004C2312"/>
    <w:rsid w:val="004C4B62"/>
    <w:rsid w:val="004C54C9"/>
    <w:rsid w:val="004C6391"/>
    <w:rsid w:val="004D4ABA"/>
    <w:rsid w:val="004D6025"/>
    <w:rsid w:val="004E2649"/>
    <w:rsid w:val="00501399"/>
    <w:rsid w:val="00503E37"/>
    <w:rsid w:val="0050633D"/>
    <w:rsid w:val="00507BC4"/>
    <w:rsid w:val="005128E4"/>
    <w:rsid w:val="005133DB"/>
    <w:rsid w:val="00516462"/>
    <w:rsid w:val="00525560"/>
    <w:rsid w:val="00544C49"/>
    <w:rsid w:val="005516A1"/>
    <w:rsid w:val="00554D0C"/>
    <w:rsid w:val="00563557"/>
    <w:rsid w:val="0057402A"/>
    <w:rsid w:val="00574228"/>
    <w:rsid w:val="005771D0"/>
    <w:rsid w:val="0059191A"/>
    <w:rsid w:val="005921FF"/>
    <w:rsid w:val="00592B70"/>
    <w:rsid w:val="005A24ED"/>
    <w:rsid w:val="005A6D0E"/>
    <w:rsid w:val="005A7DCB"/>
    <w:rsid w:val="005B52B0"/>
    <w:rsid w:val="005B6806"/>
    <w:rsid w:val="005C4225"/>
    <w:rsid w:val="005E2852"/>
    <w:rsid w:val="005F0A42"/>
    <w:rsid w:val="005F0DAD"/>
    <w:rsid w:val="005F0F33"/>
    <w:rsid w:val="005F64F0"/>
    <w:rsid w:val="00600DEB"/>
    <w:rsid w:val="00602779"/>
    <w:rsid w:val="0060535C"/>
    <w:rsid w:val="006071A4"/>
    <w:rsid w:val="00622A03"/>
    <w:rsid w:val="00627C9F"/>
    <w:rsid w:val="006311E9"/>
    <w:rsid w:val="00632354"/>
    <w:rsid w:val="00636883"/>
    <w:rsid w:val="00642810"/>
    <w:rsid w:val="0064365C"/>
    <w:rsid w:val="00652333"/>
    <w:rsid w:val="00670CA0"/>
    <w:rsid w:val="0068009E"/>
    <w:rsid w:val="00685605"/>
    <w:rsid w:val="00686832"/>
    <w:rsid w:val="006871E7"/>
    <w:rsid w:val="006919BD"/>
    <w:rsid w:val="00692219"/>
    <w:rsid w:val="00697490"/>
    <w:rsid w:val="006A17D2"/>
    <w:rsid w:val="006A20E7"/>
    <w:rsid w:val="006A4231"/>
    <w:rsid w:val="006A5EF3"/>
    <w:rsid w:val="006A73E6"/>
    <w:rsid w:val="006B2D5C"/>
    <w:rsid w:val="006B5EE6"/>
    <w:rsid w:val="006B78D0"/>
    <w:rsid w:val="006C4EB1"/>
    <w:rsid w:val="006C6A60"/>
    <w:rsid w:val="006D1BFA"/>
    <w:rsid w:val="006D2D3C"/>
    <w:rsid w:val="006E0166"/>
    <w:rsid w:val="006E2CE6"/>
    <w:rsid w:val="006E7B34"/>
    <w:rsid w:val="0070697F"/>
    <w:rsid w:val="0072199C"/>
    <w:rsid w:val="00722C9F"/>
    <w:rsid w:val="007253B8"/>
    <w:rsid w:val="00734C17"/>
    <w:rsid w:val="0073741F"/>
    <w:rsid w:val="00755B7E"/>
    <w:rsid w:val="0076643F"/>
    <w:rsid w:val="007665A8"/>
    <w:rsid w:val="00773147"/>
    <w:rsid w:val="00777F63"/>
    <w:rsid w:val="00784D0A"/>
    <w:rsid w:val="00786537"/>
    <w:rsid w:val="00793073"/>
    <w:rsid w:val="007A5817"/>
    <w:rsid w:val="007A5F30"/>
    <w:rsid w:val="007B05C4"/>
    <w:rsid w:val="007B60E9"/>
    <w:rsid w:val="007B6CC3"/>
    <w:rsid w:val="007B7547"/>
    <w:rsid w:val="007B76D3"/>
    <w:rsid w:val="007C273E"/>
    <w:rsid w:val="007C3334"/>
    <w:rsid w:val="007D0BF8"/>
    <w:rsid w:val="007D2B98"/>
    <w:rsid w:val="007D5065"/>
    <w:rsid w:val="007E21BC"/>
    <w:rsid w:val="007E7C82"/>
    <w:rsid w:val="007F588D"/>
    <w:rsid w:val="007F6455"/>
    <w:rsid w:val="00802B53"/>
    <w:rsid w:val="00803F1C"/>
    <w:rsid w:val="0080600E"/>
    <w:rsid w:val="00817612"/>
    <w:rsid w:val="008338A4"/>
    <w:rsid w:val="00834D49"/>
    <w:rsid w:val="00837C45"/>
    <w:rsid w:val="0084230D"/>
    <w:rsid w:val="00844730"/>
    <w:rsid w:val="008457C2"/>
    <w:rsid w:val="00856324"/>
    <w:rsid w:val="00857A82"/>
    <w:rsid w:val="00872F9E"/>
    <w:rsid w:val="00873836"/>
    <w:rsid w:val="00885737"/>
    <w:rsid w:val="00890650"/>
    <w:rsid w:val="00897E12"/>
    <w:rsid w:val="008A7E0F"/>
    <w:rsid w:val="008B12F5"/>
    <w:rsid w:val="008D768D"/>
    <w:rsid w:val="008E2EC9"/>
    <w:rsid w:val="008E3759"/>
    <w:rsid w:val="008E3BFE"/>
    <w:rsid w:val="008F1912"/>
    <w:rsid w:val="0090270B"/>
    <w:rsid w:val="009041DC"/>
    <w:rsid w:val="00914CB0"/>
    <w:rsid w:val="00917B5A"/>
    <w:rsid w:val="00920A58"/>
    <w:rsid w:val="00920A8C"/>
    <w:rsid w:val="00934A2C"/>
    <w:rsid w:val="00941503"/>
    <w:rsid w:val="0096706E"/>
    <w:rsid w:val="00974491"/>
    <w:rsid w:val="00975C4E"/>
    <w:rsid w:val="0098062B"/>
    <w:rsid w:val="00981FBA"/>
    <w:rsid w:val="00997BC5"/>
    <w:rsid w:val="009A31C9"/>
    <w:rsid w:val="009A4F41"/>
    <w:rsid w:val="009A7689"/>
    <w:rsid w:val="009B381B"/>
    <w:rsid w:val="009D1753"/>
    <w:rsid w:val="009D7611"/>
    <w:rsid w:val="009E0B61"/>
    <w:rsid w:val="009E53DE"/>
    <w:rsid w:val="009F41C7"/>
    <w:rsid w:val="009F7EC3"/>
    <w:rsid w:val="00A04D78"/>
    <w:rsid w:val="00A101AB"/>
    <w:rsid w:val="00A11212"/>
    <w:rsid w:val="00A11E44"/>
    <w:rsid w:val="00A12802"/>
    <w:rsid w:val="00A15FEB"/>
    <w:rsid w:val="00A17913"/>
    <w:rsid w:val="00A21307"/>
    <w:rsid w:val="00A30A58"/>
    <w:rsid w:val="00A328B3"/>
    <w:rsid w:val="00A37F2E"/>
    <w:rsid w:val="00A4470E"/>
    <w:rsid w:val="00A4679A"/>
    <w:rsid w:val="00A50FCF"/>
    <w:rsid w:val="00A528D1"/>
    <w:rsid w:val="00A53003"/>
    <w:rsid w:val="00A610CD"/>
    <w:rsid w:val="00A66BAB"/>
    <w:rsid w:val="00A758AA"/>
    <w:rsid w:val="00A75CC3"/>
    <w:rsid w:val="00AA09A2"/>
    <w:rsid w:val="00AA7996"/>
    <w:rsid w:val="00AB0171"/>
    <w:rsid w:val="00AB3EB4"/>
    <w:rsid w:val="00AC19CB"/>
    <w:rsid w:val="00AE5488"/>
    <w:rsid w:val="00AE6F91"/>
    <w:rsid w:val="00AF5571"/>
    <w:rsid w:val="00AF713C"/>
    <w:rsid w:val="00B008C9"/>
    <w:rsid w:val="00B0258F"/>
    <w:rsid w:val="00B07341"/>
    <w:rsid w:val="00B119CB"/>
    <w:rsid w:val="00B30539"/>
    <w:rsid w:val="00B30A1F"/>
    <w:rsid w:val="00B3147B"/>
    <w:rsid w:val="00B314DB"/>
    <w:rsid w:val="00B35447"/>
    <w:rsid w:val="00B361F2"/>
    <w:rsid w:val="00B3718B"/>
    <w:rsid w:val="00B445AC"/>
    <w:rsid w:val="00B4632A"/>
    <w:rsid w:val="00B51266"/>
    <w:rsid w:val="00B51650"/>
    <w:rsid w:val="00B530F1"/>
    <w:rsid w:val="00B632E1"/>
    <w:rsid w:val="00B87A18"/>
    <w:rsid w:val="00B901B1"/>
    <w:rsid w:val="00B921FD"/>
    <w:rsid w:val="00B93F0B"/>
    <w:rsid w:val="00BA276C"/>
    <w:rsid w:val="00BB306F"/>
    <w:rsid w:val="00BC0407"/>
    <w:rsid w:val="00BC12A3"/>
    <w:rsid w:val="00BD0ABC"/>
    <w:rsid w:val="00BD4A74"/>
    <w:rsid w:val="00BD4B89"/>
    <w:rsid w:val="00BD5919"/>
    <w:rsid w:val="00BD5922"/>
    <w:rsid w:val="00BF02CB"/>
    <w:rsid w:val="00BF6FD8"/>
    <w:rsid w:val="00BF7847"/>
    <w:rsid w:val="00C03680"/>
    <w:rsid w:val="00C049B8"/>
    <w:rsid w:val="00C054DF"/>
    <w:rsid w:val="00C10EC3"/>
    <w:rsid w:val="00C14781"/>
    <w:rsid w:val="00C153BE"/>
    <w:rsid w:val="00C21762"/>
    <w:rsid w:val="00C21FEF"/>
    <w:rsid w:val="00C24543"/>
    <w:rsid w:val="00C256A2"/>
    <w:rsid w:val="00C44969"/>
    <w:rsid w:val="00C45C24"/>
    <w:rsid w:val="00C51515"/>
    <w:rsid w:val="00C54ACB"/>
    <w:rsid w:val="00C5660B"/>
    <w:rsid w:val="00C61FA9"/>
    <w:rsid w:val="00C66B72"/>
    <w:rsid w:val="00C87AC4"/>
    <w:rsid w:val="00C9567A"/>
    <w:rsid w:val="00CA6B02"/>
    <w:rsid w:val="00CB212D"/>
    <w:rsid w:val="00CB2660"/>
    <w:rsid w:val="00CC1C00"/>
    <w:rsid w:val="00CC5E90"/>
    <w:rsid w:val="00CD046C"/>
    <w:rsid w:val="00CD455E"/>
    <w:rsid w:val="00CE076C"/>
    <w:rsid w:val="00CE22E8"/>
    <w:rsid w:val="00CE5199"/>
    <w:rsid w:val="00CE531D"/>
    <w:rsid w:val="00CE66D5"/>
    <w:rsid w:val="00CF1D36"/>
    <w:rsid w:val="00CF459A"/>
    <w:rsid w:val="00CF637A"/>
    <w:rsid w:val="00D03251"/>
    <w:rsid w:val="00D059DE"/>
    <w:rsid w:val="00D05ABD"/>
    <w:rsid w:val="00D13FCE"/>
    <w:rsid w:val="00D21316"/>
    <w:rsid w:val="00D23F09"/>
    <w:rsid w:val="00D268B9"/>
    <w:rsid w:val="00D306D1"/>
    <w:rsid w:val="00D30800"/>
    <w:rsid w:val="00D31501"/>
    <w:rsid w:val="00D3186C"/>
    <w:rsid w:val="00D34786"/>
    <w:rsid w:val="00D358AF"/>
    <w:rsid w:val="00D36B32"/>
    <w:rsid w:val="00D37BFC"/>
    <w:rsid w:val="00D47A8E"/>
    <w:rsid w:val="00D52D14"/>
    <w:rsid w:val="00D651C2"/>
    <w:rsid w:val="00D6780C"/>
    <w:rsid w:val="00D712D3"/>
    <w:rsid w:val="00D71422"/>
    <w:rsid w:val="00D72DC6"/>
    <w:rsid w:val="00D7558D"/>
    <w:rsid w:val="00D80E93"/>
    <w:rsid w:val="00D81D92"/>
    <w:rsid w:val="00D876F9"/>
    <w:rsid w:val="00D91429"/>
    <w:rsid w:val="00DA2224"/>
    <w:rsid w:val="00DA4197"/>
    <w:rsid w:val="00DA7B5F"/>
    <w:rsid w:val="00DB1F50"/>
    <w:rsid w:val="00DB4541"/>
    <w:rsid w:val="00DB66ED"/>
    <w:rsid w:val="00DC11E7"/>
    <w:rsid w:val="00DC7023"/>
    <w:rsid w:val="00DC769A"/>
    <w:rsid w:val="00DD3344"/>
    <w:rsid w:val="00DD3D86"/>
    <w:rsid w:val="00DD4AD2"/>
    <w:rsid w:val="00DD774C"/>
    <w:rsid w:val="00DE4122"/>
    <w:rsid w:val="00DF1632"/>
    <w:rsid w:val="00DF1EC4"/>
    <w:rsid w:val="00E025FF"/>
    <w:rsid w:val="00E0340B"/>
    <w:rsid w:val="00E04A90"/>
    <w:rsid w:val="00E0551F"/>
    <w:rsid w:val="00E066AD"/>
    <w:rsid w:val="00E10473"/>
    <w:rsid w:val="00E219C7"/>
    <w:rsid w:val="00E247D3"/>
    <w:rsid w:val="00E3563D"/>
    <w:rsid w:val="00E4118C"/>
    <w:rsid w:val="00E43157"/>
    <w:rsid w:val="00E446AD"/>
    <w:rsid w:val="00E44B04"/>
    <w:rsid w:val="00E461CE"/>
    <w:rsid w:val="00E720CA"/>
    <w:rsid w:val="00E759FB"/>
    <w:rsid w:val="00E82288"/>
    <w:rsid w:val="00E84EB5"/>
    <w:rsid w:val="00E85662"/>
    <w:rsid w:val="00E8789F"/>
    <w:rsid w:val="00E97B71"/>
    <w:rsid w:val="00EA3D34"/>
    <w:rsid w:val="00EB3B20"/>
    <w:rsid w:val="00EB454D"/>
    <w:rsid w:val="00EB5EA8"/>
    <w:rsid w:val="00EC3813"/>
    <w:rsid w:val="00ED38BC"/>
    <w:rsid w:val="00ED549D"/>
    <w:rsid w:val="00ED76BE"/>
    <w:rsid w:val="00EE00E9"/>
    <w:rsid w:val="00EE05B9"/>
    <w:rsid w:val="00EF2D89"/>
    <w:rsid w:val="00EF619B"/>
    <w:rsid w:val="00F00B55"/>
    <w:rsid w:val="00F02AD1"/>
    <w:rsid w:val="00F253CC"/>
    <w:rsid w:val="00F30CB2"/>
    <w:rsid w:val="00F3108B"/>
    <w:rsid w:val="00F37106"/>
    <w:rsid w:val="00F515A7"/>
    <w:rsid w:val="00F519CF"/>
    <w:rsid w:val="00F53076"/>
    <w:rsid w:val="00F54E03"/>
    <w:rsid w:val="00F56BA5"/>
    <w:rsid w:val="00F60E22"/>
    <w:rsid w:val="00F753C7"/>
    <w:rsid w:val="00F81395"/>
    <w:rsid w:val="00F81BB8"/>
    <w:rsid w:val="00F916B8"/>
    <w:rsid w:val="00F917D1"/>
    <w:rsid w:val="00F9653B"/>
    <w:rsid w:val="00FB38DE"/>
    <w:rsid w:val="00FB62CF"/>
    <w:rsid w:val="00FD3C3B"/>
    <w:rsid w:val="00FD4673"/>
    <w:rsid w:val="00FE07DD"/>
    <w:rsid w:val="00FE6B45"/>
    <w:rsid w:val="00FF0711"/>
    <w:rsid w:val="00FF2A62"/>
    <w:rsid w:val="00FF55F3"/>
    <w:rsid w:val="00FF5851"/>
    <w:rsid w:val="00FF7B79"/>
    <w:rsid w:val="140C215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335">
      <w:bodyDiv w:val="1"/>
      <w:marLeft w:val="0"/>
      <w:marRight w:val="0"/>
      <w:marTop w:val="0"/>
      <w:marBottom w:val="0"/>
      <w:divBdr>
        <w:top w:val="none" w:sz="0" w:space="0" w:color="auto"/>
        <w:left w:val="none" w:sz="0" w:space="0" w:color="auto"/>
        <w:bottom w:val="none" w:sz="0" w:space="0" w:color="auto"/>
        <w:right w:val="none" w:sz="0" w:space="0" w:color="auto"/>
      </w:divBdr>
      <w:divsChild>
        <w:div w:id="926380870">
          <w:marLeft w:val="0"/>
          <w:marRight w:val="0"/>
          <w:marTop w:val="0"/>
          <w:marBottom w:val="0"/>
          <w:divBdr>
            <w:top w:val="none" w:sz="0" w:space="0" w:color="auto"/>
            <w:left w:val="none" w:sz="0" w:space="0" w:color="auto"/>
            <w:bottom w:val="none" w:sz="0" w:space="0" w:color="auto"/>
            <w:right w:val="none" w:sz="0" w:space="0" w:color="auto"/>
          </w:divBdr>
          <w:divsChild>
            <w:div w:id="1982347726">
              <w:marLeft w:val="0"/>
              <w:marRight w:val="0"/>
              <w:marTop w:val="0"/>
              <w:marBottom w:val="0"/>
              <w:divBdr>
                <w:top w:val="none" w:sz="0" w:space="0" w:color="auto"/>
                <w:left w:val="none" w:sz="0" w:space="0" w:color="auto"/>
                <w:bottom w:val="none" w:sz="0" w:space="0" w:color="auto"/>
                <w:right w:val="none" w:sz="0" w:space="0" w:color="auto"/>
              </w:divBdr>
              <w:divsChild>
                <w:div w:id="20665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3024">
      <w:bodyDiv w:val="1"/>
      <w:marLeft w:val="0"/>
      <w:marRight w:val="0"/>
      <w:marTop w:val="0"/>
      <w:marBottom w:val="0"/>
      <w:divBdr>
        <w:top w:val="none" w:sz="0" w:space="0" w:color="auto"/>
        <w:left w:val="none" w:sz="0" w:space="0" w:color="auto"/>
        <w:bottom w:val="none" w:sz="0" w:space="0" w:color="auto"/>
        <w:right w:val="none" w:sz="0" w:space="0" w:color="auto"/>
      </w:divBdr>
      <w:divsChild>
        <w:div w:id="310793783">
          <w:marLeft w:val="0"/>
          <w:marRight w:val="0"/>
          <w:marTop w:val="0"/>
          <w:marBottom w:val="0"/>
          <w:divBdr>
            <w:top w:val="none" w:sz="0" w:space="0" w:color="auto"/>
            <w:left w:val="none" w:sz="0" w:space="0" w:color="auto"/>
            <w:bottom w:val="none" w:sz="0" w:space="0" w:color="auto"/>
            <w:right w:val="none" w:sz="0" w:space="0" w:color="auto"/>
          </w:divBdr>
          <w:divsChild>
            <w:div w:id="1333795622">
              <w:marLeft w:val="0"/>
              <w:marRight w:val="0"/>
              <w:marTop w:val="0"/>
              <w:marBottom w:val="0"/>
              <w:divBdr>
                <w:top w:val="none" w:sz="0" w:space="0" w:color="auto"/>
                <w:left w:val="none" w:sz="0" w:space="0" w:color="auto"/>
                <w:bottom w:val="none" w:sz="0" w:space="0" w:color="auto"/>
                <w:right w:val="none" w:sz="0" w:space="0" w:color="auto"/>
              </w:divBdr>
              <w:divsChild>
                <w:div w:id="19643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586">
      <w:bodyDiv w:val="1"/>
      <w:marLeft w:val="0"/>
      <w:marRight w:val="0"/>
      <w:marTop w:val="0"/>
      <w:marBottom w:val="0"/>
      <w:divBdr>
        <w:top w:val="none" w:sz="0" w:space="0" w:color="auto"/>
        <w:left w:val="none" w:sz="0" w:space="0" w:color="auto"/>
        <w:bottom w:val="none" w:sz="0" w:space="0" w:color="auto"/>
        <w:right w:val="none" w:sz="0" w:space="0" w:color="auto"/>
      </w:divBdr>
    </w:div>
    <w:div w:id="1050106577">
      <w:bodyDiv w:val="1"/>
      <w:marLeft w:val="0"/>
      <w:marRight w:val="0"/>
      <w:marTop w:val="0"/>
      <w:marBottom w:val="0"/>
      <w:divBdr>
        <w:top w:val="none" w:sz="0" w:space="0" w:color="auto"/>
        <w:left w:val="none" w:sz="0" w:space="0" w:color="auto"/>
        <w:bottom w:val="none" w:sz="0" w:space="0" w:color="auto"/>
        <w:right w:val="none" w:sz="0" w:space="0" w:color="auto"/>
      </w:divBdr>
    </w:div>
    <w:div w:id="1268544458">
      <w:bodyDiv w:val="1"/>
      <w:marLeft w:val="0"/>
      <w:marRight w:val="0"/>
      <w:marTop w:val="0"/>
      <w:marBottom w:val="0"/>
      <w:divBdr>
        <w:top w:val="none" w:sz="0" w:space="0" w:color="auto"/>
        <w:left w:val="none" w:sz="0" w:space="0" w:color="auto"/>
        <w:bottom w:val="none" w:sz="0" w:space="0" w:color="auto"/>
        <w:right w:val="none" w:sz="0" w:space="0" w:color="auto"/>
      </w:divBdr>
      <w:divsChild>
        <w:div w:id="1278952124">
          <w:marLeft w:val="0"/>
          <w:marRight w:val="0"/>
          <w:marTop w:val="0"/>
          <w:marBottom w:val="0"/>
          <w:divBdr>
            <w:top w:val="none" w:sz="0" w:space="0" w:color="auto"/>
            <w:left w:val="none" w:sz="0" w:space="0" w:color="auto"/>
            <w:bottom w:val="none" w:sz="0" w:space="0" w:color="auto"/>
            <w:right w:val="none" w:sz="0" w:space="0" w:color="auto"/>
          </w:divBdr>
          <w:divsChild>
            <w:div w:id="289939547">
              <w:marLeft w:val="0"/>
              <w:marRight w:val="0"/>
              <w:marTop w:val="0"/>
              <w:marBottom w:val="0"/>
              <w:divBdr>
                <w:top w:val="none" w:sz="0" w:space="0" w:color="auto"/>
                <w:left w:val="none" w:sz="0" w:space="0" w:color="auto"/>
                <w:bottom w:val="none" w:sz="0" w:space="0" w:color="auto"/>
                <w:right w:val="none" w:sz="0" w:space="0" w:color="auto"/>
              </w:divBdr>
              <w:divsChild>
                <w:div w:id="10754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6743">
      <w:bodyDiv w:val="1"/>
      <w:marLeft w:val="0"/>
      <w:marRight w:val="0"/>
      <w:marTop w:val="0"/>
      <w:marBottom w:val="0"/>
      <w:divBdr>
        <w:top w:val="none" w:sz="0" w:space="0" w:color="auto"/>
        <w:left w:val="none" w:sz="0" w:space="0" w:color="auto"/>
        <w:bottom w:val="none" w:sz="0" w:space="0" w:color="auto"/>
        <w:right w:val="none" w:sz="0" w:space="0" w:color="auto"/>
      </w:divBdr>
      <w:divsChild>
        <w:div w:id="274482474">
          <w:marLeft w:val="0"/>
          <w:marRight w:val="0"/>
          <w:marTop w:val="0"/>
          <w:marBottom w:val="0"/>
          <w:divBdr>
            <w:top w:val="none" w:sz="0" w:space="0" w:color="auto"/>
            <w:left w:val="none" w:sz="0" w:space="0" w:color="auto"/>
            <w:bottom w:val="none" w:sz="0" w:space="0" w:color="auto"/>
            <w:right w:val="none" w:sz="0" w:space="0" w:color="auto"/>
          </w:divBdr>
          <w:divsChild>
            <w:div w:id="916597937">
              <w:marLeft w:val="0"/>
              <w:marRight w:val="0"/>
              <w:marTop w:val="0"/>
              <w:marBottom w:val="0"/>
              <w:divBdr>
                <w:top w:val="none" w:sz="0" w:space="0" w:color="auto"/>
                <w:left w:val="none" w:sz="0" w:space="0" w:color="auto"/>
                <w:bottom w:val="none" w:sz="0" w:space="0" w:color="auto"/>
                <w:right w:val="none" w:sz="0" w:space="0" w:color="auto"/>
              </w:divBdr>
              <w:divsChild>
                <w:div w:id="3920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9995388">
      <w:bodyDiv w:val="1"/>
      <w:marLeft w:val="0"/>
      <w:marRight w:val="0"/>
      <w:marTop w:val="0"/>
      <w:marBottom w:val="0"/>
      <w:divBdr>
        <w:top w:val="none" w:sz="0" w:space="0" w:color="auto"/>
        <w:left w:val="none" w:sz="0" w:space="0" w:color="auto"/>
        <w:bottom w:val="none" w:sz="0" w:space="0" w:color="auto"/>
        <w:right w:val="none" w:sz="0" w:space="0" w:color="auto"/>
      </w:divBdr>
      <w:divsChild>
        <w:div w:id="779572873">
          <w:marLeft w:val="0"/>
          <w:marRight w:val="0"/>
          <w:marTop w:val="0"/>
          <w:marBottom w:val="0"/>
          <w:divBdr>
            <w:top w:val="none" w:sz="0" w:space="0" w:color="auto"/>
            <w:left w:val="none" w:sz="0" w:space="0" w:color="auto"/>
            <w:bottom w:val="none" w:sz="0" w:space="0" w:color="auto"/>
            <w:right w:val="none" w:sz="0" w:space="0" w:color="auto"/>
          </w:divBdr>
          <w:divsChild>
            <w:div w:id="370308352">
              <w:marLeft w:val="0"/>
              <w:marRight w:val="0"/>
              <w:marTop w:val="0"/>
              <w:marBottom w:val="0"/>
              <w:divBdr>
                <w:top w:val="none" w:sz="0" w:space="0" w:color="auto"/>
                <w:left w:val="none" w:sz="0" w:space="0" w:color="auto"/>
                <w:bottom w:val="none" w:sz="0" w:space="0" w:color="auto"/>
                <w:right w:val="none" w:sz="0" w:space="0" w:color="auto"/>
              </w:divBdr>
              <w:divsChild>
                <w:div w:id="721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86AD-A21A-7B49-8090-E073A26F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13382</Characters>
  <Application>Microsoft Office Word</Application>
  <DocSecurity>0</DocSecurity>
  <Lines>297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2/22</dc:title>
  <dc:creator/>
  <cp:lastModifiedBy/>
  <cp:revision>1</cp:revision>
  <dcterms:created xsi:type="dcterms:W3CDTF">2022-04-06T14:45:00Z</dcterms:created>
  <dcterms:modified xsi:type="dcterms:W3CDTF">2022-04-06T14:45:00Z</dcterms:modified>
</cp:coreProperties>
</file>