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55647" w14:textId="6756F6AE" w:rsidR="00040C3A" w:rsidRPr="004C502E" w:rsidRDefault="00B1473D" w:rsidP="006539EA">
      <w:pPr>
        <w:jc w:val="center"/>
        <w:rPr>
          <w:rFonts w:ascii="Cambria" w:hAnsi="Cambria" w:cs="Univers"/>
          <w:b/>
          <w:bCs/>
          <w:sz w:val="22"/>
          <w:szCs w:val="22"/>
          <w:lang w:val="pt-BR"/>
        </w:rPr>
      </w:pPr>
      <w:r>
        <w:rPr>
          <w:noProof/>
        </w:rPr>
        <mc:AlternateContent>
          <mc:Choice Requires="wps">
            <w:drawing>
              <wp:anchor distT="0" distB="0" distL="114300" distR="114300" simplePos="0" relativeHeight="251654144" behindDoc="0" locked="0" layoutInCell="1" allowOverlap="1" wp14:anchorId="5871C3F5" wp14:editId="510D2B0F">
                <wp:simplePos x="0" y="0"/>
                <wp:positionH relativeFrom="column">
                  <wp:posOffset>-422910</wp:posOffset>
                </wp:positionH>
                <wp:positionV relativeFrom="paragraph">
                  <wp:posOffset>-368300</wp:posOffset>
                </wp:positionV>
                <wp:extent cx="1409700" cy="8912225"/>
                <wp:effectExtent l="0" t="0" r="0" b="31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12225"/>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410BD" id="Rectangle 11" o:spid="_x0000_s1026" style="position:absolute;margin-left:-33.3pt;margin-top:-29pt;width:111pt;height:70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" fillcolor="#ffc000" stroked="f" strokeweight="2pt"/>
            </w:pict>
          </mc:Fallback>
        </mc:AlternateContent>
      </w:r>
      <w:r>
        <w:rPr>
          <w:noProof/>
        </w:rPr>
        <mc:AlternateContent>
          <mc:Choice Requires="wps">
            <w:drawing>
              <wp:anchor distT="0" distB="0" distL="114300" distR="114300" simplePos="0" relativeHeight="251658240" behindDoc="0" locked="0" layoutInCell="1" allowOverlap="1" wp14:anchorId="1F778272" wp14:editId="68C8733B">
                <wp:simplePos x="0" y="0"/>
                <wp:positionH relativeFrom="column">
                  <wp:posOffset>1143000</wp:posOffset>
                </wp:positionH>
                <wp:positionV relativeFrom="paragraph">
                  <wp:posOffset>-371475</wp:posOffset>
                </wp:positionV>
                <wp:extent cx="4552950" cy="9144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2950" cy="914400"/>
                        </a:xfrm>
                        <a:prstGeom prst="rect">
                          <a:avLst/>
                        </a:prstGeom>
                        <a:noFill/>
                        <a:ln w="6350">
                          <a:noFill/>
                        </a:ln>
                        <a:effectLst/>
                      </wps:spPr>
                      <wps:txbx>
                        <w:txbxContent>
                          <w:p w14:paraId="74E403FD" w14:textId="76FB8428" w:rsidR="00CB2660" w:rsidRDefault="00B1473D">
                            <w:r w:rsidRPr="004C502E">
                              <w:rPr>
                                <w:noProof/>
                              </w:rPr>
                              <w:drawing>
                                <wp:inline distT="0" distB="0" distL="0" distR="0" wp14:anchorId="5B8FAAA3" wp14:editId="2C55E9EA">
                                  <wp:extent cx="2527300" cy="488950"/>
                                  <wp:effectExtent l="0" t="0" r="0" b="0"/>
                                  <wp:docPr id="1" name="Picture 16" descr="C:\Users\mfontana\Documents\Eva Fontana\GRAFICA CIDH\cartas\logos\cidh-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fontana\Documents\Eva Fontana\GRAFICA CIDH\cartas\logos\cidh-p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7300" cy="488950"/>
                                          </a:xfrm>
                                          <a:prstGeom prst="rect">
                                            <a:avLst/>
                                          </a:prstGeom>
                                          <a:noFill/>
                                          <a:ln>
                                            <a:noFill/>
                                          </a:ln>
                                        </pic:spPr>
                                      </pic:pic>
                                    </a:graphicData>
                                  </a:graphic>
                                </wp:inline>
                              </w:drawing>
                            </w:r>
                            <w:r w:rsidR="002C1641">
                              <w:t xml:space="preserve">    </w:t>
                            </w:r>
                            <w:r w:rsidR="00860628">
                              <w:t xml:space="preserve">    </w:t>
                            </w:r>
                            <w:r w:rsidR="00B7106E">
                              <w:t xml:space="preserve">                                  </w:t>
                            </w:r>
                            <w:r w:rsidR="00860628">
                              <w:t xml:space="preserve">           </w:t>
                            </w:r>
                            <w:r w:rsidR="002C1641">
                              <w:t xml:space="preserve">  </w:t>
                            </w:r>
                            <w:r w:rsidR="003237F0">
                              <w:t xml:space="preserve">         </w:t>
                            </w:r>
                            <w:r w:rsidR="002C1641">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78272" id="_x0000_t202" coordsize="21600,21600" o:spt="202" path="m,l,21600r21600,l21600,xe">
                <v:stroke joinstyle="miter"/>
                <v:path gradientshapeok="t" o:connecttype="rect"/>
              </v:shapetype>
              <v:shape id="Text Box 10" o:spid="_x0000_s1026" type="#_x0000_t202" style="position:absolute;left:0;text-align:left;margin-left:90pt;margin-top:-29.25pt;width:358.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" filled="f" stroked="f" strokeweight=".5pt">
                <v:textbox>
                  <w:txbxContent>
                    <w:p w14:paraId="74E403FD" w14:textId="76FB8428" w:rsidR="00CB2660" w:rsidRDefault="00B1473D">
                      <w:r w:rsidRPr="004C502E">
                        <w:rPr>
                          <w:noProof/>
                        </w:rPr>
                        <w:drawing>
                          <wp:inline distT="0" distB="0" distL="0" distR="0" wp14:anchorId="5B8FAAA3" wp14:editId="2C55E9EA">
                            <wp:extent cx="2527300" cy="488950"/>
                            <wp:effectExtent l="0" t="0" r="0" b="0"/>
                            <wp:docPr id="1" name="Picture 16" descr="C:\Users\mfontana\Documents\Eva Fontana\GRAFICA CIDH\cartas\logos\cidh-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fontana\Documents\Eva Fontana\GRAFICA CIDH\cartas\logos\cidh-p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7300" cy="488950"/>
                                    </a:xfrm>
                                    <a:prstGeom prst="rect">
                                      <a:avLst/>
                                    </a:prstGeom>
                                    <a:noFill/>
                                    <a:ln>
                                      <a:noFill/>
                                    </a:ln>
                                  </pic:spPr>
                                </pic:pic>
                              </a:graphicData>
                            </a:graphic>
                          </wp:inline>
                        </w:drawing>
                      </w:r>
                      <w:r w:rsidR="002C1641">
                        <w:t xml:space="preserve">    </w:t>
                      </w:r>
                      <w:r w:rsidR="00860628">
                        <w:t xml:space="preserve">    </w:t>
                      </w:r>
                      <w:r w:rsidR="00B7106E">
                        <w:t xml:space="preserve">                                  </w:t>
                      </w:r>
                      <w:r w:rsidR="00860628">
                        <w:t xml:space="preserve">           </w:t>
                      </w:r>
                      <w:r w:rsidR="002C1641">
                        <w:t xml:space="preserve">  </w:t>
                      </w:r>
                      <w:r w:rsidR="003237F0">
                        <w:t xml:space="preserve">         </w:t>
                      </w:r>
                      <w:r w:rsidR="002C1641">
                        <w:t xml:space="preserve">                       </w:t>
                      </w:r>
                    </w:p>
                  </w:txbxContent>
                </v:textbox>
              </v:shape>
            </w:pict>
          </mc:Fallback>
        </mc:AlternateContent>
      </w:r>
    </w:p>
    <w:p w14:paraId="331BB111" w14:textId="77777777" w:rsidR="00040C3A" w:rsidRPr="004C502E" w:rsidRDefault="00040C3A" w:rsidP="006539EA">
      <w:pPr>
        <w:tabs>
          <w:tab w:val="center" w:pos="5400"/>
        </w:tabs>
        <w:suppressAutoHyphens/>
        <w:jc w:val="center"/>
        <w:rPr>
          <w:rFonts w:ascii="Cambria" w:hAnsi="Cambria"/>
          <w:sz w:val="22"/>
          <w:szCs w:val="22"/>
          <w:lang w:val="pt-BR"/>
        </w:rPr>
      </w:pPr>
    </w:p>
    <w:p w14:paraId="4864B9C2" w14:textId="77777777" w:rsidR="00040C3A" w:rsidRPr="004C502E" w:rsidRDefault="00040C3A" w:rsidP="006539EA">
      <w:pPr>
        <w:tabs>
          <w:tab w:val="center" w:pos="5400"/>
        </w:tabs>
        <w:suppressAutoHyphens/>
        <w:jc w:val="center"/>
        <w:rPr>
          <w:rFonts w:ascii="Cambria" w:hAnsi="Cambria"/>
          <w:sz w:val="22"/>
          <w:szCs w:val="22"/>
          <w:lang w:val="pt-BR"/>
        </w:rPr>
      </w:pPr>
    </w:p>
    <w:p w14:paraId="5B37267C" w14:textId="77777777" w:rsidR="005128E4" w:rsidRPr="004C502E" w:rsidRDefault="005128E4" w:rsidP="006539EA">
      <w:pPr>
        <w:tabs>
          <w:tab w:val="center" w:pos="5400"/>
        </w:tabs>
        <w:suppressAutoHyphens/>
        <w:jc w:val="center"/>
        <w:rPr>
          <w:rFonts w:ascii="Cambria" w:hAnsi="Cambria"/>
          <w:sz w:val="22"/>
          <w:szCs w:val="22"/>
          <w:lang w:val="pt-BR"/>
        </w:rPr>
      </w:pPr>
    </w:p>
    <w:p w14:paraId="6DCC492C" w14:textId="77777777" w:rsidR="005128E4" w:rsidRPr="004C502E" w:rsidRDefault="005128E4" w:rsidP="006539EA">
      <w:pPr>
        <w:tabs>
          <w:tab w:val="center" w:pos="5400"/>
        </w:tabs>
        <w:suppressAutoHyphens/>
        <w:jc w:val="center"/>
        <w:rPr>
          <w:rFonts w:ascii="Cambria" w:hAnsi="Cambria"/>
          <w:sz w:val="22"/>
          <w:szCs w:val="22"/>
          <w:lang w:val="pt-BR"/>
        </w:rPr>
      </w:pPr>
    </w:p>
    <w:p w14:paraId="51200CED" w14:textId="77777777" w:rsidR="005128E4" w:rsidRPr="004C502E" w:rsidRDefault="005128E4" w:rsidP="006539EA">
      <w:pPr>
        <w:tabs>
          <w:tab w:val="center" w:pos="5400"/>
        </w:tabs>
        <w:suppressAutoHyphens/>
        <w:jc w:val="center"/>
        <w:rPr>
          <w:rFonts w:ascii="Cambria" w:hAnsi="Cambria"/>
          <w:sz w:val="22"/>
          <w:szCs w:val="22"/>
          <w:lang w:val="pt-BR"/>
        </w:rPr>
      </w:pPr>
    </w:p>
    <w:p w14:paraId="559CC852" w14:textId="77777777" w:rsidR="00040C3A" w:rsidRPr="004C502E" w:rsidRDefault="00040C3A" w:rsidP="006539EA">
      <w:pPr>
        <w:tabs>
          <w:tab w:val="center" w:pos="5400"/>
        </w:tabs>
        <w:suppressAutoHyphens/>
        <w:jc w:val="center"/>
        <w:rPr>
          <w:rFonts w:ascii="Cambria" w:hAnsi="Cambria"/>
          <w:sz w:val="22"/>
          <w:szCs w:val="22"/>
          <w:lang w:val="pt-BR"/>
        </w:rPr>
      </w:pPr>
    </w:p>
    <w:p w14:paraId="7ABDE507" w14:textId="77777777" w:rsidR="00040C3A" w:rsidRPr="004C502E" w:rsidRDefault="00040C3A" w:rsidP="006539EA">
      <w:pPr>
        <w:tabs>
          <w:tab w:val="center" w:pos="5400"/>
        </w:tabs>
        <w:suppressAutoHyphens/>
        <w:jc w:val="center"/>
        <w:rPr>
          <w:rFonts w:ascii="Cambria" w:hAnsi="Cambria"/>
          <w:sz w:val="22"/>
          <w:szCs w:val="22"/>
          <w:lang w:val="pt-BR"/>
        </w:rPr>
      </w:pPr>
    </w:p>
    <w:p w14:paraId="62082551" w14:textId="77777777" w:rsidR="005B52B0" w:rsidRPr="004C502E" w:rsidRDefault="005B52B0" w:rsidP="006539EA">
      <w:pPr>
        <w:tabs>
          <w:tab w:val="center" w:pos="5400"/>
        </w:tabs>
        <w:suppressAutoHyphens/>
        <w:jc w:val="center"/>
        <w:rPr>
          <w:rFonts w:ascii="Cambria" w:hAnsi="Cambria"/>
          <w:sz w:val="22"/>
          <w:szCs w:val="22"/>
          <w:lang w:val="pt-BR"/>
        </w:rPr>
      </w:pPr>
    </w:p>
    <w:p w14:paraId="6D8C844B" w14:textId="77777777" w:rsidR="005B52B0" w:rsidRPr="004C502E" w:rsidRDefault="005B52B0" w:rsidP="006539EA">
      <w:pPr>
        <w:tabs>
          <w:tab w:val="center" w:pos="5400"/>
        </w:tabs>
        <w:suppressAutoHyphens/>
        <w:jc w:val="center"/>
        <w:rPr>
          <w:rFonts w:ascii="Cambria" w:hAnsi="Cambria"/>
          <w:sz w:val="22"/>
          <w:szCs w:val="22"/>
          <w:lang w:val="pt-BR"/>
        </w:rPr>
      </w:pPr>
    </w:p>
    <w:p w14:paraId="42BC125A" w14:textId="77777777" w:rsidR="005B52B0" w:rsidRPr="004C502E" w:rsidRDefault="005B52B0" w:rsidP="006539EA">
      <w:pPr>
        <w:tabs>
          <w:tab w:val="center" w:pos="5400"/>
        </w:tabs>
        <w:suppressAutoHyphens/>
        <w:jc w:val="center"/>
        <w:rPr>
          <w:rFonts w:ascii="Cambria" w:hAnsi="Cambria"/>
          <w:sz w:val="22"/>
          <w:szCs w:val="22"/>
          <w:lang w:val="pt-BR"/>
        </w:rPr>
      </w:pPr>
    </w:p>
    <w:p w14:paraId="4418F01F" w14:textId="77777777" w:rsidR="00040C3A" w:rsidRPr="004C502E" w:rsidRDefault="00040C3A" w:rsidP="006539EA">
      <w:pPr>
        <w:tabs>
          <w:tab w:val="center" w:pos="5400"/>
        </w:tabs>
        <w:suppressAutoHyphens/>
        <w:jc w:val="center"/>
        <w:rPr>
          <w:rFonts w:ascii="Cambria" w:hAnsi="Cambria"/>
          <w:sz w:val="22"/>
          <w:szCs w:val="22"/>
          <w:lang w:val="pt-BR"/>
        </w:rPr>
      </w:pPr>
    </w:p>
    <w:p w14:paraId="0BC09E8C" w14:textId="77777777" w:rsidR="00040C3A" w:rsidRPr="004C502E" w:rsidRDefault="00040C3A" w:rsidP="006539EA">
      <w:pPr>
        <w:tabs>
          <w:tab w:val="center" w:pos="5400"/>
        </w:tabs>
        <w:suppressAutoHyphens/>
        <w:jc w:val="center"/>
        <w:rPr>
          <w:rFonts w:ascii="Cambria" w:hAnsi="Cambria"/>
          <w:sz w:val="22"/>
          <w:szCs w:val="22"/>
          <w:lang w:val="pt-BR"/>
        </w:rPr>
      </w:pPr>
    </w:p>
    <w:p w14:paraId="778F06B2" w14:textId="77777777" w:rsidR="00040C3A" w:rsidRPr="004C502E" w:rsidRDefault="00040C3A" w:rsidP="006539EA">
      <w:pPr>
        <w:tabs>
          <w:tab w:val="center" w:pos="5400"/>
        </w:tabs>
        <w:suppressAutoHyphens/>
        <w:jc w:val="center"/>
        <w:rPr>
          <w:rFonts w:ascii="Cambria" w:hAnsi="Cambria"/>
          <w:sz w:val="22"/>
          <w:szCs w:val="22"/>
          <w:lang w:val="pt-BR"/>
        </w:rPr>
      </w:pPr>
    </w:p>
    <w:p w14:paraId="4500D074" w14:textId="60BF5536" w:rsidR="00040C3A" w:rsidRPr="004C502E" w:rsidRDefault="00D25951" w:rsidP="006539EA">
      <w:pPr>
        <w:tabs>
          <w:tab w:val="center" w:pos="5400"/>
        </w:tabs>
        <w:suppressAutoHyphens/>
        <w:jc w:val="center"/>
        <w:rPr>
          <w:rFonts w:ascii="Cambria" w:hAnsi="Cambria"/>
          <w:sz w:val="22"/>
          <w:szCs w:val="22"/>
          <w:lang w:val="pt-BR"/>
        </w:rPr>
      </w:pPr>
      <w:r>
        <w:rPr>
          <w:noProof/>
        </w:rPr>
        <mc:AlternateContent>
          <mc:Choice Requires="wps">
            <w:drawing>
              <wp:anchor distT="0" distB="0" distL="114300" distR="114300" simplePos="0" relativeHeight="251657216" behindDoc="0" locked="0" layoutInCell="1" allowOverlap="1" wp14:anchorId="500C64A7" wp14:editId="2E059919">
                <wp:simplePos x="0" y="0"/>
                <wp:positionH relativeFrom="column">
                  <wp:posOffset>-409576</wp:posOffset>
                </wp:positionH>
                <wp:positionV relativeFrom="paragraph">
                  <wp:posOffset>126365</wp:posOffset>
                </wp:positionV>
                <wp:extent cx="1400175"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0175" cy="1377315"/>
                        </a:xfrm>
                        <a:prstGeom prst="rect">
                          <a:avLst/>
                        </a:prstGeom>
                        <a:noFill/>
                        <a:ln w="6350">
                          <a:noFill/>
                        </a:ln>
                        <a:effectLst/>
                      </wps:spPr>
                      <wps:txbx>
                        <w:txbxContent>
                          <w:p w14:paraId="6743FB35" w14:textId="07BA89EF" w:rsidR="00412D8D" w:rsidRPr="004C502E" w:rsidRDefault="00412D8D" w:rsidP="00412D8D">
                            <w:pPr>
                              <w:jc w:val="right"/>
                              <w:rPr>
                                <w:rFonts w:ascii="Calibri" w:hAnsi="Calibri"/>
                                <w:sz w:val="22"/>
                                <w:lang w:val="pt-BR"/>
                              </w:rPr>
                            </w:pPr>
                            <w:r w:rsidRPr="004C502E">
                              <w:rPr>
                                <w:rFonts w:ascii="Calibri" w:hAnsi="Calibri"/>
                                <w:sz w:val="22"/>
                                <w:lang w:val="pt-BR"/>
                              </w:rPr>
                              <w:t>OEA/Ser/L/V/II</w:t>
                            </w:r>
                          </w:p>
                          <w:p w14:paraId="3608FD51" w14:textId="2D4EC892" w:rsidR="00412D8D" w:rsidRPr="004C502E" w:rsidRDefault="00412D8D" w:rsidP="00412D8D">
                            <w:pPr>
                              <w:jc w:val="right"/>
                              <w:rPr>
                                <w:rFonts w:ascii="Calibri" w:hAnsi="Calibri"/>
                                <w:sz w:val="22"/>
                                <w:lang w:val="pt-BR"/>
                              </w:rPr>
                            </w:pPr>
                            <w:r w:rsidRPr="004C502E">
                              <w:rPr>
                                <w:rFonts w:ascii="Calibri" w:hAnsi="Calibri"/>
                                <w:sz w:val="22"/>
                                <w:lang w:val="pt-BR"/>
                              </w:rPr>
                              <w:t xml:space="preserve">Doc. </w:t>
                            </w:r>
                            <w:r w:rsidR="00F706F4">
                              <w:rPr>
                                <w:rFonts w:ascii="Calibri" w:hAnsi="Calibri"/>
                                <w:sz w:val="22"/>
                                <w:lang w:val="pt-BR"/>
                              </w:rPr>
                              <w:t>297</w:t>
                            </w:r>
                          </w:p>
                          <w:p w14:paraId="11EAD6D5" w14:textId="0CFC7B1D" w:rsidR="00412D8D" w:rsidRPr="004C502E" w:rsidRDefault="00D25951" w:rsidP="00412D8D">
                            <w:pPr>
                              <w:jc w:val="right"/>
                              <w:rPr>
                                <w:rFonts w:ascii="Calibri" w:hAnsi="Calibri"/>
                                <w:sz w:val="22"/>
                                <w:lang w:val="pt-BR"/>
                              </w:rPr>
                            </w:pPr>
                            <w:r>
                              <w:rPr>
                                <w:rFonts w:ascii="Calibri" w:hAnsi="Calibri"/>
                                <w:sz w:val="22"/>
                                <w:lang w:val="pt-BR"/>
                              </w:rPr>
                              <w:t>31 outubro</w:t>
                            </w:r>
                            <w:r w:rsidR="00CD4AFA" w:rsidRPr="004C502E">
                              <w:rPr>
                                <w:rFonts w:ascii="Calibri" w:hAnsi="Calibri"/>
                                <w:sz w:val="22"/>
                                <w:lang w:val="pt-BR"/>
                              </w:rPr>
                              <w:t xml:space="preserve"> 2023</w:t>
                            </w:r>
                          </w:p>
                          <w:p w14:paraId="79406B03" w14:textId="70FD2032" w:rsidR="007A471F" w:rsidRPr="004C502E" w:rsidRDefault="00412D8D" w:rsidP="00412D8D">
                            <w:pPr>
                              <w:jc w:val="right"/>
                              <w:rPr>
                                <w:rFonts w:ascii="Calibri" w:hAnsi="Calibri"/>
                                <w:sz w:val="22"/>
                                <w:lang w:val="pt-BR"/>
                              </w:rPr>
                            </w:pPr>
                            <w:r w:rsidRPr="004C502E">
                              <w:rPr>
                                <w:rFonts w:ascii="Calibri" w:hAnsi="Calibri"/>
                                <w:sz w:val="22"/>
                                <w:lang w:val="pt-BR"/>
                              </w:rPr>
                              <w:t>Original:</w:t>
                            </w:r>
                            <w:r w:rsidR="00D25951">
                              <w:rPr>
                                <w:rFonts w:ascii="Calibri" w:hAnsi="Calibri"/>
                                <w:sz w:val="22"/>
                                <w:lang w:val="pt-BR"/>
                              </w:rPr>
                              <w:t xml:space="preserve"> Espanhol</w:t>
                            </w:r>
                            <w:r w:rsidRPr="004C502E">
                              <w:rPr>
                                <w:rFonts w:ascii="Calibri" w:hAnsi="Calibri"/>
                                <w:sz w:val="22"/>
                                <w:lang w:val="pt-B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C64A7" id="Text Box 8" o:spid="_x0000_s1027" type="#_x0000_t202" style="position:absolute;left:0;text-align:left;margin-left:-32.25pt;margin-top:9.95pt;width:110.2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" filled="f" stroked="f" strokeweight=".5pt">
                <v:textbox>
                  <w:txbxContent>
                    <w:p w14:paraId="6743FB35" w14:textId="07BA89EF" w:rsidR="00412D8D" w:rsidRPr="004C502E" w:rsidRDefault="00412D8D" w:rsidP="00412D8D">
                      <w:pPr>
                        <w:jc w:val="right"/>
                        <w:rPr>
                          <w:rFonts w:ascii="Calibri" w:hAnsi="Calibri"/>
                          <w:sz w:val="22"/>
                          <w:lang w:val="pt-BR"/>
                        </w:rPr>
                      </w:pPr>
                      <w:r w:rsidRPr="004C502E">
                        <w:rPr>
                          <w:rFonts w:ascii="Calibri" w:hAnsi="Calibri"/>
                          <w:sz w:val="22"/>
                          <w:lang w:val="pt-BR"/>
                        </w:rPr>
                        <w:t>OEA/Ser/L/V/II</w:t>
                      </w:r>
                    </w:p>
                    <w:p w14:paraId="3608FD51" w14:textId="2D4EC892" w:rsidR="00412D8D" w:rsidRPr="004C502E" w:rsidRDefault="00412D8D" w:rsidP="00412D8D">
                      <w:pPr>
                        <w:jc w:val="right"/>
                        <w:rPr>
                          <w:rFonts w:ascii="Calibri" w:hAnsi="Calibri"/>
                          <w:sz w:val="22"/>
                          <w:lang w:val="pt-BR"/>
                        </w:rPr>
                      </w:pPr>
                      <w:r w:rsidRPr="004C502E">
                        <w:rPr>
                          <w:rFonts w:ascii="Calibri" w:hAnsi="Calibri"/>
                          <w:sz w:val="22"/>
                          <w:lang w:val="pt-BR"/>
                        </w:rPr>
                        <w:t xml:space="preserve">Doc. </w:t>
                      </w:r>
                      <w:r w:rsidR="00F706F4">
                        <w:rPr>
                          <w:rFonts w:ascii="Calibri" w:hAnsi="Calibri"/>
                          <w:sz w:val="22"/>
                          <w:lang w:val="pt-BR"/>
                        </w:rPr>
                        <w:t>297</w:t>
                      </w:r>
                    </w:p>
                    <w:p w14:paraId="11EAD6D5" w14:textId="0CFC7B1D" w:rsidR="00412D8D" w:rsidRPr="004C502E" w:rsidRDefault="00D25951" w:rsidP="00412D8D">
                      <w:pPr>
                        <w:jc w:val="right"/>
                        <w:rPr>
                          <w:rFonts w:ascii="Calibri" w:hAnsi="Calibri"/>
                          <w:sz w:val="22"/>
                          <w:lang w:val="pt-BR"/>
                        </w:rPr>
                      </w:pPr>
                      <w:r>
                        <w:rPr>
                          <w:rFonts w:ascii="Calibri" w:hAnsi="Calibri"/>
                          <w:sz w:val="22"/>
                          <w:lang w:val="pt-BR"/>
                        </w:rPr>
                        <w:t>31 outubro</w:t>
                      </w:r>
                      <w:r w:rsidR="00CD4AFA" w:rsidRPr="004C502E">
                        <w:rPr>
                          <w:rFonts w:ascii="Calibri" w:hAnsi="Calibri"/>
                          <w:sz w:val="22"/>
                          <w:lang w:val="pt-BR"/>
                        </w:rPr>
                        <w:t xml:space="preserve"> 2023</w:t>
                      </w:r>
                    </w:p>
                    <w:p w14:paraId="79406B03" w14:textId="70FD2032" w:rsidR="007A471F" w:rsidRPr="004C502E" w:rsidRDefault="00412D8D" w:rsidP="00412D8D">
                      <w:pPr>
                        <w:jc w:val="right"/>
                        <w:rPr>
                          <w:rFonts w:ascii="Calibri" w:hAnsi="Calibri"/>
                          <w:sz w:val="22"/>
                          <w:lang w:val="pt-BR"/>
                        </w:rPr>
                      </w:pPr>
                      <w:r w:rsidRPr="004C502E">
                        <w:rPr>
                          <w:rFonts w:ascii="Calibri" w:hAnsi="Calibri"/>
                          <w:sz w:val="22"/>
                          <w:lang w:val="pt-BR"/>
                        </w:rPr>
                        <w:t>Original:</w:t>
                      </w:r>
                      <w:r w:rsidR="00D25951">
                        <w:rPr>
                          <w:rFonts w:ascii="Calibri" w:hAnsi="Calibri"/>
                          <w:sz w:val="22"/>
                          <w:lang w:val="pt-BR"/>
                        </w:rPr>
                        <w:t xml:space="preserve"> Espanhol</w:t>
                      </w:r>
                      <w:r w:rsidRPr="004C502E">
                        <w:rPr>
                          <w:rFonts w:ascii="Calibri" w:hAnsi="Calibri"/>
                          <w:sz w:val="22"/>
                          <w:lang w:val="pt-BR"/>
                        </w:rPr>
                        <w:t xml:space="preserve"> </w:t>
                      </w:r>
                    </w:p>
                  </w:txbxContent>
                </v:textbox>
              </v:shape>
            </w:pict>
          </mc:Fallback>
        </mc:AlternateContent>
      </w:r>
      <w:r w:rsidR="00B1473D">
        <w:rPr>
          <w:noProof/>
        </w:rPr>
        <mc:AlternateContent>
          <mc:Choice Requires="wps">
            <w:drawing>
              <wp:anchor distT="0" distB="0" distL="114300" distR="114300" simplePos="0" relativeHeight="251655168" behindDoc="0" locked="0" layoutInCell="1" allowOverlap="1" wp14:anchorId="46D40D3B" wp14:editId="5D0B4133">
                <wp:simplePos x="0" y="0"/>
                <wp:positionH relativeFrom="column">
                  <wp:posOffset>1228725</wp:posOffset>
                </wp:positionH>
                <wp:positionV relativeFrom="paragraph">
                  <wp:posOffset>79375</wp:posOffset>
                </wp:positionV>
                <wp:extent cx="5133975" cy="235077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3975" cy="2350770"/>
                        </a:xfrm>
                        <a:prstGeom prst="rect">
                          <a:avLst/>
                        </a:prstGeom>
                        <a:noFill/>
                        <a:ln w="6350">
                          <a:noFill/>
                        </a:ln>
                        <a:effectLst/>
                      </wps:spPr>
                      <wps:txbx>
                        <w:txbxContent>
                          <w:p w14:paraId="62142F1D" w14:textId="4B2FE6EA" w:rsidR="00412D8D" w:rsidRPr="004C502E" w:rsidRDefault="00412D8D" w:rsidP="00412D8D">
                            <w:pPr>
                              <w:spacing w:line="276" w:lineRule="auto"/>
                              <w:rPr>
                                <w:rFonts w:ascii="Cambria" w:hAnsi="Cambria" w:cs="Arial"/>
                                <w:b/>
                                <w:bCs/>
                                <w:color w:val="0D0D0D"/>
                                <w:sz w:val="36"/>
                                <w:szCs w:val="40"/>
                                <w:lang w:val="pt-BR"/>
                              </w:rPr>
                            </w:pPr>
                            <w:r w:rsidRPr="004C502E">
                              <w:rPr>
                                <w:rFonts w:ascii="Cambria" w:hAnsi="Cambria" w:cs="Arial"/>
                                <w:b/>
                                <w:bCs/>
                                <w:color w:val="0D0D0D"/>
                                <w:sz w:val="36"/>
                                <w:szCs w:val="40"/>
                                <w:lang w:val="pt-BR"/>
                              </w:rPr>
                              <w:t xml:space="preserve">RELATÓRIO </w:t>
                            </w:r>
                            <w:r w:rsidR="00F706F4">
                              <w:rPr>
                                <w:rFonts w:ascii="Cambria" w:hAnsi="Cambria" w:cs="Arial"/>
                                <w:b/>
                                <w:bCs/>
                                <w:color w:val="0D0D0D"/>
                                <w:sz w:val="36"/>
                                <w:szCs w:val="40"/>
                                <w:lang w:val="pt-BR"/>
                              </w:rPr>
                              <w:t>N</w:t>
                            </w:r>
                            <w:r w:rsidR="009F380F" w:rsidRPr="004C502E">
                              <w:rPr>
                                <w:rFonts w:ascii="Cambria" w:hAnsi="Cambria" w:cs="Arial"/>
                                <w:b/>
                                <w:bCs/>
                                <w:color w:val="0D0D0D"/>
                                <w:sz w:val="36"/>
                                <w:szCs w:val="40"/>
                                <w:lang w:val="pt-BR"/>
                              </w:rPr>
                              <w:t>º</w:t>
                            </w:r>
                            <w:r w:rsidRPr="004C502E">
                              <w:rPr>
                                <w:rFonts w:ascii="Cambria" w:hAnsi="Cambria" w:cs="Arial"/>
                                <w:b/>
                                <w:bCs/>
                                <w:color w:val="0D0D0D"/>
                                <w:sz w:val="36"/>
                                <w:szCs w:val="40"/>
                                <w:lang w:val="pt-BR"/>
                              </w:rPr>
                              <w:t xml:space="preserve"> </w:t>
                            </w:r>
                            <w:r w:rsidR="00F706F4">
                              <w:rPr>
                                <w:rFonts w:ascii="Cambria" w:hAnsi="Cambria" w:cs="Arial"/>
                                <w:b/>
                                <w:bCs/>
                                <w:color w:val="0D0D0D"/>
                                <w:sz w:val="36"/>
                                <w:szCs w:val="40"/>
                                <w:lang w:val="pt-BR"/>
                              </w:rPr>
                              <w:t>277</w:t>
                            </w:r>
                            <w:r w:rsidRPr="004C502E">
                              <w:rPr>
                                <w:rFonts w:ascii="Cambria" w:hAnsi="Cambria" w:cs="Arial"/>
                                <w:b/>
                                <w:bCs/>
                                <w:color w:val="0D0D0D"/>
                                <w:sz w:val="36"/>
                                <w:szCs w:val="40"/>
                                <w:lang w:val="pt-BR"/>
                              </w:rPr>
                              <w:t>/</w:t>
                            </w:r>
                            <w:r w:rsidR="008A0B1E" w:rsidRPr="004C502E">
                              <w:rPr>
                                <w:rFonts w:ascii="Cambria" w:hAnsi="Cambria" w:cs="Arial"/>
                                <w:b/>
                                <w:bCs/>
                                <w:color w:val="0D0D0D"/>
                                <w:sz w:val="36"/>
                                <w:szCs w:val="40"/>
                                <w:lang w:val="pt-BR"/>
                              </w:rPr>
                              <w:t>23</w:t>
                            </w:r>
                          </w:p>
                          <w:p w14:paraId="3B604F31" w14:textId="28FF2A92" w:rsidR="00412D8D" w:rsidRPr="004C502E" w:rsidRDefault="00412D8D" w:rsidP="00412D8D">
                            <w:pPr>
                              <w:spacing w:line="276" w:lineRule="auto"/>
                              <w:rPr>
                                <w:rFonts w:ascii="Cambria" w:hAnsi="Cambria" w:cs="Arial"/>
                                <w:b/>
                                <w:bCs/>
                                <w:color w:val="0D0D0D"/>
                                <w:sz w:val="36"/>
                                <w:szCs w:val="40"/>
                                <w:lang w:val="pt-BR"/>
                              </w:rPr>
                            </w:pPr>
                            <w:r w:rsidRPr="004C502E">
                              <w:rPr>
                                <w:rFonts w:ascii="Cambria" w:hAnsi="Cambria" w:cs="Arial"/>
                                <w:b/>
                                <w:bCs/>
                                <w:color w:val="0D0D0D"/>
                                <w:sz w:val="36"/>
                                <w:szCs w:val="40"/>
                                <w:lang w:val="pt-BR"/>
                              </w:rPr>
                              <w:t xml:space="preserve">PETIÇÃO </w:t>
                            </w:r>
                            <w:r w:rsidR="00013992" w:rsidRPr="00013992">
                              <w:rPr>
                                <w:rFonts w:ascii="Cambria" w:hAnsi="Cambria" w:cs="Arial"/>
                                <w:b/>
                                <w:bCs/>
                                <w:color w:val="0D0D0D"/>
                                <w:sz w:val="36"/>
                                <w:szCs w:val="40"/>
                                <w:lang w:val="pt-BR"/>
                              </w:rPr>
                              <w:t>6-15</w:t>
                            </w:r>
                          </w:p>
                          <w:p w14:paraId="78CAD49A" w14:textId="77777777" w:rsidR="008A0B1E" w:rsidRPr="004C502E" w:rsidRDefault="008A0B1E" w:rsidP="008A0B1E">
                            <w:pPr>
                              <w:spacing w:line="276" w:lineRule="auto"/>
                              <w:rPr>
                                <w:rFonts w:ascii="Cambria" w:hAnsi="Cambria" w:cs="Arial"/>
                                <w:bCs/>
                                <w:color w:val="0D0D0D"/>
                                <w:szCs w:val="40"/>
                                <w:lang w:val="pt-BR"/>
                              </w:rPr>
                            </w:pPr>
                            <w:r w:rsidRPr="004C502E">
                              <w:rPr>
                                <w:rFonts w:ascii="Cambria" w:hAnsi="Cambria" w:cs="Arial"/>
                                <w:bCs/>
                                <w:color w:val="0D0D0D"/>
                                <w:szCs w:val="40"/>
                                <w:lang w:val="pt-BR"/>
                              </w:rPr>
                              <w:t>RELATÓRIO</w:t>
                            </w:r>
                            <w:r w:rsidR="00412D8D" w:rsidRPr="004C502E">
                              <w:rPr>
                                <w:rFonts w:ascii="Cambria" w:hAnsi="Cambria" w:cs="Arial"/>
                                <w:bCs/>
                                <w:color w:val="0D0D0D"/>
                                <w:szCs w:val="40"/>
                                <w:lang w:val="pt-BR"/>
                              </w:rPr>
                              <w:t xml:space="preserve"> DE ADMISSIBILIDADE </w:t>
                            </w:r>
                          </w:p>
                          <w:p w14:paraId="136EA10A" w14:textId="77777777" w:rsidR="00412D8D" w:rsidRPr="00206F45" w:rsidRDefault="00412D8D" w:rsidP="00412D8D">
                            <w:pPr>
                              <w:spacing w:line="276" w:lineRule="auto"/>
                              <w:rPr>
                                <w:rFonts w:ascii="Cambria" w:hAnsi="Cambria" w:cs="Arial"/>
                                <w:bCs/>
                                <w:color w:val="0D0D0D"/>
                                <w:szCs w:val="40"/>
                                <w:lang w:val="pt-BR"/>
                              </w:rPr>
                            </w:pPr>
                          </w:p>
                          <w:p w14:paraId="129B37F1" w14:textId="77777777" w:rsidR="00013992" w:rsidRPr="00013992" w:rsidRDefault="00013992" w:rsidP="00013992">
                            <w:pPr>
                              <w:spacing w:line="276" w:lineRule="auto"/>
                              <w:rPr>
                                <w:rFonts w:ascii="Cambria" w:hAnsi="Cambria" w:cs="Arial"/>
                                <w:color w:val="0D0D0D"/>
                                <w:szCs w:val="22"/>
                                <w:lang w:val="pt-BR"/>
                              </w:rPr>
                            </w:pPr>
                            <w:r w:rsidRPr="00013992">
                              <w:rPr>
                                <w:rFonts w:ascii="Cambria" w:hAnsi="Cambria" w:cs="Arial"/>
                                <w:color w:val="0D0D0D"/>
                                <w:szCs w:val="22"/>
                                <w:lang w:val="pt-BR"/>
                              </w:rPr>
                              <w:t>JULIO CÉSAR DOS SANTOS E OUTROS</w:t>
                            </w:r>
                          </w:p>
                          <w:p w14:paraId="1C02EBA0" w14:textId="5D02B705" w:rsidR="005B52B0" w:rsidRPr="00206F45" w:rsidRDefault="008A0B1E" w:rsidP="00013992">
                            <w:pPr>
                              <w:rPr>
                                <w:rFonts w:ascii="Cambria" w:hAnsi="Cambria"/>
                                <w:color w:val="0D0D0D"/>
                                <w:sz w:val="18"/>
                                <w:lang w:val="pt-BR"/>
                              </w:rPr>
                            </w:pPr>
                            <w:r w:rsidRPr="00206F45">
                              <w:rPr>
                                <w:rFonts w:ascii="Cambria" w:hAnsi="Cambria" w:cs="Arial"/>
                                <w:color w:val="0D0D0D"/>
                                <w:szCs w:val="22"/>
                              </w:rPr>
                              <w:t>BRASIL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40D3B" id="Text Box 9" o:spid="_x0000_s1028" type="#_x0000_t202" style="position:absolute;left:0;text-align:left;margin-left:96.75pt;margin-top:6.25pt;width:404.25pt;height:18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" filled="f" stroked="f" strokeweight=".5pt">
                <v:textbox>
                  <w:txbxContent>
                    <w:p w14:paraId="62142F1D" w14:textId="4B2FE6EA" w:rsidR="00412D8D" w:rsidRPr="004C502E" w:rsidRDefault="00412D8D" w:rsidP="00412D8D">
                      <w:pPr>
                        <w:spacing w:line="276" w:lineRule="auto"/>
                        <w:rPr>
                          <w:rFonts w:ascii="Cambria" w:hAnsi="Cambria" w:cs="Arial"/>
                          <w:b/>
                          <w:bCs/>
                          <w:color w:val="0D0D0D"/>
                          <w:sz w:val="36"/>
                          <w:szCs w:val="40"/>
                          <w:lang w:val="pt-BR"/>
                        </w:rPr>
                      </w:pPr>
                      <w:r w:rsidRPr="004C502E">
                        <w:rPr>
                          <w:rFonts w:ascii="Cambria" w:hAnsi="Cambria" w:cs="Arial"/>
                          <w:b/>
                          <w:bCs/>
                          <w:color w:val="0D0D0D"/>
                          <w:sz w:val="36"/>
                          <w:szCs w:val="40"/>
                          <w:lang w:val="pt-BR"/>
                        </w:rPr>
                        <w:t xml:space="preserve">RELATÓRIO </w:t>
                      </w:r>
                      <w:r w:rsidR="00F706F4">
                        <w:rPr>
                          <w:rFonts w:ascii="Cambria" w:hAnsi="Cambria" w:cs="Arial"/>
                          <w:b/>
                          <w:bCs/>
                          <w:color w:val="0D0D0D"/>
                          <w:sz w:val="36"/>
                          <w:szCs w:val="40"/>
                          <w:lang w:val="pt-BR"/>
                        </w:rPr>
                        <w:t>N</w:t>
                      </w:r>
                      <w:r w:rsidR="009F380F" w:rsidRPr="004C502E">
                        <w:rPr>
                          <w:rFonts w:ascii="Cambria" w:hAnsi="Cambria" w:cs="Arial"/>
                          <w:b/>
                          <w:bCs/>
                          <w:color w:val="0D0D0D"/>
                          <w:sz w:val="36"/>
                          <w:szCs w:val="40"/>
                          <w:lang w:val="pt-BR"/>
                        </w:rPr>
                        <w:t>º</w:t>
                      </w:r>
                      <w:r w:rsidRPr="004C502E">
                        <w:rPr>
                          <w:rFonts w:ascii="Cambria" w:hAnsi="Cambria" w:cs="Arial"/>
                          <w:b/>
                          <w:bCs/>
                          <w:color w:val="0D0D0D"/>
                          <w:sz w:val="36"/>
                          <w:szCs w:val="40"/>
                          <w:lang w:val="pt-BR"/>
                        </w:rPr>
                        <w:t xml:space="preserve"> </w:t>
                      </w:r>
                      <w:r w:rsidR="00F706F4">
                        <w:rPr>
                          <w:rFonts w:ascii="Cambria" w:hAnsi="Cambria" w:cs="Arial"/>
                          <w:b/>
                          <w:bCs/>
                          <w:color w:val="0D0D0D"/>
                          <w:sz w:val="36"/>
                          <w:szCs w:val="40"/>
                          <w:lang w:val="pt-BR"/>
                        </w:rPr>
                        <w:t>277</w:t>
                      </w:r>
                      <w:r w:rsidRPr="004C502E">
                        <w:rPr>
                          <w:rFonts w:ascii="Cambria" w:hAnsi="Cambria" w:cs="Arial"/>
                          <w:b/>
                          <w:bCs/>
                          <w:color w:val="0D0D0D"/>
                          <w:sz w:val="36"/>
                          <w:szCs w:val="40"/>
                          <w:lang w:val="pt-BR"/>
                        </w:rPr>
                        <w:t>/</w:t>
                      </w:r>
                      <w:r w:rsidR="008A0B1E" w:rsidRPr="004C502E">
                        <w:rPr>
                          <w:rFonts w:ascii="Cambria" w:hAnsi="Cambria" w:cs="Arial"/>
                          <w:b/>
                          <w:bCs/>
                          <w:color w:val="0D0D0D"/>
                          <w:sz w:val="36"/>
                          <w:szCs w:val="40"/>
                          <w:lang w:val="pt-BR"/>
                        </w:rPr>
                        <w:t>23</w:t>
                      </w:r>
                    </w:p>
                    <w:p w14:paraId="3B604F31" w14:textId="28FF2A92" w:rsidR="00412D8D" w:rsidRPr="004C502E" w:rsidRDefault="00412D8D" w:rsidP="00412D8D">
                      <w:pPr>
                        <w:spacing w:line="276" w:lineRule="auto"/>
                        <w:rPr>
                          <w:rFonts w:ascii="Cambria" w:hAnsi="Cambria" w:cs="Arial"/>
                          <w:b/>
                          <w:bCs/>
                          <w:color w:val="0D0D0D"/>
                          <w:sz w:val="36"/>
                          <w:szCs w:val="40"/>
                          <w:lang w:val="pt-BR"/>
                        </w:rPr>
                      </w:pPr>
                      <w:r w:rsidRPr="004C502E">
                        <w:rPr>
                          <w:rFonts w:ascii="Cambria" w:hAnsi="Cambria" w:cs="Arial"/>
                          <w:b/>
                          <w:bCs/>
                          <w:color w:val="0D0D0D"/>
                          <w:sz w:val="36"/>
                          <w:szCs w:val="40"/>
                          <w:lang w:val="pt-BR"/>
                        </w:rPr>
                        <w:t xml:space="preserve">PETIÇÃO </w:t>
                      </w:r>
                      <w:r w:rsidR="00013992" w:rsidRPr="00013992">
                        <w:rPr>
                          <w:rFonts w:ascii="Cambria" w:hAnsi="Cambria" w:cs="Arial"/>
                          <w:b/>
                          <w:bCs/>
                          <w:color w:val="0D0D0D"/>
                          <w:sz w:val="36"/>
                          <w:szCs w:val="40"/>
                          <w:lang w:val="pt-BR"/>
                        </w:rPr>
                        <w:t>6-15</w:t>
                      </w:r>
                    </w:p>
                    <w:p w14:paraId="78CAD49A" w14:textId="77777777" w:rsidR="008A0B1E" w:rsidRPr="004C502E" w:rsidRDefault="008A0B1E" w:rsidP="008A0B1E">
                      <w:pPr>
                        <w:spacing w:line="276" w:lineRule="auto"/>
                        <w:rPr>
                          <w:rFonts w:ascii="Cambria" w:hAnsi="Cambria" w:cs="Arial"/>
                          <w:bCs/>
                          <w:color w:val="0D0D0D"/>
                          <w:szCs w:val="40"/>
                          <w:lang w:val="pt-BR"/>
                        </w:rPr>
                      </w:pPr>
                      <w:r w:rsidRPr="004C502E">
                        <w:rPr>
                          <w:rFonts w:ascii="Cambria" w:hAnsi="Cambria" w:cs="Arial"/>
                          <w:bCs/>
                          <w:color w:val="0D0D0D"/>
                          <w:szCs w:val="40"/>
                          <w:lang w:val="pt-BR"/>
                        </w:rPr>
                        <w:t>RELATÓRIO</w:t>
                      </w:r>
                      <w:r w:rsidR="00412D8D" w:rsidRPr="004C502E">
                        <w:rPr>
                          <w:rFonts w:ascii="Cambria" w:hAnsi="Cambria" w:cs="Arial"/>
                          <w:bCs/>
                          <w:color w:val="0D0D0D"/>
                          <w:szCs w:val="40"/>
                          <w:lang w:val="pt-BR"/>
                        </w:rPr>
                        <w:t xml:space="preserve"> DE ADMISSIBILIDADE </w:t>
                      </w:r>
                    </w:p>
                    <w:p w14:paraId="136EA10A" w14:textId="77777777" w:rsidR="00412D8D" w:rsidRPr="00206F45" w:rsidRDefault="00412D8D" w:rsidP="00412D8D">
                      <w:pPr>
                        <w:spacing w:line="276" w:lineRule="auto"/>
                        <w:rPr>
                          <w:rFonts w:ascii="Cambria" w:hAnsi="Cambria" w:cs="Arial"/>
                          <w:bCs/>
                          <w:color w:val="0D0D0D"/>
                          <w:szCs w:val="40"/>
                          <w:lang w:val="pt-BR"/>
                        </w:rPr>
                      </w:pPr>
                    </w:p>
                    <w:p w14:paraId="129B37F1" w14:textId="77777777" w:rsidR="00013992" w:rsidRPr="00013992" w:rsidRDefault="00013992" w:rsidP="00013992">
                      <w:pPr>
                        <w:spacing w:line="276" w:lineRule="auto"/>
                        <w:rPr>
                          <w:rFonts w:ascii="Cambria" w:hAnsi="Cambria" w:cs="Arial"/>
                          <w:color w:val="0D0D0D"/>
                          <w:szCs w:val="22"/>
                          <w:lang w:val="pt-BR"/>
                        </w:rPr>
                      </w:pPr>
                      <w:r w:rsidRPr="00013992">
                        <w:rPr>
                          <w:rFonts w:ascii="Cambria" w:hAnsi="Cambria" w:cs="Arial"/>
                          <w:color w:val="0D0D0D"/>
                          <w:szCs w:val="22"/>
                          <w:lang w:val="pt-BR"/>
                        </w:rPr>
                        <w:t>JULIO CÉSAR DOS SANTOS E OUTROS</w:t>
                      </w:r>
                    </w:p>
                    <w:p w14:paraId="1C02EBA0" w14:textId="5D02B705" w:rsidR="005B52B0" w:rsidRPr="00206F45" w:rsidRDefault="008A0B1E" w:rsidP="00013992">
                      <w:pPr>
                        <w:rPr>
                          <w:rFonts w:ascii="Cambria" w:hAnsi="Cambria"/>
                          <w:color w:val="0D0D0D"/>
                          <w:sz w:val="18"/>
                          <w:lang w:val="pt-BR"/>
                        </w:rPr>
                      </w:pPr>
                      <w:r w:rsidRPr="00206F45">
                        <w:rPr>
                          <w:rFonts w:ascii="Cambria" w:hAnsi="Cambria" w:cs="Arial"/>
                          <w:color w:val="0D0D0D"/>
                          <w:szCs w:val="22"/>
                        </w:rPr>
                        <w:t>BRASIL</w:t>
                      </w:r>
                    </w:p>
                  </w:txbxContent>
                </v:textbox>
              </v:shape>
            </w:pict>
          </mc:Fallback>
        </mc:AlternateContent>
      </w:r>
    </w:p>
    <w:p w14:paraId="4B49BA4C" w14:textId="77777777" w:rsidR="00040C3A" w:rsidRPr="004C502E" w:rsidRDefault="00040C3A" w:rsidP="006539EA">
      <w:pPr>
        <w:tabs>
          <w:tab w:val="center" w:pos="5400"/>
        </w:tabs>
        <w:suppressAutoHyphens/>
        <w:jc w:val="center"/>
        <w:rPr>
          <w:rFonts w:ascii="Cambria" w:hAnsi="Cambria"/>
          <w:sz w:val="22"/>
          <w:szCs w:val="22"/>
          <w:lang w:val="pt-BR"/>
        </w:rPr>
      </w:pPr>
    </w:p>
    <w:p w14:paraId="667CCC60" w14:textId="77777777" w:rsidR="00040C3A" w:rsidRPr="004C502E" w:rsidRDefault="00040C3A" w:rsidP="006539EA">
      <w:pPr>
        <w:tabs>
          <w:tab w:val="center" w:pos="5400"/>
        </w:tabs>
        <w:suppressAutoHyphens/>
        <w:jc w:val="center"/>
        <w:rPr>
          <w:rFonts w:ascii="Cambria" w:hAnsi="Cambria" w:cs="Arial"/>
          <w:sz w:val="22"/>
          <w:szCs w:val="22"/>
          <w:lang w:val="pt-BR"/>
        </w:rPr>
      </w:pPr>
    </w:p>
    <w:p w14:paraId="5CB965C0" w14:textId="77777777" w:rsidR="00040C3A" w:rsidRPr="004C502E" w:rsidRDefault="00040C3A" w:rsidP="006539EA">
      <w:pPr>
        <w:tabs>
          <w:tab w:val="center" w:pos="5400"/>
        </w:tabs>
        <w:suppressAutoHyphens/>
        <w:jc w:val="center"/>
        <w:rPr>
          <w:rFonts w:ascii="Cambria" w:hAnsi="Cambria"/>
          <w:sz w:val="22"/>
          <w:szCs w:val="22"/>
          <w:lang w:val="pt-BR"/>
        </w:rPr>
      </w:pPr>
    </w:p>
    <w:p w14:paraId="4F815FA6" w14:textId="77777777" w:rsidR="00040C3A" w:rsidRPr="004C502E" w:rsidRDefault="00040C3A" w:rsidP="006539EA">
      <w:pPr>
        <w:tabs>
          <w:tab w:val="center" w:pos="5400"/>
        </w:tabs>
        <w:suppressAutoHyphens/>
        <w:jc w:val="center"/>
        <w:rPr>
          <w:rFonts w:ascii="Cambria" w:hAnsi="Cambria"/>
          <w:sz w:val="22"/>
          <w:szCs w:val="22"/>
          <w:lang w:val="pt-BR"/>
        </w:rPr>
      </w:pPr>
    </w:p>
    <w:p w14:paraId="313F4889" w14:textId="77777777" w:rsidR="00040C3A" w:rsidRPr="004C502E" w:rsidRDefault="00040C3A" w:rsidP="006539EA">
      <w:pPr>
        <w:tabs>
          <w:tab w:val="center" w:pos="5400"/>
        </w:tabs>
        <w:suppressAutoHyphens/>
        <w:jc w:val="center"/>
        <w:rPr>
          <w:rFonts w:ascii="Cambria" w:hAnsi="Cambria"/>
          <w:sz w:val="22"/>
          <w:szCs w:val="22"/>
          <w:lang w:val="pt-BR"/>
        </w:rPr>
      </w:pPr>
    </w:p>
    <w:p w14:paraId="63CE7274" w14:textId="77777777" w:rsidR="00040C3A" w:rsidRPr="004C502E" w:rsidRDefault="00040C3A" w:rsidP="006539EA">
      <w:pPr>
        <w:tabs>
          <w:tab w:val="center" w:pos="5400"/>
        </w:tabs>
        <w:suppressAutoHyphens/>
        <w:jc w:val="center"/>
        <w:rPr>
          <w:rFonts w:ascii="Cambria" w:hAnsi="Cambria"/>
          <w:sz w:val="22"/>
          <w:szCs w:val="22"/>
          <w:lang w:val="pt-BR"/>
        </w:rPr>
      </w:pPr>
    </w:p>
    <w:p w14:paraId="0209BF4F" w14:textId="77777777" w:rsidR="005128E4" w:rsidRPr="004C502E" w:rsidRDefault="005128E4" w:rsidP="006539EA">
      <w:pPr>
        <w:tabs>
          <w:tab w:val="center" w:pos="5400"/>
        </w:tabs>
        <w:suppressAutoHyphens/>
        <w:jc w:val="center"/>
        <w:rPr>
          <w:rFonts w:ascii="Cambria" w:hAnsi="Cambria"/>
          <w:sz w:val="22"/>
          <w:szCs w:val="22"/>
          <w:lang w:val="pt-BR"/>
        </w:rPr>
      </w:pPr>
    </w:p>
    <w:p w14:paraId="4AFCF425" w14:textId="77777777" w:rsidR="00040C3A" w:rsidRPr="004C502E" w:rsidRDefault="00040C3A" w:rsidP="006539EA">
      <w:pPr>
        <w:tabs>
          <w:tab w:val="center" w:pos="5400"/>
        </w:tabs>
        <w:suppressAutoHyphens/>
        <w:jc w:val="center"/>
        <w:rPr>
          <w:rFonts w:ascii="Cambria" w:hAnsi="Cambria"/>
          <w:sz w:val="22"/>
          <w:szCs w:val="22"/>
          <w:lang w:val="pt-BR"/>
        </w:rPr>
      </w:pPr>
    </w:p>
    <w:p w14:paraId="652EFCFE" w14:textId="77777777" w:rsidR="005128E4" w:rsidRPr="004C502E" w:rsidRDefault="005128E4" w:rsidP="006539EA">
      <w:pPr>
        <w:tabs>
          <w:tab w:val="center" w:pos="5400"/>
        </w:tabs>
        <w:suppressAutoHyphens/>
        <w:jc w:val="center"/>
        <w:rPr>
          <w:rFonts w:ascii="Cambria" w:hAnsi="Cambria"/>
          <w:sz w:val="22"/>
          <w:szCs w:val="22"/>
          <w:lang w:val="pt-BR"/>
        </w:rPr>
      </w:pPr>
    </w:p>
    <w:p w14:paraId="56AC8D0A" w14:textId="77777777" w:rsidR="005128E4" w:rsidRPr="004C502E" w:rsidRDefault="005128E4" w:rsidP="006539EA">
      <w:pPr>
        <w:tabs>
          <w:tab w:val="center" w:pos="5400"/>
        </w:tabs>
        <w:suppressAutoHyphens/>
        <w:jc w:val="center"/>
        <w:rPr>
          <w:rFonts w:ascii="Cambria" w:hAnsi="Cambria"/>
          <w:sz w:val="22"/>
          <w:szCs w:val="22"/>
          <w:lang w:val="pt-BR"/>
        </w:rPr>
      </w:pPr>
    </w:p>
    <w:p w14:paraId="34ABA0A2" w14:textId="77777777" w:rsidR="005128E4" w:rsidRPr="004C502E" w:rsidRDefault="005128E4" w:rsidP="006539EA">
      <w:pPr>
        <w:tabs>
          <w:tab w:val="center" w:pos="5400"/>
        </w:tabs>
        <w:suppressAutoHyphens/>
        <w:jc w:val="center"/>
        <w:rPr>
          <w:rFonts w:ascii="Cambria" w:hAnsi="Cambria"/>
          <w:sz w:val="22"/>
          <w:szCs w:val="22"/>
          <w:lang w:val="pt-BR"/>
        </w:rPr>
      </w:pPr>
    </w:p>
    <w:p w14:paraId="373E4530" w14:textId="77777777" w:rsidR="00040C3A" w:rsidRPr="004C502E" w:rsidRDefault="00040C3A" w:rsidP="006539EA">
      <w:pPr>
        <w:tabs>
          <w:tab w:val="center" w:pos="5400"/>
        </w:tabs>
        <w:suppressAutoHyphens/>
        <w:jc w:val="center"/>
        <w:rPr>
          <w:rFonts w:ascii="Cambria" w:hAnsi="Cambria"/>
          <w:sz w:val="22"/>
          <w:szCs w:val="22"/>
          <w:lang w:val="pt-BR"/>
        </w:rPr>
      </w:pPr>
    </w:p>
    <w:p w14:paraId="6AF11036" w14:textId="77777777" w:rsidR="00040C3A" w:rsidRPr="004C502E" w:rsidRDefault="00040C3A" w:rsidP="006539EA">
      <w:pPr>
        <w:tabs>
          <w:tab w:val="center" w:pos="5400"/>
        </w:tabs>
        <w:suppressAutoHyphens/>
        <w:jc w:val="center"/>
        <w:rPr>
          <w:rFonts w:ascii="Cambria" w:hAnsi="Cambria"/>
          <w:sz w:val="22"/>
          <w:szCs w:val="22"/>
          <w:lang w:val="pt-BR"/>
        </w:rPr>
      </w:pPr>
    </w:p>
    <w:p w14:paraId="3D07D649" w14:textId="77777777" w:rsidR="002C1641" w:rsidRPr="004C502E" w:rsidRDefault="002C1641" w:rsidP="006539EA">
      <w:pPr>
        <w:tabs>
          <w:tab w:val="center" w:pos="5400"/>
        </w:tabs>
        <w:suppressAutoHyphens/>
        <w:jc w:val="center"/>
        <w:rPr>
          <w:rFonts w:ascii="Cambria" w:hAnsi="Cambria"/>
          <w:sz w:val="18"/>
          <w:szCs w:val="22"/>
          <w:lang w:val="pt-BR"/>
        </w:rPr>
      </w:pPr>
    </w:p>
    <w:p w14:paraId="70B4934C" w14:textId="77777777" w:rsidR="002C1641" w:rsidRPr="004C502E" w:rsidRDefault="002C1641" w:rsidP="006539EA">
      <w:pPr>
        <w:tabs>
          <w:tab w:val="center" w:pos="5400"/>
        </w:tabs>
        <w:suppressAutoHyphens/>
        <w:jc w:val="center"/>
        <w:rPr>
          <w:rFonts w:ascii="Cambria" w:hAnsi="Cambria"/>
          <w:sz w:val="18"/>
          <w:szCs w:val="22"/>
          <w:lang w:val="pt-BR"/>
        </w:rPr>
      </w:pPr>
    </w:p>
    <w:p w14:paraId="5A83B036" w14:textId="77777777" w:rsidR="002C1641" w:rsidRPr="004C502E" w:rsidRDefault="002C1641" w:rsidP="006539EA">
      <w:pPr>
        <w:tabs>
          <w:tab w:val="center" w:pos="5400"/>
        </w:tabs>
        <w:suppressAutoHyphens/>
        <w:jc w:val="center"/>
        <w:rPr>
          <w:rFonts w:ascii="Cambria" w:hAnsi="Cambria"/>
          <w:sz w:val="18"/>
          <w:szCs w:val="22"/>
          <w:lang w:val="pt-BR"/>
        </w:rPr>
      </w:pPr>
    </w:p>
    <w:p w14:paraId="090BED26" w14:textId="77777777" w:rsidR="002C1641" w:rsidRPr="004C502E" w:rsidRDefault="002C1641" w:rsidP="006539EA">
      <w:pPr>
        <w:tabs>
          <w:tab w:val="center" w:pos="5400"/>
        </w:tabs>
        <w:suppressAutoHyphens/>
        <w:jc w:val="center"/>
        <w:rPr>
          <w:rFonts w:ascii="Cambria" w:hAnsi="Cambria"/>
          <w:sz w:val="18"/>
          <w:szCs w:val="22"/>
          <w:lang w:val="pt-BR"/>
        </w:rPr>
      </w:pPr>
    </w:p>
    <w:p w14:paraId="29958301" w14:textId="77777777" w:rsidR="002C1641" w:rsidRPr="004C502E" w:rsidRDefault="002C1641" w:rsidP="006539EA">
      <w:pPr>
        <w:tabs>
          <w:tab w:val="center" w:pos="5400"/>
        </w:tabs>
        <w:suppressAutoHyphens/>
        <w:jc w:val="center"/>
        <w:rPr>
          <w:rFonts w:ascii="Cambria" w:hAnsi="Cambria"/>
          <w:sz w:val="18"/>
          <w:szCs w:val="22"/>
          <w:lang w:val="pt-BR"/>
        </w:rPr>
      </w:pPr>
    </w:p>
    <w:p w14:paraId="67CF79AE" w14:textId="77777777" w:rsidR="002C1641" w:rsidRPr="004C502E" w:rsidRDefault="002C1641" w:rsidP="006539EA">
      <w:pPr>
        <w:tabs>
          <w:tab w:val="center" w:pos="5400"/>
        </w:tabs>
        <w:suppressAutoHyphens/>
        <w:jc w:val="center"/>
        <w:rPr>
          <w:rFonts w:ascii="Cambria" w:hAnsi="Cambria"/>
          <w:sz w:val="18"/>
          <w:szCs w:val="22"/>
          <w:lang w:val="pt-BR"/>
        </w:rPr>
      </w:pPr>
    </w:p>
    <w:p w14:paraId="1D7BEA85" w14:textId="77777777" w:rsidR="002C1641" w:rsidRPr="004C502E" w:rsidRDefault="002C1641" w:rsidP="006539EA">
      <w:pPr>
        <w:tabs>
          <w:tab w:val="center" w:pos="5400"/>
        </w:tabs>
        <w:suppressAutoHyphens/>
        <w:jc w:val="center"/>
        <w:rPr>
          <w:rFonts w:ascii="Cambria" w:hAnsi="Cambria"/>
          <w:sz w:val="18"/>
          <w:szCs w:val="22"/>
          <w:lang w:val="pt-BR"/>
        </w:rPr>
      </w:pPr>
    </w:p>
    <w:p w14:paraId="35E0AFC8" w14:textId="77777777" w:rsidR="002C1641" w:rsidRPr="004C502E" w:rsidRDefault="002C1641" w:rsidP="006539EA">
      <w:pPr>
        <w:tabs>
          <w:tab w:val="center" w:pos="5400"/>
        </w:tabs>
        <w:suppressAutoHyphens/>
        <w:jc w:val="center"/>
        <w:rPr>
          <w:rFonts w:ascii="Cambria" w:hAnsi="Cambria"/>
          <w:sz w:val="18"/>
          <w:szCs w:val="22"/>
          <w:lang w:val="pt-BR"/>
        </w:rPr>
      </w:pPr>
    </w:p>
    <w:p w14:paraId="07C45FBB" w14:textId="77777777" w:rsidR="002C1641" w:rsidRPr="004C502E" w:rsidRDefault="002C1641" w:rsidP="006539EA">
      <w:pPr>
        <w:tabs>
          <w:tab w:val="center" w:pos="5400"/>
        </w:tabs>
        <w:suppressAutoHyphens/>
        <w:jc w:val="center"/>
        <w:rPr>
          <w:rFonts w:ascii="Cambria" w:hAnsi="Cambria"/>
          <w:sz w:val="18"/>
          <w:szCs w:val="22"/>
          <w:lang w:val="pt-BR"/>
        </w:rPr>
      </w:pPr>
    </w:p>
    <w:p w14:paraId="139934C5" w14:textId="77777777" w:rsidR="002C1641" w:rsidRPr="004C502E" w:rsidRDefault="002C1641" w:rsidP="006539EA">
      <w:pPr>
        <w:tabs>
          <w:tab w:val="center" w:pos="5400"/>
        </w:tabs>
        <w:suppressAutoHyphens/>
        <w:jc w:val="center"/>
        <w:rPr>
          <w:rFonts w:ascii="Cambria" w:hAnsi="Cambria"/>
          <w:sz w:val="18"/>
          <w:szCs w:val="22"/>
          <w:lang w:val="pt-BR"/>
        </w:rPr>
      </w:pPr>
    </w:p>
    <w:p w14:paraId="778A2701" w14:textId="77777777" w:rsidR="002C1641" w:rsidRPr="004C502E" w:rsidRDefault="002C1641" w:rsidP="006539EA">
      <w:pPr>
        <w:tabs>
          <w:tab w:val="center" w:pos="5400"/>
        </w:tabs>
        <w:suppressAutoHyphens/>
        <w:jc w:val="center"/>
        <w:rPr>
          <w:rFonts w:ascii="Cambria" w:hAnsi="Cambria"/>
          <w:sz w:val="18"/>
          <w:szCs w:val="22"/>
          <w:lang w:val="pt-BR"/>
        </w:rPr>
      </w:pPr>
    </w:p>
    <w:p w14:paraId="0A074F79" w14:textId="756D763A" w:rsidR="002C1641" w:rsidRPr="004C502E" w:rsidRDefault="00B1473D" w:rsidP="006539EA">
      <w:pPr>
        <w:tabs>
          <w:tab w:val="center" w:pos="5400"/>
        </w:tabs>
        <w:suppressAutoHyphens/>
        <w:jc w:val="center"/>
        <w:rPr>
          <w:rFonts w:ascii="Cambria" w:hAnsi="Cambria"/>
          <w:sz w:val="18"/>
          <w:szCs w:val="22"/>
          <w:lang w:val="pt-BR"/>
        </w:rPr>
      </w:pPr>
      <w:r>
        <w:rPr>
          <w:noProof/>
        </w:rPr>
        <mc:AlternateContent>
          <mc:Choice Requires="wps">
            <w:drawing>
              <wp:anchor distT="0" distB="0" distL="114300" distR="114300" simplePos="0" relativeHeight="251656192" behindDoc="0" locked="0" layoutInCell="1" allowOverlap="1" wp14:anchorId="067E3ACE" wp14:editId="0A0ED0D0">
                <wp:simplePos x="0" y="0"/>
                <wp:positionH relativeFrom="column">
                  <wp:posOffset>1234440</wp:posOffset>
                </wp:positionH>
                <wp:positionV relativeFrom="paragraph">
                  <wp:posOffset>128905</wp:posOffset>
                </wp:positionV>
                <wp:extent cx="4595495" cy="6953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5325"/>
                        </a:xfrm>
                        <a:prstGeom prst="rect">
                          <a:avLst/>
                        </a:prstGeom>
                        <a:noFill/>
                        <a:ln w="6350">
                          <a:noFill/>
                        </a:ln>
                        <a:effectLst/>
                      </wps:spPr>
                      <wps:txbx>
                        <w:txbxContent>
                          <w:p w14:paraId="6721A51F" w14:textId="5E6687B9" w:rsidR="00412D8D" w:rsidRPr="004C502E" w:rsidRDefault="00A23CB0" w:rsidP="0085594B">
                            <w:pPr>
                              <w:tabs>
                                <w:tab w:val="center" w:pos="5400"/>
                              </w:tabs>
                              <w:suppressAutoHyphens/>
                              <w:spacing w:before="60"/>
                              <w:rPr>
                                <w:rFonts w:ascii="Cambria" w:hAnsi="Cambria"/>
                                <w:color w:val="0D0D0D"/>
                                <w:sz w:val="18"/>
                                <w:szCs w:val="22"/>
                                <w:lang w:val="pt-BR"/>
                              </w:rPr>
                            </w:pPr>
                            <w:r w:rsidRPr="004C502E">
                              <w:rPr>
                                <w:rFonts w:ascii="Cambria" w:hAnsi="Cambria"/>
                                <w:color w:val="0D0D0D"/>
                                <w:sz w:val="18"/>
                                <w:szCs w:val="22"/>
                                <w:lang w:val="pt-BR"/>
                              </w:rPr>
                              <w:t xml:space="preserve">Aprovado eletronicamente pela </w:t>
                            </w:r>
                            <w:r w:rsidR="00EA6103" w:rsidRPr="004C502E">
                              <w:rPr>
                                <w:rFonts w:ascii="Cambria" w:hAnsi="Cambria"/>
                                <w:color w:val="0D0D0D"/>
                                <w:sz w:val="18"/>
                                <w:szCs w:val="22"/>
                                <w:lang w:val="pt-BR"/>
                              </w:rPr>
                              <w:t xml:space="preserve">Comissão em </w:t>
                            </w:r>
                            <w:r w:rsidR="00D25951">
                              <w:rPr>
                                <w:rFonts w:ascii="Cambria" w:hAnsi="Cambria"/>
                                <w:color w:val="0D0D0D"/>
                                <w:sz w:val="18"/>
                                <w:szCs w:val="22"/>
                                <w:lang w:val="pt-BR"/>
                              </w:rPr>
                              <w:t>31</w:t>
                            </w:r>
                            <w:r w:rsidR="00EA6103" w:rsidRPr="004C502E">
                              <w:rPr>
                                <w:rFonts w:ascii="Cambria" w:hAnsi="Cambria"/>
                                <w:color w:val="0D0D0D"/>
                                <w:sz w:val="18"/>
                                <w:szCs w:val="22"/>
                                <w:lang w:val="pt-BR"/>
                              </w:rPr>
                              <w:t xml:space="preserve"> de </w:t>
                            </w:r>
                            <w:r w:rsidR="00D25951">
                              <w:rPr>
                                <w:rFonts w:ascii="Cambria" w:hAnsi="Cambria"/>
                                <w:color w:val="0D0D0D"/>
                                <w:sz w:val="18"/>
                                <w:szCs w:val="22"/>
                                <w:lang w:val="pt-BR"/>
                              </w:rPr>
                              <w:t>outubro</w:t>
                            </w:r>
                            <w:r w:rsidR="00EA6103" w:rsidRPr="004C502E">
                              <w:rPr>
                                <w:rFonts w:ascii="Cambria" w:hAnsi="Cambria"/>
                                <w:color w:val="0D0D0D"/>
                                <w:sz w:val="18"/>
                                <w:szCs w:val="22"/>
                                <w:lang w:val="pt-BR"/>
                              </w:rPr>
                              <w:t xml:space="preserve"> de 20</w:t>
                            </w:r>
                            <w:r w:rsidR="008A0B1E" w:rsidRPr="004C502E">
                              <w:rPr>
                                <w:rFonts w:ascii="Cambria" w:hAnsi="Cambria"/>
                                <w:color w:val="0D0D0D"/>
                                <w:sz w:val="18"/>
                                <w:szCs w:val="22"/>
                                <w:lang w:val="pt-BR"/>
                              </w:rPr>
                              <w:t>23</w:t>
                            </w:r>
                            <w:r w:rsidR="00D25951">
                              <w:rPr>
                                <w:rFonts w:ascii="Cambria" w:hAnsi="Cambria"/>
                                <w:color w:val="0D0D0D"/>
                                <w:sz w:val="18"/>
                                <w:szCs w:val="22"/>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E3ACE" id="Text Box 7" o:spid="_x0000_s1029" type="#_x0000_t202" style="position:absolute;left:0;text-align:left;margin-left:97.2pt;margin-top:10.15pt;width:361.8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" filled="f" stroked="f" strokeweight=".5pt">
                <v:textbox>
                  <w:txbxContent>
                    <w:p w14:paraId="6721A51F" w14:textId="5E6687B9" w:rsidR="00412D8D" w:rsidRPr="004C502E" w:rsidRDefault="00A23CB0" w:rsidP="0085594B">
                      <w:pPr>
                        <w:tabs>
                          <w:tab w:val="center" w:pos="5400"/>
                        </w:tabs>
                        <w:suppressAutoHyphens/>
                        <w:spacing w:before="60"/>
                        <w:rPr>
                          <w:rFonts w:ascii="Cambria" w:hAnsi="Cambria"/>
                          <w:color w:val="0D0D0D"/>
                          <w:sz w:val="18"/>
                          <w:szCs w:val="22"/>
                          <w:lang w:val="pt-BR"/>
                        </w:rPr>
                      </w:pPr>
                      <w:r w:rsidRPr="004C502E">
                        <w:rPr>
                          <w:rFonts w:ascii="Cambria" w:hAnsi="Cambria"/>
                          <w:color w:val="0D0D0D"/>
                          <w:sz w:val="18"/>
                          <w:szCs w:val="22"/>
                          <w:lang w:val="pt-BR"/>
                        </w:rPr>
                        <w:t xml:space="preserve">Aprovado eletronicamente pela </w:t>
                      </w:r>
                      <w:r w:rsidR="00EA6103" w:rsidRPr="004C502E">
                        <w:rPr>
                          <w:rFonts w:ascii="Cambria" w:hAnsi="Cambria"/>
                          <w:color w:val="0D0D0D"/>
                          <w:sz w:val="18"/>
                          <w:szCs w:val="22"/>
                          <w:lang w:val="pt-BR"/>
                        </w:rPr>
                        <w:t xml:space="preserve">Comissão em </w:t>
                      </w:r>
                      <w:r w:rsidR="00D25951">
                        <w:rPr>
                          <w:rFonts w:ascii="Cambria" w:hAnsi="Cambria"/>
                          <w:color w:val="0D0D0D"/>
                          <w:sz w:val="18"/>
                          <w:szCs w:val="22"/>
                          <w:lang w:val="pt-BR"/>
                        </w:rPr>
                        <w:t>31</w:t>
                      </w:r>
                      <w:r w:rsidR="00EA6103" w:rsidRPr="004C502E">
                        <w:rPr>
                          <w:rFonts w:ascii="Cambria" w:hAnsi="Cambria"/>
                          <w:color w:val="0D0D0D"/>
                          <w:sz w:val="18"/>
                          <w:szCs w:val="22"/>
                          <w:lang w:val="pt-BR"/>
                        </w:rPr>
                        <w:t xml:space="preserve"> de </w:t>
                      </w:r>
                      <w:r w:rsidR="00D25951">
                        <w:rPr>
                          <w:rFonts w:ascii="Cambria" w:hAnsi="Cambria"/>
                          <w:color w:val="0D0D0D"/>
                          <w:sz w:val="18"/>
                          <w:szCs w:val="22"/>
                          <w:lang w:val="pt-BR"/>
                        </w:rPr>
                        <w:t>outubro</w:t>
                      </w:r>
                      <w:r w:rsidR="00EA6103" w:rsidRPr="004C502E">
                        <w:rPr>
                          <w:rFonts w:ascii="Cambria" w:hAnsi="Cambria"/>
                          <w:color w:val="0D0D0D"/>
                          <w:sz w:val="18"/>
                          <w:szCs w:val="22"/>
                          <w:lang w:val="pt-BR"/>
                        </w:rPr>
                        <w:t xml:space="preserve"> de 20</w:t>
                      </w:r>
                      <w:r w:rsidR="008A0B1E" w:rsidRPr="004C502E">
                        <w:rPr>
                          <w:rFonts w:ascii="Cambria" w:hAnsi="Cambria"/>
                          <w:color w:val="0D0D0D"/>
                          <w:sz w:val="18"/>
                          <w:szCs w:val="22"/>
                          <w:lang w:val="pt-BR"/>
                        </w:rPr>
                        <w:t>23</w:t>
                      </w:r>
                      <w:r w:rsidR="00D25951">
                        <w:rPr>
                          <w:rFonts w:ascii="Cambria" w:hAnsi="Cambria"/>
                          <w:color w:val="0D0D0D"/>
                          <w:sz w:val="18"/>
                          <w:szCs w:val="22"/>
                          <w:lang w:val="pt-BR"/>
                        </w:rPr>
                        <w:t>.</w:t>
                      </w:r>
                    </w:p>
                  </w:txbxContent>
                </v:textbox>
              </v:shape>
            </w:pict>
          </mc:Fallback>
        </mc:AlternateContent>
      </w:r>
    </w:p>
    <w:p w14:paraId="55807D0B" w14:textId="77777777" w:rsidR="002C1641" w:rsidRPr="004C502E" w:rsidRDefault="002C1641" w:rsidP="006539EA">
      <w:pPr>
        <w:tabs>
          <w:tab w:val="center" w:pos="5400"/>
        </w:tabs>
        <w:suppressAutoHyphens/>
        <w:jc w:val="center"/>
        <w:rPr>
          <w:rFonts w:ascii="Cambria" w:hAnsi="Cambria"/>
          <w:sz w:val="18"/>
          <w:szCs w:val="22"/>
          <w:lang w:val="pt-BR"/>
        </w:rPr>
      </w:pPr>
    </w:p>
    <w:p w14:paraId="3D49EFA7" w14:textId="77777777" w:rsidR="002C1641" w:rsidRPr="004C502E" w:rsidRDefault="002C1641" w:rsidP="006539EA">
      <w:pPr>
        <w:tabs>
          <w:tab w:val="center" w:pos="5400"/>
        </w:tabs>
        <w:suppressAutoHyphens/>
        <w:jc w:val="center"/>
        <w:rPr>
          <w:rFonts w:ascii="Cambria" w:hAnsi="Cambria"/>
          <w:sz w:val="18"/>
          <w:szCs w:val="22"/>
          <w:lang w:val="pt-BR"/>
        </w:rPr>
      </w:pPr>
    </w:p>
    <w:p w14:paraId="587BBFA5" w14:textId="77777777" w:rsidR="002C1641" w:rsidRPr="004C502E" w:rsidRDefault="002C1641" w:rsidP="006539EA">
      <w:pPr>
        <w:tabs>
          <w:tab w:val="center" w:pos="5400"/>
        </w:tabs>
        <w:suppressAutoHyphens/>
        <w:jc w:val="center"/>
        <w:rPr>
          <w:rFonts w:ascii="Cambria" w:hAnsi="Cambria"/>
          <w:sz w:val="18"/>
          <w:szCs w:val="22"/>
          <w:lang w:val="pt-BR"/>
        </w:rPr>
      </w:pPr>
    </w:p>
    <w:p w14:paraId="1E73FEF3" w14:textId="77777777" w:rsidR="002C1641" w:rsidRPr="004C502E" w:rsidRDefault="002C1641" w:rsidP="006539EA">
      <w:pPr>
        <w:tabs>
          <w:tab w:val="center" w:pos="5400"/>
        </w:tabs>
        <w:suppressAutoHyphens/>
        <w:jc w:val="center"/>
        <w:rPr>
          <w:rFonts w:ascii="Cambria" w:hAnsi="Cambria"/>
          <w:sz w:val="18"/>
          <w:szCs w:val="22"/>
          <w:lang w:val="pt-BR"/>
        </w:rPr>
      </w:pPr>
    </w:p>
    <w:p w14:paraId="63087A3B" w14:textId="77777777" w:rsidR="002C1641" w:rsidRPr="004C502E" w:rsidRDefault="002C1641" w:rsidP="006539EA">
      <w:pPr>
        <w:tabs>
          <w:tab w:val="center" w:pos="5400"/>
        </w:tabs>
        <w:suppressAutoHyphens/>
        <w:jc w:val="center"/>
        <w:rPr>
          <w:rFonts w:ascii="Cambria" w:hAnsi="Cambria"/>
          <w:sz w:val="18"/>
          <w:szCs w:val="22"/>
          <w:lang w:val="pt-BR"/>
        </w:rPr>
      </w:pPr>
    </w:p>
    <w:p w14:paraId="57460DFC" w14:textId="6B95A2D3" w:rsidR="002C1641" w:rsidRPr="004C502E" w:rsidRDefault="00B1473D" w:rsidP="006539EA">
      <w:pPr>
        <w:tabs>
          <w:tab w:val="center" w:pos="5400"/>
        </w:tabs>
        <w:suppressAutoHyphens/>
        <w:jc w:val="center"/>
        <w:rPr>
          <w:rFonts w:ascii="Cambria" w:hAnsi="Cambria"/>
          <w:sz w:val="18"/>
          <w:szCs w:val="22"/>
          <w:lang w:val="pt-BR"/>
        </w:rPr>
      </w:pPr>
      <w:r>
        <w:rPr>
          <w:noProof/>
        </w:rPr>
        <mc:AlternateContent>
          <mc:Choice Requires="wps">
            <w:drawing>
              <wp:anchor distT="0" distB="0" distL="114300" distR="114300" simplePos="0" relativeHeight="251660288" behindDoc="0" locked="0" layoutInCell="1" allowOverlap="1" wp14:anchorId="33A2A609" wp14:editId="0F8B3C51">
                <wp:simplePos x="0" y="0"/>
                <wp:positionH relativeFrom="column">
                  <wp:posOffset>1209675</wp:posOffset>
                </wp:positionH>
                <wp:positionV relativeFrom="paragraph">
                  <wp:posOffset>53975</wp:posOffset>
                </wp:positionV>
                <wp:extent cx="4824095" cy="6096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txbx>
                        <w:txbxContent>
                          <w:p w14:paraId="6864FEB0" w14:textId="77777777" w:rsidR="00D25951" w:rsidRDefault="00412D8D" w:rsidP="00F644E6">
                            <w:pPr>
                              <w:spacing w:line="276" w:lineRule="auto"/>
                              <w:rPr>
                                <w:rFonts w:ascii="Cambria" w:hAnsi="Cambria"/>
                                <w:noProof/>
                                <w:color w:val="595959"/>
                                <w:sz w:val="18"/>
                                <w:szCs w:val="18"/>
                                <w:lang w:val="pt-BR"/>
                              </w:rPr>
                            </w:pPr>
                            <w:r w:rsidRPr="00206F45">
                              <w:rPr>
                                <w:rFonts w:ascii="Cambria" w:hAnsi="Cambria"/>
                                <w:b/>
                                <w:color w:val="595959"/>
                                <w:sz w:val="18"/>
                                <w:lang w:val="pt-BR"/>
                              </w:rPr>
                              <w:t>Citar como</w:t>
                            </w:r>
                            <w:r w:rsidRPr="00206F45">
                              <w:rPr>
                                <w:rFonts w:ascii="Cambria" w:hAnsi="Cambria"/>
                                <w:b/>
                                <w:noProof/>
                                <w:color w:val="595959"/>
                                <w:sz w:val="18"/>
                                <w:lang w:val="pt-BR"/>
                              </w:rPr>
                              <w:t>:</w:t>
                            </w:r>
                            <w:r w:rsidR="008A0B1E" w:rsidRPr="00206F45">
                              <w:rPr>
                                <w:rFonts w:ascii="Cambria" w:hAnsi="Cambria"/>
                                <w:noProof/>
                                <w:color w:val="595959"/>
                                <w:sz w:val="18"/>
                                <w:szCs w:val="18"/>
                                <w:lang w:val="pt-BR"/>
                              </w:rPr>
                              <w:t xml:space="preserve"> </w:t>
                            </w:r>
                            <w:r w:rsidR="00013992" w:rsidRPr="00013992">
                              <w:rPr>
                                <w:rFonts w:ascii="Cambria" w:hAnsi="Cambria"/>
                                <w:noProof/>
                                <w:color w:val="595959"/>
                                <w:sz w:val="18"/>
                                <w:szCs w:val="18"/>
                                <w:lang w:val="pt-BR"/>
                              </w:rPr>
                              <w:t xml:space="preserve">CIDH, Relatório No. </w:t>
                            </w:r>
                            <w:r w:rsidR="00D25951">
                              <w:rPr>
                                <w:rFonts w:ascii="Cambria" w:hAnsi="Cambria"/>
                                <w:noProof/>
                                <w:color w:val="595959"/>
                                <w:sz w:val="18"/>
                                <w:szCs w:val="18"/>
                                <w:lang w:val="pt-BR"/>
                              </w:rPr>
                              <w:t>277</w:t>
                            </w:r>
                            <w:r w:rsidR="00013992" w:rsidRPr="00013992">
                              <w:rPr>
                                <w:rFonts w:ascii="Cambria" w:hAnsi="Cambria"/>
                                <w:noProof/>
                                <w:color w:val="595959"/>
                                <w:sz w:val="18"/>
                                <w:szCs w:val="18"/>
                                <w:lang w:val="pt-BR"/>
                              </w:rPr>
                              <w:t>/</w:t>
                            </w:r>
                            <w:r w:rsidR="00D25951">
                              <w:rPr>
                                <w:rFonts w:ascii="Cambria" w:hAnsi="Cambria"/>
                                <w:noProof/>
                                <w:color w:val="595959"/>
                                <w:sz w:val="18"/>
                                <w:szCs w:val="18"/>
                                <w:lang w:val="pt-BR"/>
                              </w:rPr>
                              <w:t>23</w:t>
                            </w:r>
                            <w:r w:rsidR="00013992" w:rsidRPr="00013992">
                              <w:rPr>
                                <w:rFonts w:ascii="Cambria" w:hAnsi="Cambria"/>
                                <w:noProof/>
                                <w:color w:val="595959"/>
                                <w:sz w:val="18"/>
                                <w:szCs w:val="18"/>
                                <w:lang w:val="pt-BR"/>
                              </w:rPr>
                              <w:t xml:space="preserve">. Petição 6-15. Admissibilidade. </w:t>
                            </w:r>
                          </w:p>
                          <w:p w14:paraId="7547BE31" w14:textId="0197615E" w:rsidR="00F644E6" w:rsidRPr="00D25951" w:rsidRDefault="00013992" w:rsidP="00F644E6">
                            <w:pPr>
                              <w:spacing w:line="276" w:lineRule="auto"/>
                              <w:rPr>
                                <w:rFonts w:ascii="Cambria" w:hAnsi="Cambria"/>
                                <w:color w:val="595959"/>
                                <w:sz w:val="18"/>
                                <w:lang w:val="pt-BR"/>
                              </w:rPr>
                            </w:pPr>
                            <w:r w:rsidRPr="00013992">
                              <w:rPr>
                                <w:rFonts w:ascii="Cambria" w:hAnsi="Cambria"/>
                                <w:noProof/>
                                <w:color w:val="595959"/>
                                <w:sz w:val="18"/>
                                <w:szCs w:val="18"/>
                                <w:lang w:val="pt-BR"/>
                              </w:rPr>
                              <w:t>Julio C</w:t>
                            </w:r>
                            <w:r w:rsidR="008167E9">
                              <w:rPr>
                                <w:rFonts w:ascii="Cambria" w:hAnsi="Cambria"/>
                                <w:noProof/>
                                <w:color w:val="595959"/>
                                <w:sz w:val="18"/>
                                <w:szCs w:val="18"/>
                                <w:lang w:val="pt-BR"/>
                              </w:rPr>
                              <w:t>é</w:t>
                            </w:r>
                            <w:r w:rsidRPr="00013992">
                              <w:rPr>
                                <w:rFonts w:ascii="Cambria" w:hAnsi="Cambria"/>
                                <w:noProof/>
                                <w:color w:val="595959"/>
                                <w:sz w:val="18"/>
                                <w:szCs w:val="18"/>
                                <w:lang w:val="pt-BR"/>
                              </w:rPr>
                              <w:t xml:space="preserve">sar dos Santos e outros. Brasil. </w:t>
                            </w:r>
                            <w:r w:rsidR="00D25951">
                              <w:rPr>
                                <w:rFonts w:ascii="Cambria" w:hAnsi="Cambria"/>
                                <w:noProof/>
                                <w:color w:val="595959"/>
                                <w:sz w:val="18"/>
                                <w:szCs w:val="18"/>
                                <w:lang w:val="pt-BR"/>
                              </w:rPr>
                              <w:t>31 de outubro de 2023</w:t>
                            </w:r>
                            <w:r w:rsidRPr="00013992">
                              <w:rPr>
                                <w:rFonts w:ascii="Cambria" w:hAnsi="Cambria"/>
                                <w:noProof/>
                                <w:color w:val="595959"/>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2A609" id="Text Box 6" o:spid="_x0000_s1030" type="#_x0000_t202" style="position:absolute;left:0;text-align:left;margin-left:95.25pt;margin-top:4.25pt;width:379.8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" filled="f" stroked="f" strokeweight=".5pt">
                <v:textbox>
                  <w:txbxContent>
                    <w:p w14:paraId="6864FEB0" w14:textId="77777777" w:rsidR="00D25951" w:rsidRDefault="00412D8D" w:rsidP="00F644E6">
                      <w:pPr>
                        <w:spacing w:line="276" w:lineRule="auto"/>
                        <w:rPr>
                          <w:rFonts w:ascii="Cambria" w:hAnsi="Cambria"/>
                          <w:noProof/>
                          <w:color w:val="595959"/>
                          <w:sz w:val="18"/>
                          <w:szCs w:val="18"/>
                          <w:lang w:val="pt-BR"/>
                        </w:rPr>
                      </w:pPr>
                      <w:r w:rsidRPr="00206F45">
                        <w:rPr>
                          <w:rFonts w:ascii="Cambria" w:hAnsi="Cambria"/>
                          <w:b/>
                          <w:color w:val="595959"/>
                          <w:sz w:val="18"/>
                          <w:lang w:val="pt-BR"/>
                        </w:rPr>
                        <w:t>Citar como</w:t>
                      </w:r>
                      <w:r w:rsidRPr="00206F45">
                        <w:rPr>
                          <w:rFonts w:ascii="Cambria" w:hAnsi="Cambria"/>
                          <w:b/>
                          <w:noProof/>
                          <w:color w:val="595959"/>
                          <w:sz w:val="18"/>
                          <w:lang w:val="pt-BR"/>
                        </w:rPr>
                        <w:t>:</w:t>
                      </w:r>
                      <w:r w:rsidR="008A0B1E" w:rsidRPr="00206F45">
                        <w:rPr>
                          <w:rFonts w:ascii="Cambria" w:hAnsi="Cambria"/>
                          <w:noProof/>
                          <w:color w:val="595959"/>
                          <w:sz w:val="18"/>
                          <w:szCs w:val="18"/>
                          <w:lang w:val="pt-BR"/>
                        </w:rPr>
                        <w:t xml:space="preserve"> </w:t>
                      </w:r>
                      <w:r w:rsidR="00013992" w:rsidRPr="00013992">
                        <w:rPr>
                          <w:rFonts w:ascii="Cambria" w:hAnsi="Cambria"/>
                          <w:noProof/>
                          <w:color w:val="595959"/>
                          <w:sz w:val="18"/>
                          <w:szCs w:val="18"/>
                          <w:lang w:val="pt-BR"/>
                        </w:rPr>
                        <w:t xml:space="preserve">CIDH, Relatório No. </w:t>
                      </w:r>
                      <w:r w:rsidR="00D25951">
                        <w:rPr>
                          <w:rFonts w:ascii="Cambria" w:hAnsi="Cambria"/>
                          <w:noProof/>
                          <w:color w:val="595959"/>
                          <w:sz w:val="18"/>
                          <w:szCs w:val="18"/>
                          <w:lang w:val="pt-BR"/>
                        </w:rPr>
                        <w:t>277</w:t>
                      </w:r>
                      <w:r w:rsidR="00013992" w:rsidRPr="00013992">
                        <w:rPr>
                          <w:rFonts w:ascii="Cambria" w:hAnsi="Cambria"/>
                          <w:noProof/>
                          <w:color w:val="595959"/>
                          <w:sz w:val="18"/>
                          <w:szCs w:val="18"/>
                          <w:lang w:val="pt-BR"/>
                        </w:rPr>
                        <w:t>/</w:t>
                      </w:r>
                      <w:r w:rsidR="00D25951">
                        <w:rPr>
                          <w:rFonts w:ascii="Cambria" w:hAnsi="Cambria"/>
                          <w:noProof/>
                          <w:color w:val="595959"/>
                          <w:sz w:val="18"/>
                          <w:szCs w:val="18"/>
                          <w:lang w:val="pt-BR"/>
                        </w:rPr>
                        <w:t>23</w:t>
                      </w:r>
                      <w:r w:rsidR="00013992" w:rsidRPr="00013992">
                        <w:rPr>
                          <w:rFonts w:ascii="Cambria" w:hAnsi="Cambria"/>
                          <w:noProof/>
                          <w:color w:val="595959"/>
                          <w:sz w:val="18"/>
                          <w:szCs w:val="18"/>
                          <w:lang w:val="pt-BR"/>
                        </w:rPr>
                        <w:t xml:space="preserve">. Petição 6-15. Admissibilidade. </w:t>
                      </w:r>
                    </w:p>
                    <w:p w14:paraId="7547BE31" w14:textId="0197615E" w:rsidR="00F644E6" w:rsidRPr="00D25951" w:rsidRDefault="00013992" w:rsidP="00F644E6">
                      <w:pPr>
                        <w:spacing w:line="276" w:lineRule="auto"/>
                        <w:rPr>
                          <w:rFonts w:ascii="Cambria" w:hAnsi="Cambria"/>
                          <w:color w:val="595959"/>
                          <w:sz w:val="18"/>
                          <w:lang w:val="pt-BR"/>
                        </w:rPr>
                      </w:pPr>
                      <w:r w:rsidRPr="00013992">
                        <w:rPr>
                          <w:rFonts w:ascii="Cambria" w:hAnsi="Cambria"/>
                          <w:noProof/>
                          <w:color w:val="595959"/>
                          <w:sz w:val="18"/>
                          <w:szCs w:val="18"/>
                          <w:lang w:val="pt-BR"/>
                        </w:rPr>
                        <w:t>Julio C</w:t>
                      </w:r>
                      <w:r w:rsidR="008167E9">
                        <w:rPr>
                          <w:rFonts w:ascii="Cambria" w:hAnsi="Cambria"/>
                          <w:noProof/>
                          <w:color w:val="595959"/>
                          <w:sz w:val="18"/>
                          <w:szCs w:val="18"/>
                          <w:lang w:val="pt-BR"/>
                        </w:rPr>
                        <w:t>é</w:t>
                      </w:r>
                      <w:r w:rsidRPr="00013992">
                        <w:rPr>
                          <w:rFonts w:ascii="Cambria" w:hAnsi="Cambria"/>
                          <w:noProof/>
                          <w:color w:val="595959"/>
                          <w:sz w:val="18"/>
                          <w:szCs w:val="18"/>
                          <w:lang w:val="pt-BR"/>
                        </w:rPr>
                        <w:t xml:space="preserve">sar dos Santos e outros. Brasil. </w:t>
                      </w:r>
                      <w:r w:rsidR="00D25951">
                        <w:rPr>
                          <w:rFonts w:ascii="Cambria" w:hAnsi="Cambria"/>
                          <w:noProof/>
                          <w:color w:val="595959"/>
                          <w:sz w:val="18"/>
                          <w:szCs w:val="18"/>
                          <w:lang w:val="pt-BR"/>
                        </w:rPr>
                        <w:t>31 de outubro de 2023</w:t>
                      </w:r>
                      <w:r w:rsidRPr="00013992">
                        <w:rPr>
                          <w:rFonts w:ascii="Cambria" w:hAnsi="Cambria"/>
                          <w:noProof/>
                          <w:color w:val="595959"/>
                          <w:sz w:val="18"/>
                          <w:szCs w:val="18"/>
                          <w:lang w:val="pt-BR"/>
                        </w:rPr>
                        <w:t>.</w:t>
                      </w:r>
                    </w:p>
                  </w:txbxContent>
                </v:textbox>
              </v:shape>
            </w:pict>
          </mc:Fallback>
        </mc:AlternateContent>
      </w:r>
    </w:p>
    <w:p w14:paraId="3593739C" w14:textId="77777777" w:rsidR="002C1641" w:rsidRPr="004C502E" w:rsidRDefault="002C1641" w:rsidP="006539EA">
      <w:pPr>
        <w:tabs>
          <w:tab w:val="center" w:pos="5400"/>
        </w:tabs>
        <w:suppressAutoHyphens/>
        <w:jc w:val="center"/>
        <w:rPr>
          <w:rFonts w:ascii="Cambria" w:hAnsi="Cambria"/>
          <w:sz w:val="18"/>
          <w:szCs w:val="22"/>
          <w:lang w:val="pt-BR"/>
        </w:rPr>
      </w:pPr>
    </w:p>
    <w:p w14:paraId="74C6F332" w14:textId="77777777" w:rsidR="002C1641" w:rsidRPr="004C502E" w:rsidRDefault="002C1641" w:rsidP="006539EA">
      <w:pPr>
        <w:tabs>
          <w:tab w:val="center" w:pos="5400"/>
        </w:tabs>
        <w:suppressAutoHyphens/>
        <w:jc w:val="center"/>
        <w:rPr>
          <w:rFonts w:ascii="Cambria" w:hAnsi="Cambria"/>
          <w:sz w:val="18"/>
          <w:szCs w:val="22"/>
          <w:lang w:val="pt-BR"/>
        </w:rPr>
      </w:pPr>
    </w:p>
    <w:p w14:paraId="0F6CC8F7" w14:textId="77777777" w:rsidR="002C1641" w:rsidRPr="004C502E" w:rsidRDefault="002C1641" w:rsidP="006539EA">
      <w:pPr>
        <w:tabs>
          <w:tab w:val="center" w:pos="5400"/>
        </w:tabs>
        <w:suppressAutoHyphens/>
        <w:jc w:val="center"/>
        <w:rPr>
          <w:rFonts w:ascii="Cambria" w:hAnsi="Cambria"/>
          <w:sz w:val="18"/>
          <w:szCs w:val="22"/>
          <w:lang w:val="pt-BR"/>
        </w:rPr>
      </w:pPr>
    </w:p>
    <w:p w14:paraId="5B6672B0" w14:textId="77777777" w:rsidR="007B7EAB" w:rsidRPr="004C502E" w:rsidRDefault="007B7EAB" w:rsidP="006539EA">
      <w:pPr>
        <w:tabs>
          <w:tab w:val="center" w:pos="5400"/>
        </w:tabs>
        <w:suppressAutoHyphens/>
        <w:jc w:val="center"/>
        <w:rPr>
          <w:rFonts w:ascii="Cambria" w:hAnsi="Cambria"/>
          <w:sz w:val="18"/>
          <w:szCs w:val="22"/>
          <w:lang w:val="pt-BR"/>
        </w:rPr>
      </w:pPr>
    </w:p>
    <w:p w14:paraId="044AA44E" w14:textId="77777777" w:rsidR="007B7EAB" w:rsidRPr="004C502E" w:rsidRDefault="007B7EAB" w:rsidP="006539EA">
      <w:pPr>
        <w:tabs>
          <w:tab w:val="center" w:pos="5400"/>
        </w:tabs>
        <w:suppressAutoHyphens/>
        <w:jc w:val="center"/>
        <w:rPr>
          <w:rFonts w:ascii="Cambria" w:hAnsi="Cambria"/>
          <w:sz w:val="18"/>
          <w:szCs w:val="22"/>
          <w:lang w:val="pt-BR"/>
        </w:rPr>
      </w:pPr>
    </w:p>
    <w:p w14:paraId="3E8DFA0F" w14:textId="77777777" w:rsidR="007C7B72" w:rsidRPr="004C502E" w:rsidRDefault="007C7B72" w:rsidP="006539EA">
      <w:pPr>
        <w:tabs>
          <w:tab w:val="center" w:pos="5400"/>
        </w:tabs>
        <w:suppressAutoHyphens/>
        <w:jc w:val="center"/>
        <w:rPr>
          <w:rFonts w:ascii="Cambria" w:hAnsi="Cambria"/>
          <w:b/>
          <w:sz w:val="18"/>
          <w:szCs w:val="22"/>
          <w:lang w:val="pt-BR"/>
        </w:rPr>
      </w:pPr>
    </w:p>
    <w:p w14:paraId="67BEF45A" w14:textId="56109AF3" w:rsidR="007C7B72" w:rsidRPr="004C502E" w:rsidRDefault="00D25951" w:rsidP="006539EA">
      <w:pPr>
        <w:tabs>
          <w:tab w:val="center" w:pos="5400"/>
        </w:tabs>
        <w:suppressAutoHyphens/>
        <w:jc w:val="center"/>
        <w:rPr>
          <w:rFonts w:ascii="Cambria" w:hAnsi="Cambria"/>
          <w:b/>
          <w:sz w:val="18"/>
          <w:szCs w:val="22"/>
          <w:lang w:val="pt-BR"/>
        </w:rPr>
      </w:pPr>
      <w:r>
        <w:rPr>
          <w:noProof/>
        </w:rPr>
        <mc:AlternateContent>
          <mc:Choice Requires="wps">
            <w:drawing>
              <wp:anchor distT="0" distB="0" distL="114300" distR="114300" simplePos="0" relativeHeight="251661312" behindDoc="0" locked="0" layoutInCell="1" allowOverlap="1" wp14:anchorId="03DA232D" wp14:editId="47586153">
                <wp:simplePos x="0" y="0"/>
                <wp:positionH relativeFrom="column">
                  <wp:posOffset>1162050</wp:posOffset>
                </wp:positionH>
                <wp:positionV relativeFrom="paragraph">
                  <wp:posOffset>227965</wp:posOffset>
                </wp:positionV>
                <wp:extent cx="2381250" cy="5238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523875"/>
                        </a:xfrm>
                        <a:prstGeom prst="rect">
                          <a:avLst/>
                        </a:prstGeom>
                        <a:solidFill>
                          <a:sysClr val="window" lastClr="FFFFFF"/>
                        </a:solidFill>
                        <a:ln w="6350">
                          <a:noFill/>
                        </a:ln>
                        <a:effectLst/>
                      </wps:spPr>
                      <wps:txbx>
                        <w:txbxContent>
                          <w:p w14:paraId="4507B167" w14:textId="219ECCA1" w:rsidR="007B7EAB" w:rsidRDefault="00B1473D">
                            <w:r w:rsidRPr="004C502E">
                              <w:rPr>
                                <w:noProof/>
                              </w:rPr>
                              <w:drawing>
                                <wp:inline distT="0" distB="0" distL="0" distR="0" wp14:anchorId="31921E7C" wp14:editId="1D295EB9">
                                  <wp:extent cx="1681566" cy="4572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3747" cy="4605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3DA232D" id="Text Box 3" o:spid="_x0000_s1031" type="#_x0000_t202" style="position:absolute;left:0;text-align:left;margin-left:91.5pt;margin-top:17.95pt;width:187.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" fillcolor="window" stroked="f" strokeweight=".5pt">
                <v:textbox>
                  <w:txbxContent>
                    <w:p w14:paraId="4507B167" w14:textId="219ECCA1" w:rsidR="007B7EAB" w:rsidRDefault="00B1473D">
                      <w:r w:rsidRPr="004C502E">
                        <w:rPr>
                          <w:noProof/>
                        </w:rPr>
                        <w:drawing>
                          <wp:inline distT="0" distB="0" distL="0" distR="0" wp14:anchorId="31921E7C" wp14:editId="1D295EB9">
                            <wp:extent cx="1681566" cy="4572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3747" cy="460512"/>
                                    </a:xfrm>
                                    <a:prstGeom prst="rect">
                                      <a:avLst/>
                                    </a:prstGeom>
                                    <a:noFill/>
                                    <a:ln>
                                      <a:noFill/>
                                    </a:ln>
                                  </pic:spPr>
                                </pic:pic>
                              </a:graphicData>
                            </a:graphic>
                          </wp:inline>
                        </w:drawing>
                      </w:r>
                    </w:p>
                  </w:txbxContent>
                </v:textbox>
              </v:shape>
            </w:pict>
          </mc:Fallback>
        </mc:AlternateContent>
      </w:r>
      <w:r w:rsidR="00B1473D">
        <w:rPr>
          <w:noProof/>
        </w:rPr>
        <mc:AlternateContent>
          <mc:Choice Requires="wps">
            <w:drawing>
              <wp:anchor distT="0" distB="0" distL="114300" distR="114300" simplePos="0" relativeHeight="251659264" behindDoc="0" locked="0" layoutInCell="1" allowOverlap="1" wp14:anchorId="01C87FC4" wp14:editId="56153FB5">
                <wp:simplePos x="0" y="0"/>
                <wp:positionH relativeFrom="column">
                  <wp:posOffset>-285750</wp:posOffset>
                </wp:positionH>
                <wp:positionV relativeFrom="paragraph">
                  <wp:posOffset>400050</wp:posOffset>
                </wp:positionV>
                <wp:extent cx="1181100" cy="33274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14:paraId="42AB5A40" w14:textId="77777777" w:rsidR="002C1641" w:rsidRPr="004C502E" w:rsidRDefault="002C1641" w:rsidP="002C1641">
                            <w:pPr>
                              <w:rPr>
                                <w:rFonts w:ascii="Calibri" w:hAnsi="Calibri"/>
                                <w:b/>
                              </w:rPr>
                            </w:pPr>
                            <w:r w:rsidRPr="004C502E">
                              <w:rPr>
                                <w:rFonts w:ascii="Calibri" w:hAnsi="Calibr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87FC4" id="Text Box 5" o:spid="_x0000_s1032" type="#_x0000_t202" style="position:absolute;left:0;text-align:left;margin-left:-22.5pt;margin-top:31.5pt;width:93pt;height:2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" filled="f" stroked="f" strokeweight=".5pt">
                <v:textbox>
                  <w:txbxContent>
                    <w:p w14:paraId="42AB5A40" w14:textId="77777777" w:rsidR="002C1641" w:rsidRPr="004C502E" w:rsidRDefault="002C1641" w:rsidP="002C1641">
                      <w:pPr>
                        <w:rPr>
                          <w:rFonts w:ascii="Calibri" w:hAnsi="Calibri"/>
                          <w:b/>
                        </w:rPr>
                      </w:pPr>
                      <w:r w:rsidRPr="004C502E">
                        <w:rPr>
                          <w:rFonts w:ascii="Calibri" w:hAnsi="Calibri"/>
                          <w:b/>
                          <w:lang w:val="pt-BR"/>
                        </w:rPr>
                        <w:t>www.cidh.org</w:t>
                      </w:r>
                    </w:p>
                  </w:txbxContent>
                </v:textbox>
              </v:shape>
            </w:pict>
          </mc:Fallback>
        </mc:AlternateContent>
      </w:r>
    </w:p>
    <w:p w14:paraId="23B117E9" w14:textId="77777777" w:rsidR="007C7B72" w:rsidRPr="004C502E" w:rsidRDefault="007C7B72" w:rsidP="007B7EAB">
      <w:pPr>
        <w:tabs>
          <w:tab w:val="center" w:pos="5400"/>
        </w:tabs>
        <w:suppressAutoHyphens/>
        <w:jc w:val="center"/>
        <w:rPr>
          <w:rFonts w:ascii="Cambria" w:hAnsi="Cambria"/>
          <w:b/>
          <w:sz w:val="18"/>
          <w:szCs w:val="22"/>
          <w:lang w:val="pt-BR"/>
        </w:rPr>
        <w:sectPr w:rsidR="007C7B72" w:rsidRPr="004C502E" w:rsidSect="002A5B65">
          <w:headerReference w:type="even" r:id="rId10"/>
          <w:headerReference w:type="default" r:id="rId11"/>
          <w:footerReference w:type="default" r:id="rId12"/>
          <w:headerReference w:type="first" r:id="rId13"/>
          <w:type w:val="oddPage"/>
          <w:pgSz w:w="12240" w:h="15840"/>
          <w:pgMar w:top="1440" w:right="1440" w:bottom="1440" w:left="1440" w:header="720" w:footer="720" w:gutter="0"/>
          <w:pgNumType w:start="1"/>
          <w:cols w:space="720"/>
          <w:titlePg/>
          <w:docGrid w:linePitch="326"/>
        </w:sectPr>
      </w:pPr>
    </w:p>
    <w:p w14:paraId="5BEEF8BF" w14:textId="77777777" w:rsidR="00697D1E" w:rsidRPr="00206F45" w:rsidRDefault="00697D1E" w:rsidP="00697D1E">
      <w:pPr>
        <w:spacing w:after="240"/>
        <w:ind w:firstLine="720"/>
        <w:rPr>
          <w:rFonts w:ascii="Cambria" w:hAnsi="Cambria"/>
          <w:b/>
          <w:bCs/>
          <w:sz w:val="20"/>
          <w:lang w:val="pt-BR"/>
        </w:rPr>
      </w:pPr>
      <w:r w:rsidRPr="00206F45">
        <w:rPr>
          <w:rFonts w:ascii="Cambria" w:hAnsi="Cambria"/>
          <w:b/>
          <w:bCs/>
          <w:sz w:val="20"/>
          <w:lang w:val="pt-BR"/>
        </w:rPr>
        <w:lastRenderedPageBreak/>
        <w:t>I.</w:t>
      </w:r>
      <w:r w:rsidRPr="00206F45">
        <w:rPr>
          <w:rFonts w:ascii="Cambria" w:hAnsi="Cambria"/>
          <w:b/>
          <w:bCs/>
          <w:sz w:val="20"/>
          <w:lang w:val="pt-BR"/>
        </w:rPr>
        <w:tab/>
        <w:t>DA</w:t>
      </w:r>
      <w:r w:rsidR="009F380F" w:rsidRPr="00206F45">
        <w:rPr>
          <w:rFonts w:ascii="Cambria" w:hAnsi="Cambria"/>
          <w:b/>
          <w:bCs/>
          <w:sz w:val="20"/>
          <w:lang w:val="pt-BR"/>
        </w:rPr>
        <w:t>D</w:t>
      </w:r>
      <w:r w:rsidRPr="00206F45">
        <w:rPr>
          <w:rFonts w:ascii="Cambria" w:hAnsi="Cambria"/>
          <w:b/>
          <w:bCs/>
          <w:sz w:val="20"/>
          <w:lang w:val="pt-BR"/>
        </w:rPr>
        <w:t>OS DA PETI</w:t>
      </w:r>
      <w:r w:rsidR="000F38DA" w:rsidRPr="00206F45">
        <w:rPr>
          <w:rFonts w:ascii="Cambria" w:hAnsi="Cambria"/>
          <w:b/>
          <w:bCs/>
          <w:sz w:val="20"/>
          <w:lang w:val="pt-BR"/>
        </w:rPr>
        <w:t>ÇÃO</w:t>
      </w:r>
      <w:r w:rsidRPr="00206F45">
        <w:rPr>
          <w:rFonts w:ascii="Cambria" w:hAnsi="Cambria"/>
          <w:b/>
          <w:bCs/>
          <w:sz w:val="20"/>
          <w:lang w:val="pt-BR"/>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00"/>
        <w:gridCol w:w="5760"/>
      </w:tblGrid>
      <w:tr w:rsidR="00983A9B" w:rsidRPr="00E11B56" w14:paraId="0C87C032" w14:textId="77777777" w:rsidTr="00E82851">
        <w:tc>
          <w:tcPr>
            <w:tcW w:w="3600" w:type="dxa"/>
            <w:tcBorders>
              <w:top w:val="single" w:sz="4" w:space="0" w:color="auto"/>
              <w:bottom w:val="single" w:sz="6" w:space="0" w:color="auto"/>
            </w:tcBorders>
            <w:shd w:val="clear" w:color="auto" w:fill="FFC000"/>
            <w:vAlign w:val="center"/>
          </w:tcPr>
          <w:p w14:paraId="79C98C94" w14:textId="77777777" w:rsidR="00697D1E" w:rsidRPr="00983A9B" w:rsidRDefault="00697D1E">
            <w:pPr>
              <w:jc w:val="center"/>
              <w:rPr>
                <w:rFonts w:ascii="Cambria" w:hAnsi="Cambria"/>
                <w:b/>
                <w:bCs/>
                <w:sz w:val="20"/>
                <w:lang w:val="pt-BR"/>
              </w:rPr>
            </w:pPr>
            <w:r w:rsidRPr="00983A9B">
              <w:rPr>
                <w:rFonts w:ascii="Cambria" w:hAnsi="Cambria"/>
                <w:b/>
                <w:bCs/>
                <w:sz w:val="20"/>
                <w:lang w:val="pt-BR"/>
              </w:rPr>
              <w:t xml:space="preserve">Parte </w:t>
            </w:r>
            <w:r w:rsidR="00F270BC" w:rsidRPr="00983A9B">
              <w:rPr>
                <w:rFonts w:ascii="Cambria" w:hAnsi="Cambria"/>
                <w:b/>
                <w:bCs/>
                <w:sz w:val="20"/>
                <w:lang w:val="pt-BR"/>
              </w:rPr>
              <w:t>peticionária</w:t>
            </w:r>
            <w:r w:rsidRPr="00983A9B">
              <w:rPr>
                <w:rFonts w:ascii="Cambria" w:hAnsi="Cambria"/>
                <w:b/>
                <w:bCs/>
                <w:sz w:val="20"/>
                <w:lang w:val="pt-BR"/>
              </w:rPr>
              <w:t>:</w:t>
            </w:r>
          </w:p>
        </w:tc>
        <w:tc>
          <w:tcPr>
            <w:tcW w:w="5760" w:type="dxa"/>
            <w:shd w:val="clear" w:color="auto" w:fill="auto"/>
            <w:vAlign w:val="center"/>
          </w:tcPr>
          <w:p w14:paraId="4422F7C3" w14:textId="655589DF" w:rsidR="00697D1E" w:rsidRPr="00983A9B" w:rsidRDefault="00013992">
            <w:pPr>
              <w:rPr>
                <w:rFonts w:ascii="Cambria" w:hAnsi="Cambria"/>
                <w:bCs/>
                <w:sz w:val="20"/>
                <w:lang w:val="pt-BR"/>
              </w:rPr>
            </w:pPr>
            <w:r w:rsidRPr="00983A9B">
              <w:rPr>
                <w:rFonts w:ascii="Cambria" w:hAnsi="Cambria"/>
                <w:bCs/>
                <w:sz w:val="20"/>
                <w:lang w:val="pt-BR"/>
              </w:rPr>
              <w:t>Defensoria Pública do Estado de Minas Gerais (DPEMG) e Ana Cláudia da Silva Alexandre</w:t>
            </w:r>
          </w:p>
        </w:tc>
      </w:tr>
      <w:tr w:rsidR="00983A9B" w:rsidRPr="00E11B56" w14:paraId="0A45CB81" w14:textId="77777777" w:rsidTr="00E82851">
        <w:tc>
          <w:tcPr>
            <w:tcW w:w="3600" w:type="dxa"/>
            <w:tcBorders>
              <w:top w:val="single" w:sz="6" w:space="0" w:color="auto"/>
              <w:bottom w:val="single" w:sz="6" w:space="0" w:color="auto"/>
            </w:tcBorders>
            <w:shd w:val="clear" w:color="auto" w:fill="FFC000"/>
            <w:vAlign w:val="center"/>
          </w:tcPr>
          <w:p w14:paraId="4EE4F529" w14:textId="77777777" w:rsidR="00697D1E" w:rsidRPr="00983A9B" w:rsidRDefault="000F38DA">
            <w:pPr>
              <w:jc w:val="center"/>
              <w:rPr>
                <w:rFonts w:ascii="Cambria" w:hAnsi="Cambria"/>
                <w:b/>
                <w:bCs/>
                <w:sz w:val="20"/>
                <w:lang w:val="pt-BR"/>
              </w:rPr>
            </w:pPr>
            <w:r w:rsidRPr="00983A9B">
              <w:rPr>
                <w:rFonts w:ascii="Cambria" w:hAnsi="Cambria"/>
                <w:b/>
                <w:bCs/>
                <w:sz w:val="20"/>
                <w:lang w:val="pt-BR"/>
              </w:rPr>
              <w:t>Supos</w:t>
            </w:r>
            <w:r w:rsidR="00697D1E" w:rsidRPr="00983A9B">
              <w:rPr>
                <w:rFonts w:ascii="Cambria" w:hAnsi="Cambria"/>
                <w:b/>
                <w:bCs/>
                <w:sz w:val="20"/>
                <w:lang w:val="pt-BR"/>
              </w:rPr>
              <w:t>ta vítima:</w:t>
            </w:r>
          </w:p>
        </w:tc>
        <w:tc>
          <w:tcPr>
            <w:tcW w:w="5760" w:type="dxa"/>
            <w:shd w:val="clear" w:color="auto" w:fill="auto"/>
            <w:vAlign w:val="center"/>
          </w:tcPr>
          <w:p w14:paraId="409E0C2C" w14:textId="7133FCAD" w:rsidR="00697D1E" w:rsidRPr="00983A9B" w:rsidRDefault="00013992">
            <w:pPr>
              <w:rPr>
                <w:rFonts w:ascii="Cambria" w:hAnsi="Cambria"/>
                <w:bCs/>
                <w:sz w:val="20"/>
                <w:lang w:val="pt-BR"/>
              </w:rPr>
            </w:pPr>
            <w:r w:rsidRPr="00983A9B">
              <w:rPr>
                <w:rFonts w:ascii="Cambria" w:hAnsi="Cambria"/>
                <w:bCs/>
                <w:sz w:val="20"/>
                <w:lang w:val="pt-BR"/>
              </w:rPr>
              <w:t>Julio César dos Santos, Anderson Zaramela Duarte, André Luiz de Jesus, Magno Soares Pereira, Reginaldo José de Souza, Wilson Dalmindo Santos, Claudirley Lopes de Oliveira, Bruno dos Santos Souza, Francisco Ferreira da Silva, Reinaldo Silva Barbosa, R.C.R</w:t>
            </w:r>
            <w:r w:rsidR="00523EB1" w:rsidRPr="00983A9B">
              <w:rPr>
                <w:rStyle w:val="FootnoteReference"/>
                <w:rFonts w:ascii="Cambria" w:hAnsi="Cambria"/>
                <w:bCs/>
                <w:sz w:val="20"/>
                <w:lang w:val="pt-BR"/>
              </w:rPr>
              <w:footnoteReference w:id="2"/>
            </w:r>
            <w:r w:rsidR="00B9048D">
              <w:rPr>
                <w:rFonts w:ascii="Cambria" w:hAnsi="Cambria"/>
                <w:bCs/>
                <w:sz w:val="20"/>
                <w:lang w:val="pt-BR"/>
              </w:rPr>
              <w:t>, R</w:t>
            </w:r>
            <w:r w:rsidRPr="00983A9B">
              <w:rPr>
                <w:rFonts w:ascii="Cambria" w:hAnsi="Cambria"/>
                <w:bCs/>
                <w:sz w:val="20"/>
                <w:lang w:val="pt-BR"/>
              </w:rPr>
              <w:t>afael Martins Moreira, Weverton de Almeida de Souza, Rodrigo Gonçalves, Ronaldo Carvalho Martins, Luís Carlos Martins dos Santos, José Augusto Nunes dos Santos, Anderson Márcio Moreira dos Santos, Cristiane Rosa Lagares, Antonio Maurílio da Costa, Rodrigo da Silva Franco, Ana Cazuza Lima, Cristiano Ozório Pereira Alcântara, Denis Aparecido Moreira, Enio de Jesus Rodrigues, Glauber de Almeida Queiroz, Joyce Cristina Pereira Xavier, Gerson Guimarães Matias, Márcia Cristina dos Anjos Pires, Agenor Batista Duarte Júnior, Adriana Vieira dos Santos, Daniel Félix Batista, Édna Batista Cesário, Cleonei Pereira da Silva, Elinir Cândida Dos Santos, Lucinéia Caldeira dos Santos, Janaína Helen Basílio Paixão, Fábio Roberto Moreira, Kelly Cristina Aparecida de Souza, Juliana Opa Silva, Marcelo Gontijo de Oliveira</w:t>
            </w:r>
          </w:p>
        </w:tc>
      </w:tr>
      <w:tr w:rsidR="00983A9B" w:rsidRPr="00983A9B" w14:paraId="35026270" w14:textId="77777777" w:rsidTr="00E82851">
        <w:tc>
          <w:tcPr>
            <w:tcW w:w="3600" w:type="dxa"/>
            <w:tcBorders>
              <w:top w:val="single" w:sz="6" w:space="0" w:color="auto"/>
              <w:bottom w:val="single" w:sz="6" w:space="0" w:color="auto"/>
            </w:tcBorders>
            <w:shd w:val="clear" w:color="auto" w:fill="FFC000"/>
            <w:vAlign w:val="center"/>
          </w:tcPr>
          <w:p w14:paraId="329CCD56" w14:textId="77777777" w:rsidR="00697D1E" w:rsidRPr="00983A9B" w:rsidRDefault="00697D1E">
            <w:pPr>
              <w:jc w:val="center"/>
              <w:rPr>
                <w:rFonts w:ascii="Cambria" w:hAnsi="Cambria"/>
                <w:b/>
                <w:bCs/>
                <w:sz w:val="20"/>
                <w:lang w:val="pt-BR"/>
              </w:rPr>
            </w:pPr>
            <w:r w:rsidRPr="00983A9B">
              <w:rPr>
                <w:rFonts w:ascii="Cambria" w:hAnsi="Cambria"/>
                <w:b/>
                <w:bCs/>
                <w:sz w:val="20"/>
                <w:lang w:val="pt-BR"/>
              </w:rPr>
              <w:t>Estado denunciado:</w:t>
            </w:r>
          </w:p>
        </w:tc>
        <w:tc>
          <w:tcPr>
            <w:tcW w:w="5760" w:type="dxa"/>
            <w:shd w:val="clear" w:color="auto" w:fill="auto"/>
            <w:vAlign w:val="center"/>
          </w:tcPr>
          <w:p w14:paraId="447E1BEE" w14:textId="77777777" w:rsidR="00697D1E" w:rsidRPr="00983A9B" w:rsidRDefault="00697D1E">
            <w:pPr>
              <w:rPr>
                <w:rFonts w:ascii="Cambria" w:hAnsi="Cambria"/>
                <w:bCs/>
                <w:sz w:val="20"/>
                <w:lang w:val="pt-BR"/>
              </w:rPr>
            </w:pPr>
            <w:r w:rsidRPr="00983A9B">
              <w:rPr>
                <w:rFonts w:ascii="Cambria" w:hAnsi="Cambria"/>
                <w:bCs/>
                <w:sz w:val="20"/>
                <w:lang w:val="pt-BR"/>
              </w:rPr>
              <w:t>Brasil</w:t>
            </w:r>
          </w:p>
        </w:tc>
      </w:tr>
      <w:tr w:rsidR="00983A9B" w:rsidRPr="00E11B56" w14:paraId="0EFB4D11" w14:textId="77777777" w:rsidTr="00E82851">
        <w:tc>
          <w:tcPr>
            <w:tcW w:w="3600" w:type="dxa"/>
            <w:tcBorders>
              <w:top w:val="single" w:sz="6" w:space="0" w:color="auto"/>
              <w:bottom w:val="single" w:sz="6" w:space="0" w:color="auto"/>
            </w:tcBorders>
            <w:shd w:val="clear" w:color="auto" w:fill="FFC000"/>
            <w:vAlign w:val="center"/>
          </w:tcPr>
          <w:p w14:paraId="37872886" w14:textId="77777777" w:rsidR="00697D1E" w:rsidRPr="00983A9B" w:rsidRDefault="00D52F0C">
            <w:pPr>
              <w:jc w:val="center"/>
              <w:rPr>
                <w:rFonts w:ascii="Cambria" w:hAnsi="Cambria"/>
                <w:b/>
                <w:bCs/>
                <w:sz w:val="20"/>
                <w:lang w:val="pt-BR"/>
              </w:rPr>
            </w:pPr>
            <w:r w:rsidRPr="00983A9B">
              <w:rPr>
                <w:rFonts w:ascii="Cambria" w:hAnsi="Cambria"/>
                <w:b/>
                <w:bCs/>
                <w:sz w:val="20"/>
                <w:lang w:val="pt-BR"/>
              </w:rPr>
              <w:t>Direito</w:t>
            </w:r>
            <w:r w:rsidR="00697D1E" w:rsidRPr="00983A9B">
              <w:rPr>
                <w:rFonts w:ascii="Cambria" w:hAnsi="Cambria"/>
                <w:b/>
                <w:bCs/>
                <w:sz w:val="20"/>
                <w:lang w:val="pt-BR"/>
              </w:rPr>
              <w:t>s invocados:</w:t>
            </w:r>
          </w:p>
        </w:tc>
        <w:tc>
          <w:tcPr>
            <w:tcW w:w="5760" w:type="dxa"/>
            <w:shd w:val="clear" w:color="auto" w:fill="auto"/>
            <w:vAlign w:val="center"/>
          </w:tcPr>
          <w:p w14:paraId="572A5B3E" w14:textId="2A8B934B" w:rsidR="00697D1E" w:rsidRPr="00983A9B" w:rsidRDefault="00013992">
            <w:pPr>
              <w:rPr>
                <w:rFonts w:ascii="Cambria" w:hAnsi="Cambria"/>
                <w:bCs/>
                <w:sz w:val="20"/>
                <w:lang w:val="pt-BR"/>
              </w:rPr>
            </w:pPr>
            <w:r w:rsidRPr="00983A9B">
              <w:rPr>
                <w:rFonts w:ascii="Cambria" w:hAnsi="Cambria"/>
                <w:bCs/>
                <w:sz w:val="20"/>
                <w:lang w:val="pt-BR" w:bidi="es-ES"/>
              </w:rPr>
              <w:t>Artigos 5 (integridade pessoal) e 25 (proteção judicial) da Convenção Americana sobre Direitos Humanos,</w:t>
            </w:r>
            <w:r w:rsidRPr="00983A9B">
              <w:rPr>
                <w:rStyle w:val="FootnoteReference"/>
                <w:rFonts w:ascii="Cambria" w:hAnsi="Cambria"/>
                <w:b/>
                <w:sz w:val="20"/>
                <w:lang w:val="pt-BR"/>
              </w:rPr>
              <w:t xml:space="preserve"> </w:t>
            </w:r>
            <w:r w:rsidRPr="00983A9B">
              <w:rPr>
                <w:rStyle w:val="FootnoteReference"/>
                <w:rFonts w:ascii="Cambria" w:hAnsi="Cambria"/>
                <w:bCs/>
                <w:sz w:val="20"/>
                <w:lang w:val="pt-BR"/>
              </w:rPr>
              <w:footnoteReference w:id="3"/>
            </w:r>
            <w:r w:rsidRPr="00983A9B">
              <w:rPr>
                <w:rFonts w:ascii="Cambria" w:hAnsi="Cambria"/>
                <w:bCs/>
                <w:sz w:val="20"/>
                <w:lang w:val="pt-BR" w:bidi="es-ES"/>
              </w:rPr>
              <w:t xml:space="preserve">  em relação ao artigo 1.1 (obrigação de respeitar e garantir os direitos)</w:t>
            </w:r>
          </w:p>
        </w:tc>
      </w:tr>
    </w:tbl>
    <w:p w14:paraId="59C83C19" w14:textId="094E109F" w:rsidR="00697D1E" w:rsidRPr="00983A9B" w:rsidRDefault="00697D1E" w:rsidP="00697D1E">
      <w:pPr>
        <w:spacing w:before="240" w:after="240"/>
        <w:ind w:firstLine="720"/>
        <w:rPr>
          <w:rFonts w:ascii="Cambria" w:hAnsi="Cambria"/>
          <w:b/>
          <w:bCs/>
          <w:sz w:val="20"/>
          <w:lang w:val="pt-BR"/>
        </w:rPr>
      </w:pPr>
      <w:r w:rsidRPr="00983A9B">
        <w:rPr>
          <w:rFonts w:ascii="Cambria" w:hAnsi="Cambria"/>
          <w:b/>
          <w:bCs/>
          <w:sz w:val="20"/>
          <w:lang w:val="pt-BR"/>
        </w:rPr>
        <w:t>II.</w:t>
      </w:r>
      <w:r w:rsidRPr="00983A9B">
        <w:rPr>
          <w:rFonts w:ascii="Cambria" w:hAnsi="Cambria"/>
          <w:b/>
          <w:bCs/>
          <w:sz w:val="20"/>
          <w:lang w:val="pt-BR"/>
        </w:rPr>
        <w:tab/>
        <w:t>TR</w:t>
      </w:r>
      <w:r w:rsidR="00901BF1" w:rsidRPr="00983A9B">
        <w:rPr>
          <w:rFonts w:ascii="Cambria" w:hAnsi="Cambria"/>
          <w:b/>
          <w:bCs/>
          <w:sz w:val="20"/>
          <w:lang w:val="pt-BR"/>
        </w:rPr>
        <w:t>Â</w:t>
      </w:r>
      <w:r w:rsidRPr="00983A9B">
        <w:rPr>
          <w:rFonts w:ascii="Cambria" w:hAnsi="Cambria"/>
          <w:b/>
          <w:bCs/>
          <w:sz w:val="20"/>
          <w:lang w:val="pt-BR"/>
        </w:rPr>
        <w:t xml:space="preserve">MITE </w:t>
      </w:r>
      <w:r w:rsidR="00901BF1" w:rsidRPr="00983A9B">
        <w:rPr>
          <w:rFonts w:ascii="Cambria" w:hAnsi="Cambria"/>
          <w:b/>
          <w:bCs/>
          <w:sz w:val="20"/>
          <w:lang w:val="pt-BR"/>
        </w:rPr>
        <w:t>N</w:t>
      </w:r>
      <w:r w:rsidRPr="00983A9B">
        <w:rPr>
          <w:rFonts w:ascii="Cambria" w:hAnsi="Cambria"/>
          <w:b/>
          <w:bCs/>
          <w:sz w:val="20"/>
          <w:lang w:val="pt-BR"/>
        </w:rPr>
        <w:t>A</w:t>
      </w:r>
      <w:r w:rsidR="00901BF1" w:rsidRPr="00983A9B">
        <w:rPr>
          <w:rFonts w:ascii="Cambria" w:hAnsi="Cambria"/>
          <w:b/>
          <w:bCs/>
          <w:sz w:val="20"/>
          <w:lang w:val="pt-BR"/>
        </w:rPr>
        <w:t xml:space="preserve"> </w:t>
      </w:r>
      <w:r w:rsidRPr="00983A9B">
        <w:rPr>
          <w:rFonts w:ascii="Cambria" w:hAnsi="Cambria"/>
          <w:b/>
          <w:bCs/>
          <w:sz w:val="20"/>
          <w:lang w:val="pt-BR"/>
        </w:rPr>
        <w:t>CIDH</w:t>
      </w:r>
      <w:r w:rsidR="00523EB1" w:rsidRPr="00983A9B">
        <w:rPr>
          <w:rStyle w:val="FootnoteReference"/>
          <w:rFonts w:ascii="Cambria" w:hAnsi="Cambria"/>
          <w:b/>
          <w:sz w:val="20"/>
          <w:lang w:val="pt-BR" w:bidi="es-ES"/>
        </w:rPr>
        <w:footnoteReference w:id="4"/>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00"/>
        <w:gridCol w:w="5760"/>
      </w:tblGrid>
      <w:tr w:rsidR="00983A9B" w:rsidRPr="00983A9B" w14:paraId="20B43844" w14:textId="77777777" w:rsidTr="00E82851">
        <w:tc>
          <w:tcPr>
            <w:tcW w:w="3600" w:type="dxa"/>
            <w:tcBorders>
              <w:top w:val="single" w:sz="6" w:space="0" w:color="auto"/>
              <w:bottom w:val="single" w:sz="6" w:space="0" w:color="auto"/>
            </w:tcBorders>
            <w:shd w:val="clear" w:color="auto" w:fill="FFC000"/>
            <w:vAlign w:val="center"/>
          </w:tcPr>
          <w:p w14:paraId="71B66A63" w14:textId="77777777" w:rsidR="00697D1E" w:rsidRPr="00983A9B" w:rsidRDefault="00F270BC">
            <w:pPr>
              <w:jc w:val="center"/>
              <w:rPr>
                <w:rFonts w:ascii="Cambria" w:hAnsi="Cambria"/>
                <w:b/>
                <w:bCs/>
                <w:sz w:val="20"/>
                <w:lang w:val="pt-BR"/>
              </w:rPr>
            </w:pPr>
            <w:r w:rsidRPr="00983A9B">
              <w:rPr>
                <w:rFonts w:ascii="Cambria" w:hAnsi="Cambria"/>
                <w:b/>
                <w:bCs/>
                <w:sz w:val="20"/>
                <w:lang w:val="pt-BR"/>
              </w:rPr>
              <w:t>Ap</w:t>
            </w:r>
            <w:r w:rsidR="00697D1E" w:rsidRPr="00983A9B">
              <w:rPr>
                <w:rFonts w:ascii="Cambria" w:hAnsi="Cambria"/>
                <w:b/>
                <w:bCs/>
                <w:sz w:val="20"/>
                <w:lang w:val="pt-BR"/>
              </w:rPr>
              <w:t>resenta</w:t>
            </w:r>
            <w:r w:rsidR="000F38DA" w:rsidRPr="00983A9B">
              <w:rPr>
                <w:rFonts w:ascii="Cambria" w:hAnsi="Cambria"/>
                <w:b/>
                <w:bCs/>
                <w:sz w:val="20"/>
                <w:lang w:val="pt-BR"/>
              </w:rPr>
              <w:t>ção</w:t>
            </w:r>
            <w:r w:rsidRPr="00983A9B">
              <w:rPr>
                <w:rFonts w:ascii="Cambria" w:hAnsi="Cambria"/>
                <w:b/>
                <w:bCs/>
                <w:sz w:val="20"/>
                <w:lang w:val="pt-BR"/>
              </w:rPr>
              <w:t xml:space="preserve"> da </w:t>
            </w:r>
            <w:r w:rsidR="00697D1E" w:rsidRPr="00983A9B">
              <w:rPr>
                <w:rFonts w:ascii="Cambria" w:hAnsi="Cambria"/>
                <w:b/>
                <w:bCs/>
                <w:sz w:val="20"/>
                <w:lang w:val="pt-BR"/>
              </w:rPr>
              <w:t>peti</w:t>
            </w:r>
            <w:r w:rsidR="000F38DA" w:rsidRPr="00983A9B">
              <w:rPr>
                <w:rFonts w:ascii="Cambria" w:hAnsi="Cambria"/>
                <w:b/>
                <w:bCs/>
                <w:sz w:val="20"/>
                <w:lang w:val="pt-BR"/>
              </w:rPr>
              <w:t>ção</w:t>
            </w:r>
            <w:r w:rsidR="00697D1E" w:rsidRPr="00983A9B">
              <w:rPr>
                <w:rFonts w:ascii="Cambria" w:hAnsi="Cambria"/>
                <w:b/>
                <w:bCs/>
                <w:sz w:val="20"/>
                <w:lang w:val="pt-BR"/>
              </w:rPr>
              <w:t>:</w:t>
            </w:r>
          </w:p>
        </w:tc>
        <w:tc>
          <w:tcPr>
            <w:tcW w:w="5760" w:type="dxa"/>
            <w:shd w:val="clear" w:color="auto" w:fill="auto"/>
            <w:vAlign w:val="center"/>
          </w:tcPr>
          <w:p w14:paraId="7E1C59F6" w14:textId="47BF67BA" w:rsidR="00697D1E" w:rsidRPr="00983A9B" w:rsidRDefault="00523EB1">
            <w:pPr>
              <w:rPr>
                <w:rFonts w:ascii="Cambria" w:hAnsi="Cambria"/>
                <w:bCs/>
                <w:sz w:val="20"/>
                <w:lang w:val="pt-BR"/>
              </w:rPr>
            </w:pPr>
            <w:r w:rsidRPr="00983A9B">
              <w:rPr>
                <w:rFonts w:ascii="Cambria" w:hAnsi="Cambria"/>
                <w:bCs/>
                <w:sz w:val="20"/>
                <w:szCs w:val="20"/>
                <w:lang w:val="pt-BR"/>
              </w:rPr>
              <w:t>2 de janeiro de 2015</w:t>
            </w:r>
          </w:p>
        </w:tc>
      </w:tr>
      <w:tr w:rsidR="00983A9B" w:rsidRPr="00E11B56" w14:paraId="307881C1" w14:textId="77777777" w:rsidTr="00E82851">
        <w:tc>
          <w:tcPr>
            <w:tcW w:w="3600" w:type="dxa"/>
            <w:tcBorders>
              <w:top w:val="single" w:sz="6" w:space="0" w:color="auto"/>
              <w:bottom w:val="single" w:sz="6" w:space="0" w:color="auto"/>
            </w:tcBorders>
            <w:shd w:val="clear" w:color="auto" w:fill="FFC000"/>
            <w:vAlign w:val="center"/>
          </w:tcPr>
          <w:p w14:paraId="3CDF52F5" w14:textId="77777777" w:rsidR="00697D1E" w:rsidRPr="00983A9B" w:rsidRDefault="00697D1E">
            <w:pPr>
              <w:jc w:val="center"/>
              <w:rPr>
                <w:rFonts w:ascii="Cambria" w:hAnsi="Cambria"/>
                <w:b/>
                <w:bCs/>
                <w:sz w:val="20"/>
                <w:lang w:val="pt-BR"/>
              </w:rPr>
            </w:pPr>
            <w:r w:rsidRPr="00983A9B">
              <w:rPr>
                <w:rFonts w:ascii="Cambria" w:hAnsi="Cambria"/>
                <w:b/>
                <w:bCs/>
                <w:sz w:val="20"/>
                <w:lang w:val="pt-BR"/>
              </w:rPr>
              <w:t>Informa</w:t>
            </w:r>
            <w:r w:rsidR="000F38DA" w:rsidRPr="00983A9B">
              <w:rPr>
                <w:rFonts w:ascii="Cambria" w:hAnsi="Cambria"/>
                <w:b/>
                <w:bCs/>
                <w:sz w:val="20"/>
                <w:lang w:val="pt-BR"/>
              </w:rPr>
              <w:t>ção</w:t>
            </w:r>
            <w:r w:rsidRPr="00983A9B">
              <w:rPr>
                <w:rFonts w:ascii="Cambria" w:hAnsi="Cambria"/>
                <w:b/>
                <w:bCs/>
                <w:sz w:val="20"/>
                <w:lang w:val="pt-BR"/>
              </w:rPr>
              <w:t xml:space="preserve"> adicional durante a etapa de estudo:</w:t>
            </w:r>
          </w:p>
        </w:tc>
        <w:tc>
          <w:tcPr>
            <w:tcW w:w="5760" w:type="dxa"/>
            <w:shd w:val="clear" w:color="auto" w:fill="auto"/>
            <w:vAlign w:val="center"/>
          </w:tcPr>
          <w:p w14:paraId="5E7E5B11" w14:textId="41B2A7B0" w:rsidR="00697D1E" w:rsidRPr="00983A9B" w:rsidRDefault="00523EB1">
            <w:pPr>
              <w:rPr>
                <w:rFonts w:ascii="Cambria" w:hAnsi="Cambria"/>
                <w:bCs/>
                <w:sz w:val="20"/>
                <w:lang w:val="pt-BR"/>
              </w:rPr>
            </w:pPr>
            <w:r w:rsidRPr="00983A9B">
              <w:rPr>
                <w:rFonts w:ascii="Cambria" w:hAnsi="Cambria"/>
                <w:bCs/>
                <w:sz w:val="20"/>
                <w:lang w:val="pt-BR"/>
              </w:rPr>
              <w:t>5 de agosto de 2015, 25 de abril de 2017 e 8 de maio de 2017</w:t>
            </w:r>
          </w:p>
        </w:tc>
      </w:tr>
      <w:tr w:rsidR="00983A9B" w:rsidRPr="00983A9B" w14:paraId="36EBE726" w14:textId="77777777" w:rsidTr="00E82851">
        <w:tc>
          <w:tcPr>
            <w:tcW w:w="3600" w:type="dxa"/>
            <w:tcBorders>
              <w:top w:val="single" w:sz="6" w:space="0" w:color="auto"/>
              <w:bottom w:val="single" w:sz="6" w:space="0" w:color="auto"/>
            </w:tcBorders>
            <w:shd w:val="clear" w:color="auto" w:fill="FFC000"/>
            <w:vAlign w:val="center"/>
          </w:tcPr>
          <w:p w14:paraId="1A169624" w14:textId="77777777" w:rsidR="00697D1E" w:rsidRPr="00983A9B" w:rsidRDefault="00697D1E">
            <w:pPr>
              <w:jc w:val="center"/>
              <w:rPr>
                <w:rFonts w:ascii="Cambria" w:hAnsi="Cambria"/>
                <w:b/>
                <w:bCs/>
                <w:sz w:val="20"/>
                <w:lang w:val="pt-BR"/>
              </w:rPr>
            </w:pPr>
            <w:r w:rsidRPr="00983A9B">
              <w:rPr>
                <w:rFonts w:ascii="Cambria" w:hAnsi="Cambria"/>
                <w:b/>
                <w:sz w:val="20"/>
                <w:lang w:val="pt-BR"/>
              </w:rPr>
              <w:t>Notifica</w:t>
            </w:r>
            <w:r w:rsidR="000F38DA" w:rsidRPr="00983A9B">
              <w:rPr>
                <w:rFonts w:ascii="Cambria" w:hAnsi="Cambria"/>
                <w:b/>
                <w:sz w:val="20"/>
                <w:lang w:val="pt-BR"/>
              </w:rPr>
              <w:t>ção</w:t>
            </w:r>
            <w:r w:rsidR="00F270BC" w:rsidRPr="00983A9B">
              <w:rPr>
                <w:rFonts w:ascii="Cambria" w:hAnsi="Cambria"/>
                <w:b/>
                <w:sz w:val="20"/>
                <w:lang w:val="pt-BR"/>
              </w:rPr>
              <w:t xml:space="preserve"> da </w:t>
            </w:r>
            <w:r w:rsidRPr="00983A9B">
              <w:rPr>
                <w:rFonts w:ascii="Cambria" w:hAnsi="Cambria"/>
                <w:b/>
                <w:sz w:val="20"/>
                <w:lang w:val="pt-BR"/>
              </w:rPr>
              <w:t>peti</w:t>
            </w:r>
            <w:r w:rsidR="000F38DA" w:rsidRPr="00983A9B">
              <w:rPr>
                <w:rFonts w:ascii="Cambria" w:hAnsi="Cambria"/>
                <w:b/>
                <w:sz w:val="20"/>
                <w:lang w:val="pt-BR"/>
              </w:rPr>
              <w:t>ção</w:t>
            </w:r>
            <w:r w:rsidR="00F270BC" w:rsidRPr="00983A9B">
              <w:rPr>
                <w:rFonts w:ascii="Cambria" w:hAnsi="Cambria"/>
                <w:b/>
                <w:sz w:val="20"/>
                <w:lang w:val="pt-BR"/>
              </w:rPr>
              <w:t xml:space="preserve"> ao </w:t>
            </w:r>
            <w:r w:rsidRPr="00983A9B">
              <w:rPr>
                <w:rFonts w:ascii="Cambria" w:hAnsi="Cambria"/>
                <w:b/>
                <w:sz w:val="20"/>
                <w:lang w:val="pt-BR"/>
              </w:rPr>
              <w:t>Estado:</w:t>
            </w:r>
          </w:p>
        </w:tc>
        <w:tc>
          <w:tcPr>
            <w:tcW w:w="5760" w:type="dxa"/>
            <w:shd w:val="clear" w:color="auto" w:fill="auto"/>
            <w:vAlign w:val="center"/>
          </w:tcPr>
          <w:p w14:paraId="6F8AB26D" w14:textId="6E5364BD" w:rsidR="00697D1E" w:rsidRPr="00983A9B" w:rsidRDefault="00523EB1">
            <w:pPr>
              <w:rPr>
                <w:rFonts w:ascii="Cambria" w:hAnsi="Cambria"/>
                <w:bCs/>
                <w:sz w:val="20"/>
                <w:lang w:val="pt-BR"/>
              </w:rPr>
            </w:pPr>
            <w:r w:rsidRPr="00983A9B">
              <w:rPr>
                <w:rFonts w:ascii="Cambria" w:hAnsi="Cambria"/>
                <w:bCs/>
                <w:sz w:val="20"/>
                <w:lang w:val="pt-BR"/>
              </w:rPr>
              <w:t>7 de março de 2019</w:t>
            </w:r>
          </w:p>
        </w:tc>
      </w:tr>
      <w:tr w:rsidR="00983A9B" w:rsidRPr="00983A9B" w14:paraId="5A1223AD" w14:textId="77777777" w:rsidTr="00E82851">
        <w:tc>
          <w:tcPr>
            <w:tcW w:w="3600" w:type="dxa"/>
            <w:tcBorders>
              <w:top w:val="single" w:sz="6" w:space="0" w:color="auto"/>
              <w:bottom w:val="single" w:sz="6" w:space="0" w:color="auto"/>
            </w:tcBorders>
            <w:shd w:val="clear" w:color="auto" w:fill="FFC000"/>
            <w:vAlign w:val="center"/>
          </w:tcPr>
          <w:p w14:paraId="130F77D8" w14:textId="77777777" w:rsidR="00697D1E" w:rsidRPr="00983A9B" w:rsidRDefault="00697D1E">
            <w:pPr>
              <w:jc w:val="center"/>
              <w:rPr>
                <w:rFonts w:ascii="Cambria" w:hAnsi="Cambria"/>
                <w:b/>
                <w:bCs/>
                <w:sz w:val="20"/>
                <w:lang w:val="pt-BR"/>
              </w:rPr>
            </w:pPr>
            <w:r w:rsidRPr="00983A9B">
              <w:rPr>
                <w:rFonts w:ascii="Cambria" w:hAnsi="Cambria"/>
                <w:b/>
                <w:sz w:val="20"/>
                <w:lang w:val="pt-BR"/>
              </w:rPr>
              <w:t>Prime</w:t>
            </w:r>
            <w:r w:rsidR="00655CD0" w:rsidRPr="00983A9B">
              <w:rPr>
                <w:rFonts w:ascii="Cambria" w:hAnsi="Cambria"/>
                <w:b/>
                <w:sz w:val="20"/>
                <w:lang w:val="pt-BR"/>
              </w:rPr>
              <w:t>i</w:t>
            </w:r>
            <w:r w:rsidRPr="00983A9B">
              <w:rPr>
                <w:rFonts w:ascii="Cambria" w:hAnsi="Cambria"/>
                <w:b/>
                <w:sz w:val="20"/>
                <w:lang w:val="pt-BR"/>
              </w:rPr>
              <w:t>ra resp</w:t>
            </w:r>
            <w:r w:rsidR="00655CD0" w:rsidRPr="00983A9B">
              <w:rPr>
                <w:rFonts w:ascii="Cambria" w:hAnsi="Cambria"/>
                <w:b/>
                <w:sz w:val="20"/>
                <w:lang w:val="pt-BR"/>
              </w:rPr>
              <w:t>o</w:t>
            </w:r>
            <w:r w:rsidRPr="00983A9B">
              <w:rPr>
                <w:rFonts w:ascii="Cambria" w:hAnsi="Cambria"/>
                <w:b/>
                <w:sz w:val="20"/>
                <w:lang w:val="pt-BR"/>
              </w:rPr>
              <w:t>sta</w:t>
            </w:r>
            <w:r w:rsidR="00D52F0C" w:rsidRPr="00983A9B">
              <w:rPr>
                <w:rFonts w:ascii="Cambria" w:hAnsi="Cambria"/>
                <w:b/>
                <w:sz w:val="20"/>
                <w:lang w:val="pt-BR"/>
              </w:rPr>
              <w:t xml:space="preserve"> do </w:t>
            </w:r>
            <w:r w:rsidRPr="00983A9B">
              <w:rPr>
                <w:rFonts w:ascii="Cambria" w:hAnsi="Cambria"/>
                <w:b/>
                <w:sz w:val="20"/>
                <w:lang w:val="pt-BR"/>
              </w:rPr>
              <w:t>Estado:</w:t>
            </w:r>
          </w:p>
        </w:tc>
        <w:tc>
          <w:tcPr>
            <w:tcW w:w="5760" w:type="dxa"/>
            <w:shd w:val="clear" w:color="auto" w:fill="auto"/>
            <w:vAlign w:val="center"/>
          </w:tcPr>
          <w:p w14:paraId="5375678B" w14:textId="16B868A7" w:rsidR="00697D1E" w:rsidRPr="00983A9B" w:rsidRDefault="00523EB1">
            <w:pPr>
              <w:rPr>
                <w:rFonts w:ascii="Cambria" w:hAnsi="Cambria"/>
                <w:bCs/>
                <w:sz w:val="20"/>
                <w:lang w:val="pt-BR"/>
              </w:rPr>
            </w:pPr>
            <w:r w:rsidRPr="00983A9B">
              <w:rPr>
                <w:rFonts w:ascii="Cambria" w:hAnsi="Cambria"/>
                <w:bCs/>
                <w:sz w:val="20"/>
                <w:lang w:val="pt-BR"/>
              </w:rPr>
              <w:t>26 de junho de 2019</w:t>
            </w:r>
          </w:p>
        </w:tc>
      </w:tr>
      <w:tr w:rsidR="00983A9B" w:rsidRPr="00983A9B" w14:paraId="6D582642" w14:textId="77777777" w:rsidTr="00E82851">
        <w:tc>
          <w:tcPr>
            <w:tcW w:w="3600" w:type="dxa"/>
            <w:tcBorders>
              <w:top w:val="single" w:sz="6" w:space="0" w:color="auto"/>
              <w:bottom w:val="single" w:sz="6" w:space="0" w:color="auto"/>
            </w:tcBorders>
            <w:shd w:val="clear" w:color="auto" w:fill="FFC000"/>
            <w:vAlign w:val="center"/>
          </w:tcPr>
          <w:p w14:paraId="04EF7812" w14:textId="77777777" w:rsidR="00697D1E" w:rsidRPr="00983A9B" w:rsidRDefault="00697D1E">
            <w:pPr>
              <w:jc w:val="center"/>
              <w:rPr>
                <w:rFonts w:ascii="Cambria" w:hAnsi="Cambria"/>
                <w:b/>
                <w:sz w:val="20"/>
                <w:lang w:val="pt-BR"/>
              </w:rPr>
            </w:pPr>
            <w:r w:rsidRPr="00983A9B">
              <w:rPr>
                <w:rFonts w:ascii="Cambria" w:hAnsi="Cambria"/>
                <w:b/>
                <w:sz w:val="20"/>
                <w:lang w:val="pt-BR"/>
              </w:rPr>
              <w:t>Advert</w:t>
            </w:r>
            <w:r w:rsidR="000F38DA" w:rsidRPr="00983A9B">
              <w:rPr>
                <w:rFonts w:ascii="Cambria" w:hAnsi="Cambria"/>
                <w:b/>
                <w:sz w:val="20"/>
                <w:lang w:val="pt-BR"/>
              </w:rPr>
              <w:t>ência</w:t>
            </w:r>
            <w:r w:rsidRPr="00983A9B">
              <w:rPr>
                <w:rFonts w:ascii="Cambria" w:hAnsi="Cambria"/>
                <w:b/>
                <w:sz w:val="20"/>
                <w:lang w:val="pt-BR"/>
              </w:rPr>
              <w:t xml:space="preserve"> sobre pos</w:t>
            </w:r>
            <w:r w:rsidR="00655CD0" w:rsidRPr="00983A9B">
              <w:rPr>
                <w:rFonts w:ascii="Cambria" w:hAnsi="Cambria"/>
                <w:b/>
                <w:sz w:val="20"/>
                <w:lang w:val="pt-BR"/>
              </w:rPr>
              <w:t>sível</w:t>
            </w:r>
            <w:r w:rsidRPr="00983A9B">
              <w:rPr>
                <w:rFonts w:ascii="Cambria" w:hAnsi="Cambria"/>
                <w:b/>
                <w:sz w:val="20"/>
                <w:lang w:val="pt-BR"/>
              </w:rPr>
              <w:t xml:space="preserve"> ar</w:t>
            </w:r>
            <w:r w:rsidR="00655CD0" w:rsidRPr="00983A9B">
              <w:rPr>
                <w:rFonts w:ascii="Cambria" w:hAnsi="Cambria"/>
                <w:b/>
                <w:sz w:val="20"/>
                <w:lang w:val="pt-BR"/>
              </w:rPr>
              <w:t>qu</w:t>
            </w:r>
            <w:r w:rsidRPr="00983A9B">
              <w:rPr>
                <w:rFonts w:ascii="Cambria" w:hAnsi="Cambria"/>
                <w:b/>
                <w:sz w:val="20"/>
                <w:lang w:val="pt-BR"/>
              </w:rPr>
              <w:t>iv</w:t>
            </w:r>
            <w:r w:rsidR="00655CD0" w:rsidRPr="00983A9B">
              <w:rPr>
                <w:rFonts w:ascii="Cambria" w:hAnsi="Cambria"/>
                <w:b/>
                <w:sz w:val="20"/>
                <w:lang w:val="pt-BR"/>
              </w:rPr>
              <w:t>ament</w:t>
            </w:r>
            <w:r w:rsidRPr="00983A9B">
              <w:rPr>
                <w:rFonts w:ascii="Cambria" w:hAnsi="Cambria"/>
                <w:b/>
                <w:sz w:val="20"/>
                <w:lang w:val="pt-BR"/>
              </w:rPr>
              <w:t>o:</w:t>
            </w:r>
          </w:p>
        </w:tc>
        <w:tc>
          <w:tcPr>
            <w:tcW w:w="5760" w:type="dxa"/>
            <w:shd w:val="clear" w:color="auto" w:fill="auto"/>
            <w:vAlign w:val="center"/>
          </w:tcPr>
          <w:p w14:paraId="71DE044E" w14:textId="73734DAE" w:rsidR="00697D1E" w:rsidRPr="00983A9B" w:rsidRDefault="00523EB1">
            <w:pPr>
              <w:rPr>
                <w:rFonts w:ascii="Cambria" w:hAnsi="Cambria"/>
                <w:bCs/>
                <w:sz w:val="20"/>
                <w:lang w:val="pt-BR"/>
              </w:rPr>
            </w:pPr>
            <w:r w:rsidRPr="00983A9B">
              <w:rPr>
                <w:rFonts w:ascii="Cambria" w:hAnsi="Cambria"/>
                <w:bCs/>
                <w:sz w:val="20"/>
                <w:lang w:val="pt-BR"/>
              </w:rPr>
              <w:t>16 de março de 2021</w:t>
            </w:r>
          </w:p>
        </w:tc>
      </w:tr>
      <w:tr w:rsidR="00983A9B" w:rsidRPr="00983A9B" w14:paraId="111B5A76" w14:textId="77777777" w:rsidTr="00E82851">
        <w:tc>
          <w:tcPr>
            <w:tcW w:w="3600" w:type="dxa"/>
            <w:tcBorders>
              <w:top w:val="single" w:sz="6" w:space="0" w:color="auto"/>
              <w:bottom w:val="single" w:sz="6" w:space="0" w:color="auto"/>
            </w:tcBorders>
            <w:shd w:val="clear" w:color="auto" w:fill="FFC000"/>
            <w:vAlign w:val="center"/>
          </w:tcPr>
          <w:p w14:paraId="2F900D25" w14:textId="77777777" w:rsidR="00697D1E" w:rsidRPr="00983A9B" w:rsidRDefault="00697D1E">
            <w:pPr>
              <w:jc w:val="center"/>
              <w:rPr>
                <w:rFonts w:ascii="Cambria" w:hAnsi="Cambria"/>
                <w:b/>
                <w:sz w:val="20"/>
                <w:lang w:val="pt-BR"/>
              </w:rPr>
            </w:pPr>
            <w:r w:rsidRPr="00983A9B">
              <w:rPr>
                <w:rFonts w:ascii="Cambria" w:hAnsi="Cambria"/>
                <w:b/>
                <w:sz w:val="20"/>
                <w:lang w:val="pt-BR"/>
              </w:rPr>
              <w:t>Observa</w:t>
            </w:r>
            <w:r w:rsidR="00F270BC" w:rsidRPr="00983A9B">
              <w:rPr>
                <w:rFonts w:ascii="Cambria" w:hAnsi="Cambria"/>
                <w:b/>
                <w:sz w:val="20"/>
                <w:lang w:val="pt-BR"/>
              </w:rPr>
              <w:t>ções</w:t>
            </w:r>
            <w:r w:rsidRPr="00983A9B">
              <w:rPr>
                <w:rFonts w:ascii="Cambria" w:hAnsi="Cambria"/>
                <w:b/>
                <w:sz w:val="20"/>
                <w:lang w:val="pt-BR"/>
              </w:rPr>
              <w:t xml:space="preserve"> adicion</w:t>
            </w:r>
            <w:r w:rsidR="00F270BC" w:rsidRPr="00983A9B">
              <w:rPr>
                <w:rFonts w:ascii="Cambria" w:hAnsi="Cambria"/>
                <w:b/>
                <w:sz w:val="20"/>
                <w:lang w:val="pt-BR"/>
              </w:rPr>
              <w:t xml:space="preserve">ais da </w:t>
            </w:r>
            <w:r w:rsidRPr="00983A9B">
              <w:rPr>
                <w:rFonts w:ascii="Cambria" w:hAnsi="Cambria"/>
                <w:b/>
                <w:sz w:val="20"/>
                <w:lang w:val="pt-BR"/>
              </w:rPr>
              <w:t xml:space="preserve">parte </w:t>
            </w:r>
            <w:r w:rsidR="00F270BC" w:rsidRPr="00983A9B">
              <w:rPr>
                <w:rFonts w:ascii="Cambria" w:hAnsi="Cambria"/>
                <w:b/>
                <w:sz w:val="20"/>
                <w:lang w:val="pt-BR"/>
              </w:rPr>
              <w:t>peticionária</w:t>
            </w:r>
            <w:r w:rsidRPr="00983A9B">
              <w:rPr>
                <w:rFonts w:ascii="Cambria" w:hAnsi="Cambria"/>
                <w:b/>
                <w:sz w:val="20"/>
                <w:lang w:val="pt-BR"/>
              </w:rPr>
              <w:t>:</w:t>
            </w:r>
          </w:p>
        </w:tc>
        <w:tc>
          <w:tcPr>
            <w:tcW w:w="5760" w:type="dxa"/>
            <w:shd w:val="clear" w:color="auto" w:fill="auto"/>
            <w:vAlign w:val="center"/>
          </w:tcPr>
          <w:p w14:paraId="4455228D" w14:textId="7BAD2A38" w:rsidR="00697D1E" w:rsidRPr="00983A9B" w:rsidRDefault="00523EB1">
            <w:pPr>
              <w:rPr>
                <w:rFonts w:ascii="Cambria" w:hAnsi="Cambria"/>
                <w:bCs/>
                <w:sz w:val="20"/>
                <w:lang w:val="pt-BR"/>
              </w:rPr>
            </w:pPr>
            <w:r w:rsidRPr="00983A9B">
              <w:rPr>
                <w:rFonts w:ascii="Cambria" w:hAnsi="Cambria"/>
                <w:bCs/>
                <w:sz w:val="20"/>
                <w:lang w:val="pt-BR"/>
              </w:rPr>
              <w:t>19 de abril de 2021</w:t>
            </w:r>
          </w:p>
        </w:tc>
      </w:tr>
    </w:tbl>
    <w:p w14:paraId="616A0F2C" w14:textId="77777777" w:rsidR="00697D1E" w:rsidRPr="00983A9B" w:rsidRDefault="00697D1E" w:rsidP="00697D1E">
      <w:pPr>
        <w:spacing w:before="240" w:after="240"/>
        <w:ind w:firstLine="720"/>
        <w:rPr>
          <w:rFonts w:ascii="Cambria" w:hAnsi="Cambria"/>
          <w:b/>
          <w:bCs/>
          <w:sz w:val="20"/>
          <w:lang w:val="pt-BR"/>
        </w:rPr>
      </w:pPr>
      <w:r w:rsidRPr="00983A9B">
        <w:rPr>
          <w:rFonts w:ascii="Cambria" w:hAnsi="Cambria"/>
          <w:b/>
          <w:bCs/>
          <w:sz w:val="20"/>
          <w:lang w:val="pt-BR"/>
        </w:rPr>
        <w:t xml:space="preserve">III. </w:t>
      </w:r>
      <w:r w:rsidRPr="00983A9B">
        <w:rPr>
          <w:rFonts w:ascii="Cambria" w:hAnsi="Cambria"/>
          <w:b/>
          <w:bCs/>
          <w:sz w:val="20"/>
          <w:lang w:val="pt-BR"/>
        </w:rPr>
        <w:tab/>
        <w:t>COMPET</w:t>
      </w:r>
      <w:r w:rsidR="000F38DA" w:rsidRPr="00983A9B">
        <w:rPr>
          <w:rFonts w:ascii="Cambria" w:hAnsi="Cambria"/>
          <w:b/>
          <w:bCs/>
          <w:sz w:val="20"/>
          <w:lang w:val="pt-BR"/>
        </w:rPr>
        <w:t>ÊNCIA</w:t>
      </w:r>
      <w:r w:rsidRPr="00983A9B">
        <w:rPr>
          <w:rFonts w:ascii="Cambria" w:hAnsi="Cambria"/>
          <w:b/>
          <w:bCs/>
          <w:sz w:val="20"/>
          <w:lang w:val="pt-BR"/>
        </w:rPr>
        <w:t xml:space="preserve"> </w:t>
      </w:r>
    </w:p>
    <w:tbl>
      <w:tblPr>
        <w:tblW w:w="933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61"/>
        <w:gridCol w:w="5776"/>
      </w:tblGrid>
      <w:tr w:rsidR="00983A9B" w:rsidRPr="00983A9B" w14:paraId="1E1AC355" w14:textId="77777777" w:rsidTr="00E82851">
        <w:trPr>
          <w:cantSplit/>
        </w:trPr>
        <w:tc>
          <w:tcPr>
            <w:tcW w:w="3561" w:type="dxa"/>
            <w:tcBorders>
              <w:top w:val="single" w:sz="4" w:space="0" w:color="auto"/>
              <w:bottom w:val="single" w:sz="6" w:space="0" w:color="auto"/>
            </w:tcBorders>
            <w:shd w:val="clear" w:color="auto" w:fill="FFC000"/>
            <w:vAlign w:val="center"/>
          </w:tcPr>
          <w:p w14:paraId="3CD4EE91" w14:textId="77777777" w:rsidR="00697D1E" w:rsidRPr="00983A9B" w:rsidRDefault="00697D1E">
            <w:pPr>
              <w:jc w:val="center"/>
              <w:rPr>
                <w:rFonts w:ascii="Cambria" w:hAnsi="Cambria"/>
                <w:b/>
                <w:bCs/>
                <w:i/>
                <w:sz w:val="20"/>
                <w:lang w:val="pt-BR"/>
              </w:rPr>
            </w:pPr>
            <w:r w:rsidRPr="00983A9B">
              <w:rPr>
                <w:rFonts w:ascii="Cambria" w:hAnsi="Cambria"/>
                <w:b/>
                <w:bCs/>
                <w:sz w:val="20"/>
                <w:lang w:val="pt-BR"/>
              </w:rPr>
              <w:t>Compet</w:t>
            </w:r>
            <w:r w:rsidR="000F38DA" w:rsidRPr="00983A9B">
              <w:rPr>
                <w:rFonts w:ascii="Cambria" w:hAnsi="Cambria"/>
                <w:b/>
                <w:bCs/>
                <w:sz w:val="20"/>
                <w:lang w:val="pt-BR"/>
              </w:rPr>
              <w:t>ência</w:t>
            </w:r>
            <w:r w:rsidRPr="00983A9B">
              <w:rPr>
                <w:rFonts w:ascii="Cambria" w:hAnsi="Cambria"/>
                <w:b/>
                <w:bCs/>
                <w:i/>
                <w:sz w:val="20"/>
                <w:lang w:val="pt-BR"/>
              </w:rPr>
              <w:t xml:space="preserve"> Ratione personae:</w:t>
            </w:r>
          </w:p>
        </w:tc>
        <w:tc>
          <w:tcPr>
            <w:tcW w:w="5776" w:type="dxa"/>
            <w:shd w:val="clear" w:color="auto" w:fill="auto"/>
            <w:vAlign w:val="center"/>
          </w:tcPr>
          <w:p w14:paraId="4FD0F383" w14:textId="77777777" w:rsidR="00697D1E" w:rsidRPr="00983A9B" w:rsidRDefault="00B35631">
            <w:pPr>
              <w:rPr>
                <w:rFonts w:ascii="Cambria" w:hAnsi="Cambria"/>
                <w:bCs/>
                <w:sz w:val="20"/>
                <w:lang w:val="pt-BR"/>
              </w:rPr>
            </w:pPr>
            <w:r w:rsidRPr="00983A9B">
              <w:rPr>
                <w:rFonts w:ascii="Cambria" w:hAnsi="Cambria"/>
                <w:bCs/>
                <w:sz w:val="20"/>
                <w:lang w:val="pt-BR"/>
              </w:rPr>
              <w:t>Sim</w:t>
            </w:r>
          </w:p>
        </w:tc>
      </w:tr>
      <w:tr w:rsidR="00983A9B" w:rsidRPr="00983A9B" w14:paraId="64D6BA2E" w14:textId="77777777" w:rsidTr="00E82851">
        <w:trPr>
          <w:cantSplit/>
        </w:trPr>
        <w:tc>
          <w:tcPr>
            <w:tcW w:w="3561" w:type="dxa"/>
            <w:tcBorders>
              <w:top w:val="single" w:sz="6" w:space="0" w:color="auto"/>
              <w:bottom w:val="single" w:sz="6" w:space="0" w:color="auto"/>
            </w:tcBorders>
            <w:shd w:val="clear" w:color="auto" w:fill="FFC000"/>
            <w:vAlign w:val="center"/>
          </w:tcPr>
          <w:p w14:paraId="03C44616" w14:textId="77777777" w:rsidR="00697D1E" w:rsidRPr="00983A9B" w:rsidRDefault="00697D1E">
            <w:pPr>
              <w:jc w:val="center"/>
              <w:rPr>
                <w:rFonts w:ascii="Cambria" w:hAnsi="Cambria"/>
                <w:b/>
                <w:bCs/>
                <w:sz w:val="20"/>
                <w:lang w:val="pt-BR"/>
              </w:rPr>
            </w:pPr>
            <w:r w:rsidRPr="00983A9B">
              <w:rPr>
                <w:rFonts w:ascii="Cambria" w:hAnsi="Cambria"/>
                <w:b/>
                <w:bCs/>
                <w:sz w:val="20"/>
                <w:lang w:val="pt-BR"/>
              </w:rPr>
              <w:t>Compet</w:t>
            </w:r>
            <w:r w:rsidR="000F38DA" w:rsidRPr="00983A9B">
              <w:rPr>
                <w:rFonts w:ascii="Cambria" w:hAnsi="Cambria"/>
                <w:b/>
                <w:bCs/>
                <w:sz w:val="20"/>
                <w:lang w:val="pt-BR"/>
              </w:rPr>
              <w:t>ência</w:t>
            </w:r>
            <w:r w:rsidRPr="00983A9B">
              <w:rPr>
                <w:rFonts w:ascii="Cambria" w:hAnsi="Cambria"/>
                <w:b/>
                <w:bCs/>
                <w:i/>
                <w:sz w:val="20"/>
                <w:lang w:val="pt-BR"/>
              </w:rPr>
              <w:t xml:space="preserve"> Ratione loci</w:t>
            </w:r>
            <w:r w:rsidRPr="00983A9B">
              <w:rPr>
                <w:rFonts w:ascii="Cambria" w:hAnsi="Cambria"/>
                <w:b/>
                <w:bCs/>
                <w:sz w:val="20"/>
                <w:lang w:val="pt-BR"/>
              </w:rPr>
              <w:t>:</w:t>
            </w:r>
          </w:p>
        </w:tc>
        <w:tc>
          <w:tcPr>
            <w:tcW w:w="5776" w:type="dxa"/>
            <w:shd w:val="clear" w:color="auto" w:fill="auto"/>
            <w:vAlign w:val="center"/>
          </w:tcPr>
          <w:p w14:paraId="1BC161EE" w14:textId="77777777" w:rsidR="00697D1E" w:rsidRPr="00983A9B" w:rsidRDefault="00B35631">
            <w:pPr>
              <w:rPr>
                <w:rFonts w:ascii="Cambria" w:hAnsi="Cambria"/>
                <w:bCs/>
                <w:sz w:val="20"/>
                <w:lang w:val="pt-BR"/>
              </w:rPr>
            </w:pPr>
            <w:r w:rsidRPr="00983A9B">
              <w:rPr>
                <w:rFonts w:ascii="Cambria" w:hAnsi="Cambria"/>
                <w:bCs/>
                <w:sz w:val="20"/>
                <w:lang w:val="pt-BR"/>
              </w:rPr>
              <w:t>Sim</w:t>
            </w:r>
          </w:p>
        </w:tc>
      </w:tr>
      <w:tr w:rsidR="00983A9B" w:rsidRPr="00983A9B" w14:paraId="4A8866D7" w14:textId="77777777" w:rsidTr="00E82851">
        <w:trPr>
          <w:cantSplit/>
        </w:trPr>
        <w:tc>
          <w:tcPr>
            <w:tcW w:w="3561" w:type="dxa"/>
            <w:tcBorders>
              <w:top w:val="single" w:sz="6" w:space="0" w:color="auto"/>
              <w:bottom w:val="single" w:sz="6" w:space="0" w:color="auto"/>
            </w:tcBorders>
            <w:shd w:val="clear" w:color="auto" w:fill="FFC000"/>
            <w:vAlign w:val="center"/>
          </w:tcPr>
          <w:p w14:paraId="1CB164EF" w14:textId="77777777" w:rsidR="00697D1E" w:rsidRPr="00983A9B" w:rsidRDefault="00697D1E">
            <w:pPr>
              <w:jc w:val="center"/>
              <w:rPr>
                <w:rFonts w:ascii="Cambria" w:hAnsi="Cambria"/>
                <w:b/>
                <w:bCs/>
                <w:sz w:val="20"/>
                <w:lang w:val="pt-BR"/>
              </w:rPr>
            </w:pPr>
            <w:r w:rsidRPr="00983A9B">
              <w:rPr>
                <w:rFonts w:ascii="Cambria" w:hAnsi="Cambria"/>
                <w:b/>
                <w:bCs/>
                <w:sz w:val="20"/>
                <w:lang w:val="pt-BR"/>
              </w:rPr>
              <w:t>Compet</w:t>
            </w:r>
            <w:r w:rsidR="000F38DA" w:rsidRPr="00983A9B">
              <w:rPr>
                <w:rFonts w:ascii="Cambria" w:hAnsi="Cambria"/>
                <w:b/>
                <w:bCs/>
                <w:sz w:val="20"/>
                <w:lang w:val="pt-BR"/>
              </w:rPr>
              <w:t>ência</w:t>
            </w:r>
            <w:r w:rsidRPr="00983A9B">
              <w:rPr>
                <w:rFonts w:ascii="Cambria" w:hAnsi="Cambria"/>
                <w:b/>
                <w:bCs/>
                <w:i/>
                <w:sz w:val="20"/>
                <w:lang w:val="pt-BR"/>
              </w:rPr>
              <w:t xml:space="preserve"> Ratione temporis</w:t>
            </w:r>
            <w:r w:rsidRPr="00983A9B">
              <w:rPr>
                <w:rFonts w:ascii="Cambria" w:hAnsi="Cambria"/>
                <w:b/>
                <w:bCs/>
                <w:sz w:val="20"/>
                <w:lang w:val="pt-BR"/>
              </w:rPr>
              <w:t>:</w:t>
            </w:r>
          </w:p>
        </w:tc>
        <w:tc>
          <w:tcPr>
            <w:tcW w:w="5776" w:type="dxa"/>
            <w:shd w:val="clear" w:color="auto" w:fill="auto"/>
            <w:vAlign w:val="center"/>
          </w:tcPr>
          <w:p w14:paraId="5C79DFB7" w14:textId="77777777" w:rsidR="00697D1E" w:rsidRPr="00983A9B" w:rsidRDefault="00B35631">
            <w:pPr>
              <w:rPr>
                <w:rFonts w:ascii="Cambria" w:hAnsi="Cambria"/>
                <w:bCs/>
                <w:sz w:val="20"/>
                <w:lang w:val="pt-BR"/>
              </w:rPr>
            </w:pPr>
            <w:r w:rsidRPr="00983A9B">
              <w:rPr>
                <w:rFonts w:ascii="Cambria" w:hAnsi="Cambria"/>
                <w:bCs/>
                <w:sz w:val="20"/>
                <w:lang w:val="pt-BR"/>
              </w:rPr>
              <w:t>Sim</w:t>
            </w:r>
          </w:p>
        </w:tc>
      </w:tr>
      <w:tr w:rsidR="00983A9B" w:rsidRPr="00E11B56" w14:paraId="1E282A2B" w14:textId="77777777" w:rsidTr="00E82851">
        <w:trPr>
          <w:cantSplit/>
        </w:trPr>
        <w:tc>
          <w:tcPr>
            <w:tcW w:w="3561" w:type="dxa"/>
            <w:tcBorders>
              <w:top w:val="single" w:sz="6" w:space="0" w:color="auto"/>
              <w:bottom w:val="single" w:sz="6" w:space="0" w:color="auto"/>
            </w:tcBorders>
            <w:shd w:val="clear" w:color="auto" w:fill="FFC000"/>
            <w:vAlign w:val="center"/>
          </w:tcPr>
          <w:p w14:paraId="6DDE2D81" w14:textId="77777777" w:rsidR="00697D1E" w:rsidRPr="00983A9B" w:rsidRDefault="00697D1E">
            <w:pPr>
              <w:jc w:val="center"/>
              <w:rPr>
                <w:rFonts w:ascii="Cambria" w:hAnsi="Cambria"/>
                <w:b/>
                <w:bCs/>
                <w:sz w:val="20"/>
                <w:lang w:val="pt-BR"/>
              </w:rPr>
            </w:pPr>
            <w:r w:rsidRPr="00983A9B">
              <w:rPr>
                <w:rFonts w:ascii="Cambria" w:hAnsi="Cambria"/>
                <w:b/>
                <w:bCs/>
                <w:sz w:val="20"/>
                <w:lang w:val="pt-BR"/>
              </w:rPr>
              <w:t>Compet</w:t>
            </w:r>
            <w:r w:rsidR="000F38DA" w:rsidRPr="00983A9B">
              <w:rPr>
                <w:rFonts w:ascii="Cambria" w:hAnsi="Cambria"/>
                <w:b/>
                <w:bCs/>
                <w:sz w:val="20"/>
                <w:lang w:val="pt-BR"/>
              </w:rPr>
              <w:t>ência</w:t>
            </w:r>
            <w:r w:rsidRPr="00983A9B">
              <w:rPr>
                <w:rFonts w:ascii="Cambria" w:hAnsi="Cambria"/>
                <w:b/>
                <w:bCs/>
                <w:i/>
                <w:sz w:val="20"/>
                <w:lang w:val="pt-BR"/>
              </w:rPr>
              <w:t xml:space="preserve"> Ratione materiae</w:t>
            </w:r>
            <w:r w:rsidRPr="00983A9B">
              <w:rPr>
                <w:rFonts w:ascii="Cambria" w:hAnsi="Cambria"/>
                <w:b/>
                <w:bCs/>
                <w:sz w:val="20"/>
                <w:lang w:val="pt-BR"/>
              </w:rPr>
              <w:t>:</w:t>
            </w:r>
          </w:p>
        </w:tc>
        <w:tc>
          <w:tcPr>
            <w:tcW w:w="5776" w:type="dxa"/>
            <w:shd w:val="clear" w:color="auto" w:fill="auto"/>
            <w:vAlign w:val="center"/>
          </w:tcPr>
          <w:p w14:paraId="7F84A12D" w14:textId="52D32562" w:rsidR="00697D1E" w:rsidRPr="00983A9B" w:rsidRDefault="00B35631">
            <w:pPr>
              <w:rPr>
                <w:rFonts w:ascii="Cambria" w:hAnsi="Cambria"/>
                <w:bCs/>
                <w:sz w:val="20"/>
                <w:lang w:val="pt-BR"/>
              </w:rPr>
            </w:pPr>
            <w:r w:rsidRPr="00983A9B">
              <w:rPr>
                <w:rFonts w:ascii="Cambria" w:hAnsi="Cambria"/>
                <w:bCs/>
                <w:sz w:val="20"/>
                <w:lang w:val="pt-BR" w:bidi="es-ES"/>
              </w:rPr>
              <w:t>Sim</w:t>
            </w:r>
            <w:r w:rsidR="00697D1E" w:rsidRPr="00983A9B">
              <w:rPr>
                <w:rFonts w:ascii="Cambria" w:hAnsi="Cambria"/>
                <w:bCs/>
                <w:sz w:val="20"/>
                <w:lang w:val="pt-BR" w:bidi="es-ES"/>
              </w:rPr>
              <w:t>, Conven</w:t>
            </w:r>
            <w:r w:rsidR="000F38DA" w:rsidRPr="00983A9B">
              <w:rPr>
                <w:rFonts w:ascii="Cambria" w:hAnsi="Cambria"/>
                <w:bCs/>
                <w:sz w:val="20"/>
                <w:lang w:val="pt-BR" w:bidi="es-ES"/>
              </w:rPr>
              <w:t>ção</w:t>
            </w:r>
            <w:r w:rsidR="00697D1E" w:rsidRPr="00983A9B">
              <w:rPr>
                <w:rFonts w:ascii="Cambria" w:hAnsi="Cambria"/>
                <w:bCs/>
                <w:sz w:val="20"/>
                <w:lang w:val="pt-BR" w:bidi="es-ES"/>
              </w:rPr>
              <w:t xml:space="preserve"> Americana sobre </w:t>
            </w:r>
            <w:r w:rsidR="00D52F0C" w:rsidRPr="00983A9B">
              <w:rPr>
                <w:rFonts w:ascii="Cambria" w:hAnsi="Cambria"/>
                <w:bCs/>
                <w:sz w:val="20"/>
                <w:lang w:val="pt-BR" w:bidi="es-ES"/>
              </w:rPr>
              <w:t>Direito</w:t>
            </w:r>
            <w:r w:rsidR="00697D1E" w:rsidRPr="00983A9B">
              <w:rPr>
                <w:rFonts w:ascii="Cambria" w:hAnsi="Cambria"/>
                <w:bCs/>
                <w:sz w:val="20"/>
                <w:lang w:val="pt-BR" w:bidi="es-ES"/>
              </w:rPr>
              <w:t>s Humanos (depósito de instrumento realizado</w:t>
            </w:r>
            <w:r w:rsidR="00655CD0" w:rsidRPr="00983A9B">
              <w:rPr>
                <w:rFonts w:ascii="Cambria" w:hAnsi="Cambria"/>
                <w:bCs/>
                <w:sz w:val="20"/>
                <w:lang w:val="pt-BR" w:bidi="es-ES"/>
              </w:rPr>
              <w:t xml:space="preserve"> </w:t>
            </w:r>
            <w:r w:rsidR="00901BF1" w:rsidRPr="00983A9B">
              <w:rPr>
                <w:rFonts w:ascii="Cambria" w:hAnsi="Cambria"/>
                <w:bCs/>
                <w:sz w:val="20"/>
                <w:lang w:val="pt-BR" w:bidi="es-ES"/>
              </w:rPr>
              <w:t>em</w:t>
            </w:r>
            <w:r w:rsidR="00655CD0" w:rsidRPr="00983A9B">
              <w:rPr>
                <w:rFonts w:ascii="Cambria" w:hAnsi="Cambria"/>
                <w:bCs/>
                <w:sz w:val="20"/>
                <w:lang w:val="pt-BR" w:bidi="es-ES"/>
              </w:rPr>
              <w:t xml:space="preserve"> </w:t>
            </w:r>
            <w:r w:rsidR="00697D1E" w:rsidRPr="00983A9B">
              <w:rPr>
                <w:rFonts w:ascii="Cambria" w:hAnsi="Cambria"/>
                <w:bCs/>
                <w:sz w:val="20"/>
                <w:lang w:val="pt-BR" w:bidi="es-ES"/>
              </w:rPr>
              <w:t>25 de setembr</w:t>
            </w:r>
            <w:r w:rsidR="00901BF1" w:rsidRPr="00983A9B">
              <w:rPr>
                <w:rFonts w:ascii="Cambria" w:hAnsi="Cambria"/>
                <w:bCs/>
                <w:sz w:val="20"/>
                <w:lang w:val="pt-BR" w:bidi="es-ES"/>
              </w:rPr>
              <w:t>o</w:t>
            </w:r>
            <w:r w:rsidR="00697D1E" w:rsidRPr="00983A9B">
              <w:rPr>
                <w:rFonts w:ascii="Cambria" w:hAnsi="Cambria"/>
                <w:bCs/>
                <w:sz w:val="20"/>
                <w:lang w:val="pt-BR" w:bidi="es-ES"/>
              </w:rPr>
              <w:t xml:space="preserve"> de 1992)</w:t>
            </w:r>
          </w:p>
        </w:tc>
      </w:tr>
    </w:tbl>
    <w:p w14:paraId="2D217666" w14:textId="77777777" w:rsidR="006D43BD" w:rsidRDefault="006D43BD" w:rsidP="00697D1E">
      <w:pPr>
        <w:spacing w:before="240" w:after="240"/>
        <w:ind w:firstLine="720"/>
        <w:rPr>
          <w:rFonts w:ascii="Cambria" w:hAnsi="Cambria"/>
          <w:b/>
          <w:bCs/>
          <w:sz w:val="20"/>
          <w:lang w:val="pt-BR"/>
        </w:rPr>
      </w:pPr>
    </w:p>
    <w:p w14:paraId="05E67FFA" w14:textId="5E4C3887" w:rsidR="00697D1E" w:rsidRPr="00983A9B" w:rsidRDefault="00697D1E" w:rsidP="00697D1E">
      <w:pPr>
        <w:spacing w:before="240" w:after="240"/>
        <w:ind w:firstLine="720"/>
        <w:rPr>
          <w:rFonts w:ascii="Cambria" w:hAnsi="Cambria"/>
          <w:b/>
          <w:bCs/>
          <w:sz w:val="20"/>
          <w:lang w:val="pt-BR"/>
        </w:rPr>
      </w:pPr>
      <w:r w:rsidRPr="00983A9B">
        <w:rPr>
          <w:rFonts w:ascii="Cambria" w:hAnsi="Cambria"/>
          <w:b/>
          <w:bCs/>
          <w:sz w:val="20"/>
          <w:lang w:val="pt-BR"/>
        </w:rPr>
        <w:lastRenderedPageBreak/>
        <w:t xml:space="preserve">IV. </w:t>
      </w:r>
      <w:r w:rsidRPr="00983A9B">
        <w:rPr>
          <w:rFonts w:ascii="Cambria" w:hAnsi="Cambria"/>
          <w:b/>
          <w:bCs/>
          <w:sz w:val="20"/>
          <w:lang w:val="pt-BR"/>
        </w:rPr>
        <w:tab/>
      </w:r>
      <w:r w:rsidR="00F270BC" w:rsidRPr="00983A9B">
        <w:rPr>
          <w:rFonts w:ascii="Cambria" w:hAnsi="Cambria"/>
          <w:b/>
          <w:bCs/>
          <w:sz w:val="20"/>
          <w:lang w:val="pt-BR"/>
        </w:rPr>
        <w:t>DUPLICAÇÃO DE PROCEDIMENTOS E CO</w:t>
      </w:r>
      <w:r w:rsidR="00655CD0" w:rsidRPr="00983A9B">
        <w:rPr>
          <w:rFonts w:ascii="Cambria" w:hAnsi="Cambria"/>
          <w:b/>
          <w:bCs/>
          <w:sz w:val="20"/>
          <w:lang w:val="pt-BR"/>
        </w:rPr>
        <w:t>I</w:t>
      </w:r>
      <w:r w:rsidR="00F270BC" w:rsidRPr="00983A9B">
        <w:rPr>
          <w:rFonts w:ascii="Cambria" w:hAnsi="Cambria"/>
          <w:b/>
          <w:bCs/>
          <w:sz w:val="20"/>
          <w:lang w:val="pt-BR"/>
        </w:rPr>
        <w:t>SA JU</w:t>
      </w:r>
      <w:r w:rsidR="00655CD0" w:rsidRPr="00983A9B">
        <w:rPr>
          <w:rFonts w:ascii="Cambria" w:hAnsi="Cambria"/>
          <w:b/>
          <w:bCs/>
          <w:sz w:val="20"/>
          <w:lang w:val="pt-BR"/>
        </w:rPr>
        <w:t>L</w:t>
      </w:r>
      <w:r w:rsidR="00F270BC" w:rsidRPr="00983A9B">
        <w:rPr>
          <w:rFonts w:ascii="Cambria" w:hAnsi="Cambria"/>
          <w:b/>
          <w:bCs/>
          <w:sz w:val="20"/>
          <w:lang w:val="pt-BR"/>
        </w:rPr>
        <w:t>GADA</w:t>
      </w:r>
      <w:r w:rsidR="00F270BC" w:rsidRPr="00983A9B">
        <w:rPr>
          <w:rFonts w:ascii="Cambria" w:hAnsi="Cambria"/>
          <w:b/>
          <w:bCs/>
          <w:i/>
          <w:sz w:val="20"/>
          <w:lang w:val="pt-BR"/>
        </w:rPr>
        <w:t xml:space="preserve"> </w:t>
      </w:r>
      <w:r w:rsidR="00F270BC" w:rsidRPr="00983A9B">
        <w:rPr>
          <w:rFonts w:ascii="Cambria" w:hAnsi="Cambria"/>
          <w:b/>
          <w:bCs/>
          <w:sz w:val="20"/>
          <w:lang w:val="pt-BR"/>
        </w:rPr>
        <w:t xml:space="preserve">INTERNACIONAL, CARACTERIZAÇÃO, </w:t>
      </w:r>
      <w:r w:rsidR="00655CD0" w:rsidRPr="00983A9B">
        <w:rPr>
          <w:rFonts w:ascii="Cambria" w:hAnsi="Cambria"/>
          <w:b/>
          <w:sz w:val="20"/>
          <w:lang w:val="pt-BR"/>
        </w:rPr>
        <w:t>ES</w:t>
      </w:r>
      <w:r w:rsidR="00F270BC" w:rsidRPr="00983A9B">
        <w:rPr>
          <w:rFonts w:ascii="Cambria" w:hAnsi="Cambria"/>
          <w:b/>
          <w:sz w:val="20"/>
          <w:lang w:val="pt-BR"/>
        </w:rPr>
        <w:t>GOTAMENTO DOS RECURSOS INTERNOS E P</w:t>
      </w:r>
      <w:r w:rsidR="00655CD0" w:rsidRPr="00983A9B">
        <w:rPr>
          <w:rFonts w:ascii="Cambria" w:hAnsi="Cambria"/>
          <w:b/>
          <w:sz w:val="20"/>
          <w:lang w:val="pt-BR"/>
        </w:rPr>
        <w:t>R</w:t>
      </w:r>
      <w:r w:rsidR="00F270BC" w:rsidRPr="00983A9B">
        <w:rPr>
          <w:rFonts w:ascii="Cambria" w:hAnsi="Cambria"/>
          <w:b/>
          <w:sz w:val="20"/>
          <w:lang w:val="pt-BR"/>
        </w:rPr>
        <w:t xml:space="preserve">AZO DE </w:t>
      </w:r>
      <w:r w:rsidR="00655CD0" w:rsidRPr="00983A9B">
        <w:rPr>
          <w:rFonts w:ascii="Cambria" w:hAnsi="Cambria"/>
          <w:b/>
          <w:sz w:val="20"/>
          <w:lang w:val="pt-BR"/>
        </w:rPr>
        <w:t>A</w:t>
      </w:r>
      <w:r w:rsidRPr="00983A9B">
        <w:rPr>
          <w:rFonts w:ascii="Cambria" w:hAnsi="Cambria"/>
          <w:b/>
          <w:sz w:val="20"/>
          <w:lang w:val="pt-BR"/>
        </w:rPr>
        <w:t>PRESENTA</w:t>
      </w:r>
      <w:r w:rsidR="000F38DA" w:rsidRPr="00983A9B">
        <w:rPr>
          <w:rFonts w:ascii="Cambria" w:hAnsi="Cambria"/>
          <w:b/>
          <w:sz w:val="20"/>
          <w:lang w:val="pt-BR"/>
        </w:rPr>
        <w:t>ÇÃO</w:t>
      </w:r>
    </w:p>
    <w:tbl>
      <w:tblPr>
        <w:tblW w:w="933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64"/>
        <w:gridCol w:w="5773"/>
      </w:tblGrid>
      <w:tr w:rsidR="00983A9B" w:rsidRPr="00983A9B" w14:paraId="60CBCA7B" w14:textId="77777777" w:rsidTr="00713224">
        <w:trPr>
          <w:cantSplit/>
        </w:trPr>
        <w:tc>
          <w:tcPr>
            <w:tcW w:w="3564" w:type="dxa"/>
            <w:tcBorders>
              <w:top w:val="single" w:sz="4" w:space="0" w:color="auto"/>
              <w:bottom w:val="single" w:sz="6" w:space="0" w:color="auto"/>
            </w:tcBorders>
            <w:shd w:val="clear" w:color="auto" w:fill="FFC000"/>
            <w:vAlign w:val="center"/>
          </w:tcPr>
          <w:p w14:paraId="76C850D1" w14:textId="77777777" w:rsidR="00697D1E" w:rsidRPr="00983A9B" w:rsidRDefault="00697D1E">
            <w:pPr>
              <w:jc w:val="center"/>
              <w:rPr>
                <w:rFonts w:ascii="Cambria" w:hAnsi="Cambria"/>
                <w:b/>
                <w:bCs/>
                <w:sz w:val="20"/>
                <w:lang w:val="pt-BR"/>
              </w:rPr>
            </w:pPr>
            <w:r w:rsidRPr="00983A9B">
              <w:rPr>
                <w:rFonts w:ascii="Cambria" w:hAnsi="Cambria"/>
                <w:b/>
                <w:bCs/>
                <w:sz w:val="20"/>
                <w:lang w:val="pt-BR"/>
              </w:rPr>
              <w:t>Duplica</w:t>
            </w:r>
            <w:r w:rsidR="000F38DA" w:rsidRPr="00983A9B">
              <w:rPr>
                <w:rFonts w:ascii="Cambria" w:hAnsi="Cambria"/>
                <w:b/>
                <w:bCs/>
                <w:sz w:val="20"/>
                <w:lang w:val="pt-BR"/>
              </w:rPr>
              <w:t>ção</w:t>
            </w:r>
            <w:r w:rsidRPr="00983A9B">
              <w:rPr>
                <w:rFonts w:ascii="Cambria" w:hAnsi="Cambria"/>
                <w:b/>
                <w:bCs/>
                <w:sz w:val="20"/>
                <w:lang w:val="pt-BR"/>
              </w:rPr>
              <w:t xml:space="preserve"> de procedi</w:t>
            </w:r>
            <w:r w:rsidR="0095584C" w:rsidRPr="00983A9B">
              <w:rPr>
                <w:rFonts w:ascii="Cambria" w:hAnsi="Cambria"/>
                <w:b/>
                <w:bCs/>
                <w:sz w:val="20"/>
                <w:lang w:val="pt-BR"/>
              </w:rPr>
              <w:t>mento</w:t>
            </w:r>
            <w:r w:rsidRPr="00983A9B">
              <w:rPr>
                <w:rFonts w:ascii="Cambria" w:hAnsi="Cambria"/>
                <w:b/>
                <w:bCs/>
                <w:sz w:val="20"/>
                <w:lang w:val="pt-BR"/>
              </w:rPr>
              <w:t>s</w:t>
            </w:r>
            <w:r w:rsidR="000F38DA" w:rsidRPr="00983A9B">
              <w:rPr>
                <w:rFonts w:ascii="Cambria" w:hAnsi="Cambria"/>
                <w:b/>
                <w:bCs/>
                <w:sz w:val="20"/>
                <w:lang w:val="pt-BR"/>
              </w:rPr>
              <w:t xml:space="preserve"> e </w:t>
            </w:r>
            <w:r w:rsidRPr="00983A9B">
              <w:rPr>
                <w:rFonts w:ascii="Cambria" w:hAnsi="Cambria"/>
                <w:b/>
                <w:bCs/>
                <w:sz w:val="20"/>
                <w:lang w:val="pt-BR"/>
              </w:rPr>
              <w:t>co</w:t>
            </w:r>
            <w:r w:rsidR="00655CD0" w:rsidRPr="00983A9B">
              <w:rPr>
                <w:rFonts w:ascii="Cambria" w:hAnsi="Cambria"/>
                <w:b/>
                <w:bCs/>
                <w:sz w:val="20"/>
                <w:lang w:val="pt-BR"/>
              </w:rPr>
              <w:t>i</w:t>
            </w:r>
            <w:r w:rsidRPr="00983A9B">
              <w:rPr>
                <w:rFonts w:ascii="Cambria" w:hAnsi="Cambria"/>
                <w:b/>
                <w:bCs/>
                <w:sz w:val="20"/>
                <w:lang w:val="pt-BR"/>
              </w:rPr>
              <w:t>sa ju</w:t>
            </w:r>
            <w:r w:rsidR="00655CD0" w:rsidRPr="00983A9B">
              <w:rPr>
                <w:rFonts w:ascii="Cambria" w:hAnsi="Cambria"/>
                <w:b/>
                <w:bCs/>
                <w:sz w:val="20"/>
                <w:lang w:val="pt-BR"/>
              </w:rPr>
              <w:t>l</w:t>
            </w:r>
            <w:r w:rsidRPr="00983A9B">
              <w:rPr>
                <w:rFonts w:ascii="Cambria" w:hAnsi="Cambria"/>
                <w:b/>
                <w:bCs/>
                <w:sz w:val="20"/>
                <w:lang w:val="pt-BR"/>
              </w:rPr>
              <w:t>gada internacional:</w:t>
            </w:r>
          </w:p>
        </w:tc>
        <w:tc>
          <w:tcPr>
            <w:tcW w:w="5773" w:type="dxa"/>
            <w:shd w:val="clear" w:color="auto" w:fill="auto"/>
            <w:vAlign w:val="center"/>
          </w:tcPr>
          <w:p w14:paraId="7DD14833" w14:textId="77777777" w:rsidR="00697D1E" w:rsidRPr="00983A9B" w:rsidRDefault="00697D1E">
            <w:pPr>
              <w:rPr>
                <w:rFonts w:ascii="Cambria" w:hAnsi="Cambria"/>
                <w:bCs/>
                <w:sz w:val="20"/>
                <w:lang w:val="pt-BR"/>
              </w:rPr>
            </w:pPr>
            <w:r w:rsidRPr="00983A9B">
              <w:rPr>
                <w:rFonts w:ascii="Cambria" w:hAnsi="Cambria"/>
                <w:bCs/>
                <w:sz w:val="20"/>
                <w:lang w:val="pt-BR"/>
              </w:rPr>
              <w:t>N</w:t>
            </w:r>
            <w:r w:rsidR="00655CD0" w:rsidRPr="00983A9B">
              <w:rPr>
                <w:rFonts w:ascii="Cambria" w:hAnsi="Cambria"/>
                <w:bCs/>
                <w:sz w:val="20"/>
                <w:lang w:val="pt-BR"/>
              </w:rPr>
              <w:t>ã</w:t>
            </w:r>
            <w:r w:rsidRPr="00983A9B">
              <w:rPr>
                <w:rFonts w:ascii="Cambria" w:hAnsi="Cambria"/>
                <w:bCs/>
                <w:sz w:val="20"/>
                <w:lang w:val="pt-BR"/>
              </w:rPr>
              <w:t>o</w:t>
            </w:r>
          </w:p>
        </w:tc>
      </w:tr>
      <w:tr w:rsidR="00983A9B" w:rsidRPr="00E11B56" w14:paraId="7F90570E" w14:textId="77777777" w:rsidTr="00713224">
        <w:trPr>
          <w:cantSplit/>
        </w:trPr>
        <w:tc>
          <w:tcPr>
            <w:tcW w:w="3564" w:type="dxa"/>
            <w:tcBorders>
              <w:top w:val="single" w:sz="4" w:space="0" w:color="auto"/>
              <w:bottom w:val="single" w:sz="6" w:space="0" w:color="auto"/>
            </w:tcBorders>
            <w:shd w:val="clear" w:color="auto" w:fill="FFC000"/>
            <w:vAlign w:val="center"/>
          </w:tcPr>
          <w:p w14:paraId="0523B790" w14:textId="77777777" w:rsidR="00697D1E" w:rsidRPr="00983A9B" w:rsidRDefault="00D52F0C">
            <w:pPr>
              <w:jc w:val="center"/>
              <w:rPr>
                <w:rFonts w:ascii="Cambria" w:hAnsi="Cambria"/>
                <w:b/>
                <w:bCs/>
                <w:i/>
                <w:sz w:val="20"/>
                <w:lang w:val="pt-BR"/>
              </w:rPr>
            </w:pPr>
            <w:r w:rsidRPr="00983A9B">
              <w:rPr>
                <w:rFonts w:ascii="Cambria" w:hAnsi="Cambria"/>
                <w:b/>
                <w:bCs/>
                <w:sz w:val="20"/>
                <w:lang w:val="pt-BR"/>
              </w:rPr>
              <w:t>Direito</w:t>
            </w:r>
            <w:r w:rsidR="00697D1E" w:rsidRPr="00983A9B">
              <w:rPr>
                <w:rFonts w:ascii="Cambria" w:hAnsi="Cambria"/>
                <w:b/>
                <w:bCs/>
                <w:sz w:val="20"/>
                <w:lang w:val="pt-BR"/>
              </w:rPr>
              <w:t>s declarados admis</w:t>
            </w:r>
            <w:r w:rsidR="00901BF1" w:rsidRPr="00983A9B">
              <w:rPr>
                <w:rFonts w:ascii="Cambria" w:hAnsi="Cambria"/>
                <w:b/>
                <w:bCs/>
                <w:sz w:val="20"/>
                <w:lang w:val="pt-BR"/>
              </w:rPr>
              <w:t>sívei</w:t>
            </w:r>
            <w:r w:rsidR="00697D1E" w:rsidRPr="00983A9B">
              <w:rPr>
                <w:rFonts w:ascii="Cambria" w:hAnsi="Cambria"/>
                <w:b/>
                <w:bCs/>
                <w:sz w:val="20"/>
                <w:lang w:val="pt-BR"/>
              </w:rPr>
              <w:t>s</w:t>
            </w:r>
            <w:r w:rsidR="00697D1E" w:rsidRPr="00983A9B">
              <w:rPr>
                <w:rFonts w:ascii="Cambria" w:hAnsi="Cambria"/>
                <w:b/>
                <w:bCs/>
                <w:i/>
                <w:sz w:val="20"/>
                <w:lang w:val="pt-BR"/>
              </w:rPr>
              <w:t>:</w:t>
            </w:r>
          </w:p>
        </w:tc>
        <w:tc>
          <w:tcPr>
            <w:tcW w:w="5773" w:type="dxa"/>
            <w:shd w:val="clear" w:color="auto" w:fill="auto"/>
            <w:vAlign w:val="center"/>
          </w:tcPr>
          <w:p w14:paraId="4645D1D9" w14:textId="77AB3C8E" w:rsidR="00697D1E" w:rsidRPr="00983A9B" w:rsidRDefault="00523EB1">
            <w:pPr>
              <w:rPr>
                <w:rFonts w:ascii="Cambria" w:hAnsi="Cambria"/>
                <w:bCs/>
                <w:sz w:val="20"/>
                <w:lang w:val="pt-BR"/>
              </w:rPr>
            </w:pPr>
            <w:r w:rsidRPr="00983A9B">
              <w:rPr>
                <w:rFonts w:ascii="Cambria" w:hAnsi="Cambria"/>
                <w:bCs/>
                <w:sz w:val="20"/>
                <w:lang w:val="pt-BR" w:bidi="es-ES"/>
              </w:rPr>
              <w:t>Artigos 4 (vida), 5 (integridade pessoal), 8 (garantias judiciais) e 25 (proteção judicial) da Convenção Americana, em relação ao artigo 1.1 (obrigação de respeitar os direitos)</w:t>
            </w:r>
          </w:p>
        </w:tc>
      </w:tr>
      <w:tr w:rsidR="00983A9B" w:rsidRPr="00E11B56" w14:paraId="73367485" w14:textId="77777777" w:rsidTr="00713224">
        <w:trPr>
          <w:cantSplit/>
        </w:trPr>
        <w:tc>
          <w:tcPr>
            <w:tcW w:w="3564" w:type="dxa"/>
            <w:tcBorders>
              <w:top w:val="single" w:sz="6" w:space="0" w:color="auto"/>
              <w:bottom w:val="single" w:sz="6" w:space="0" w:color="auto"/>
            </w:tcBorders>
            <w:shd w:val="clear" w:color="auto" w:fill="FFC000"/>
            <w:vAlign w:val="center"/>
          </w:tcPr>
          <w:p w14:paraId="5F68C37F" w14:textId="77777777" w:rsidR="00697D1E" w:rsidRPr="00983A9B" w:rsidRDefault="00655CD0">
            <w:pPr>
              <w:jc w:val="center"/>
              <w:rPr>
                <w:rFonts w:ascii="Cambria" w:hAnsi="Cambria"/>
                <w:b/>
                <w:bCs/>
                <w:sz w:val="20"/>
                <w:lang w:val="pt-BR"/>
              </w:rPr>
            </w:pPr>
            <w:r w:rsidRPr="00983A9B">
              <w:rPr>
                <w:rFonts w:ascii="Cambria" w:hAnsi="Cambria"/>
                <w:b/>
                <w:bCs/>
                <w:sz w:val="20"/>
                <w:lang w:val="pt-BR"/>
              </w:rPr>
              <w:t>Es</w:t>
            </w:r>
            <w:r w:rsidR="00697D1E" w:rsidRPr="00983A9B">
              <w:rPr>
                <w:rFonts w:ascii="Cambria" w:hAnsi="Cambria"/>
                <w:b/>
                <w:bCs/>
                <w:sz w:val="20"/>
                <w:lang w:val="pt-BR"/>
              </w:rPr>
              <w:t>gota</w:t>
            </w:r>
            <w:r w:rsidR="0095584C" w:rsidRPr="00983A9B">
              <w:rPr>
                <w:rFonts w:ascii="Cambria" w:hAnsi="Cambria"/>
                <w:b/>
                <w:bCs/>
                <w:sz w:val="20"/>
                <w:lang w:val="pt-BR"/>
              </w:rPr>
              <w:t>mento</w:t>
            </w:r>
            <w:r w:rsidR="00697D1E" w:rsidRPr="00983A9B">
              <w:rPr>
                <w:rFonts w:ascii="Cambria" w:hAnsi="Cambria"/>
                <w:b/>
                <w:bCs/>
                <w:sz w:val="20"/>
                <w:lang w:val="pt-BR"/>
              </w:rPr>
              <w:t xml:space="preserve"> de recursos internos o</w:t>
            </w:r>
            <w:r w:rsidRPr="00983A9B">
              <w:rPr>
                <w:rFonts w:ascii="Cambria" w:hAnsi="Cambria"/>
                <w:b/>
                <w:bCs/>
                <w:sz w:val="20"/>
                <w:lang w:val="pt-BR"/>
              </w:rPr>
              <w:t>u</w:t>
            </w:r>
            <w:r w:rsidR="00697D1E" w:rsidRPr="00983A9B">
              <w:rPr>
                <w:rFonts w:ascii="Cambria" w:hAnsi="Cambria"/>
                <w:b/>
                <w:bCs/>
                <w:sz w:val="20"/>
                <w:lang w:val="pt-BR"/>
              </w:rPr>
              <w:t xml:space="preserve"> proced</w:t>
            </w:r>
            <w:r w:rsidR="000F38DA" w:rsidRPr="00983A9B">
              <w:rPr>
                <w:rFonts w:ascii="Cambria" w:hAnsi="Cambria"/>
                <w:b/>
                <w:bCs/>
                <w:sz w:val="20"/>
                <w:lang w:val="pt-BR"/>
              </w:rPr>
              <w:t>ência</w:t>
            </w:r>
            <w:r w:rsidR="00697D1E" w:rsidRPr="00983A9B">
              <w:rPr>
                <w:rFonts w:ascii="Cambria" w:hAnsi="Cambria"/>
                <w:b/>
                <w:bCs/>
                <w:sz w:val="20"/>
                <w:lang w:val="pt-BR"/>
              </w:rPr>
              <w:t xml:space="preserve"> de</w:t>
            </w:r>
            <w:r w:rsidR="00F270BC" w:rsidRPr="00983A9B">
              <w:rPr>
                <w:rFonts w:ascii="Cambria" w:hAnsi="Cambria"/>
                <w:b/>
                <w:bCs/>
                <w:sz w:val="20"/>
                <w:lang w:val="pt-BR"/>
              </w:rPr>
              <w:t xml:space="preserve"> uma </w:t>
            </w:r>
            <w:r w:rsidR="00697D1E" w:rsidRPr="00983A9B">
              <w:rPr>
                <w:rFonts w:ascii="Cambria" w:hAnsi="Cambria"/>
                <w:b/>
                <w:bCs/>
                <w:sz w:val="20"/>
                <w:lang w:val="pt-BR"/>
              </w:rPr>
              <w:t>exce</w:t>
            </w:r>
            <w:r w:rsidR="000F38DA" w:rsidRPr="00983A9B">
              <w:rPr>
                <w:rFonts w:ascii="Cambria" w:hAnsi="Cambria"/>
                <w:b/>
                <w:bCs/>
                <w:sz w:val="20"/>
                <w:lang w:val="pt-BR"/>
              </w:rPr>
              <w:t>ção</w:t>
            </w:r>
            <w:r w:rsidR="00697D1E" w:rsidRPr="00983A9B">
              <w:rPr>
                <w:rFonts w:ascii="Cambria" w:hAnsi="Cambria"/>
                <w:b/>
                <w:bCs/>
                <w:sz w:val="20"/>
                <w:lang w:val="pt-BR"/>
              </w:rPr>
              <w:t>:</w:t>
            </w:r>
          </w:p>
        </w:tc>
        <w:tc>
          <w:tcPr>
            <w:tcW w:w="5773" w:type="dxa"/>
            <w:shd w:val="clear" w:color="auto" w:fill="auto"/>
            <w:vAlign w:val="center"/>
          </w:tcPr>
          <w:p w14:paraId="5120D273" w14:textId="7CF83A8A" w:rsidR="00697D1E" w:rsidRPr="00983A9B" w:rsidRDefault="00523EB1">
            <w:pPr>
              <w:rPr>
                <w:rFonts w:ascii="Cambria" w:hAnsi="Cambria"/>
                <w:bCs/>
                <w:sz w:val="20"/>
                <w:lang w:val="pt-BR"/>
              </w:rPr>
            </w:pPr>
            <w:r w:rsidRPr="00983A9B">
              <w:rPr>
                <w:rFonts w:ascii="Cambria" w:hAnsi="Cambria"/>
                <w:bCs/>
                <w:sz w:val="20"/>
                <w:lang w:val="pt-BR" w:bidi="es-ES"/>
              </w:rPr>
              <w:t>Parcialmente esgotamento dos recursos judiciais internos; e parcialmente aplicação da exceção constante do artigo 46.2.c) da Convenção Americana</w:t>
            </w:r>
          </w:p>
        </w:tc>
      </w:tr>
      <w:tr w:rsidR="00983A9B" w:rsidRPr="00E11B56" w14:paraId="6058D220" w14:textId="77777777" w:rsidTr="008A32DE">
        <w:trPr>
          <w:cantSplit/>
        </w:trPr>
        <w:tc>
          <w:tcPr>
            <w:tcW w:w="3564" w:type="dxa"/>
            <w:tcBorders>
              <w:top w:val="single" w:sz="6" w:space="0" w:color="auto"/>
              <w:bottom w:val="single" w:sz="6" w:space="0" w:color="auto"/>
            </w:tcBorders>
            <w:shd w:val="clear" w:color="auto" w:fill="FFC000"/>
            <w:vAlign w:val="center"/>
          </w:tcPr>
          <w:p w14:paraId="0B20FDFE" w14:textId="77777777" w:rsidR="00697D1E" w:rsidRPr="00983A9B" w:rsidRDefault="00655CD0">
            <w:pPr>
              <w:jc w:val="center"/>
              <w:rPr>
                <w:rFonts w:ascii="Cambria" w:hAnsi="Cambria"/>
                <w:b/>
                <w:bCs/>
                <w:sz w:val="20"/>
                <w:lang w:val="pt-BR"/>
              </w:rPr>
            </w:pPr>
            <w:r w:rsidRPr="00983A9B">
              <w:rPr>
                <w:rFonts w:ascii="Cambria" w:hAnsi="Cambria"/>
                <w:b/>
                <w:bCs/>
                <w:sz w:val="20"/>
                <w:lang w:val="pt-BR"/>
              </w:rPr>
              <w:t>Ap</w:t>
            </w:r>
            <w:r w:rsidR="00697D1E" w:rsidRPr="00983A9B">
              <w:rPr>
                <w:rFonts w:ascii="Cambria" w:hAnsi="Cambria"/>
                <w:b/>
                <w:bCs/>
                <w:sz w:val="20"/>
                <w:lang w:val="pt-BR"/>
              </w:rPr>
              <w:t>resenta</w:t>
            </w:r>
            <w:r w:rsidR="000F38DA" w:rsidRPr="00983A9B">
              <w:rPr>
                <w:rFonts w:ascii="Cambria" w:hAnsi="Cambria"/>
                <w:b/>
                <w:bCs/>
                <w:sz w:val="20"/>
                <w:lang w:val="pt-BR"/>
              </w:rPr>
              <w:t>ção</w:t>
            </w:r>
            <w:r w:rsidR="00697D1E" w:rsidRPr="00983A9B">
              <w:rPr>
                <w:rFonts w:ascii="Cambria" w:hAnsi="Cambria"/>
                <w:b/>
                <w:bCs/>
                <w:sz w:val="20"/>
                <w:lang w:val="pt-BR"/>
              </w:rPr>
              <w:t xml:space="preserve"> dentro d</w:t>
            </w:r>
            <w:r w:rsidRPr="00983A9B">
              <w:rPr>
                <w:rFonts w:ascii="Cambria" w:hAnsi="Cambria"/>
                <w:b/>
                <w:bCs/>
                <w:sz w:val="20"/>
                <w:lang w:val="pt-BR"/>
              </w:rPr>
              <w:t>o</w:t>
            </w:r>
            <w:r w:rsidR="00697D1E" w:rsidRPr="00983A9B">
              <w:rPr>
                <w:rFonts w:ascii="Cambria" w:hAnsi="Cambria"/>
                <w:b/>
                <w:bCs/>
                <w:sz w:val="20"/>
                <w:lang w:val="pt-BR"/>
              </w:rPr>
              <w:t xml:space="preserve"> p</w:t>
            </w:r>
            <w:r w:rsidRPr="00983A9B">
              <w:rPr>
                <w:rFonts w:ascii="Cambria" w:hAnsi="Cambria"/>
                <w:b/>
                <w:bCs/>
                <w:sz w:val="20"/>
                <w:lang w:val="pt-BR"/>
              </w:rPr>
              <w:t>r</w:t>
            </w:r>
            <w:r w:rsidR="00697D1E" w:rsidRPr="00983A9B">
              <w:rPr>
                <w:rFonts w:ascii="Cambria" w:hAnsi="Cambria"/>
                <w:b/>
                <w:bCs/>
                <w:sz w:val="20"/>
                <w:lang w:val="pt-BR"/>
              </w:rPr>
              <w:t>azo:</w:t>
            </w:r>
          </w:p>
        </w:tc>
        <w:tc>
          <w:tcPr>
            <w:tcW w:w="5773" w:type="dxa"/>
            <w:shd w:val="clear" w:color="auto" w:fill="auto"/>
            <w:vAlign w:val="center"/>
          </w:tcPr>
          <w:p w14:paraId="0BBCAD81" w14:textId="77777777" w:rsidR="00697D1E" w:rsidRPr="00983A9B" w:rsidRDefault="00B35631">
            <w:pPr>
              <w:rPr>
                <w:rFonts w:ascii="Cambria" w:hAnsi="Cambria"/>
                <w:bCs/>
                <w:sz w:val="20"/>
                <w:lang w:val="pt-BR"/>
              </w:rPr>
            </w:pPr>
            <w:r w:rsidRPr="00983A9B">
              <w:rPr>
                <w:rFonts w:ascii="Cambria" w:hAnsi="Cambria"/>
                <w:bCs/>
                <w:sz w:val="20"/>
                <w:lang w:val="pt-BR" w:bidi="es-ES"/>
              </w:rPr>
              <w:t>Sim</w:t>
            </w:r>
            <w:r w:rsidR="00697D1E" w:rsidRPr="00983A9B">
              <w:rPr>
                <w:rFonts w:ascii="Cambria" w:hAnsi="Cambria"/>
                <w:bCs/>
                <w:sz w:val="20"/>
                <w:lang w:val="pt-BR" w:bidi="es-ES"/>
              </w:rPr>
              <w:t>, nos t</w:t>
            </w:r>
            <w:r w:rsidR="007D6C0A" w:rsidRPr="00983A9B">
              <w:rPr>
                <w:rFonts w:ascii="Cambria" w:hAnsi="Cambria"/>
                <w:bCs/>
                <w:sz w:val="20"/>
                <w:lang w:val="pt-BR" w:bidi="es-ES"/>
              </w:rPr>
              <w:t>e</w:t>
            </w:r>
            <w:r w:rsidR="00697D1E" w:rsidRPr="00983A9B">
              <w:rPr>
                <w:rFonts w:ascii="Cambria" w:hAnsi="Cambria"/>
                <w:bCs/>
                <w:sz w:val="20"/>
                <w:lang w:val="pt-BR" w:bidi="es-ES"/>
              </w:rPr>
              <w:t>rmos</w:t>
            </w:r>
            <w:r w:rsidR="00F270BC" w:rsidRPr="00983A9B">
              <w:rPr>
                <w:rFonts w:ascii="Cambria" w:hAnsi="Cambria"/>
                <w:bCs/>
                <w:sz w:val="20"/>
                <w:lang w:val="pt-BR" w:bidi="es-ES"/>
              </w:rPr>
              <w:t xml:space="preserve"> da </w:t>
            </w:r>
            <w:r w:rsidR="00697D1E" w:rsidRPr="00983A9B">
              <w:rPr>
                <w:rFonts w:ascii="Cambria" w:hAnsi="Cambria"/>
                <w:bCs/>
                <w:sz w:val="20"/>
                <w:lang w:val="pt-BR" w:bidi="es-ES"/>
              </w:rPr>
              <w:t>Se</w:t>
            </w:r>
            <w:r w:rsidR="00901BF1" w:rsidRPr="00983A9B">
              <w:rPr>
                <w:rFonts w:ascii="Cambria" w:hAnsi="Cambria"/>
                <w:bCs/>
                <w:sz w:val="20"/>
                <w:lang w:val="pt-BR" w:bidi="es-ES"/>
              </w:rPr>
              <w:t>ç</w:t>
            </w:r>
            <w:r w:rsidR="000F38DA" w:rsidRPr="00983A9B">
              <w:rPr>
                <w:rFonts w:ascii="Cambria" w:hAnsi="Cambria"/>
                <w:bCs/>
                <w:sz w:val="20"/>
                <w:lang w:val="pt-BR" w:bidi="es-ES"/>
              </w:rPr>
              <w:t>ão</w:t>
            </w:r>
            <w:r w:rsidR="00697D1E" w:rsidRPr="00983A9B">
              <w:rPr>
                <w:rFonts w:ascii="Cambria" w:hAnsi="Cambria"/>
                <w:bCs/>
                <w:sz w:val="20"/>
                <w:lang w:val="pt-BR" w:bidi="es-ES"/>
              </w:rPr>
              <w:t xml:space="preserve"> VI</w:t>
            </w:r>
          </w:p>
        </w:tc>
      </w:tr>
    </w:tbl>
    <w:p w14:paraId="4A821288" w14:textId="474D056E" w:rsidR="00697D1E" w:rsidRPr="00206F45" w:rsidRDefault="00697D1E" w:rsidP="00697D1E">
      <w:pPr>
        <w:spacing w:before="240" w:after="240"/>
        <w:ind w:firstLine="720"/>
        <w:rPr>
          <w:rFonts w:ascii="Cambria" w:hAnsi="Cambria"/>
          <w:b/>
          <w:bCs/>
          <w:sz w:val="20"/>
          <w:lang w:val="pt-BR"/>
        </w:rPr>
      </w:pPr>
      <w:r w:rsidRPr="00206F45">
        <w:rPr>
          <w:rFonts w:ascii="Cambria" w:hAnsi="Cambria"/>
          <w:b/>
          <w:sz w:val="20"/>
          <w:lang w:val="pt-BR"/>
        </w:rPr>
        <w:t xml:space="preserve">V. </w:t>
      </w:r>
      <w:r w:rsidRPr="00206F45">
        <w:rPr>
          <w:rFonts w:ascii="Cambria" w:hAnsi="Cambria"/>
          <w:b/>
          <w:sz w:val="20"/>
          <w:lang w:val="pt-BR"/>
        </w:rPr>
        <w:tab/>
      </w:r>
      <w:r w:rsidR="00206F45">
        <w:rPr>
          <w:rFonts w:ascii="Cambria" w:hAnsi="Cambria"/>
          <w:b/>
          <w:bCs/>
          <w:sz w:val="20"/>
          <w:lang w:val="pt-BR"/>
        </w:rPr>
        <w:t>POSIÇÃO DAS PARTES</w:t>
      </w:r>
    </w:p>
    <w:p w14:paraId="7B0DBD60" w14:textId="2DDE3646" w:rsidR="00697D1E" w:rsidRPr="00206F45" w:rsidRDefault="008A32DE" w:rsidP="00697D1E">
      <w:pPr>
        <w:spacing w:before="240" w:after="240"/>
        <w:ind w:firstLine="720"/>
        <w:rPr>
          <w:rFonts w:ascii="Cambria" w:hAnsi="Cambria"/>
          <w:i/>
          <w:iCs/>
          <w:sz w:val="20"/>
          <w:lang w:val="pt-BR"/>
        </w:rPr>
      </w:pPr>
      <w:r>
        <w:rPr>
          <w:rFonts w:ascii="Cambria" w:hAnsi="Cambria"/>
          <w:i/>
          <w:iCs/>
          <w:sz w:val="20"/>
          <w:lang w:val="pt-BR"/>
        </w:rPr>
        <w:t>Posição</w:t>
      </w:r>
      <w:r w:rsidR="00F270BC" w:rsidRPr="00206F45">
        <w:rPr>
          <w:rFonts w:ascii="Cambria" w:hAnsi="Cambria"/>
          <w:i/>
          <w:iCs/>
          <w:sz w:val="20"/>
          <w:lang w:val="pt-BR"/>
        </w:rPr>
        <w:t xml:space="preserve"> da </w:t>
      </w:r>
      <w:r w:rsidR="00697D1E" w:rsidRPr="00206F45">
        <w:rPr>
          <w:rFonts w:ascii="Cambria" w:hAnsi="Cambria"/>
          <w:i/>
          <w:iCs/>
          <w:sz w:val="20"/>
          <w:lang w:val="pt-BR"/>
        </w:rPr>
        <w:t xml:space="preserve">parte </w:t>
      </w:r>
      <w:r w:rsidR="00F270BC" w:rsidRPr="00206F45">
        <w:rPr>
          <w:rFonts w:ascii="Cambria" w:hAnsi="Cambria"/>
          <w:i/>
          <w:iCs/>
          <w:sz w:val="20"/>
          <w:lang w:val="pt-BR"/>
        </w:rPr>
        <w:t>peticionária</w:t>
      </w:r>
    </w:p>
    <w:p w14:paraId="5E8E8A7A" w14:textId="77777777" w:rsidR="00523EB1" w:rsidRPr="00523EB1" w:rsidRDefault="00523EB1" w:rsidP="00523EB1">
      <w:pPr>
        <w:pStyle w:val="ListParagraph"/>
        <w:numPr>
          <w:ilvl w:val="0"/>
          <w:numId w:val="103"/>
        </w:numPr>
        <w:spacing w:before="240" w:after="240"/>
        <w:ind w:left="0" w:firstLine="720"/>
        <w:jc w:val="both"/>
        <w:rPr>
          <w:sz w:val="20"/>
          <w:szCs w:val="20"/>
          <w:lang w:val="pt-BR"/>
        </w:rPr>
      </w:pPr>
      <w:r w:rsidRPr="00523EB1">
        <w:rPr>
          <w:sz w:val="20"/>
          <w:szCs w:val="20"/>
          <w:lang w:val="pt-BR"/>
        </w:rPr>
        <w:t>A parte peticionária alega que o Estado é responsável pelos danos decorrentes do incêndio no clube noturno “Canecão Mineiro”, por não adotar as medidas necessárias para prevenir o incidente, bem como pela demora nos processos internos e pela falta de reparação civil dos danos causados.</w:t>
      </w:r>
    </w:p>
    <w:p w14:paraId="1D6355D8" w14:textId="77777777" w:rsidR="00523EB1" w:rsidRPr="00523EB1" w:rsidRDefault="00523EB1" w:rsidP="00523EB1">
      <w:pPr>
        <w:pStyle w:val="ListParagraph"/>
        <w:numPr>
          <w:ilvl w:val="0"/>
          <w:numId w:val="103"/>
        </w:numPr>
        <w:spacing w:before="240" w:after="240"/>
        <w:ind w:left="0" w:firstLine="720"/>
        <w:jc w:val="both"/>
        <w:rPr>
          <w:sz w:val="20"/>
          <w:szCs w:val="20"/>
          <w:lang w:val="pt-BR"/>
        </w:rPr>
      </w:pPr>
      <w:r w:rsidRPr="00523EB1">
        <w:rPr>
          <w:sz w:val="20"/>
          <w:szCs w:val="20"/>
          <w:lang w:val="pt-BR"/>
        </w:rPr>
        <w:t xml:space="preserve">Na madrugada de 24 de novembro de 2001, o Canecão Mineiro, propriedade da empresa privada Betti e Lopes Ltda., sofreu um incêndio no qual morreram sete pessoas e aproximadamente 370 ficaram feridas, entre elas as vítimas alegadas na presente petição. O incêndio teve origem em virtude do uso de um artefato pirotécnico por parte de uma banda musical que se apresentava no estabelecimento. </w:t>
      </w:r>
    </w:p>
    <w:p w14:paraId="06E10C0D" w14:textId="77777777" w:rsidR="00523EB1" w:rsidRPr="00523EB1" w:rsidRDefault="00523EB1" w:rsidP="00523EB1">
      <w:pPr>
        <w:pStyle w:val="ListParagraph"/>
        <w:numPr>
          <w:ilvl w:val="0"/>
          <w:numId w:val="103"/>
        </w:numPr>
        <w:spacing w:before="240" w:after="240"/>
        <w:ind w:left="0" w:firstLine="720"/>
        <w:jc w:val="both"/>
        <w:rPr>
          <w:sz w:val="20"/>
          <w:szCs w:val="20"/>
          <w:lang w:val="pt-BR"/>
        </w:rPr>
      </w:pPr>
      <w:r w:rsidRPr="00523EB1">
        <w:rPr>
          <w:sz w:val="20"/>
          <w:szCs w:val="20"/>
          <w:lang w:val="pt-BR"/>
        </w:rPr>
        <w:t>Os peticionários argumentam que durante o acontecimento registrou-se uma série de graves irregularidades no sistema de prevenção e extinção de incêndios. Aduzem que as normas regulamentares – embora não citem nenhuma especificamente – exigiam que o recinto dispusesse, inclusive, de um sistema de alarme contra incêndios; iluminação de emergência; duas escadas fechadas (escadas cujas gavetas são rodeadas por paredes cor-fogo e que dispõem de portas corta-fogo); um sistema de proteção composto por aspersores automáticos; e hidrantes e tubos para extinção de incêndios. O local, no entanto, não contava com essas adequações. De fato, afirmam os peticionários, os extintores de água a pressão, dióxido de carbono e pó químico de que a casa dispunha eram inadequados, mal distribuídos e em número insuficiente.</w:t>
      </w:r>
    </w:p>
    <w:p w14:paraId="0297F444" w14:textId="77777777" w:rsidR="00523EB1" w:rsidRPr="00523EB1" w:rsidRDefault="00523EB1" w:rsidP="00523EB1">
      <w:pPr>
        <w:pStyle w:val="ListParagraph"/>
        <w:numPr>
          <w:ilvl w:val="0"/>
          <w:numId w:val="103"/>
        </w:numPr>
        <w:spacing w:before="240" w:after="240"/>
        <w:ind w:left="0" w:firstLine="720"/>
        <w:jc w:val="both"/>
        <w:rPr>
          <w:sz w:val="20"/>
          <w:szCs w:val="20"/>
          <w:lang w:val="pt-BR"/>
        </w:rPr>
      </w:pPr>
      <w:r w:rsidRPr="00523EB1">
        <w:rPr>
          <w:sz w:val="20"/>
          <w:szCs w:val="20"/>
          <w:lang w:val="pt-BR"/>
        </w:rPr>
        <w:t>Também acrescentam que as normas exigiam que as áreas destinadas à saída para a via pública nos edifícios de recepção do público não fossem obstruídas por balcões, bilheterias ou outro mobiliário que pudesse reduzir a largura útil da via. No Canecão Mineiro, no entanto, o vestíbulo de entrada era obstruído por uma estrutura com torniquetes e portas. Quando as pessoas tentaram escapar do fogo, encontraram roletas bloqueadas na saída, rodas de roleta que só giravam na direção de quem entrava no lugar. Finalmente, segundo os cálculos da Seção Técnica de Engenharia Jurídica da Secretaria de Estado de Segurança Pública de Minas Gerais, a soma da largura das saídas recomendadas para a construção do Canecão Mineiro era de 32 metros; no entanto, a soma das saídas do Canecão era de apenas cinco.</w:t>
      </w:r>
    </w:p>
    <w:p w14:paraId="1A828842" w14:textId="77777777" w:rsidR="00523EB1" w:rsidRPr="00523EB1" w:rsidRDefault="00523EB1" w:rsidP="00523EB1">
      <w:pPr>
        <w:pStyle w:val="ListParagraph"/>
        <w:numPr>
          <w:ilvl w:val="0"/>
          <w:numId w:val="103"/>
        </w:numPr>
        <w:spacing w:before="240" w:after="240"/>
        <w:ind w:left="0" w:firstLine="720"/>
        <w:jc w:val="both"/>
        <w:rPr>
          <w:sz w:val="20"/>
          <w:szCs w:val="20"/>
          <w:lang w:val="pt-BR"/>
        </w:rPr>
      </w:pPr>
      <w:r w:rsidRPr="00523EB1">
        <w:rPr>
          <w:sz w:val="20"/>
          <w:szCs w:val="20"/>
          <w:lang w:val="pt-BR"/>
        </w:rPr>
        <w:t>A irregularidades mencionadas, salienta a parte peticionária, se somaram a graves falhas de fiscalização por parte do município de Belo Horizonte.</w:t>
      </w:r>
    </w:p>
    <w:p w14:paraId="1CB1FE42" w14:textId="77777777" w:rsidR="00523EB1" w:rsidRPr="00523EB1" w:rsidRDefault="00523EB1" w:rsidP="00523EB1">
      <w:pPr>
        <w:pStyle w:val="ListParagraph"/>
        <w:numPr>
          <w:ilvl w:val="0"/>
          <w:numId w:val="103"/>
        </w:numPr>
        <w:spacing w:before="240" w:after="240"/>
        <w:ind w:left="0" w:firstLine="720"/>
        <w:jc w:val="both"/>
        <w:rPr>
          <w:sz w:val="20"/>
          <w:szCs w:val="20"/>
          <w:lang w:val="pt-BR"/>
        </w:rPr>
      </w:pPr>
      <w:r w:rsidRPr="00523EB1">
        <w:rPr>
          <w:sz w:val="20"/>
          <w:szCs w:val="20"/>
          <w:lang w:val="pt-BR"/>
        </w:rPr>
        <w:t xml:space="preserve">Até o momento do incêndio, a Secretaria Municipal da Coordenação de Gestão Regional Oeste de Belo Horizonte (SCOMGER-O) acreditava que no estabelecimento funcionasse a discoteca “Trem Caipira”. A Secretaria desconhecia que, em 2001, o local já não era ocupado pelo Trem Caipira, mas pelo Canecão Mineiro. </w:t>
      </w:r>
    </w:p>
    <w:p w14:paraId="7373EFE2" w14:textId="77777777" w:rsidR="00523EB1" w:rsidRPr="00523EB1" w:rsidRDefault="00523EB1" w:rsidP="00523EB1">
      <w:pPr>
        <w:pStyle w:val="ListParagraph"/>
        <w:numPr>
          <w:ilvl w:val="0"/>
          <w:numId w:val="103"/>
        </w:numPr>
        <w:spacing w:before="240" w:after="240"/>
        <w:ind w:left="0" w:firstLine="720"/>
        <w:jc w:val="both"/>
        <w:rPr>
          <w:sz w:val="20"/>
          <w:szCs w:val="20"/>
          <w:lang w:val="pt-BR"/>
        </w:rPr>
      </w:pPr>
      <w:r w:rsidRPr="00523EB1">
        <w:rPr>
          <w:sz w:val="20"/>
          <w:szCs w:val="20"/>
          <w:lang w:val="pt-BR"/>
        </w:rPr>
        <w:t xml:space="preserve">O estatuto da empresa Betti e Lopes Ltda. foi registrado na Câmara de Comércio de Minas Gerais em 26 de abril de 2001. Na mesma data, o local, até então utilizado pelo Trem Caipira, passou a ser o local de funcionamento da empresa Betti e Lopes Ltda. Em 18 de junho de 2001, o novo “Canecão Mineiro” foi </w:t>
      </w:r>
      <w:r w:rsidRPr="00523EB1">
        <w:rPr>
          <w:sz w:val="20"/>
          <w:szCs w:val="20"/>
          <w:lang w:val="pt-BR"/>
        </w:rPr>
        <w:lastRenderedPageBreak/>
        <w:t>registrado na Coordenação Municipal de Finanças. No entanto, essa informação só chegou à SCOMGER-O depois do incêndio, em 3 de dezembro de 2001. A parte peticionária afirma que esses fatos mostram o comportamento negligente da administração pública.</w:t>
      </w:r>
    </w:p>
    <w:p w14:paraId="41C69D00" w14:textId="77777777" w:rsidR="00523EB1" w:rsidRPr="00523EB1" w:rsidRDefault="00523EB1" w:rsidP="00523EB1">
      <w:pPr>
        <w:pStyle w:val="ListParagraph"/>
        <w:numPr>
          <w:ilvl w:val="0"/>
          <w:numId w:val="103"/>
        </w:numPr>
        <w:spacing w:before="240" w:after="240"/>
        <w:ind w:left="0" w:firstLine="720"/>
        <w:jc w:val="both"/>
        <w:rPr>
          <w:sz w:val="20"/>
          <w:szCs w:val="20"/>
          <w:lang w:val="pt-BR"/>
        </w:rPr>
      </w:pPr>
      <w:r w:rsidRPr="00523EB1">
        <w:rPr>
          <w:sz w:val="20"/>
          <w:szCs w:val="20"/>
          <w:lang w:val="pt-BR"/>
        </w:rPr>
        <w:t>A inspeção municipal relativa ao sistema de extinção e prevenção de incêndios também estava viciada. O Trem Caipira dispunha da “licença de localização e funcionamento” do município de Belo Horizonte, mas não dispunha de relatório do Corpo de Bombeiros que comprovasse sua regularidade quanto ao sistema de extinção e prevenção de incêndios. Em abril de 1999, o Sargento Militar do Corpo de Bombeiros José Pedro de Souza se apresentou no então “Trem Caipira” e constatou que não existia nenhum protocolo de prevenção e combate de incêndios, o que o levou a elaborar um relatório de inspeção.</w:t>
      </w:r>
    </w:p>
    <w:p w14:paraId="7B81D20D" w14:textId="77777777" w:rsidR="00523EB1" w:rsidRPr="00523EB1" w:rsidRDefault="00523EB1" w:rsidP="00523EB1">
      <w:pPr>
        <w:pStyle w:val="ListParagraph"/>
        <w:numPr>
          <w:ilvl w:val="0"/>
          <w:numId w:val="103"/>
        </w:numPr>
        <w:spacing w:before="240" w:after="240"/>
        <w:ind w:left="0" w:firstLine="720"/>
        <w:jc w:val="both"/>
        <w:rPr>
          <w:sz w:val="20"/>
          <w:szCs w:val="20"/>
          <w:lang w:val="pt-BR"/>
        </w:rPr>
      </w:pPr>
      <w:r w:rsidRPr="00523EB1">
        <w:rPr>
          <w:sz w:val="20"/>
          <w:szCs w:val="20"/>
          <w:lang w:val="pt-BR"/>
        </w:rPr>
        <w:t xml:space="preserve">Entre o citado aviso de inspeção de abril de 1999 e a data do incêndio, foram realizadas novas inspeções, sem que fossem sanadas as irregularidades. Em pelo menos quatro ocasiões os agentes visitaram o local e o encontraram fechado. A parte peticionária salienta, a respeito de uma das tentativas de inspeção, que teve lugar em dezembro de 2000, que a servidora pública que compareceu ao estabelecimento não havia realizado gestões (por exemplo, com estabelecimentos vizinhos) para conhecer o horário de atendimento da empresa. A servidora tampouco informou, em seus relatórios, a hora em que tentou proceder à inspeção, e não há indício ou prova de que tenha tentado realizar a inspeção à noite. Do mesmo modo, a então chefe de inspeção de obra esteve no local, mas durante o dia, razão pela qual nunca o encontrou aberto. A parte peticionária ressalta que, em conformidade com a Lei Municipal de Belo Horizonte No. 2060, de 1972, as tentativas falhas de inspeção deveriam ter sido informadas pela municipalidade ao Corpo de Bombeiros, o que tampouco aconteceu. Finalmente, a parte peticionária menciona que um expediente sobre a criação do então “Trem Caipira” foi remetido à Municipalidade de Belo Horizonte pelo Corpo de Bombeiros; no entanto, foi enviado com erro, já que não continha o nome do proprietário do estabelecimento. O nome era essencial, já que somente o proprietário pode ser notificado e multado. Esse deslize nunca foi corrigido. </w:t>
      </w:r>
    </w:p>
    <w:p w14:paraId="3E6440BF" w14:textId="77777777" w:rsidR="00523EB1" w:rsidRPr="00523EB1" w:rsidRDefault="00523EB1" w:rsidP="00523EB1">
      <w:pPr>
        <w:pStyle w:val="ListParagraph"/>
        <w:numPr>
          <w:ilvl w:val="0"/>
          <w:numId w:val="103"/>
        </w:numPr>
        <w:spacing w:before="240" w:after="240"/>
        <w:ind w:left="0" w:firstLine="720"/>
        <w:jc w:val="both"/>
        <w:rPr>
          <w:sz w:val="20"/>
          <w:szCs w:val="20"/>
          <w:lang w:val="pt-BR"/>
        </w:rPr>
      </w:pPr>
      <w:r w:rsidRPr="00523EB1">
        <w:rPr>
          <w:sz w:val="20"/>
          <w:szCs w:val="20"/>
          <w:lang w:val="pt-BR"/>
        </w:rPr>
        <w:t>Em 7 de novembro de 2001, semanas antes do incêndio, a Secretaria Municipal de Ordenação Urbana recebeu um escrito em que o Ministério Público para a Defesa do Meio Ambiente e do Patrimônio Cultural solicitava informação sobre a “licença de localização e funcionamento” do “Canecão Mineiro”. A parte peticionária considera que essa informação confirma que as autoridades tinham conhecimento do estabelecimento, e constituiria um indício ou prova adicional da negligência do Estado ao inspecionar e impedir que a casa de shows permanecesse aberta.</w:t>
      </w:r>
    </w:p>
    <w:p w14:paraId="2714BB53" w14:textId="6EB5FC34" w:rsidR="00523EB1" w:rsidRPr="00523EB1" w:rsidRDefault="00523EB1" w:rsidP="00523EB1">
      <w:pPr>
        <w:pStyle w:val="ListParagraph"/>
        <w:numPr>
          <w:ilvl w:val="0"/>
          <w:numId w:val="103"/>
        </w:numPr>
        <w:spacing w:before="240" w:after="240"/>
        <w:ind w:left="0" w:firstLine="720"/>
        <w:jc w:val="both"/>
        <w:rPr>
          <w:sz w:val="20"/>
          <w:szCs w:val="20"/>
          <w:lang w:val="pt-BR"/>
        </w:rPr>
      </w:pPr>
      <w:r w:rsidRPr="00523EB1">
        <w:rPr>
          <w:sz w:val="20"/>
          <w:szCs w:val="20"/>
          <w:lang w:val="pt-BR"/>
        </w:rPr>
        <w:t xml:space="preserve">A parte peticionária também afirma que a dimensão e a gravidade dos danos causados pelo incêndio se agravaram: i) pela atuação dos guardas de segurança do estabelecimento, que impediram a saída das pessoas por considerar que antes deviam pagar sua conta; e ii) pela superlotação do estabelecimento, porquanto havia mais de </w:t>
      </w:r>
      <w:r w:rsidR="00B9048D">
        <w:rPr>
          <w:sz w:val="20"/>
          <w:szCs w:val="20"/>
          <w:lang w:val="pt-BR"/>
        </w:rPr>
        <w:t>mil e quinhentas</w:t>
      </w:r>
      <w:r w:rsidRPr="00523EB1">
        <w:rPr>
          <w:sz w:val="20"/>
          <w:szCs w:val="20"/>
          <w:lang w:val="pt-BR"/>
        </w:rPr>
        <w:t xml:space="preserve"> pessoas, sendo a capacidade máxima do local de </w:t>
      </w:r>
      <w:r w:rsidR="00B9048D">
        <w:rPr>
          <w:sz w:val="20"/>
          <w:szCs w:val="20"/>
          <w:lang w:val="pt-BR"/>
        </w:rPr>
        <w:t>duzentas e setenta e duas.</w:t>
      </w:r>
    </w:p>
    <w:p w14:paraId="123962D5" w14:textId="50F8C370" w:rsidR="00697D1E" w:rsidRPr="00206F45" w:rsidRDefault="00697D1E" w:rsidP="00697D1E">
      <w:pPr>
        <w:pStyle w:val="ListParagraph"/>
        <w:spacing w:before="240" w:after="240"/>
        <w:jc w:val="both"/>
        <w:rPr>
          <w:i/>
          <w:iCs/>
          <w:sz w:val="20"/>
          <w:szCs w:val="20"/>
          <w:lang w:val="pt-BR"/>
        </w:rPr>
      </w:pPr>
      <w:r w:rsidRPr="00206F45">
        <w:rPr>
          <w:i/>
          <w:iCs/>
          <w:sz w:val="20"/>
          <w:szCs w:val="20"/>
          <w:lang w:val="pt-BR"/>
        </w:rPr>
        <w:t>P</w:t>
      </w:r>
      <w:r w:rsidR="008A32DE">
        <w:rPr>
          <w:i/>
          <w:iCs/>
          <w:sz w:val="20"/>
          <w:szCs w:val="20"/>
          <w:lang w:val="pt-BR"/>
        </w:rPr>
        <w:t xml:space="preserve">rocessos </w:t>
      </w:r>
      <w:r w:rsidR="009F6DDF">
        <w:rPr>
          <w:i/>
          <w:iCs/>
          <w:sz w:val="20"/>
          <w:szCs w:val="20"/>
          <w:lang w:val="pt-BR"/>
        </w:rPr>
        <w:t>c</w:t>
      </w:r>
      <w:r w:rsidR="008A32DE">
        <w:rPr>
          <w:i/>
          <w:iCs/>
          <w:sz w:val="20"/>
          <w:szCs w:val="20"/>
          <w:lang w:val="pt-BR"/>
        </w:rPr>
        <w:t xml:space="preserve">ivis </w:t>
      </w:r>
    </w:p>
    <w:p w14:paraId="5D8ACC6E" w14:textId="77777777" w:rsidR="008A32DE" w:rsidRPr="008A32DE" w:rsidRDefault="008A32DE" w:rsidP="008A32DE">
      <w:pPr>
        <w:pStyle w:val="ListParagraph"/>
        <w:numPr>
          <w:ilvl w:val="0"/>
          <w:numId w:val="103"/>
        </w:numPr>
        <w:spacing w:before="240" w:after="240"/>
        <w:ind w:left="0" w:firstLine="720"/>
        <w:jc w:val="both"/>
        <w:rPr>
          <w:sz w:val="20"/>
          <w:szCs w:val="20"/>
          <w:lang w:val="pt-BR"/>
        </w:rPr>
      </w:pPr>
      <w:r w:rsidRPr="008A32DE">
        <w:rPr>
          <w:sz w:val="20"/>
          <w:szCs w:val="20"/>
          <w:lang w:val="pt-BR"/>
        </w:rPr>
        <w:t>Quanto aos processos internos de natureza civil, a parte peticionária informa, em primeiro lugar, que o processo 0024.02.860091-4 (que ampara as alegadas vítimas Julio César dos Santos, Anderson Zaramela Duarte, André Luiz de Jesus, Magno Soares Pereira, Reginaldo José de Souza, Wilson Dalmindo Santos, Claudirley Lopes de Oliveira e Bruno dos Santos Souza); e o processo 0024.02.860097-1 (relacionado a Francisco Ferreira da Silva) transitaram em julgado, e que as respectivas sentenças definitivas isentaram de responsabilidade as autoridades públicas.</w:t>
      </w:r>
    </w:p>
    <w:p w14:paraId="30D19145" w14:textId="77777777" w:rsidR="008A32DE" w:rsidRPr="008A32DE" w:rsidRDefault="008A32DE" w:rsidP="008A32DE">
      <w:pPr>
        <w:pStyle w:val="ListParagraph"/>
        <w:numPr>
          <w:ilvl w:val="0"/>
          <w:numId w:val="103"/>
        </w:numPr>
        <w:spacing w:before="240" w:after="240"/>
        <w:ind w:left="0" w:firstLine="720"/>
        <w:jc w:val="both"/>
        <w:rPr>
          <w:sz w:val="20"/>
          <w:szCs w:val="20"/>
          <w:lang w:val="pt-BR"/>
        </w:rPr>
      </w:pPr>
      <w:r w:rsidRPr="008A32DE">
        <w:rPr>
          <w:sz w:val="20"/>
          <w:szCs w:val="20"/>
          <w:lang w:val="pt-BR"/>
        </w:rPr>
        <w:t xml:space="preserve">A parte peticionária também se refere ao processo 0024.02.860092-2, iniciado por Reinaldo Silva Barbosa, R.C.R., Rafael Martins Moreira, Weverton de Almeida de Souza, Rodrigo Gonçalves e Ronaldo Goncalves. Em resumo: i) o processo foi iniciado pelas supostas vítimas em 21 de novembro de 2002; no entanto, a decisão de primeira instância foi emitida em 23 de abril de 2008; não se dispõe de mais informação a respeito dessa decisão; ii) após um recurso de apelação, o tribunal de segunda instância decidiu que a municipalidade seria responsável pelas lesões sofridas pelas pessoas que interpuseram a demanda, decisão publicada em 5 de março de 2010; iii) a municipalidade interpôs recurso contra a decisão de segunda instância </w:t>
      </w:r>
      <w:r w:rsidRPr="008A32DE">
        <w:rPr>
          <w:sz w:val="20"/>
          <w:szCs w:val="20"/>
          <w:lang w:val="pt-BR"/>
        </w:rPr>
        <w:lastRenderedPageBreak/>
        <w:t>e, em 22 de janeiro de 2014, o processo foi suspenso. A parte peticionária não oferece detalhes sobre o motivo dessa suspensão. A parte peticionária também afirma que no momento da apresentação da denúncia à CIDH o processo se encontrava inconcluso.</w:t>
      </w:r>
    </w:p>
    <w:p w14:paraId="72BEE0D3" w14:textId="77777777" w:rsidR="008A32DE" w:rsidRPr="008A32DE" w:rsidRDefault="008A32DE" w:rsidP="008A32DE">
      <w:pPr>
        <w:pStyle w:val="ListParagraph"/>
        <w:numPr>
          <w:ilvl w:val="0"/>
          <w:numId w:val="103"/>
        </w:numPr>
        <w:spacing w:before="240" w:after="240"/>
        <w:ind w:left="0" w:firstLine="720"/>
        <w:jc w:val="both"/>
        <w:rPr>
          <w:sz w:val="20"/>
          <w:szCs w:val="20"/>
          <w:lang w:val="pt-BR"/>
        </w:rPr>
      </w:pPr>
      <w:r w:rsidRPr="008A32DE">
        <w:rPr>
          <w:sz w:val="20"/>
          <w:szCs w:val="20"/>
          <w:lang w:val="pt-BR"/>
        </w:rPr>
        <w:t>A parte peticionária se refere ao processo 0024.02.860100-3, apresentado em 21 de novembro de 2002, em favor de Daniel Félix Batista, Édna Batista Cesário, Cleonei Pereira da Silva, Elinir Cândida dos Santos, Lucineia Caldeira dos Santos, Janaína Helen Basílio Paixão, Fábio Roberto Moreira e Kelly Cristina Aparecida de Souza. Em resumo, ressalta que: i) houve sentença de primeira instância em 18 de outubro de 2011; ii) houve recurso de apelação e o tribunal de segunda instância considerou a municipalidade responsável pelas lesões sofridas pelas pessoas que interpuseram a demanda, decisão publicada em 15 de março de 2013; iii) a municipalidade interpôs recurso contra essa decisão, que se encontrava pendente de decisão no momento da apresentação da petição à CIDH (2015).</w:t>
      </w:r>
    </w:p>
    <w:p w14:paraId="1FC3F9E9" w14:textId="77777777" w:rsidR="008A32DE" w:rsidRPr="008A32DE" w:rsidRDefault="008A32DE" w:rsidP="008A32DE">
      <w:pPr>
        <w:pStyle w:val="ListParagraph"/>
        <w:numPr>
          <w:ilvl w:val="0"/>
          <w:numId w:val="103"/>
        </w:numPr>
        <w:spacing w:before="240" w:after="240"/>
        <w:ind w:left="0" w:firstLine="720"/>
        <w:jc w:val="both"/>
        <w:rPr>
          <w:sz w:val="20"/>
          <w:szCs w:val="20"/>
          <w:lang w:val="pt-BR"/>
        </w:rPr>
      </w:pPr>
      <w:r w:rsidRPr="008A32DE">
        <w:rPr>
          <w:sz w:val="20"/>
          <w:szCs w:val="20"/>
          <w:lang w:val="pt-BR"/>
        </w:rPr>
        <w:t>Além disso, a parte peticionária menciona o processo 0024.05.871105-2, iniciado em favor de Juliana Opa Silva, em 11 de novembro de 2005. Quando a esse processo, em síntese: i) houve decisão de primeira instância em 26 de fevereiro de 2013; ii) houve recurso de apelação e o tribunal de segunda instância considerou a municipalidade responsável pelas lesões sofridas pelas pessoas que interpuseram a demanda, decisão publicada em 16 de outubro de 2013; iii) a municipalidade interpôs recurso contra a decisão de segunda instância e, em 15 de julho de 2014, o processo foi suspenso. A parte peticionária não oferece detalhes sobre o motivo dessa suspensão. A parte peticionária também afirma que, no momento da apresentação da denúncia à CIDH, o recurso se achava pendente de decisão final.</w:t>
      </w:r>
    </w:p>
    <w:p w14:paraId="3C5731D7" w14:textId="77777777" w:rsidR="008A32DE" w:rsidRPr="008A32DE" w:rsidRDefault="008A32DE" w:rsidP="008A32DE">
      <w:pPr>
        <w:pStyle w:val="ListParagraph"/>
        <w:numPr>
          <w:ilvl w:val="0"/>
          <w:numId w:val="103"/>
        </w:numPr>
        <w:spacing w:before="240" w:after="240"/>
        <w:ind w:left="0" w:firstLine="720"/>
        <w:jc w:val="both"/>
        <w:rPr>
          <w:sz w:val="20"/>
          <w:szCs w:val="20"/>
          <w:lang w:val="pt-BR"/>
        </w:rPr>
      </w:pPr>
      <w:r w:rsidRPr="008A32DE">
        <w:rPr>
          <w:sz w:val="20"/>
          <w:szCs w:val="20"/>
          <w:lang w:val="pt-BR"/>
        </w:rPr>
        <w:t xml:space="preserve">Sobre o processo 0024.02.860099-7, apresentado em favor de Denis Aparecido Moreira, Enio de Jesus Rodrigues, Glauber de Almeida Queiroz, Joyce Cristina Pereira Xavier, Gerson Guimarães Matias, Márcia Cristina dos Anjos Pires, Agenor Batista Duarte Júnior e Adriana Vieira dos Santos, a parte peticionária salienta que: i) a ação foi interposta em 21 de novembro de 2002; ii) houve sentença de primeira instância em 11 de julho de 2013; ii) houve recurso – sem oferecer maiores detalhes –, e o tribunal de segunda instância considerou a municipalidade responsável pelas lesões sofridas pelas pessoas que interpuseram a demanda; essa decisão foi publicada em 17 de setembro de 2014; iii) a municipalidade interpôs recurso contra a decisão de segunda instância, o qual, no momento de apresentação da presente petição, se encontrava pendente de decisão. </w:t>
      </w:r>
    </w:p>
    <w:p w14:paraId="781FE8E8" w14:textId="77777777" w:rsidR="008A32DE" w:rsidRPr="008A32DE" w:rsidRDefault="008A32DE" w:rsidP="008A32DE">
      <w:pPr>
        <w:pStyle w:val="ListParagraph"/>
        <w:numPr>
          <w:ilvl w:val="0"/>
          <w:numId w:val="103"/>
        </w:numPr>
        <w:spacing w:before="240" w:after="240"/>
        <w:ind w:left="0" w:firstLine="720"/>
        <w:jc w:val="both"/>
        <w:rPr>
          <w:sz w:val="20"/>
          <w:szCs w:val="20"/>
          <w:lang w:val="pt-BR"/>
        </w:rPr>
      </w:pPr>
      <w:r w:rsidRPr="008A32DE">
        <w:rPr>
          <w:sz w:val="20"/>
          <w:szCs w:val="20"/>
          <w:lang w:val="pt-BR"/>
        </w:rPr>
        <w:t>Sobre o processo 0024.02.860098-9, apresentado em favor de Luís Carlos Martins dos Santos, José Augusto Nunes dos Santos, Anderson Márcio Moreira dos Santos, Cristiane Rosa Lagares, Antônio Maurílio da Costa, Rodrigo da Silva Franco, Ana Cazuza Lima e Cristiano Ozório Pereira Alcântara, a parte peticionária salienta que a ação foi interposta em 21 de novembro de 2002; no entanto, e antes que houvesse uma decisão de primeira instância, a autoridade judicial determinou o encerramento e arquivamento do processo sem resolução de mérito. Segundo a parte peticionária, esse encerramento foi inadequado. Não foram apresentados mais detalhes sobre as razões do encerramento processual e por que foi considerado inadequado.</w:t>
      </w:r>
    </w:p>
    <w:p w14:paraId="4C1671BB" w14:textId="2F468CEC" w:rsidR="008A32DE" w:rsidRDefault="008A32DE" w:rsidP="008A32DE">
      <w:pPr>
        <w:pStyle w:val="ListParagraph"/>
        <w:numPr>
          <w:ilvl w:val="0"/>
          <w:numId w:val="103"/>
        </w:numPr>
        <w:spacing w:before="240" w:after="240"/>
        <w:ind w:left="0" w:firstLine="720"/>
        <w:jc w:val="both"/>
        <w:rPr>
          <w:sz w:val="20"/>
          <w:szCs w:val="20"/>
          <w:lang w:val="pt-BR"/>
        </w:rPr>
      </w:pPr>
      <w:r w:rsidRPr="008A32DE">
        <w:rPr>
          <w:sz w:val="20"/>
          <w:szCs w:val="20"/>
          <w:lang w:val="pt-BR"/>
        </w:rPr>
        <w:t>Quanto ao processo 0024.06.274328-1, apresentado em favor de Marcelo Gontijo de Oliveira, a parte peticionária informa que a ação foi interposta em 24 de novembro de 2006; e que, até o momento da apresentação da petição à CIDH, o processo ainda não havia sido decidido em primeira instância.</w:t>
      </w:r>
    </w:p>
    <w:p w14:paraId="487763C5" w14:textId="3E6BB0CB" w:rsidR="008A32DE" w:rsidRPr="008A32DE" w:rsidRDefault="008A32DE" w:rsidP="008A32DE">
      <w:pPr>
        <w:pStyle w:val="ListParagraph"/>
        <w:spacing w:before="240" w:after="240"/>
        <w:jc w:val="both"/>
        <w:rPr>
          <w:i/>
          <w:iCs/>
          <w:sz w:val="20"/>
          <w:szCs w:val="20"/>
          <w:lang w:val="pt-BR"/>
        </w:rPr>
      </w:pPr>
      <w:r w:rsidRPr="00206F45">
        <w:rPr>
          <w:i/>
          <w:iCs/>
          <w:sz w:val="20"/>
          <w:szCs w:val="20"/>
          <w:lang w:val="pt-BR"/>
        </w:rPr>
        <w:t>P</w:t>
      </w:r>
      <w:r>
        <w:rPr>
          <w:i/>
          <w:iCs/>
          <w:sz w:val="20"/>
          <w:szCs w:val="20"/>
          <w:lang w:val="pt-BR"/>
        </w:rPr>
        <w:t xml:space="preserve">osição do Estado brasileiro </w:t>
      </w:r>
    </w:p>
    <w:p w14:paraId="7621198A" w14:textId="77777777" w:rsidR="008A32DE" w:rsidRPr="008A32DE" w:rsidRDefault="008A32DE" w:rsidP="008A32DE">
      <w:pPr>
        <w:pStyle w:val="ListParagraph"/>
        <w:numPr>
          <w:ilvl w:val="0"/>
          <w:numId w:val="103"/>
        </w:numPr>
        <w:spacing w:before="240" w:after="240"/>
        <w:ind w:left="0" w:firstLine="720"/>
        <w:jc w:val="both"/>
        <w:rPr>
          <w:sz w:val="20"/>
          <w:szCs w:val="20"/>
          <w:lang w:val="pt-BR"/>
        </w:rPr>
      </w:pPr>
      <w:r w:rsidRPr="008A32DE">
        <w:rPr>
          <w:sz w:val="20"/>
          <w:szCs w:val="20"/>
          <w:lang w:val="pt-BR"/>
        </w:rPr>
        <w:t xml:space="preserve">O Estado brasileiro alega que o objeto da denúncia perante a CIDH foi exaustivamente considerado pelas autoridades internas; e afirma que previamente ao incêndio as autoridades estatais exerceram diferentes atividades de fiscalização que foram satisfatórias.  </w:t>
      </w:r>
    </w:p>
    <w:p w14:paraId="6EDDC7D4" w14:textId="77777777" w:rsidR="008A32DE" w:rsidRPr="008A32DE" w:rsidRDefault="008A32DE" w:rsidP="008A32DE">
      <w:pPr>
        <w:pStyle w:val="ListParagraph"/>
        <w:numPr>
          <w:ilvl w:val="0"/>
          <w:numId w:val="103"/>
        </w:numPr>
        <w:spacing w:before="240" w:after="240"/>
        <w:ind w:left="0" w:firstLine="720"/>
        <w:jc w:val="both"/>
        <w:rPr>
          <w:sz w:val="20"/>
          <w:szCs w:val="20"/>
          <w:lang w:val="pt-BR"/>
        </w:rPr>
      </w:pPr>
      <w:r w:rsidRPr="008A32DE">
        <w:rPr>
          <w:sz w:val="20"/>
          <w:szCs w:val="20"/>
          <w:lang w:val="pt-BR"/>
        </w:rPr>
        <w:t xml:space="preserve">Em matéria de fiscalização, o Estado esclarece, de maneira geral, que, após verificar as condições necessárias, as autoridades administrativas concederam ao indivíduo uma “licença de localização e funcionamento” sujeita à reserva expressa do cumprimento, por parte desse indivíduo, das normas sanitárias, ambientais, de segurança e de acessibilidade. O Estado informa que o estabelecimento “Canecão Mineiro” estava nas mencionadas condições e foi fiscalizado por agentes estatais em diferentes oportunidades. O Estado </w:t>
      </w:r>
      <w:r w:rsidRPr="008A32DE">
        <w:rPr>
          <w:sz w:val="20"/>
          <w:szCs w:val="20"/>
          <w:lang w:val="pt-BR"/>
        </w:rPr>
        <w:lastRenderedPageBreak/>
        <w:t>menciona, especificamente, as ações fiscais 01-021736/99-33, 01-074310/99-00 e 01-110416/98-76 iniciadas para avaliar a regularidade do estabelecimento.</w:t>
      </w:r>
    </w:p>
    <w:p w14:paraId="4D48043B" w14:textId="77777777" w:rsidR="008A32DE" w:rsidRPr="008A32DE" w:rsidRDefault="008A32DE" w:rsidP="008A32DE">
      <w:pPr>
        <w:pStyle w:val="ListParagraph"/>
        <w:numPr>
          <w:ilvl w:val="0"/>
          <w:numId w:val="103"/>
        </w:numPr>
        <w:spacing w:before="240" w:after="240"/>
        <w:ind w:left="0" w:firstLine="720"/>
        <w:jc w:val="both"/>
        <w:rPr>
          <w:sz w:val="20"/>
          <w:szCs w:val="20"/>
          <w:lang w:val="pt-BR"/>
        </w:rPr>
      </w:pPr>
      <w:r w:rsidRPr="008A32DE">
        <w:rPr>
          <w:sz w:val="20"/>
          <w:szCs w:val="20"/>
          <w:lang w:val="pt-BR"/>
        </w:rPr>
        <w:t>A Comissão Interamericana observa que um dos anexos apresentados pelo Estado contém uma cronologia (“Histórico – Trem Caipira / Canecão Mineiro”) com informação mais específica sobre uma dessas ações fiscais (ação fiscal 01-074310/99-00). Segundo essa informação, o estabelecimento em que ocorreu o incêndio, após sucessivos problemas para manter sua licença de localização e funcionamento, obteve um Parecer Técnico favorável a seu funcionamento. O referido parecer concluiu que as atividades de casa de shows e clube noturno mantidas pelo estabelecimento atendiam aos requisitos legais. Em 4 de fevereiro de 2000, o município emitiu a licença de localização e funcionamento. No entanto, em 12 de maio de 2000, uma inspeção do Departamento de Bombeiros determinou que o estabelecimento não dispunha de um protocolo de proteção contra incêndios.</w:t>
      </w:r>
    </w:p>
    <w:p w14:paraId="5ED71AC8" w14:textId="77777777" w:rsidR="008A32DE" w:rsidRPr="008A32DE" w:rsidRDefault="008A32DE" w:rsidP="008A32DE">
      <w:pPr>
        <w:pStyle w:val="ListParagraph"/>
        <w:numPr>
          <w:ilvl w:val="0"/>
          <w:numId w:val="103"/>
        </w:numPr>
        <w:spacing w:before="240" w:after="240"/>
        <w:ind w:left="0" w:firstLine="720"/>
        <w:jc w:val="both"/>
        <w:rPr>
          <w:sz w:val="20"/>
          <w:szCs w:val="20"/>
          <w:lang w:val="pt-BR"/>
        </w:rPr>
      </w:pPr>
      <w:r w:rsidRPr="008A32DE">
        <w:rPr>
          <w:sz w:val="20"/>
          <w:szCs w:val="20"/>
          <w:lang w:val="pt-BR"/>
        </w:rPr>
        <w:t>O Estado também considera que foram adotadas medidas de investigação adequadas após o incêndio, e se refere ao processo de inspeção 03.000147.01-42 iniciado pelo Poder Executivo Municipal. Após a análise dos documentos anexados pelo Estado, a Comissão Interamericana observa que, no âmbito do referido processo de investigação, em 10 de junho de 2003, a Direção Municipal de Assuntos Internos considerou que haviam ocorrido várias falhas de inspeção ou fiscalização em relação ao Canecão Mineiro. As tentativas de inspecionar o local por parte de diferentes inspetores se limitaram a “meras passagens pelo local”. Os relatórios de inspeção estavam incompletos e careciam de detalhes. Os agentes encarregados da inspeção não buscaram ativamente sinais de que o estabelecimento estivesse ou não aberto, nem averiguaram em outros negócios vizinhos. Iam durante o dia, quando as casas de shows e clubes noturnos costumam funcionar à noite.</w:t>
      </w:r>
    </w:p>
    <w:p w14:paraId="7D2B5234" w14:textId="77777777" w:rsidR="008A32DE" w:rsidRPr="008A32DE" w:rsidRDefault="008A32DE" w:rsidP="008A32DE">
      <w:pPr>
        <w:pStyle w:val="ListParagraph"/>
        <w:numPr>
          <w:ilvl w:val="0"/>
          <w:numId w:val="103"/>
        </w:numPr>
        <w:spacing w:before="240" w:after="240"/>
        <w:ind w:left="0" w:firstLine="720"/>
        <w:jc w:val="both"/>
        <w:rPr>
          <w:sz w:val="20"/>
          <w:szCs w:val="20"/>
          <w:lang w:val="pt-BR"/>
        </w:rPr>
      </w:pPr>
      <w:r w:rsidRPr="008A32DE">
        <w:rPr>
          <w:sz w:val="20"/>
          <w:szCs w:val="20"/>
          <w:lang w:val="pt-BR"/>
        </w:rPr>
        <w:t>Para o Estado, houve uma legítima ação estatal para prevenir o ocorrido e, posteriormente, investigar e punir os responsáveis por meio de procedimentos administrativos e judiciais. No entanto, o Estado não enumera quais foram esses processos, limitando-se a salientar que esses impulsos processuais estão provados; em suas palavras: “</w:t>
      </w:r>
      <w:r w:rsidRPr="008A32DE">
        <w:rPr>
          <w:i/>
          <w:iCs/>
          <w:sz w:val="20"/>
          <w:szCs w:val="20"/>
          <w:lang w:val="pt-BR"/>
        </w:rPr>
        <w:t>[pela] própria alegação da parte peticionária</w:t>
      </w:r>
      <w:r w:rsidRPr="008A32DE">
        <w:rPr>
          <w:sz w:val="20"/>
          <w:szCs w:val="20"/>
          <w:lang w:val="pt-BR"/>
        </w:rPr>
        <w:t xml:space="preserve">”. </w:t>
      </w:r>
    </w:p>
    <w:p w14:paraId="01FD9625" w14:textId="77777777" w:rsidR="008A32DE" w:rsidRPr="008A32DE" w:rsidRDefault="008A32DE" w:rsidP="008A32DE">
      <w:pPr>
        <w:pStyle w:val="ListParagraph"/>
        <w:numPr>
          <w:ilvl w:val="0"/>
          <w:numId w:val="103"/>
        </w:numPr>
        <w:spacing w:before="240" w:after="240"/>
        <w:ind w:left="0" w:firstLine="720"/>
        <w:jc w:val="both"/>
        <w:rPr>
          <w:sz w:val="20"/>
          <w:szCs w:val="20"/>
          <w:lang w:val="pt-BR"/>
        </w:rPr>
      </w:pPr>
      <w:r w:rsidRPr="008A32DE">
        <w:rPr>
          <w:sz w:val="20"/>
          <w:szCs w:val="20"/>
          <w:lang w:val="pt-BR"/>
        </w:rPr>
        <w:t>Por outro lado, o Estado se refere especificamente ao processo interno relativo a Julio Cesar dos Santos e outros (processo 0024.02.860091-4). Segundo o Estado, a alegação de demora foi levada ao conhecimento do Poder Judiciário por denúncia apresentada em 4 de junho de 2019 pelo Núcleo de Controvérsias de Direito Internacional dos Direitos Humanos do Ministério Público Federal, e motivou a causa SEI Nº 0035628-52.2019.8.13 .0000. Em 27 de maio de 2019, a autoridade judicial responsável, o Corregedor-Geral de Justiça do Tribunal de Justiça do Estado de Minas Gerais, considerou que a denúncia perdeu seu objeto porque o processo interno a que ela se referia teve novos impulsos processuais.</w:t>
      </w:r>
    </w:p>
    <w:p w14:paraId="272AC6A1" w14:textId="77777777" w:rsidR="00697D1E" w:rsidRPr="00206F45" w:rsidRDefault="00697D1E" w:rsidP="00697D1E">
      <w:pPr>
        <w:pStyle w:val="ListParagraph"/>
        <w:spacing w:before="240" w:after="240"/>
        <w:ind w:left="758"/>
        <w:jc w:val="both"/>
        <w:rPr>
          <w:sz w:val="20"/>
          <w:szCs w:val="20"/>
          <w:lang w:val="pt-BR"/>
        </w:rPr>
      </w:pPr>
      <w:r w:rsidRPr="00206F45">
        <w:rPr>
          <w:b/>
          <w:sz w:val="20"/>
          <w:szCs w:val="20"/>
          <w:lang w:val="pt-BR"/>
        </w:rPr>
        <w:t xml:space="preserve">VI. </w:t>
      </w:r>
      <w:r w:rsidRPr="00206F45">
        <w:rPr>
          <w:b/>
          <w:sz w:val="20"/>
          <w:szCs w:val="20"/>
          <w:lang w:val="pt-BR"/>
        </w:rPr>
        <w:tab/>
      </w:r>
      <w:r w:rsidR="00FB7BCA" w:rsidRPr="00206F45">
        <w:rPr>
          <w:b/>
          <w:bCs/>
          <w:sz w:val="20"/>
          <w:szCs w:val="20"/>
          <w:lang w:val="pt-BR"/>
        </w:rPr>
        <w:t xml:space="preserve">ANÁLISE DE </w:t>
      </w:r>
      <w:r w:rsidR="00FB7BCA" w:rsidRPr="00206F45">
        <w:rPr>
          <w:b/>
          <w:sz w:val="20"/>
          <w:szCs w:val="20"/>
          <w:lang w:val="pt-BR"/>
        </w:rPr>
        <w:t>ESGOTAMENTO DOS RECURSOS INTERNOS E PRAZO DE APRESENTAÇÃO</w:t>
      </w:r>
      <w:r w:rsidR="00FB7BCA" w:rsidRPr="00206F45">
        <w:rPr>
          <w:b/>
          <w:bCs/>
          <w:sz w:val="20"/>
          <w:szCs w:val="20"/>
          <w:lang w:val="pt-BR"/>
        </w:rPr>
        <w:t xml:space="preserve"> </w:t>
      </w:r>
    </w:p>
    <w:p w14:paraId="08B13BD5" w14:textId="1034ABAE" w:rsidR="008A32DE" w:rsidRDefault="008A32DE" w:rsidP="008A32DE">
      <w:pPr>
        <w:pStyle w:val="ListParagraph"/>
        <w:numPr>
          <w:ilvl w:val="0"/>
          <w:numId w:val="103"/>
        </w:numPr>
        <w:spacing w:before="240" w:after="240"/>
        <w:ind w:left="0" w:firstLine="720"/>
        <w:jc w:val="both"/>
        <w:rPr>
          <w:sz w:val="20"/>
          <w:szCs w:val="20"/>
          <w:lang w:val="pt-BR"/>
        </w:rPr>
      </w:pPr>
      <w:r w:rsidRPr="008A32DE">
        <w:rPr>
          <w:sz w:val="20"/>
          <w:szCs w:val="20"/>
          <w:lang w:val="pt-BR"/>
        </w:rPr>
        <w:t>A Comissão Interamericana observa que a presente controvérsia se refere à alegada falta de reparação por parte do Estado dos danos à vida e à integridade pessoal dos afetados por um incêndio</w:t>
      </w:r>
      <w:r>
        <w:rPr>
          <w:sz w:val="20"/>
          <w:szCs w:val="20"/>
          <w:lang w:val="pt-BR"/>
        </w:rPr>
        <w:t xml:space="preserve"> </w:t>
      </w:r>
      <w:r w:rsidRPr="008A32DE">
        <w:rPr>
          <w:sz w:val="20"/>
          <w:szCs w:val="20"/>
          <w:lang w:val="pt-BR"/>
        </w:rPr>
        <w:t>ocorrido em uma casa de shows. A parte peticionária considera que o incêndio foi resultado não só de falhas da empresa responsável pelo estabelecimento, mas também de falhas do Estado e seus agentes. O Estado, por sua vez, considera que o incêndio teria sido responsabilidade da empresa e seus representantes. Os escritos da parte peticionária e do Estado se centram na discussão da responsabilidade do Estado e não questionam a responsabilidade penal dos particulares relacionados aos fatos. Portanto, a Comissão focará sua análise no desenvolvimento dos processos civis movidos pelas supostas vítimas.</w:t>
      </w:r>
    </w:p>
    <w:p w14:paraId="6607BC4A" w14:textId="79D266AD" w:rsidR="008A32DE" w:rsidRPr="008A32DE" w:rsidRDefault="008A32DE" w:rsidP="008A32DE">
      <w:pPr>
        <w:pStyle w:val="ListParagraph"/>
        <w:spacing w:before="240" w:after="240"/>
        <w:jc w:val="both"/>
        <w:rPr>
          <w:i/>
          <w:iCs/>
          <w:sz w:val="20"/>
          <w:szCs w:val="20"/>
          <w:lang w:val="pt-BR"/>
        </w:rPr>
      </w:pPr>
      <w:r w:rsidRPr="008A32DE">
        <w:rPr>
          <w:i/>
          <w:iCs/>
          <w:sz w:val="20"/>
          <w:szCs w:val="20"/>
          <w:lang w:val="pt-BR"/>
        </w:rPr>
        <w:t>Processos 0024.02.860091-4 e 0024.02.860097-1</w:t>
      </w:r>
    </w:p>
    <w:p w14:paraId="3D4AFF8C" w14:textId="77777777" w:rsidR="008A32DE" w:rsidRPr="008A32DE" w:rsidRDefault="008A32DE" w:rsidP="008A32DE">
      <w:pPr>
        <w:pStyle w:val="ListParagraph"/>
        <w:numPr>
          <w:ilvl w:val="0"/>
          <w:numId w:val="103"/>
        </w:numPr>
        <w:spacing w:before="240" w:after="240"/>
        <w:ind w:left="0" w:firstLine="720"/>
        <w:jc w:val="both"/>
        <w:rPr>
          <w:sz w:val="20"/>
          <w:szCs w:val="20"/>
          <w:lang w:val="pt-BR"/>
        </w:rPr>
      </w:pPr>
      <w:r w:rsidRPr="008A32DE">
        <w:rPr>
          <w:sz w:val="20"/>
          <w:szCs w:val="20"/>
          <w:lang w:val="pt-BR"/>
        </w:rPr>
        <w:t xml:space="preserve">A parte peticionária afirma que esgotou os recursos internos em relação às supostas vítimas relacionadas aos processos 0024.02.860091-4 (que ampara as alegadas vítimas Julio César dos Santos, Anderson Zaramela Duarte, André Luiz de Jesus, Magno Soares Pereira, Reginaldo José de Souza, Wilson Dalmindo Santos, Claudirley Lopes de Oliveira e Bruno dos Santos Souza); e 0024.02.860097-1 (relativo a Francisco Ferreira da Silva), como resultado da conclusão desses processos. </w:t>
      </w:r>
    </w:p>
    <w:p w14:paraId="013A8471" w14:textId="77777777" w:rsidR="008A32DE" w:rsidRPr="008A32DE" w:rsidRDefault="008A32DE" w:rsidP="008A32DE">
      <w:pPr>
        <w:pStyle w:val="ListParagraph"/>
        <w:numPr>
          <w:ilvl w:val="0"/>
          <w:numId w:val="103"/>
        </w:numPr>
        <w:spacing w:before="240" w:after="240"/>
        <w:ind w:left="0" w:firstLine="720"/>
        <w:jc w:val="both"/>
        <w:rPr>
          <w:sz w:val="20"/>
          <w:szCs w:val="20"/>
          <w:lang w:val="pt-BR"/>
        </w:rPr>
      </w:pPr>
      <w:r w:rsidRPr="008A32DE">
        <w:rPr>
          <w:sz w:val="20"/>
          <w:szCs w:val="20"/>
          <w:lang w:val="pt-BR"/>
        </w:rPr>
        <w:lastRenderedPageBreak/>
        <w:t>O requisito do prévio esgotamento dos recursos internos tem por objeto permitir que as autoridades nacionais tomem conhecimento da suposta violação de um direito protegido e, caso seja apropriado, solucionem a situação antes que seja conhecida por uma instância internacional. A Comissão Interamericana considera, no presente caso, que os processos 0024.02.860091-4 e 0024.02.860097-1 permitiram ao Estado conhecer sobre as supostas violações antes que fossem conhecidas pela CIDH. Segundo a informação prestada pelas partes, esses processos concluíram pela não responsabilização do Estado quanto aos alegados danos derivados do incêndio, e as decisões finais se tornaram definitivas, respectivamente, em 31 de outubro de 2012 e 7 de abril de 2010. Em atenção a essas considerações, a Comissão conclui que a presente petição esgotou os recursos internos em relação às supostas vítimas envolvidas nos processos citados.</w:t>
      </w:r>
    </w:p>
    <w:p w14:paraId="3CF789B7" w14:textId="77777777" w:rsidR="008A32DE" w:rsidRPr="008A32DE" w:rsidRDefault="008A32DE" w:rsidP="008A32DE">
      <w:pPr>
        <w:pStyle w:val="ListParagraph"/>
        <w:numPr>
          <w:ilvl w:val="0"/>
          <w:numId w:val="103"/>
        </w:numPr>
        <w:spacing w:before="240" w:after="240"/>
        <w:ind w:left="0" w:firstLine="720"/>
        <w:jc w:val="both"/>
        <w:rPr>
          <w:sz w:val="20"/>
          <w:szCs w:val="20"/>
          <w:lang w:val="pt-BR"/>
        </w:rPr>
      </w:pPr>
      <w:r w:rsidRPr="008A32DE">
        <w:rPr>
          <w:sz w:val="20"/>
          <w:szCs w:val="20"/>
          <w:lang w:val="pt-BR"/>
        </w:rPr>
        <w:t xml:space="preserve">Com respeito ao requisito do prazo de apresentação, a parte peticionária salienta que os processos 0024.02.860091-4 e 0024.02.860097-1 foram encerrados em 31 de outubro de 2012 e em 7 de abril de 2010, respectivamente. Por conseguinte, não teria sido observado o prazo de seis meses. Apesar disso, a Defensoria Pública do Estado de Minas Gerais, parte peticionária, argumenta que a petição deve ser admitida porque cabe à Defensoria Pública atender a uma enorme quantidade de processos internos, além de litígios de âmbito internacional, e não recebe recursos suficientes do Estado para funcionar com maior rapidez. </w:t>
      </w:r>
    </w:p>
    <w:p w14:paraId="7F6B00D4" w14:textId="77777777" w:rsidR="008A32DE" w:rsidRPr="008A32DE" w:rsidRDefault="008A32DE" w:rsidP="008A32DE">
      <w:pPr>
        <w:pStyle w:val="ListParagraph"/>
        <w:numPr>
          <w:ilvl w:val="0"/>
          <w:numId w:val="103"/>
        </w:numPr>
        <w:spacing w:before="240" w:after="240"/>
        <w:ind w:left="0" w:firstLine="720"/>
        <w:jc w:val="both"/>
        <w:rPr>
          <w:sz w:val="20"/>
          <w:szCs w:val="20"/>
          <w:lang w:val="pt-BR"/>
        </w:rPr>
      </w:pPr>
      <w:r w:rsidRPr="008A32DE">
        <w:rPr>
          <w:sz w:val="20"/>
          <w:szCs w:val="20"/>
          <w:lang w:val="pt-BR"/>
        </w:rPr>
        <w:t>O Estado brasileiro, por sua vez, alega oportunamente que a petição perante a CIDH não respeitou o prazo de seis meses com relação aos processos 0024.02.860091-4 e 0024.02.860097-1.</w:t>
      </w:r>
    </w:p>
    <w:p w14:paraId="470BB808" w14:textId="1A550A00" w:rsidR="008A32DE" w:rsidRPr="008A32DE" w:rsidRDefault="008A32DE" w:rsidP="008A32DE">
      <w:pPr>
        <w:pStyle w:val="ListParagraph"/>
        <w:numPr>
          <w:ilvl w:val="0"/>
          <w:numId w:val="103"/>
        </w:numPr>
        <w:spacing w:before="240" w:after="240"/>
        <w:ind w:left="0" w:firstLine="720"/>
        <w:jc w:val="both"/>
        <w:rPr>
          <w:sz w:val="20"/>
          <w:szCs w:val="20"/>
          <w:lang w:val="pt-BR"/>
        </w:rPr>
      </w:pPr>
      <w:r w:rsidRPr="008A32DE">
        <w:rPr>
          <w:sz w:val="20"/>
          <w:szCs w:val="20"/>
          <w:lang w:val="pt-BR"/>
        </w:rPr>
        <w:t>Em atenção a essas considerações, e após analisar o expediente da petição, a CIDH considera que a fundamentação apresentada pela parte peticionária não justifica validamente o descumprimento de um requisito convencional expresso como o constante do artigo 46.1.b) da Convenção Americana. A Comissão Interamericana estabeleceu que, embora o processo perante o Sistema Interamericano não implique as mesmas formalidades que pudessem ter os processos internos, é responsabilidade dos peticionários agir de maneira diligente em busca do melhor interesse das vítimas que representam.</w:t>
      </w:r>
      <w:r w:rsidRPr="00013992">
        <w:rPr>
          <w:rStyle w:val="FootnoteReference"/>
          <w:bCs/>
          <w:sz w:val="20"/>
          <w:lang w:val="pt-BR"/>
        </w:rPr>
        <w:footnoteReference w:id="5"/>
      </w:r>
      <w:r w:rsidRPr="008A32DE">
        <w:rPr>
          <w:sz w:val="20"/>
          <w:szCs w:val="20"/>
          <w:lang w:val="pt-BR"/>
        </w:rPr>
        <w:t xml:space="preserve"> Desse modo, considerando que os processos foram encerrados em 7 de abril de 2010 e 31 de outubro de 2012, e que a petição foi apresentada à CIDH em 2 de janeiro de 2015, a Comissão conclui que esta foi apresentada fora do prazo de seis meses estabelecido no artigo 46.1.b) da Convenção Americana a respeito dos dois processos citados.</w:t>
      </w:r>
    </w:p>
    <w:p w14:paraId="3B0ED0F5" w14:textId="36E4BC96" w:rsidR="008A32DE" w:rsidRPr="008A32DE" w:rsidRDefault="008A32DE" w:rsidP="008A32DE">
      <w:pPr>
        <w:pStyle w:val="ListParagraph"/>
        <w:spacing w:before="240" w:after="240"/>
        <w:jc w:val="both"/>
        <w:rPr>
          <w:i/>
          <w:iCs/>
          <w:sz w:val="20"/>
          <w:szCs w:val="20"/>
          <w:lang w:val="pt-BR"/>
        </w:rPr>
      </w:pPr>
      <w:r w:rsidRPr="008A32DE">
        <w:rPr>
          <w:i/>
          <w:iCs/>
          <w:sz w:val="20"/>
          <w:szCs w:val="20"/>
          <w:lang w:val="pt-BR"/>
        </w:rPr>
        <w:t>Processo 0024.02.860098 -9</w:t>
      </w:r>
    </w:p>
    <w:p w14:paraId="20B082F5" w14:textId="77777777" w:rsidR="000E1B72" w:rsidRPr="000E1B72" w:rsidRDefault="000E1B72" w:rsidP="000E1B72">
      <w:pPr>
        <w:pStyle w:val="ListParagraph"/>
        <w:numPr>
          <w:ilvl w:val="0"/>
          <w:numId w:val="103"/>
        </w:numPr>
        <w:spacing w:before="240" w:after="240"/>
        <w:ind w:left="0" w:firstLine="720"/>
        <w:jc w:val="both"/>
        <w:rPr>
          <w:sz w:val="20"/>
          <w:szCs w:val="20"/>
          <w:lang w:val="pt-BR"/>
        </w:rPr>
      </w:pPr>
      <w:r w:rsidRPr="000E1B72">
        <w:rPr>
          <w:sz w:val="20"/>
          <w:szCs w:val="20"/>
          <w:lang w:val="pt-BR"/>
        </w:rPr>
        <w:t>Nos termos dos artigos 46 da Convenção Americana e 28.8 do Regulamento da Comissão, a parte peticionária tem o dever de prestar informação sobre todas as gestões conduzidas para esgotar os recursos da jurisdição interna ou sobre a impossibilidade de fazê-lo.</w:t>
      </w:r>
    </w:p>
    <w:p w14:paraId="2E9CA7EE" w14:textId="77777777" w:rsidR="000E1B72" w:rsidRDefault="000E1B72" w:rsidP="000E1B72">
      <w:pPr>
        <w:pStyle w:val="ListParagraph"/>
        <w:numPr>
          <w:ilvl w:val="0"/>
          <w:numId w:val="103"/>
        </w:numPr>
        <w:spacing w:before="240" w:after="240"/>
        <w:ind w:left="0" w:firstLine="720"/>
        <w:jc w:val="both"/>
        <w:rPr>
          <w:sz w:val="20"/>
          <w:szCs w:val="20"/>
          <w:lang w:val="pt-BR"/>
        </w:rPr>
      </w:pPr>
      <w:r w:rsidRPr="000E1B72">
        <w:rPr>
          <w:sz w:val="20"/>
          <w:szCs w:val="20"/>
          <w:lang w:val="pt-BR"/>
        </w:rPr>
        <w:t>No presente caso, a parte peticionária salienta que a ação referente ao processo 0024.02.860098-9 (apresentada em favor de Luís Carlos Martins dos Santos, José Augusto Nunes dos Santos, Anderson Márcio Moreira dos Santos, Cristiane Rosa Lagares, Antônio Maurílio da Costa, Rodrigo da Silva Franco, Ana Cazuza Lima e Cristiano Ozório Pereira Alcântara) foi interposta em 21 de novembro de 2002; no entanto, e antes que houvesse uma decisão de primeira instância, a autoridade judicial determinou o encerramento e o arquivamento do processo sem resolução de mérito. A parte peticionária afirma que esse encerramento foi inapropriado, mas não apresenta detalhes sobre as razões do encerramento processual ou sobre a razão de ser sido considerado inapropriado. Em virtude do exposto, a Comissão Interamericana julga que não dispõe de informação suficiente que lhe permita verificar o cumprimento do requisito de esgotamento dos recursos internos estabelecido no artigo 46.1.a) da Convenção Americana, nem do requisito do prazo de apresentação estabelecido no artigo 46.1.b) do mesmo instrumento.</w:t>
      </w:r>
    </w:p>
    <w:p w14:paraId="45707D84" w14:textId="77777777" w:rsidR="00A456D7" w:rsidRPr="00A456D7" w:rsidRDefault="00A456D7" w:rsidP="00A456D7">
      <w:pPr>
        <w:spacing w:before="240" w:after="240"/>
        <w:jc w:val="both"/>
        <w:rPr>
          <w:sz w:val="20"/>
          <w:szCs w:val="20"/>
          <w:lang w:val="pt-BR"/>
        </w:rPr>
      </w:pPr>
    </w:p>
    <w:p w14:paraId="071EFFB8" w14:textId="0EAFFCE7" w:rsidR="000E1B72" w:rsidRPr="000E1B72" w:rsidRDefault="000E1B72" w:rsidP="000E1B72">
      <w:pPr>
        <w:pStyle w:val="ListParagraph"/>
        <w:spacing w:before="240" w:after="240"/>
        <w:jc w:val="both"/>
        <w:rPr>
          <w:i/>
          <w:iCs/>
          <w:sz w:val="20"/>
          <w:szCs w:val="20"/>
          <w:lang w:val="pt-BR"/>
        </w:rPr>
      </w:pPr>
      <w:r w:rsidRPr="000E1B72">
        <w:rPr>
          <w:i/>
          <w:iCs/>
          <w:sz w:val="20"/>
          <w:szCs w:val="20"/>
          <w:lang w:val="pt-BR"/>
        </w:rPr>
        <w:lastRenderedPageBreak/>
        <w:t>Processos 0024.02.860092-2, 0024.02.860100-3, 0024.05.871105-2, 0024.02.860099-7 e</w:t>
      </w:r>
      <w:r>
        <w:rPr>
          <w:i/>
          <w:iCs/>
          <w:sz w:val="20"/>
          <w:szCs w:val="20"/>
          <w:lang w:val="pt-BR"/>
        </w:rPr>
        <w:t xml:space="preserve"> </w:t>
      </w:r>
      <w:r w:rsidRPr="000E1B72">
        <w:rPr>
          <w:i/>
          <w:iCs/>
          <w:sz w:val="20"/>
          <w:szCs w:val="20"/>
          <w:lang w:val="pt-BR"/>
        </w:rPr>
        <w:t>0024.06.274328-1</w:t>
      </w:r>
    </w:p>
    <w:p w14:paraId="2B2155CC" w14:textId="77777777" w:rsidR="000E1B72" w:rsidRDefault="000E1B72" w:rsidP="000E1B72">
      <w:pPr>
        <w:pStyle w:val="ListParagraph"/>
        <w:numPr>
          <w:ilvl w:val="0"/>
          <w:numId w:val="103"/>
        </w:numPr>
        <w:ind w:left="40" w:firstLine="720"/>
        <w:jc w:val="both"/>
        <w:rPr>
          <w:sz w:val="20"/>
          <w:szCs w:val="20"/>
          <w:lang w:val="pt-BR"/>
        </w:rPr>
      </w:pPr>
      <w:r w:rsidRPr="000E1B72">
        <w:rPr>
          <w:sz w:val="20"/>
          <w:szCs w:val="20"/>
          <w:lang w:val="pt-BR"/>
        </w:rPr>
        <w:t>A parte peticionária afirma que o artigo 46.2.c) da Convenção Americana se aplica em relação às pessoas vinculadas aos processos 0024.02.860092-2, 0024.02.860100-3, 0024.05.871105-2, 0024.02.860099-7 e 0024.06.274328-1. Segundo a informação prestada pelas partes, os processos citados se encontravam pendentes de decisão final. O quadro seguinte, elaborado pela Comissão Interamericana, resume a informação em questão.</w:t>
      </w:r>
    </w:p>
    <w:p w14:paraId="1CFE2B28" w14:textId="77777777" w:rsidR="00E62A05" w:rsidRDefault="00E62A05" w:rsidP="00E62A05">
      <w:pPr>
        <w:pStyle w:val="ListParagraph"/>
        <w:ind w:left="760"/>
        <w:jc w:val="both"/>
        <w:rPr>
          <w:sz w:val="20"/>
          <w:szCs w:val="20"/>
          <w:lang w:val="pt-BR"/>
        </w:rPr>
      </w:pPr>
    </w:p>
    <w:p w14:paraId="22F3B2EE" w14:textId="77777777" w:rsidR="00E62A05" w:rsidRDefault="00E62A05" w:rsidP="00E62A05">
      <w:pPr>
        <w:jc w:val="both"/>
        <w:rPr>
          <w:sz w:val="20"/>
          <w:szCs w:val="20"/>
          <w:lang w:val="pt-BR"/>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837"/>
        <w:gridCol w:w="7493"/>
      </w:tblGrid>
      <w:tr w:rsidR="00E62A05" w:rsidRPr="006C2466" w14:paraId="772824B8" w14:textId="77777777" w:rsidTr="00E62A05">
        <w:tc>
          <w:tcPr>
            <w:tcW w:w="1838" w:type="dxa"/>
            <w:shd w:val="clear" w:color="auto" w:fill="000000" w:themeFill="text1"/>
          </w:tcPr>
          <w:p w14:paraId="3C168C3C" w14:textId="77777777" w:rsidR="00E62A05" w:rsidRPr="00E62A05" w:rsidRDefault="00E62A05" w:rsidP="00E62A0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Cambria" w:hAnsi="Cambria"/>
                <w:b/>
                <w:bCs/>
                <w:color w:val="FFFFFF" w:themeColor="background1"/>
                <w:sz w:val="18"/>
                <w:szCs w:val="18"/>
                <w:lang w:val="pt-BR"/>
              </w:rPr>
            </w:pPr>
            <w:r w:rsidRPr="00E62A05">
              <w:rPr>
                <w:rFonts w:ascii="Cambria" w:hAnsi="Cambria"/>
                <w:b/>
                <w:bCs/>
                <w:color w:val="FFFFFF" w:themeColor="background1"/>
                <w:sz w:val="18"/>
                <w:szCs w:val="18"/>
                <w:lang w:val="pt-BR"/>
              </w:rPr>
              <w:t>Processo</w:t>
            </w:r>
          </w:p>
        </w:tc>
        <w:tc>
          <w:tcPr>
            <w:tcW w:w="7512" w:type="dxa"/>
            <w:shd w:val="clear" w:color="auto" w:fill="000000" w:themeFill="text1"/>
          </w:tcPr>
          <w:p w14:paraId="480EB44F" w14:textId="77777777" w:rsidR="00E62A05" w:rsidRPr="00E62A05" w:rsidRDefault="00E62A05" w:rsidP="00E62A0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Cambria" w:hAnsi="Cambria"/>
                <w:b/>
                <w:bCs/>
                <w:color w:val="FFFFFF" w:themeColor="background1"/>
                <w:sz w:val="18"/>
                <w:szCs w:val="18"/>
                <w:lang w:val="pt-BR"/>
              </w:rPr>
            </w:pPr>
            <w:r w:rsidRPr="00E62A05">
              <w:rPr>
                <w:rFonts w:ascii="Cambria" w:hAnsi="Cambria"/>
                <w:b/>
                <w:bCs/>
                <w:color w:val="FFFFFF" w:themeColor="background1"/>
                <w:sz w:val="18"/>
                <w:szCs w:val="18"/>
                <w:lang w:val="pt-BR"/>
              </w:rPr>
              <w:t>Situação processual</w:t>
            </w:r>
          </w:p>
        </w:tc>
      </w:tr>
      <w:tr w:rsidR="00E62A05" w:rsidRPr="00E11B56" w14:paraId="03E42C99" w14:textId="77777777" w:rsidTr="00E62A05">
        <w:trPr>
          <w:trHeight w:val="2258"/>
        </w:trPr>
        <w:tc>
          <w:tcPr>
            <w:tcW w:w="1838" w:type="dxa"/>
          </w:tcPr>
          <w:p w14:paraId="5A15A7DE" w14:textId="77777777" w:rsidR="00E62A05" w:rsidRPr="00E62A05" w:rsidRDefault="00E62A05" w:rsidP="00E62A0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bCs/>
                <w:sz w:val="18"/>
                <w:szCs w:val="18"/>
                <w:lang w:val="pt-BR"/>
              </w:rPr>
            </w:pPr>
          </w:p>
          <w:p w14:paraId="0BD5E7C3" w14:textId="77777777" w:rsidR="00E62A05" w:rsidRPr="00E62A05" w:rsidRDefault="00E62A05" w:rsidP="00E62A0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bCs/>
                <w:sz w:val="18"/>
                <w:szCs w:val="18"/>
                <w:lang w:val="pt-BR"/>
              </w:rPr>
            </w:pPr>
          </w:p>
          <w:p w14:paraId="2828DDD6" w14:textId="77777777" w:rsidR="00E62A05" w:rsidRPr="00E62A05" w:rsidRDefault="00E62A05" w:rsidP="00E62A0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bCs/>
                <w:sz w:val="18"/>
                <w:szCs w:val="18"/>
                <w:lang w:val="pt-BR"/>
              </w:rPr>
            </w:pPr>
            <w:r w:rsidRPr="00E62A05">
              <w:rPr>
                <w:rFonts w:ascii="Cambria" w:hAnsi="Cambria"/>
                <w:b/>
                <w:bCs/>
                <w:sz w:val="18"/>
                <w:szCs w:val="18"/>
                <w:lang w:val="pt-BR"/>
              </w:rPr>
              <w:t>0024.02.860092-2</w:t>
            </w:r>
          </w:p>
        </w:tc>
        <w:tc>
          <w:tcPr>
            <w:tcW w:w="7512" w:type="dxa"/>
          </w:tcPr>
          <w:p w14:paraId="42D324D9" w14:textId="77777777" w:rsidR="00E62A05" w:rsidRPr="00E62A05" w:rsidRDefault="00E62A05" w:rsidP="00E82851">
            <w:p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Cambria" w:hAnsi="Cambria"/>
                <w:sz w:val="18"/>
                <w:szCs w:val="18"/>
                <w:lang w:val="pt-BR"/>
              </w:rPr>
            </w:pPr>
            <w:r w:rsidRPr="00E62A05">
              <w:rPr>
                <w:rFonts w:ascii="Cambria" w:hAnsi="Cambria"/>
                <w:sz w:val="18"/>
                <w:szCs w:val="18"/>
                <w:lang w:val="pt-BR"/>
              </w:rPr>
              <w:t xml:space="preserve">Esse processo se refere às supostas vítimas Reinaldo Silva Barbosa, R.C.R., Rafael Martins Moreira, Weverton de Almeida de Souza, Rodrigo Gonçalves e Ronaldo Goncalves. Iniciado em 21 de novembro de 2002. </w:t>
            </w:r>
          </w:p>
          <w:p w14:paraId="393964F6" w14:textId="77777777" w:rsidR="00E62A05" w:rsidRPr="00E62A05" w:rsidRDefault="00E62A05" w:rsidP="00E8285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18"/>
                <w:szCs w:val="18"/>
                <w:lang w:val="pt-BR"/>
              </w:rPr>
            </w:pPr>
            <w:r w:rsidRPr="00E62A05">
              <w:rPr>
                <w:rFonts w:ascii="Cambria" w:hAnsi="Cambria"/>
                <w:sz w:val="18"/>
                <w:szCs w:val="18"/>
                <w:lang w:val="pt-BR"/>
              </w:rPr>
              <w:t>Decisão de primeira instância em 23 de abril de 2008.</w:t>
            </w:r>
          </w:p>
          <w:p w14:paraId="69E2F9D2" w14:textId="77777777" w:rsidR="00E62A05" w:rsidRPr="00E62A05" w:rsidRDefault="00E62A05" w:rsidP="00E8285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18"/>
                <w:szCs w:val="18"/>
                <w:lang w:val="pt-BR"/>
              </w:rPr>
            </w:pPr>
            <w:r w:rsidRPr="00E62A05">
              <w:rPr>
                <w:rFonts w:ascii="Cambria" w:hAnsi="Cambria"/>
                <w:sz w:val="18"/>
                <w:szCs w:val="18"/>
                <w:lang w:val="pt-BR"/>
              </w:rPr>
              <w:t>Decisão de segunda instância em 5 de março de 2010 (considerando o município responsável pelas lesões sofridas pelas pessoas que interpuseram a demanda).</w:t>
            </w:r>
          </w:p>
          <w:p w14:paraId="4396DFEE" w14:textId="77777777" w:rsidR="00E62A05" w:rsidRPr="00E62A05" w:rsidRDefault="00E62A05" w:rsidP="00E8285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18"/>
                <w:szCs w:val="18"/>
                <w:lang w:val="pt-BR"/>
              </w:rPr>
            </w:pPr>
            <w:r w:rsidRPr="00E62A05">
              <w:rPr>
                <w:rFonts w:ascii="Cambria" w:hAnsi="Cambria"/>
                <w:sz w:val="18"/>
                <w:szCs w:val="18"/>
                <w:lang w:val="pt-BR"/>
              </w:rPr>
              <w:t>A municipalidade interpôs recurso contra a decisão de segunda instância e, em 22 de janeiro de 2014, o processo foi suspenso.</w:t>
            </w:r>
          </w:p>
          <w:p w14:paraId="0E1983DB" w14:textId="77777777" w:rsidR="00E62A05" w:rsidRPr="00E62A05" w:rsidRDefault="00E62A05" w:rsidP="00E82851">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Cambria" w:hAnsi="Cambria"/>
                <w:sz w:val="18"/>
                <w:szCs w:val="18"/>
                <w:lang w:val="pt-BR"/>
              </w:rPr>
            </w:pPr>
            <w:r w:rsidRPr="00E62A05">
              <w:rPr>
                <w:rFonts w:ascii="Cambria" w:hAnsi="Cambria"/>
                <w:sz w:val="18"/>
                <w:szCs w:val="18"/>
                <w:lang w:val="pt-BR"/>
              </w:rPr>
              <w:t>No momento da apresentação da denúncia perante a CIDH o processo se encontrava pendente de decisão final.</w:t>
            </w:r>
          </w:p>
        </w:tc>
      </w:tr>
      <w:tr w:rsidR="00E62A05" w:rsidRPr="00E11B56" w14:paraId="367B5F68" w14:textId="77777777" w:rsidTr="00F54BFE">
        <w:tc>
          <w:tcPr>
            <w:tcW w:w="1838" w:type="dxa"/>
            <w:shd w:val="clear" w:color="auto" w:fill="D9D9D9" w:themeFill="background1" w:themeFillShade="D9"/>
          </w:tcPr>
          <w:p w14:paraId="638F9A5C" w14:textId="77777777" w:rsidR="00E62A05" w:rsidRPr="00E62A05" w:rsidRDefault="00E62A05" w:rsidP="00E62A0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bCs/>
                <w:sz w:val="18"/>
                <w:szCs w:val="18"/>
                <w:lang w:val="pt-BR"/>
              </w:rPr>
            </w:pPr>
          </w:p>
          <w:p w14:paraId="17219EC8" w14:textId="77777777" w:rsidR="00E62A05" w:rsidRPr="00E62A05" w:rsidRDefault="00E62A05" w:rsidP="00E62A0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bCs/>
                <w:sz w:val="18"/>
                <w:szCs w:val="18"/>
                <w:lang w:val="pt-BR"/>
              </w:rPr>
            </w:pPr>
          </w:p>
          <w:p w14:paraId="7FD50C95" w14:textId="77777777" w:rsidR="00E62A05" w:rsidRPr="00E62A05" w:rsidRDefault="00E62A05" w:rsidP="00E62A0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bCs/>
                <w:sz w:val="18"/>
                <w:szCs w:val="18"/>
                <w:lang w:val="pt-BR"/>
              </w:rPr>
            </w:pPr>
            <w:r w:rsidRPr="00E62A05">
              <w:rPr>
                <w:rFonts w:ascii="Cambria" w:hAnsi="Cambria"/>
                <w:b/>
                <w:bCs/>
                <w:sz w:val="18"/>
                <w:szCs w:val="18"/>
                <w:lang w:val="pt-BR"/>
              </w:rPr>
              <w:t>0024.02.860100-3</w:t>
            </w:r>
          </w:p>
        </w:tc>
        <w:tc>
          <w:tcPr>
            <w:tcW w:w="7512" w:type="dxa"/>
            <w:shd w:val="clear" w:color="auto" w:fill="D9D9D9" w:themeFill="background1" w:themeFillShade="D9"/>
          </w:tcPr>
          <w:p w14:paraId="2B50BD98" w14:textId="77777777" w:rsidR="00E62A05" w:rsidRPr="00E62A05" w:rsidRDefault="00E62A05" w:rsidP="00E82851">
            <w:p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Cambria" w:hAnsi="Cambria"/>
                <w:sz w:val="18"/>
                <w:szCs w:val="18"/>
                <w:lang w:val="pt-BR"/>
              </w:rPr>
            </w:pPr>
            <w:r w:rsidRPr="00E62A05">
              <w:rPr>
                <w:rFonts w:ascii="Cambria" w:hAnsi="Cambria"/>
                <w:sz w:val="18"/>
                <w:szCs w:val="18"/>
                <w:lang w:val="pt-BR"/>
              </w:rPr>
              <w:t>Apresentado em 21 de novembro de 2002 em favor de Daniel Félix Batista, Édna Batista Cesário, Cleonei Pereira da Silva, Elinir Cândida dos Santos, Lucineia Caldeira dos Santos, Janaína Helen Basílio Paixão, Fábio Roberto Moreira e Kelly Cristina Aparecida de Souza.</w:t>
            </w:r>
          </w:p>
          <w:p w14:paraId="538647A9" w14:textId="77777777" w:rsidR="00E62A05" w:rsidRPr="00E62A05" w:rsidRDefault="00E62A05" w:rsidP="00E8285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18"/>
                <w:szCs w:val="18"/>
                <w:lang w:val="pt-BR"/>
              </w:rPr>
            </w:pPr>
            <w:r w:rsidRPr="00E62A05">
              <w:rPr>
                <w:rFonts w:ascii="Cambria" w:hAnsi="Cambria"/>
                <w:sz w:val="18"/>
                <w:szCs w:val="18"/>
                <w:lang w:val="pt-BR"/>
              </w:rPr>
              <w:t>Decisão de primeira instância em 18 de outubro de 2011.</w:t>
            </w:r>
          </w:p>
          <w:p w14:paraId="6177F742" w14:textId="77777777" w:rsidR="00E62A05" w:rsidRPr="00E62A05" w:rsidRDefault="00E62A05" w:rsidP="00E8285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18"/>
                <w:szCs w:val="18"/>
                <w:lang w:val="pt-BR"/>
              </w:rPr>
            </w:pPr>
            <w:r w:rsidRPr="00E62A05">
              <w:rPr>
                <w:rFonts w:ascii="Cambria" w:hAnsi="Cambria"/>
                <w:sz w:val="18"/>
                <w:szCs w:val="18"/>
                <w:lang w:val="pt-BR"/>
              </w:rPr>
              <w:t>Decisão de segunda instância em 15 de março de 2013 (considerando o município responsável pelas lesões sofridas pelas pessoas que interpuseram a demanda).</w:t>
            </w:r>
          </w:p>
          <w:p w14:paraId="52558926" w14:textId="77777777" w:rsidR="00E62A05" w:rsidRPr="00E62A05" w:rsidRDefault="00E62A05" w:rsidP="00E82851">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Cambria" w:hAnsi="Cambria"/>
                <w:sz w:val="18"/>
                <w:szCs w:val="18"/>
                <w:lang w:val="pt-BR"/>
              </w:rPr>
            </w:pPr>
            <w:r w:rsidRPr="00E62A05">
              <w:rPr>
                <w:rFonts w:ascii="Cambria" w:hAnsi="Cambria"/>
                <w:sz w:val="18"/>
                <w:szCs w:val="18"/>
                <w:lang w:val="pt-BR"/>
              </w:rPr>
              <w:t>A municipalidade interpôs recurso contra a decisão de segunda instância, pendente de decisão no momento da apresentação da denúncia perante a CIDH.</w:t>
            </w:r>
          </w:p>
        </w:tc>
      </w:tr>
      <w:tr w:rsidR="00E62A05" w:rsidRPr="00E11B56" w14:paraId="483206E6" w14:textId="77777777" w:rsidTr="00F54BFE">
        <w:tc>
          <w:tcPr>
            <w:tcW w:w="1838" w:type="dxa"/>
          </w:tcPr>
          <w:p w14:paraId="3607E223" w14:textId="77777777" w:rsidR="00E62A05" w:rsidRPr="00E62A05" w:rsidRDefault="00E62A05" w:rsidP="00E62A0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bCs/>
                <w:sz w:val="18"/>
                <w:szCs w:val="18"/>
                <w:lang w:val="pt-BR"/>
              </w:rPr>
            </w:pPr>
          </w:p>
          <w:p w14:paraId="677B2BE2" w14:textId="77777777" w:rsidR="00E62A05" w:rsidRPr="00E62A05" w:rsidRDefault="00E62A05" w:rsidP="00E62A0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bCs/>
                <w:sz w:val="18"/>
                <w:szCs w:val="18"/>
                <w:lang w:val="pt-BR"/>
              </w:rPr>
            </w:pPr>
          </w:p>
          <w:p w14:paraId="7B4F6EC4" w14:textId="77777777" w:rsidR="00E62A05" w:rsidRPr="00E62A05" w:rsidRDefault="00E62A05" w:rsidP="00E62A0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bCs/>
                <w:sz w:val="18"/>
                <w:szCs w:val="18"/>
                <w:lang w:val="pt-BR"/>
              </w:rPr>
            </w:pPr>
            <w:r w:rsidRPr="00E62A05">
              <w:rPr>
                <w:rFonts w:ascii="Cambria" w:hAnsi="Cambria"/>
                <w:b/>
                <w:bCs/>
                <w:sz w:val="18"/>
                <w:szCs w:val="18"/>
                <w:lang w:val="pt-BR"/>
              </w:rPr>
              <w:t>0024.05.871105-2</w:t>
            </w:r>
          </w:p>
        </w:tc>
        <w:tc>
          <w:tcPr>
            <w:tcW w:w="7512" w:type="dxa"/>
          </w:tcPr>
          <w:p w14:paraId="31594419" w14:textId="77777777" w:rsidR="00E62A05" w:rsidRPr="00E62A05" w:rsidRDefault="00E62A05" w:rsidP="00E82851">
            <w:p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Cambria" w:hAnsi="Cambria"/>
                <w:sz w:val="18"/>
                <w:szCs w:val="18"/>
                <w:lang w:val="pt-BR"/>
              </w:rPr>
            </w:pPr>
            <w:r w:rsidRPr="00E62A05">
              <w:rPr>
                <w:rFonts w:ascii="Cambria" w:hAnsi="Cambria"/>
                <w:sz w:val="18"/>
                <w:szCs w:val="18"/>
                <w:lang w:val="pt-BR"/>
              </w:rPr>
              <w:t>Iniciado em favor de Juliana Opa Silva em 11 de novembro de 2005.</w:t>
            </w:r>
          </w:p>
          <w:p w14:paraId="48964654" w14:textId="77777777" w:rsidR="00E62A05" w:rsidRPr="00E62A05" w:rsidRDefault="00E62A05" w:rsidP="00E8285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18"/>
                <w:szCs w:val="18"/>
                <w:lang w:val="pt-BR"/>
              </w:rPr>
            </w:pPr>
            <w:r w:rsidRPr="00E62A05">
              <w:rPr>
                <w:rFonts w:ascii="Cambria" w:hAnsi="Cambria"/>
                <w:sz w:val="18"/>
                <w:szCs w:val="18"/>
                <w:lang w:val="pt-BR"/>
              </w:rPr>
              <w:t>Decisão de primeira instância em 26 de fevereiro de 2013.</w:t>
            </w:r>
          </w:p>
          <w:p w14:paraId="4814D6C9" w14:textId="77777777" w:rsidR="00E62A05" w:rsidRPr="00E62A05" w:rsidRDefault="00E62A05" w:rsidP="00E8285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18"/>
                <w:szCs w:val="18"/>
                <w:lang w:val="pt-BR"/>
              </w:rPr>
            </w:pPr>
            <w:r w:rsidRPr="00E62A05">
              <w:rPr>
                <w:rFonts w:ascii="Cambria" w:hAnsi="Cambria"/>
                <w:sz w:val="18"/>
                <w:szCs w:val="18"/>
                <w:lang w:val="pt-BR"/>
              </w:rPr>
              <w:t>Decisão de segunda instância em 16 de outubro de 2013 (considerando o município responsável pelas lesões sofridas pelas pessoas que interpuseram a demanda).</w:t>
            </w:r>
          </w:p>
          <w:p w14:paraId="6280C7CA" w14:textId="77777777" w:rsidR="00E62A05" w:rsidRPr="00E62A05" w:rsidRDefault="00E62A05" w:rsidP="00E8285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18"/>
                <w:szCs w:val="18"/>
                <w:lang w:val="pt-BR"/>
              </w:rPr>
            </w:pPr>
            <w:r w:rsidRPr="00E62A05">
              <w:rPr>
                <w:rFonts w:ascii="Cambria" w:hAnsi="Cambria"/>
                <w:sz w:val="18"/>
                <w:szCs w:val="18"/>
                <w:lang w:val="pt-BR"/>
              </w:rPr>
              <w:t>A municipalidade interpôs recurso contra a decisão de segunda instância e, em 15 de julho de 2014, o processo foi suspenso.</w:t>
            </w:r>
          </w:p>
          <w:p w14:paraId="017D8A5F" w14:textId="77777777" w:rsidR="00E62A05" w:rsidRPr="00E62A05" w:rsidRDefault="00E62A05" w:rsidP="00E82851">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Cambria" w:hAnsi="Cambria"/>
                <w:sz w:val="18"/>
                <w:szCs w:val="18"/>
                <w:lang w:val="pt-BR"/>
              </w:rPr>
            </w:pPr>
            <w:r w:rsidRPr="00E62A05">
              <w:rPr>
                <w:rFonts w:ascii="Cambria" w:hAnsi="Cambria"/>
                <w:sz w:val="18"/>
                <w:szCs w:val="18"/>
                <w:lang w:val="pt-BR"/>
              </w:rPr>
              <w:t>No momento da apresentação da denúncia perante a CIDH o processo se encontrava pendente de decisão final.</w:t>
            </w:r>
          </w:p>
        </w:tc>
      </w:tr>
      <w:tr w:rsidR="00E62A05" w:rsidRPr="00E11B56" w14:paraId="725C8A17" w14:textId="77777777" w:rsidTr="00F54BFE">
        <w:tc>
          <w:tcPr>
            <w:tcW w:w="1838" w:type="dxa"/>
            <w:shd w:val="clear" w:color="auto" w:fill="D9D9D9" w:themeFill="background1" w:themeFillShade="D9"/>
          </w:tcPr>
          <w:p w14:paraId="423F7BB9" w14:textId="77777777" w:rsidR="00E62A05" w:rsidRPr="00E62A05" w:rsidRDefault="00E62A05" w:rsidP="00E62A0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bCs/>
                <w:sz w:val="18"/>
                <w:szCs w:val="18"/>
                <w:lang w:val="pt-BR"/>
              </w:rPr>
            </w:pPr>
          </w:p>
          <w:p w14:paraId="187A492B" w14:textId="77777777" w:rsidR="00E62A05" w:rsidRPr="00E62A05" w:rsidRDefault="00E62A05" w:rsidP="00E62A0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bCs/>
                <w:sz w:val="18"/>
                <w:szCs w:val="18"/>
                <w:lang w:val="pt-BR"/>
              </w:rPr>
            </w:pPr>
          </w:p>
          <w:p w14:paraId="2655ABBF" w14:textId="77777777" w:rsidR="00E62A05" w:rsidRPr="00E62A05" w:rsidRDefault="00E62A05" w:rsidP="00E62A0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bCs/>
                <w:sz w:val="18"/>
                <w:szCs w:val="18"/>
                <w:lang w:val="pt-BR"/>
              </w:rPr>
            </w:pPr>
            <w:r w:rsidRPr="00E62A05">
              <w:rPr>
                <w:rFonts w:ascii="Cambria" w:hAnsi="Cambria"/>
                <w:b/>
                <w:bCs/>
                <w:sz w:val="18"/>
                <w:szCs w:val="18"/>
                <w:lang w:val="pt-BR"/>
              </w:rPr>
              <w:t>0024.02.860099-7</w:t>
            </w:r>
          </w:p>
        </w:tc>
        <w:tc>
          <w:tcPr>
            <w:tcW w:w="7512" w:type="dxa"/>
            <w:shd w:val="clear" w:color="auto" w:fill="D9D9D9" w:themeFill="background1" w:themeFillShade="D9"/>
          </w:tcPr>
          <w:p w14:paraId="3FAA8FE9" w14:textId="77777777" w:rsidR="00E62A05" w:rsidRPr="00E62A05" w:rsidRDefault="00E62A05" w:rsidP="00E82851">
            <w:p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Cambria" w:hAnsi="Cambria"/>
                <w:sz w:val="18"/>
                <w:szCs w:val="18"/>
                <w:lang w:val="pt-BR"/>
              </w:rPr>
            </w:pPr>
            <w:r w:rsidRPr="00E62A05">
              <w:rPr>
                <w:rFonts w:ascii="Cambria" w:hAnsi="Cambria"/>
                <w:sz w:val="18"/>
                <w:szCs w:val="18"/>
                <w:lang w:val="pt-BR"/>
              </w:rPr>
              <w:t>Iniciado em favor de Denis Aparecido Moreira, Enio de Jesus Rodrigues, Glauber de Almeida Queiroz, Joyce Cristina Pereira Xavier, Gerson Guimarães Matias, Márcia Cristina dos Anjos Pires, Agenor Batista Duarte Júnior e Adriana Vieira dos Santos, em 21 de novembro de 2002.</w:t>
            </w:r>
          </w:p>
          <w:p w14:paraId="0D5FA91A" w14:textId="77777777" w:rsidR="00E62A05" w:rsidRPr="00E62A05" w:rsidRDefault="00E62A05" w:rsidP="00E8285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18"/>
                <w:szCs w:val="18"/>
                <w:lang w:val="pt-BR"/>
              </w:rPr>
            </w:pPr>
            <w:r w:rsidRPr="00E62A05">
              <w:rPr>
                <w:rFonts w:ascii="Cambria" w:hAnsi="Cambria"/>
                <w:sz w:val="18"/>
                <w:szCs w:val="18"/>
                <w:lang w:val="pt-BR"/>
              </w:rPr>
              <w:t>Decisão de primeira instância em 11 de julho de 2013.</w:t>
            </w:r>
          </w:p>
          <w:p w14:paraId="29E6FA8D" w14:textId="77777777" w:rsidR="00E62A05" w:rsidRPr="00E62A05" w:rsidRDefault="00E62A05" w:rsidP="00E8285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18"/>
                <w:szCs w:val="18"/>
                <w:lang w:val="pt-BR"/>
              </w:rPr>
            </w:pPr>
            <w:r w:rsidRPr="00E62A05">
              <w:rPr>
                <w:rFonts w:ascii="Cambria" w:hAnsi="Cambria"/>
                <w:sz w:val="18"/>
                <w:szCs w:val="18"/>
                <w:lang w:val="pt-BR"/>
              </w:rPr>
              <w:t>Decisão de segunda instância em 17 de setembro de 2014 (considerando o município responsável pelas lesões sofridas pelas pessoas que interpuseram a demanda).</w:t>
            </w:r>
          </w:p>
          <w:p w14:paraId="1D26BE3A" w14:textId="77777777" w:rsidR="00E62A05" w:rsidRPr="00E62A05" w:rsidRDefault="00E62A05" w:rsidP="00E82851">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Cambria" w:hAnsi="Cambria"/>
                <w:sz w:val="18"/>
                <w:szCs w:val="18"/>
                <w:lang w:val="pt-BR"/>
              </w:rPr>
            </w:pPr>
            <w:r w:rsidRPr="00E62A05">
              <w:rPr>
                <w:rFonts w:ascii="Cambria" w:hAnsi="Cambria"/>
                <w:sz w:val="18"/>
                <w:szCs w:val="18"/>
                <w:lang w:val="pt-BR"/>
              </w:rPr>
              <w:t>A municipalidade interpôs recurso contra a decisão de segunda instância, pendente de decisão no momento da apresentação da denúncia perante a CIDH.</w:t>
            </w:r>
          </w:p>
        </w:tc>
      </w:tr>
      <w:tr w:rsidR="00E62A05" w:rsidRPr="00E11B56" w14:paraId="38EE3762" w14:textId="77777777" w:rsidTr="00F54BFE">
        <w:tc>
          <w:tcPr>
            <w:tcW w:w="1838" w:type="dxa"/>
          </w:tcPr>
          <w:p w14:paraId="632A7815" w14:textId="77777777" w:rsidR="00E62A05" w:rsidRPr="00E62A05" w:rsidRDefault="00E62A05" w:rsidP="00E62A0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bCs/>
                <w:sz w:val="12"/>
                <w:szCs w:val="12"/>
                <w:lang w:val="pt-BR"/>
              </w:rPr>
            </w:pPr>
          </w:p>
          <w:p w14:paraId="6F4DB4D6" w14:textId="77777777" w:rsidR="00E62A05" w:rsidRPr="00E62A05" w:rsidRDefault="00E62A05" w:rsidP="00E62A0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bCs/>
                <w:sz w:val="18"/>
                <w:szCs w:val="18"/>
                <w:lang w:val="pt-BR"/>
              </w:rPr>
            </w:pPr>
            <w:r w:rsidRPr="00E62A05">
              <w:rPr>
                <w:rFonts w:ascii="Cambria" w:hAnsi="Cambria"/>
                <w:b/>
                <w:bCs/>
                <w:sz w:val="18"/>
                <w:szCs w:val="18"/>
                <w:lang w:val="pt-BR"/>
              </w:rPr>
              <w:t>0024.06.274328-1</w:t>
            </w:r>
          </w:p>
        </w:tc>
        <w:tc>
          <w:tcPr>
            <w:tcW w:w="7512" w:type="dxa"/>
          </w:tcPr>
          <w:p w14:paraId="131F7593" w14:textId="77777777" w:rsidR="00E62A05" w:rsidRPr="00E62A05" w:rsidRDefault="00E62A05" w:rsidP="00E8285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Cambria" w:hAnsi="Cambria"/>
                <w:sz w:val="18"/>
                <w:szCs w:val="18"/>
                <w:lang w:val="pt-BR"/>
              </w:rPr>
            </w:pPr>
            <w:r w:rsidRPr="00E62A05">
              <w:rPr>
                <w:rFonts w:ascii="Cambria" w:hAnsi="Cambria"/>
                <w:sz w:val="18"/>
                <w:szCs w:val="18"/>
                <w:lang w:val="pt-BR"/>
              </w:rPr>
              <w:t>Apresentado em favor de Marcelo Gontijo de Oliveira; a parte peticionária informa que a ação foi interposta em 24 de novembro de 2006. Pendente de decisão de primeira instância no momento da apresentação da denúncia perante a CIDH.</w:t>
            </w:r>
          </w:p>
        </w:tc>
      </w:tr>
    </w:tbl>
    <w:p w14:paraId="20F45C07" w14:textId="58854E14" w:rsidR="000E1B72" w:rsidRPr="000E1B72" w:rsidRDefault="000E1B72" w:rsidP="000E1B72">
      <w:pPr>
        <w:pStyle w:val="ListParagraph"/>
        <w:numPr>
          <w:ilvl w:val="0"/>
          <w:numId w:val="103"/>
        </w:numPr>
        <w:spacing w:before="240" w:after="240"/>
        <w:ind w:left="0" w:firstLine="720"/>
        <w:jc w:val="both"/>
        <w:rPr>
          <w:sz w:val="20"/>
          <w:szCs w:val="20"/>
          <w:lang w:val="pt-BR"/>
        </w:rPr>
      </w:pPr>
      <w:r w:rsidRPr="000E1B72">
        <w:rPr>
          <w:sz w:val="20"/>
          <w:szCs w:val="20"/>
          <w:lang w:val="pt-BR"/>
        </w:rPr>
        <w:t xml:space="preserve">A Comissão reitera, em primeiro lugar, como tem feito consistentemente, que o artigo 46.2 da Convenção, por sua natureza e objeto, é uma norma com conteúdo autônomo frente às normas substantivas da Convenção Americana. Portanto, a determinação quanto a se as exceções à regra de esgotamento dos recursos </w:t>
      </w:r>
      <w:r w:rsidRPr="000E1B72">
        <w:rPr>
          <w:sz w:val="20"/>
          <w:szCs w:val="20"/>
          <w:lang w:val="pt-BR"/>
        </w:rPr>
        <w:lastRenderedPageBreak/>
        <w:t>internos são aplicáveis ao caso em questão deve ser decidida de maneira prévia e separada da análise do mérito do assunto, já que depende de um padrão de apreciação diferente daquele utilizado para determinar a possível violação dos artigos 8 e 25 da Convenção. A CIDH também salientou que não existem disposições convencionais ou regulamentares que normalizem de modo específico o lapso que constitui demora injustificada, razão pela qual a Comissão avalia caso a caso para determinar se se configura essa demora.</w:t>
      </w:r>
      <w:r w:rsidRPr="00013992">
        <w:rPr>
          <w:rStyle w:val="FootnoteReference"/>
          <w:bCs/>
          <w:sz w:val="20"/>
          <w:lang w:val="pt-BR"/>
        </w:rPr>
        <w:footnoteReference w:id="6"/>
      </w:r>
      <w:r w:rsidRPr="000E1B72">
        <w:rPr>
          <w:sz w:val="20"/>
          <w:szCs w:val="20"/>
          <w:lang w:val="pt-BR"/>
        </w:rPr>
        <w:t xml:space="preserve"> Nesse sentido, a Corte Interamericana estabeleceu, como princípio reitor da análise da eventual demora injustificada, que “</w:t>
      </w:r>
      <w:r w:rsidRPr="000E1B72">
        <w:rPr>
          <w:i/>
          <w:iCs/>
          <w:sz w:val="20"/>
          <w:szCs w:val="20"/>
          <w:lang w:val="pt-BR"/>
        </w:rPr>
        <w:t>de maneira alguma a regra do prévio esgotamento deve levar a que se detenha ou se retarde até a inutilidade a atuação internacional em auxílio da vítima indefesa</w:t>
      </w:r>
      <w:r w:rsidRPr="000E1B72">
        <w:rPr>
          <w:sz w:val="20"/>
          <w:szCs w:val="20"/>
          <w:lang w:val="pt-BR"/>
        </w:rPr>
        <w:t>”.</w:t>
      </w:r>
      <w:r w:rsidRPr="00013992">
        <w:rPr>
          <w:rStyle w:val="FootnoteReference"/>
          <w:bCs/>
          <w:sz w:val="20"/>
          <w:lang w:val="pt-BR"/>
        </w:rPr>
        <w:footnoteReference w:id="7"/>
      </w:r>
      <w:r w:rsidRPr="000E1B72">
        <w:rPr>
          <w:sz w:val="20"/>
          <w:szCs w:val="20"/>
          <w:lang w:val="pt-BR"/>
        </w:rPr>
        <w:t xml:space="preserve"> Ou seja, a natureza complementar da proteção internacional prevista na Convenção Americana implica também que a intervenção dos órgãos do Sistema Interamericano seja oportuna para que esta possa ter algum tipo de efeito útil na proteção dos direitos das supostas vítimas. </w:t>
      </w:r>
    </w:p>
    <w:p w14:paraId="597B3755" w14:textId="77777777" w:rsidR="000E1B72" w:rsidRPr="000E1B72" w:rsidRDefault="000E1B72" w:rsidP="000E1B72">
      <w:pPr>
        <w:pStyle w:val="ListParagraph"/>
        <w:numPr>
          <w:ilvl w:val="0"/>
          <w:numId w:val="103"/>
        </w:numPr>
        <w:spacing w:before="240" w:after="240"/>
        <w:ind w:left="0" w:firstLine="720"/>
        <w:jc w:val="both"/>
        <w:rPr>
          <w:sz w:val="20"/>
          <w:szCs w:val="20"/>
          <w:lang w:val="pt-BR"/>
        </w:rPr>
      </w:pPr>
      <w:r w:rsidRPr="000E1B72">
        <w:rPr>
          <w:sz w:val="20"/>
          <w:szCs w:val="20"/>
          <w:lang w:val="pt-BR"/>
        </w:rPr>
        <w:t>No presente caso, a Comissão observa que, de acordo com a informação prestada pelas partes, os processos 0024.02.860092-2, 0024.02.860100-3, 0024.05.871105-2, 0024.02.860099-7 e 0024.06.274328-1 permaneceram sem decisão definitiva depois de transcorridos mais de 17 anos de sua apresentação. Além disso, o Estado não apresentou fundamentos suficientes para rebater, explicar ou justificar essa demora. Por essa razão, a CIDH considera aplicável a exceção ao esgotamento dos recursos internos prevista no artigo 46.2.c) da Convenção Americana.</w:t>
      </w:r>
    </w:p>
    <w:p w14:paraId="670699F5" w14:textId="77777777" w:rsidR="000E1B72" w:rsidRPr="000E1B72" w:rsidRDefault="000E1B72" w:rsidP="000E1B72">
      <w:pPr>
        <w:pStyle w:val="ListParagraph"/>
        <w:numPr>
          <w:ilvl w:val="0"/>
          <w:numId w:val="103"/>
        </w:numPr>
        <w:spacing w:before="240" w:after="240"/>
        <w:ind w:left="0" w:firstLine="720"/>
        <w:jc w:val="both"/>
        <w:rPr>
          <w:sz w:val="20"/>
          <w:szCs w:val="20"/>
          <w:lang w:val="pt-BR"/>
        </w:rPr>
      </w:pPr>
      <w:r w:rsidRPr="000E1B72">
        <w:rPr>
          <w:sz w:val="20"/>
          <w:szCs w:val="20"/>
          <w:lang w:val="pt-BR"/>
        </w:rPr>
        <w:t>O artigo 32 do Regulamento da Comissão estabelece que, nos casos em que sejam aplicáveis as exceções ao prévio esgotamento dos recursos internos, a petição deverá ser apresentada em prazo razoável, a critério da Comissão. A esse respeito, no presente assunto, embora os fatos denunciados tenham ocorrido há aproximadamente 22 anos, sua matéria envolve possíveis violações cujas demandas por justiça permanecem abertas na atualidade; portanto, levando em conta que a presente petição foi apresentada em 2015, a Comissão considera que foi apresentada em prazo razoável, nos termos do artigo 32.2 de seu Regulamento.</w:t>
      </w:r>
    </w:p>
    <w:p w14:paraId="035E90F6" w14:textId="11BAFC55" w:rsidR="000E1B72" w:rsidRPr="000E1B72" w:rsidRDefault="000E1B72" w:rsidP="000E1B72">
      <w:pPr>
        <w:pStyle w:val="ListParagraph"/>
        <w:numPr>
          <w:ilvl w:val="0"/>
          <w:numId w:val="103"/>
        </w:numPr>
        <w:spacing w:before="240" w:after="240"/>
        <w:ind w:left="0" w:firstLine="720"/>
        <w:jc w:val="both"/>
        <w:rPr>
          <w:sz w:val="20"/>
          <w:szCs w:val="20"/>
          <w:lang w:val="pt-BR"/>
        </w:rPr>
      </w:pPr>
      <w:r w:rsidRPr="000E1B72">
        <w:rPr>
          <w:sz w:val="20"/>
          <w:szCs w:val="20"/>
          <w:lang w:val="pt-BR"/>
        </w:rPr>
        <w:t>Portanto, a presente petição é admissível em relação às supostas vítimas Reinaldo Silva Barbosa, R.C.R., Rafael Martins Moreira, Weverton de Almeida de Souza, Rodrigo Gonçalves, Ronaldo Goncalves, Daniel Félix Batista, Édna Batista Cesário, Cleonei Pereira da Silva, Elinir Cândida dos Santos, Lucineia Caldeira dos Santos, Janaína Helen Basílio Paixão, Fábio Roberto Moreira, Kelly Cristina Aparecida de Souza, Denis Aparecido Moreira, Enio de Jesus Rodrigues, Glauber de Almeida Queiroz, Joyce Cristina Pereira Xavier, Gerson Guimarães Matias, Márcia Cristina dos Anjos Pires, Agenor Batista Duarte Júnior, Adriana Vieira dos Santos e Marcelo Gontijo de Oliveira.</w:t>
      </w:r>
    </w:p>
    <w:p w14:paraId="35B53FA8" w14:textId="214C7F50" w:rsidR="00697D1E" w:rsidRPr="00206F45" w:rsidRDefault="00697D1E" w:rsidP="00697D1E">
      <w:pPr>
        <w:pStyle w:val="ListParagraph"/>
        <w:spacing w:before="240" w:after="240"/>
        <w:ind w:left="758"/>
        <w:jc w:val="both"/>
        <w:rPr>
          <w:b/>
          <w:sz w:val="20"/>
          <w:szCs w:val="20"/>
          <w:lang w:val="pt-BR"/>
        </w:rPr>
      </w:pPr>
      <w:r w:rsidRPr="00206F45">
        <w:rPr>
          <w:b/>
          <w:sz w:val="20"/>
          <w:szCs w:val="20"/>
          <w:lang w:val="pt-BR"/>
        </w:rPr>
        <w:t xml:space="preserve">VII. </w:t>
      </w:r>
      <w:r w:rsidRPr="00206F45">
        <w:rPr>
          <w:b/>
          <w:sz w:val="20"/>
          <w:szCs w:val="20"/>
          <w:lang w:val="pt-BR"/>
        </w:rPr>
        <w:tab/>
      </w:r>
      <w:r w:rsidR="00FB7BCA" w:rsidRPr="00206F45">
        <w:rPr>
          <w:b/>
          <w:bCs/>
          <w:sz w:val="20"/>
          <w:szCs w:val="20"/>
          <w:lang w:val="pt-BR"/>
        </w:rPr>
        <w:t xml:space="preserve">ANÁLISE DE CARACTERIZAÇÃO </w:t>
      </w:r>
      <w:r w:rsidR="000E1B72">
        <w:rPr>
          <w:b/>
          <w:bCs/>
          <w:sz w:val="20"/>
          <w:szCs w:val="20"/>
          <w:lang w:val="pt-BR"/>
        </w:rPr>
        <w:t>DOS FATOS ALEGADOS</w:t>
      </w:r>
    </w:p>
    <w:p w14:paraId="68A9E72A" w14:textId="77777777" w:rsidR="000E1B72" w:rsidRPr="000E1B72" w:rsidRDefault="000E1B72" w:rsidP="000E1B72">
      <w:pPr>
        <w:pStyle w:val="ListParagraph"/>
        <w:numPr>
          <w:ilvl w:val="0"/>
          <w:numId w:val="103"/>
        </w:numPr>
        <w:spacing w:before="240" w:after="240"/>
        <w:ind w:left="0" w:firstLine="720"/>
        <w:jc w:val="both"/>
        <w:rPr>
          <w:sz w:val="20"/>
          <w:szCs w:val="20"/>
          <w:lang w:val="pt-BR"/>
        </w:rPr>
      </w:pPr>
      <w:r w:rsidRPr="000E1B72">
        <w:rPr>
          <w:sz w:val="20"/>
          <w:szCs w:val="20"/>
          <w:lang w:val="pt-BR"/>
        </w:rPr>
        <w:t>O objeto principal da presente petição é a possível responsabilidade do Estado pelos danos decorrentes de um incêndio em uma casa de shows, e a falta de reparação integral e oportuna durante o processo interno.</w:t>
      </w:r>
    </w:p>
    <w:p w14:paraId="59163017" w14:textId="77777777" w:rsidR="000E1B72" w:rsidRPr="000E1B72" w:rsidRDefault="000E1B72" w:rsidP="000E1B72">
      <w:pPr>
        <w:pStyle w:val="ListParagraph"/>
        <w:numPr>
          <w:ilvl w:val="0"/>
          <w:numId w:val="103"/>
        </w:numPr>
        <w:spacing w:before="240" w:after="240"/>
        <w:ind w:left="0" w:firstLine="720"/>
        <w:jc w:val="both"/>
        <w:rPr>
          <w:sz w:val="20"/>
          <w:szCs w:val="20"/>
          <w:lang w:val="pt-BR"/>
        </w:rPr>
      </w:pPr>
      <w:r w:rsidRPr="000E1B72">
        <w:rPr>
          <w:sz w:val="20"/>
          <w:szCs w:val="20"/>
          <w:lang w:val="pt-BR"/>
        </w:rPr>
        <w:t>O Estado alega que os fatos não poderiam caracterizar violações dos direitos protegidos pela Convenção Americana, já que a causa do incêndio residiu no uso de artefatos pirotécnicos no interior do estabelecimento por membros do grupo musical contratado pelo local, bem como na negligência do proprietário e administrador do local, ao permitir o uso desses artefatos. Para o Estado, a inspeção, eficiente ou não, nunca poderá obter dados resultantes do uso de artefatos pirotécnicos em um estabelecimento fechado e superlotado. O Estado também alega que os assuntos da petição foram devidamente considerados pelos processos internos, e que não caberia ao Sistema Interamericano atuar como órgão de apelação em relação a esses processos.</w:t>
      </w:r>
    </w:p>
    <w:p w14:paraId="433FC988" w14:textId="77777777" w:rsidR="000E1B72" w:rsidRDefault="000E1B72" w:rsidP="000E1B72">
      <w:pPr>
        <w:pStyle w:val="ListParagraph"/>
        <w:numPr>
          <w:ilvl w:val="0"/>
          <w:numId w:val="103"/>
        </w:numPr>
        <w:spacing w:before="240" w:after="240"/>
        <w:ind w:left="0" w:firstLine="720"/>
        <w:jc w:val="both"/>
        <w:rPr>
          <w:sz w:val="20"/>
          <w:szCs w:val="20"/>
          <w:lang w:val="pt-BR"/>
        </w:rPr>
      </w:pPr>
      <w:r w:rsidRPr="000E1B72">
        <w:rPr>
          <w:sz w:val="20"/>
          <w:szCs w:val="20"/>
          <w:lang w:val="pt-BR"/>
        </w:rPr>
        <w:t xml:space="preserve">A Comissão Interamericana esclarece que, no âmbito do exame de admissibilidade, a ela compete realizar uma análise </w:t>
      </w:r>
      <w:r w:rsidRPr="000E1B72">
        <w:rPr>
          <w:i/>
          <w:iCs/>
          <w:sz w:val="20"/>
          <w:szCs w:val="20"/>
          <w:lang w:val="pt-BR"/>
        </w:rPr>
        <w:t>prima facie</w:t>
      </w:r>
      <w:r w:rsidRPr="000E1B72">
        <w:rPr>
          <w:sz w:val="20"/>
          <w:szCs w:val="20"/>
          <w:lang w:val="pt-BR"/>
        </w:rPr>
        <w:t xml:space="preserve"> com o único objetivo de determinar se os fatos expostos caracterizam </w:t>
      </w:r>
      <w:r w:rsidRPr="000E1B72">
        <w:rPr>
          <w:sz w:val="20"/>
          <w:szCs w:val="20"/>
          <w:lang w:val="pt-BR"/>
        </w:rPr>
        <w:lastRenderedPageBreak/>
        <w:t>uma possível violação dos direitos humanos, bem como se os fatos não são manifestamente infundados ou infundados.</w:t>
      </w:r>
    </w:p>
    <w:p w14:paraId="012344D2" w14:textId="22D749A4" w:rsidR="000E1B72" w:rsidRPr="000E1B72" w:rsidRDefault="000E1B72" w:rsidP="000E1B72">
      <w:pPr>
        <w:pStyle w:val="ListParagraph"/>
        <w:numPr>
          <w:ilvl w:val="0"/>
          <w:numId w:val="103"/>
        </w:numPr>
        <w:spacing w:before="240" w:after="240"/>
        <w:ind w:left="0" w:firstLine="720"/>
        <w:jc w:val="both"/>
        <w:rPr>
          <w:sz w:val="20"/>
          <w:szCs w:val="20"/>
          <w:lang w:val="pt-BR"/>
        </w:rPr>
      </w:pPr>
      <w:r w:rsidRPr="000E1B72">
        <w:rPr>
          <w:sz w:val="20"/>
          <w:szCs w:val="20"/>
          <w:lang w:val="pt-BR"/>
        </w:rPr>
        <w:t>Ao se pronunciar em relação a um caso comparável ao presente, cujo objeto incluiu denúncias sobre mortos e feridos por explosão e incêndio em um estabelecimento privado (uma fábrica de fogos de artifício que funcionava irregularmente), a Comissão Interamericana esclareceu que o cumprimento das obrigações do artigo 1.1 da Convenção não só pressupõe que nenhuma pessoa seja privada da vida arbitrariamente, mas exige, além disso, que os Estados tomem todas as medidas apropriadas para proteger e preservar o direito à vida,  e que essas obrigações são igualmente aplicáveis ao direito à integridade pessoal.</w:t>
      </w:r>
      <w:r w:rsidRPr="00013992">
        <w:rPr>
          <w:rStyle w:val="FootnoteReference"/>
          <w:bCs/>
          <w:sz w:val="20"/>
          <w:lang w:val="pt-BR"/>
        </w:rPr>
        <w:footnoteReference w:id="8"/>
      </w:r>
      <w:r>
        <w:rPr>
          <w:sz w:val="20"/>
          <w:szCs w:val="20"/>
          <w:lang w:val="pt-BR"/>
        </w:rPr>
        <w:t xml:space="preserve"> </w:t>
      </w:r>
      <w:r w:rsidRPr="000E1B72">
        <w:rPr>
          <w:sz w:val="20"/>
          <w:szCs w:val="20"/>
          <w:lang w:val="pt-BR"/>
        </w:rPr>
        <w:t>Além disso, esclareceu que uma violação dos direitos humanos protegidos pela Convenção pode comprometer a responsabilidade internacional de um Estado Parte, caso o ato ilícito tenha contado com a participação, o apoio ou a tolerância de agentes estatais ou tenha resultado do descumprimento, por parte do Estado, da obrigação de prevenir, de maneira razoável, as violações dos direitos humanos, de investigar seriamente, com vistas a identificar e punir os responsáveis e de reparar adequadamente a vítima ou seus familiares pelos prejuízos causados.</w:t>
      </w:r>
      <w:r w:rsidRPr="00013992">
        <w:rPr>
          <w:rStyle w:val="FootnoteReference"/>
          <w:bCs/>
          <w:sz w:val="20"/>
          <w:lang w:val="pt-BR"/>
        </w:rPr>
        <w:footnoteReference w:id="9"/>
      </w:r>
      <w:r>
        <w:rPr>
          <w:sz w:val="20"/>
          <w:szCs w:val="20"/>
          <w:lang w:val="pt-BR"/>
        </w:rPr>
        <w:t xml:space="preserve"> </w:t>
      </w:r>
      <w:r w:rsidRPr="000E1B72">
        <w:rPr>
          <w:sz w:val="20"/>
          <w:szCs w:val="20"/>
          <w:lang w:val="pt-BR"/>
        </w:rPr>
        <w:t>Finalmente, concluiu que, embora não sejam atribuíveis aos Estados todo dano à vida e à integridade, o Estado, sim, pode ser internacionalmente responsável por esses danos, quando tenham eles ocorrido na ausência de mecanismos adequados de regulamentação, supervisão e fiscalização. Essas obrigações são reforçadas frente a atores privados que realizam atividades de especial risco.</w:t>
      </w:r>
      <w:r w:rsidRPr="00013992">
        <w:rPr>
          <w:rStyle w:val="FootnoteReference"/>
          <w:bCs/>
          <w:sz w:val="20"/>
          <w:lang w:val="pt-BR"/>
        </w:rPr>
        <w:footnoteReference w:id="10"/>
      </w:r>
      <w:r w:rsidRPr="000E1B72">
        <w:rPr>
          <w:sz w:val="20"/>
          <w:szCs w:val="20"/>
          <w:lang w:val="pt-BR"/>
        </w:rPr>
        <w:t xml:space="preserve"> </w:t>
      </w:r>
    </w:p>
    <w:p w14:paraId="4113DAAC" w14:textId="77777777" w:rsidR="000E1B72" w:rsidRDefault="000E1B72" w:rsidP="000E1B72">
      <w:pPr>
        <w:pStyle w:val="ListParagraph"/>
        <w:numPr>
          <w:ilvl w:val="0"/>
          <w:numId w:val="103"/>
        </w:numPr>
        <w:spacing w:before="240" w:after="240"/>
        <w:ind w:left="0" w:firstLine="720"/>
        <w:jc w:val="both"/>
        <w:rPr>
          <w:sz w:val="20"/>
          <w:szCs w:val="20"/>
          <w:lang w:val="pt-BR"/>
        </w:rPr>
      </w:pPr>
      <w:r w:rsidRPr="000E1B72">
        <w:rPr>
          <w:sz w:val="20"/>
          <w:szCs w:val="20"/>
          <w:lang w:val="pt-BR"/>
        </w:rPr>
        <w:t xml:space="preserve">Do mesmo modo, em sua jurisprudência sobre direitos e obrigações similares aos protegidos pela Convenção Americana, o Tribunal Europeu de Direitos Humanos conseguiu desenvolver princípios úteis para esse exame </w:t>
      </w:r>
      <w:r w:rsidRPr="000E1B72">
        <w:rPr>
          <w:i/>
          <w:iCs/>
          <w:sz w:val="20"/>
          <w:szCs w:val="20"/>
          <w:lang w:val="pt-BR"/>
        </w:rPr>
        <w:t>prima facie</w:t>
      </w:r>
      <w:r w:rsidRPr="000E1B72">
        <w:rPr>
          <w:sz w:val="20"/>
          <w:szCs w:val="20"/>
          <w:lang w:val="pt-BR"/>
        </w:rPr>
        <w:t xml:space="preserve"> de caracterização. Nesse sentido, destacou que:</w:t>
      </w:r>
    </w:p>
    <w:p w14:paraId="24594225" w14:textId="77777777" w:rsidR="000E1B72" w:rsidRDefault="000E1B72" w:rsidP="00D14379">
      <w:pPr>
        <w:pStyle w:val="ListParagraph"/>
        <w:ind w:left="709" w:right="713"/>
        <w:jc w:val="both"/>
        <w:rPr>
          <w:sz w:val="20"/>
          <w:szCs w:val="20"/>
          <w:lang w:val="pt-BR"/>
        </w:rPr>
      </w:pPr>
      <w:r w:rsidRPr="000E1B72">
        <w:rPr>
          <w:sz w:val="20"/>
          <w:szCs w:val="20"/>
          <w:lang w:val="pt-BR"/>
        </w:rPr>
        <w:t xml:space="preserve">a obrigação positiva de adotar todas as medidas apropriadas para salvaguardar a vida […] implica sobretudo o dever primordial do Estado de estabelecer uma estrutura legislativa e administrativa concebida para proporcionar uma dissuasão efetiva das ameaças ao direito à vida. </w:t>
      </w:r>
    </w:p>
    <w:p w14:paraId="3A5F6547" w14:textId="2D07EE9A" w:rsidR="000E1B72" w:rsidRPr="000E1B72" w:rsidRDefault="000E1B72" w:rsidP="00D14379">
      <w:pPr>
        <w:pStyle w:val="ListParagraph"/>
        <w:ind w:left="709" w:right="713"/>
        <w:jc w:val="both"/>
        <w:rPr>
          <w:sz w:val="20"/>
          <w:szCs w:val="20"/>
          <w:lang w:val="pt-BR"/>
        </w:rPr>
      </w:pPr>
      <w:r w:rsidRPr="000E1B72">
        <w:rPr>
          <w:sz w:val="20"/>
          <w:szCs w:val="20"/>
          <w:lang w:val="pt-BR"/>
        </w:rPr>
        <w:t xml:space="preserve">Essa obrigação se aplica indiscutivelmente ao contexto específico das atividades de risco, onde, além disso, deve-se insistir especialmente em normas adaptadas às características especiais da atividade em questão, em especial no que diz respeito ao nível de risco potencial para as vidas humanas. </w:t>
      </w:r>
    </w:p>
    <w:p w14:paraId="78BD2E2E" w14:textId="77777777" w:rsidR="000E1B72" w:rsidRPr="000E1B72" w:rsidRDefault="000E1B72" w:rsidP="00D14379">
      <w:pPr>
        <w:pStyle w:val="ListParagraph"/>
        <w:ind w:left="709" w:right="713"/>
        <w:jc w:val="both"/>
        <w:rPr>
          <w:sz w:val="20"/>
          <w:szCs w:val="20"/>
          <w:lang w:val="pt-BR"/>
        </w:rPr>
      </w:pPr>
      <w:r w:rsidRPr="000E1B72">
        <w:rPr>
          <w:sz w:val="20"/>
          <w:szCs w:val="20"/>
          <w:lang w:val="pt-BR"/>
        </w:rPr>
        <w:t>Devem regulamentar a concessão de licenças, o estabelecimento, o funcionamento, a segurança e a supervisão da atividade, e devem obrigar todos os interessados a adotar medidas práticas para garantir a proteção efetiva dos cidadãos cujas vidas possam se ver ameaçadas pelos riscos inerentes.</w:t>
      </w:r>
    </w:p>
    <w:p w14:paraId="64C9ED78" w14:textId="48CCA3C7" w:rsidR="000E1B72" w:rsidRDefault="000E1B72" w:rsidP="00D14379">
      <w:pPr>
        <w:pStyle w:val="ListParagraph"/>
        <w:ind w:left="709" w:right="713"/>
        <w:jc w:val="both"/>
        <w:rPr>
          <w:sz w:val="20"/>
          <w:szCs w:val="20"/>
          <w:lang w:val="pt-BR"/>
        </w:rPr>
      </w:pPr>
      <w:r w:rsidRPr="000E1B72">
        <w:rPr>
          <w:sz w:val="20"/>
          <w:szCs w:val="20"/>
          <w:lang w:val="pt-BR"/>
        </w:rPr>
        <w:t>As obrigações decorrentes do [direito à vida] não terminam aí. Quando vidas foram perdidas em circunstâncias que potencialmente comprometem a responsabilidade do Estado, essa disposição implica o dever do Estado de garantir, por todos os meios a sua disposição, uma resposta adequada (judicial ou de outro tipo) para que a estrutura legislativa e administrativa estabelecida para proteger o direito à vida seja adequadamente implementada, e qualquer violação desse direito seja reprimida e punida.</w:t>
      </w:r>
      <w:r w:rsidR="00E62A05" w:rsidRPr="00013992">
        <w:rPr>
          <w:rStyle w:val="FootnoteReference"/>
          <w:bCs/>
          <w:sz w:val="20"/>
          <w:lang w:val="pt-BR"/>
        </w:rPr>
        <w:footnoteReference w:id="11"/>
      </w:r>
    </w:p>
    <w:p w14:paraId="1F0B02EF" w14:textId="77777777" w:rsidR="00E62A05" w:rsidRPr="00E62A05" w:rsidRDefault="00E62A05" w:rsidP="00E62A05">
      <w:pPr>
        <w:pStyle w:val="ListParagraph"/>
        <w:numPr>
          <w:ilvl w:val="0"/>
          <w:numId w:val="103"/>
        </w:numPr>
        <w:spacing w:before="240" w:after="240"/>
        <w:ind w:left="0" w:firstLine="720"/>
        <w:jc w:val="both"/>
        <w:rPr>
          <w:sz w:val="20"/>
          <w:szCs w:val="20"/>
          <w:lang w:val="pt-BR"/>
        </w:rPr>
      </w:pPr>
      <w:r w:rsidRPr="00E62A05">
        <w:rPr>
          <w:sz w:val="20"/>
          <w:szCs w:val="20"/>
          <w:lang w:val="pt-BR"/>
        </w:rPr>
        <w:t xml:space="preserve">Levando em conta o exposto, considerando que as alegações apresentadas incluem falhas de inspeção e irregularidades do estabelecimento, que podem ter contribuído para os danos decorrentes do incêndio, tais como mortos e feridos, além da possível falta de reparação total e oportuna desses danos, a Comissão Interamericana conclui que, caso sejam provadas, essas alegações podem caracterizar violações dos direitos protegidos pelos artigos 4 (direito à vida), 5 (integridade pessoal), 8 (garantias judiciais) e 25 </w:t>
      </w:r>
      <w:r w:rsidRPr="00E62A05">
        <w:rPr>
          <w:sz w:val="20"/>
          <w:szCs w:val="20"/>
          <w:lang w:val="pt-BR"/>
        </w:rPr>
        <w:lastRenderedPageBreak/>
        <w:t>(proteção judicial) da Convenção Americana sobre Direitos Humanos, em relação às obrigações dispostas no artigo 1.1 (obrigação de respeitar os direitos ) da Convenção Americana, em detrimento do grupo de supostas vítimas devidamente especificado no final da seção VI.</w:t>
      </w:r>
    </w:p>
    <w:p w14:paraId="047C5E00" w14:textId="77777777" w:rsidR="00E62A05" w:rsidRPr="00E62A05" w:rsidRDefault="00E62A05" w:rsidP="00E62A05">
      <w:pPr>
        <w:pStyle w:val="ListParagraph"/>
        <w:numPr>
          <w:ilvl w:val="0"/>
          <w:numId w:val="103"/>
        </w:numPr>
        <w:spacing w:before="240" w:after="240"/>
        <w:ind w:left="0" w:firstLine="720"/>
        <w:jc w:val="both"/>
        <w:rPr>
          <w:sz w:val="20"/>
          <w:szCs w:val="20"/>
          <w:lang w:val="pt-BR"/>
        </w:rPr>
      </w:pPr>
      <w:r w:rsidRPr="00E62A05">
        <w:rPr>
          <w:sz w:val="20"/>
          <w:szCs w:val="20"/>
          <w:lang w:val="pt-BR"/>
        </w:rPr>
        <w:t xml:space="preserve">As alegações do Estado brasileiro sobre a suposta ausência de responsabilidade estatal pelo incêndio podem ser consideradas no passo processual seguinte, já que cabe à análise do mérito avaliar se estão presentes todos os elementos necessários para a caracterização da responsabilidade jurídica internacional do Estado. </w:t>
      </w:r>
    </w:p>
    <w:p w14:paraId="243C3659" w14:textId="241AF59B" w:rsidR="00206F45" w:rsidRPr="00E62A05" w:rsidRDefault="00E62A05" w:rsidP="00E62A05">
      <w:pPr>
        <w:pStyle w:val="ListParagraph"/>
        <w:numPr>
          <w:ilvl w:val="0"/>
          <w:numId w:val="103"/>
        </w:numPr>
        <w:spacing w:before="240" w:after="240"/>
        <w:ind w:left="0" w:firstLine="720"/>
        <w:jc w:val="both"/>
        <w:rPr>
          <w:sz w:val="20"/>
          <w:szCs w:val="20"/>
          <w:lang w:val="pt-BR"/>
        </w:rPr>
      </w:pPr>
      <w:r w:rsidRPr="00E62A05">
        <w:rPr>
          <w:sz w:val="20"/>
          <w:szCs w:val="20"/>
          <w:lang w:val="pt-BR"/>
        </w:rPr>
        <w:t>Finalmente, em relação à alegação do Estado de que a admissão da presente petição constituiria uma violação da denominada “fórmula da quarta instância”, a Comissão reitera que, no âmbito de seu mandato, tem competência para declarar uma petição admissível e decidir sobre o mérito quando se trate de processos internos que possam violar os direitos garantidos pela Convenção Americana.</w:t>
      </w:r>
      <w:r w:rsidRPr="00013992">
        <w:rPr>
          <w:rStyle w:val="FootnoteReference"/>
          <w:bCs/>
          <w:sz w:val="20"/>
          <w:lang w:val="pt-BR"/>
        </w:rPr>
        <w:footnoteReference w:id="12"/>
      </w:r>
      <w:r w:rsidRPr="00E62A05">
        <w:rPr>
          <w:sz w:val="20"/>
          <w:szCs w:val="20"/>
          <w:lang w:val="pt-BR"/>
        </w:rPr>
        <w:t xml:space="preserve">  </w:t>
      </w:r>
    </w:p>
    <w:p w14:paraId="6D6AE254" w14:textId="77777777" w:rsidR="00697D1E" w:rsidRPr="00206F45" w:rsidRDefault="00697D1E" w:rsidP="00697D1E">
      <w:pPr>
        <w:pStyle w:val="ListParagraph"/>
        <w:spacing w:before="240" w:after="240"/>
        <w:ind w:left="0" w:firstLine="709"/>
        <w:jc w:val="both"/>
        <w:rPr>
          <w:b/>
          <w:sz w:val="20"/>
          <w:szCs w:val="20"/>
          <w:lang w:val="pt-BR"/>
        </w:rPr>
      </w:pPr>
      <w:r w:rsidRPr="00206F45">
        <w:rPr>
          <w:b/>
          <w:sz w:val="20"/>
          <w:szCs w:val="20"/>
          <w:lang w:val="pt-BR"/>
        </w:rPr>
        <w:t xml:space="preserve">VIII. </w:t>
      </w:r>
      <w:r w:rsidRPr="00206F45">
        <w:rPr>
          <w:b/>
          <w:sz w:val="20"/>
          <w:szCs w:val="20"/>
          <w:lang w:val="pt-BR"/>
        </w:rPr>
        <w:tab/>
      </w:r>
      <w:r w:rsidRPr="00206F45">
        <w:rPr>
          <w:b/>
          <w:bCs/>
          <w:sz w:val="20"/>
          <w:szCs w:val="20"/>
          <w:lang w:val="pt-BR"/>
        </w:rPr>
        <w:t>DECIS</w:t>
      </w:r>
      <w:r w:rsidR="00FB7BCA" w:rsidRPr="00206F45">
        <w:rPr>
          <w:b/>
          <w:bCs/>
          <w:sz w:val="20"/>
          <w:szCs w:val="20"/>
          <w:lang w:val="pt-BR"/>
        </w:rPr>
        <w:t>ÃO</w:t>
      </w:r>
    </w:p>
    <w:p w14:paraId="3A6EA6B1" w14:textId="6E57A552" w:rsidR="00E62A05" w:rsidRPr="00E62A05" w:rsidRDefault="00E62A05" w:rsidP="00E62A05">
      <w:pPr>
        <w:pStyle w:val="ListParagraph"/>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pt-BR"/>
        </w:rPr>
      </w:pPr>
      <w:r w:rsidRPr="00E62A05">
        <w:rPr>
          <w:sz w:val="20"/>
          <w:szCs w:val="20"/>
          <w:lang w:val="pt-BR"/>
        </w:rPr>
        <w:t>Declarar admissível a presente petição em relação aos artigos 4, 5, 8 e 25 da Convenção Americana, em concordância com seu artigo 1.1.</w:t>
      </w:r>
    </w:p>
    <w:p w14:paraId="02C14760" w14:textId="77777777" w:rsidR="00E62A05" w:rsidRDefault="00E62A05" w:rsidP="00E62A05">
      <w:pPr>
        <w:pStyle w:val="ListParagraph"/>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pt-BR"/>
        </w:rPr>
      </w:pPr>
      <w:r w:rsidRPr="00E62A05">
        <w:rPr>
          <w:sz w:val="20"/>
          <w:szCs w:val="20"/>
          <w:lang w:val="pt-BR"/>
        </w:rPr>
        <w:t>Notificar as partes da presente decisão; continuar a análise do mérito da questão; e publicar esta decisão e incluí-la em seu Relatório Anual à Assembleia Geral da Organização dos Estados Americanos.</w:t>
      </w:r>
    </w:p>
    <w:p w14:paraId="1FD5F985" w14:textId="43718071" w:rsidR="00961E0B" w:rsidRPr="00E11B56" w:rsidRDefault="00961E0B" w:rsidP="00E11B56">
      <w:pPr>
        <w:jc w:val="both"/>
        <w:rPr>
          <w:rFonts w:ascii="Cambria" w:hAnsi="Cambria" w:cs="BookAntiqua"/>
          <w:sz w:val="20"/>
          <w:szCs w:val="20"/>
          <w:lang w:val="pt-BR"/>
        </w:rPr>
      </w:pPr>
      <w:r>
        <w:rPr>
          <w:rFonts w:ascii="Cambria" w:hAnsi="Cambria" w:cs="BookAntiqua"/>
          <w:sz w:val="20"/>
          <w:szCs w:val="20"/>
          <w:lang w:val="pt-BR"/>
        </w:rPr>
        <w:tab/>
      </w:r>
      <w:r w:rsidRPr="00961E0B">
        <w:rPr>
          <w:rFonts w:ascii="Cambria" w:hAnsi="Cambria" w:cs="BookAntiqua"/>
          <w:sz w:val="20"/>
          <w:szCs w:val="20"/>
          <w:lang w:val="pt-BR"/>
        </w:rPr>
        <w:t xml:space="preserve">Aprovado pela Comissão Interamericana de Direitos Humanos aos </w:t>
      </w:r>
      <w:r w:rsidR="00A8573E">
        <w:rPr>
          <w:rFonts w:ascii="Cambria" w:hAnsi="Cambria" w:cs="BookAntiqua"/>
          <w:sz w:val="20"/>
          <w:szCs w:val="20"/>
          <w:lang w:val="pt-BR"/>
        </w:rPr>
        <w:t>31</w:t>
      </w:r>
      <w:r w:rsidRPr="00961E0B">
        <w:rPr>
          <w:rFonts w:ascii="Cambria" w:hAnsi="Cambria" w:cs="BookAntiqua"/>
          <w:sz w:val="20"/>
          <w:szCs w:val="20"/>
          <w:lang w:val="pt-BR"/>
        </w:rPr>
        <w:t xml:space="preserve"> dias do mês de </w:t>
      </w:r>
      <w:r w:rsidR="00A8573E">
        <w:rPr>
          <w:rFonts w:ascii="Cambria" w:hAnsi="Cambria" w:cs="BookAntiqua"/>
          <w:sz w:val="20"/>
          <w:szCs w:val="20"/>
          <w:lang w:val="pt-BR"/>
        </w:rPr>
        <w:t>outubro</w:t>
      </w:r>
      <w:r w:rsidRPr="00961E0B">
        <w:rPr>
          <w:rFonts w:ascii="Cambria" w:hAnsi="Cambria" w:cs="BookAntiqua"/>
          <w:sz w:val="20"/>
          <w:szCs w:val="20"/>
          <w:lang w:val="pt-BR"/>
        </w:rPr>
        <w:t xml:space="preserve"> de 2023. (Assinado): Esmeralda Arosemena de Troitiño, Primeira Vicepresidenta; Julissa Mantilla Falcón, Stuardo Ralón Orellana e José Luis Caballero Ochoa, membros da Comissão.</w:t>
      </w:r>
    </w:p>
    <w:p w14:paraId="1A12A5DD" w14:textId="77777777" w:rsidR="00C16B80" w:rsidRPr="00206F45" w:rsidRDefault="00C16B80" w:rsidP="00BD5240">
      <w:pPr>
        <w:tabs>
          <w:tab w:val="center" w:pos="5400"/>
        </w:tabs>
        <w:suppressAutoHyphens/>
        <w:spacing w:line="276" w:lineRule="auto"/>
        <w:rPr>
          <w:rFonts w:ascii="Cambria" w:hAnsi="Cambria"/>
          <w:noProof/>
          <w:sz w:val="20"/>
          <w:szCs w:val="20"/>
          <w:lang w:val="pt-BR"/>
        </w:rPr>
      </w:pPr>
    </w:p>
    <w:sectPr w:rsidR="00C16B80" w:rsidRPr="00206F45" w:rsidSect="002A5B65">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0127E" w14:textId="77777777" w:rsidR="002A5B65" w:rsidRDefault="002A5B65">
      <w:r>
        <w:separator/>
      </w:r>
    </w:p>
  </w:endnote>
  <w:endnote w:type="continuationSeparator" w:id="0">
    <w:p w14:paraId="779217EF" w14:textId="77777777" w:rsidR="002A5B65" w:rsidRDefault="002A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ookAntiqu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AACF" w14:textId="77777777" w:rsidR="006539EA" w:rsidRPr="006539EA" w:rsidRDefault="006539EA">
    <w:pPr>
      <w:pStyle w:val="Footer"/>
      <w:jc w:val="center"/>
      <w:rPr>
        <w:sz w:val="16"/>
      </w:rPr>
    </w:pPr>
    <w:r w:rsidRPr="006539EA">
      <w:rPr>
        <w:sz w:val="16"/>
      </w:rPr>
      <w:fldChar w:fldCharType="begin"/>
    </w:r>
    <w:r w:rsidRPr="006539EA">
      <w:rPr>
        <w:sz w:val="16"/>
      </w:rPr>
      <w:instrText xml:space="preserve"> PAGE   \* MERGEFORMAT </w:instrText>
    </w:r>
    <w:r w:rsidRPr="006539EA">
      <w:rPr>
        <w:sz w:val="16"/>
      </w:rPr>
      <w:fldChar w:fldCharType="separate"/>
    </w:r>
    <w:r w:rsidR="00AB0549">
      <w:rPr>
        <w:noProof/>
        <w:sz w:val="16"/>
      </w:rPr>
      <w:t>1</w:t>
    </w:r>
    <w:r w:rsidRPr="006539EA">
      <w:rPr>
        <w:noProof/>
        <w:sz w:val="16"/>
      </w:rPr>
      <w:fldChar w:fldCharType="end"/>
    </w:r>
  </w:p>
  <w:p w14:paraId="08BFCAED" w14:textId="77777777" w:rsidR="006539EA" w:rsidRDefault="00653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2D713" w14:textId="77777777" w:rsidR="002A5B65" w:rsidRPr="004C502E" w:rsidRDefault="002A5B65">
      <w:pPr>
        <w:rPr>
          <w:rFonts w:ascii="Cambria" w:hAnsi="Cambria"/>
          <w:sz w:val="16"/>
          <w:szCs w:val="16"/>
        </w:rPr>
      </w:pPr>
      <w:r w:rsidRPr="004C502E">
        <w:rPr>
          <w:rFonts w:ascii="Cambria" w:hAnsi="Cambria"/>
          <w:sz w:val="16"/>
          <w:szCs w:val="16"/>
        </w:rPr>
        <w:separator/>
      </w:r>
    </w:p>
  </w:footnote>
  <w:footnote w:type="continuationSeparator" w:id="0">
    <w:p w14:paraId="254EAEE5" w14:textId="77777777" w:rsidR="002A5B65" w:rsidRPr="004C502E" w:rsidRDefault="002A5B65" w:rsidP="00416AB8">
      <w:pPr>
        <w:rPr>
          <w:rFonts w:ascii="Cambria" w:hAnsi="Cambria"/>
          <w:sz w:val="16"/>
          <w:szCs w:val="16"/>
        </w:rPr>
      </w:pPr>
      <w:r w:rsidRPr="004C502E">
        <w:rPr>
          <w:rFonts w:ascii="Cambria" w:hAnsi="Cambria"/>
          <w:sz w:val="16"/>
          <w:szCs w:val="16"/>
        </w:rPr>
        <w:separator/>
      </w:r>
    </w:p>
    <w:p w14:paraId="56984C93" w14:textId="77777777" w:rsidR="002A5B65" w:rsidRPr="00416AB8" w:rsidRDefault="002A5B65" w:rsidP="00416AB8">
      <w:pPr>
        <w:pStyle w:val="Footer"/>
        <w:rPr>
          <w:sz w:val="16"/>
          <w:szCs w:val="16"/>
        </w:rPr>
      </w:pPr>
      <w:r>
        <w:rPr>
          <w:sz w:val="16"/>
          <w:szCs w:val="16"/>
        </w:rPr>
        <w:t xml:space="preserve">[… </w:t>
      </w:r>
      <w:r w:rsidRPr="00416AB8">
        <w:rPr>
          <w:sz w:val="16"/>
          <w:szCs w:val="16"/>
        </w:rPr>
        <w:t>continuação</w:t>
      </w:r>
      <w:r>
        <w:rPr>
          <w:sz w:val="16"/>
          <w:szCs w:val="16"/>
        </w:rPr>
        <w:t>]</w:t>
      </w:r>
    </w:p>
  </w:footnote>
  <w:footnote w:type="continuationNotice" w:id="1">
    <w:p w14:paraId="46FCB801" w14:textId="77777777" w:rsidR="002A5B65" w:rsidRPr="004C502E" w:rsidRDefault="002A5B65" w:rsidP="00416AB8">
      <w:pPr>
        <w:jc w:val="right"/>
        <w:rPr>
          <w:rFonts w:ascii="Cambria" w:hAnsi="Cambria"/>
          <w:sz w:val="16"/>
          <w:szCs w:val="16"/>
          <w:lang w:val="es-ES_tradnl"/>
        </w:rPr>
      </w:pPr>
      <w:r w:rsidRPr="004C502E">
        <w:rPr>
          <w:rFonts w:ascii="Cambria" w:hAnsi="Cambria"/>
          <w:sz w:val="16"/>
          <w:szCs w:val="16"/>
          <w:lang w:val="es-ES_tradnl"/>
        </w:rPr>
        <w:t>[continua …]</w:t>
      </w:r>
    </w:p>
  </w:footnote>
  <w:footnote w:id="2">
    <w:p w14:paraId="38D53A6C" w14:textId="55DA966E" w:rsidR="00523EB1" w:rsidRPr="00206F45" w:rsidRDefault="00523EB1" w:rsidP="00523EB1">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firstLine="709"/>
        <w:jc w:val="both"/>
        <w:rPr>
          <w:rFonts w:ascii="Cambria" w:hAnsi="Cambria"/>
          <w:sz w:val="16"/>
          <w:szCs w:val="16"/>
          <w:lang w:val="pt-BR"/>
        </w:rPr>
      </w:pPr>
      <w:r w:rsidRPr="00206F45">
        <w:rPr>
          <w:rStyle w:val="FootnoteReference"/>
          <w:rFonts w:ascii="Cambria" w:hAnsi="Cambria"/>
          <w:noProof/>
          <w:sz w:val="16"/>
          <w:szCs w:val="16"/>
          <w:lang w:val="pt-BR"/>
        </w:rPr>
        <w:footnoteRef/>
      </w:r>
      <w:r w:rsidRPr="00206F45">
        <w:rPr>
          <w:rFonts w:ascii="Cambria" w:hAnsi="Cambria"/>
          <w:noProof/>
          <w:sz w:val="16"/>
          <w:szCs w:val="16"/>
          <w:lang w:val="pt-BR"/>
        </w:rPr>
        <w:t xml:space="preserve"> </w:t>
      </w:r>
      <w:r w:rsidRPr="00523EB1">
        <w:rPr>
          <w:rFonts w:ascii="Cambria" w:hAnsi="Cambria"/>
          <w:sz w:val="16"/>
          <w:szCs w:val="16"/>
          <w:lang w:val="pt-BR"/>
        </w:rPr>
        <w:t>Essa vítima não foi identificada pelo peticionário, que só mencionou as iniciais. Na etapa de mérito o peticionário deverá identificá-la devidamente ou ficará fora do marco fático do caso.</w:t>
      </w:r>
    </w:p>
  </w:footnote>
  <w:footnote w:id="3">
    <w:p w14:paraId="18C3CC91" w14:textId="7A9B14A0" w:rsidR="00013992" w:rsidRPr="00206F45" w:rsidRDefault="00013992" w:rsidP="00013992">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firstLine="709"/>
        <w:jc w:val="both"/>
        <w:rPr>
          <w:rFonts w:ascii="Cambria" w:hAnsi="Cambria"/>
          <w:sz w:val="16"/>
          <w:szCs w:val="16"/>
          <w:lang w:val="pt-BR"/>
        </w:rPr>
      </w:pPr>
      <w:r w:rsidRPr="00206F45">
        <w:rPr>
          <w:rStyle w:val="FootnoteReference"/>
          <w:rFonts w:ascii="Cambria" w:hAnsi="Cambria"/>
          <w:noProof/>
          <w:sz w:val="16"/>
          <w:szCs w:val="16"/>
          <w:lang w:val="pt-BR"/>
        </w:rPr>
        <w:footnoteRef/>
      </w:r>
      <w:r w:rsidRPr="00206F45">
        <w:rPr>
          <w:rFonts w:ascii="Cambria" w:hAnsi="Cambria"/>
          <w:noProof/>
          <w:sz w:val="16"/>
          <w:szCs w:val="16"/>
          <w:lang w:val="pt-BR"/>
        </w:rPr>
        <w:t xml:space="preserve"> </w:t>
      </w:r>
      <w:r w:rsidRPr="00013992">
        <w:rPr>
          <w:rFonts w:ascii="Cambria" w:hAnsi="Cambria"/>
          <w:sz w:val="16"/>
          <w:szCs w:val="16"/>
          <w:lang w:val="pt-BR"/>
        </w:rPr>
        <w:t>Doravante denominada “Convenção Americana” ou “Convenção”.</w:t>
      </w:r>
    </w:p>
  </w:footnote>
  <w:footnote w:id="4">
    <w:p w14:paraId="12E06C72" w14:textId="48C8F02D" w:rsidR="00523EB1" w:rsidRPr="00206F45" w:rsidRDefault="00523EB1" w:rsidP="00523EB1">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firstLine="709"/>
        <w:jc w:val="both"/>
        <w:rPr>
          <w:rFonts w:ascii="Cambria" w:hAnsi="Cambria"/>
          <w:sz w:val="16"/>
          <w:szCs w:val="16"/>
          <w:lang w:val="pt-BR"/>
        </w:rPr>
      </w:pPr>
      <w:r w:rsidRPr="00206F45">
        <w:rPr>
          <w:rStyle w:val="FootnoteReference"/>
          <w:rFonts w:ascii="Cambria" w:hAnsi="Cambria"/>
          <w:sz w:val="16"/>
          <w:szCs w:val="16"/>
          <w:lang w:val="pt-BR"/>
        </w:rPr>
        <w:footnoteRef/>
      </w:r>
      <w:r w:rsidRPr="00206F45">
        <w:rPr>
          <w:rFonts w:ascii="Cambria" w:hAnsi="Cambria"/>
          <w:sz w:val="16"/>
          <w:szCs w:val="16"/>
          <w:lang w:val="pt-BR"/>
        </w:rPr>
        <w:t xml:space="preserve"> </w:t>
      </w:r>
      <w:r w:rsidRPr="00523EB1">
        <w:rPr>
          <w:rFonts w:ascii="Cambria" w:hAnsi="Cambria"/>
          <w:sz w:val="16"/>
          <w:szCs w:val="16"/>
          <w:lang w:val="pt-BR"/>
        </w:rPr>
        <w:t>As observações de cada parte foram devidamente encaminhadas à parte contrária.</w:t>
      </w:r>
    </w:p>
  </w:footnote>
  <w:footnote w:id="5">
    <w:p w14:paraId="6F5DBE86" w14:textId="01997C41" w:rsidR="008A32DE" w:rsidRPr="00206F45" w:rsidRDefault="008A32DE" w:rsidP="008A32DE">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firstLine="709"/>
        <w:jc w:val="both"/>
        <w:rPr>
          <w:rFonts w:ascii="Cambria" w:hAnsi="Cambria"/>
          <w:sz w:val="16"/>
          <w:szCs w:val="16"/>
          <w:lang w:val="pt-BR"/>
        </w:rPr>
      </w:pPr>
      <w:r w:rsidRPr="00206F45">
        <w:rPr>
          <w:rStyle w:val="FootnoteReference"/>
          <w:rFonts w:ascii="Cambria" w:hAnsi="Cambria"/>
          <w:noProof/>
          <w:sz w:val="16"/>
          <w:szCs w:val="16"/>
          <w:lang w:val="pt-BR"/>
        </w:rPr>
        <w:footnoteRef/>
      </w:r>
      <w:r w:rsidRPr="00206F45">
        <w:rPr>
          <w:rFonts w:ascii="Cambria" w:hAnsi="Cambria"/>
          <w:noProof/>
          <w:sz w:val="16"/>
          <w:szCs w:val="16"/>
          <w:lang w:val="pt-BR"/>
        </w:rPr>
        <w:t xml:space="preserve"> </w:t>
      </w:r>
      <w:r w:rsidRPr="008A32DE">
        <w:rPr>
          <w:rFonts w:ascii="Cambria" w:hAnsi="Cambria"/>
          <w:sz w:val="16"/>
          <w:szCs w:val="16"/>
          <w:lang w:val="pt-BR"/>
        </w:rPr>
        <w:t>CIDH, Relatório No. 193/22. Petição 1153-12 Inadmissibilidade. Luis Alejandro Cárdenas Tafur e família. Colômbia. 3 de agosto de 2022, par. 15.</w:t>
      </w:r>
    </w:p>
  </w:footnote>
  <w:footnote w:id="6">
    <w:p w14:paraId="1ECEB7CA" w14:textId="1E634CD2" w:rsidR="000E1B72" w:rsidRPr="00206F45" w:rsidRDefault="000E1B72" w:rsidP="000E1B72">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firstLine="709"/>
        <w:jc w:val="both"/>
        <w:rPr>
          <w:rFonts w:ascii="Cambria" w:hAnsi="Cambria"/>
          <w:sz w:val="16"/>
          <w:szCs w:val="16"/>
          <w:lang w:val="pt-BR"/>
        </w:rPr>
      </w:pPr>
      <w:r w:rsidRPr="00206F45">
        <w:rPr>
          <w:rStyle w:val="FootnoteReference"/>
          <w:rFonts w:ascii="Cambria" w:hAnsi="Cambria"/>
          <w:noProof/>
          <w:sz w:val="16"/>
          <w:szCs w:val="16"/>
          <w:lang w:val="pt-BR"/>
        </w:rPr>
        <w:footnoteRef/>
      </w:r>
      <w:r w:rsidRPr="00206F45">
        <w:rPr>
          <w:rFonts w:ascii="Cambria" w:hAnsi="Cambria"/>
          <w:noProof/>
          <w:sz w:val="16"/>
          <w:szCs w:val="16"/>
          <w:lang w:val="pt-BR"/>
        </w:rPr>
        <w:t xml:space="preserve"> </w:t>
      </w:r>
      <w:r w:rsidRPr="000E1B72">
        <w:rPr>
          <w:rFonts w:ascii="Cambria" w:hAnsi="Cambria"/>
          <w:sz w:val="16"/>
          <w:szCs w:val="16"/>
          <w:lang w:val="pt-BR"/>
        </w:rPr>
        <w:t>CIDH, Relatório N° 14/08, Petição 652-04. Admissibilidade. Hugo Humberto Ruíz Fuentes. Guatemala. 5 de março de 2008, par. 68.</w:t>
      </w:r>
    </w:p>
  </w:footnote>
  <w:footnote w:id="7">
    <w:p w14:paraId="744411B6" w14:textId="24AFF985" w:rsidR="000E1B72" w:rsidRPr="00206F45" w:rsidRDefault="000E1B72" w:rsidP="000E1B72">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firstLine="709"/>
        <w:jc w:val="both"/>
        <w:rPr>
          <w:rFonts w:ascii="Cambria" w:hAnsi="Cambria"/>
          <w:sz w:val="16"/>
          <w:szCs w:val="16"/>
          <w:lang w:val="pt-BR"/>
        </w:rPr>
      </w:pPr>
      <w:r w:rsidRPr="00206F45">
        <w:rPr>
          <w:rStyle w:val="FootnoteReference"/>
          <w:rFonts w:ascii="Cambria" w:hAnsi="Cambria"/>
          <w:noProof/>
          <w:sz w:val="16"/>
          <w:szCs w:val="16"/>
          <w:lang w:val="pt-BR"/>
        </w:rPr>
        <w:footnoteRef/>
      </w:r>
      <w:r w:rsidRPr="00206F45">
        <w:rPr>
          <w:rFonts w:ascii="Cambria" w:hAnsi="Cambria"/>
          <w:noProof/>
          <w:sz w:val="16"/>
          <w:szCs w:val="16"/>
          <w:lang w:val="pt-BR"/>
        </w:rPr>
        <w:t xml:space="preserve"> </w:t>
      </w:r>
      <w:r w:rsidRPr="000E1B72">
        <w:rPr>
          <w:rFonts w:ascii="Cambria" w:hAnsi="Cambria"/>
          <w:sz w:val="16"/>
          <w:szCs w:val="16"/>
          <w:lang w:val="pt-BR"/>
        </w:rPr>
        <w:t>Corte Interamericana de Direitos Humanos, Velásquez Rodríguez Vs. Honduras, Exceções Preliminares, Sentença de 26 de junho de 1987, par. 93</w:t>
      </w:r>
      <w:r>
        <w:rPr>
          <w:rFonts w:ascii="Cambria" w:hAnsi="Cambria"/>
          <w:sz w:val="16"/>
          <w:szCs w:val="16"/>
          <w:lang w:val="pt-BR"/>
        </w:rPr>
        <w:t>.</w:t>
      </w:r>
    </w:p>
  </w:footnote>
  <w:footnote w:id="8">
    <w:p w14:paraId="02840883" w14:textId="1C3DA49A" w:rsidR="000E1B72" w:rsidRPr="00206F45" w:rsidRDefault="000E1B72" w:rsidP="000E1B72">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firstLine="709"/>
        <w:jc w:val="both"/>
        <w:rPr>
          <w:rFonts w:ascii="Cambria" w:hAnsi="Cambria"/>
          <w:sz w:val="16"/>
          <w:szCs w:val="16"/>
          <w:lang w:val="pt-BR"/>
        </w:rPr>
      </w:pPr>
      <w:r w:rsidRPr="00206F45">
        <w:rPr>
          <w:rStyle w:val="FootnoteReference"/>
          <w:rFonts w:ascii="Cambria" w:hAnsi="Cambria"/>
          <w:noProof/>
          <w:sz w:val="16"/>
          <w:szCs w:val="16"/>
          <w:lang w:val="pt-BR"/>
        </w:rPr>
        <w:footnoteRef/>
      </w:r>
      <w:r w:rsidRPr="00206F45">
        <w:rPr>
          <w:rFonts w:ascii="Cambria" w:hAnsi="Cambria"/>
          <w:noProof/>
          <w:sz w:val="16"/>
          <w:szCs w:val="16"/>
          <w:lang w:val="pt-BR"/>
        </w:rPr>
        <w:t xml:space="preserve"> </w:t>
      </w:r>
      <w:r w:rsidRPr="000E1B72">
        <w:rPr>
          <w:rFonts w:ascii="Cambria" w:hAnsi="Cambria"/>
          <w:sz w:val="16"/>
          <w:szCs w:val="16"/>
          <w:lang w:val="pt-BR"/>
        </w:rPr>
        <w:t>CIDH. Relatório No. 25/18, Caso 12.428. Admissibilidade e Mérito. Empregados da Fábrica de Fogos de Santo Antônio de Jesus e seus familiares. 2 de março de 2018, par. 6, 8, 33, 91.</w:t>
      </w:r>
    </w:p>
  </w:footnote>
  <w:footnote w:id="9">
    <w:p w14:paraId="7B26FA84" w14:textId="20420F70" w:rsidR="000E1B72" w:rsidRPr="00206F45" w:rsidRDefault="000E1B72" w:rsidP="000E1B72">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firstLine="709"/>
        <w:jc w:val="both"/>
        <w:rPr>
          <w:rFonts w:ascii="Cambria" w:hAnsi="Cambria"/>
          <w:sz w:val="16"/>
          <w:szCs w:val="16"/>
          <w:lang w:val="pt-BR"/>
        </w:rPr>
      </w:pPr>
      <w:r w:rsidRPr="00206F45">
        <w:rPr>
          <w:rStyle w:val="FootnoteReference"/>
          <w:rFonts w:ascii="Cambria" w:hAnsi="Cambria"/>
          <w:noProof/>
          <w:sz w:val="16"/>
          <w:szCs w:val="16"/>
          <w:lang w:val="pt-BR"/>
        </w:rPr>
        <w:footnoteRef/>
      </w:r>
      <w:r w:rsidRPr="00206F45">
        <w:rPr>
          <w:rFonts w:ascii="Cambria" w:hAnsi="Cambria"/>
          <w:noProof/>
          <w:sz w:val="16"/>
          <w:szCs w:val="16"/>
          <w:lang w:val="pt-BR"/>
        </w:rPr>
        <w:t xml:space="preserve"> </w:t>
      </w:r>
      <w:r w:rsidRPr="000E1B72">
        <w:rPr>
          <w:rFonts w:ascii="Cambria" w:hAnsi="Cambria"/>
          <w:sz w:val="16"/>
          <w:szCs w:val="16"/>
          <w:lang w:val="pt-BR"/>
        </w:rPr>
        <w:t>CIDH. Relatório No. 25/18, Caso 12.428. Admissibilidade e Mérito. Empregados da Fábrica de Fogos de Santo Antônio de Jesus e seus familiares. 2 de março de 2018, par. 95.</w:t>
      </w:r>
    </w:p>
  </w:footnote>
  <w:footnote w:id="10">
    <w:p w14:paraId="734BB0AF" w14:textId="0FB7DAE6" w:rsidR="000E1B72" w:rsidRPr="00206F45" w:rsidRDefault="000E1B72" w:rsidP="000E1B72">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firstLine="709"/>
        <w:jc w:val="both"/>
        <w:rPr>
          <w:rFonts w:ascii="Cambria" w:hAnsi="Cambria"/>
          <w:sz w:val="16"/>
          <w:szCs w:val="16"/>
          <w:lang w:val="pt-BR"/>
        </w:rPr>
      </w:pPr>
      <w:r w:rsidRPr="00206F45">
        <w:rPr>
          <w:rStyle w:val="FootnoteReference"/>
          <w:rFonts w:ascii="Cambria" w:hAnsi="Cambria"/>
          <w:noProof/>
          <w:sz w:val="16"/>
          <w:szCs w:val="16"/>
          <w:lang w:val="pt-BR"/>
        </w:rPr>
        <w:footnoteRef/>
      </w:r>
      <w:r w:rsidRPr="00206F45">
        <w:rPr>
          <w:rFonts w:ascii="Cambria" w:hAnsi="Cambria"/>
          <w:noProof/>
          <w:sz w:val="16"/>
          <w:szCs w:val="16"/>
          <w:lang w:val="pt-BR"/>
        </w:rPr>
        <w:t xml:space="preserve"> </w:t>
      </w:r>
      <w:r w:rsidRPr="000E1B72">
        <w:rPr>
          <w:rFonts w:ascii="Cambria" w:hAnsi="Cambria"/>
          <w:sz w:val="16"/>
          <w:szCs w:val="16"/>
          <w:lang w:val="pt-BR"/>
        </w:rPr>
        <w:t>CIDH. Relatório No. 25/18, Caso 12.428. Admissibilidade e Mérito. Empregados da Fábrica de Fogos de Santo Antônio de Jesus e seus familiares. 2 de março de 2018, par. 101.</w:t>
      </w:r>
    </w:p>
  </w:footnote>
  <w:footnote w:id="11">
    <w:p w14:paraId="1A9C2F4A" w14:textId="04B3883E" w:rsidR="00E62A05" w:rsidRPr="00206F45" w:rsidRDefault="00E62A05" w:rsidP="00E62A05">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firstLine="709"/>
        <w:jc w:val="both"/>
        <w:rPr>
          <w:rFonts w:ascii="Cambria" w:hAnsi="Cambria"/>
          <w:sz w:val="16"/>
          <w:szCs w:val="16"/>
          <w:lang w:val="pt-BR"/>
        </w:rPr>
      </w:pPr>
      <w:r w:rsidRPr="00206F45">
        <w:rPr>
          <w:rStyle w:val="FootnoteReference"/>
          <w:rFonts w:ascii="Cambria" w:hAnsi="Cambria"/>
          <w:noProof/>
          <w:sz w:val="16"/>
          <w:szCs w:val="16"/>
          <w:lang w:val="pt-BR"/>
        </w:rPr>
        <w:footnoteRef/>
      </w:r>
      <w:r w:rsidRPr="00206F45">
        <w:rPr>
          <w:rFonts w:ascii="Cambria" w:hAnsi="Cambria"/>
          <w:noProof/>
          <w:sz w:val="16"/>
          <w:szCs w:val="16"/>
          <w:lang w:val="pt-BR"/>
        </w:rPr>
        <w:t xml:space="preserve"> </w:t>
      </w:r>
      <w:r w:rsidRPr="00E62A05">
        <w:rPr>
          <w:rFonts w:ascii="Cambria" w:hAnsi="Cambria"/>
          <w:sz w:val="16"/>
          <w:szCs w:val="16"/>
          <w:lang w:val="pt-BR"/>
        </w:rPr>
        <w:t>Tribunal Europeu de Direitos Humanos. Caso de Öneryildiz Vs. Turquia. Petição No. 48939/99. Estrasburgo, Sentença de 30 de novembro de 2004, par. 89-91.</w:t>
      </w:r>
    </w:p>
  </w:footnote>
  <w:footnote w:id="12">
    <w:p w14:paraId="236CF308" w14:textId="5255B28E" w:rsidR="00E62A05" w:rsidRPr="00206F45" w:rsidRDefault="00E62A05" w:rsidP="00E62A05">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firstLine="709"/>
        <w:jc w:val="both"/>
        <w:rPr>
          <w:rFonts w:ascii="Cambria" w:hAnsi="Cambria"/>
          <w:sz w:val="16"/>
          <w:szCs w:val="16"/>
          <w:lang w:val="pt-BR"/>
        </w:rPr>
      </w:pPr>
      <w:r w:rsidRPr="00206F45">
        <w:rPr>
          <w:rStyle w:val="FootnoteReference"/>
          <w:rFonts w:ascii="Cambria" w:hAnsi="Cambria"/>
          <w:noProof/>
          <w:sz w:val="16"/>
          <w:szCs w:val="16"/>
          <w:lang w:val="pt-BR"/>
        </w:rPr>
        <w:footnoteRef/>
      </w:r>
      <w:r w:rsidRPr="00206F45">
        <w:rPr>
          <w:rFonts w:ascii="Cambria" w:hAnsi="Cambria"/>
          <w:noProof/>
          <w:sz w:val="16"/>
          <w:szCs w:val="16"/>
          <w:lang w:val="pt-BR"/>
        </w:rPr>
        <w:t xml:space="preserve"> </w:t>
      </w:r>
      <w:r w:rsidRPr="00E62A05">
        <w:rPr>
          <w:rFonts w:ascii="Cambria" w:hAnsi="Cambria"/>
          <w:sz w:val="16"/>
          <w:szCs w:val="16"/>
          <w:lang w:val="pt-BR"/>
        </w:rPr>
        <w:t>De maneira similar: CIDH, Relatório No. 106/22. Petição 2179-12. Admissibilidade. Adalberto Araújo e outros. Brasil. 10 de maio de 2022, par. 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42C86" w14:textId="77777777" w:rsidR="00040C3A" w:rsidRDefault="00040C3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CDCD14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7B25" w14:textId="7EF5A52F" w:rsidR="002C1641" w:rsidRDefault="00B1473D" w:rsidP="002C1641">
    <w:pPr>
      <w:pStyle w:val="Header"/>
      <w:tabs>
        <w:tab w:val="clear" w:pos="4320"/>
        <w:tab w:val="clear" w:pos="8640"/>
      </w:tabs>
      <w:jc w:val="center"/>
      <w:rPr>
        <w:sz w:val="22"/>
        <w:szCs w:val="22"/>
      </w:rPr>
    </w:pPr>
    <w:r w:rsidRPr="004C502E">
      <w:rPr>
        <w:noProof/>
        <w:sz w:val="22"/>
        <w:szCs w:val="22"/>
      </w:rPr>
      <w:drawing>
        <wp:inline distT="0" distB="0" distL="0" distR="0" wp14:anchorId="3AA2F0A9" wp14:editId="7DCEBB55">
          <wp:extent cx="2546350" cy="127000"/>
          <wp:effectExtent l="0" t="0" r="0" b="0"/>
          <wp:docPr id="4" name="Picture 18" descr="C:\Users\mfontana\Documents\Eva Fontana\GRAFICA CIDH\cartas\logos\cidh-pt-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fontana\Documents\Eva Fontana\GRAFICA CIDH\cartas\logos\cidh-pt-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6350" cy="127000"/>
                  </a:xfrm>
                  <a:prstGeom prst="rect">
                    <a:avLst/>
                  </a:prstGeom>
                  <a:noFill/>
                  <a:ln>
                    <a:noFill/>
                  </a:ln>
                </pic:spPr>
              </pic:pic>
            </a:graphicData>
          </a:graphic>
        </wp:inline>
      </w:drawing>
    </w:r>
  </w:p>
  <w:p w14:paraId="6DDF23DD" w14:textId="77777777" w:rsidR="00040C3A" w:rsidRPr="00EC7D62" w:rsidRDefault="00C959D7" w:rsidP="002C1641">
    <w:pPr>
      <w:pStyle w:val="Header"/>
      <w:tabs>
        <w:tab w:val="clear" w:pos="4320"/>
        <w:tab w:val="clear" w:pos="8640"/>
      </w:tabs>
      <w:jc w:val="center"/>
      <w:rPr>
        <w:sz w:val="22"/>
        <w:szCs w:val="22"/>
      </w:rPr>
    </w:pPr>
    <w:r>
      <w:rPr>
        <w:noProof/>
        <w:sz w:val="22"/>
        <w:szCs w:val="22"/>
      </w:rPr>
      <w:pict w14:anchorId="32E5F2DE">
        <v:rect id="_x0000_i1025" style="width:425.2pt;height:.0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5859" w14:textId="77777777" w:rsidR="007C7B72" w:rsidRDefault="007C7B72" w:rsidP="007C7B72">
    <w:pPr>
      <w:pStyle w:val="Header"/>
      <w:tabs>
        <w:tab w:val="clear" w:pos="4320"/>
        <w:tab w:val="clear" w:pos="8640"/>
      </w:tabs>
      <w:jc w:val="center"/>
      <w:rPr>
        <w:sz w:val="22"/>
        <w:szCs w:val="22"/>
      </w:rPr>
    </w:pPr>
  </w:p>
  <w:p w14:paraId="7B2925EB" w14:textId="77777777" w:rsidR="007C7B72" w:rsidRDefault="007C7B72" w:rsidP="007C7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rPr>
        <w:rFonts w:ascii="Calibri" w:eastAsia="Trebuchet MS" w:hAnsi="Calibri" w:cs="Calibr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201C93"/>
    <w:multiLevelType w:val="singleLevel"/>
    <w:tmpl w:val="DF80D610"/>
    <w:lvl w:ilvl="0">
      <w:numFmt w:val="decimal"/>
      <w:lvlText w:val="%1"/>
      <w:legacy w:legacy="1" w:legacySpace="0" w:legacyIndent="0"/>
      <w:lvlJc w:val="left"/>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rPr>
        <w:rFonts w:ascii="Calibri" w:eastAsia="Trebuchet MS" w:hAnsi="Calibr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0"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rPr>
        <w:rFonts w:ascii="Calibri" w:eastAsia="Trebuchet MS" w:hAnsi="Calibri" w:cs="Calibr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001150"/>
    <w:multiLevelType w:val="hybridMultilevel"/>
    <w:tmpl w:val="EAE622D0"/>
    <w:lvl w:ilvl="0" w:tplc="02C0D02A">
      <w:start w:val="1"/>
      <w:numFmt w:val="decimal"/>
      <w:lvlText w:val="%1."/>
      <w:lvlJc w:val="left"/>
      <w:pPr>
        <w:ind w:left="758" w:hanging="720"/>
      </w:pPr>
      <w:rPr>
        <w:rFonts w:ascii="Cambria" w:eastAsia="Cambria" w:hAnsi="Cambria" w:cs="Cambria" w:hint="default"/>
        <w:w w:val="99"/>
        <w:sz w:val="20"/>
        <w:szCs w:val="20"/>
        <w:vertAlign w:val="baseline"/>
        <w:lang w:val="es-ES_tradnl"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732339005">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570118105">
    <w:abstractNumId w:val="4"/>
  </w:num>
  <w:num w:numId="3" w16cid:durableId="133766544">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253468905">
    <w:abstractNumId w:val="2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901211625">
    <w:abstractNumId w:val="6"/>
  </w:num>
  <w:num w:numId="6" w16cid:durableId="1860921827">
    <w:abstractNumId w:val="45"/>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2102944312">
    <w:abstractNumId w:val="56"/>
  </w:num>
  <w:num w:numId="8" w16cid:durableId="1072393069">
    <w:abstractNumId w:val="21"/>
  </w:num>
  <w:num w:numId="9" w16cid:durableId="100884203">
    <w:abstractNumId w:val="47"/>
  </w:num>
  <w:num w:numId="10" w16cid:durableId="594703988">
    <w:abstractNumId w:val="14"/>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477116255">
    <w:abstractNumId w:val="28"/>
  </w:num>
  <w:num w:numId="12" w16cid:durableId="2128768010">
    <w:abstractNumId w:val="54"/>
  </w:num>
  <w:num w:numId="13" w16cid:durableId="320698027">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035039288">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498468600">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226720741">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092894033">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510802548">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63860887">
    <w:abstractNumId w:val="51"/>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914700682">
    <w:abstractNumId w:val="7"/>
  </w:num>
  <w:num w:numId="21" w16cid:durableId="730538346">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54149050">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896938777">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39667196">
    <w:abstractNumId w:val="4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3927036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94491904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59077152">
    <w:abstractNumId w:val="4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1165052292">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54048031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66382407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712194194">
    <w:abstractNumId w:val="5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8061943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402526704">
    <w:abstractNumId w:val="1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209494843">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316178583">
    <w:abstractNumId w:val="17"/>
  </w:num>
  <w:num w:numId="36" w16cid:durableId="1168642385">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286006724">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662048955">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2047366265">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553925277">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480774606">
    <w:abstractNumId w:val="5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545018487">
    <w:abstractNumId w:val="39"/>
  </w:num>
  <w:num w:numId="43" w16cid:durableId="79274685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68714081">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34127619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835269349">
    <w:abstractNumId w:val="16"/>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692339110">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055666567">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282570860">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38112474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374962349">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520896422">
    <w:abstractNumId w:val="43"/>
  </w:num>
  <w:num w:numId="53" w16cid:durableId="179006425">
    <w:abstractNumId w:val="0"/>
  </w:num>
  <w:num w:numId="54" w16cid:durableId="551884424">
    <w:abstractNumId w:val="38"/>
  </w:num>
  <w:num w:numId="55" w16cid:durableId="89588516">
    <w:abstractNumId w:val="39"/>
  </w:num>
  <w:num w:numId="56" w16cid:durableId="715084138">
    <w:abstractNumId w:val="44"/>
  </w:num>
  <w:num w:numId="57" w16cid:durableId="479730066">
    <w:abstractNumId w:val="1"/>
  </w:num>
  <w:num w:numId="58" w16cid:durableId="981932720">
    <w:abstractNumId w:val="2"/>
  </w:num>
  <w:num w:numId="59" w16cid:durableId="310597687">
    <w:abstractNumId w:val="8"/>
  </w:num>
  <w:num w:numId="60" w16cid:durableId="280964030">
    <w:abstractNumId w:val="9"/>
  </w:num>
  <w:num w:numId="61" w16cid:durableId="1439105474">
    <w:abstractNumId w:val="10"/>
  </w:num>
  <w:num w:numId="62" w16cid:durableId="696153779">
    <w:abstractNumId w:val="11"/>
  </w:num>
  <w:num w:numId="63" w16cid:durableId="228540703">
    <w:abstractNumId w:val="12"/>
  </w:num>
  <w:num w:numId="64" w16cid:durableId="302084731">
    <w:abstractNumId w:val="13"/>
  </w:num>
  <w:num w:numId="65" w16cid:durableId="456678915">
    <w:abstractNumId w:val="14"/>
  </w:num>
  <w:num w:numId="66" w16cid:durableId="1791438256">
    <w:abstractNumId w:val="15"/>
  </w:num>
  <w:num w:numId="67" w16cid:durableId="2011642724">
    <w:abstractNumId w:val="16"/>
  </w:num>
  <w:num w:numId="68" w16cid:durableId="653070498">
    <w:abstractNumId w:val="18"/>
  </w:num>
  <w:num w:numId="69" w16cid:durableId="1495728876">
    <w:abstractNumId w:val="19"/>
  </w:num>
  <w:num w:numId="70" w16cid:durableId="1444571717">
    <w:abstractNumId w:val="23"/>
  </w:num>
  <w:num w:numId="71" w16cid:durableId="714278395">
    <w:abstractNumId w:val="24"/>
  </w:num>
  <w:num w:numId="72" w16cid:durableId="720401904">
    <w:abstractNumId w:val="25"/>
  </w:num>
  <w:num w:numId="73" w16cid:durableId="1503007306">
    <w:abstractNumId w:val="27"/>
  </w:num>
  <w:num w:numId="74" w16cid:durableId="1488127332">
    <w:abstractNumId w:val="29"/>
  </w:num>
  <w:num w:numId="75" w16cid:durableId="1815248868">
    <w:abstractNumId w:val="30"/>
  </w:num>
  <w:num w:numId="76" w16cid:durableId="429591994">
    <w:abstractNumId w:val="31"/>
  </w:num>
  <w:num w:numId="77" w16cid:durableId="1159729442">
    <w:abstractNumId w:val="32"/>
  </w:num>
  <w:num w:numId="78" w16cid:durableId="53894216">
    <w:abstractNumId w:val="33"/>
  </w:num>
  <w:num w:numId="79" w16cid:durableId="1881164445">
    <w:abstractNumId w:val="34"/>
  </w:num>
  <w:num w:numId="80" w16cid:durableId="865287502">
    <w:abstractNumId w:val="35"/>
  </w:num>
  <w:num w:numId="81" w16cid:durableId="316569456">
    <w:abstractNumId w:val="36"/>
  </w:num>
  <w:num w:numId="82" w16cid:durableId="1676110705">
    <w:abstractNumId w:val="40"/>
  </w:num>
  <w:num w:numId="83" w16cid:durableId="236403995">
    <w:abstractNumId w:val="41"/>
  </w:num>
  <w:num w:numId="84" w16cid:durableId="1746805527">
    <w:abstractNumId w:val="46"/>
  </w:num>
  <w:num w:numId="85" w16cid:durableId="1389693587">
    <w:abstractNumId w:val="48"/>
  </w:num>
  <w:num w:numId="86" w16cid:durableId="1644693567">
    <w:abstractNumId w:val="51"/>
  </w:num>
  <w:num w:numId="87" w16cid:durableId="150678843">
    <w:abstractNumId w:val="53"/>
  </w:num>
  <w:num w:numId="88" w16cid:durableId="1566524394">
    <w:abstractNumId w:val="55"/>
  </w:num>
  <w:num w:numId="89" w16cid:durableId="575633855">
    <w:abstractNumId w:val="57"/>
  </w:num>
  <w:num w:numId="90" w16cid:durableId="1732731800">
    <w:abstractNumId w:val="58"/>
  </w:num>
  <w:num w:numId="91" w16cid:durableId="339428283">
    <w:abstractNumId w:val="59"/>
  </w:num>
  <w:num w:numId="92" w16cid:durableId="488861658">
    <w:abstractNumId w:val="61"/>
  </w:num>
  <w:num w:numId="93" w16cid:durableId="1039817848">
    <w:abstractNumId w:val="62"/>
  </w:num>
  <w:num w:numId="94" w16cid:durableId="812020117">
    <w:abstractNumId w:val="20"/>
  </w:num>
  <w:num w:numId="95" w16cid:durableId="1112556998">
    <w:abstractNumId w:val="42"/>
  </w:num>
  <w:num w:numId="96" w16cid:durableId="1890261437">
    <w:abstractNumId w:val="52"/>
  </w:num>
  <w:num w:numId="97" w16cid:durableId="594047849">
    <w:abstractNumId w:val="49"/>
  </w:num>
  <w:num w:numId="98" w16cid:durableId="1639845477">
    <w:abstractNumId w:val="45"/>
  </w:num>
  <w:num w:numId="99" w16cid:durableId="2011910880">
    <w:abstractNumId w:val="37"/>
  </w:num>
  <w:num w:numId="100" w16cid:durableId="592589987">
    <w:abstractNumId w:val="3"/>
  </w:num>
  <w:num w:numId="101" w16cid:durableId="558906064">
    <w:abstractNumId w:val="26"/>
  </w:num>
  <w:num w:numId="102" w16cid:durableId="240336283">
    <w:abstractNumId w:val="5"/>
  </w:num>
  <w:num w:numId="103" w16cid:durableId="712118492">
    <w:abstractNumId w:val="60"/>
  </w:num>
  <w:num w:numId="104" w16cid:durableId="2086604476">
    <w:abstractNumId w:val="50"/>
  </w:num>
  <w:num w:numId="105" w16cid:durableId="61489518">
    <w:abstractNumId w:val="2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D9B"/>
    <w:rsid w:val="000070D7"/>
    <w:rsid w:val="00013992"/>
    <w:rsid w:val="0001788C"/>
    <w:rsid w:val="00040C3A"/>
    <w:rsid w:val="00061F38"/>
    <w:rsid w:val="000639C0"/>
    <w:rsid w:val="00070F3A"/>
    <w:rsid w:val="000716C5"/>
    <w:rsid w:val="00075E23"/>
    <w:rsid w:val="00092F32"/>
    <w:rsid w:val="0009344A"/>
    <w:rsid w:val="000A575F"/>
    <w:rsid w:val="000B6F4D"/>
    <w:rsid w:val="000C67FA"/>
    <w:rsid w:val="000D10DB"/>
    <w:rsid w:val="000E1B72"/>
    <w:rsid w:val="000F38DA"/>
    <w:rsid w:val="001053C0"/>
    <w:rsid w:val="00106093"/>
    <w:rsid w:val="001070AA"/>
    <w:rsid w:val="00115F1E"/>
    <w:rsid w:val="0011766A"/>
    <w:rsid w:val="00127FF5"/>
    <w:rsid w:val="00167A34"/>
    <w:rsid w:val="00174CC3"/>
    <w:rsid w:val="001A7870"/>
    <w:rsid w:val="001B0E93"/>
    <w:rsid w:val="001C1B41"/>
    <w:rsid w:val="00205801"/>
    <w:rsid w:val="00206F45"/>
    <w:rsid w:val="00212DB5"/>
    <w:rsid w:val="0022271E"/>
    <w:rsid w:val="00232C9A"/>
    <w:rsid w:val="00241F7D"/>
    <w:rsid w:val="00243EB7"/>
    <w:rsid w:val="00247403"/>
    <w:rsid w:val="00247542"/>
    <w:rsid w:val="00257893"/>
    <w:rsid w:val="00265AC3"/>
    <w:rsid w:val="00266B61"/>
    <w:rsid w:val="0026712A"/>
    <w:rsid w:val="002704DB"/>
    <w:rsid w:val="0029072E"/>
    <w:rsid w:val="002A18FB"/>
    <w:rsid w:val="002A5B65"/>
    <w:rsid w:val="002B6254"/>
    <w:rsid w:val="002C1641"/>
    <w:rsid w:val="002D7EA2"/>
    <w:rsid w:val="002E15DF"/>
    <w:rsid w:val="002E187C"/>
    <w:rsid w:val="002E6E21"/>
    <w:rsid w:val="002E6E57"/>
    <w:rsid w:val="00301075"/>
    <w:rsid w:val="00302733"/>
    <w:rsid w:val="003107F4"/>
    <w:rsid w:val="00311A4F"/>
    <w:rsid w:val="00314078"/>
    <w:rsid w:val="00322450"/>
    <w:rsid w:val="003237F0"/>
    <w:rsid w:val="0033169F"/>
    <w:rsid w:val="00356185"/>
    <w:rsid w:val="00360380"/>
    <w:rsid w:val="00363CAE"/>
    <w:rsid w:val="003722EE"/>
    <w:rsid w:val="00386CF0"/>
    <w:rsid w:val="003A5B1B"/>
    <w:rsid w:val="003D2A89"/>
    <w:rsid w:val="003D3A6B"/>
    <w:rsid w:val="003D70D4"/>
    <w:rsid w:val="003F142B"/>
    <w:rsid w:val="003F1BBF"/>
    <w:rsid w:val="00403040"/>
    <w:rsid w:val="00412D8D"/>
    <w:rsid w:val="004165C2"/>
    <w:rsid w:val="00416AB8"/>
    <w:rsid w:val="004509E9"/>
    <w:rsid w:val="00450A4A"/>
    <w:rsid w:val="00461F79"/>
    <w:rsid w:val="004666FB"/>
    <w:rsid w:val="00467B7E"/>
    <w:rsid w:val="0049419D"/>
    <w:rsid w:val="004A0E77"/>
    <w:rsid w:val="004A1C00"/>
    <w:rsid w:val="004B7EB6"/>
    <w:rsid w:val="004C0ED2"/>
    <w:rsid w:val="004C3FDC"/>
    <w:rsid w:val="004C4B5F"/>
    <w:rsid w:val="004C4B62"/>
    <w:rsid w:val="004C502E"/>
    <w:rsid w:val="004D6025"/>
    <w:rsid w:val="004F6AF4"/>
    <w:rsid w:val="00501399"/>
    <w:rsid w:val="00507BC4"/>
    <w:rsid w:val="005128E4"/>
    <w:rsid w:val="005159E9"/>
    <w:rsid w:val="00523EB1"/>
    <w:rsid w:val="00525560"/>
    <w:rsid w:val="005334DF"/>
    <w:rsid w:val="00544C49"/>
    <w:rsid w:val="00556ADF"/>
    <w:rsid w:val="00560A04"/>
    <w:rsid w:val="00564EE4"/>
    <w:rsid w:val="0057402A"/>
    <w:rsid w:val="005771D0"/>
    <w:rsid w:val="0059191A"/>
    <w:rsid w:val="005921FF"/>
    <w:rsid w:val="005A6D0E"/>
    <w:rsid w:val="005B52B0"/>
    <w:rsid w:val="005B6806"/>
    <w:rsid w:val="005C1F5C"/>
    <w:rsid w:val="005C4225"/>
    <w:rsid w:val="005F0F33"/>
    <w:rsid w:val="00600DEB"/>
    <w:rsid w:val="00601B7D"/>
    <w:rsid w:val="00613027"/>
    <w:rsid w:val="00627C9F"/>
    <w:rsid w:val="006311E9"/>
    <w:rsid w:val="00632354"/>
    <w:rsid w:val="00642810"/>
    <w:rsid w:val="00651C4E"/>
    <w:rsid w:val="00652333"/>
    <w:rsid w:val="006539EA"/>
    <w:rsid w:val="00655CD0"/>
    <w:rsid w:val="0068009E"/>
    <w:rsid w:val="00697D1E"/>
    <w:rsid w:val="006A17D2"/>
    <w:rsid w:val="006A73E6"/>
    <w:rsid w:val="006B2D5C"/>
    <w:rsid w:val="006C4EB1"/>
    <w:rsid w:val="006D43BD"/>
    <w:rsid w:val="006E0166"/>
    <w:rsid w:val="006E7B34"/>
    <w:rsid w:val="006F1FF0"/>
    <w:rsid w:val="00713224"/>
    <w:rsid w:val="007427DE"/>
    <w:rsid w:val="00745899"/>
    <w:rsid w:val="00753A68"/>
    <w:rsid w:val="00764E23"/>
    <w:rsid w:val="0076643F"/>
    <w:rsid w:val="007A471F"/>
    <w:rsid w:val="007B7EAB"/>
    <w:rsid w:val="007C3334"/>
    <w:rsid w:val="007C52BB"/>
    <w:rsid w:val="007C7473"/>
    <w:rsid w:val="007C7B72"/>
    <w:rsid w:val="007D2B98"/>
    <w:rsid w:val="007D6C0A"/>
    <w:rsid w:val="007D7A6C"/>
    <w:rsid w:val="007E14EA"/>
    <w:rsid w:val="007E3B30"/>
    <w:rsid w:val="007E7575"/>
    <w:rsid w:val="00803F1C"/>
    <w:rsid w:val="0080600E"/>
    <w:rsid w:val="00806A5E"/>
    <w:rsid w:val="008102BB"/>
    <w:rsid w:val="008167E9"/>
    <w:rsid w:val="00817612"/>
    <w:rsid w:val="00822367"/>
    <w:rsid w:val="008371A9"/>
    <w:rsid w:val="00837C45"/>
    <w:rsid w:val="0085594B"/>
    <w:rsid w:val="00860628"/>
    <w:rsid w:val="0087063F"/>
    <w:rsid w:val="00881636"/>
    <w:rsid w:val="00897E12"/>
    <w:rsid w:val="008A0B1E"/>
    <w:rsid w:val="008A32DE"/>
    <w:rsid w:val="008B308B"/>
    <w:rsid w:val="008C4966"/>
    <w:rsid w:val="008E3759"/>
    <w:rsid w:val="00901BF1"/>
    <w:rsid w:val="009041DC"/>
    <w:rsid w:val="009505DA"/>
    <w:rsid w:val="00954535"/>
    <w:rsid w:val="0095584C"/>
    <w:rsid w:val="00961E0B"/>
    <w:rsid w:val="0096617D"/>
    <w:rsid w:val="0096706E"/>
    <w:rsid w:val="00981FBA"/>
    <w:rsid w:val="00982523"/>
    <w:rsid w:val="00983A9B"/>
    <w:rsid w:val="00990CC1"/>
    <w:rsid w:val="009B381B"/>
    <w:rsid w:val="009D4069"/>
    <w:rsid w:val="009D7611"/>
    <w:rsid w:val="009E53DE"/>
    <w:rsid w:val="009F380F"/>
    <w:rsid w:val="009F6DDF"/>
    <w:rsid w:val="00A03178"/>
    <w:rsid w:val="00A23CB0"/>
    <w:rsid w:val="00A43458"/>
    <w:rsid w:val="00A43EFC"/>
    <w:rsid w:val="00A456D7"/>
    <w:rsid w:val="00A528D1"/>
    <w:rsid w:val="00A63655"/>
    <w:rsid w:val="00A65407"/>
    <w:rsid w:val="00A66BE5"/>
    <w:rsid w:val="00A76E7D"/>
    <w:rsid w:val="00A8116A"/>
    <w:rsid w:val="00A8573E"/>
    <w:rsid w:val="00AB0549"/>
    <w:rsid w:val="00AB48AB"/>
    <w:rsid w:val="00AD6B44"/>
    <w:rsid w:val="00AE1D40"/>
    <w:rsid w:val="00AE66EC"/>
    <w:rsid w:val="00AE6F91"/>
    <w:rsid w:val="00AF5571"/>
    <w:rsid w:val="00B1473D"/>
    <w:rsid w:val="00B167E9"/>
    <w:rsid w:val="00B20599"/>
    <w:rsid w:val="00B314DB"/>
    <w:rsid w:val="00B33DF0"/>
    <w:rsid w:val="00B34013"/>
    <w:rsid w:val="00B35631"/>
    <w:rsid w:val="00B3718B"/>
    <w:rsid w:val="00B4632A"/>
    <w:rsid w:val="00B7106E"/>
    <w:rsid w:val="00B9048D"/>
    <w:rsid w:val="00BA276C"/>
    <w:rsid w:val="00BB306F"/>
    <w:rsid w:val="00BD4B89"/>
    <w:rsid w:val="00BD5240"/>
    <w:rsid w:val="00C0279E"/>
    <w:rsid w:val="00C16B80"/>
    <w:rsid w:val="00C21762"/>
    <w:rsid w:val="00C24543"/>
    <w:rsid w:val="00C256A2"/>
    <w:rsid w:val="00C5462B"/>
    <w:rsid w:val="00C66B72"/>
    <w:rsid w:val="00C73C14"/>
    <w:rsid w:val="00C9567A"/>
    <w:rsid w:val="00C95708"/>
    <w:rsid w:val="00C959D7"/>
    <w:rsid w:val="00CA566C"/>
    <w:rsid w:val="00CB2660"/>
    <w:rsid w:val="00CB71A0"/>
    <w:rsid w:val="00CC5E90"/>
    <w:rsid w:val="00CD046C"/>
    <w:rsid w:val="00CD4AFA"/>
    <w:rsid w:val="00CE5199"/>
    <w:rsid w:val="00CE5295"/>
    <w:rsid w:val="00CE66D5"/>
    <w:rsid w:val="00CE7308"/>
    <w:rsid w:val="00CF0F8B"/>
    <w:rsid w:val="00D11D99"/>
    <w:rsid w:val="00D14379"/>
    <w:rsid w:val="00D25951"/>
    <w:rsid w:val="00D34786"/>
    <w:rsid w:val="00D52F0C"/>
    <w:rsid w:val="00D63290"/>
    <w:rsid w:val="00D712D3"/>
    <w:rsid w:val="00D71422"/>
    <w:rsid w:val="00D7558D"/>
    <w:rsid w:val="00D81D92"/>
    <w:rsid w:val="00D93446"/>
    <w:rsid w:val="00DA3BC9"/>
    <w:rsid w:val="00DA7B5F"/>
    <w:rsid w:val="00DC771E"/>
    <w:rsid w:val="00DD67D2"/>
    <w:rsid w:val="00DD6CFC"/>
    <w:rsid w:val="00E11B56"/>
    <w:rsid w:val="00E23634"/>
    <w:rsid w:val="00E43157"/>
    <w:rsid w:val="00E533FF"/>
    <w:rsid w:val="00E62A05"/>
    <w:rsid w:val="00E82851"/>
    <w:rsid w:val="00E8789F"/>
    <w:rsid w:val="00E96D5D"/>
    <w:rsid w:val="00E97B71"/>
    <w:rsid w:val="00EA47D5"/>
    <w:rsid w:val="00EA6103"/>
    <w:rsid w:val="00EB454D"/>
    <w:rsid w:val="00EF619B"/>
    <w:rsid w:val="00F00B55"/>
    <w:rsid w:val="00F032A9"/>
    <w:rsid w:val="00F14F0E"/>
    <w:rsid w:val="00F24C29"/>
    <w:rsid w:val="00F253CC"/>
    <w:rsid w:val="00F270BC"/>
    <w:rsid w:val="00F56BA5"/>
    <w:rsid w:val="00F644E6"/>
    <w:rsid w:val="00F67501"/>
    <w:rsid w:val="00F706F4"/>
    <w:rsid w:val="00F9653B"/>
    <w:rsid w:val="00FB31BB"/>
    <w:rsid w:val="00FB3E2E"/>
    <w:rsid w:val="00FB62CF"/>
    <w:rsid w:val="00FB7BCA"/>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pt-BR"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9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t-BR" w:eastAsia="pt-BR" w:bidi="ne-NP"/>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bar w:val="nil"/>
      </w:pBdr>
    </w:pPr>
    <w:rPr>
      <w:sz w:val="24"/>
      <w:szCs w:val="24"/>
      <w:bdr w:val="nil"/>
      <w:lang w:val="en-US" w:eastAsia="en-US" w:bidi="ar-SA"/>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bidi="ar-SA"/>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val="en-US" w:eastAsia="es-ES" w:bidi="ar-SA"/>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bidi="ar-SA"/>
    </w:rPr>
  </w:style>
  <w:style w:type="paragraph" w:styleId="BodyTextIndent">
    <w:name w:val="Body Text Indent"/>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bidi="ar-SA"/>
    </w:rPr>
  </w:style>
  <w:style w:type="paragraph" w:styleId="ListParagraph">
    <w:name w:val="List Paragraph"/>
    <w:aliases w:val="Párrafo de lista1,List Paragraph1,List Paragraph11,List Paragraph2,Lista vistosa - Énfasis 11,Colorful List - Accent 11,Subtle Emphasis1,Footnote1,Grade Clara - Ênfase 31"/>
    <w:uiPriority w:val="1"/>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val="en-US" w:eastAsia="es-ES" w:bidi="ar-SA"/>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qFormat/>
    <w:pPr>
      <w:pBdr>
        <w:top w:val="nil"/>
        <w:left w:val="nil"/>
        <w:bottom w:val="nil"/>
        <w:right w:val="nil"/>
        <w:between w:val="nil"/>
        <w:bar w:val="nil"/>
      </w:pBdr>
    </w:pPr>
    <w:rPr>
      <w:rFonts w:ascii="Calibri" w:eastAsia="Calibri" w:hAnsi="Calibri" w:cs="Calibri"/>
      <w:color w:val="000000"/>
      <w:u w:color="000000"/>
      <w:bdr w:val="nil"/>
      <w:lang w:val="en-US" w:eastAsia="es-ES" w:bidi="ar-SA"/>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D81D92"/>
    <w:rPr>
      <w:rFonts w:ascii="Cambria" w:eastAsia="Times New Roman" w:hAnsi="Cambria" w:cs="Times New Roman"/>
      <w:b/>
      <w:bCs/>
      <w:color w:val="365F91"/>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6539EA"/>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416AB8"/>
    <w:pPr>
      <w:spacing w:after="120"/>
    </w:pPr>
  </w:style>
  <w:style w:type="character" w:customStyle="1" w:styleId="BodyTextChar">
    <w:name w:val="Body Text Char"/>
    <w:link w:val="BodyText"/>
    <w:uiPriority w:val="99"/>
    <w:semiHidden/>
    <w:rsid w:val="00416AB8"/>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R"/>
    <w:link w:val="1"/>
    <w:qFormat/>
    <w:rsid w:val="00416AB8"/>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416AB8"/>
    <w:rPr>
      <w:rFonts w:ascii="Calibri" w:eastAsia="Calibri" w:hAnsi="Calibri" w:cs="Calibri"/>
      <w:color w:val="000000"/>
      <w:u w:color="000000"/>
      <w:lang w:val="en-US"/>
    </w:rPr>
  </w:style>
  <w:style w:type="paragraph" w:customStyle="1" w:styleId="1">
    <w:name w:val="1"/>
    <w:basedOn w:val="Normal"/>
    <w:link w:val="FootnoteReference"/>
    <w:rsid w:val="00697D1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table" w:styleId="TableGrid">
    <w:name w:val="Table Grid"/>
    <w:basedOn w:val="TableNormal"/>
    <w:uiPriority w:val="59"/>
    <w:rsid w:val="00E62A05"/>
    <w:pPr>
      <w:pBdr>
        <w:top w:val="nil"/>
        <w:left w:val="nil"/>
        <w:bottom w:val="nil"/>
        <w:right w:val="nil"/>
        <w:between w:val="nil"/>
        <w:bar w:val="nil"/>
      </w:pBdr>
    </w:pPr>
    <w:rPr>
      <w:bdr w:val="nil"/>
      <w:lang w:val="es-ES" w:eastAsia="es-E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61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CC83D-A271-4A46-B862-DD01375D2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5450</Words>
  <Characters>31068</Characters>
  <Application>Microsoft Office Word</Application>
  <DocSecurity>0</DocSecurity>
  <Lines>258</Lines>
  <Paragraphs>72</Paragraphs>
  <ScaleCrop>false</ScaleCrop>
  <Company/>
  <LinksUpToDate>false</LinksUpToDate>
  <CharactersWithSpaces>36446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2024-01-18T15:34:00Z</dcterms:created>
  <dcterms:modified xsi:type="dcterms:W3CDTF">2024-01-18T15:34:00Z</dcterms:modified>
</cp:coreProperties>
</file>