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D64156" w:rsidRDefault="00D306D1" w:rsidP="00627C9F">
      <w:pPr>
        <w:jc w:val="both"/>
        <w:rPr>
          <w:rFonts w:asciiTheme="majorHAnsi" w:hAnsiTheme="majorHAnsi" w:cs="Univers"/>
          <w:b/>
          <w:bCs/>
          <w:sz w:val="22"/>
          <w:szCs w:val="22"/>
          <w:lang w:val="pt-BR"/>
        </w:rPr>
      </w:pPr>
      <w:r w:rsidRPr="00D64156">
        <w:rPr>
          <w:rFonts w:asciiTheme="majorHAnsi" w:hAnsiTheme="majorHAnsi"/>
          <w:noProof/>
          <w:sz w:val="22"/>
          <w:szCs w:val="22"/>
          <w:lang w:val="pt-BR"/>
        </w:rPr>
        <mc:AlternateContent>
          <mc:Choice Requires="wps">
            <w:drawing>
              <wp:anchor distT="0" distB="0" distL="114300" distR="114300" simplePos="0" relativeHeight="251661311" behindDoc="0" locked="0" layoutInCell="1" allowOverlap="1" wp14:anchorId="0A6BA128" wp14:editId="1F44695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48A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D64156">
        <w:rPr>
          <w:rFonts w:asciiTheme="majorHAnsi" w:hAnsiTheme="majorHAnsi"/>
          <w:noProof/>
          <w:sz w:val="22"/>
          <w:szCs w:val="22"/>
          <w:lang w:val="pt-BR"/>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3BC8CD16" w:rsidR="00CB2660" w:rsidRDefault="005C0B4B" w:rsidP="00AE5488">
                            <w:r>
                              <w:rPr>
                                <w:noProof/>
                              </w:rPr>
                              <w:drawing>
                                <wp:inline distT="0" distB="0" distL="0" distR="0" wp14:anchorId="2170A282" wp14:editId="79170B19">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r w:rsidR="008C638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3BC8CD16" w:rsidR="00CB2660" w:rsidRDefault="005C0B4B" w:rsidP="00AE5488">
                      <w:r>
                        <w:rPr>
                          <w:noProof/>
                        </w:rPr>
                        <w:drawing>
                          <wp:inline distT="0" distB="0" distL="0" distR="0" wp14:anchorId="2170A282" wp14:editId="79170B19">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r w:rsidR="008C6385">
                        <w:t xml:space="preserve"> </w:t>
                      </w:r>
                    </w:p>
                  </w:txbxContent>
                </v:textbox>
              </v:shape>
            </w:pict>
          </mc:Fallback>
        </mc:AlternateContent>
      </w:r>
      <w:r w:rsidR="00071174" w:rsidRPr="00D64156">
        <w:rPr>
          <w:rFonts w:asciiTheme="majorHAnsi" w:hAnsiTheme="majorHAnsi" w:cs="Univers"/>
          <w:b/>
          <w:bCs/>
          <w:sz w:val="22"/>
          <w:szCs w:val="22"/>
          <w:lang w:val="pt-BR"/>
        </w:rPr>
        <w:t xml:space="preserve"> </w:t>
      </w:r>
    </w:p>
    <w:p w14:paraId="751BC92D" w14:textId="77777777" w:rsidR="00040C3A" w:rsidRPr="00D64156" w:rsidRDefault="00040C3A" w:rsidP="00040C3A">
      <w:pPr>
        <w:tabs>
          <w:tab w:val="center" w:pos="5400"/>
        </w:tabs>
        <w:suppressAutoHyphens/>
        <w:jc w:val="both"/>
        <w:rPr>
          <w:rFonts w:asciiTheme="majorHAnsi" w:hAnsiTheme="majorHAnsi"/>
          <w:sz w:val="22"/>
          <w:szCs w:val="22"/>
          <w:lang w:val="pt-BR"/>
        </w:rPr>
      </w:pPr>
    </w:p>
    <w:p w14:paraId="4601B0E5" w14:textId="77777777" w:rsidR="00040C3A" w:rsidRPr="00D64156" w:rsidRDefault="00040C3A" w:rsidP="00040C3A">
      <w:pPr>
        <w:tabs>
          <w:tab w:val="center" w:pos="5400"/>
        </w:tabs>
        <w:suppressAutoHyphens/>
        <w:jc w:val="both"/>
        <w:rPr>
          <w:rFonts w:asciiTheme="majorHAnsi" w:hAnsiTheme="majorHAnsi"/>
          <w:sz w:val="22"/>
          <w:szCs w:val="22"/>
          <w:lang w:val="pt-BR"/>
        </w:rPr>
      </w:pPr>
    </w:p>
    <w:p w14:paraId="49EC0A3F" w14:textId="77777777" w:rsidR="005128E4" w:rsidRPr="00D64156" w:rsidRDefault="005128E4" w:rsidP="00040C3A">
      <w:pPr>
        <w:tabs>
          <w:tab w:val="center" w:pos="5400"/>
        </w:tabs>
        <w:suppressAutoHyphens/>
        <w:rPr>
          <w:rFonts w:asciiTheme="majorHAnsi" w:hAnsiTheme="majorHAnsi"/>
          <w:sz w:val="22"/>
          <w:szCs w:val="22"/>
          <w:lang w:val="pt-BR"/>
        </w:rPr>
      </w:pPr>
    </w:p>
    <w:p w14:paraId="7F51F08B" w14:textId="77777777" w:rsidR="005128E4" w:rsidRPr="00D64156" w:rsidRDefault="005128E4" w:rsidP="00040C3A">
      <w:pPr>
        <w:tabs>
          <w:tab w:val="center" w:pos="5400"/>
        </w:tabs>
        <w:suppressAutoHyphens/>
        <w:rPr>
          <w:rFonts w:asciiTheme="majorHAnsi" w:hAnsiTheme="majorHAnsi"/>
          <w:sz w:val="22"/>
          <w:szCs w:val="22"/>
          <w:lang w:val="pt-BR"/>
        </w:rPr>
      </w:pPr>
    </w:p>
    <w:p w14:paraId="058606A7" w14:textId="77777777" w:rsidR="005128E4" w:rsidRPr="00D64156" w:rsidRDefault="005128E4" w:rsidP="00040C3A">
      <w:pPr>
        <w:tabs>
          <w:tab w:val="center" w:pos="5400"/>
        </w:tabs>
        <w:suppressAutoHyphens/>
        <w:rPr>
          <w:rFonts w:asciiTheme="majorHAnsi" w:hAnsiTheme="majorHAnsi"/>
          <w:sz w:val="22"/>
          <w:szCs w:val="22"/>
          <w:lang w:val="pt-BR"/>
        </w:rPr>
      </w:pPr>
    </w:p>
    <w:p w14:paraId="01B9D56A" w14:textId="77777777" w:rsidR="00040C3A" w:rsidRPr="00D64156" w:rsidRDefault="00040C3A" w:rsidP="005128E4">
      <w:pPr>
        <w:tabs>
          <w:tab w:val="center" w:pos="5400"/>
        </w:tabs>
        <w:suppressAutoHyphens/>
        <w:jc w:val="center"/>
        <w:rPr>
          <w:rFonts w:asciiTheme="majorHAnsi" w:hAnsiTheme="majorHAnsi"/>
          <w:sz w:val="22"/>
          <w:szCs w:val="22"/>
          <w:lang w:val="pt-BR"/>
        </w:rPr>
      </w:pPr>
    </w:p>
    <w:p w14:paraId="513D0572" w14:textId="77777777" w:rsidR="00040C3A" w:rsidRPr="00D64156" w:rsidRDefault="00040C3A" w:rsidP="005128E4">
      <w:pPr>
        <w:tabs>
          <w:tab w:val="center" w:pos="5400"/>
        </w:tabs>
        <w:suppressAutoHyphens/>
        <w:jc w:val="center"/>
        <w:rPr>
          <w:rFonts w:asciiTheme="majorHAnsi" w:hAnsiTheme="majorHAnsi"/>
          <w:sz w:val="22"/>
          <w:szCs w:val="22"/>
          <w:lang w:val="pt-BR"/>
        </w:rPr>
      </w:pPr>
    </w:p>
    <w:p w14:paraId="2D06BA43" w14:textId="77777777" w:rsidR="005B52B0" w:rsidRPr="00D64156" w:rsidRDefault="005B52B0" w:rsidP="005128E4">
      <w:pPr>
        <w:tabs>
          <w:tab w:val="center" w:pos="5400"/>
        </w:tabs>
        <w:suppressAutoHyphens/>
        <w:jc w:val="center"/>
        <w:rPr>
          <w:rFonts w:asciiTheme="majorHAnsi" w:hAnsiTheme="majorHAnsi"/>
          <w:sz w:val="22"/>
          <w:szCs w:val="22"/>
          <w:lang w:val="pt-BR"/>
        </w:rPr>
      </w:pPr>
    </w:p>
    <w:p w14:paraId="762470A2" w14:textId="77777777" w:rsidR="005B52B0" w:rsidRPr="00D64156" w:rsidRDefault="005B52B0" w:rsidP="005128E4">
      <w:pPr>
        <w:tabs>
          <w:tab w:val="center" w:pos="5400"/>
        </w:tabs>
        <w:suppressAutoHyphens/>
        <w:jc w:val="center"/>
        <w:rPr>
          <w:rFonts w:asciiTheme="majorHAnsi" w:hAnsiTheme="majorHAnsi"/>
          <w:sz w:val="22"/>
          <w:szCs w:val="22"/>
          <w:lang w:val="pt-BR"/>
        </w:rPr>
      </w:pPr>
    </w:p>
    <w:p w14:paraId="6F01DDF3" w14:textId="77777777" w:rsidR="005B52B0" w:rsidRPr="00D64156" w:rsidRDefault="005B52B0" w:rsidP="005128E4">
      <w:pPr>
        <w:tabs>
          <w:tab w:val="center" w:pos="5400"/>
        </w:tabs>
        <w:suppressAutoHyphens/>
        <w:jc w:val="center"/>
        <w:rPr>
          <w:rFonts w:asciiTheme="majorHAnsi" w:hAnsiTheme="majorHAnsi"/>
          <w:sz w:val="22"/>
          <w:szCs w:val="22"/>
          <w:lang w:val="pt-BR"/>
        </w:rPr>
      </w:pPr>
    </w:p>
    <w:p w14:paraId="35ACB115"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3D124B92"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01E9EAD2" w14:textId="77777777" w:rsidR="00040C3A" w:rsidRPr="00D64156" w:rsidRDefault="003D3BC2" w:rsidP="00040C3A">
      <w:pPr>
        <w:tabs>
          <w:tab w:val="center" w:pos="5400"/>
        </w:tabs>
        <w:suppressAutoHyphens/>
        <w:jc w:val="center"/>
        <w:rPr>
          <w:rFonts w:asciiTheme="majorHAnsi" w:hAnsiTheme="majorHAnsi"/>
          <w:sz w:val="22"/>
          <w:szCs w:val="22"/>
          <w:lang w:val="pt-BR"/>
        </w:rPr>
      </w:pPr>
      <w:r w:rsidRPr="00D64156">
        <w:rPr>
          <w:rFonts w:asciiTheme="majorHAnsi" w:hAnsiTheme="majorHAnsi"/>
          <w:noProof/>
          <w:sz w:val="22"/>
          <w:szCs w:val="22"/>
          <w:lang w:val="pt-BR"/>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1903238" w:rsidR="005B52B0" w:rsidRPr="00247E84" w:rsidRDefault="00827EAA" w:rsidP="00997BC5">
                            <w:pPr>
                              <w:spacing w:line="276" w:lineRule="auto"/>
                              <w:rPr>
                                <w:rFonts w:asciiTheme="majorHAnsi" w:hAnsiTheme="majorHAnsi" w:cs="Arial"/>
                                <w:b/>
                                <w:bCs/>
                                <w:color w:val="0D0D0D" w:themeColor="text1" w:themeTint="F2"/>
                                <w:sz w:val="36"/>
                                <w:szCs w:val="22"/>
                                <w:lang w:val="pt-BR"/>
                              </w:rPr>
                            </w:pPr>
                            <w:r w:rsidRPr="00247E84">
                              <w:rPr>
                                <w:rFonts w:asciiTheme="majorHAnsi" w:hAnsiTheme="majorHAnsi" w:cs="Arial"/>
                                <w:b/>
                                <w:bCs/>
                                <w:color w:val="0D0D0D" w:themeColor="text1" w:themeTint="F2"/>
                                <w:sz w:val="36"/>
                                <w:szCs w:val="22"/>
                                <w:lang w:val="pt-BR"/>
                              </w:rPr>
                              <w:t>RELATÓRIO</w:t>
                            </w:r>
                            <w:r w:rsidR="005B52B0" w:rsidRPr="00247E84">
                              <w:rPr>
                                <w:rFonts w:asciiTheme="majorHAnsi" w:hAnsiTheme="majorHAnsi" w:cs="Arial"/>
                                <w:b/>
                                <w:bCs/>
                                <w:color w:val="0D0D0D" w:themeColor="text1" w:themeTint="F2"/>
                                <w:sz w:val="36"/>
                                <w:szCs w:val="22"/>
                                <w:lang w:val="pt-BR"/>
                              </w:rPr>
                              <w:t xml:space="preserve"> </w:t>
                            </w:r>
                            <w:r w:rsidR="00477592" w:rsidRPr="00247E84">
                              <w:rPr>
                                <w:rFonts w:asciiTheme="majorHAnsi" w:hAnsiTheme="majorHAnsi" w:cs="Arial"/>
                                <w:b/>
                                <w:bCs/>
                                <w:color w:val="0D0D0D" w:themeColor="text1" w:themeTint="F2"/>
                                <w:sz w:val="36"/>
                                <w:szCs w:val="40"/>
                                <w:lang w:val="pt-BR"/>
                              </w:rPr>
                              <w:t>N</w:t>
                            </w:r>
                            <w:r w:rsidR="00477592" w:rsidRPr="00247E84">
                              <w:rPr>
                                <w:rFonts w:asciiTheme="majorHAnsi" w:hAnsiTheme="majorHAnsi" w:cs="Arial"/>
                                <w:b/>
                                <w:bCs/>
                                <w:color w:val="0D0D0D" w:themeColor="text1" w:themeTint="F2"/>
                                <w:sz w:val="36"/>
                                <w:szCs w:val="40"/>
                                <w:vertAlign w:val="superscript"/>
                                <w:lang w:val="pt-BR"/>
                              </w:rPr>
                              <w:t>o.</w:t>
                            </w:r>
                            <w:r w:rsidR="007B05C4" w:rsidRPr="00247E84">
                              <w:rPr>
                                <w:rFonts w:asciiTheme="majorHAnsi" w:hAnsiTheme="majorHAnsi" w:cs="Arial"/>
                                <w:b/>
                                <w:bCs/>
                                <w:color w:val="0D0D0D" w:themeColor="text1" w:themeTint="F2"/>
                                <w:sz w:val="36"/>
                                <w:szCs w:val="22"/>
                                <w:lang w:val="pt-BR"/>
                              </w:rPr>
                              <w:t xml:space="preserve"> </w:t>
                            </w:r>
                            <w:r w:rsidR="00DE290F">
                              <w:rPr>
                                <w:rFonts w:asciiTheme="majorHAnsi" w:hAnsiTheme="majorHAnsi" w:cs="Arial"/>
                                <w:b/>
                                <w:bCs/>
                                <w:color w:val="0D0D0D" w:themeColor="text1" w:themeTint="F2"/>
                                <w:sz w:val="36"/>
                                <w:szCs w:val="22"/>
                                <w:lang w:val="pt-BR"/>
                              </w:rPr>
                              <w:t>242</w:t>
                            </w:r>
                            <w:r w:rsidR="007B05C4" w:rsidRPr="00247E84">
                              <w:rPr>
                                <w:rFonts w:asciiTheme="majorHAnsi" w:hAnsiTheme="majorHAnsi" w:cs="Arial"/>
                                <w:b/>
                                <w:bCs/>
                                <w:color w:val="0D0D0D" w:themeColor="text1" w:themeTint="F2"/>
                                <w:sz w:val="36"/>
                                <w:szCs w:val="22"/>
                                <w:lang w:val="pt-BR"/>
                              </w:rPr>
                              <w:t>/</w:t>
                            </w:r>
                            <w:r w:rsidR="00AF1AF9" w:rsidRPr="00247E84">
                              <w:rPr>
                                <w:rFonts w:asciiTheme="majorHAnsi" w:hAnsiTheme="majorHAnsi" w:cs="Arial"/>
                                <w:b/>
                                <w:bCs/>
                                <w:color w:val="0D0D0D" w:themeColor="text1" w:themeTint="F2"/>
                                <w:sz w:val="36"/>
                                <w:szCs w:val="22"/>
                                <w:lang w:val="pt-BR"/>
                              </w:rPr>
                              <w:t>2</w:t>
                            </w:r>
                            <w:r w:rsidR="00C17796" w:rsidRPr="00247E84">
                              <w:rPr>
                                <w:rFonts w:asciiTheme="majorHAnsi" w:hAnsiTheme="majorHAnsi" w:cs="Arial"/>
                                <w:b/>
                                <w:bCs/>
                                <w:color w:val="0D0D0D" w:themeColor="text1" w:themeTint="F2"/>
                                <w:sz w:val="36"/>
                                <w:szCs w:val="22"/>
                                <w:lang w:val="pt-BR"/>
                              </w:rPr>
                              <w:t>3</w:t>
                            </w:r>
                          </w:p>
                          <w:p w14:paraId="45F30ECA" w14:textId="0568654C" w:rsidR="007B05C4" w:rsidRPr="00827EAA" w:rsidRDefault="005B52B0" w:rsidP="00997BC5">
                            <w:pPr>
                              <w:spacing w:line="276" w:lineRule="auto"/>
                              <w:rPr>
                                <w:rFonts w:asciiTheme="majorHAnsi" w:hAnsiTheme="majorHAnsi" w:cs="Arial"/>
                                <w:b/>
                                <w:color w:val="0D0D0D" w:themeColor="text1" w:themeTint="F2"/>
                                <w:sz w:val="36"/>
                                <w:szCs w:val="22"/>
                                <w:lang w:val="pt-BR"/>
                              </w:rPr>
                            </w:pPr>
                            <w:r w:rsidRPr="00827EAA">
                              <w:rPr>
                                <w:rFonts w:asciiTheme="majorHAnsi" w:hAnsiTheme="majorHAnsi" w:cs="Arial"/>
                                <w:b/>
                                <w:color w:val="0D0D0D" w:themeColor="text1" w:themeTint="F2"/>
                                <w:sz w:val="36"/>
                                <w:szCs w:val="22"/>
                                <w:lang w:val="pt-BR"/>
                              </w:rPr>
                              <w:t>PETI</w:t>
                            </w:r>
                            <w:r w:rsidR="00827EAA" w:rsidRPr="00827EAA">
                              <w:rPr>
                                <w:rFonts w:asciiTheme="majorHAnsi" w:hAnsiTheme="majorHAnsi" w:cs="Arial"/>
                                <w:b/>
                                <w:color w:val="0D0D0D" w:themeColor="text1" w:themeTint="F2"/>
                                <w:sz w:val="36"/>
                                <w:szCs w:val="22"/>
                                <w:lang w:val="pt-BR"/>
                              </w:rPr>
                              <w:t>ÇÃO</w:t>
                            </w:r>
                            <w:r w:rsidRPr="00827EAA">
                              <w:rPr>
                                <w:rFonts w:asciiTheme="majorHAnsi" w:hAnsiTheme="majorHAnsi" w:cs="Arial"/>
                                <w:b/>
                                <w:color w:val="0D0D0D" w:themeColor="text1" w:themeTint="F2"/>
                                <w:sz w:val="36"/>
                                <w:szCs w:val="22"/>
                                <w:lang w:val="pt-BR"/>
                              </w:rPr>
                              <w:t xml:space="preserve"> </w:t>
                            </w:r>
                            <w:r w:rsidR="006671BB" w:rsidRPr="00827EAA">
                              <w:rPr>
                                <w:rFonts w:asciiTheme="majorHAnsi" w:hAnsiTheme="majorHAnsi" w:cs="Arial"/>
                                <w:b/>
                                <w:color w:val="0D0D0D" w:themeColor="text1" w:themeTint="F2"/>
                                <w:sz w:val="36"/>
                                <w:szCs w:val="22"/>
                                <w:lang w:val="pt-BR"/>
                              </w:rPr>
                              <w:t>1459-12</w:t>
                            </w:r>
                          </w:p>
                          <w:p w14:paraId="188B4303" w14:textId="76A791A4" w:rsidR="00CD046C" w:rsidRPr="00827EAA" w:rsidRDefault="00827EAA" w:rsidP="00997BC5">
                            <w:pPr>
                              <w:spacing w:line="276" w:lineRule="auto"/>
                              <w:rPr>
                                <w:rFonts w:asciiTheme="majorHAnsi" w:hAnsiTheme="majorHAnsi" w:cs="Arial"/>
                                <w:color w:val="0D0D0D" w:themeColor="text1" w:themeTint="F2"/>
                                <w:szCs w:val="22"/>
                                <w:lang w:val="pt-BR"/>
                              </w:rPr>
                            </w:pPr>
                            <w:r w:rsidRPr="00827EAA">
                              <w:rPr>
                                <w:rFonts w:asciiTheme="majorHAnsi" w:hAnsiTheme="majorHAnsi" w:cs="Arial"/>
                                <w:color w:val="0D0D0D" w:themeColor="text1" w:themeTint="F2"/>
                                <w:szCs w:val="22"/>
                                <w:lang w:val="pt-BR"/>
                              </w:rPr>
                              <w:t>RELATÓRIO</w:t>
                            </w:r>
                            <w:r w:rsidR="005B52B0" w:rsidRPr="00827EAA">
                              <w:rPr>
                                <w:rFonts w:asciiTheme="majorHAnsi" w:hAnsiTheme="majorHAnsi" w:cs="Arial"/>
                                <w:color w:val="0D0D0D" w:themeColor="text1" w:themeTint="F2"/>
                                <w:szCs w:val="22"/>
                                <w:lang w:val="pt-BR"/>
                              </w:rPr>
                              <w:t xml:space="preserve"> DE </w:t>
                            </w:r>
                            <w:r w:rsidR="00BF6E78" w:rsidRPr="00827EAA">
                              <w:rPr>
                                <w:rFonts w:asciiTheme="majorHAnsi" w:hAnsiTheme="majorHAnsi" w:cs="Arial"/>
                                <w:color w:val="0D0D0D" w:themeColor="text1" w:themeTint="F2"/>
                                <w:szCs w:val="22"/>
                                <w:lang w:val="pt-BR"/>
                              </w:rPr>
                              <w:t>IN</w:t>
                            </w:r>
                            <w:r w:rsidR="005B52B0" w:rsidRPr="00827EAA">
                              <w:rPr>
                                <w:rFonts w:asciiTheme="majorHAnsi" w:hAnsiTheme="majorHAnsi" w:cs="Arial"/>
                                <w:color w:val="0D0D0D" w:themeColor="text1" w:themeTint="F2"/>
                                <w:szCs w:val="22"/>
                                <w:lang w:val="pt-BR"/>
                              </w:rPr>
                              <w:t>ADMIS</w:t>
                            </w:r>
                            <w:r w:rsidRPr="00827EAA">
                              <w:rPr>
                                <w:rFonts w:asciiTheme="majorHAnsi" w:hAnsiTheme="majorHAnsi" w:cs="Arial"/>
                                <w:color w:val="0D0D0D" w:themeColor="text1" w:themeTint="F2"/>
                                <w:szCs w:val="22"/>
                                <w:lang w:val="pt-BR"/>
                              </w:rPr>
                              <w:t>S</w:t>
                            </w:r>
                            <w:r w:rsidR="005B52B0" w:rsidRPr="00827EAA">
                              <w:rPr>
                                <w:rFonts w:asciiTheme="majorHAnsi" w:hAnsiTheme="majorHAnsi" w:cs="Arial"/>
                                <w:color w:val="0D0D0D" w:themeColor="text1" w:themeTint="F2"/>
                                <w:szCs w:val="22"/>
                                <w:lang w:val="pt-BR"/>
                              </w:rPr>
                              <w:t>IBILIDAD</w:t>
                            </w:r>
                            <w:r w:rsidRPr="00827EAA">
                              <w:rPr>
                                <w:rFonts w:asciiTheme="majorHAnsi" w:hAnsiTheme="majorHAnsi" w:cs="Arial"/>
                                <w:color w:val="0D0D0D" w:themeColor="text1" w:themeTint="F2"/>
                                <w:szCs w:val="22"/>
                                <w:lang w:val="pt-BR"/>
                              </w:rPr>
                              <w:t>E</w:t>
                            </w:r>
                            <w:r w:rsidR="00F519CF" w:rsidRPr="00827EAA">
                              <w:rPr>
                                <w:rFonts w:asciiTheme="majorHAnsi" w:hAnsiTheme="majorHAnsi" w:cs="Arial"/>
                                <w:color w:val="0D0D0D" w:themeColor="text1" w:themeTint="F2"/>
                                <w:szCs w:val="22"/>
                                <w:lang w:val="pt-BR"/>
                              </w:rPr>
                              <w:t xml:space="preserve"> </w:t>
                            </w:r>
                          </w:p>
                          <w:p w14:paraId="31968596" w14:textId="77777777" w:rsidR="008F1912" w:rsidRPr="00827EAA"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0B9F7D22" w14:textId="1B355F57" w:rsidR="005B52B0" w:rsidRPr="00247E84" w:rsidRDefault="006671BB" w:rsidP="007A5817">
                            <w:pPr>
                              <w:rPr>
                                <w:rFonts w:asciiTheme="majorHAnsi" w:hAnsiTheme="majorHAnsi" w:cs="Arial"/>
                                <w:color w:val="0D0D0D" w:themeColor="text1" w:themeTint="F2"/>
                                <w:szCs w:val="22"/>
                              </w:rPr>
                            </w:pPr>
                            <w:r w:rsidRPr="00247E84">
                              <w:rPr>
                                <w:rFonts w:asciiTheme="majorHAnsi" w:hAnsiTheme="majorHAnsi" w:cs="Arial"/>
                                <w:color w:val="0D0D0D" w:themeColor="text1" w:themeTint="F2"/>
                                <w:szCs w:val="22"/>
                              </w:rPr>
                              <w:t>WOLF GRUENBERG</w:t>
                            </w:r>
                            <w:r w:rsidR="00116812" w:rsidRPr="00247E84">
                              <w:rPr>
                                <w:rFonts w:asciiTheme="majorHAnsi" w:hAnsiTheme="majorHAnsi" w:cs="Arial"/>
                                <w:color w:val="0D0D0D" w:themeColor="text1" w:themeTint="F2"/>
                                <w:szCs w:val="22"/>
                              </w:rPr>
                              <w:t xml:space="preserve"> </w:t>
                            </w:r>
                            <w:r w:rsidR="00827EAA" w:rsidRPr="00247E84">
                              <w:rPr>
                                <w:rFonts w:asciiTheme="majorHAnsi" w:hAnsiTheme="majorHAnsi" w:cs="Arial"/>
                                <w:color w:val="0D0D0D" w:themeColor="text1" w:themeTint="F2"/>
                                <w:szCs w:val="22"/>
                              </w:rPr>
                              <w:t>E</w:t>
                            </w:r>
                            <w:r w:rsidRPr="00247E84">
                              <w:rPr>
                                <w:rFonts w:asciiTheme="majorHAnsi" w:hAnsiTheme="majorHAnsi" w:cs="Arial"/>
                                <w:color w:val="0D0D0D" w:themeColor="text1" w:themeTint="F2"/>
                                <w:szCs w:val="22"/>
                              </w:rPr>
                              <w:t xml:space="preserve"> BETTY GUENDLER GRUENBERG </w:t>
                            </w:r>
                          </w:p>
                          <w:p w14:paraId="7F6EC113" w14:textId="124B60F3" w:rsidR="006671BB" w:rsidRPr="006671BB" w:rsidRDefault="006671BB" w:rsidP="007A5817">
                            <w:pPr>
                              <w:rPr>
                                <w:color w:val="0D0D0D" w:themeColor="text1" w:themeTint="F2"/>
                              </w:rPr>
                            </w:pPr>
                            <w:r>
                              <w:rPr>
                                <w:rFonts w:asciiTheme="majorHAnsi" w:hAnsiTheme="majorHAnsi" w:cs="Arial"/>
                                <w:color w:val="0D0D0D" w:themeColor="text1" w:themeTint="F2"/>
                                <w:szCs w:val="22"/>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1903238" w:rsidR="005B52B0" w:rsidRPr="00247E84" w:rsidRDefault="00827EAA" w:rsidP="00997BC5">
                      <w:pPr>
                        <w:spacing w:line="276" w:lineRule="auto"/>
                        <w:rPr>
                          <w:rFonts w:asciiTheme="majorHAnsi" w:hAnsiTheme="majorHAnsi" w:cs="Arial"/>
                          <w:b/>
                          <w:bCs/>
                          <w:color w:val="0D0D0D" w:themeColor="text1" w:themeTint="F2"/>
                          <w:sz w:val="36"/>
                          <w:szCs w:val="22"/>
                          <w:lang w:val="pt-BR"/>
                        </w:rPr>
                      </w:pPr>
                      <w:r w:rsidRPr="00247E84">
                        <w:rPr>
                          <w:rFonts w:asciiTheme="majorHAnsi" w:hAnsiTheme="majorHAnsi" w:cs="Arial"/>
                          <w:b/>
                          <w:bCs/>
                          <w:color w:val="0D0D0D" w:themeColor="text1" w:themeTint="F2"/>
                          <w:sz w:val="36"/>
                          <w:szCs w:val="22"/>
                          <w:lang w:val="pt-BR"/>
                        </w:rPr>
                        <w:t>RELATÓRIO</w:t>
                      </w:r>
                      <w:r w:rsidR="005B52B0" w:rsidRPr="00247E84">
                        <w:rPr>
                          <w:rFonts w:asciiTheme="majorHAnsi" w:hAnsiTheme="majorHAnsi" w:cs="Arial"/>
                          <w:b/>
                          <w:bCs/>
                          <w:color w:val="0D0D0D" w:themeColor="text1" w:themeTint="F2"/>
                          <w:sz w:val="36"/>
                          <w:szCs w:val="22"/>
                          <w:lang w:val="pt-BR"/>
                        </w:rPr>
                        <w:t xml:space="preserve"> </w:t>
                      </w:r>
                      <w:r w:rsidR="00477592" w:rsidRPr="00247E84">
                        <w:rPr>
                          <w:rFonts w:asciiTheme="majorHAnsi" w:hAnsiTheme="majorHAnsi" w:cs="Arial"/>
                          <w:b/>
                          <w:bCs/>
                          <w:color w:val="0D0D0D" w:themeColor="text1" w:themeTint="F2"/>
                          <w:sz w:val="36"/>
                          <w:szCs w:val="40"/>
                          <w:lang w:val="pt-BR"/>
                        </w:rPr>
                        <w:t>N</w:t>
                      </w:r>
                      <w:r w:rsidR="00477592" w:rsidRPr="00247E84">
                        <w:rPr>
                          <w:rFonts w:asciiTheme="majorHAnsi" w:hAnsiTheme="majorHAnsi" w:cs="Arial"/>
                          <w:b/>
                          <w:bCs/>
                          <w:color w:val="0D0D0D" w:themeColor="text1" w:themeTint="F2"/>
                          <w:sz w:val="36"/>
                          <w:szCs w:val="40"/>
                          <w:vertAlign w:val="superscript"/>
                          <w:lang w:val="pt-BR"/>
                        </w:rPr>
                        <w:t>o.</w:t>
                      </w:r>
                      <w:r w:rsidR="007B05C4" w:rsidRPr="00247E84">
                        <w:rPr>
                          <w:rFonts w:asciiTheme="majorHAnsi" w:hAnsiTheme="majorHAnsi" w:cs="Arial"/>
                          <w:b/>
                          <w:bCs/>
                          <w:color w:val="0D0D0D" w:themeColor="text1" w:themeTint="F2"/>
                          <w:sz w:val="36"/>
                          <w:szCs w:val="22"/>
                          <w:lang w:val="pt-BR"/>
                        </w:rPr>
                        <w:t xml:space="preserve"> </w:t>
                      </w:r>
                      <w:r w:rsidR="00DE290F">
                        <w:rPr>
                          <w:rFonts w:asciiTheme="majorHAnsi" w:hAnsiTheme="majorHAnsi" w:cs="Arial"/>
                          <w:b/>
                          <w:bCs/>
                          <w:color w:val="0D0D0D" w:themeColor="text1" w:themeTint="F2"/>
                          <w:sz w:val="36"/>
                          <w:szCs w:val="22"/>
                          <w:lang w:val="pt-BR"/>
                        </w:rPr>
                        <w:t>242</w:t>
                      </w:r>
                      <w:r w:rsidR="007B05C4" w:rsidRPr="00247E84">
                        <w:rPr>
                          <w:rFonts w:asciiTheme="majorHAnsi" w:hAnsiTheme="majorHAnsi" w:cs="Arial"/>
                          <w:b/>
                          <w:bCs/>
                          <w:color w:val="0D0D0D" w:themeColor="text1" w:themeTint="F2"/>
                          <w:sz w:val="36"/>
                          <w:szCs w:val="22"/>
                          <w:lang w:val="pt-BR"/>
                        </w:rPr>
                        <w:t>/</w:t>
                      </w:r>
                      <w:r w:rsidR="00AF1AF9" w:rsidRPr="00247E84">
                        <w:rPr>
                          <w:rFonts w:asciiTheme="majorHAnsi" w:hAnsiTheme="majorHAnsi" w:cs="Arial"/>
                          <w:b/>
                          <w:bCs/>
                          <w:color w:val="0D0D0D" w:themeColor="text1" w:themeTint="F2"/>
                          <w:sz w:val="36"/>
                          <w:szCs w:val="22"/>
                          <w:lang w:val="pt-BR"/>
                        </w:rPr>
                        <w:t>2</w:t>
                      </w:r>
                      <w:r w:rsidR="00C17796" w:rsidRPr="00247E84">
                        <w:rPr>
                          <w:rFonts w:asciiTheme="majorHAnsi" w:hAnsiTheme="majorHAnsi" w:cs="Arial"/>
                          <w:b/>
                          <w:bCs/>
                          <w:color w:val="0D0D0D" w:themeColor="text1" w:themeTint="F2"/>
                          <w:sz w:val="36"/>
                          <w:szCs w:val="22"/>
                          <w:lang w:val="pt-BR"/>
                        </w:rPr>
                        <w:t>3</w:t>
                      </w:r>
                    </w:p>
                    <w:p w14:paraId="45F30ECA" w14:textId="0568654C" w:rsidR="007B05C4" w:rsidRPr="00827EAA" w:rsidRDefault="005B52B0" w:rsidP="00997BC5">
                      <w:pPr>
                        <w:spacing w:line="276" w:lineRule="auto"/>
                        <w:rPr>
                          <w:rFonts w:asciiTheme="majorHAnsi" w:hAnsiTheme="majorHAnsi" w:cs="Arial"/>
                          <w:b/>
                          <w:color w:val="0D0D0D" w:themeColor="text1" w:themeTint="F2"/>
                          <w:sz w:val="36"/>
                          <w:szCs w:val="22"/>
                          <w:lang w:val="pt-BR"/>
                        </w:rPr>
                      </w:pPr>
                      <w:r w:rsidRPr="00827EAA">
                        <w:rPr>
                          <w:rFonts w:asciiTheme="majorHAnsi" w:hAnsiTheme="majorHAnsi" w:cs="Arial"/>
                          <w:b/>
                          <w:color w:val="0D0D0D" w:themeColor="text1" w:themeTint="F2"/>
                          <w:sz w:val="36"/>
                          <w:szCs w:val="22"/>
                          <w:lang w:val="pt-BR"/>
                        </w:rPr>
                        <w:t>PETI</w:t>
                      </w:r>
                      <w:r w:rsidR="00827EAA" w:rsidRPr="00827EAA">
                        <w:rPr>
                          <w:rFonts w:asciiTheme="majorHAnsi" w:hAnsiTheme="majorHAnsi" w:cs="Arial"/>
                          <w:b/>
                          <w:color w:val="0D0D0D" w:themeColor="text1" w:themeTint="F2"/>
                          <w:sz w:val="36"/>
                          <w:szCs w:val="22"/>
                          <w:lang w:val="pt-BR"/>
                        </w:rPr>
                        <w:t>ÇÃO</w:t>
                      </w:r>
                      <w:r w:rsidRPr="00827EAA">
                        <w:rPr>
                          <w:rFonts w:asciiTheme="majorHAnsi" w:hAnsiTheme="majorHAnsi" w:cs="Arial"/>
                          <w:b/>
                          <w:color w:val="0D0D0D" w:themeColor="text1" w:themeTint="F2"/>
                          <w:sz w:val="36"/>
                          <w:szCs w:val="22"/>
                          <w:lang w:val="pt-BR"/>
                        </w:rPr>
                        <w:t xml:space="preserve"> </w:t>
                      </w:r>
                      <w:r w:rsidR="006671BB" w:rsidRPr="00827EAA">
                        <w:rPr>
                          <w:rFonts w:asciiTheme="majorHAnsi" w:hAnsiTheme="majorHAnsi" w:cs="Arial"/>
                          <w:b/>
                          <w:color w:val="0D0D0D" w:themeColor="text1" w:themeTint="F2"/>
                          <w:sz w:val="36"/>
                          <w:szCs w:val="22"/>
                          <w:lang w:val="pt-BR"/>
                        </w:rPr>
                        <w:t>1459-12</w:t>
                      </w:r>
                    </w:p>
                    <w:p w14:paraId="188B4303" w14:textId="76A791A4" w:rsidR="00CD046C" w:rsidRPr="00827EAA" w:rsidRDefault="00827EAA" w:rsidP="00997BC5">
                      <w:pPr>
                        <w:spacing w:line="276" w:lineRule="auto"/>
                        <w:rPr>
                          <w:rFonts w:asciiTheme="majorHAnsi" w:hAnsiTheme="majorHAnsi" w:cs="Arial"/>
                          <w:color w:val="0D0D0D" w:themeColor="text1" w:themeTint="F2"/>
                          <w:szCs w:val="22"/>
                          <w:lang w:val="pt-BR"/>
                        </w:rPr>
                      </w:pPr>
                      <w:r w:rsidRPr="00827EAA">
                        <w:rPr>
                          <w:rFonts w:asciiTheme="majorHAnsi" w:hAnsiTheme="majorHAnsi" w:cs="Arial"/>
                          <w:color w:val="0D0D0D" w:themeColor="text1" w:themeTint="F2"/>
                          <w:szCs w:val="22"/>
                          <w:lang w:val="pt-BR"/>
                        </w:rPr>
                        <w:t>RELATÓRIO</w:t>
                      </w:r>
                      <w:r w:rsidR="005B52B0" w:rsidRPr="00827EAA">
                        <w:rPr>
                          <w:rFonts w:asciiTheme="majorHAnsi" w:hAnsiTheme="majorHAnsi" w:cs="Arial"/>
                          <w:color w:val="0D0D0D" w:themeColor="text1" w:themeTint="F2"/>
                          <w:szCs w:val="22"/>
                          <w:lang w:val="pt-BR"/>
                        </w:rPr>
                        <w:t xml:space="preserve"> DE </w:t>
                      </w:r>
                      <w:r w:rsidR="00BF6E78" w:rsidRPr="00827EAA">
                        <w:rPr>
                          <w:rFonts w:asciiTheme="majorHAnsi" w:hAnsiTheme="majorHAnsi" w:cs="Arial"/>
                          <w:color w:val="0D0D0D" w:themeColor="text1" w:themeTint="F2"/>
                          <w:szCs w:val="22"/>
                          <w:lang w:val="pt-BR"/>
                        </w:rPr>
                        <w:t>IN</w:t>
                      </w:r>
                      <w:r w:rsidR="005B52B0" w:rsidRPr="00827EAA">
                        <w:rPr>
                          <w:rFonts w:asciiTheme="majorHAnsi" w:hAnsiTheme="majorHAnsi" w:cs="Arial"/>
                          <w:color w:val="0D0D0D" w:themeColor="text1" w:themeTint="F2"/>
                          <w:szCs w:val="22"/>
                          <w:lang w:val="pt-BR"/>
                        </w:rPr>
                        <w:t>ADMIS</w:t>
                      </w:r>
                      <w:r w:rsidRPr="00827EAA">
                        <w:rPr>
                          <w:rFonts w:asciiTheme="majorHAnsi" w:hAnsiTheme="majorHAnsi" w:cs="Arial"/>
                          <w:color w:val="0D0D0D" w:themeColor="text1" w:themeTint="F2"/>
                          <w:szCs w:val="22"/>
                          <w:lang w:val="pt-BR"/>
                        </w:rPr>
                        <w:t>S</w:t>
                      </w:r>
                      <w:r w:rsidR="005B52B0" w:rsidRPr="00827EAA">
                        <w:rPr>
                          <w:rFonts w:asciiTheme="majorHAnsi" w:hAnsiTheme="majorHAnsi" w:cs="Arial"/>
                          <w:color w:val="0D0D0D" w:themeColor="text1" w:themeTint="F2"/>
                          <w:szCs w:val="22"/>
                          <w:lang w:val="pt-BR"/>
                        </w:rPr>
                        <w:t>IBILIDAD</w:t>
                      </w:r>
                      <w:r w:rsidRPr="00827EAA">
                        <w:rPr>
                          <w:rFonts w:asciiTheme="majorHAnsi" w:hAnsiTheme="majorHAnsi" w:cs="Arial"/>
                          <w:color w:val="0D0D0D" w:themeColor="text1" w:themeTint="F2"/>
                          <w:szCs w:val="22"/>
                          <w:lang w:val="pt-BR"/>
                        </w:rPr>
                        <w:t>E</w:t>
                      </w:r>
                      <w:r w:rsidR="00F519CF" w:rsidRPr="00827EAA">
                        <w:rPr>
                          <w:rFonts w:asciiTheme="majorHAnsi" w:hAnsiTheme="majorHAnsi" w:cs="Arial"/>
                          <w:color w:val="0D0D0D" w:themeColor="text1" w:themeTint="F2"/>
                          <w:szCs w:val="22"/>
                          <w:lang w:val="pt-BR"/>
                        </w:rPr>
                        <w:t xml:space="preserve"> </w:t>
                      </w:r>
                    </w:p>
                    <w:p w14:paraId="31968596" w14:textId="77777777" w:rsidR="008F1912" w:rsidRPr="00827EAA"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0B9F7D22" w14:textId="1B355F57" w:rsidR="005B52B0" w:rsidRPr="00247E84" w:rsidRDefault="006671BB" w:rsidP="007A5817">
                      <w:pPr>
                        <w:rPr>
                          <w:rFonts w:asciiTheme="majorHAnsi" w:hAnsiTheme="majorHAnsi" w:cs="Arial"/>
                          <w:color w:val="0D0D0D" w:themeColor="text1" w:themeTint="F2"/>
                          <w:szCs w:val="22"/>
                        </w:rPr>
                      </w:pPr>
                      <w:r w:rsidRPr="00247E84">
                        <w:rPr>
                          <w:rFonts w:asciiTheme="majorHAnsi" w:hAnsiTheme="majorHAnsi" w:cs="Arial"/>
                          <w:color w:val="0D0D0D" w:themeColor="text1" w:themeTint="F2"/>
                          <w:szCs w:val="22"/>
                        </w:rPr>
                        <w:t>WOLF GRUENBERG</w:t>
                      </w:r>
                      <w:r w:rsidR="00116812" w:rsidRPr="00247E84">
                        <w:rPr>
                          <w:rFonts w:asciiTheme="majorHAnsi" w:hAnsiTheme="majorHAnsi" w:cs="Arial"/>
                          <w:color w:val="0D0D0D" w:themeColor="text1" w:themeTint="F2"/>
                          <w:szCs w:val="22"/>
                        </w:rPr>
                        <w:t xml:space="preserve"> </w:t>
                      </w:r>
                      <w:r w:rsidR="00827EAA" w:rsidRPr="00247E84">
                        <w:rPr>
                          <w:rFonts w:asciiTheme="majorHAnsi" w:hAnsiTheme="majorHAnsi" w:cs="Arial"/>
                          <w:color w:val="0D0D0D" w:themeColor="text1" w:themeTint="F2"/>
                          <w:szCs w:val="22"/>
                        </w:rPr>
                        <w:t>E</w:t>
                      </w:r>
                      <w:r w:rsidRPr="00247E84">
                        <w:rPr>
                          <w:rFonts w:asciiTheme="majorHAnsi" w:hAnsiTheme="majorHAnsi" w:cs="Arial"/>
                          <w:color w:val="0D0D0D" w:themeColor="text1" w:themeTint="F2"/>
                          <w:szCs w:val="22"/>
                        </w:rPr>
                        <w:t xml:space="preserve"> BETTY GUENDLER GRUENBERG </w:t>
                      </w:r>
                    </w:p>
                    <w:p w14:paraId="7F6EC113" w14:textId="124B60F3" w:rsidR="006671BB" w:rsidRPr="006671BB" w:rsidRDefault="006671BB" w:rsidP="007A5817">
                      <w:pPr>
                        <w:rPr>
                          <w:color w:val="0D0D0D" w:themeColor="text1" w:themeTint="F2"/>
                        </w:rPr>
                      </w:pPr>
                      <w:r>
                        <w:rPr>
                          <w:rFonts w:asciiTheme="majorHAnsi" w:hAnsiTheme="majorHAnsi" w:cs="Arial"/>
                          <w:color w:val="0D0D0D" w:themeColor="text1" w:themeTint="F2"/>
                          <w:szCs w:val="22"/>
                        </w:rPr>
                        <w:t>BRASIL</w:t>
                      </w:r>
                    </w:p>
                  </w:txbxContent>
                </v:textbox>
              </v:shape>
            </w:pict>
          </mc:Fallback>
        </mc:AlternateContent>
      </w:r>
      <w:r w:rsidR="004E2649" w:rsidRPr="00D64156">
        <w:rPr>
          <w:rFonts w:asciiTheme="majorHAnsi" w:hAnsiTheme="majorHAnsi"/>
          <w:noProof/>
          <w:sz w:val="22"/>
          <w:szCs w:val="22"/>
          <w:lang w:val="pt-BR"/>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93591EA" w:rsidR="00627C9F" w:rsidRPr="00126179" w:rsidRDefault="00834D49" w:rsidP="007A5817">
                            <w:pPr>
                              <w:spacing w:line="276" w:lineRule="auto"/>
                              <w:jc w:val="right"/>
                              <w:rPr>
                                <w:rFonts w:asciiTheme="minorHAnsi" w:hAnsiTheme="minorHAnsi"/>
                                <w:sz w:val="22"/>
                                <w:lang w:val="pt-BR"/>
                              </w:rPr>
                            </w:pPr>
                            <w:r w:rsidRPr="00126179">
                              <w:rPr>
                                <w:rFonts w:asciiTheme="minorHAnsi" w:hAnsiTheme="minorHAnsi"/>
                                <w:sz w:val="22"/>
                                <w:lang w:val="pt-BR"/>
                              </w:rPr>
                              <w:t>OEA/Ser.L/V/II</w:t>
                            </w:r>
                          </w:p>
                          <w:p w14:paraId="71D2D5D2" w14:textId="1CECC008" w:rsidR="00627C9F" w:rsidRPr="00126179" w:rsidRDefault="00627C9F" w:rsidP="007A5817">
                            <w:pPr>
                              <w:spacing w:line="276" w:lineRule="auto"/>
                              <w:jc w:val="right"/>
                              <w:rPr>
                                <w:rFonts w:asciiTheme="minorHAnsi" w:hAnsiTheme="minorHAnsi"/>
                                <w:sz w:val="22"/>
                                <w:lang w:val="pt-BR"/>
                              </w:rPr>
                            </w:pPr>
                            <w:r w:rsidRPr="00126179">
                              <w:rPr>
                                <w:rFonts w:asciiTheme="minorHAnsi" w:hAnsiTheme="minorHAnsi"/>
                                <w:sz w:val="22"/>
                                <w:lang w:val="pt-BR"/>
                              </w:rPr>
                              <w:t xml:space="preserve">Doc. </w:t>
                            </w:r>
                            <w:r w:rsidR="004211B3">
                              <w:rPr>
                                <w:rFonts w:asciiTheme="minorHAnsi" w:hAnsiTheme="minorHAnsi"/>
                                <w:sz w:val="22"/>
                                <w:lang w:val="pt-BR"/>
                              </w:rPr>
                              <w:t>261</w:t>
                            </w:r>
                          </w:p>
                          <w:p w14:paraId="4061DBBD" w14:textId="0A12A3E9" w:rsidR="00627C9F" w:rsidRPr="00126179" w:rsidRDefault="00B148A4" w:rsidP="007A5817">
                            <w:pPr>
                              <w:spacing w:line="276" w:lineRule="auto"/>
                              <w:jc w:val="right"/>
                              <w:rPr>
                                <w:rFonts w:asciiTheme="minorHAnsi" w:hAnsiTheme="minorHAnsi"/>
                                <w:sz w:val="22"/>
                                <w:lang w:val="pt-BR"/>
                              </w:rPr>
                            </w:pPr>
                            <w:r>
                              <w:rPr>
                                <w:rFonts w:asciiTheme="minorHAnsi" w:hAnsiTheme="minorHAnsi"/>
                                <w:sz w:val="22"/>
                                <w:lang w:val="pt-BR"/>
                              </w:rPr>
                              <w:t>23 setembro</w:t>
                            </w:r>
                            <w:r w:rsidR="008C6385" w:rsidRPr="00126179">
                              <w:rPr>
                                <w:rFonts w:asciiTheme="minorHAnsi" w:hAnsiTheme="minorHAnsi"/>
                                <w:sz w:val="22"/>
                                <w:lang w:val="pt-BR"/>
                              </w:rPr>
                              <w:t xml:space="preserve"> </w:t>
                            </w:r>
                            <w:r w:rsidR="00627C9F" w:rsidRPr="00126179">
                              <w:rPr>
                                <w:rFonts w:asciiTheme="minorHAnsi" w:hAnsiTheme="minorHAnsi"/>
                                <w:sz w:val="22"/>
                                <w:lang w:val="pt-BR"/>
                              </w:rPr>
                              <w:t>20</w:t>
                            </w:r>
                            <w:r w:rsidR="00C23BA4" w:rsidRPr="00126179">
                              <w:rPr>
                                <w:rFonts w:asciiTheme="minorHAnsi" w:hAnsiTheme="minorHAnsi"/>
                                <w:sz w:val="22"/>
                                <w:lang w:val="pt-BR"/>
                              </w:rPr>
                              <w:t>2</w:t>
                            </w:r>
                            <w:r w:rsidR="00C17796" w:rsidRPr="00126179">
                              <w:rPr>
                                <w:rFonts w:asciiTheme="minorHAnsi" w:hAnsiTheme="minorHAnsi"/>
                                <w:sz w:val="22"/>
                                <w:lang w:val="pt-BR"/>
                              </w:rPr>
                              <w:t>3</w:t>
                            </w:r>
                          </w:p>
                          <w:p w14:paraId="0537C4A5" w14:textId="352CAFBE" w:rsidR="00627C9F" w:rsidRPr="00126179" w:rsidRDefault="00E0340B" w:rsidP="007A5817">
                            <w:pPr>
                              <w:spacing w:line="276" w:lineRule="auto"/>
                              <w:jc w:val="right"/>
                              <w:rPr>
                                <w:rFonts w:asciiTheme="minorHAnsi" w:hAnsiTheme="minorHAnsi"/>
                                <w:sz w:val="22"/>
                                <w:lang w:val="pt-BR"/>
                              </w:rPr>
                            </w:pPr>
                            <w:r w:rsidRPr="00126179">
                              <w:rPr>
                                <w:rFonts w:asciiTheme="minorHAnsi" w:hAnsiTheme="minorHAnsi"/>
                                <w:sz w:val="22"/>
                                <w:lang w:val="pt-BR"/>
                              </w:rPr>
                              <w:t xml:space="preserve">Original: </w:t>
                            </w:r>
                            <w:r w:rsidR="00974B1B" w:rsidRPr="00126179">
                              <w:rPr>
                                <w:rFonts w:asciiTheme="minorHAnsi" w:hAnsiTheme="minorHAnsi"/>
                                <w:sz w:val="22"/>
                                <w:lang w:val="pt-BR"/>
                              </w:rPr>
                              <w:t>portugu</w:t>
                            </w:r>
                            <w:r w:rsidR="00827EAA" w:rsidRPr="00126179">
                              <w:rPr>
                                <w:rFonts w:asciiTheme="minorHAnsi" w:hAnsiTheme="minorHAnsi"/>
                                <w:sz w:val="22"/>
                                <w:lang w:val="pt-BR"/>
                              </w:rPr>
                              <w:t>ê</w:t>
                            </w:r>
                            <w:r w:rsidR="00974B1B" w:rsidRPr="00126179">
                              <w:rPr>
                                <w:rFonts w:asciiTheme="minorHAnsi" w:hAnsiTheme="minorHAnsi"/>
                                <w:sz w:val="22"/>
                                <w:lang w:val="pt-BR"/>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93591EA" w:rsidR="00627C9F" w:rsidRPr="00126179" w:rsidRDefault="00834D49" w:rsidP="007A5817">
                      <w:pPr>
                        <w:spacing w:line="276" w:lineRule="auto"/>
                        <w:jc w:val="right"/>
                        <w:rPr>
                          <w:rFonts w:asciiTheme="minorHAnsi" w:hAnsiTheme="minorHAnsi"/>
                          <w:sz w:val="22"/>
                          <w:lang w:val="pt-BR"/>
                        </w:rPr>
                      </w:pPr>
                      <w:r w:rsidRPr="00126179">
                        <w:rPr>
                          <w:rFonts w:asciiTheme="minorHAnsi" w:hAnsiTheme="minorHAnsi"/>
                          <w:sz w:val="22"/>
                          <w:lang w:val="pt-BR"/>
                        </w:rPr>
                        <w:t>OEA/Ser.L/V/II</w:t>
                      </w:r>
                    </w:p>
                    <w:p w14:paraId="71D2D5D2" w14:textId="1CECC008" w:rsidR="00627C9F" w:rsidRPr="00126179" w:rsidRDefault="00627C9F" w:rsidP="007A5817">
                      <w:pPr>
                        <w:spacing w:line="276" w:lineRule="auto"/>
                        <w:jc w:val="right"/>
                        <w:rPr>
                          <w:rFonts w:asciiTheme="minorHAnsi" w:hAnsiTheme="minorHAnsi"/>
                          <w:sz w:val="22"/>
                          <w:lang w:val="pt-BR"/>
                        </w:rPr>
                      </w:pPr>
                      <w:r w:rsidRPr="00126179">
                        <w:rPr>
                          <w:rFonts w:asciiTheme="minorHAnsi" w:hAnsiTheme="minorHAnsi"/>
                          <w:sz w:val="22"/>
                          <w:lang w:val="pt-BR"/>
                        </w:rPr>
                        <w:t xml:space="preserve">Doc. </w:t>
                      </w:r>
                      <w:r w:rsidR="004211B3">
                        <w:rPr>
                          <w:rFonts w:asciiTheme="minorHAnsi" w:hAnsiTheme="minorHAnsi"/>
                          <w:sz w:val="22"/>
                          <w:lang w:val="pt-BR"/>
                        </w:rPr>
                        <w:t>261</w:t>
                      </w:r>
                    </w:p>
                    <w:p w14:paraId="4061DBBD" w14:textId="0A12A3E9" w:rsidR="00627C9F" w:rsidRPr="00126179" w:rsidRDefault="00B148A4" w:rsidP="007A5817">
                      <w:pPr>
                        <w:spacing w:line="276" w:lineRule="auto"/>
                        <w:jc w:val="right"/>
                        <w:rPr>
                          <w:rFonts w:asciiTheme="minorHAnsi" w:hAnsiTheme="minorHAnsi"/>
                          <w:sz w:val="22"/>
                          <w:lang w:val="pt-BR"/>
                        </w:rPr>
                      </w:pPr>
                      <w:r>
                        <w:rPr>
                          <w:rFonts w:asciiTheme="minorHAnsi" w:hAnsiTheme="minorHAnsi"/>
                          <w:sz w:val="22"/>
                          <w:lang w:val="pt-BR"/>
                        </w:rPr>
                        <w:t>23 setembro</w:t>
                      </w:r>
                      <w:r w:rsidR="008C6385" w:rsidRPr="00126179">
                        <w:rPr>
                          <w:rFonts w:asciiTheme="minorHAnsi" w:hAnsiTheme="minorHAnsi"/>
                          <w:sz w:val="22"/>
                          <w:lang w:val="pt-BR"/>
                        </w:rPr>
                        <w:t xml:space="preserve"> </w:t>
                      </w:r>
                      <w:r w:rsidR="00627C9F" w:rsidRPr="00126179">
                        <w:rPr>
                          <w:rFonts w:asciiTheme="minorHAnsi" w:hAnsiTheme="minorHAnsi"/>
                          <w:sz w:val="22"/>
                          <w:lang w:val="pt-BR"/>
                        </w:rPr>
                        <w:t>20</w:t>
                      </w:r>
                      <w:r w:rsidR="00C23BA4" w:rsidRPr="00126179">
                        <w:rPr>
                          <w:rFonts w:asciiTheme="minorHAnsi" w:hAnsiTheme="minorHAnsi"/>
                          <w:sz w:val="22"/>
                          <w:lang w:val="pt-BR"/>
                        </w:rPr>
                        <w:t>2</w:t>
                      </w:r>
                      <w:r w:rsidR="00C17796" w:rsidRPr="00126179">
                        <w:rPr>
                          <w:rFonts w:asciiTheme="minorHAnsi" w:hAnsiTheme="minorHAnsi"/>
                          <w:sz w:val="22"/>
                          <w:lang w:val="pt-BR"/>
                        </w:rPr>
                        <w:t>3</w:t>
                      </w:r>
                    </w:p>
                    <w:p w14:paraId="0537C4A5" w14:textId="352CAFBE" w:rsidR="00627C9F" w:rsidRPr="00126179" w:rsidRDefault="00E0340B" w:rsidP="007A5817">
                      <w:pPr>
                        <w:spacing w:line="276" w:lineRule="auto"/>
                        <w:jc w:val="right"/>
                        <w:rPr>
                          <w:rFonts w:asciiTheme="minorHAnsi" w:hAnsiTheme="minorHAnsi"/>
                          <w:sz w:val="22"/>
                          <w:lang w:val="pt-BR"/>
                        </w:rPr>
                      </w:pPr>
                      <w:r w:rsidRPr="00126179">
                        <w:rPr>
                          <w:rFonts w:asciiTheme="minorHAnsi" w:hAnsiTheme="minorHAnsi"/>
                          <w:sz w:val="22"/>
                          <w:lang w:val="pt-BR"/>
                        </w:rPr>
                        <w:t xml:space="preserve">Original: </w:t>
                      </w:r>
                      <w:r w:rsidR="00974B1B" w:rsidRPr="00126179">
                        <w:rPr>
                          <w:rFonts w:asciiTheme="minorHAnsi" w:hAnsiTheme="minorHAnsi"/>
                          <w:sz w:val="22"/>
                          <w:lang w:val="pt-BR"/>
                        </w:rPr>
                        <w:t>portugu</w:t>
                      </w:r>
                      <w:r w:rsidR="00827EAA" w:rsidRPr="00126179">
                        <w:rPr>
                          <w:rFonts w:asciiTheme="minorHAnsi" w:hAnsiTheme="minorHAnsi"/>
                          <w:sz w:val="22"/>
                          <w:lang w:val="pt-BR"/>
                        </w:rPr>
                        <w:t>ê</w:t>
                      </w:r>
                      <w:r w:rsidR="00974B1B" w:rsidRPr="00126179">
                        <w:rPr>
                          <w:rFonts w:asciiTheme="minorHAnsi" w:hAnsiTheme="minorHAnsi"/>
                          <w:sz w:val="22"/>
                          <w:lang w:val="pt-BR"/>
                        </w:rPr>
                        <w:t>s</w:t>
                      </w:r>
                    </w:p>
                  </w:txbxContent>
                </v:textbox>
              </v:shape>
            </w:pict>
          </mc:Fallback>
        </mc:AlternateContent>
      </w:r>
    </w:p>
    <w:p w14:paraId="05E23869"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529AB783"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147F033C" w14:textId="77777777" w:rsidR="00040C3A" w:rsidRPr="00D64156" w:rsidRDefault="00040C3A" w:rsidP="00040C3A">
      <w:pPr>
        <w:tabs>
          <w:tab w:val="center" w:pos="5400"/>
        </w:tabs>
        <w:suppressAutoHyphens/>
        <w:jc w:val="center"/>
        <w:rPr>
          <w:rFonts w:asciiTheme="majorHAnsi" w:hAnsiTheme="majorHAnsi" w:cs="Arial"/>
          <w:sz w:val="22"/>
          <w:szCs w:val="22"/>
          <w:lang w:val="pt-BR"/>
        </w:rPr>
      </w:pPr>
    </w:p>
    <w:p w14:paraId="67ABD981"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46C4195B"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6C0D9CAF"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6140E39A"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116878DE" w14:textId="77777777" w:rsidR="005128E4" w:rsidRPr="00D64156" w:rsidRDefault="005128E4" w:rsidP="00040C3A">
      <w:pPr>
        <w:tabs>
          <w:tab w:val="center" w:pos="5400"/>
        </w:tabs>
        <w:suppressAutoHyphens/>
        <w:jc w:val="center"/>
        <w:rPr>
          <w:rFonts w:asciiTheme="majorHAnsi" w:hAnsiTheme="majorHAnsi"/>
          <w:sz w:val="22"/>
          <w:szCs w:val="22"/>
          <w:lang w:val="pt-BR"/>
        </w:rPr>
      </w:pPr>
    </w:p>
    <w:p w14:paraId="6FF1A208"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23E1EE64" w14:textId="77777777" w:rsidR="005128E4" w:rsidRPr="00D64156" w:rsidRDefault="005128E4" w:rsidP="00040C3A">
      <w:pPr>
        <w:tabs>
          <w:tab w:val="center" w:pos="5400"/>
        </w:tabs>
        <w:suppressAutoHyphens/>
        <w:jc w:val="center"/>
        <w:rPr>
          <w:rFonts w:asciiTheme="majorHAnsi" w:hAnsiTheme="majorHAnsi"/>
          <w:sz w:val="22"/>
          <w:szCs w:val="22"/>
          <w:lang w:val="pt-BR"/>
        </w:rPr>
      </w:pPr>
    </w:p>
    <w:p w14:paraId="2D8331F2" w14:textId="77777777" w:rsidR="005128E4" w:rsidRPr="00D64156" w:rsidRDefault="005128E4" w:rsidP="00040C3A">
      <w:pPr>
        <w:tabs>
          <w:tab w:val="center" w:pos="5400"/>
        </w:tabs>
        <w:suppressAutoHyphens/>
        <w:jc w:val="center"/>
        <w:rPr>
          <w:rFonts w:asciiTheme="majorHAnsi" w:hAnsiTheme="majorHAnsi"/>
          <w:sz w:val="22"/>
          <w:szCs w:val="22"/>
          <w:lang w:val="pt-BR"/>
        </w:rPr>
      </w:pPr>
    </w:p>
    <w:p w14:paraId="1D1FCC8F" w14:textId="77777777" w:rsidR="005128E4" w:rsidRPr="00D64156" w:rsidRDefault="005128E4" w:rsidP="00040C3A">
      <w:pPr>
        <w:tabs>
          <w:tab w:val="center" w:pos="5400"/>
        </w:tabs>
        <w:suppressAutoHyphens/>
        <w:jc w:val="center"/>
        <w:rPr>
          <w:rFonts w:asciiTheme="majorHAnsi" w:hAnsiTheme="majorHAnsi"/>
          <w:sz w:val="22"/>
          <w:szCs w:val="22"/>
          <w:lang w:val="pt-BR"/>
        </w:rPr>
      </w:pPr>
    </w:p>
    <w:p w14:paraId="67F753E7"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165AA979" w14:textId="77777777" w:rsidR="00040C3A" w:rsidRPr="00D64156" w:rsidRDefault="00040C3A" w:rsidP="00040C3A">
      <w:pPr>
        <w:tabs>
          <w:tab w:val="center" w:pos="5400"/>
        </w:tabs>
        <w:suppressAutoHyphens/>
        <w:jc w:val="center"/>
        <w:rPr>
          <w:rFonts w:asciiTheme="majorHAnsi" w:hAnsiTheme="majorHAnsi"/>
          <w:sz w:val="22"/>
          <w:szCs w:val="22"/>
          <w:lang w:val="pt-BR"/>
        </w:rPr>
      </w:pPr>
    </w:p>
    <w:p w14:paraId="2F2457A8"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20439390"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5B80B262"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734846D8"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36D2C63A"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4F0B7F5A"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07218933"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2C99136A"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078A9198"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6A001DA7"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217E7AAB"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0C34B449"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5CF516E8"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417C9993"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641C6754" w14:textId="77777777" w:rsidR="00A50FCF" w:rsidRPr="00D64156" w:rsidRDefault="0090270B" w:rsidP="00040C3A">
      <w:pPr>
        <w:tabs>
          <w:tab w:val="center" w:pos="5400"/>
        </w:tabs>
        <w:suppressAutoHyphens/>
        <w:jc w:val="center"/>
        <w:rPr>
          <w:rFonts w:asciiTheme="majorHAnsi" w:hAnsiTheme="majorHAnsi"/>
          <w:sz w:val="18"/>
          <w:szCs w:val="22"/>
          <w:lang w:val="pt-BR"/>
        </w:rPr>
      </w:pPr>
      <w:r w:rsidRPr="00D64156">
        <w:rPr>
          <w:rFonts w:asciiTheme="majorHAnsi" w:hAnsiTheme="majorHAnsi"/>
          <w:noProof/>
          <w:sz w:val="22"/>
          <w:szCs w:val="22"/>
          <w:lang w:val="pt-BR"/>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B1FE35F" w:rsidR="00DD3D86" w:rsidRPr="00827EAA"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827EAA">
                              <w:rPr>
                                <w:rFonts w:asciiTheme="majorHAnsi" w:hAnsiTheme="majorHAnsi"/>
                                <w:color w:val="0D0D0D" w:themeColor="text1" w:themeTint="F2"/>
                                <w:sz w:val="18"/>
                                <w:szCs w:val="22"/>
                                <w:lang w:val="pt-BR"/>
                              </w:rPr>
                              <w:t>Apro</w:t>
                            </w:r>
                            <w:r w:rsidR="00827EAA">
                              <w:rPr>
                                <w:rFonts w:asciiTheme="majorHAnsi" w:hAnsiTheme="majorHAnsi"/>
                                <w:color w:val="0D0D0D" w:themeColor="text1" w:themeTint="F2"/>
                                <w:sz w:val="18"/>
                                <w:szCs w:val="22"/>
                                <w:lang w:val="pt-BR"/>
                              </w:rPr>
                              <w:t>v</w:t>
                            </w:r>
                            <w:r w:rsidRPr="00827EAA">
                              <w:rPr>
                                <w:rFonts w:asciiTheme="majorHAnsi" w:hAnsiTheme="majorHAnsi"/>
                                <w:color w:val="0D0D0D" w:themeColor="text1" w:themeTint="F2"/>
                                <w:sz w:val="18"/>
                                <w:szCs w:val="22"/>
                                <w:lang w:val="pt-BR"/>
                              </w:rPr>
                              <w:t>ado eletr</w:t>
                            </w:r>
                            <w:r w:rsidR="00827EAA" w:rsidRPr="00827EAA">
                              <w:rPr>
                                <w:rFonts w:asciiTheme="majorHAnsi" w:hAnsiTheme="majorHAnsi"/>
                                <w:color w:val="0D0D0D" w:themeColor="text1" w:themeTint="F2"/>
                                <w:sz w:val="18"/>
                                <w:szCs w:val="22"/>
                                <w:lang w:val="pt-BR"/>
                              </w:rPr>
                              <w:t>o</w:t>
                            </w:r>
                            <w:r w:rsidRPr="00827EAA">
                              <w:rPr>
                                <w:rFonts w:asciiTheme="majorHAnsi" w:hAnsiTheme="majorHAnsi"/>
                                <w:color w:val="0D0D0D" w:themeColor="text1" w:themeTint="F2"/>
                                <w:sz w:val="18"/>
                                <w:szCs w:val="22"/>
                                <w:lang w:val="pt-BR"/>
                              </w:rPr>
                              <w:t>nicamente p</w:t>
                            </w:r>
                            <w:r w:rsidR="00827EAA" w:rsidRPr="00827EAA">
                              <w:rPr>
                                <w:rFonts w:asciiTheme="majorHAnsi" w:hAnsiTheme="majorHAnsi"/>
                                <w:color w:val="0D0D0D" w:themeColor="text1" w:themeTint="F2"/>
                                <w:sz w:val="18"/>
                                <w:szCs w:val="22"/>
                                <w:lang w:val="pt-BR"/>
                              </w:rPr>
                              <w:t xml:space="preserve">ela Comissão em </w:t>
                            </w:r>
                            <w:r w:rsidR="0084449F">
                              <w:rPr>
                                <w:rFonts w:asciiTheme="majorHAnsi" w:hAnsiTheme="majorHAnsi"/>
                                <w:color w:val="0D0D0D" w:themeColor="text1" w:themeTint="F2"/>
                                <w:sz w:val="18"/>
                                <w:szCs w:val="22"/>
                                <w:lang w:val="pt-BR"/>
                              </w:rPr>
                              <w:t>23</w:t>
                            </w:r>
                            <w:r w:rsidRPr="00827EAA">
                              <w:rPr>
                                <w:rFonts w:asciiTheme="majorHAnsi" w:hAnsiTheme="majorHAnsi"/>
                                <w:color w:val="0D0D0D" w:themeColor="text1" w:themeTint="F2"/>
                                <w:sz w:val="18"/>
                                <w:szCs w:val="22"/>
                                <w:lang w:val="pt-BR"/>
                              </w:rPr>
                              <w:t xml:space="preserve"> de </w:t>
                            </w:r>
                            <w:r w:rsidR="0084449F">
                              <w:rPr>
                                <w:rFonts w:asciiTheme="majorHAnsi" w:hAnsiTheme="majorHAnsi"/>
                                <w:color w:val="0D0D0D" w:themeColor="text1" w:themeTint="F2"/>
                                <w:sz w:val="18"/>
                                <w:szCs w:val="22"/>
                                <w:lang w:val="pt-BR"/>
                              </w:rPr>
                              <w:t>setembro</w:t>
                            </w:r>
                            <w:r w:rsidR="00F81BB8" w:rsidRPr="00827EAA">
                              <w:rPr>
                                <w:rFonts w:asciiTheme="majorHAnsi" w:hAnsiTheme="majorHAnsi"/>
                                <w:color w:val="0D0D0D" w:themeColor="text1" w:themeTint="F2"/>
                                <w:sz w:val="18"/>
                                <w:szCs w:val="22"/>
                                <w:lang w:val="pt-BR"/>
                              </w:rPr>
                              <w:t xml:space="preserve"> </w:t>
                            </w:r>
                            <w:r w:rsidRPr="00827EAA">
                              <w:rPr>
                                <w:rFonts w:asciiTheme="majorHAnsi" w:hAnsiTheme="majorHAnsi"/>
                                <w:color w:val="0D0D0D" w:themeColor="text1" w:themeTint="F2"/>
                                <w:sz w:val="18"/>
                                <w:szCs w:val="22"/>
                                <w:lang w:val="pt-BR"/>
                              </w:rPr>
                              <w:t>de 20</w:t>
                            </w:r>
                            <w:r w:rsidR="00C23BA4" w:rsidRPr="00827EAA">
                              <w:rPr>
                                <w:rFonts w:asciiTheme="majorHAnsi" w:hAnsiTheme="majorHAnsi"/>
                                <w:color w:val="0D0D0D" w:themeColor="text1" w:themeTint="F2"/>
                                <w:sz w:val="18"/>
                                <w:szCs w:val="22"/>
                                <w:lang w:val="pt-BR"/>
                              </w:rPr>
                              <w:t>2</w:t>
                            </w:r>
                            <w:r w:rsidR="00C17796" w:rsidRPr="00827EAA">
                              <w:rPr>
                                <w:rFonts w:asciiTheme="majorHAnsi" w:hAnsiTheme="majorHAnsi"/>
                                <w:color w:val="0D0D0D" w:themeColor="text1" w:themeTint="F2"/>
                                <w:sz w:val="18"/>
                                <w:szCs w:val="22"/>
                                <w:lang w:val="pt-BR"/>
                              </w:rPr>
                              <w:t>3</w:t>
                            </w:r>
                            <w:r w:rsidR="0084449F">
                              <w:rPr>
                                <w:rFonts w:asciiTheme="majorHAnsi" w:hAnsiTheme="majorHAnsi"/>
                                <w:color w:val="0D0D0D" w:themeColor="text1" w:themeTint="F2"/>
                                <w:sz w:val="18"/>
                                <w:szCs w:val="22"/>
                                <w:lang w:val="pt-BR"/>
                              </w:rPr>
                              <w:t>.</w:t>
                            </w:r>
                          </w:p>
                          <w:p w14:paraId="27EB8538" w14:textId="77777777" w:rsidR="00DD3D86" w:rsidRPr="00827EA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827EA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B1FE35F" w:rsidR="00DD3D86" w:rsidRPr="00827EAA" w:rsidRDefault="00DD3D86" w:rsidP="00DD3D86">
                      <w:pPr>
                        <w:tabs>
                          <w:tab w:val="center" w:pos="5400"/>
                        </w:tabs>
                        <w:suppressAutoHyphens/>
                        <w:spacing w:before="60"/>
                        <w:rPr>
                          <w:rFonts w:asciiTheme="majorHAnsi" w:hAnsiTheme="majorHAnsi"/>
                          <w:color w:val="0D0D0D" w:themeColor="text1" w:themeTint="F2"/>
                          <w:sz w:val="18"/>
                          <w:szCs w:val="22"/>
                          <w:lang w:val="pt-BR"/>
                        </w:rPr>
                      </w:pPr>
                      <w:r w:rsidRPr="00827EAA">
                        <w:rPr>
                          <w:rFonts w:asciiTheme="majorHAnsi" w:hAnsiTheme="majorHAnsi"/>
                          <w:color w:val="0D0D0D" w:themeColor="text1" w:themeTint="F2"/>
                          <w:sz w:val="18"/>
                          <w:szCs w:val="22"/>
                          <w:lang w:val="pt-BR"/>
                        </w:rPr>
                        <w:t>Apro</w:t>
                      </w:r>
                      <w:r w:rsidR="00827EAA">
                        <w:rPr>
                          <w:rFonts w:asciiTheme="majorHAnsi" w:hAnsiTheme="majorHAnsi"/>
                          <w:color w:val="0D0D0D" w:themeColor="text1" w:themeTint="F2"/>
                          <w:sz w:val="18"/>
                          <w:szCs w:val="22"/>
                          <w:lang w:val="pt-BR"/>
                        </w:rPr>
                        <w:t>v</w:t>
                      </w:r>
                      <w:r w:rsidRPr="00827EAA">
                        <w:rPr>
                          <w:rFonts w:asciiTheme="majorHAnsi" w:hAnsiTheme="majorHAnsi"/>
                          <w:color w:val="0D0D0D" w:themeColor="text1" w:themeTint="F2"/>
                          <w:sz w:val="18"/>
                          <w:szCs w:val="22"/>
                          <w:lang w:val="pt-BR"/>
                        </w:rPr>
                        <w:t>ado eletr</w:t>
                      </w:r>
                      <w:r w:rsidR="00827EAA" w:rsidRPr="00827EAA">
                        <w:rPr>
                          <w:rFonts w:asciiTheme="majorHAnsi" w:hAnsiTheme="majorHAnsi"/>
                          <w:color w:val="0D0D0D" w:themeColor="text1" w:themeTint="F2"/>
                          <w:sz w:val="18"/>
                          <w:szCs w:val="22"/>
                          <w:lang w:val="pt-BR"/>
                        </w:rPr>
                        <w:t>o</w:t>
                      </w:r>
                      <w:r w:rsidRPr="00827EAA">
                        <w:rPr>
                          <w:rFonts w:asciiTheme="majorHAnsi" w:hAnsiTheme="majorHAnsi"/>
                          <w:color w:val="0D0D0D" w:themeColor="text1" w:themeTint="F2"/>
                          <w:sz w:val="18"/>
                          <w:szCs w:val="22"/>
                          <w:lang w:val="pt-BR"/>
                        </w:rPr>
                        <w:t>nicamente p</w:t>
                      </w:r>
                      <w:r w:rsidR="00827EAA" w:rsidRPr="00827EAA">
                        <w:rPr>
                          <w:rFonts w:asciiTheme="majorHAnsi" w:hAnsiTheme="majorHAnsi"/>
                          <w:color w:val="0D0D0D" w:themeColor="text1" w:themeTint="F2"/>
                          <w:sz w:val="18"/>
                          <w:szCs w:val="22"/>
                          <w:lang w:val="pt-BR"/>
                        </w:rPr>
                        <w:t xml:space="preserve">ela Comissão em </w:t>
                      </w:r>
                      <w:r w:rsidR="0084449F">
                        <w:rPr>
                          <w:rFonts w:asciiTheme="majorHAnsi" w:hAnsiTheme="majorHAnsi"/>
                          <w:color w:val="0D0D0D" w:themeColor="text1" w:themeTint="F2"/>
                          <w:sz w:val="18"/>
                          <w:szCs w:val="22"/>
                          <w:lang w:val="pt-BR"/>
                        </w:rPr>
                        <w:t>23</w:t>
                      </w:r>
                      <w:r w:rsidRPr="00827EAA">
                        <w:rPr>
                          <w:rFonts w:asciiTheme="majorHAnsi" w:hAnsiTheme="majorHAnsi"/>
                          <w:color w:val="0D0D0D" w:themeColor="text1" w:themeTint="F2"/>
                          <w:sz w:val="18"/>
                          <w:szCs w:val="22"/>
                          <w:lang w:val="pt-BR"/>
                        </w:rPr>
                        <w:t xml:space="preserve"> de </w:t>
                      </w:r>
                      <w:r w:rsidR="0084449F">
                        <w:rPr>
                          <w:rFonts w:asciiTheme="majorHAnsi" w:hAnsiTheme="majorHAnsi"/>
                          <w:color w:val="0D0D0D" w:themeColor="text1" w:themeTint="F2"/>
                          <w:sz w:val="18"/>
                          <w:szCs w:val="22"/>
                          <w:lang w:val="pt-BR"/>
                        </w:rPr>
                        <w:t>setembro</w:t>
                      </w:r>
                      <w:r w:rsidR="00F81BB8" w:rsidRPr="00827EAA">
                        <w:rPr>
                          <w:rFonts w:asciiTheme="majorHAnsi" w:hAnsiTheme="majorHAnsi"/>
                          <w:color w:val="0D0D0D" w:themeColor="text1" w:themeTint="F2"/>
                          <w:sz w:val="18"/>
                          <w:szCs w:val="22"/>
                          <w:lang w:val="pt-BR"/>
                        </w:rPr>
                        <w:t xml:space="preserve"> </w:t>
                      </w:r>
                      <w:r w:rsidRPr="00827EAA">
                        <w:rPr>
                          <w:rFonts w:asciiTheme="majorHAnsi" w:hAnsiTheme="majorHAnsi"/>
                          <w:color w:val="0D0D0D" w:themeColor="text1" w:themeTint="F2"/>
                          <w:sz w:val="18"/>
                          <w:szCs w:val="22"/>
                          <w:lang w:val="pt-BR"/>
                        </w:rPr>
                        <w:t>de 20</w:t>
                      </w:r>
                      <w:r w:rsidR="00C23BA4" w:rsidRPr="00827EAA">
                        <w:rPr>
                          <w:rFonts w:asciiTheme="majorHAnsi" w:hAnsiTheme="majorHAnsi"/>
                          <w:color w:val="0D0D0D" w:themeColor="text1" w:themeTint="F2"/>
                          <w:sz w:val="18"/>
                          <w:szCs w:val="22"/>
                          <w:lang w:val="pt-BR"/>
                        </w:rPr>
                        <w:t>2</w:t>
                      </w:r>
                      <w:r w:rsidR="00C17796" w:rsidRPr="00827EAA">
                        <w:rPr>
                          <w:rFonts w:asciiTheme="majorHAnsi" w:hAnsiTheme="majorHAnsi"/>
                          <w:color w:val="0D0D0D" w:themeColor="text1" w:themeTint="F2"/>
                          <w:sz w:val="18"/>
                          <w:szCs w:val="22"/>
                          <w:lang w:val="pt-BR"/>
                        </w:rPr>
                        <w:t>3</w:t>
                      </w:r>
                      <w:r w:rsidR="0084449F">
                        <w:rPr>
                          <w:rFonts w:asciiTheme="majorHAnsi" w:hAnsiTheme="majorHAnsi"/>
                          <w:color w:val="0D0D0D" w:themeColor="text1" w:themeTint="F2"/>
                          <w:sz w:val="18"/>
                          <w:szCs w:val="22"/>
                          <w:lang w:val="pt-BR"/>
                        </w:rPr>
                        <w:t>.</w:t>
                      </w:r>
                    </w:p>
                    <w:p w14:paraId="27EB8538" w14:textId="77777777" w:rsidR="00DD3D86" w:rsidRPr="00827EA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11626D18" w14:textId="77777777" w:rsidR="005B52B0" w:rsidRPr="00827EA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30B4F3EF"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28FED950"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53E3A276"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5EDC5EE2"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4730F205" w14:textId="77777777" w:rsidR="00A50FCF" w:rsidRPr="00D64156" w:rsidRDefault="0090270B" w:rsidP="00040C3A">
      <w:pPr>
        <w:tabs>
          <w:tab w:val="center" w:pos="5400"/>
        </w:tabs>
        <w:suppressAutoHyphens/>
        <w:jc w:val="center"/>
        <w:rPr>
          <w:rFonts w:asciiTheme="majorHAnsi" w:hAnsiTheme="majorHAnsi"/>
          <w:sz w:val="18"/>
          <w:szCs w:val="22"/>
          <w:lang w:val="pt-BR"/>
        </w:rPr>
      </w:pPr>
      <w:r w:rsidRPr="00D64156">
        <w:rPr>
          <w:rFonts w:asciiTheme="majorHAnsi" w:hAnsiTheme="majorHAnsi"/>
          <w:noProof/>
          <w:sz w:val="18"/>
          <w:szCs w:val="22"/>
          <w:lang w:val="pt-BR"/>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53D698D" w:rsidR="00113F73" w:rsidRPr="00B153E7"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827EA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sidRPr="00827EAA">
                              <w:rPr>
                                <w:rFonts w:asciiTheme="majorHAnsi" w:hAnsiTheme="majorHAnsi"/>
                                <w:color w:val="595959" w:themeColor="text1" w:themeTint="A6"/>
                                <w:sz w:val="18"/>
                                <w:szCs w:val="18"/>
                                <w:vertAlign w:val="superscript"/>
                                <w:lang w:val="pt-BR"/>
                              </w:rPr>
                              <w:t>o.</w:t>
                            </w:r>
                            <w:r w:rsidRPr="00890650">
                              <w:rPr>
                                <w:rFonts w:asciiTheme="majorHAnsi" w:hAnsiTheme="majorHAnsi"/>
                                <w:color w:val="595959" w:themeColor="text1" w:themeTint="A6"/>
                                <w:sz w:val="18"/>
                                <w:szCs w:val="18"/>
                                <w:lang w:val="pt-BR"/>
                              </w:rPr>
                              <w:t xml:space="preserve"> </w:t>
                            </w:r>
                            <w:r w:rsidR="00DE290F">
                              <w:rPr>
                                <w:rFonts w:asciiTheme="majorHAnsi" w:hAnsiTheme="majorHAnsi"/>
                                <w:color w:val="595959" w:themeColor="text1" w:themeTint="A6"/>
                                <w:sz w:val="18"/>
                                <w:szCs w:val="18"/>
                                <w:lang w:val="pt-BR"/>
                              </w:rPr>
                              <w:t>242</w:t>
                            </w:r>
                            <w:r w:rsidR="007B05C4" w:rsidRPr="00B153E7">
                              <w:rPr>
                                <w:rFonts w:asciiTheme="majorHAnsi" w:hAnsiTheme="majorHAnsi"/>
                                <w:color w:val="595959" w:themeColor="text1" w:themeTint="A6"/>
                                <w:sz w:val="18"/>
                                <w:szCs w:val="18"/>
                                <w:lang w:val="pt-BR"/>
                              </w:rPr>
                              <w:t>/</w:t>
                            </w:r>
                            <w:r w:rsidR="00DE290F">
                              <w:rPr>
                                <w:rFonts w:asciiTheme="majorHAnsi" w:hAnsiTheme="majorHAnsi"/>
                                <w:color w:val="595959" w:themeColor="text1" w:themeTint="A6"/>
                                <w:sz w:val="18"/>
                                <w:szCs w:val="18"/>
                                <w:lang w:val="pt-BR"/>
                              </w:rPr>
                              <w:t>23</w:t>
                            </w:r>
                            <w:r w:rsidRPr="00B153E7">
                              <w:rPr>
                                <w:rFonts w:asciiTheme="majorHAnsi" w:hAnsiTheme="majorHAnsi"/>
                                <w:color w:val="595959" w:themeColor="text1" w:themeTint="A6"/>
                                <w:sz w:val="18"/>
                                <w:szCs w:val="18"/>
                                <w:lang w:val="pt-BR"/>
                              </w:rPr>
                              <w:t xml:space="preserve">. </w:t>
                            </w:r>
                            <w:r w:rsidR="000433C9" w:rsidRPr="00B153E7">
                              <w:rPr>
                                <w:rFonts w:asciiTheme="majorHAnsi" w:hAnsiTheme="majorHAnsi"/>
                                <w:color w:val="595959" w:themeColor="text1" w:themeTint="A6"/>
                                <w:sz w:val="18"/>
                                <w:szCs w:val="18"/>
                                <w:lang w:val="pt-BR"/>
                              </w:rPr>
                              <w:t>Peti</w:t>
                            </w:r>
                            <w:r w:rsidR="00827EAA" w:rsidRPr="00B153E7">
                              <w:rPr>
                                <w:rFonts w:asciiTheme="majorHAnsi" w:hAnsiTheme="majorHAnsi"/>
                                <w:color w:val="595959" w:themeColor="text1" w:themeTint="A6"/>
                                <w:sz w:val="18"/>
                                <w:szCs w:val="18"/>
                                <w:lang w:val="pt-BR"/>
                              </w:rPr>
                              <w:t>ção</w:t>
                            </w:r>
                            <w:r w:rsidR="000433C9" w:rsidRPr="00B153E7">
                              <w:rPr>
                                <w:rFonts w:asciiTheme="majorHAnsi" w:hAnsiTheme="majorHAnsi"/>
                                <w:color w:val="595959" w:themeColor="text1" w:themeTint="A6"/>
                                <w:sz w:val="18"/>
                                <w:szCs w:val="18"/>
                                <w:lang w:val="pt-BR"/>
                              </w:rPr>
                              <w:t xml:space="preserve"> </w:t>
                            </w:r>
                            <w:r w:rsidR="006671BB" w:rsidRPr="00B153E7">
                              <w:rPr>
                                <w:rFonts w:asciiTheme="majorHAnsi" w:hAnsiTheme="majorHAnsi"/>
                                <w:color w:val="595959" w:themeColor="text1" w:themeTint="A6"/>
                                <w:sz w:val="18"/>
                                <w:szCs w:val="18"/>
                                <w:lang w:val="pt-BR"/>
                              </w:rPr>
                              <w:t>1459-12</w:t>
                            </w:r>
                            <w:r w:rsidR="000433C9" w:rsidRPr="00B153E7">
                              <w:rPr>
                                <w:rFonts w:asciiTheme="majorHAnsi" w:hAnsiTheme="majorHAnsi"/>
                                <w:color w:val="595959" w:themeColor="text1" w:themeTint="A6"/>
                                <w:sz w:val="18"/>
                                <w:szCs w:val="18"/>
                                <w:lang w:val="pt-BR"/>
                              </w:rPr>
                              <w:t xml:space="preserve">. </w:t>
                            </w:r>
                            <w:r w:rsidR="00BF6E78" w:rsidRPr="00B153E7">
                              <w:rPr>
                                <w:rFonts w:asciiTheme="majorHAnsi" w:hAnsiTheme="majorHAnsi"/>
                                <w:color w:val="595959" w:themeColor="text1" w:themeTint="A6"/>
                                <w:sz w:val="18"/>
                                <w:szCs w:val="18"/>
                                <w:lang w:val="pt-BR"/>
                              </w:rPr>
                              <w:t>Ina</w:t>
                            </w:r>
                            <w:r w:rsidRPr="00B153E7">
                              <w:rPr>
                                <w:rFonts w:asciiTheme="majorHAnsi" w:hAnsiTheme="majorHAnsi"/>
                                <w:color w:val="595959" w:themeColor="text1" w:themeTint="A6"/>
                                <w:sz w:val="18"/>
                                <w:szCs w:val="18"/>
                                <w:lang w:val="pt-BR"/>
                              </w:rPr>
                              <w:t>dmi</w:t>
                            </w:r>
                            <w:r w:rsidR="00B153E7" w:rsidRPr="00B153E7">
                              <w:rPr>
                                <w:rFonts w:asciiTheme="majorHAnsi" w:hAnsiTheme="majorHAnsi"/>
                                <w:color w:val="595959" w:themeColor="text1" w:themeTint="A6"/>
                                <w:sz w:val="18"/>
                                <w:szCs w:val="18"/>
                                <w:lang w:val="pt-BR"/>
                              </w:rPr>
                              <w:t>s</w:t>
                            </w:r>
                            <w:r w:rsidRPr="00B153E7">
                              <w:rPr>
                                <w:rFonts w:asciiTheme="majorHAnsi" w:hAnsiTheme="majorHAnsi"/>
                                <w:color w:val="595959" w:themeColor="text1" w:themeTint="A6"/>
                                <w:sz w:val="18"/>
                                <w:szCs w:val="18"/>
                                <w:lang w:val="pt-BR"/>
                              </w:rPr>
                              <w:t>sibilidad</w:t>
                            </w:r>
                            <w:r w:rsidR="00B153E7" w:rsidRPr="00B153E7">
                              <w:rPr>
                                <w:rFonts w:asciiTheme="majorHAnsi" w:hAnsiTheme="majorHAnsi"/>
                                <w:color w:val="595959" w:themeColor="text1" w:themeTint="A6"/>
                                <w:sz w:val="18"/>
                                <w:szCs w:val="18"/>
                                <w:lang w:val="pt-BR"/>
                              </w:rPr>
                              <w:t>e</w:t>
                            </w:r>
                            <w:r w:rsidRPr="00B153E7">
                              <w:rPr>
                                <w:rFonts w:asciiTheme="majorHAnsi" w:hAnsiTheme="majorHAnsi"/>
                                <w:color w:val="595959" w:themeColor="text1" w:themeTint="A6"/>
                                <w:sz w:val="18"/>
                                <w:szCs w:val="18"/>
                                <w:lang w:val="pt-BR"/>
                              </w:rPr>
                              <w:t xml:space="preserve">. </w:t>
                            </w:r>
                            <w:r w:rsidR="006671BB" w:rsidRPr="00B153E7">
                              <w:rPr>
                                <w:rFonts w:asciiTheme="majorHAnsi" w:hAnsiTheme="majorHAnsi"/>
                                <w:color w:val="595959" w:themeColor="text1" w:themeTint="A6"/>
                                <w:sz w:val="18"/>
                                <w:szCs w:val="18"/>
                                <w:lang w:val="pt-BR"/>
                              </w:rPr>
                              <w:t xml:space="preserve">Wolf Gruenberg </w:t>
                            </w:r>
                            <w:r w:rsidR="00827EAA" w:rsidRPr="00B153E7">
                              <w:rPr>
                                <w:rFonts w:asciiTheme="majorHAnsi" w:hAnsiTheme="majorHAnsi"/>
                                <w:color w:val="595959" w:themeColor="text1" w:themeTint="A6"/>
                                <w:sz w:val="18"/>
                                <w:szCs w:val="18"/>
                                <w:lang w:val="pt-BR"/>
                              </w:rPr>
                              <w:t>e</w:t>
                            </w:r>
                            <w:r w:rsidR="006671BB" w:rsidRPr="00B153E7">
                              <w:rPr>
                                <w:rFonts w:asciiTheme="majorHAnsi" w:hAnsiTheme="majorHAnsi"/>
                                <w:color w:val="595959" w:themeColor="text1" w:themeTint="A6"/>
                                <w:sz w:val="18"/>
                                <w:szCs w:val="18"/>
                                <w:lang w:val="pt-BR"/>
                              </w:rPr>
                              <w:t xml:space="preserve"> Betty Guendler Gruenberg</w:t>
                            </w:r>
                            <w:r w:rsidRPr="00B153E7">
                              <w:rPr>
                                <w:rFonts w:asciiTheme="majorHAnsi" w:hAnsiTheme="majorHAnsi"/>
                                <w:color w:val="595959" w:themeColor="text1" w:themeTint="A6"/>
                                <w:sz w:val="18"/>
                                <w:szCs w:val="18"/>
                                <w:lang w:val="pt-BR"/>
                              </w:rPr>
                              <w:t>.</w:t>
                            </w:r>
                            <w:r w:rsidR="006671BB" w:rsidRPr="00B153E7">
                              <w:rPr>
                                <w:rFonts w:asciiTheme="majorHAnsi" w:hAnsiTheme="majorHAnsi"/>
                                <w:color w:val="595959" w:themeColor="text1" w:themeTint="A6"/>
                                <w:sz w:val="18"/>
                                <w:szCs w:val="18"/>
                                <w:lang w:val="pt-BR"/>
                              </w:rPr>
                              <w:t xml:space="preserve"> Brasil</w:t>
                            </w:r>
                            <w:r w:rsidRPr="00B153E7">
                              <w:rPr>
                                <w:rFonts w:asciiTheme="majorHAnsi" w:hAnsiTheme="majorHAnsi"/>
                                <w:color w:val="595959" w:themeColor="text1" w:themeTint="A6"/>
                                <w:sz w:val="18"/>
                                <w:szCs w:val="18"/>
                                <w:lang w:val="pt-BR"/>
                              </w:rPr>
                              <w:t xml:space="preserve">. </w:t>
                            </w:r>
                            <w:r w:rsidR="00DE290F">
                              <w:rPr>
                                <w:rFonts w:asciiTheme="majorHAnsi" w:hAnsiTheme="majorHAnsi"/>
                                <w:color w:val="595959" w:themeColor="text1" w:themeTint="A6"/>
                                <w:sz w:val="18"/>
                                <w:szCs w:val="18"/>
                                <w:lang w:val="pt-BR"/>
                              </w:rPr>
                              <w:t>23 de setembro de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53D698D" w:rsidR="00113F73" w:rsidRPr="00B153E7"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827EA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sidRPr="00827EAA">
                        <w:rPr>
                          <w:rFonts w:asciiTheme="majorHAnsi" w:hAnsiTheme="majorHAnsi"/>
                          <w:color w:val="595959" w:themeColor="text1" w:themeTint="A6"/>
                          <w:sz w:val="18"/>
                          <w:szCs w:val="18"/>
                          <w:vertAlign w:val="superscript"/>
                          <w:lang w:val="pt-BR"/>
                        </w:rPr>
                        <w:t>o.</w:t>
                      </w:r>
                      <w:r w:rsidRPr="00890650">
                        <w:rPr>
                          <w:rFonts w:asciiTheme="majorHAnsi" w:hAnsiTheme="majorHAnsi"/>
                          <w:color w:val="595959" w:themeColor="text1" w:themeTint="A6"/>
                          <w:sz w:val="18"/>
                          <w:szCs w:val="18"/>
                          <w:lang w:val="pt-BR"/>
                        </w:rPr>
                        <w:t xml:space="preserve"> </w:t>
                      </w:r>
                      <w:r w:rsidR="00DE290F">
                        <w:rPr>
                          <w:rFonts w:asciiTheme="majorHAnsi" w:hAnsiTheme="majorHAnsi"/>
                          <w:color w:val="595959" w:themeColor="text1" w:themeTint="A6"/>
                          <w:sz w:val="18"/>
                          <w:szCs w:val="18"/>
                          <w:lang w:val="pt-BR"/>
                        </w:rPr>
                        <w:t>242</w:t>
                      </w:r>
                      <w:r w:rsidR="007B05C4" w:rsidRPr="00B153E7">
                        <w:rPr>
                          <w:rFonts w:asciiTheme="majorHAnsi" w:hAnsiTheme="majorHAnsi"/>
                          <w:color w:val="595959" w:themeColor="text1" w:themeTint="A6"/>
                          <w:sz w:val="18"/>
                          <w:szCs w:val="18"/>
                          <w:lang w:val="pt-BR"/>
                        </w:rPr>
                        <w:t>/</w:t>
                      </w:r>
                      <w:r w:rsidR="00DE290F">
                        <w:rPr>
                          <w:rFonts w:asciiTheme="majorHAnsi" w:hAnsiTheme="majorHAnsi"/>
                          <w:color w:val="595959" w:themeColor="text1" w:themeTint="A6"/>
                          <w:sz w:val="18"/>
                          <w:szCs w:val="18"/>
                          <w:lang w:val="pt-BR"/>
                        </w:rPr>
                        <w:t>23</w:t>
                      </w:r>
                      <w:r w:rsidRPr="00B153E7">
                        <w:rPr>
                          <w:rFonts w:asciiTheme="majorHAnsi" w:hAnsiTheme="majorHAnsi"/>
                          <w:color w:val="595959" w:themeColor="text1" w:themeTint="A6"/>
                          <w:sz w:val="18"/>
                          <w:szCs w:val="18"/>
                          <w:lang w:val="pt-BR"/>
                        </w:rPr>
                        <w:t xml:space="preserve">. </w:t>
                      </w:r>
                      <w:r w:rsidR="000433C9" w:rsidRPr="00B153E7">
                        <w:rPr>
                          <w:rFonts w:asciiTheme="majorHAnsi" w:hAnsiTheme="majorHAnsi"/>
                          <w:color w:val="595959" w:themeColor="text1" w:themeTint="A6"/>
                          <w:sz w:val="18"/>
                          <w:szCs w:val="18"/>
                          <w:lang w:val="pt-BR"/>
                        </w:rPr>
                        <w:t>Peti</w:t>
                      </w:r>
                      <w:r w:rsidR="00827EAA" w:rsidRPr="00B153E7">
                        <w:rPr>
                          <w:rFonts w:asciiTheme="majorHAnsi" w:hAnsiTheme="majorHAnsi"/>
                          <w:color w:val="595959" w:themeColor="text1" w:themeTint="A6"/>
                          <w:sz w:val="18"/>
                          <w:szCs w:val="18"/>
                          <w:lang w:val="pt-BR"/>
                        </w:rPr>
                        <w:t>ção</w:t>
                      </w:r>
                      <w:r w:rsidR="000433C9" w:rsidRPr="00B153E7">
                        <w:rPr>
                          <w:rFonts w:asciiTheme="majorHAnsi" w:hAnsiTheme="majorHAnsi"/>
                          <w:color w:val="595959" w:themeColor="text1" w:themeTint="A6"/>
                          <w:sz w:val="18"/>
                          <w:szCs w:val="18"/>
                          <w:lang w:val="pt-BR"/>
                        </w:rPr>
                        <w:t xml:space="preserve"> </w:t>
                      </w:r>
                      <w:r w:rsidR="006671BB" w:rsidRPr="00B153E7">
                        <w:rPr>
                          <w:rFonts w:asciiTheme="majorHAnsi" w:hAnsiTheme="majorHAnsi"/>
                          <w:color w:val="595959" w:themeColor="text1" w:themeTint="A6"/>
                          <w:sz w:val="18"/>
                          <w:szCs w:val="18"/>
                          <w:lang w:val="pt-BR"/>
                        </w:rPr>
                        <w:t>1459-12</w:t>
                      </w:r>
                      <w:r w:rsidR="000433C9" w:rsidRPr="00B153E7">
                        <w:rPr>
                          <w:rFonts w:asciiTheme="majorHAnsi" w:hAnsiTheme="majorHAnsi"/>
                          <w:color w:val="595959" w:themeColor="text1" w:themeTint="A6"/>
                          <w:sz w:val="18"/>
                          <w:szCs w:val="18"/>
                          <w:lang w:val="pt-BR"/>
                        </w:rPr>
                        <w:t xml:space="preserve">. </w:t>
                      </w:r>
                      <w:r w:rsidR="00BF6E78" w:rsidRPr="00B153E7">
                        <w:rPr>
                          <w:rFonts w:asciiTheme="majorHAnsi" w:hAnsiTheme="majorHAnsi"/>
                          <w:color w:val="595959" w:themeColor="text1" w:themeTint="A6"/>
                          <w:sz w:val="18"/>
                          <w:szCs w:val="18"/>
                          <w:lang w:val="pt-BR"/>
                        </w:rPr>
                        <w:t>Ina</w:t>
                      </w:r>
                      <w:r w:rsidRPr="00B153E7">
                        <w:rPr>
                          <w:rFonts w:asciiTheme="majorHAnsi" w:hAnsiTheme="majorHAnsi"/>
                          <w:color w:val="595959" w:themeColor="text1" w:themeTint="A6"/>
                          <w:sz w:val="18"/>
                          <w:szCs w:val="18"/>
                          <w:lang w:val="pt-BR"/>
                        </w:rPr>
                        <w:t>dmi</w:t>
                      </w:r>
                      <w:r w:rsidR="00B153E7" w:rsidRPr="00B153E7">
                        <w:rPr>
                          <w:rFonts w:asciiTheme="majorHAnsi" w:hAnsiTheme="majorHAnsi"/>
                          <w:color w:val="595959" w:themeColor="text1" w:themeTint="A6"/>
                          <w:sz w:val="18"/>
                          <w:szCs w:val="18"/>
                          <w:lang w:val="pt-BR"/>
                        </w:rPr>
                        <w:t>s</w:t>
                      </w:r>
                      <w:r w:rsidRPr="00B153E7">
                        <w:rPr>
                          <w:rFonts w:asciiTheme="majorHAnsi" w:hAnsiTheme="majorHAnsi"/>
                          <w:color w:val="595959" w:themeColor="text1" w:themeTint="A6"/>
                          <w:sz w:val="18"/>
                          <w:szCs w:val="18"/>
                          <w:lang w:val="pt-BR"/>
                        </w:rPr>
                        <w:t>sibilidad</w:t>
                      </w:r>
                      <w:r w:rsidR="00B153E7" w:rsidRPr="00B153E7">
                        <w:rPr>
                          <w:rFonts w:asciiTheme="majorHAnsi" w:hAnsiTheme="majorHAnsi"/>
                          <w:color w:val="595959" w:themeColor="text1" w:themeTint="A6"/>
                          <w:sz w:val="18"/>
                          <w:szCs w:val="18"/>
                          <w:lang w:val="pt-BR"/>
                        </w:rPr>
                        <w:t>e</w:t>
                      </w:r>
                      <w:r w:rsidRPr="00B153E7">
                        <w:rPr>
                          <w:rFonts w:asciiTheme="majorHAnsi" w:hAnsiTheme="majorHAnsi"/>
                          <w:color w:val="595959" w:themeColor="text1" w:themeTint="A6"/>
                          <w:sz w:val="18"/>
                          <w:szCs w:val="18"/>
                          <w:lang w:val="pt-BR"/>
                        </w:rPr>
                        <w:t xml:space="preserve">. </w:t>
                      </w:r>
                      <w:r w:rsidR="006671BB" w:rsidRPr="00B153E7">
                        <w:rPr>
                          <w:rFonts w:asciiTheme="majorHAnsi" w:hAnsiTheme="majorHAnsi"/>
                          <w:color w:val="595959" w:themeColor="text1" w:themeTint="A6"/>
                          <w:sz w:val="18"/>
                          <w:szCs w:val="18"/>
                          <w:lang w:val="pt-BR"/>
                        </w:rPr>
                        <w:t xml:space="preserve">Wolf Gruenberg </w:t>
                      </w:r>
                      <w:r w:rsidR="00827EAA" w:rsidRPr="00B153E7">
                        <w:rPr>
                          <w:rFonts w:asciiTheme="majorHAnsi" w:hAnsiTheme="majorHAnsi"/>
                          <w:color w:val="595959" w:themeColor="text1" w:themeTint="A6"/>
                          <w:sz w:val="18"/>
                          <w:szCs w:val="18"/>
                          <w:lang w:val="pt-BR"/>
                        </w:rPr>
                        <w:t>e</w:t>
                      </w:r>
                      <w:r w:rsidR="006671BB" w:rsidRPr="00B153E7">
                        <w:rPr>
                          <w:rFonts w:asciiTheme="majorHAnsi" w:hAnsiTheme="majorHAnsi"/>
                          <w:color w:val="595959" w:themeColor="text1" w:themeTint="A6"/>
                          <w:sz w:val="18"/>
                          <w:szCs w:val="18"/>
                          <w:lang w:val="pt-BR"/>
                        </w:rPr>
                        <w:t xml:space="preserve"> Betty Guendler Gruenberg</w:t>
                      </w:r>
                      <w:r w:rsidRPr="00B153E7">
                        <w:rPr>
                          <w:rFonts w:asciiTheme="majorHAnsi" w:hAnsiTheme="majorHAnsi"/>
                          <w:color w:val="595959" w:themeColor="text1" w:themeTint="A6"/>
                          <w:sz w:val="18"/>
                          <w:szCs w:val="18"/>
                          <w:lang w:val="pt-BR"/>
                        </w:rPr>
                        <w:t>.</w:t>
                      </w:r>
                      <w:r w:rsidR="006671BB" w:rsidRPr="00B153E7">
                        <w:rPr>
                          <w:rFonts w:asciiTheme="majorHAnsi" w:hAnsiTheme="majorHAnsi"/>
                          <w:color w:val="595959" w:themeColor="text1" w:themeTint="A6"/>
                          <w:sz w:val="18"/>
                          <w:szCs w:val="18"/>
                          <w:lang w:val="pt-BR"/>
                        </w:rPr>
                        <w:t xml:space="preserve"> Brasil</w:t>
                      </w:r>
                      <w:r w:rsidRPr="00B153E7">
                        <w:rPr>
                          <w:rFonts w:asciiTheme="majorHAnsi" w:hAnsiTheme="majorHAnsi"/>
                          <w:color w:val="595959" w:themeColor="text1" w:themeTint="A6"/>
                          <w:sz w:val="18"/>
                          <w:szCs w:val="18"/>
                          <w:lang w:val="pt-BR"/>
                        </w:rPr>
                        <w:t xml:space="preserve">. </w:t>
                      </w:r>
                      <w:r w:rsidR="00DE290F">
                        <w:rPr>
                          <w:rFonts w:asciiTheme="majorHAnsi" w:hAnsiTheme="majorHAnsi"/>
                          <w:color w:val="595959" w:themeColor="text1" w:themeTint="A6"/>
                          <w:sz w:val="18"/>
                          <w:szCs w:val="18"/>
                          <w:lang w:val="pt-BR"/>
                        </w:rPr>
                        <w:t>23 de setembro de 2023.</w:t>
                      </w:r>
                    </w:p>
                  </w:txbxContent>
                </v:textbox>
              </v:shape>
            </w:pict>
          </mc:Fallback>
        </mc:AlternateContent>
      </w:r>
    </w:p>
    <w:p w14:paraId="3BC19590" w14:textId="77777777" w:rsidR="00A50FCF" w:rsidRPr="00D64156" w:rsidRDefault="00A50FCF" w:rsidP="00040C3A">
      <w:pPr>
        <w:tabs>
          <w:tab w:val="center" w:pos="5400"/>
        </w:tabs>
        <w:suppressAutoHyphens/>
        <w:jc w:val="center"/>
        <w:rPr>
          <w:rFonts w:asciiTheme="majorHAnsi" w:hAnsiTheme="majorHAnsi"/>
          <w:sz w:val="18"/>
          <w:szCs w:val="22"/>
          <w:lang w:val="pt-BR"/>
        </w:rPr>
      </w:pPr>
    </w:p>
    <w:p w14:paraId="0C9396CC" w14:textId="74570468" w:rsidR="0090270B" w:rsidRPr="00D64156" w:rsidRDefault="00D306D1" w:rsidP="005516A1">
      <w:pPr>
        <w:tabs>
          <w:tab w:val="center" w:pos="5400"/>
        </w:tabs>
        <w:suppressAutoHyphens/>
        <w:jc w:val="center"/>
        <w:rPr>
          <w:rFonts w:asciiTheme="majorHAnsi" w:hAnsiTheme="majorHAnsi"/>
          <w:b/>
          <w:sz w:val="20"/>
          <w:lang w:val="pt-BR"/>
        </w:rPr>
      </w:pPr>
      <w:r w:rsidRPr="00D64156">
        <w:rPr>
          <w:rFonts w:asciiTheme="majorHAnsi" w:hAnsiTheme="majorHAnsi"/>
          <w:noProof/>
          <w:sz w:val="22"/>
          <w:szCs w:val="22"/>
          <w:lang w:val="pt-BR"/>
        </w:rPr>
        <mc:AlternateContent>
          <mc:Choice Requires="wps">
            <w:drawing>
              <wp:anchor distT="0" distB="0" distL="114300" distR="114300" simplePos="0" relativeHeight="251682816" behindDoc="0" locked="0" layoutInCell="1" allowOverlap="1" wp14:anchorId="4BBB9917" wp14:editId="5CF0808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126179" w:rsidRDefault="00D306D1" w:rsidP="00D306D1">
                            <w:pPr>
                              <w:jc w:val="center"/>
                              <w:rPr>
                                <w:rFonts w:asciiTheme="minorHAnsi" w:hAnsiTheme="minorHAnsi"/>
                                <w:b/>
                              </w:rPr>
                            </w:pPr>
                            <w:r w:rsidRPr="00126179">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126179" w:rsidRDefault="00D306D1" w:rsidP="00D306D1">
                      <w:pPr>
                        <w:jc w:val="center"/>
                        <w:rPr>
                          <w:rFonts w:asciiTheme="minorHAnsi" w:hAnsiTheme="minorHAnsi"/>
                          <w:b/>
                        </w:rPr>
                      </w:pPr>
                      <w:r w:rsidRPr="00126179">
                        <w:rPr>
                          <w:rFonts w:asciiTheme="minorHAnsi" w:hAnsiTheme="minorHAnsi"/>
                          <w:b/>
                          <w:lang w:val="pt-BR"/>
                        </w:rPr>
                        <w:t>www.cidh.org</w:t>
                      </w:r>
                    </w:p>
                  </w:txbxContent>
                </v:textbox>
              </v:shape>
            </w:pict>
          </mc:Fallback>
        </mc:AlternateContent>
      </w:r>
    </w:p>
    <w:p w14:paraId="150CCFA7" w14:textId="4951081C" w:rsidR="0070697F" w:rsidRPr="00D64156" w:rsidRDefault="00592837" w:rsidP="005516A1">
      <w:pPr>
        <w:tabs>
          <w:tab w:val="center" w:pos="5400"/>
        </w:tabs>
        <w:suppressAutoHyphens/>
        <w:jc w:val="center"/>
        <w:rPr>
          <w:rFonts w:asciiTheme="majorHAnsi" w:hAnsiTheme="majorHAnsi"/>
          <w:b/>
          <w:sz w:val="20"/>
          <w:lang w:val="pt-BR"/>
        </w:rPr>
        <w:sectPr w:rsidR="0070697F" w:rsidRPr="00D64156"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64156">
        <w:rPr>
          <w:rFonts w:asciiTheme="majorHAnsi" w:hAnsiTheme="majorHAnsi"/>
          <w:noProof/>
          <w:sz w:val="18"/>
          <w:szCs w:val="22"/>
          <w:lang w:val="pt-BR"/>
        </w:rPr>
        <mc:AlternateContent>
          <mc:Choice Requires="wps">
            <w:drawing>
              <wp:anchor distT="0" distB="0" distL="114300" distR="114300" simplePos="0" relativeHeight="251680768" behindDoc="0" locked="0" layoutInCell="1" allowOverlap="1" wp14:anchorId="5D37EBA2" wp14:editId="5D0614FA">
                <wp:simplePos x="0" y="0"/>
                <wp:positionH relativeFrom="column">
                  <wp:posOffset>1328057</wp:posOffset>
                </wp:positionH>
                <wp:positionV relativeFrom="paragraph">
                  <wp:posOffset>490220</wp:posOffset>
                </wp:positionV>
                <wp:extent cx="4096385" cy="61640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6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503461C4" w:rsidR="00D72DC6" w:rsidRPr="00D72DC6" w:rsidRDefault="0059283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4977CCA" wp14:editId="429B0A07">
                                  <wp:extent cx="1906308"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26763" cy="52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55pt;margin-top:38.6pt;width:322.55pt;height:4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leAIAAGwFAAAOAAAAZHJzL2Uyb0RvYy54bWysVEtPGzEQvlfqf7B8L7uBkELEBqUgqkqo&#10;oELF2fHaxKrX49qT7Ka/vmPv5lHKhaqX3bHn/fmbubjsGsvWKkQDruKjo5Iz5STUxj1X/PvjzYcz&#10;ziIKVwsLTlV8oyK/nL1/d9H6qTqGJdhaBUZBXJy2vuJLRD8tiiiXqhHxCLxypNQQGoF0DM9FHURL&#10;0RtbHJflpGgh1D6AVDHS7XWv5LMcX2sl8U7rqJDZilNtmL8hfxfpW8wuxPQ5CL80cihD/EMVjTCO&#10;ku5CXQsUbBXMX6EaIwNE0HgkoSlAayNV7oG6GZUvunlYCq9yLwRO9DuY4v8LK7+uH/x9YNh9go4e&#10;MAHS+jiNdJn66XRo0p8qZaQnCDc72FSHTNLluDyfnJydciZJNxlNxuU4hSn23j5E/KygYUmoeKBn&#10;yWiJ9W3E3nRrkpJFsKa+MdbmQ6KCurKBrQU9osVcIwX/w8o61lLyk9MyB3aQ3PvI1qUwKpNhSLfv&#10;MEu4sSrZWPdNaWbq3OgruYWUyu3yZ+tkpSnVWxwH+31Vb3Hu+yCPnBkc7pwb4yDk7vP07CGrf2wh&#10;0709vc1B30nEbtFR44TglgALqDfEiwD9yEQvbww93q2IeC8CzQhRgeYe7+ijLRD4MEicLSH8eu0+&#10;2RN1SctZSzNX8fhzJYLizH5xROrz0XichjQfxqcfj+kQDjWLQ41bNVdAjBjRhvEyi8ke7VbUAZon&#10;Wg/zlJVUwknKXXHcilfYbwJaL1LN59mIxtILvHUPXqbQCeVEzcfuSQQ/8BeJ+V9hO51i+oLGvW3y&#10;dDBfIWiTOZ5w7lEd8KeRzlMyrJ+0Mw7P2Wq/JGe/AQAA//8DAFBLAwQUAAYACAAAACEACZAbyeEA&#10;AAAKAQAADwAAAGRycy9kb3ducmV2LnhtbEyPTU+DQBCG7yb+h82YeDF2KbRSkaUxRm3izeJHvG3Z&#10;EYjsLGG3gP/e8aS3mcyTd5433862EyMOvnWkYLmIQCBVzrRUK3gpHy43IHzQZHTnCBV8o4dtcXqS&#10;68y4iZ5x3IdacAj5TCtoQugzKX3VoNV+4Xokvn26werA61BLM+iJw20n4yi6kla3xB8a3eNdg9XX&#10;/mgVfFzU709+fnydknXS3+/GMn0zpVLnZ/PtDYiAc/iD4Vef1aFgp4M7kvGiUxBH10tGFaRpDIKB&#10;zXrFw4HJdJWALHL5v0LxAwAA//8DAFBLAQItABQABgAIAAAAIQC2gziS/gAAAOEBAAATAAAAAAAA&#10;AAAAAAAAAAAAAABbQ29udGVudF9UeXBlc10ueG1sUEsBAi0AFAAGAAgAAAAhADj9If/WAAAAlAEA&#10;AAsAAAAAAAAAAAAAAAAALwEAAF9yZWxzLy5yZWxzUEsBAi0AFAAGAAgAAAAhAOewz+V4AgAAbAUA&#10;AA4AAAAAAAAAAAAAAAAALgIAAGRycy9lMm9Eb2MueG1sUEsBAi0AFAAGAAgAAAAhAAmQG8nhAAAA&#10;CgEAAA8AAAAAAAAAAAAAAAAA0gQAAGRycy9kb3ducmV2LnhtbFBLBQYAAAAABAAEAPMAAADgBQAA&#10;AAA=&#10;" fillcolor="white [3201]" stroked="f" strokeweight=".5pt">
                <v:textbox>
                  <w:txbxContent>
                    <w:p w14:paraId="16E85441" w14:textId="503461C4" w:rsidR="00D72DC6" w:rsidRPr="00D72DC6" w:rsidRDefault="00592837"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4977CCA" wp14:editId="429B0A07">
                            <wp:extent cx="1906308" cy="5217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26763" cy="527386"/>
                                    </a:xfrm>
                                    <a:prstGeom prst="rect">
                                      <a:avLst/>
                                    </a:prstGeom>
                                    <a:noFill/>
                                    <a:ln>
                                      <a:noFill/>
                                    </a:ln>
                                  </pic:spPr>
                                </pic:pic>
                              </a:graphicData>
                            </a:graphic>
                          </wp:inline>
                        </w:drawing>
                      </w:r>
                    </w:p>
                  </w:txbxContent>
                </v:textbox>
              </v:shape>
            </w:pict>
          </mc:Fallback>
        </mc:AlternateContent>
      </w:r>
      <w:r w:rsidR="004A6A54" w:rsidRPr="00D64156">
        <w:rPr>
          <w:rFonts w:asciiTheme="majorHAnsi" w:hAnsiTheme="majorHAnsi"/>
          <w:b/>
          <w:sz w:val="20"/>
          <w:lang w:val="pt-BR"/>
        </w:rPr>
        <w:tab/>
      </w:r>
    </w:p>
    <w:p w14:paraId="2786EE58" w14:textId="3BE372BC" w:rsidR="003239B8" w:rsidRPr="00D64156" w:rsidRDefault="003239B8" w:rsidP="004A6A54">
      <w:pPr>
        <w:spacing w:after="240"/>
        <w:ind w:firstLine="720"/>
        <w:jc w:val="both"/>
        <w:rPr>
          <w:rFonts w:asciiTheme="majorHAnsi" w:hAnsiTheme="majorHAnsi"/>
          <w:b/>
          <w:bCs/>
          <w:sz w:val="20"/>
          <w:szCs w:val="20"/>
          <w:lang w:val="pt-BR"/>
        </w:rPr>
      </w:pPr>
      <w:r w:rsidRPr="00D64156">
        <w:rPr>
          <w:rFonts w:asciiTheme="majorHAnsi" w:hAnsiTheme="majorHAnsi"/>
          <w:b/>
          <w:bCs/>
          <w:sz w:val="20"/>
          <w:szCs w:val="20"/>
          <w:lang w:val="pt-BR"/>
        </w:rPr>
        <w:lastRenderedPageBreak/>
        <w:t>I.</w:t>
      </w:r>
      <w:r w:rsidRPr="00D64156">
        <w:rPr>
          <w:rFonts w:asciiTheme="majorHAnsi" w:hAnsiTheme="majorHAnsi"/>
          <w:b/>
          <w:bCs/>
          <w:sz w:val="20"/>
          <w:szCs w:val="20"/>
          <w:lang w:val="pt-BR"/>
        </w:rPr>
        <w:tab/>
        <w:t>DA</w:t>
      </w:r>
      <w:r w:rsidR="00B153E7" w:rsidRPr="00D64156">
        <w:rPr>
          <w:rFonts w:asciiTheme="majorHAnsi" w:hAnsiTheme="majorHAnsi"/>
          <w:b/>
          <w:bCs/>
          <w:sz w:val="20"/>
          <w:szCs w:val="20"/>
          <w:lang w:val="pt-BR"/>
        </w:rPr>
        <w:t>D</w:t>
      </w:r>
      <w:r w:rsidRPr="00D64156">
        <w:rPr>
          <w:rFonts w:asciiTheme="majorHAnsi" w:hAnsiTheme="majorHAnsi"/>
          <w:b/>
          <w:bCs/>
          <w:sz w:val="20"/>
          <w:szCs w:val="20"/>
          <w:lang w:val="pt-BR"/>
        </w:rPr>
        <w:t>OS DA PETI</w:t>
      </w:r>
      <w:r w:rsidR="00B153E7" w:rsidRPr="00D64156">
        <w:rPr>
          <w:rFonts w:asciiTheme="majorHAnsi" w:hAnsiTheme="majorHAnsi"/>
          <w:b/>
          <w:bCs/>
          <w:sz w:val="20"/>
          <w:szCs w:val="20"/>
          <w:lang w:val="pt-BR"/>
        </w:rPr>
        <w:t>ÇÃO</w:t>
      </w:r>
      <w:r w:rsidRPr="00D64156">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74D3E" w14:paraId="6B58C8A4" w14:textId="77777777" w:rsidTr="005B109A">
        <w:tc>
          <w:tcPr>
            <w:tcW w:w="3600" w:type="dxa"/>
            <w:tcBorders>
              <w:top w:val="single" w:sz="4" w:space="0" w:color="auto"/>
              <w:bottom w:val="single" w:sz="6" w:space="0" w:color="auto"/>
            </w:tcBorders>
            <w:shd w:val="clear" w:color="auto" w:fill="FFC000"/>
            <w:vAlign w:val="center"/>
          </w:tcPr>
          <w:p w14:paraId="7E72740A" w14:textId="1092C9C2" w:rsidR="003239B8" w:rsidRPr="005B109A" w:rsidRDefault="003239B8" w:rsidP="008D2290">
            <w:pPr>
              <w:jc w:val="center"/>
              <w:rPr>
                <w:rFonts w:ascii="Cambria" w:hAnsi="Cambria"/>
                <w:b/>
                <w:bCs/>
                <w:sz w:val="20"/>
                <w:szCs w:val="20"/>
                <w:lang w:val="pt-BR"/>
              </w:rPr>
            </w:pPr>
            <w:r w:rsidRPr="005B109A">
              <w:rPr>
                <w:rFonts w:ascii="Cambria" w:hAnsi="Cambria"/>
                <w:b/>
                <w:bCs/>
                <w:sz w:val="20"/>
                <w:szCs w:val="20"/>
                <w:lang w:val="pt-BR"/>
              </w:rPr>
              <w:t>Parte peticion</w:t>
            </w:r>
            <w:r w:rsidR="00B153E7" w:rsidRPr="005B109A">
              <w:rPr>
                <w:rFonts w:ascii="Cambria" w:hAnsi="Cambria"/>
                <w:b/>
                <w:bCs/>
                <w:sz w:val="20"/>
                <w:szCs w:val="20"/>
                <w:lang w:val="pt-BR"/>
              </w:rPr>
              <w:t>á</w:t>
            </w:r>
            <w:r w:rsidRPr="005B109A">
              <w:rPr>
                <w:rFonts w:ascii="Cambria" w:hAnsi="Cambria"/>
                <w:b/>
                <w:bCs/>
                <w:sz w:val="20"/>
                <w:szCs w:val="20"/>
                <w:lang w:val="pt-BR"/>
              </w:rPr>
              <w:t>ria:</w:t>
            </w:r>
          </w:p>
        </w:tc>
        <w:tc>
          <w:tcPr>
            <w:tcW w:w="5760" w:type="dxa"/>
            <w:vAlign w:val="center"/>
          </w:tcPr>
          <w:p w14:paraId="07DAAE2E" w14:textId="443C2177" w:rsidR="003239B8" w:rsidRPr="00D64156" w:rsidRDefault="006671BB" w:rsidP="008D2290">
            <w:pPr>
              <w:jc w:val="both"/>
              <w:rPr>
                <w:rFonts w:ascii="Cambria" w:hAnsi="Cambria"/>
                <w:bCs/>
                <w:sz w:val="20"/>
                <w:szCs w:val="20"/>
                <w:lang w:val="pt-BR"/>
              </w:rPr>
            </w:pPr>
            <w:r w:rsidRPr="00D64156">
              <w:rPr>
                <w:rFonts w:ascii="Cambria" w:hAnsi="Cambria"/>
                <w:bCs/>
                <w:sz w:val="20"/>
                <w:szCs w:val="20"/>
                <w:lang w:val="pt-BR"/>
              </w:rPr>
              <w:t>Comissão de Direitos Humanos da Ordem dos Advogados do Brasil – Seção São Paul</w:t>
            </w:r>
            <w:r w:rsidR="00B153E7" w:rsidRPr="00D64156">
              <w:rPr>
                <w:rFonts w:ascii="Cambria" w:hAnsi="Cambria"/>
                <w:bCs/>
                <w:sz w:val="20"/>
                <w:szCs w:val="20"/>
                <w:lang w:val="pt-BR"/>
              </w:rPr>
              <w:t>o,</w:t>
            </w:r>
            <w:r w:rsidR="00E34E6B" w:rsidRPr="00D64156">
              <w:rPr>
                <w:rStyle w:val="FootnoteReference"/>
                <w:rFonts w:ascii="Cambria" w:hAnsi="Cambria"/>
                <w:bCs/>
                <w:sz w:val="20"/>
                <w:szCs w:val="20"/>
                <w:lang w:val="pt-BR"/>
              </w:rPr>
              <w:footnoteReference w:id="2"/>
            </w:r>
            <w:r w:rsidRPr="00D64156">
              <w:rPr>
                <w:rFonts w:ascii="Cambria" w:hAnsi="Cambria"/>
                <w:bCs/>
                <w:sz w:val="20"/>
                <w:szCs w:val="20"/>
                <w:lang w:val="pt-BR"/>
              </w:rPr>
              <w:t xml:space="preserve"> Wolf Gruenberg, Betty Guendler Gru</w:t>
            </w:r>
            <w:r w:rsidR="00D075F4">
              <w:rPr>
                <w:rFonts w:ascii="Cambria" w:hAnsi="Cambria"/>
                <w:bCs/>
                <w:sz w:val="20"/>
                <w:szCs w:val="20"/>
                <w:lang w:val="pt-BR"/>
              </w:rPr>
              <w:t>e</w:t>
            </w:r>
            <w:r w:rsidRPr="00D64156">
              <w:rPr>
                <w:rFonts w:ascii="Cambria" w:hAnsi="Cambria"/>
                <w:bCs/>
                <w:sz w:val="20"/>
                <w:szCs w:val="20"/>
                <w:lang w:val="pt-BR"/>
              </w:rPr>
              <w:t>nberg, Martim Almeida Sampaio</w:t>
            </w:r>
          </w:p>
        </w:tc>
      </w:tr>
      <w:tr w:rsidR="003239B8" w:rsidRPr="00D64156" w14:paraId="0D7F9389" w14:textId="77777777" w:rsidTr="005B109A">
        <w:tc>
          <w:tcPr>
            <w:tcW w:w="3600" w:type="dxa"/>
            <w:tcBorders>
              <w:top w:val="single" w:sz="6" w:space="0" w:color="auto"/>
              <w:bottom w:val="single" w:sz="6" w:space="0" w:color="auto"/>
            </w:tcBorders>
            <w:shd w:val="clear" w:color="auto" w:fill="FFC000"/>
            <w:vAlign w:val="center"/>
          </w:tcPr>
          <w:p w14:paraId="481622AE" w14:textId="672C5E98" w:rsidR="003239B8" w:rsidRPr="005B109A" w:rsidRDefault="00E36CE4" w:rsidP="008D2290">
            <w:pPr>
              <w:jc w:val="center"/>
              <w:rPr>
                <w:rFonts w:ascii="Cambria" w:hAnsi="Cambria"/>
                <w:b/>
                <w:bCs/>
                <w:sz w:val="20"/>
                <w:szCs w:val="20"/>
                <w:lang w:val="pt-BR"/>
              </w:rPr>
            </w:pPr>
            <w:sdt>
              <w:sdtPr>
                <w:rPr>
                  <w:rFonts w:ascii="Cambria" w:hAnsi="Cambria"/>
                  <w:b/>
                  <w:bCs/>
                  <w:sz w:val="20"/>
                  <w:szCs w:val="20"/>
                  <w:lang w:val="pt-B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153E7" w:rsidRPr="005B109A">
                  <w:rPr>
                    <w:rFonts w:ascii="Cambria" w:hAnsi="Cambria"/>
                    <w:b/>
                    <w:bCs/>
                    <w:sz w:val="20"/>
                    <w:szCs w:val="20"/>
                    <w:lang w:val="pt-BR"/>
                  </w:rPr>
                  <w:t>Presuntas víctimas</w:t>
                </w:r>
              </w:sdtContent>
            </w:sdt>
            <w:r w:rsidR="003239B8" w:rsidRPr="005B109A">
              <w:rPr>
                <w:rFonts w:ascii="Cambria" w:hAnsi="Cambria"/>
                <w:b/>
                <w:bCs/>
                <w:sz w:val="20"/>
                <w:szCs w:val="20"/>
                <w:lang w:val="pt-BR"/>
              </w:rPr>
              <w:t>:</w:t>
            </w:r>
          </w:p>
        </w:tc>
        <w:tc>
          <w:tcPr>
            <w:tcW w:w="5760" w:type="dxa"/>
            <w:vAlign w:val="center"/>
          </w:tcPr>
          <w:p w14:paraId="143D44A8" w14:textId="3CB494CC" w:rsidR="001D21C7" w:rsidRPr="00247E84" w:rsidRDefault="00E34E6B" w:rsidP="00FC6219">
            <w:pPr>
              <w:jc w:val="both"/>
              <w:rPr>
                <w:rFonts w:ascii="Cambria" w:hAnsi="Cambria"/>
                <w:bCs/>
                <w:sz w:val="20"/>
                <w:szCs w:val="20"/>
              </w:rPr>
            </w:pPr>
            <w:r w:rsidRPr="00247E84">
              <w:rPr>
                <w:rFonts w:ascii="Cambria" w:hAnsi="Cambria"/>
                <w:bCs/>
                <w:sz w:val="20"/>
                <w:szCs w:val="20"/>
              </w:rPr>
              <w:t xml:space="preserve">Wolf Gruenberg </w:t>
            </w:r>
            <w:r w:rsidR="00B153E7" w:rsidRPr="00247E84">
              <w:rPr>
                <w:rFonts w:ascii="Cambria" w:hAnsi="Cambria"/>
                <w:bCs/>
                <w:sz w:val="20"/>
                <w:szCs w:val="20"/>
              </w:rPr>
              <w:t>e</w:t>
            </w:r>
            <w:r w:rsidRPr="00247E84">
              <w:rPr>
                <w:rFonts w:ascii="Cambria" w:hAnsi="Cambria"/>
                <w:bCs/>
                <w:sz w:val="20"/>
                <w:szCs w:val="20"/>
              </w:rPr>
              <w:t xml:space="preserve"> Betty Guendler Gruenberg</w:t>
            </w:r>
          </w:p>
        </w:tc>
      </w:tr>
      <w:tr w:rsidR="003239B8" w:rsidRPr="00D64156" w14:paraId="19F69F82" w14:textId="77777777" w:rsidTr="005B109A">
        <w:tc>
          <w:tcPr>
            <w:tcW w:w="3600" w:type="dxa"/>
            <w:tcBorders>
              <w:top w:val="single" w:sz="6" w:space="0" w:color="auto"/>
              <w:bottom w:val="single" w:sz="6" w:space="0" w:color="auto"/>
            </w:tcBorders>
            <w:shd w:val="clear" w:color="auto" w:fill="FFC000"/>
            <w:vAlign w:val="center"/>
          </w:tcPr>
          <w:p w14:paraId="724BB294" w14:textId="77777777" w:rsidR="003239B8" w:rsidRPr="005B109A" w:rsidRDefault="003239B8" w:rsidP="008D2290">
            <w:pPr>
              <w:jc w:val="center"/>
              <w:rPr>
                <w:rFonts w:ascii="Cambria" w:hAnsi="Cambria"/>
                <w:b/>
                <w:bCs/>
                <w:sz w:val="20"/>
                <w:szCs w:val="20"/>
                <w:lang w:val="pt-BR"/>
              </w:rPr>
            </w:pPr>
            <w:r w:rsidRPr="005B109A">
              <w:rPr>
                <w:rFonts w:ascii="Cambria" w:hAnsi="Cambria"/>
                <w:b/>
                <w:bCs/>
                <w:sz w:val="20"/>
                <w:szCs w:val="20"/>
                <w:lang w:val="pt-BR"/>
              </w:rPr>
              <w:t>Estado denunciado:</w:t>
            </w:r>
          </w:p>
        </w:tc>
        <w:tc>
          <w:tcPr>
            <w:tcW w:w="5760" w:type="dxa"/>
            <w:vAlign w:val="center"/>
          </w:tcPr>
          <w:p w14:paraId="5D0EC05D" w14:textId="40960447" w:rsidR="003239B8" w:rsidRPr="00D64156" w:rsidRDefault="00E34E6B" w:rsidP="008D2290">
            <w:pPr>
              <w:jc w:val="both"/>
              <w:rPr>
                <w:rFonts w:ascii="Cambria" w:hAnsi="Cambria"/>
                <w:bCs/>
                <w:sz w:val="20"/>
                <w:szCs w:val="20"/>
                <w:lang w:val="pt-BR"/>
              </w:rPr>
            </w:pPr>
            <w:r w:rsidRPr="00D64156">
              <w:rPr>
                <w:rFonts w:ascii="Cambria" w:hAnsi="Cambria"/>
                <w:bCs/>
                <w:sz w:val="20"/>
                <w:szCs w:val="20"/>
                <w:lang w:val="pt-BR"/>
              </w:rPr>
              <w:t>Brasil</w:t>
            </w:r>
          </w:p>
        </w:tc>
      </w:tr>
      <w:tr w:rsidR="00223A29" w:rsidRPr="00274D3E" w14:paraId="256E66EF" w14:textId="77777777" w:rsidTr="005B109A">
        <w:tc>
          <w:tcPr>
            <w:tcW w:w="3600" w:type="dxa"/>
            <w:tcBorders>
              <w:top w:val="single" w:sz="6" w:space="0" w:color="auto"/>
              <w:bottom w:val="single" w:sz="6" w:space="0" w:color="auto"/>
            </w:tcBorders>
            <w:shd w:val="clear" w:color="auto" w:fill="FFC000"/>
            <w:vAlign w:val="center"/>
          </w:tcPr>
          <w:p w14:paraId="2551EB09" w14:textId="24D33264" w:rsidR="00223A29" w:rsidRPr="005B109A" w:rsidRDefault="001B3A00" w:rsidP="00E4118C">
            <w:pPr>
              <w:jc w:val="center"/>
              <w:rPr>
                <w:rFonts w:ascii="Cambria" w:hAnsi="Cambria"/>
                <w:b/>
                <w:bCs/>
                <w:sz w:val="20"/>
                <w:szCs w:val="20"/>
                <w:lang w:val="pt-BR"/>
              </w:rPr>
            </w:pPr>
            <w:r w:rsidRPr="005B109A">
              <w:rPr>
                <w:rFonts w:ascii="Cambria" w:hAnsi="Cambria"/>
                <w:b/>
                <w:bCs/>
                <w:sz w:val="20"/>
                <w:szCs w:val="20"/>
                <w:lang w:val="pt-BR"/>
              </w:rPr>
              <w:t>D</w:t>
            </w:r>
            <w:r w:rsidR="00B153E7" w:rsidRPr="005B109A">
              <w:rPr>
                <w:rFonts w:ascii="Cambria" w:hAnsi="Cambria"/>
                <w:b/>
                <w:bCs/>
                <w:sz w:val="20"/>
                <w:szCs w:val="20"/>
                <w:lang w:val="pt-BR"/>
              </w:rPr>
              <w:t xml:space="preserve">ireitos </w:t>
            </w:r>
            <w:r w:rsidR="00E4118C" w:rsidRPr="005B109A">
              <w:rPr>
                <w:rFonts w:ascii="Cambria" w:hAnsi="Cambria"/>
                <w:b/>
                <w:bCs/>
                <w:sz w:val="20"/>
                <w:szCs w:val="20"/>
                <w:lang w:val="pt-BR"/>
              </w:rPr>
              <w:t>invocados</w:t>
            </w:r>
            <w:r w:rsidRPr="005B109A">
              <w:rPr>
                <w:rFonts w:ascii="Cambria" w:hAnsi="Cambria"/>
                <w:b/>
                <w:bCs/>
                <w:sz w:val="20"/>
                <w:szCs w:val="20"/>
                <w:lang w:val="pt-BR"/>
              </w:rPr>
              <w:t>:</w:t>
            </w:r>
          </w:p>
        </w:tc>
        <w:tc>
          <w:tcPr>
            <w:tcW w:w="5760" w:type="dxa"/>
            <w:vAlign w:val="center"/>
          </w:tcPr>
          <w:p w14:paraId="52B28392" w14:textId="3B6E922C" w:rsidR="00223A29" w:rsidRPr="00D64156" w:rsidRDefault="00B153E7" w:rsidP="008D2290">
            <w:pPr>
              <w:jc w:val="both"/>
              <w:rPr>
                <w:rFonts w:ascii="Cambria" w:hAnsi="Cambria"/>
                <w:bCs/>
                <w:sz w:val="20"/>
                <w:szCs w:val="20"/>
                <w:lang w:val="pt-BR"/>
              </w:rPr>
            </w:pPr>
            <w:r w:rsidRPr="00D64156">
              <w:rPr>
                <w:rFonts w:ascii="Cambria" w:hAnsi="Cambria"/>
                <w:bCs/>
                <w:sz w:val="20"/>
                <w:szCs w:val="20"/>
                <w:lang w:val="pt-BR" w:bidi="es-ES"/>
              </w:rPr>
              <w:t>Artigos</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5 (</w:t>
            </w:r>
            <w:r w:rsidRPr="00D64156">
              <w:rPr>
                <w:rFonts w:ascii="Cambria" w:hAnsi="Cambria"/>
                <w:bCs/>
                <w:sz w:val="20"/>
                <w:szCs w:val="20"/>
                <w:lang w:val="pt-BR" w:bidi="es-ES"/>
              </w:rPr>
              <w:t>integridade</w:t>
            </w:r>
            <w:r w:rsidR="008C6385">
              <w:rPr>
                <w:rFonts w:ascii="Cambria" w:hAnsi="Cambria"/>
                <w:bCs/>
                <w:sz w:val="20"/>
                <w:szCs w:val="20"/>
                <w:lang w:val="pt-BR" w:bidi="es-ES"/>
              </w:rPr>
              <w:t xml:space="preserve"> </w:t>
            </w:r>
            <w:r w:rsidRPr="00D64156">
              <w:rPr>
                <w:rFonts w:ascii="Cambria" w:hAnsi="Cambria"/>
                <w:bCs/>
                <w:sz w:val="20"/>
                <w:szCs w:val="20"/>
                <w:lang w:val="pt-BR" w:bidi="es-ES"/>
              </w:rPr>
              <w:t>pessoal</w:t>
            </w:r>
            <w:r w:rsidR="00E34E6B" w:rsidRPr="00D64156">
              <w:rPr>
                <w:rFonts w:ascii="Cambria" w:hAnsi="Cambria"/>
                <w:bCs/>
                <w:sz w:val="20"/>
                <w:szCs w:val="20"/>
                <w:lang w:val="pt-BR" w:bidi="es-ES"/>
              </w:rPr>
              <w:t>), 7 (</w:t>
            </w:r>
            <w:r w:rsidRPr="00D64156">
              <w:rPr>
                <w:rFonts w:ascii="Cambria" w:hAnsi="Cambria"/>
                <w:bCs/>
                <w:sz w:val="20"/>
                <w:szCs w:val="20"/>
                <w:lang w:val="pt-BR" w:bidi="es-ES"/>
              </w:rPr>
              <w:t>liberdade</w:t>
            </w:r>
            <w:r w:rsidR="008C6385">
              <w:rPr>
                <w:rFonts w:ascii="Cambria" w:hAnsi="Cambria"/>
                <w:bCs/>
                <w:sz w:val="20"/>
                <w:szCs w:val="20"/>
                <w:lang w:val="pt-BR" w:bidi="es-ES"/>
              </w:rPr>
              <w:t xml:space="preserve"> </w:t>
            </w:r>
            <w:r w:rsidRPr="00D64156">
              <w:rPr>
                <w:rFonts w:ascii="Cambria" w:hAnsi="Cambria"/>
                <w:bCs/>
                <w:sz w:val="20"/>
                <w:szCs w:val="20"/>
                <w:lang w:val="pt-BR" w:bidi="es-ES"/>
              </w:rPr>
              <w:t>pessoal</w:t>
            </w:r>
            <w:r w:rsidR="00E34E6B" w:rsidRPr="00D64156">
              <w:rPr>
                <w:rFonts w:ascii="Cambria" w:hAnsi="Cambria"/>
                <w:bCs/>
                <w:sz w:val="20"/>
                <w:szCs w:val="20"/>
                <w:lang w:val="pt-BR" w:bidi="es-ES"/>
              </w:rPr>
              <w:t>), 8 (</w:t>
            </w:r>
            <w:r w:rsidRPr="00D64156">
              <w:rPr>
                <w:rFonts w:ascii="Cambria" w:hAnsi="Cambria"/>
                <w:bCs/>
                <w:sz w:val="20"/>
                <w:szCs w:val="20"/>
                <w:lang w:val="pt-BR" w:bidi="es-ES"/>
              </w:rPr>
              <w:t>garantias</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judici</w:t>
            </w:r>
            <w:r w:rsidRPr="00D64156">
              <w:rPr>
                <w:rFonts w:ascii="Cambria" w:hAnsi="Cambria"/>
                <w:bCs/>
                <w:sz w:val="20"/>
                <w:szCs w:val="20"/>
                <w:lang w:val="pt-BR" w:bidi="es-ES"/>
              </w:rPr>
              <w:t>ais</w:t>
            </w:r>
            <w:r w:rsidR="00E34E6B" w:rsidRPr="00D64156">
              <w:rPr>
                <w:rFonts w:ascii="Cambria" w:hAnsi="Cambria"/>
                <w:bCs/>
                <w:sz w:val="20"/>
                <w:szCs w:val="20"/>
                <w:lang w:val="pt-BR" w:bidi="es-ES"/>
              </w:rPr>
              <w:t>), 10 (</w:t>
            </w:r>
            <w:r w:rsidRPr="00D64156">
              <w:rPr>
                <w:rFonts w:ascii="Cambria" w:hAnsi="Cambria"/>
                <w:bCs/>
                <w:sz w:val="20"/>
                <w:szCs w:val="20"/>
                <w:lang w:val="pt-BR" w:bidi="es-ES"/>
              </w:rPr>
              <w:t>indenização</w:t>
            </w:r>
            <w:r w:rsidR="00E34E6B" w:rsidRPr="00D64156">
              <w:rPr>
                <w:rFonts w:ascii="Cambria" w:hAnsi="Cambria"/>
                <w:bCs/>
                <w:sz w:val="20"/>
                <w:szCs w:val="20"/>
                <w:lang w:val="pt-BR" w:bidi="es-ES"/>
              </w:rPr>
              <w:t>), 11 (prote</w:t>
            </w:r>
            <w:r w:rsidRPr="00D64156">
              <w:rPr>
                <w:rFonts w:ascii="Cambria" w:hAnsi="Cambria"/>
                <w:bCs/>
                <w:sz w:val="20"/>
                <w:szCs w:val="20"/>
                <w:lang w:val="pt-BR" w:bidi="es-ES"/>
              </w:rPr>
              <w:t>ção</w:t>
            </w:r>
            <w:r w:rsidR="00E34E6B" w:rsidRPr="00D64156">
              <w:rPr>
                <w:rFonts w:ascii="Cambria" w:hAnsi="Cambria"/>
                <w:bCs/>
                <w:sz w:val="20"/>
                <w:szCs w:val="20"/>
                <w:lang w:val="pt-BR" w:bidi="es-ES"/>
              </w:rPr>
              <w:t xml:space="preserve"> d</w:t>
            </w:r>
            <w:r w:rsidRPr="00D64156">
              <w:rPr>
                <w:rFonts w:ascii="Cambria" w:hAnsi="Cambria"/>
                <w:bCs/>
                <w:sz w:val="20"/>
                <w:szCs w:val="20"/>
                <w:lang w:val="pt-BR" w:bidi="es-ES"/>
              </w:rPr>
              <w:t>a</w:t>
            </w:r>
            <w:r w:rsidR="00E34E6B" w:rsidRPr="00D64156">
              <w:rPr>
                <w:rFonts w:ascii="Cambria" w:hAnsi="Cambria"/>
                <w:bCs/>
                <w:sz w:val="20"/>
                <w:szCs w:val="20"/>
                <w:lang w:val="pt-BR" w:bidi="es-ES"/>
              </w:rPr>
              <w:t xml:space="preserve"> </w:t>
            </w:r>
            <w:r w:rsidRPr="00D64156">
              <w:rPr>
                <w:rFonts w:ascii="Cambria" w:hAnsi="Cambria"/>
                <w:bCs/>
                <w:sz w:val="20"/>
                <w:szCs w:val="20"/>
                <w:lang w:val="pt-BR" w:bidi="es-ES"/>
              </w:rPr>
              <w:t>honra</w:t>
            </w:r>
            <w:r w:rsidR="008C6385">
              <w:rPr>
                <w:rFonts w:ascii="Cambria" w:hAnsi="Cambria"/>
                <w:bCs/>
                <w:sz w:val="20"/>
                <w:szCs w:val="20"/>
                <w:lang w:val="pt-BR" w:bidi="es-ES"/>
              </w:rPr>
              <w:t xml:space="preserve"> </w:t>
            </w:r>
            <w:r w:rsidRPr="00D64156">
              <w:rPr>
                <w:rFonts w:ascii="Cambria" w:hAnsi="Cambria"/>
                <w:bCs/>
                <w:sz w:val="20"/>
                <w:szCs w:val="20"/>
                <w:lang w:val="pt-BR" w:bidi="es-ES"/>
              </w:rPr>
              <w:t>e</w:t>
            </w:r>
            <w:r w:rsidR="00E34E6B" w:rsidRPr="00D64156">
              <w:rPr>
                <w:rFonts w:ascii="Cambria" w:hAnsi="Cambria"/>
                <w:bCs/>
                <w:sz w:val="20"/>
                <w:szCs w:val="20"/>
                <w:lang w:val="pt-BR" w:bidi="es-ES"/>
              </w:rPr>
              <w:t xml:space="preserve"> </w:t>
            </w:r>
            <w:r w:rsidRPr="00D64156">
              <w:rPr>
                <w:rFonts w:ascii="Cambria" w:hAnsi="Cambria"/>
                <w:bCs/>
                <w:sz w:val="20"/>
                <w:szCs w:val="20"/>
                <w:lang w:val="pt-BR" w:bidi="es-ES"/>
              </w:rPr>
              <w:t>da dignidade</w:t>
            </w:r>
            <w:r w:rsidR="00E34E6B" w:rsidRPr="00D64156">
              <w:rPr>
                <w:rFonts w:ascii="Cambria" w:hAnsi="Cambria"/>
                <w:bCs/>
                <w:sz w:val="20"/>
                <w:szCs w:val="20"/>
                <w:lang w:val="pt-BR" w:bidi="es-ES"/>
              </w:rPr>
              <w:t>), 14 (retifica</w:t>
            </w:r>
            <w:r w:rsidRPr="00D64156">
              <w:rPr>
                <w:rFonts w:ascii="Cambria" w:hAnsi="Cambria"/>
                <w:bCs/>
                <w:sz w:val="20"/>
                <w:szCs w:val="20"/>
                <w:lang w:val="pt-BR" w:bidi="es-ES"/>
              </w:rPr>
              <w:t>ção</w:t>
            </w:r>
            <w:r w:rsidR="00E34E6B" w:rsidRPr="00D64156">
              <w:rPr>
                <w:rFonts w:ascii="Cambria" w:hAnsi="Cambria"/>
                <w:bCs/>
                <w:sz w:val="20"/>
                <w:szCs w:val="20"/>
                <w:lang w:val="pt-BR" w:bidi="es-ES"/>
              </w:rPr>
              <w:t xml:space="preserve"> o</w:t>
            </w:r>
            <w:r w:rsidRPr="00D64156">
              <w:rPr>
                <w:rFonts w:ascii="Cambria" w:hAnsi="Cambria"/>
                <w:bCs/>
                <w:sz w:val="20"/>
                <w:szCs w:val="20"/>
                <w:lang w:val="pt-BR" w:bidi="es-ES"/>
              </w:rPr>
              <w:t>u</w:t>
            </w:r>
            <w:r w:rsidR="00E34E6B" w:rsidRPr="00D64156">
              <w:rPr>
                <w:rFonts w:ascii="Cambria" w:hAnsi="Cambria"/>
                <w:bCs/>
                <w:sz w:val="20"/>
                <w:szCs w:val="20"/>
                <w:lang w:val="pt-BR" w:bidi="es-ES"/>
              </w:rPr>
              <w:t xml:space="preserve"> réplica), 21 (</w:t>
            </w:r>
            <w:r w:rsidRPr="00D64156">
              <w:rPr>
                <w:rFonts w:ascii="Cambria" w:hAnsi="Cambria"/>
                <w:bCs/>
                <w:sz w:val="20"/>
                <w:szCs w:val="20"/>
                <w:lang w:val="pt-BR" w:bidi="es-ES"/>
              </w:rPr>
              <w:t>propriedade</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privada), 24 (</w:t>
            </w:r>
            <w:r w:rsidRPr="00D64156">
              <w:rPr>
                <w:rFonts w:ascii="Cambria" w:hAnsi="Cambria"/>
                <w:bCs/>
                <w:sz w:val="20"/>
                <w:szCs w:val="20"/>
                <w:lang w:val="pt-BR" w:bidi="es-ES"/>
              </w:rPr>
              <w:t>igualdade</w:t>
            </w:r>
            <w:r w:rsidR="008C6385">
              <w:rPr>
                <w:rFonts w:ascii="Cambria" w:hAnsi="Cambria"/>
                <w:bCs/>
                <w:sz w:val="20"/>
                <w:szCs w:val="20"/>
                <w:lang w:val="pt-BR" w:bidi="es-ES"/>
              </w:rPr>
              <w:t xml:space="preserve"> </w:t>
            </w:r>
            <w:r w:rsidRPr="00D64156">
              <w:rPr>
                <w:rFonts w:ascii="Cambria" w:hAnsi="Cambria"/>
                <w:bCs/>
                <w:sz w:val="20"/>
                <w:szCs w:val="20"/>
                <w:lang w:val="pt-BR" w:bidi="es-ES"/>
              </w:rPr>
              <w:t>per</w:t>
            </w:r>
            <w:r w:rsidR="00E34E6B" w:rsidRPr="00D64156">
              <w:rPr>
                <w:rFonts w:ascii="Cambria" w:hAnsi="Cambria"/>
                <w:bCs/>
                <w:sz w:val="20"/>
                <w:szCs w:val="20"/>
                <w:lang w:val="pt-BR" w:bidi="es-ES"/>
              </w:rPr>
              <w:t xml:space="preserve">ante a </w:t>
            </w:r>
            <w:r w:rsidRPr="00D64156">
              <w:rPr>
                <w:rFonts w:ascii="Cambria" w:hAnsi="Cambria"/>
                <w:bCs/>
                <w:sz w:val="20"/>
                <w:szCs w:val="20"/>
                <w:lang w:val="pt-BR" w:bidi="es-ES"/>
              </w:rPr>
              <w:t>lei</w:t>
            </w:r>
            <w:r w:rsidR="00E34E6B" w:rsidRPr="00D64156">
              <w:rPr>
                <w:rFonts w:ascii="Cambria" w:hAnsi="Cambria"/>
                <w:bCs/>
                <w:sz w:val="20"/>
                <w:szCs w:val="20"/>
                <w:lang w:val="pt-BR" w:bidi="es-ES"/>
              </w:rPr>
              <w:t>), 25 (prote</w:t>
            </w:r>
            <w:r w:rsidRPr="00D64156">
              <w:rPr>
                <w:rFonts w:ascii="Cambria" w:hAnsi="Cambria"/>
                <w:bCs/>
                <w:sz w:val="20"/>
                <w:szCs w:val="20"/>
                <w:lang w:val="pt-BR" w:bidi="es-ES"/>
              </w:rPr>
              <w:t>ção</w:t>
            </w:r>
            <w:r w:rsidR="00E34E6B" w:rsidRPr="00D64156">
              <w:rPr>
                <w:rFonts w:ascii="Cambria" w:hAnsi="Cambria"/>
                <w:bCs/>
                <w:sz w:val="20"/>
                <w:szCs w:val="20"/>
                <w:lang w:val="pt-BR" w:bidi="es-ES"/>
              </w:rPr>
              <w:t xml:space="preserve"> judicial) </w:t>
            </w:r>
            <w:r w:rsidRPr="00D64156">
              <w:rPr>
                <w:rFonts w:ascii="Cambria" w:hAnsi="Cambria"/>
                <w:bCs/>
                <w:sz w:val="20"/>
                <w:szCs w:val="20"/>
                <w:lang w:val="pt-BR" w:bidi="es-ES"/>
              </w:rPr>
              <w:t xml:space="preserve">da </w:t>
            </w:r>
            <w:r w:rsidR="00E34E6B" w:rsidRPr="00D64156">
              <w:rPr>
                <w:rFonts w:ascii="Cambria" w:hAnsi="Cambria"/>
                <w:bCs/>
                <w:sz w:val="20"/>
                <w:szCs w:val="20"/>
                <w:lang w:val="pt-BR" w:bidi="es-ES"/>
              </w:rPr>
              <w:t>Conven</w:t>
            </w:r>
            <w:r w:rsidRPr="00D64156">
              <w:rPr>
                <w:rFonts w:ascii="Cambria" w:hAnsi="Cambria"/>
                <w:bCs/>
                <w:sz w:val="20"/>
                <w:szCs w:val="20"/>
                <w:lang w:val="pt-BR" w:bidi="es-ES"/>
              </w:rPr>
              <w:t>ção</w:t>
            </w:r>
            <w:r w:rsidR="00E34E6B" w:rsidRPr="00D64156">
              <w:rPr>
                <w:rFonts w:ascii="Cambria" w:hAnsi="Cambria"/>
                <w:bCs/>
                <w:sz w:val="20"/>
                <w:szCs w:val="20"/>
                <w:lang w:val="pt-BR" w:bidi="es-ES"/>
              </w:rPr>
              <w:t xml:space="preserve"> Americana sobre </w:t>
            </w:r>
            <w:r w:rsidRPr="00D64156">
              <w:rPr>
                <w:rFonts w:ascii="Cambria" w:hAnsi="Cambria"/>
                <w:bCs/>
                <w:sz w:val="20"/>
                <w:szCs w:val="20"/>
                <w:lang w:val="pt-BR" w:bidi="es-ES"/>
              </w:rPr>
              <w:t>Direitos</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Humanos</w:t>
            </w:r>
            <w:r w:rsidR="00123203" w:rsidRPr="00D64156">
              <w:rPr>
                <w:rStyle w:val="FootnoteReference"/>
                <w:rFonts w:ascii="Cambria" w:hAnsi="Cambria"/>
                <w:bCs/>
                <w:sz w:val="20"/>
                <w:szCs w:val="20"/>
                <w:lang w:val="pt-BR" w:bidi="es-ES"/>
              </w:rPr>
              <w:footnoteReference w:id="3"/>
            </w:r>
            <w:r w:rsidR="00E34E6B" w:rsidRPr="00D64156">
              <w:rPr>
                <w:rFonts w:ascii="Cambria" w:hAnsi="Cambria"/>
                <w:bCs/>
                <w:sz w:val="20"/>
                <w:szCs w:val="20"/>
                <w:lang w:val="pt-BR" w:bidi="es-ES"/>
              </w:rPr>
              <w:t xml:space="preserve"> e</w:t>
            </w:r>
            <w:r w:rsidRPr="00D64156">
              <w:rPr>
                <w:rFonts w:ascii="Cambria" w:hAnsi="Cambria"/>
                <w:bCs/>
                <w:sz w:val="20"/>
                <w:szCs w:val="20"/>
                <w:lang w:val="pt-BR" w:bidi="es-ES"/>
              </w:rPr>
              <w:t>m</w:t>
            </w:r>
            <w:r w:rsidR="00E34E6B" w:rsidRPr="00D64156">
              <w:rPr>
                <w:rFonts w:ascii="Cambria" w:hAnsi="Cambria"/>
                <w:bCs/>
                <w:sz w:val="20"/>
                <w:szCs w:val="20"/>
                <w:lang w:val="pt-BR" w:bidi="es-ES"/>
              </w:rPr>
              <w:t xml:space="preserve"> rela</w:t>
            </w:r>
            <w:r w:rsidRPr="00D64156">
              <w:rPr>
                <w:rFonts w:ascii="Cambria" w:hAnsi="Cambria"/>
                <w:bCs/>
                <w:sz w:val="20"/>
                <w:szCs w:val="20"/>
                <w:lang w:val="pt-BR" w:bidi="es-ES"/>
              </w:rPr>
              <w:t>ção</w:t>
            </w:r>
            <w:r w:rsidR="00E34E6B" w:rsidRPr="00D64156">
              <w:rPr>
                <w:rFonts w:ascii="Cambria" w:hAnsi="Cambria"/>
                <w:bCs/>
                <w:sz w:val="20"/>
                <w:szCs w:val="20"/>
                <w:lang w:val="pt-BR" w:bidi="es-ES"/>
              </w:rPr>
              <w:t xml:space="preserve"> </w:t>
            </w:r>
            <w:r w:rsidRPr="00D64156">
              <w:rPr>
                <w:rFonts w:ascii="Cambria" w:hAnsi="Cambria"/>
                <w:bCs/>
                <w:sz w:val="20"/>
                <w:szCs w:val="20"/>
                <w:lang w:val="pt-BR" w:bidi="es-ES"/>
              </w:rPr>
              <w:t>aos artigos</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1 (</w:t>
            </w:r>
            <w:r w:rsidRPr="00D64156">
              <w:rPr>
                <w:rFonts w:ascii="Cambria" w:hAnsi="Cambria"/>
                <w:bCs/>
                <w:sz w:val="20"/>
                <w:szCs w:val="20"/>
                <w:lang w:val="pt-BR" w:bidi="es-ES"/>
              </w:rPr>
              <w:t>obrigação</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 xml:space="preserve">de </w:t>
            </w:r>
            <w:r w:rsidRPr="00D64156">
              <w:rPr>
                <w:rFonts w:ascii="Cambria" w:hAnsi="Cambria"/>
                <w:bCs/>
                <w:sz w:val="20"/>
                <w:szCs w:val="20"/>
                <w:lang w:val="pt-BR" w:bidi="es-ES"/>
              </w:rPr>
              <w:t>respeitar</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 xml:space="preserve">os </w:t>
            </w:r>
            <w:r w:rsidRPr="00D64156">
              <w:rPr>
                <w:rFonts w:ascii="Cambria" w:hAnsi="Cambria"/>
                <w:bCs/>
                <w:sz w:val="20"/>
                <w:szCs w:val="20"/>
                <w:lang w:val="pt-BR" w:bidi="es-ES"/>
              </w:rPr>
              <w:t>direitos</w:t>
            </w:r>
            <w:r w:rsidR="00E34E6B" w:rsidRPr="00D64156">
              <w:rPr>
                <w:rFonts w:ascii="Cambria" w:hAnsi="Cambria"/>
                <w:bCs/>
                <w:sz w:val="20"/>
                <w:szCs w:val="20"/>
                <w:lang w:val="pt-BR" w:bidi="es-ES"/>
              </w:rPr>
              <w:t xml:space="preserve">) </w:t>
            </w:r>
            <w:r w:rsidRPr="00D64156">
              <w:rPr>
                <w:rFonts w:ascii="Cambria" w:hAnsi="Cambria"/>
                <w:bCs/>
                <w:sz w:val="20"/>
                <w:szCs w:val="20"/>
                <w:lang w:val="pt-BR" w:bidi="es-ES"/>
              </w:rPr>
              <w:t>e</w:t>
            </w:r>
            <w:r w:rsidR="00E34E6B" w:rsidRPr="00D64156">
              <w:rPr>
                <w:rFonts w:ascii="Cambria" w:hAnsi="Cambria"/>
                <w:bCs/>
                <w:sz w:val="20"/>
                <w:szCs w:val="20"/>
                <w:lang w:val="pt-BR" w:bidi="es-ES"/>
              </w:rPr>
              <w:t xml:space="preserve"> 2 (</w:t>
            </w:r>
            <w:r w:rsidRPr="00D64156">
              <w:rPr>
                <w:rFonts w:ascii="Cambria" w:hAnsi="Cambria"/>
                <w:bCs/>
                <w:sz w:val="20"/>
                <w:szCs w:val="20"/>
                <w:lang w:val="pt-BR" w:bidi="es-ES"/>
              </w:rPr>
              <w:t xml:space="preserve">dever </w:t>
            </w:r>
            <w:r w:rsidR="00E34E6B" w:rsidRPr="00D64156">
              <w:rPr>
                <w:rFonts w:ascii="Cambria" w:hAnsi="Cambria"/>
                <w:bCs/>
                <w:sz w:val="20"/>
                <w:szCs w:val="20"/>
                <w:lang w:val="pt-BR" w:bidi="es-ES"/>
              </w:rPr>
              <w:t>de adotar disposi</w:t>
            </w:r>
            <w:r w:rsidRPr="00D64156">
              <w:rPr>
                <w:rFonts w:ascii="Cambria" w:hAnsi="Cambria"/>
                <w:bCs/>
                <w:sz w:val="20"/>
                <w:szCs w:val="20"/>
                <w:lang w:val="pt-BR" w:bidi="es-ES"/>
              </w:rPr>
              <w:t>ções</w:t>
            </w:r>
            <w:r w:rsidR="00E34E6B" w:rsidRPr="00D64156">
              <w:rPr>
                <w:rFonts w:ascii="Cambria" w:hAnsi="Cambria"/>
                <w:bCs/>
                <w:sz w:val="20"/>
                <w:szCs w:val="20"/>
                <w:lang w:val="pt-BR" w:bidi="es-ES"/>
              </w:rPr>
              <w:t xml:space="preserve"> de </w:t>
            </w:r>
            <w:r w:rsidRPr="00D64156">
              <w:rPr>
                <w:rFonts w:ascii="Cambria" w:hAnsi="Cambria"/>
                <w:bCs/>
                <w:sz w:val="20"/>
                <w:szCs w:val="20"/>
                <w:lang w:val="pt-BR" w:bidi="es-ES"/>
              </w:rPr>
              <w:t>direito</w:t>
            </w:r>
            <w:r w:rsidR="008C6385">
              <w:rPr>
                <w:rFonts w:ascii="Cambria" w:hAnsi="Cambria"/>
                <w:bCs/>
                <w:sz w:val="20"/>
                <w:szCs w:val="20"/>
                <w:lang w:val="pt-BR" w:bidi="es-ES"/>
              </w:rPr>
              <w:t xml:space="preserve"> </w:t>
            </w:r>
            <w:r w:rsidR="00E34E6B" w:rsidRPr="00D64156">
              <w:rPr>
                <w:rFonts w:ascii="Cambria" w:hAnsi="Cambria"/>
                <w:bCs/>
                <w:sz w:val="20"/>
                <w:szCs w:val="20"/>
                <w:lang w:val="pt-BR" w:bidi="es-ES"/>
              </w:rPr>
              <w:t xml:space="preserve">interno) </w:t>
            </w:r>
          </w:p>
        </w:tc>
      </w:tr>
    </w:tbl>
    <w:p w14:paraId="176FB213" w14:textId="2F27C9EF" w:rsidR="003239B8" w:rsidRPr="00D075F4" w:rsidRDefault="003239B8" w:rsidP="003239B8">
      <w:pPr>
        <w:spacing w:before="240" w:after="240"/>
        <w:ind w:firstLine="720"/>
        <w:jc w:val="both"/>
        <w:rPr>
          <w:rFonts w:asciiTheme="majorHAnsi" w:hAnsiTheme="majorHAnsi"/>
          <w:b/>
          <w:bCs/>
          <w:sz w:val="20"/>
          <w:szCs w:val="20"/>
          <w:lang w:val="pt-BR"/>
        </w:rPr>
      </w:pPr>
      <w:r w:rsidRPr="00D075F4">
        <w:rPr>
          <w:rFonts w:asciiTheme="majorHAnsi" w:hAnsiTheme="majorHAnsi"/>
          <w:b/>
          <w:bCs/>
          <w:sz w:val="20"/>
          <w:szCs w:val="20"/>
          <w:lang w:val="pt-BR"/>
        </w:rPr>
        <w:t>II.</w:t>
      </w:r>
      <w:r w:rsidRPr="00D075F4">
        <w:rPr>
          <w:rFonts w:asciiTheme="majorHAnsi" w:hAnsiTheme="majorHAnsi"/>
          <w:b/>
          <w:bCs/>
          <w:sz w:val="20"/>
          <w:szCs w:val="20"/>
          <w:lang w:val="pt-BR"/>
        </w:rPr>
        <w:tab/>
        <w:t>TR</w:t>
      </w:r>
      <w:r w:rsidR="00D075F4" w:rsidRPr="00D075F4">
        <w:rPr>
          <w:rFonts w:asciiTheme="majorHAnsi" w:hAnsiTheme="majorHAnsi"/>
          <w:b/>
          <w:bCs/>
          <w:sz w:val="20"/>
          <w:szCs w:val="20"/>
          <w:lang w:val="pt-BR"/>
        </w:rPr>
        <w:t>A</w:t>
      </w:r>
      <w:r w:rsidRPr="00D075F4">
        <w:rPr>
          <w:rFonts w:asciiTheme="majorHAnsi" w:hAnsiTheme="majorHAnsi"/>
          <w:b/>
          <w:bCs/>
          <w:sz w:val="20"/>
          <w:szCs w:val="20"/>
          <w:lang w:val="pt-BR"/>
        </w:rPr>
        <w:t>MIT</w:t>
      </w:r>
      <w:r w:rsidR="00D075F4" w:rsidRPr="00D075F4">
        <w:rPr>
          <w:rFonts w:asciiTheme="majorHAnsi" w:hAnsiTheme="majorHAnsi"/>
          <w:b/>
          <w:bCs/>
          <w:sz w:val="20"/>
          <w:szCs w:val="20"/>
          <w:lang w:val="pt-BR"/>
        </w:rPr>
        <w:t xml:space="preserve">AÇÃO NA </w:t>
      </w:r>
      <w:r w:rsidRPr="00D075F4">
        <w:rPr>
          <w:rFonts w:asciiTheme="majorHAnsi" w:hAnsiTheme="majorHAnsi"/>
          <w:b/>
          <w:bCs/>
          <w:sz w:val="20"/>
          <w:szCs w:val="20"/>
          <w:lang w:val="pt-BR"/>
        </w:rPr>
        <w:t>CIDH</w:t>
      </w:r>
      <w:r w:rsidR="008E3BFE" w:rsidRPr="00D64156">
        <w:rPr>
          <w:rStyle w:val="FootnoteReference"/>
          <w:rFonts w:ascii="Cambria" w:hAnsi="Cambria"/>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64156" w14:paraId="1D831514" w14:textId="77777777" w:rsidTr="005B109A">
        <w:tc>
          <w:tcPr>
            <w:tcW w:w="3600" w:type="dxa"/>
            <w:tcBorders>
              <w:top w:val="single" w:sz="6" w:space="0" w:color="auto"/>
              <w:bottom w:val="single" w:sz="6" w:space="0" w:color="auto"/>
            </w:tcBorders>
            <w:shd w:val="clear" w:color="auto" w:fill="FFC000"/>
            <w:vAlign w:val="center"/>
          </w:tcPr>
          <w:p w14:paraId="330F2ED0" w14:textId="1C485343" w:rsidR="004C2312" w:rsidRPr="005B109A" w:rsidRDefault="00B153E7" w:rsidP="004A6A54">
            <w:pPr>
              <w:jc w:val="center"/>
              <w:rPr>
                <w:rFonts w:ascii="Cambria" w:hAnsi="Cambria"/>
                <w:b/>
                <w:bCs/>
                <w:sz w:val="20"/>
                <w:szCs w:val="20"/>
                <w:lang w:val="pt-BR"/>
              </w:rPr>
            </w:pPr>
            <w:r w:rsidRPr="005B109A">
              <w:rPr>
                <w:rFonts w:ascii="Cambria" w:hAnsi="Cambria"/>
                <w:b/>
                <w:bCs/>
                <w:sz w:val="20"/>
                <w:szCs w:val="20"/>
                <w:lang w:val="pt-BR"/>
              </w:rPr>
              <w:t>Apr</w:t>
            </w:r>
            <w:r w:rsidR="004C2312" w:rsidRPr="005B109A">
              <w:rPr>
                <w:rFonts w:ascii="Cambria" w:hAnsi="Cambria"/>
                <w:b/>
                <w:bCs/>
                <w:sz w:val="20"/>
                <w:szCs w:val="20"/>
                <w:lang w:val="pt-BR"/>
              </w:rPr>
              <w:t>esenta</w:t>
            </w:r>
            <w:r w:rsidRPr="005B109A">
              <w:rPr>
                <w:rFonts w:ascii="Cambria" w:hAnsi="Cambria"/>
                <w:b/>
                <w:bCs/>
                <w:sz w:val="20"/>
                <w:szCs w:val="20"/>
                <w:lang w:val="pt-BR"/>
              </w:rPr>
              <w:t>ção</w:t>
            </w:r>
            <w:r w:rsidR="004C2312" w:rsidRPr="005B109A">
              <w:rPr>
                <w:rFonts w:ascii="Cambria" w:hAnsi="Cambria"/>
                <w:b/>
                <w:bCs/>
                <w:sz w:val="20"/>
                <w:szCs w:val="20"/>
                <w:lang w:val="pt-BR"/>
              </w:rPr>
              <w:t xml:space="preserve"> </w:t>
            </w:r>
            <w:r w:rsidRPr="005B109A">
              <w:rPr>
                <w:rFonts w:ascii="Cambria" w:hAnsi="Cambria"/>
                <w:b/>
                <w:bCs/>
                <w:sz w:val="20"/>
                <w:szCs w:val="20"/>
                <w:lang w:val="pt-BR"/>
              </w:rPr>
              <w:t xml:space="preserve">da </w:t>
            </w:r>
            <w:r w:rsidR="004C2312" w:rsidRPr="005B109A">
              <w:rPr>
                <w:rFonts w:ascii="Cambria" w:hAnsi="Cambria"/>
                <w:b/>
                <w:bCs/>
                <w:sz w:val="20"/>
                <w:szCs w:val="20"/>
                <w:lang w:val="pt-BR"/>
              </w:rPr>
              <w:t>peti</w:t>
            </w:r>
            <w:r w:rsidRPr="005B109A">
              <w:rPr>
                <w:rFonts w:ascii="Cambria" w:hAnsi="Cambria"/>
                <w:b/>
                <w:bCs/>
                <w:sz w:val="20"/>
                <w:szCs w:val="20"/>
                <w:lang w:val="pt-BR"/>
              </w:rPr>
              <w:t>ção</w:t>
            </w:r>
            <w:r w:rsidR="004C2312" w:rsidRPr="005B109A">
              <w:rPr>
                <w:rFonts w:ascii="Cambria" w:hAnsi="Cambria"/>
                <w:b/>
                <w:bCs/>
                <w:sz w:val="20"/>
                <w:szCs w:val="20"/>
                <w:lang w:val="pt-BR"/>
              </w:rPr>
              <w:t>:</w:t>
            </w:r>
          </w:p>
        </w:tc>
        <w:tc>
          <w:tcPr>
            <w:tcW w:w="5760" w:type="dxa"/>
            <w:vAlign w:val="center"/>
          </w:tcPr>
          <w:p w14:paraId="6883A5F8" w14:textId="0ABDEEF5" w:rsidR="004C2312" w:rsidRPr="00D64156" w:rsidRDefault="00E34E6B" w:rsidP="002625EA">
            <w:pPr>
              <w:jc w:val="both"/>
              <w:rPr>
                <w:rFonts w:ascii="Cambria" w:hAnsi="Cambria"/>
                <w:bCs/>
                <w:sz w:val="20"/>
                <w:szCs w:val="20"/>
                <w:lang w:val="pt-BR"/>
              </w:rPr>
            </w:pPr>
            <w:r w:rsidRPr="00D64156">
              <w:rPr>
                <w:rFonts w:ascii="Cambria" w:hAnsi="Cambria"/>
                <w:bCs/>
                <w:sz w:val="20"/>
                <w:szCs w:val="20"/>
                <w:lang w:val="pt-BR"/>
              </w:rPr>
              <w:t>6</w:t>
            </w:r>
            <w:r w:rsidR="001D21C7" w:rsidRPr="00D64156">
              <w:rPr>
                <w:rFonts w:ascii="Cambria" w:hAnsi="Cambria"/>
                <w:bCs/>
                <w:sz w:val="20"/>
                <w:szCs w:val="20"/>
                <w:lang w:val="pt-BR"/>
              </w:rPr>
              <w:t xml:space="preserve"> de</w:t>
            </w:r>
            <w:r w:rsidRPr="00D64156">
              <w:rPr>
                <w:rFonts w:ascii="Cambria" w:hAnsi="Cambria"/>
                <w:bCs/>
                <w:sz w:val="20"/>
                <w:szCs w:val="20"/>
                <w:lang w:val="pt-BR"/>
              </w:rPr>
              <w:t xml:space="preserve"> agosto</w:t>
            </w:r>
            <w:r w:rsidR="001D21C7" w:rsidRPr="00D64156">
              <w:rPr>
                <w:rFonts w:ascii="Cambria" w:hAnsi="Cambria"/>
                <w:bCs/>
                <w:sz w:val="20"/>
                <w:szCs w:val="20"/>
                <w:lang w:val="pt-BR"/>
              </w:rPr>
              <w:t xml:space="preserve"> de 2012</w:t>
            </w:r>
          </w:p>
        </w:tc>
      </w:tr>
      <w:tr w:rsidR="001D21C7" w:rsidRPr="00274D3E" w14:paraId="54F62341" w14:textId="77777777" w:rsidTr="005B109A">
        <w:tc>
          <w:tcPr>
            <w:tcW w:w="3600" w:type="dxa"/>
            <w:tcBorders>
              <w:top w:val="single" w:sz="6" w:space="0" w:color="auto"/>
              <w:bottom w:val="single" w:sz="6" w:space="0" w:color="auto"/>
            </w:tcBorders>
            <w:shd w:val="clear" w:color="auto" w:fill="FFC000"/>
            <w:vAlign w:val="center"/>
          </w:tcPr>
          <w:p w14:paraId="48CC6F04" w14:textId="0F969417" w:rsidR="001D21C7" w:rsidRPr="005B109A" w:rsidRDefault="001D21C7" w:rsidP="001D21C7">
            <w:pPr>
              <w:jc w:val="center"/>
              <w:rPr>
                <w:rFonts w:ascii="Cambria" w:hAnsi="Cambria"/>
                <w:b/>
                <w:bCs/>
                <w:sz w:val="20"/>
                <w:szCs w:val="20"/>
                <w:lang w:val="pt-BR"/>
              </w:rPr>
            </w:pPr>
            <w:r w:rsidRPr="005B109A">
              <w:rPr>
                <w:rFonts w:ascii="Cambria" w:hAnsi="Cambria"/>
                <w:b/>
                <w:bCs/>
                <w:sz w:val="20"/>
                <w:szCs w:val="20"/>
                <w:lang w:val="pt-BR"/>
              </w:rPr>
              <w:t>Informa</w:t>
            </w:r>
            <w:r w:rsidR="00B153E7" w:rsidRPr="005B109A">
              <w:rPr>
                <w:rFonts w:ascii="Cambria" w:hAnsi="Cambria"/>
                <w:b/>
                <w:bCs/>
                <w:sz w:val="20"/>
                <w:szCs w:val="20"/>
                <w:lang w:val="pt-BR"/>
              </w:rPr>
              <w:t>ção</w:t>
            </w:r>
            <w:r w:rsidRPr="005B109A">
              <w:rPr>
                <w:rFonts w:ascii="Cambria" w:hAnsi="Cambria"/>
                <w:b/>
                <w:bCs/>
                <w:sz w:val="20"/>
                <w:szCs w:val="20"/>
                <w:lang w:val="pt-BR"/>
              </w:rPr>
              <w:t xml:space="preserve"> adicional rec</w:t>
            </w:r>
            <w:r w:rsidR="00B153E7" w:rsidRPr="005B109A">
              <w:rPr>
                <w:rFonts w:ascii="Cambria" w:hAnsi="Cambria"/>
                <w:b/>
                <w:bCs/>
                <w:sz w:val="20"/>
                <w:szCs w:val="20"/>
                <w:lang w:val="pt-BR"/>
              </w:rPr>
              <w:t>e</w:t>
            </w:r>
            <w:r w:rsidRPr="005B109A">
              <w:rPr>
                <w:rFonts w:ascii="Cambria" w:hAnsi="Cambria"/>
                <w:b/>
                <w:bCs/>
                <w:sz w:val="20"/>
                <w:szCs w:val="20"/>
                <w:lang w:val="pt-BR"/>
              </w:rPr>
              <w:t>bida durante a etapa de estudo:</w:t>
            </w:r>
          </w:p>
        </w:tc>
        <w:tc>
          <w:tcPr>
            <w:tcW w:w="5760" w:type="dxa"/>
            <w:vAlign w:val="center"/>
          </w:tcPr>
          <w:p w14:paraId="65CBC29E" w14:textId="541A0458" w:rsidR="001D21C7" w:rsidRPr="00D64156" w:rsidRDefault="00E34E6B" w:rsidP="001D21C7">
            <w:pPr>
              <w:jc w:val="both"/>
              <w:rPr>
                <w:rFonts w:ascii="Cambria" w:hAnsi="Cambria"/>
                <w:bCs/>
                <w:sz w:val="20"/>
                <w:szCs w:val="20"/>
                <w:lang w:val="pt-BR"/>
              </w:rPr>
            </w:pPr>
            <w:r w:rsidRPr="00D64156">
              <w:rPr>
                <w:rFonts w:ascii="Cambria" w:hAnsi="Cambria"/>
                <w:bCs/>
                <w:sz w:val="20"/>
                <w:szCs w:val="20"/>
                <w:lang w:val="pt-BR"/>
              </w:rPr>
              <w:t xml:space="preserve">22 de </w:t>
            </w:r>
            <w:r w:rsidR="00455AAF" w:rsidRPr="00D64156">
              <w:rPr>
                <w:rFonts w:ascii="Cambria" w:hAnsi="Cambria"/>
                <w:bCs/>
                <w:sz w:val="20"/>
                <w:szCs w:val="20"/>
                <w:lang w:val="pt-BR"/>
              </w:rPr>
              <w:t>janeiro</w:t>
            </w:r>
            <w:r w:rsidR="008C6385">
              <w:rPr>
                <w:rFonts w:ascii="Cambria" w:hAnsi="Cambria"/>
                <w:bCs/>
                <w:sz w:val="20"/>
                <w:szCs w:val="20"/>
                <w:lang w:val="pt-BR"/>
              </w:rPr>
              <w:t xml:space="preserve"> </w:t>
            </w:r>
            <w:r w:rsidRPr="00D64156">
              <w:rPr>
                <w:rFonts w:ascii="Cambria" w:hAnsi="Cambria"/>
                <w:bCs/>
                <w:sz w:val="20"/>
                <w:szCs w:val="20"/>
                <w:lang w:val="pt-BR"/>
              </w:rPr>
              <w:t xml:space="preserve">de 2013, 4 de </w:t>
            </w:r>
            <w:r w:rsidR="00455AAF" w:rsidRPr="00D64156">
              <w:rPr>
                <w:rFonts w:ascii="Cambria" w:hAnsi="Cambria"/>
                <w:bCs/>
                <w:sz w:val="20"/>
                <w:szCs w:val="20"/>
                <w:lang w:val="pt-BR"/>
              </w:rPr>
              <w:t>maio</w:t>
            </w:r>
            <w:r w:rsidR="008C6385">
              <w:rPr>
                <w:rFonts w:ascii="Cambria" w:hAnsi="Cambria"/>
                <w:bCs/>
                <w:sz w:val="20"/>
                <w:szCs w:val="20"/>
                <w:lang w:val="pt-BR"/>
              </w:rPr>
              <w:t xml:space="preserve"> </w:t>
            </w:r>
            <w:r w:rsidRPr="00D64156">
              <w:rPr>
                <w:rFonts w:ascii="Cambria" w:hAnsi="Cambria"/>
                <w:bCs/>
                <w:sz w:val="20"/>
                <w:szCs w:val="20"/>
                <w:lang w:val="pt-BR"/>
              </w:rPr>
              <w:t>de 2013</w:t>
            </w:r>
          </w:p>
        </w:tc>
      </w:tr>
      <w:tr w:rsidR="001D21C7" w:rsidRPr="00D64156" w14:paraId="6A9025D9" w14:textId="77777777" w:rsidTr="005B109A">
        <w:tc>
          <w:tcPr>
            <w:tcW w:w="3600" w:type="dxa"/>
            <w:tcBorders>
              <w:top w:val="single" w:sz="6" w:space="0" w:color="auto"/>
              <w:bottom w:val="single" w:sz="6" w:space="0" w:color="auto"/>
            </w:tcBorders>
            <w:shd w:val="clear" w:color="auto" w:fill="FFC000"/>
            <w:vAlign w:val="center"/>
          </w:tcPr>
          <w:p w14:paraId="01B3581F" w14:textId="0B492109" w:rsidR="001D21C7" w:rsidRPr="005B109A" w:rsidRDefault="00974312" w:rsidP="001D21C7">
            <w:pPr>
              <w:jc w:val="center"/>
              <w:rPr>
                <w:rFonts w:ascii="Cambria" w:hAnsi="Cambria"/>
                <w:b/>
                <w:bCs/>
                <w:sz w:val="20"/>
                <w:szCs w:val="20"/>
                <w:lang w:val="pt-BR"/>
              </w:rPr>
            </w:pPr>
            <w:r w:rsidRPr="005B109A">
              <w:rPr>
                <w:rFonts w:ascii="Cambria" w:hAnsi="Cambria"/>
                <w:b/>
                <w:sz w:val="20"/>
                <w:szCs w:val="20"/>
                <w:lang w:val="pt-BR"/>
              </w:rPr>
              <w:t>N</w:t>
            </w:r>
            <w:r w:rsidR="001D21C7" w:rsidRPr="005B109A">
              <w:rPr>
                <w:rFonts w:ascii="Cambria" w:hAnsi="Cambria"/>
                <w:b/>
                <w:sz w:val="20"/>
                <w:szCs w:val="20"/>
                <w:lang w:val="pt-BR"/>
              </w:rPr>
              <w:t>otifica</w:t>
            </w:r>
            <w:r w:rsidR="00B153E7" w:rsidRPr="005B109A">
              <w:rPr>
                <w:rFonts w:ascii="Cambria" w:hAnsi="Cambria"/>
                <w:b/>
                <w:sz w:val="20"/>
                <w:szCs w:val="20"/>
                <w:lang w:val="pt-BR"/>
              </w:rPr>
              <w:t>ção</w:t>
            </w:r>
            <w:r w:rsidR="001D21C7" w:rsidRPr="005B109A">
              <w:rPr>
                <w:rFonts w:ascii="Cambria" w:hAnsi="Cambria"/>
                <w:b/>
                <w:sz w:val="20"/>
                <w:szCs w:val="20"/>
                <w:lang w:val="pt-BR"/>
              </w:rPr>
              <w:t xml:space="preserve"> </w:t>
            </w:r>
            <w:r w:rsidR="00B153E7" w:rsidRPr="005B109A">
              <w:rPr>
                <w:rFonts w:ascii="Cambria" w:hAnsi="Cambria"/>
                <w:b/>
                <w:sz w:val="20"/>
                <w:szCs w:val="20"/>
                <w:lang w:val="pt-BR"/>
              </w:rPr>
              <w:t xml:space="preserve">da </w:t>
            </w:r>
            <w:r w:rsidR="001D21C7" w:rsidRPr="005B109A">
              <w:rPr>
                <w:rFonts w:ascii="Cambria" w:hAnsi="Cambria"/>
                <w:b/>
                <w:sz w:val="20"/>
                <w:szCs w:val="20"/>
                <w:lang w:val="pt-BR"/>
              </w:rPr>
              <w:t>peti</w:t>
            </w:r>
            <w:r w:rsidR="00B153E7" w:rsidRPr="005B109A">
              <w:rPr>
                <w:rFonts w:ascii="Cambria" w:hAnsi="Cambria"/>
                <w:b/>
                <w:sz w:val="20"/>
                <w:szCs w:val="20"/>
                <w:lang w:val="pt-BR"/>
              </w:rPr>
              <w:t>ção</w:t>
            </w:r>
            <w:r w:rsidR="001D21C7" w:rsidRPr="005B109A">
              <w:rPr>
                <w:rFonts w:ascii="Cambria" w:hAnsi="Cambria"/>
                <w:b/>
                <w:sz w:val="20"/>
                <w:szCs w:val="20"/>
                <w:lang w:val="pt-BR"/>
              </w:rPr>
              <w:t xml:space="preserve"> a</w:t>
            </w:r>
            <w:r w:rsidR="00455AAF" w:rsidRPr="005B109A">
              <w:rPr>
                <w:rFonts w:ascii="Cambria" w:hAnsi="Cambria"/>
                <w:b/>
                <w:sz w:val="20"/>
                <w:szCs w:val="20"/>
                <w:lang w:val="pt-BR"/>
              </w:rPr>
              <w:t>o</w:t>
            </w:r>
            <w:r w:rsidR="001D21C7" w:rsidRPr="005B109A">
              <w:rPr>
                <w:rFonts w:ascii="Cambria" w:hAnsi="Cambria"/>
                <w:b/>
                <w:sz w:val="20"/>
                <w:szCs w:val="20"/>
                <w:lang w:val="pt-BR"/>
              </w:rPr>
              <w:t xml:space="preserve"> Estado:</w:t>
            </w:r>
          </w:p>
        </w:tc>
        <w:tc>
          <w:tcPr>
            <w:tcW w:w="5760" w:type="dxa"/>
            <w:vAlign w:val="center"/>
          </w:tcPr>
          <w:p w14:paraId="58485921" w14:textId="5ACFF6C4" w:rsidR="001D21C7" w:rsidRPr="00D64156" w:rsidRDefault="009616C9" w:rsidP="001D21C7">
            <w:pPr>
              <w:jc w:val="both"/>
              <w:rPr>
                <w:rFonts w:ascii="Cambria" w:hAnsi="Cambria"/>
                <w:bCs/>
                <w:sz w:val="20"/>
                <w:szCs w:val="20"/>
                <w:lang w:val="pt-BR"/>
              </w:rPr>
            </w:pPr>
            <w:r w:rsidRPr="00D64156">
              <w:rPr>
                <w:rFonts w:ascii="Cambria" w:hAnsi="Cambria"/>
                <w:bCs/>
                <w:sz w:val="20"/>
                <w:szCs w:val="20"/>
                <w:lang w:val="pt-BR"/>
              </w:rPr>
              <w:t>9 de abril de 2015</w:t>
            </w:r>
          </w:p>
        </w:tc>
      </w:tr>
      <w:tr w:rsidR="001D21C7" w:rsidRPr="00D64156" w14:paraId="1EC979C3" w14:textId="77777777" w:rsidTr="005B109A">
        <w:tc>
          <w:tcPr>
            <w:tcW w:w="3600" w:type="dxa"/>
            <w:tcBorders>
              <w:top w:val="single" w:sz="6" w:space="0" w:color="auto"/>
              <w:bottom w:val="single" w:sz="6" w:space="0" w:color="auto"/>
            </w:tcBorders>
            <w:shd w:val="clear" w:color="auto" w:fill="FFC000"/>
            <w:vAlign w:val="center"/>
          </w:tcPr>
          <w:p w14:paraId="3708E507" w14:textId="7001CB26" w:rsidR="001D21C7" w:rsidRPr="005B109A" w:rsidRDefault="009616C9" w:rsidP="001D21C7">
            <w:pPr>
              <w:jc w:val="center"/>
              <w:rPr>
                <w:rFonts w:ascii="Cambria" w:hAnsi="Cambria"/>
                <w:b/>
                <w:bCs/>
                <w:sz w:val="20"/>
                <w:szCs w:val="20"/>
                <w:lang w:val="pt-BR"/>
              </w:rPr>
            </w:pPr>
            <w:r w:rsidRPr="005B109A">
              <w:rPr>
                <w:rFonts w:ascii="Cambria" w:hAnsi="Cambria"/>
                <w:b/>
                <w:sz w:val="20"/>
                <w:szCs w:val="20"/>
                <w:lang w:val="pt-BR"/>
              </w:rPr>
              <w:t>Solicita</w:t>
            </w:r>
            <w:r w:rsidR="00B153E7" w:rsidRPr="005B109A">
              <w:rPr>
                <w:rFonts w:ascii="Cambria" w:hAnsi="Cambria"/>
                <w:b/>
                <w:sz w:val="20"/>
                <w:szCs w:val="20"/>
                <w:lang w:val="pt-BR"/>
              </w:rPr>
              <w:t>ção</w:t>
            </w:r>
            <w:r w:rsidRPr="005B109A">
              <w:rPr>
                <w:rFonts w:ascii="Cambria" w:hAnsi="Cambria"/>
                <w:b/>
                <w:sz w:val="20"/>
                <w:szCs w:val="20"/>
                <w:lang w:val="pt-BR"/>
              </w:rPr>
              <w:t xml:space="preserve"> de pr</w:t>
            </w:r>
            <w:r w:rsidR="00455AAF" w:rsidRPr="005B109A">
              <w:rPr>
                <w:rFonts w:ascii="Cambria" w:hAnsi="Cambria"/>
                <w:b/>
                <w:sz w:val="20"/>
                <w:szCs w:val="20"/>
                <w:lang w:val="pt-BR"/>
              </w:rPr>
              <w:t>o</w:t>
            </w:r>
            <w:r w:rsidRPr="005B109A">
              <w:rPr>
                <w:rFonts w:ascii="Cambria" w:hAnsi="Cambria"/>
                <w:b/>
                <w:sz w:val="20"/>
                <w:szCs w:val="20"/>
                <w:lang w:val="pt-BR"/>
              </w:rPr>
              <w:t>rroga</w:t>
            </w:r>
            <w:r w:rsidR="00455AAF" w:rsidRPr="005B109A">
              <w:rPr>
                <w:rFonts w:ascii="Cambria" w:hAnsi="Cambria"/>
                <w:b/>
                <w:sz w:val="20"/>
                <w:szCs w:val="20"/>
                <w:lang w:val="pt-BR"/>
              </w:rPr>
              <w:t>ção</w:t>
            </w:r>
            <w:r w:rsidRPr="005B109A">
              <w:rPr>
                <w:rFonts w:ascii="Cambria" w:hAnsi="Cambria"/>
                <w:b/>
                <w:sz w:val="20"/>
                <w:szCs w:val="20"/>
                <w:lang w:val="pt-BR"/>
              </w:rPr>
              <w:t>:</w:t>
            </w:r>
          </w:p>
        </w:tc>
        <w:tc>
          <w:tcPr>
            <w:tcW w:w="5760" w:type="dxa"/>
            <w:vAlign w:val="center"/>
          </w:tcPr>
          <w:p w14:paraId="6B47064C" w14:textId="22090062" w:rsidR="001D21C7" w:rsidRPr="00D64156" w:rsidRDefault="009616C9" w:rsidP="001D21C7">
            <w:pPr>
              <w:jc w:val="both"/>
              <w:rPr>
                <w:rFonts w:ascii="Cambria" w:hAnsi="Cambria"/>
                <w:bCs/>
                <w:sz w:val="20"/>
                <w:szCs w:val="20"/>
                <w:lang w:val="pt-BR"/>
              </w:rPr>
            </w:pPr>
            <w:r w:rsidRPr="00D64156">
              <w:rPr>
                <w:rFonts w:ascii="Cambria" w:hAnsi="Cambria"/>
                <w:bCs/>
                <w:sz w:val="20"/>
                <w:szCs w:val="20"/>
                <w:lang w:val="pt-BR"/>
              </w:rPr>
              <w:t>1</w:t>
            </w:r>
            <w:r w:rsidR="002E6840">
              <w:rPr>
                <w:rFonts w:ascii="Cambria" w:hAnsi="Cambria"/>
                <w:bCs/>
                <w:sz w:val="20"/>
                <w:szCs w:val="20"/>
                <w:vertAlign w:val="superscript"/>
                <w:lang w:val="pt-BR"/>
              </w:rPr>
              <w:t>o</w:t>
            </w:r>
            <w:r w:rsidRPr="00D64156">
              <w:rPr>
                <w:rFonts w:ascii="Cambria" w:hAnsi="Cambria"/>
                <w:bCs/>
                <w:sz w:val="20"/>
                <w:szCs w:val="20"/>
                <w:lang w:val="pt-BR"/>
              </w:rPr>
              <w:t xml:space="preserve"> de </w:t>
            </w:r>
            <w:r w:rsidR="00455AAF" w:rsidRPr="00D64156">
              <w:rPr>
                <w:rFonts w:ascii="Cambria" w:hAnsi="Cambria"/>
                <w:bCs/>
                <w:sz w:val="20"/>
                <w:szCs w:val="20"/>
                <w:lang w:val="pt-BR"/>
              </w:rPr>
              <w:t>julho</w:t>
            </w:r>
            <w:r w:rsidR="008C6385">
              <w:rPr>
                <w:rFonts w:ascii="Cambria" w:hAnsi="Cambria"/>
                <w:bCs/>
                <w:sz w:val="20"/>
                <w:szCs w:val="20"/>
                <w:lang w:val="pt-BR"/>
              </w:rPr>
              <w:t xml:space="preserve"> </w:t>
            </w:r>
            <w:r w:rsidRPr="00D64156">
              <w:rPr>
                <w:rFonts w:ascii="Cambria" w:hAnsi="Cambria"/>
                <w:bCs/>
                <w:sz w:val="20"/>
                <w:szCs w:val="20"/>
                <w:lang w:val="pt-BR"/>
              </w:rPr>
              <w:t>de 2015</w:t>
            </w:r>
          </w:p>
        </w:tc>
      </w:tr>
      <w:tr w:rsidR="00974312" w:rsidRPr="00D64156" w14:paraId="1489F8AF" w14:textId="77777777" w:rsidTr="005B109A">
        <w:tc>
          <w:tcPr>
            <w:tcW w:w="3600" w:type="dxa"/>
            <w:tcBorders>
              <w:top w:val="single" w:sz="6" w:space="0" w:color="auto"/>
              <w:bottom w:val="single" w:sz="6" w:space="0" w:color="auto"/>
            </w:tcBorders>
            <w:shd w:val="clear" w:color="auto" w:fill="FFC000"/>
            <w:vAlign w:val="center"/>
          </w:tcPr>
          <w:p w14:paraId="563780B5" w14:textId="2EF5925B" w:rsidR="00974312" w:rsidRPr="005B109A" w:rsidRDefault="009616C9" w:rsidP="001D21C7">
            <w:pPr>
              <w:jc w:val="center"/>
              <w:rPr>
                <w:rFonts w:ascii="Cambria" w:hAnsi="Cambria"/>
                <w:b/>
                <w:sz w:val="20"/>
                <w:szCs w:val="20"/>
                <w:lang w:val="pt-BR"/>
              </w:rPr>
            </w:pPr>
            <w:r w:rsidRPr="005B109A">
              <w:rPr>
                <w:rFonts w:ascii="Cambria" w:hAnsi="Cambria"/>
                <w:b/>
                <w:sz w:val="20"/>
                <w:szCs w:val="20"/>
                <w:lang w:val="pt-BR"/>
              </w:rPr>
              <w:t>Conces</w:t>
            </w:r>
            <w:r w:rsidR="00455AAF" w:rsidRPr="005B109A">
              <w:rPr>
                <w:rFonts w:ascii="Cambria" w:hAnsi="Cambria"/>
                <w:b/>
                <w:sz w:val="20"/>
                <w:szCs w:val="20"/>
                <w:lang w:val="pt-BR"/>
              </w:rPr>
              <w:t>são</w:t>
            </w:r>
            <w:r w:rsidRPr="005B109A">
              <w:rPr>
                <w:rFonts w:ascii="Cambria" w:hAnsi="Cambria"/>
                <w:b/>
                <w:sz w:val="20"/>
                <w:szCs w:val="20"/>
                <w:lang w:val="pt-BR"/>
              </w:rPr>
              <w:t xml:space="preserve"> de pr</w:t>
            </w:r>
            <w:r w:rsidR="00455AAF" w:rsidRPr="005B109A">
              <w:rPr>
                <w:rFonts w:ascii="Cambria" w:hAnsi="Cambria"/>
                <w:b/>
                <w:sz w:val="20"/>
                <w:szCs w:val="20"/>
                <w:lang w:val="pt-BR"/>
              </w:rPr>
              <w:t>orrogação</w:t>
            </w:r>
            <w:r w:rsidRPr="005B109A">
              <w:rPr>
                <w:rFonts w:ascii="Cambria" w:hAnsi="Cambria"/>
                <w:b/>
                <w:sz w:val="20"/>
                <w:szCs w:val="20"/>
                <w:lang w:val="pt-BR"/>
              </w:rPr>
              <w:t>:</w:t>
            </w:r>
          </w:p>
        </w:tc>
        <w:tc>
          <w:tcPr>
            <w:tcW w:w="5760" w:type="dxa"/>
            <w:vAlign w:val="center"/>
          </w:tcPr>
          <w:p w14:paraId="2A5185E2" w14:textId="6D1645C9" w:rsidR="00974312" w:rsidRPr="00D64156" w:rsidRDefault="009616C9" w:rsidP="001D21C7">
            <w:pPr>
              <w:jc w:val="both"/>
              <w:rPr>
                <w:rFonts w:ascii="Cambria" w:hAnsi="Cambria"/>
                <w:bCs/>
                <w:sz w:val="20"/>
                <w:szCs w:val="20"/>
                <w:lang w:val="pt-BR"/>
              </w:rPr>
            </w:pPr>
            <w:r w:rsidRPr="00D64156">
              <w:rPr>
                <w:rFonts w:ascii="Cambria" w:hAnsi="Cambria"/>
                <w:bCs/>
                <w:sz w:val="20"/>
                <w:szCs w:val="20"/>
                <w:lang w:val="pt-BR"/>
              </w:rPr>
              <w:t xml:space="preserve">28 de </w:t>
            </w:r>
            <w:r w:rsidR="00455AAF" w:rsidRPr="00D64156">
              <w:rPr>
                <w:rFonts w:ascii="Cambria" w:hAnsi="Cambria"/>
                <w:bCs/>
                <w:sz w:val="20"/>
                <w:szCs w:val="20"/>
                <w:lang w:val="pt-BR"/>
              </w:rPr>
              <w:t>julho</w:t>
            </w:r>
            <w:r w:rsidR="008C6385">
              <w:rPr>
                <w:rFonts w:ascii="Cambria" w:hAnsi="Cambria"/>
                <w:bCs/>
                <w:sz w:val="20"/>
                <w:szCs w:val="20"/>
                <w:lang w:val="pt-BR"/>
              </w:rPr>
              <w:t xml:space="preserve"> </w:t>
            </w:r>
            <w:r w:rsidRPr="00D64156">
              <w:rPr>
                <w:rFonts w:ascii="Cambria" w:hAnsi="Cambria"/>
                <w:bCs/>
                <w:sz w:val="20"/>
                <w:szCs w:val="20"/>
                <w:lang w:val="pt-BR"/>
              </w:rPr>
              <w:t>de 2015</w:t>
            </w:r>
          </w:p>
        </w:tc>
      </w:tr>
      <w:tr w:rsidR="001D21C7" w:rsidRPr="00D64156" w14:paraId="0E6DF2CB" w14:textId="77777777" w:rsidTr="005B109A">
        <w:tc>
          <w:tcPr>
            <w:tcW w:w="3600" w:type="dxa"/>
            <w:tcBorders>
              <w:top w:val="single" w:sz="6" w:space="0" w:color="auto"/>
              <w:bottom w:val="single" w:sz="6" w:space="0" w:color="auto"/>
            </w:tcBorders>
            <w:shd w:val="clear" w:color="auto" w:fill="FFC000"/>
            <w:vAlign w:val="center"/>
          </w:tcPr>
          <w:p w14:paraId="5B37A8CF" w14:textId="6E01237D" w:rsidR="001D21C7" w:rsidRPr="005B109A" w:rsidRDefault="009616C9" w:rsidP="001D21C7">
            <w:pPr>
              <w:jc w:val="center"/>
              <w:rPr>
                <w:rFonts w:ascii="Cambria" w:hAnsi="Cambria"/>
                <w:b/>
                <w:sz w:val="20"/>
                <w:szCs w:val="20"/>
                <w:lang w:val="pt-BR"/>
              </w:rPr>
            </w:pPr>
            <w:r w:rsidRPr="005B109A">
              <w:rPr>
                <w:rFonts w:ascii="Cambria" w:hAnsi="Cambria"/>
                <w:b/>
                <w:sz w:val="20"/>
                <w:szCs w:val="20"/>
                <w:lang w:val="pt-BR"/>
              </w:rPr>
              <w:t>Prime</w:t>
            </w:r>
            <w:r w:rsidR="00455AAF" w:rsidRPr="005B109A">
              <w:rPr>
                <w:rFonts w:ascii="Cambria" w:hAnsi="Cambria"/>
                <w:b/>
                <w:sz w:val="20"/>
                <w:szCs w:val="20"/>
                <w:lang w:val="pt-BR"/>
              </w:rPr>
              <w:t>i</w:t>
            </w:r>
            <w:r w:rsidRPr="005B109A">
              <w:rPr>
                <w:rFonts w:ascii="Cambria" w:hAnsi="Cambria"/>
                <w:b/>
                <w:sz w:val="20"/>
                <w:szCs w:val="20"/>
                <w:lang w:val="pt-BR"/>
              </w:rPr>
              <w:t xml:space="preserve">ra </w:t>
            </w:r>
            <w:r w:rsidR="00455AAF" w:rsidRPr="005B109A">
              <w:rPr>
                <w:rFonts w:ascii="Cambria" w:hAnsi="Cambria"/>
                <w:b/>
                <w:sz w:val="20"/>
                <w:szCs w:val="20"/>
                <w:lang w:val="pt-BR"/>
              </w:rPr>
              <w:t>resposta</w:t>
            </w:r>
            <w:r w:rsidR="008C6385" w:rsidRPr="005B109A">
              <w:rPr>
                <w:rFonts w:ascii="Cambria" w:hAnsi="Cambria"/>
                <w:b/>
                <w:sz w:val="20"/>
                <w:szCs w:val="20"/>
                <w:lang w:val="pt-BR"/>
              </w:rPr>
              <w:t xml:space="preserve"> </w:t>
            </w:r>
            <w:r w:rsidRPr="005B109A">
              <w:rPr>
                <w:rFonts w:ascii="Cambria" w:hAnsi="Cambria"/>
                <w:b/>
                <w:sz w:val="20"/>
                <w:szCs w:val="20"/>
                <w:lang w:val="pt-BR"/>
              </w:rPr>
              <w:t>d</w:t>
            </w:r>
            <w:r w:rsidR="00455AAF" w:rsidRPr="005B109A">
              <w:rPr>
                <w:rFonts w:ascii="Cambria" w:hAnsi="Cambria"/>
                <w:b/>
                <w:sz w:val="20"/>
                <w:szCs w:val="20"/>
                <w:lang w:val="pt-BR"/>
              </w:rPr>
              <w:t>o</w:t>
            </w:r>
            <w:r w:rsidRPr="005B109A">
              <w:rPr>
                <w:rFonts w:ascii="Cambria" w:hAnsi="Cambria"/>
                <w:b/>
                <w:sz w:val="20"/>
                <w:szCs w:val="20"/>
                <w:lang w:val="pt-BR"/>
              </w:rPr>
              <w:t xml:space="preserve"> Estado</w:t>
            </w:r>
            <w:r w:rsidR="00974312" w:rsidRPr="005B109A">
              <w:rPr>
                <w:rFonts w:ascii="Cambria" w:hAnsi="Cambria"/>
                <w:b/>
                <w:sz w:val="20"/>
                <w:szCs w:val="20"/>
                <w:lang w:val="pt-BR"/>
              </w:rPr>
              <w:t>:</w:t>
            </w:r>
          </w:p>
        </w:tc>
        <w:tc>
          <w:tcPr>
            <w:tcW w:w="5760" w:type="dxa"/>
            <w:vAlign w:val="center"/>
          </w:tcPr>
          <w:p w14:paraId="0153FF18" w14:textId="7E316277" w:rsidR="001D21C7" w:rsidRPr="00D64156" w:rsidRDefault="00AF0434" w:rsidP="001D21C7">
            <w:pPr>
              <w:jc w:val="both"/>
              <w:rPr>
                <w:rFonts w:ascii="Cambria" w:hAnsi="Cambria"/>
                <w:bCs/>
                <w:sz w:val="20"/>
                <w:szCs w:val="20"/>
                <w:lang w:val="pt-BR"/>
              </w:rPr>
            </w:pPr>
            <w:r w:rsidRPr="00D64156">
              <w:rPr>
                <w:rFonts w:ascii="Cambria" w:hAnsi="Cambria"/>
                <w:bCs/>
                <w:sz w:val="20"/>
                <w:szCs w:val="20"/>
                <w:lang w:val="pt-BR"/>
              </w:rPr>
              <w:t xml:space="preserve">2 </w:t>
            </w:r>
            <w:r w:rsidR="009616C9" w:rsidRPr="00D64156">
              <w:rPr>
                <w:rFonts w:ascii="Cambria" w:hAnsi="Cambria"/>
                <w:bCs/>
                <w:sz w:val="20"/>
                <w:szCs w:val="20"/>
                <w:lang w:val="pt-BR"/>
              </w:rPr>
              <w:t xml:space="preserve">de </w:t>
            </w:r>
            <w:r w:rsidR="00455AAF" w:rsidRPr="00D64156">
              <w:rPr>
                <w:rFonts w:ascii="Cambria" w:hAnsi="Cambria"/>
                <w:bCs/>
                <w:sz w:val="20"/>
                <w:szCs w:val="20"/>
                <w:lang w:val="pt-BR"/>
              </w:rPr>
              <w:t>outubro</w:t>
            </w:r>
            <w:r w:rsidR="008C6385">
              <w:rPr>
                <w:rFonts w:ascii="Cambria" w:hAnsi="Cambria"/>
                <w:bCs/>
                <w:sz w:val="20"/>
                <w:szCs w:val="20"/>
                <w:lang w:val="pt-BR"/>
              </w:rPr>
              <w:t xml:space="preserve"> </w:t>
            </w:r>
            <w:r w:rsidR="009616C9" w:rsidRPr="00D64156">
              <w:rPr>
                <w:rFonts w:ascii="Cambria" w:hAnsi="Cambria"/>
                <w:bCs/>
                <w:sz w:val="20"/>
                <w:szCs w:val="20"/>
                <w:lang w:val="pt-BR"/>
              </w:rPr>
              <w:t>de 2015</w:t>
            </w:r>
          </w:p>
        </w:tc>
      </w:tr>
      <w:tr w:rsidR="009616C9" w:rsidRPr="00274D3E" w14:paraId="1792B26F" w14:textId="77777777" w:rsidTr="005B109A">
        <w:tc>
          <w:tcPr>
            <w:tcW w:w="3600" w:type="dxa"/>
            <w:tcBorders>
              <w:top w:val="single" w:sz="6" w:space="0" w:color="auto"/>
              <w:bottom w:val="single" w:sz="6" w:space="0" w:color="auto"/>
            </w:tcBorders>
            <w:shd w:val="clear" w:color="auto" w:fill="FFC000"/>
            <w:vAlign w:val="center"/>
          </w:tcPr>
          <w:p w14:paraId="2FDBE290" w14:textId="45C7A797" w:rsidR="009616C9" w:rsidRPr="005B109A" w:rsidRDefault="009616C9" w:rsidP="001D21C7">
            <w:pPr>
              <w:jc w:val="center"/>
              <w:rPr>
                <w:rFonts w:ascii="Cambria" w:hAnsi="Cambria"/>
                <w:b/>
                <w:sz w:val="20"/>
                <w:szCs w:val="20"/>
                <w:lang w:val="pt-BR"/>
              </w:rPr>
            </w:pPr>
            <w:r w:rsidRPr="005B109A">
              <w:rPr>
                <w:rFonts w:ascii="Cambria" w:hAnsi="Cambria"/>
                <w:b/>
                <w:sz w:val="20"/>
                <w:szCs w:val="20"/>
                <w:lang w:val="pt-BR"/>
              </w:rPr>
              <w:t>Observa</w:t>
            </w:r>
            <w:r w:rsidR="00B153E7" w:rsidRPr="005B109A">
              <w:rPr>
                <w:rFonts w:ascii="Cambria" w:hAnsi="Cambria"/>
                <w:b/>
                <w:sz w:val="20"/>
                <w:szCs w:val="20"/>
                <w:lang w:val="pt-BR"/>
              </w:rPr>
              <w:t>ções</w:t>
            </w:r>
            <w:r w:rsidRPr="005B109A">
              <w:rPr>
                <w:rFonts w:ascii="Cambria" w:hAnsi="Cambria"/>
                <w:b/>
                <w:sz w:val="20"/>
                <w:szCs w:val="20"/>
                <w:lang w:val="pt-BR"/>
              </w:rPr>
              <w:t xml:space="preserve"> adicion</w:t>
            </w:r>
            <w:r w:rsidR="00B153E7" w:rsidRPr="005B109A">
              <w:rPr>
                <w:rFonts w:ascii="Cambria" w:hAnsi="Cambria"/>
                <w:b/>
                <w:sz w:val="20"/>
                <w:szCs w:val="20"/>
                <w:lang w:val="pt-BR"/>
              </w:rPr>
              <w:t>ais</w:t>
            </w:r>
            <w:r w:rsidR="008C6385" w:rsidRPr="005B109A">
              <w:rPr>
                <w:rFonts w:ascii="Cambria" w:hAnsi="Cambria"/>
                <w:b/>
                <w:sz w:val="20"/>
                <w:szCs w:val="20"/>
                <w:lang w:val="pt-BR"/>
              </w:rPr>
              <w:t xml:space="preserve"> </w:t>
            </w:r>
            <w:r w:rsidR="00B153E7" w:rsidRPr="005B109A">
              <w:rPr>
                <w:rFonts w:ascii="Cambria" w:hAnsi="Cambria"/>
                <w:b/>
                <w:sz w:val="20"/>
                <w:szCs w:val="20"/>
                <w:lang w:val="pt-BR"/>
              </w:rPr>
              <w:t xml:space="preserve">da </w:t>
            </w:r>
            <w:r w:rsidRPr="005B109A">
              <w:rPr>
                <w:rFonts w:ascii="Cambria" w:hAnsi="Cambria"/>
                <w:b/>
                <w:sz w:val="20"/>
                <w:szCs w:val="20"/>
                <w:lang w:val="pt-BR"/>
              </w:rPr>
              <w:t xml:space="preserve">parte </w:t>
            </w:r>
            <w:r w:rsidR="00D64156" w:rsidRPr="005B109A">
              <w:rPr>
                <w:rFonts w:ascii="Cambria" w:hAnsi="Cambria"/>
                <w:b/>
                <w:sz w:val="20"/>
                <w:szCs w:val="20"/>
                <w:lang w:val="pt-BR"/>
              </w:rPr>
              <w:t>peticionária:</w:t>
            </w:r>
            <w:r w:rsidR="008C6385" w:rsidRPr="005B109A">
              <w:rPr>
                <w:rFonts w:ascii="Cambria" w:hAnsi="Cambria"/>
                <w:b/>
                <w:sz w:val="20"/>
                <w:szCs w:val="20"/>
                <w:lang w:val="pt-BR"/>
              </w:rPr>
              <w:t xml:space="preserve"> </w:t>
            </w:r>
          </w:p>
        </w:tc>
        <w:tc>
          <w:tcPr>
            <w:tcW w:w="5760" w:type="dxa"/>
            <w:vAlign w:val="center"/>
          </w:tcPr>
          <w:p w14:paraId="218F7546" w14:textId="05C93D1B" w:rsidR="009616C9" w:rsidRPr="00D64156" w:rsidRDefault="00AF0434" w:rsidP="001D21C7">
            <w:pPr>
              <w:jc w:val="both"/>
              <w:rPr>
                <w:rFonts w:ascii="Cambria" w:hAnsi="Cambria"/>
                <w:bCs/>
                <w:sz w:val="20"/>
                <w:szCs w:val="20"/>
                <w:lang w:val="pt-BR"/>
              </w:rPr>
            </w:pPr>
            <w:r w:rsidRPr="00D64156">
              <w:rPr>
                <w:rFonts w:ascii="Cambria" w:hAnsi="Cambria"/>
                <w:bCs/>
                <w:sz w:val="20"/>
                <w:szCs w:val="20"/>
                <w:lang w:val="pt-BR"/>
              </w:rPr>
              <w:t xml:space="preserve">22 de </w:t>
            </w:r>
            <w:r w:rsidR="00455AAF" w:rsidRPr="00D64156">
              <w:rPr>
                <w:rFonts w:ascii="Cambria" w:hAnsi="Cambria"/>
                <w:bCs/>
                <w:sz w:val="20"/>
                <w:szCs w:val="20"/>
                <w:lang w:val="pt-BR"/>
              </w:rPr>
              <w:t>março</w:t>
            </w:r>
            <w:r w:rsidR="008C6385">
              <w:rPr>
                <w:rFonts w:ascii="Cambria" w:hAnsi="Cambria"/>
                <w:bCs/>
                <w:sz w:val="20"/>
                <w:szCs w:val="20"/>
                <w:lang w:val="pt-BR"/>
              </w:rPr>
              <w:t xml:space="preserve"> </w:t>
            </w:r>
            <w:r w:rsidRPr="00D64156">
              <w:rPr>
                <w:rFonts w:ascii="Cambria" w:hAnsi="Cambria"/>
                <w:bCs/>
                <w:sz w:val="20"/>
                <w:szCs w:val="20"/>
                <w:lang w:val="pt-BR"/>
              </w:rPr>
              <w:t>de 2017</w:t>
            </w:r>
            <w:r w:rsidR="001422FA" w:rsidRPr="00D64156">
              <w:rPr>
                <w:rFonts w:ascii="Cambria" w:hAnsi="Cambria"/>
                <w:bCs/>
                <w:sz w:val="20"/>
                <w:szCs w:val="20"/>
                <w:lang w:val="pt-BR"/>
              </w:rPr>
              <w:t>,</w:t>
            </w:r>
            <w:r w:rsidRPr="00D64156">
              <w:rPr>
                <w:rFonts w:ascii="Cambria" w:hAnsi="Cambria"/>
                <w:bCs/>
                <w:sz w:val="20"/>
                <w:szCs w:val="20"/>
                <w:lang w:val="pt-BR"/>
              </w:rPr>
              <w:t xml:space="preserve"> 21 de agosto de 2017</w:t>
            </w:r>
            <w:r w:rsidR="00EC7FB3" w:rsidRPr="00D64156">
              <w:rPr>
                <w:rFonts w:ascii="Cambria" w:hAnsi="Cambria"/>
                <w:bCs/>
                <w:sz w:val="20"/>
                <w:szCs w:val="20"/>
                <w:lang w:val="pt-BR"/>
              </w:rPr>
              <w:t>,</w:t>
            </w:r>
            <w:r w:rsidR="002D5CFE" w:rsidRPr="00D64156">
              <w:rPr>
                <w:rFonts w:ascii="Cambria" w:hAnsi="Cambria"/>
                <w:bCs/>
                <w:sz w:val="20"/>
                <w:szCs w:val="20"/>
                <w:lang w:val="pt-BR"/>
              </w:rPr>
              <w:t xml:space="preserve"> 18 de abril de 2023</w:t>
            </w:r>
          </w:p>
        </w:tc>
      </w:tr>
      <w:tr w:rsidR="00AF0434" w:rsidRPr="00D64156" w14:paraId="0DACA278" w14:textId="77777777" w:rsidTr="005B109A">
        <w:tc>
          <w:tcPr>
            <w:tcW w:w="3600" w:type="dxa"/>
            <w:tcBorders>
              <w:top w:val="single" w:sz="6" w:space="0" w:color="auto"/>
              <w:bottom w:val="single" w:sz="6" w:space="0" w:color="auto"/>
            </w:tcBorders>
            <w:shd w:val="clear" w:color="auto" w:fill="FFC000"/>
            <w:vAlign w:val="center"/>
          </w:tcPr>
          <w:p w14:paraId="257BC661" w14:textId="0BA834AC" w:rsidR="00AF0434" w:rsidRPr="005B109A" w:rsidRDefault="00AF0434" w:rsidP="001D21C7">
            <w:pPr>
              <w:jc w:val="center"/>
              <w:rPr>
                <w:rFonts w:ascii="Cambria" w:hAnsi="Cambria"/>
                <w:b/>
                <w:sz w:val="20"/>
                <w:szCs w:val="20"/>
                <w:lang w:val="pt-BR"/>
              </w:rPr>
            </w:pPr>
            <w:r w:rsidRPr="005B109A">
              <w:rPr>
                <w:rFonts w:ascii="Cambria" w:hAnsi="Cambria"/>
                <w:b/>
                <w:sz w:val="20"/>
                <w:szCs w:val="20"/>
                <w:lang w:val="pt-BR"/>
              </w:rPr>
              <w:t>Observa</w:t>
            </w:r>
            <w:r w:rsidR="00B153E7" w:rsidRPr="005B109A">
              <w:rPr>
                <w:rFonts w:ascii="Cambria" w:hAnsi="Cambria"/>
                <w:b/>
                <w:sz w:val="20"/>
                <w:szCs w:val="20"/>
                <w:lang w:val="pt-BR"/>
              </w:rPr>
              <w:t>ções</w:t>
            </w:r>
            <w:r w:rsidRPr="005B109A">
              <w:rPr>
                <w:rFonts w:ascii="Cambria" w:hAnsi="Cambria"/>
                <w:b/>
                <w:sz w:val="20"/>
                <w:szCs w:val="20"/>
                <w:lang w:val="pt-BR"/>
              </w:rPr>
              <w:t xml:space="preserve"> adicion</w:t>
            </w:r>
            <w:r w:rsidR="00B153E7" w:rsidRPr="005B109A">
              <w:rPr>
                <w:rFonts w:ascii="Cambria" w:hAnsi="Cambria"/>
                <w:b/>
                <w:sz w:val="20"/>
                <w:szCs w:val="20"/>
                <w:lang w:val="pt-BR"/>
              </w:rPr>
              <w:t>ais</w:t>
            </w:r>
            <w:r w:rsidR="008C6385" w:rsidRPr="005B109A">
              <w:rPr>
                <w:rFonts w:ascii="Cambria" w:hAnsi="Cambria"/>
                <w:b/>
                <w:sz w:val="20"/>
                <w:szCs w:val="20"/>
                <w:lang w:val="pt-BR"/>
              </w:rPr>
              <w:t xml:space="preserve"> </w:t>
            </w:r>
            <w:r w:rsidRPr="005B109A">
              <w:rPr>
                <w:rFonts w:ascii="Cambria" w:hAnsi="Cambria"/>
                <w:b/>
                <w:sz w:val="20"/>
                <w:szCs w:val="20"/>
                <w:lang w:val="pt-BR"/>
              </w:rPr>
              <w:t>d</w:t>
            </w:r>
            <w:r w:rsidR="00455AAF" w:rsidRPr="005B109A">
              <w:rPr>
                <w:rFonts w:ascii="Cambria" w:hAnsi="Cambria"/>
                <w:b/>
                <w:sz w:val="20"/>
                <w:szCs w:val="20"/>
                <w:lang w:val="pt-BR"/>
              </w:rPr>
              <w:t>o</w:t>
            </w:r>
            <w:r w:rsidRPr="005B109A">
              <w:rPr>
                <w:rFonts w:ascii="Cambria" w:hAnsi="Cambria"/>
                <w:b/>
                <w:sz w:val="20"/>
                <w:szCs w:val="20"/>
                <w:lang w:val="pt-BR"/>
              </w:rPr>
              <w:t xml:space="preserve"> Estado</w:t>
            </w:r>
            <w:r w:rsidR="00D64156" w:rsidRPr="005B109A">
              <w:rPr>
                <w:rFonts w:ascii="Cambria" w:hAnsi="Cambria"/>
                <w:b/>
                <w:sz w:val="20"/>
                <w:szCs w:val="20"/>
                <w:lang w:val="pt-BR"/>
              </w:rPr>
              <w:t>:</w:t>
            </w:r>
          </w:p>
        </w:tc>
        <w:tc>
          <w:tcPr>
            <w:tcW w:w="5760" w:type="dxa"/>
            <w:vAlign w:val="center"/>
          </w:tcPr>
          <w:p w14:paraId="18764E75" w14:textId="4DCD6C9A" w:rsidR="00AF0434" w:rsidRPr="00D64156" w:rsidRDefault="00AF0434" w:rsidP="001D21C7">
            <w:pPr>
              <w:jc w:val="both"/>
              <w:rPr>
                <w:rFonts w:ascii="Cambria" w:hAnsi="Cambria"/>
                <w:bCs/>
                <w:sz w:val="20"/>
                <w:szCs w:val="20"/>
                <w:lang w:val="pt-BR"/>
              </w:rPr>
            </w:pPr>
            <w:r w:rsidRPr="00D64156">
              <w:rPr>
                <w:rFonts w:ascii="Cambria" w:hAnsi="Cambria"/>
                <w:bCs/>
                <w:sz w:val="20"/>
                <w:szCs w:val="20"/>
                <w:lang w:val="pt-BR"/>
              </w:rPr>
              <w:t xml:space="preserve">13 de </w:t>
            </w:r>
            <w:r w:rsidR="00455AAF" w:rsidRPr="00D64156">
              <w:rPr>
                <w:rFonts w:ascii="Cambria" w:hAnsi="Cambria"/>
                <w:bCs/>
                <w:sz w:val="20"/>
                <w:szCs w:val="20"/>
                <w:lang w:val="pt-BR"/>
              </w:rPr>
              <w:t>julho</w:t>
            </w:r>
            <w:r w:rsidR="008C6385">
              <w:rPr>
                <w:rFonts w:ascii="Cambria" w:hAnsi="Cambria"/>
                <w:bCs/>
                <w:sz w:val="20"/>
                <w:szCs w:val="20"/>
                <w:lang w:val="pt-BR"/>
              </w:rPr>
              <w:t xml:space="preserve"> </w:t>
            </w:r>
            <w:r w:rsidRPr="00D64156">
              <w:rPr>
                <w:rFonts w:ascii="Cambria" w:hAnsi="Cambria"/>
                <w:bCs/>
                <w:sz w:val="20"/>
                <w:szCs w:val="20"/>
                <w:lang w:val="pt-BR"/>
              </w:rPr>
              <w:t>de 2017</w:t>
            </w:r>
          </w:p>
        </w:tc>
      </w:tr>
    </w:tbl>
    <w:p w14:paraId="0FC6E9E8" w14:textId="07DD9827" w:rsidR="003239B8" w:rsidRPr="00D64156" w:rsidRDefault="003239B8" w:rsidP="003239B8">
      <w:pPr>
        <w:spacing w:before="240" w:after="240"/>
        <w:ind w:firstLine="720"/>
        <w:jc w:val="both"/>
        <w:rPr>
          <w:rFonts w:asciiTheme="majorHAnsi" w:hAnsiTheme="majorHAnsi"/>
          <w:b/>
          <w:bCs/>
          <w:sz w:val="20"/>
          <w:szCs w:val="20"/>
          <w:lang w:val="pt-BR"/>
        </w:rPr>
      </w:pPr>
      <w:r w:rsidRPr="00D64156">
        <w:rPr>
          <w:rFonts w:asciiTheme="majorHAnsi" w:hAnsiTheme="majorHAnsi"/>
          <w:b/>
          <w:bCs/>
          <w:sz w:val="20"/>
          <w:szCs w:val="20"/>
          <w:lang w:val="pt-BR"/>
        </w:rPr>
        <w:t xml:space="preserve">III. </w:t>
      </w:r>
      <w:r w:rsidRPr="00D64156">
        <w:rPr>
          <w:rFonts w:asciiTheme="majorHAnsi" w:hAnsiTheme="majorHAnsi"/>
          <w:b/>
          <w:bCs/>
          <w:sz w:val="20"/>
          <w:szCs w:val="20"/>
          <w:lang w:val="pt-BR"/>
        </w:rPr>
        <w:tab/>
        <w:t>COMPET</w:t>
      </w:r>
      <w:r w:rsidR="00D64156" w:rsidRPr="00D64156">
        <w:rPr>
          <w:rFonts w:asciiTheme="majorHAnsi" w:hAnsiTheme="majorHAnsi"/>
          <w:b/>
          <w:bCs/>
          <w:sz w:val="20"/>
          <w:szCs w:val="20"/>
          <w:lang w:val="pt-BR"/>
        </w:rPr>
        <w:t>Ê</w:t>
      </w:r>
      <w:r w:rsidRPr="00D64156">
        <w:rPr>
          <w:rFonts w:asciiTheme="majorHAnsi" w:hAnsiTheme="majorHAnsi"/>
          <w:b/>
          <w:bCs/>
          <w:sz w:val="20"/>
          <w:szCs w:val="20"/>
          <w:lang w:val="pt-BR"/>
        </w:rPr>
        <w:t>NCIA</w:t>
      </w:r>
      <w:r w:rsidR="00EE00E9" w:rsidRPr="00D64156">
        <w:rPr>
          <w:rFonts w:asciiTheme="majorHAnsi" w:hAnsiTheme="majorHAnsi"/>
          <w:b/>
          <w:bCs/>
          <w:sz w:val="20"/>
          <w:szCs w:val="20"/>
          <w:lang w:val="pt-BR"/>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274D3E" w14:paraId="7D299FC7" w14:textId="77777777" w:rsidTr="005B109A">
        <w:trPr>
          <w:cantSplit/>
        </w:trPr>
        <w:tc>
          <w:tcPr>
            <w:tcW w:w="3561" w:type="dxa"/>
            <w:tcBorders>
              <w:top w:val="single" w:sz="4" w:space="0" w:color="auto"/>
              <w:bottom w:val="single" w:sz="6" w:space="0" w:color="auto"/>
            </w:tcBorders>
            <w:shd w:val="clear" w:color="auto" w:fill="FFC000"/>
            <w:vAlign w:val="center"/>
          </w:tcPr>
          <w:p w14:paraId="5D0830E9" w14:textId="1FD0712B" w:rsidR="003239B8" w:rsidRPr="005B109A" w:rsidRDefault="00D64156" w:rsidP="008D2290">
            <w:pPr>
              <w:jc w:val="center"/>
              <w:rPr>
                <w:rFonts w:ascii="Cambria" w:hAnsi="Cambria"/>
                <w:b/>
                <w:bCs/>
                <w:i/>
                <w:sz w:val="20"/>
                <w:szCs w:val="20"/>
                <w:lang w:val="pt-BR"/>
              </w:rPr>
            </w:pPr>
            <w:r w:rsidRPr="005B109A">
              <w:rPr>
                <w:rFonts w:ascii="Cambria" w:hAnsi="Cambria"/>
                <w:b/>
                <w:bCs/>
                <w:sz w:val="20"/>
                <w:szCs w:val="20"/>
                <w:lang w:val="pt-BR"/>
              </w:rPr>
              <w:t>Competência</w:t>
            </w:r>
            <w:r w:rsidR="008C6385" w:rsidRPr="005B109A">
              <w:rPr>
                <w:rFonts w:ascii="Cambria" w:hAnsi="Cambria"/>
                <w:b/>
                <w:bCs/>
                <w:sz w:val="20"/>
                <w:szCs w:val="20"/>
                <w:lang w:val="pt-BR"/>
              </w:rPr>
              <w:t xml:space="preserve"> </w:t>
            </w:r>
            <w:r w:rsidR="003239B8" w:rsidRPr="005B109A">
              <w:rPr>
                <w:rFonts w:ascii="Cambria" w:hAnsi="Cambria"/>
                <w:b/>
                <w:bCs/>
                <w:i/>
                <w:sz w:val="20"/>
                <w:szCs w:val="20"/>
                <w:lang w:val="pt-BR"/>
              </w:rPr>
              <w:t>Ratione personae:</w:t>
            </w:r>
          </w:p>
        </w:tc>
        <w:tc>
          <w:tcPr>
            <w:tcW w:w="5776" w:type="dxa"/>
            <w:vAlign w:val="center"/>
          </w:tcPr>
          <w:p w14:paraId="1E494D5D" w14:textId="5D6F4ADE" w:rsidR="003239B8" w:rsidRPr="00D64156" w:rsidRDefault="00907E48" w:rsidP="008D2290">
            <w:pPr>
              <w:rPr>
                <w:rFonts w:ascii="Cambria" w:hAnsi="Cambria"/>
                <w:bCs/>
                <w:sz w:val="20"/>
                <w:szCs w:val="20"/>
                <w:lang w:val="pt-BR"/>
              </w:rPr>
            </w:pPr>
            <w:r w:rsidRPr="00D64156">
              <w:rPr>
                <w:rFonts w:ascii="Cambria" w:hAnsi="Cambria"/>
                <w:bCs/>
                <w:sz w:val="20"/>
                <w:szCs w:val="20"/>
                <w:lang w:val="pt-BR" w:bidi="es-ES"/>
              </w:rPr>
              <w:t>S</w:t>
            </w:r>
            <w:r w:rsidR="00D64156" w:rsidRPr="00D64156">
              <w:rPr>
                <w:rFonts w:ascii="Cambria" w:hAnsi="Cambria"/>
                <w:bCs/>
                <w:sz w:val="20"/>
                <w:szCs w:val="20"/>
                <w:lang w:val="pt-BR" w:bidi="es-ES"/>
              </w:rPr>
              <w:t>im</w:t>
            </w:r>
            <w:r w:rsidRPr="00D64156">
              <w:rPr>
                <w:rFonts w:ascii="Cambria" w:hAnsi="Cambria"/>
                <w:bCs/>
                <w:sz w:val="20"/>
                <w:szCs w:val="20"/>
                <w:lang w:val="pt-BR" w:bidi="es-ES"/>
              </w:rPr>
              <w:t xml:space="preserve">, parcialmente, </w:t>
            </w:r>
            <w:r w:rsidR="00D64156">
              <w:rPr>
                <w:rFonts w:ascii="Cambria" w:hAnsi="Cambria"/>
                <w:bCs/>
                <w:sz w:val="20"/>
                <w:szCs w:val="20"/>
                <w:lang w:val="pt-BR" w:bidi="es-ES"/>
              </w:rPr>
              <w:t xml:space="preserve">nos termos </w:t>
            </w:r>
            <w:r w:rsidR="00B153E7" w:rsidRPr="00D64156">
              <w:rPr>
                <w:rFonts w:ascii="Cambria" w:hAnsi="Cambria"/>
                <w:bCs/>
                <w:sz w:val="20"/>
                <w:szCs w:val="20"/>
                <w:lang w:val="pt-BR" w:bidi="es-ES"/>
              </w:rPr>
              <w:t xml:space="preserve">da </w:t>
            </w:r>
            <w:r w:rsidRPr="00D64156">
              <w:rPr>
                <w:rFonts w:ascii="Cambria" w:hAnsi="Cambria"/>
                <w:bCs/>
                <w:sz w:val="20"/>
                <w:szCs w:val="20"/>
                <w:lang w:val="pt-BR" w:bidi="es-ES"/>
              </w:rPr>
              <w:t>se</w:t>
            </w:r>
            <w:r w:rsidR="00B153E7" w:rsidRPr="00D64156">
              <w:rPr>
                <w:rFonts w:ascii="Cambria" w:hAnsi="Cambria"/>
                <w:bCs/>
                <w:sz w:val="20"/>
                <w:szCs w:val="20"/>
                <w:lang w:val="pt-BR" w:bidi="es-ES"/>
              </w:rPr>
              <w:t>ção</w:t>
            </w:r>
            <w:r w:rsidRPr="00D64156">
              <w:rPr>
                <w:rFonts w:ascii="Cambria" w:hAnsi="Cambria"/>
                <w:bCs/>
                <w:sz w:val="20"/>
                <w:szCs w:val="20"/>
                <w:lang w:val="pt-BR" w:bidi="es-ES"/>
              </w:rPr>
              <w:t xml:space="preserve"> VII</w:t>
            </w:r>
          </w:p>
        </w:tc>
      </w:tr>
      <w:tr w:rsidR="003239B8" w:rsidRPr="00D64156" w14:paraId="54503A4F" w14:textId="77777777" w:rsidTr="005B109A">
        <w:trPr>
          <w:cantSplit/>
        </w:trPr>
        <w:tc>
          <w:tcPr>
            <w:tcW w:w="3561" w:type="dxa"/>
            <w:tcBorders>
              <w:top w:val="single" w:sz="6" w:space="0" w:color="auto"/>
              <w:bottom w:val="single" w:sz="6" w:space="0" w:color="auto"/>
            </w:tcBorders>
            <w:shd w:val="clear" w:color="auto" w:fill="FFC000"/>
            <w:vAlign w:val="center"/>
          </w:tcPr>
          <w:p w14:paraId="40E3A1EF" w14:textId="76E90B9F" w:rsidR="003239B8" w:rsidRPr="005B109A" w:rsidRDefault="00D64156" w:rsidP="008D2290">
            <w:pPr>
              <w:jc w:val="center"/>
              <w:rPr>
                <w:rFonts w:ascii="Cambria" w:hAnsi="Cambria"/>
                <w:b/>
                <w:bCs/>
                <w:sz w:val="20"/>
                <w:szCs w:val="20"/>
                <w:lang w:val="pt-BR"/>
              </w:rPr>
            </w:pPr>
            <w:r w:rsidRPr="005B109A">
              <w:rPr>
                <w:rFonts w:ascii="Cambria" w:hAnsi="Cambria"/>
                <w:b/>
                <w:bCs/>
                <w:sz w:val="20"/>
                <w:szCs w:val="20"/>
                <w:lang w:val="pt-BR"/>
              </w:rPr>
              <w:t>Competência</w:t>
            </w:r>
            <w:r w:rsidR="008C6385" w:rsidRPr="005B109A">
              <w:rPr>
                <w:rFonts w:ascii="Cambria" w:hAnsi="Cambria"/>
                <w:b/>
                <w:bCs/>
                <w:sz w:val="20"/>
                <w:szCs w:val="20"/>
                <w:lang w:val="pt-BR"/>
              </w:rPr>
              <w:t xml:space="preserve"> </w:t>
            </w:r>
            <w:r w:rsidR="003239B8" w:rsidRPr="005B109A">
              <w:rPr>
                <w:rFonts w:ascii="Cambria" w:hAnsi="Cambria"/>
                <w:b/>
                <w:bCs/>
                <w:i/>
                <w:sz w:val="20"/>
                <w:szCs w:val="20"/>
                <w:lang w:val="pt-BR"/>
              </w:rPr>
              <w:t>Ratione loci</w:t>
            </w:r>
            <w:r w:rsidR="003239B8" w:rsidRPr="005B109A">
              <w:rPr>
                <w:rFonts w:ascii="Cambria" w:hAnsi="Cambria"/>
                <w:b/>
                <w:bCs/>
                <w:sz w:val="20"/>
                <w:szCs w:val="20"/>
                <w:lang w:val="pt-BR"/>
              </w:rPr>
              <w:t>:</w:t>
            </w:r>
          </w:p>
        </w:tc>
        <w:tc>
          <w:tcPr>
            <w:tcW w:w="5776" w:type="dxa"/>
            <w:vAlign w:val="center"/>
          </w:tcPr>
          <w:p w14:paraId="77C8256A" w14:textId="4BA33D36" w:rsidR="003239B8" w:rsidRPr="00D64156" w:rsidRDefault="00A004BB" w:rsidP="008D2290">
            <w:pPr>
              <w:rPr>
                <w:rFonts w:ascii="Cambria" w:hAnsi="Cambria"/>
                <w:bCs/>
                <w:sz w:val="20"/>
                <w:szCs w:val="20"/>
                <w:lang w:val="pt-BR"/>
              </w:rPr>
            </w:pPr>
            <w:r w:rsidRPr="00D64156">
              <w:rPr>
                <w:rFonts w:ascii="Cambria" w:hAnsi="Cambria"/>
                <w:bCs/>
                <w:sz w:val="20"/>
                <w:szCs w:val="20"/>
                <w:lang w:val="pt-BR"/>
              </w:rPr>
              <w:t>S</w:t>
            </w:r>
            <w:r w:rsidR="00D64156" w:rsidRPr="00D64156">
              <w:rPr>
                <w:rFonts w:ascii="Cambria" w:hAnsi="Cambria"/>
                <w:bCs/>
                <w:sz w:val="20"/>
                <w:szCs w:val="20"/>
                <w:lang w:val="pt-BR"/>
              </w:rPr>
              <w:t>im</w:t>
            </w:r>
          </w:p>
        </w:tc>
      </w:tr>
      <w:tr w:rsidR="003239B8" w:rsidRPr="00D64156" w14:paraId="6618D96A" w14:textId="77777777" w:rsidTr="005B109A">
        <w:trPr>
          <w:cantSplit/>
        </w:trPr>
        <w:tc>
          <w:tcPr>
            <w:tcW w:w="3561" w:type="dxa"/>
            <w:tcBorders>
              <w:top w:val="single" w:sz="6" w:space="0" w:color="auto"/>
              <w:bottom w:val="single" w:sz="6" w:space="0" w:color="auto"/>
            </w:tcBorders>
            <w:shd w:val="clear" w:color="auto" w:fill="FFC000"/>
            <w:vAlign w:val="center"/>
          </w:tcPr>
          <w:p w14:paraId="24D9CAA2" w14:textId="0AA765F7" w:rsidR="003239B8" w:rsidRPr="005B109A" w:rsidRDefault="00D64156" w:rsidP="008D2290">
            <w:pPr>
              <w:jc w:val="center"/>
              <w:rPr>
                <w:rFonts w:ascii="Cambria" w:hAnsi="Cambria"/>
                <w:b/>
                <w:bCs/>
                <w:sz w:val="20"/>
                <w:szCs w:val="20"/>
                <w:lang w:val="pt-BR"/>
              </w:rPr>
            </w:pPr>
            <w:r w:rsidRPr="005B109A">
              <w:rPr>
                <w:rFonts w:ascii="Cambria" w:hAnsi="Cambria"/>
                <w:b/>
                <w:bCs/>
                <w:sz w:val="20"/>
                <w:szCs w:val="20"/>
                <w:lang w:val="pt-BR"/>
              </w:rPr>
              <w:t>Competência</w:t>
            </w:r>
            <w:r w:rsidR="008C6385" w:rsidRPr="005B109A">
              <w:rPr>
                <w:rFonts w:ascii="Cambria" w:hAnsi="Cambria"/>
                <w:b/>
                <w:bCs/>
                <w:sz w:val="20"/>
                <w:szCs w:val="20"/>
                <w:lang w:val="pt-BR"/>
              </w:rPr>
              <w:t xml:space="preserve"> </w:t>
            </w:r>
            <w:r w:rsidR="003239B8" w:rsidRPr="005B109A">
              <w:rPr>
                <w:rFonts w:ascii="Cambria" w:hAnsi="Cambria"/>
                <w:b/>
                <w:bCs/>
                <w:i/>
                <w:sz w:val="20"/>
                <w:szCs w:val="20"/>
                <w:lang w:val="pt-BR"/>
              </w:rPr>
              <w:t>Ratione temporis</w:t>
            </w:r>
            <w:r w:rsidR="003239B8" w:rsidRPr="005B109A">
              <w:rPr>
                <w:rFonts w:ascii="Cambria" w:hAnsi="Cambria"/>
                <w:b/>
                <w:bCs/>
                <w:sz w:val="20"/>
                <w:szCs w:val="20"/>
                <w:lang w:val="pt-BR"/>
              </w:rPr>
              <w:t>:</w:t>
            </w:r>
          </w:p>
        </w:tc>
        <w:tc>
          <w:tcPr>
            <w:tcW w:w="5776" w:type="dxa"/>
            <w:vAlign w:val="center"/>
          </w:tcPr>
          <w:p w14:paraId="523F6BD6" w14:textId="048428B0" w:rsidR="003239B8" w:rsidRPr="00D64156" w:rsidRDefault="00A004BB" w:rsidP="008D2290">
            <w:pPr>
              <w:rPr>
                <w:rFonts w:ascii="Cambria" w:hAnsi="Cambria"/>
                <w:bCs/>
                <w:sz w:val="20"/>
                <w:szCs w:val="20"/>
                <w:lang w:val="pt-BR"/>
              </w:rPr>
            </w:pPr>
            <w:r w:rsidRPr="00D64156">
              <w:rPr>
                <w:rFonts w:ascii="Cambria" w:hAnsi="Cambria"/>
                <w:bCs/>
                <w:sz w:val="20"/>
                <w:szCs w:val="20"/>
                <w:lang w:val="pt-BR"/>
              </w:rPr>
              <w:t>S</w:t>
            </w:r>
            <w:r w:rsidR="00D64156" w:rsidRPr="00D64156">
              <w:rPr>
                <w:rFonts w:ascii="Cambria" w:hAnsi="Cambria"/>
                <w:bCs/>
                <w:sz w:val="20"/>
                <w:szCs w:val="20"/>
                <w:lang w:val="pt-BR"/>
              </w:rPr>
              <w:t>im</w:t>
            </w:r>
          </w:p>
        </w:tc>
      </w:tr>
      <w:tr w:rsidR="003239B8" w:rsidRPr="00274D3E" w14:paraId="34C2A0A9" w14:textId="77777777" w:rsidTr="005B109A">
        <w:trPr>
          <w:cantSplit/>
        </w:trPr>
        <w:tc>
          <w:tcPr>
            <w:tcW w:w="3561" w:type="dxa"/>
            <w:tcBorders>
              <w:top w:val="single" w:sz="6" w:space="0" w:color="auto"/>
              <w:bottom w:val="single" w:sz="6" w:space="0" w:color="auto"/>
            </w:tcBorders>
            <w:shd w:val="clear" w:color="auto" w:fill="FFC000"/>
            <w:vAlign w:val="center"/>
          </w:tcPr>
          <w:p w14:paraId="6259AE31" w14:textId="2CC619FC" w:rsidR="003239B8" w:rsidRPr="005B109A" w:rsidRDefault="00D64156" w:rsidP="008D2290">
            <w:pPr>
              <w:jc w:val="center"/>
              <w:rPr>
                <w:rFonts w:ascii="Cambria" w:hAnsi="Cambria"/>
                <w:b/>
                <w:bCs/>
                <w:sz w:val="20"/>
                <w:szCs w:val="20"/>
                <w:lang w:val="pt-BR"/>
              </w:rPr>
            </w:pPr>
            <w:r w:rsidRPr="005B109A">
              <w:rPr>
                <w:rFonts w:ascii="Cambria" w:hAnsi="Cambria"/>
                <w:b/>
                <w:bCs/>
                <w:sz w:val="20"/>
                <w:szCs w:val="20"/>
                <w:lang w:val="pt-BR"/>
              </w:rPr>
              <w:t>Competência</w:t>
            </w:r>
            <w:r w:rsidR="008C6385" w:rsidRPr="005B109A">
              <w:rPr>
                <w:rFonts w:ascii="Cambria" w:hAnsi="Cambria"/>
                <w:b/>
                <w:bCs/>
                <w:sz w:val="20"/>
                <w:szCs w:val="20"/>
                <w:lang w:val="pt-BR"/>
              </w:rPr>
              <w:t xml:space="preserve"> </w:t>
            </w:r>
            <w:r w:rsidR="003239B8" w:rsidRPr="005B109A">
              <w:rPr>
                <w:rFonts w:ascii="Cambria" w:hAnsi="Cambria"/>
                <w:b/>
                <w:bCs/>
                <w:i/>
                <w:sz w:val="20"/>
                <w:szCs w:val="20"/>
                <w:lang w:val="pt-BR"/>
              </w:rPr>
              <w:t>Ratione materia</w:t>
            </w:r>
            <w:r w:rsidR="00EE00E9" w:rsidRPr="005B109A">
              <w:rPr>
                <w:rFonts w:ascii="Cambria" w:hAnsi="Cambria"/>
                <w:b/>
                <w:bCs/>
                <w:i/>
                <w:sz w:val="20"/>
                <w:szCs w:val="20"/>
                <w:lang w:val="pt-BR"/>
              </w:rPr>
              <w:t>e</w:t>
            </w:r>
            <w:r w:rsidR="003239B8" w:rsidRPr="005B109A">
              <w:rPr>
                <w:rFonts w:ascii="Cambria" w:hAnsi="Cambria"/>
                <w:b/>
                <w:bCs/>
                <w:sz w:val="20"/>
                <w:szCs w:val="20"/>
                <w:lang w:val="pt-BR"/>
              </w:rPr>
              <w:t>:</w:t>
            </w:r>
          </w:p>
        </w:tc>
        <w:tc>
          <w:tcPr>
            <w:tcW w:w="5776" w:type="dxa"/>
            <w:vAlign w:val="center"/>
          </w:tcPr>
          <w:p w14:paraId="257C8337" w14:textId="0E4FB733" w:rsidR="003239B8" w:rsidRPr="00D64156" w:rsidRDefault="00A004BB" w:rsidP="008D2290">
            <w:pPr>
              <w:jc w:val="both"/>
              <w:rPr>
                <w:rFonts w:ascii="Cambria" w:hAnsi="Cambria"/>
                <w:bCs/>
                <w:sz w:val="20"/>
                <w:szCs w:val="20"/>
                <w:lang w:val="pt-BR"/>
              </w:rPr>
            </w:pPr>
            <w:r w:rsidRPr="00D64156">
              <w:rPr>
                <w:rFonts w:ascii="Cambria" w:hAnsi="Cambria"/>
                <w:bCs/>
                <w:sz w:val="20"/>
                <w:szCs w:val="20"/>
                <w:lang w:val="pt-BR" w:bidi="es-ES"/>
              </w:rPr>
              <w:t>S</w:t>
            </w:r>
            <w:r w:rsidR="00D64156" w:rsidRPr="00D64156">
              <w:rPr>
                <w:rFonts w:ascii="Cambria" w:hAnsi="Cambria"/>
                <w:bCs/>
                <w:sz w:val="20"/>
                <w:szCs w:val="20"/>
                <w:lang w:val="pt-BR" w:bidi="es-ES"/>
              </w:rPr>
              <w:t>im</w:t>
            </w:r>
            <w:r w:rsidRPr="00D64156">
              <w:rPr>
                <w:rFonts w:ascii="Cambria" w:hAnsi="Cambria"/>
                <w:bCs/>
                <w:sz w:val="20"/>
                <w:szCs w:val="20"/>
                <w:lang w:val="pt-BR" w:bidi="es-ES"/>
              </w:rPr>
              <w:t>, Conven</w:t>
            </w:r>
            <w:r w:rsidR="00B153E7" w:rsidRPr="00D64156">
              <w:rPr>
                <w:rFonts w:ascii="Cambria" w:hAnsi="Cambria"/>
                <w:bCs/>
                <w:sz w:val="20"/>
                <w:szCs w:val="20"/>
                <w:lang w:val="pt-BR" w:bidi="es-ES"/>
              </w:rPr>
              <w:t>ção</w:t>
            </w:r>
            <w:r w:rsidRPr="00D64156">
              <w:rPr>
                <w:rFonts w:ascii="Cambria" w:hAnsi="Cambria"/>
                <w:bCs/>
                <w:sz w:val="20"/>
                <w:szCs w:val="20"/>
                <w:lang w:val="pt-BR" w:bidi="es-ES"/>
              </w:rPr>
              <w:t xml:space="preserve"> Americana (depósito de instrumento realizado </w:t>
            </w:r>
            <w:r w:rsidR="00D64156" w:rsidRPr="00D64156">
              <w:rPr>
                <w:rFonts w:ascii="Cambria" w:hAnsi="Cambria"/>
                <w:bCs/>
                <w:sz w:val="20"/>
                <w:szCs w:val="20"/>
                <w:lang w:val="pt-BR" w:bidi="es-ES"/>
              </w:rPr>
              <w:t xml:space="preserve">em </w:t>
            </w:r>
            <w:r w:rsidR="00AF0434" w:rsidRPr="00D64156">
              <w:rPr>
                <w:rFonts w:ascii="Cambria" w:hAnsi="Cambria"/>
                <w:bCs/>
                <w:sz w:val="20"/>
                <w:szCs w:val="20"/>
                <w:lang w:val="pt-BR" w:bidi="es-ES"/>
              </w:rPr>
              <w:t xml:space="preserve">25 de </w:t>
            </w:r>
            <w:r w:rsidR="00D64156" w:rsidRPr="00D64156">
              <w:rPr>
                <w:rFonts w:ascii="Cambria" w:hAnsi="Cambria"/>
                <w:bCs/>
                <w:sz w:val="20"/>
                <w:szCs w:val="20"/>
                <w:lang w:val="pt-BR" w:bidi="es-ES"/>
              </w:rPr>
              <w:t>setembro</w:t>
            </w:r>
            <w:r w:rsidR="008C6385">
              <w:rPr>
                <w:rFonts w:ascii="Cambria" w:hAnsi="Cambria"/>
                <w:bCs/>
                <w:sz w:val="20"/>
                <w:szCs w:val="20"/>
                <w:lang w:val="pt-BR" w:bidi="es-ES"/>
              </w:rPr>
              <w:t xml:space="preserve"> </w:t>
            </w:r>
            <w:r w:rsidR="00AF0434" w:rsidRPr="00D64156">
              <w:rPr>
                <w:rFonts w:ascii="Cambria" w:hAnsi="Cambria"/>
                <w:bCs/>
                <w:sz w:val="20"/>
                <w:szCs w:val="20"/>
                <w:lang w:val="pt-BR" w:bidi="es-ES"/>
              </w:rPr>
              <w:t>de 1992</w:t>
            </w:r>
            <w:r w:rsidRPr="00D64156">
              <w:rPr>
                <w:rFonts w:ascii="Cambria" w:hAnsi="Cambria"/>
                <w:bCs/>
                <w:sz w:val="20"/>
                <w:szCs w:val="20"/>
                <w:lang w:val="pt-BR" w:bidi="es-ES"/>
              </w:rPr>
              <w:t>)</w:t>
            </w:r>
          </w:p>
        </w:tc>
      </w:tr>
    </w:tbl>
    <w:p w14:paraId="299A3868" w14:textId="0F71CA07" w:rsidR="003239B8" w:rsidRPr="00D64156" w:rsidRDefault="003239B8" w:rsidP="003239B8">
      <w:pPr>
        <w:spacing w:before="240" w:after="240"/>
        <w:ind w:firstLine="720"/>
        <w:jc w:val="both"/>
        <w:rPr>
          <w:rFonts w:asciiTheme="majorHAnsi" w:hAnsiTheme="majorHAnsi"/>
          <w:b/>
          <w:bCs/>
          <w:sz w:val="20"/>
          <w:szCs w:val="20"/>
          <w:lang w:val="pt-BR"/>
        </w:rPr>
      </w:pPr>
      <w:r w:rsidRPr="00D64156">
        <w:rPr>
          <w:rFonts w:asciiTheme="majorHAnsi" w:hAnsiTheme="majorHAnsi"/>
          <w:b/>
          <w:bCs/>
          <w:sz w:val="20"/>
          <w:szCs w:val="20"/>
          <w:lang w:val="pt-BR"/>
        </w:rPr>
        <w:t xml:space="preserve">IV. </w:t>
      </w:r>
      <w:r w:rsidRPr="00D64156">
        <w:rPr>
          <w:rFonts w:asciiTheme="majorHAnsi" w:hAnsiTheme="majorHAnsi"/>
          <w:b/>
          <w:bCs/>
          <w:sz w:val="20"/>
          <w:szCs w:val="20"/>
          <w:lang w:val="pt-BR"/>
        </w:rPr>
        <w:tab/>
      </w:r>
      <w:r w:rsidR="00EE00E9" w:rsidRPr="00D64156">
        <w:rPr>
          <w:rFonts w:asciiTheme="majorHAnsi" w:hAnsiTheme="majorHAnsi"/>
          <w:b/>
          <w:bCs/>
          <w:sz w:val="20"/>
          <w:szCs w:val="20"/>
          <w:lang w:val="pt-BR"/>
        </w:rPr>
        <w:t>DUPLICA</w:t>
      </w:r>
      <w:r w:rsidR="00D64156" w:rsidRPr="00D64156">
        <w:rPr>
          <w:rFonts w:asciiTheme="majorHAnsi" w:hAnsiTheme="majorHAnsi"/>
          <w:b/>
          <w:bCs/>
          <w:sz w:val="20"/>
          <w:szCs w:val="20"/>
          <w:lang w:val="pt-BR"/>
        </w:rPr>
        <w:t>ÇÃO</w:t>
      </w:r>
      <w:r w:rsidR="00EE00E9" w:rsidRPr="00D64156">
        <w:rPr>
          <w:rFonts w:asciiTheme="majorHAnsi" w:hAnsiTheme="majorHAnsi"/>
          <w:b/>
          <w:bCs/>
          <w:color w:val="FFFFFF" w:themeColor="background1"/>
          <w:sz w:val="20"/>
          <w:szCs w:val="20"/>
          <w:lang w:val="pt-BR"/>
        </w:rPr>
        <w:t xml:space="preserve"> </w:t>
      </w:r>
      <w:r w:rsidR="00EE00E9" w:rsidRPr="00D64156">
        <w:rPr>
          <w:rFonts w:asciiTheme="majorHAnsi" w:hAnsiTheme="majorHAnsi"/>
          <w:b/>
          <w:bCs/>
          <w:sz w:val="20"/>
          <w:szCs w:val="20"/>
          <w:lang w:val="pt-BR"/>
        </w:rPr>
        <w:t xml:space="preserve">DE PROCEDIMENTOS </w:t>
      </w:r>
      <w:r w:rsidR="00D64156" w:rsidRPr="00D64156">
        <w:rPr>
          <w:rFonts w:asciiTheme="majorHAnsi" w:hAnsiTheme="majorHAnsi"/>
          <w:b/>
          <w:bCs/>
          <w:sz w:val="20"/>
          <w:szCs w:val="20"/>
          <w:lang w:val="pt-BR"/>
        </w:rPr>
        <w:t>E</w:t>
      </w:r>
      <w:r w:rsidR="00EE00E9" w:rsidRPr="00D64156">
        <w:rPr>
          <w:rFonts w:asciiTheme="majorHAnsi" w:hAnsiTheme="majorHAnsi"/>
          <w:b/>
          <w:bCs/>
          <w:sz w:val="20"/>
          <w:szCs w:val="20"/>
          <w:lang w:val="pt-BR"/>
        </w:rPr>
        <w:t xml:space="preserve"> CO</w:t>
      </w:r>
      <w:r w:rsidR="00D64156" w:rsidRPr="00D64156">
        <w:rPr>
          <w:rFonts w:asciiTheme="majorHAnsi" w:hAnsiTheme="majorHAnsi"/>
          <w:b/>
          <w:bCs/>
          <w:sz w:val="20"/>
          <w:szCs w:val="20"/>
          <w:lang w:val="pt-BR"/>
        </w:rPr>
        <w:t>I</w:t>
      </w:r>
      <w:r w:rsidR="00EE00E9" w:rsidRPr="00D64156">
        <w:rPr>
          <w:rFonts w:asciiTheme="majorHAnsi" w:hAnsiTheme="majorHAnsi"/>
          <w:b/>
          <w:bCs/>
          <w:sz w:val="20"/>
          <w:szCs w:val="20"/>
          <w:lang w:val="pt-BR"/>
        </w:rPr>
        <w:t>SA JU</w:t>
      </w:r>
      <w:r w:rsidR="00D64156" w:rsidRPr="00D64156">
        <w:rPr>
          <w:rFonts w:asciiTheme="majorHAnsi" w:hAnsiTheme="majorHAnsi"/>
          <w:b/>
          <w:bCs/>
          <w:sz w:val="20"/>
          <w:szCs w:val="20"/>
          <w:lang w:val="pt-BR"/>
        </w:rPr>
        <w:t>L</w:t>
      </w:r>
      <w:r w:rsidR="00EE00E9" w:rsidRPr="00D64156">
        <w:rPr>
          <w:rFonts w:asciiTheme="majorHAnsi" w:hAnsiTheme="majorHAnsi"/>
          <w:b/>
          <w:bCs/>
          <w:sz w:val="20"/>
          <w:szCs w:val="20"/>
          <w:lang w:val="pt-BR"/>
        </w:rPr>
        <w:t>GADA</w:t>
      </w:r>
      <w:r w:rsidR="00EE00E9" w:rsidRPr="00D64156">
        <w:rPr>
          <w:rFonts w:asciiTheme="majorHAnsi" w:hAnsiTheme="majorHAnsi"/>
          <w:b/>
          <w:bCs/>
          <w:i/>
          <w:sz w:val="20"/>
          <w:szCs w:val="20"/>
          <w:lang w:val="pt-BR"/>
        </w:rPr>
        <w:t xml:space="preserve"> </w:t>
      </w:r>
      <w:r w:rsidR="00EE00E9" w:rsidRPr="00D64156">
        <w:rPr>
          <w:rFonts w:asciiTheme="majorHAnsi" w:hAnsiTheme="majorHAnsi"/>
          <w:b/>
          <w:bCs/>
          <w:sz w:val="20"/>
          <w:szCs w:val="20"/>
          <w:lang w:val="pt-BR"/>
        </w:rPr>
        <w:t xml:space="preserve">INTERNACIONAL, </w:t>
      </w:r>
      <w:r w:rsidRPr="00D64156">
        <w:rPr>
          <w:rFonts w:asciiTheme="majorHAnsi" w:hAnsiTheme="majorHAnsi"/>
          <w:b/>
          <w:bCs/>
          <w:sz w:val="20"/>
          <w:szCs w:val="20"/>
          <w:lang w:val="pt-BR"/>
        </w:rPr>
        <w:t>CARACTERIZA</w:t>
      </w:r>
      <w:r w:rsidR="00D64156" w:rsidRPr="00D64156">
        <w:rPr>
          <w:rFonts w:asciiTheme="majorHAnsi" w:hAnsiTheme="majorHAnsi"/>
          <w:b/>
          <w:bCs/>
          <w:sz w:val="20"/>
          <w:szCs w:val="20"/>
          <w:lang w:val="pt-BR"/>
        </w:rPr>
        <w:t>ÇÃO</w:t>
      </w:r>
      <w:r w:rsidRPr="00D64156">
        <w:rPr>
          <w:rFonts w:asciiTheme="majorHAnsi" w:hAnsiTheme="majorHAnsi"/>
          <w:b/>
          <w:bCs/>
          <w:sz w:val="20"/>
          <w:szCs w:val="20"/>
          <w:lang w:val="pt-BR"/>
        </w:rPr>
        <w:t xml:space="preserve">, </w:t>
      </w:r>
      <w:r w:rsidR="00D64156" w:rsidRPr="00D64156">
        <w:rPr>
          <w:rFonts w:asciiTheme="majorHAnsi" w:hAnsiTheme="majorHAnsi"/>
          <w:b/>
          <w:sz w:val="20"/>
          <w:szCs w:val="20"/>
          <w:lang w:val="pt-BR"/>
        </w:rPr>
        <w:t xml:space="preserve">ESGOTAMENTO DOS </w:t>
      </w:r>
      <w:r w:rsidRPr="00D64156">
        <w:rPr>
          <w:rFonts w:asciiTheme="majorHAnsi" w:hAnsiTheme="majorHAnsi"/>
          <w:b/>
          <w:sz w:val="20"/>
          <w:szCs w:val="20"/>
          <w:lang w:val="pt-BR"/>
        </w:rPr>
        <w:t xml:space="preserve">RECURSOS INTERNOS </w:t>
      </w:r>
      <w:r w:rsidR="00D64156" w:rsidRPr="00D64156">
        <w:rPr>
          <w:rFonts w:asciiTheme="majorHAnsi" w:hAnsiTheme="majorHAnsi"/>
          <w:b/>
          <w:sz w:val="20"/>
          <w:szCs w:val="20"/>
          <w:lang w:val="pt-BR"/>
        </w:rPr>
        <w:t>E</w:t>
      </w:r>
      <w:r w:rsidRPr="00D64156">
        <w:rPr>
          <w:rFonts w:asciiTheme="majorHAnsi" w:hAnsiTheme="majorHAnsi"/>
          <w:b/>
          <w:sz w:val="20"/>
          <w:szCs w:val="20"/>
          <w:lang w:val="pt-BR"/>
        </w:rPr>
        <w:t xml:space="preserve"> P</w:t>
      </w:r>
      <w:r w:rsidR="00D64156" w:rsidRPr="00D64156">
        <w:rPr>
          <w:rFonts w:asciiTheme="majorHAnsi" w:hAnsiTheme="majorHAnsi"/>
          <w:b/>
          <w:sz w:val="20"/>
          <w:szCs w:val="20"/>
          <w:lang w:val="pt-BR"/>
        </w:rPr>
        <w:t>R</w:t>
      </w:r>
      <w:r w:rsidRPr="00D64156">
        <w:rPr>
          <w:rFonts w:asciiTheme="majorHAnsi" w:hAnsiTheme="majorHAnsi"/>
          <w:b/>
          <w:sz w:val="20"/>
          <w:szCs w:val="20"/>
          <w:lang w:val="pt-BR"/>
        </w:rPr>
        <w:t xml:space="preserve">AZO DE </w:t>
      </w:r>
      <w:r w:rsidR="00D64156" w:rsidRPr="00D64156">
        <w:rPr>
          <w:rFonts w:asciiTheme="majorHAnsi" w:hAnsiTheme="majorHAnsi"/>
          <w:b/>
          <w:sz w:val="20"/>
          <w:szCs w:val="20"/>
          <w:lang w:val="pt-BR"/>
        </w:rPr>
        <w:t>A</w:t>
      </w:r>
      <w:r w:rsidRPr="00D64156">
        <w:rPr>
          <w:rFonts w:asciiTheme="majorHAnsi" w:hAnsiTheme="majorHAnsi"/>
          <w:b/>
          <w:sz w:val="20"/>
          <w:szCs w:val="20"/>
          <w:lang w:val="pt-BR"/>
        </w:rPr>
        <w:t>PRESENTA</w:t>
      </w:r>
      <w:r w:rsidR="00D64156" w:rsidRPr="00D64156">
        <w:rPr>
          <w:rFonts w:asciiTheme="majorHAnsi" w:hAnsiTheme="majorHAnsi"/>
          <w:b/>
          <w:sz w:val="20"/>
          <w:szCs w:val="20"/>
          <w:lang w:val="pt-BR"/>
        </w:rPr>
        <w:t>ÇÃO</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D64156" w14:paraId="161C8568" w14:textId="77777777" w:rsidTr="005B109A">
        <w:trPr>
          <w:cantSplit/>
        </w:trPr>
        <w:tc>
          <w:tcPr>
            <w:tcW w:w="3565" w:type="dxa"/>
            <w:tcBorders>
              <w:top w:val="single" w:sz="4" w:space="0" w:color="auto"/>
              <w:bottom w:val="single" w:sz="6" w:space="0" w:color="auto"/>
            </w:tcBorders>
            <w:shd w:val="clear" w:color="auto" w:fill="FFC000"/>
            <w:vAlign w:val="center"/>
          </w:tcPr>
          <w:p w14:paraId="1C72AC6C" w14:textId="19B096D1" w:rsidR="00EE00E9" w:rsidRPr="005B109A" w:rsidRDefault="00EE00E9" w:rsidP="008D2290">
            <w:pPr>
              <w:jc w:val="center"/>
              <w:rPr>
                <w:rFonts w:ascii="Cambria" w:hAnsi="Cambria"/>
                <w:b/>
                <w:bCs/>
                <w:sz w:val="20"/>
                <w:szCs w:val="20"/>
                <w:lang w:val="pt-BR"/>
              </w:rPr>
            </w:pPr>
            <w:r w:rsidRPr="005B109A">
              <w:rPr>
                <w:rFonts w:ascii="Cambria" w:hAnsi="Cambria"/>
                <w:b/>
                <w:bCs/>
                <w:sz w:val="20"/>
                <w:szCs w:val="20"/>
                <w:lang w:val="pt-BR"/>
              </w:rPr>
              <w:t>Duplica</w:t>
            </w:r>
            <w:r w:rsidR="00B153E7" w:rsidRPr="005B109A">
              <w:rPr>
                <w:rFonts w:ascii="Cambria" w:hAnsi="Cambria"/>
                <w:b/>
                <w:bCs/>
                <w:sz w:val="20"/>
                <w:szCs w:val="20"/>
                <w:lang w:val="pt-BR"/>
              </w:rPr>
              <w:t>ção</w:t>
            </w:r>
            <w:r w:rsidRPr="005B109A">
              <w:rPr>
                <w:rFonts w:ascii="Cambria" w:hAnsi="Cambria"/>
                <w:b/>
                <w:bCs/>
                <w:sz w:val="20"/>
                <w:szCs w:val="20"/>
                <w:lang w:val="pt-BR"/>
              </w:rPr>
              <w:t xml:space="preserve"> de </w:t>
            </w:r>
            <w:r w:rsidR="00D64156" w:rsidRPr="005B109A">
              <w:rPr>
                <w:rFonts w:ascii="Cambria" w:hAnsi="Cambria"/>
                <w:b/>
                <w:bCs/>
                <w:sz w:val="20"/>
                <w:szCs w:val="20"/>
                <w:lang w:val="pt-BR"/>
              </w:rPr>
              <w:t>procedimentos</w:t>
            </w:r>
            <w:r w:rsidR="008C6385" w:rsidRPr="005B109A">
              <w:rPr>
                <w:rFonts w:ascii="Cambria" w:hAnsi="Cambria"/>
                <w:b/>
                <w:bCs/>
                <w:sz w:val="20"/>
                <w:szCs w:val="20"/>
                <w:lang w:val="pt-BR"/>
              </w:rPr>
              <w:t xml:space="preserve"> </w:t>
            </w:r>
            <w:r w:rsidR="00D64156" w:rsidRPr="005B109A">
              <w:rPr>
                <w:rFonts w:ascii="Cambria" w:hAnsi="Cambria"/>
                <w:b/>
                <w:bCs/>
                <w:sz w:val="20"/>
                <w:szCs w:val="20"/>
                <w:lang w:val="pt-BR"/>
              </w:rPr>
              <w:t>e</w:t>
            </w:r>
            <w:r w:rsidRPr="005B109A">
              <w:rPr>
                <w:rFonts w:ascii="Cambria" w:hAnsi="Cambria"/>
                <w:b/>
                <w:bCs/>
                <w:sz w:val="20"/>
                <w:szCs w:val="20"/>
                <w:lang w:val="pt-BR"/>
              </w:rPr>
              <w:t xml:space="preserve"> co</w:t>
            </w:r>
            <w:r w:rsidR="00D64156" w:rsidRPr="005B109A">
              <w:rPr>
                <w:rFonts w:ascii="Cambria" w:hAnsi="Cambria"/>
                <w:b/>
                <w:bCs/>
                <w:sz w:val="20"/>
                <w:szCs w:val="20"/>
                <w:lang w:val="pt-BR"/>
              </w:rPr>
              <w:t>i</w:t>
            </w:r>
            <w:r w:rsidRPr="005B109A">
              <w:rPr>
                <w:rFonts w:ascii="Cambria" w:hAnsi="Cambria"/>
                <w:b/>
                <w:bCs/>
                <w:sz w:val="20"/>
                <w:szCs w:val="20"/>
                <w:lang w:val="pt-BR"/>
              </w:rPr>
              <w:t>sa ju</w:t>
            </w:r>
            <w:r w:rsidR="00D64156" w:rsidRPr="005B109A">
              <w:rPr>
                <w:rFonts w:ascii="Cambria" w:hAnsi="Cambria"/>
                <w:b/>
                <w:bCs/>
                <w:sz w:val="20"/>
                <w:szCs w:val="20"/>
                <w:lang w:val="pt-BR"/>
              </w:rPr>
              <w:t>l</w:t>
            </w:r>
            <w:r w:rsidRPr="005B109A">
              <w:rPr>
                <w:rFonts w:ascii="Cambria" w:hAnsi="Cambria"/>
                <w:b/>
                <w:bCs/>
                <w:sz w:val="20"/>
                <w:szCs w:val="20"/>
                <w:lang w:val="pt-BR"/>
              </w:rPr>
              <w:t>gada internacional:</w:t>
            </w:r>
          </w:p>
        </w:tc>
        <w:tc>
          <w:tcPr>
            <w:tcW w:w="5772" w:type="dxa"/>
            <w:vAlign w:val="center"/>
          </w:tcPr>
          <w:p w14:paraId="764D7F60" w14:textId="119807FC" w:rsidR="00EE00E9" w:rsidRPr="00D64156" w:rsidRDefault="00A004BB" w:rsidP="008D2290">
            <w:pPr>
              <w:jc w:val="both"/>
              <w:rPr>
                <w:rFonts w:ascii="Cambria" w:hAnsi="Cambria"/>
                <w:bCs/>
                <w:sz w:val="20"/>
                <w:szCs w:val="20"/>
                <w:lang w:val="pt-BR"/>
              </w:rPr>
            </w:pPr>
            <w:r w:rsidRPr="00D64156">
              <w:rPr>
                <w:rFonts w:ascii="Cambria" w:hAnsi="Cambria"/>
                <w:bCs/>
                <w:sz w:val="20"/>
                <w:szCs w:val="20"/>
                <w:lang w:val="pt-BR"/>
              </w:rPr>
              <w:t>N</w:t>
            </w:r>
            <w:r w:rsidR="00D64156">
              <w:rPr>
                <w:rFonts w:ascii="Cambria" w:hAnsi="Cambria"/>
                <w:bCs/>
                <w:sz w:val="20"/>
                <w:szCs w:val="20"/>
                <w:lang w:val="pt-BR"/>
              </w:rPr>
              <w:t>ã</w:t>
            </w:r>
            <w:r w:rsidRPr="00D64156">
              <w:rPr>
                <w:rFonts w:ascii="Cambria" w:hAnsi="Cambria"/>
                <w:bCs/>
                <w:sz w:val="20"/>
                <w:szCs w:val="20"/>
                <w:lang w:val="pt-BR"/>
              </w:rPr>
              <w:t>o</w:t>
            </w:r>
          </w:p>
        </w:tc>
      </w:tr>
      <w:tr w:rsidR="003239B8" w:rsidRPr="00D64156" w14:paraId="3ED57BF3" w14:textId="77777777" w:rsidTr="005B109A">
        <w:trPr>
          <w:cantSplit/>
        </w:trPr>
        <w:tc>
          <w:tcPr>
            <w:tcW w:w="3565" w:type="dxa"/>
            <w:tcBorders>
              <w:top w:val="single" w:sz="4" w:space="0" w:color="auto"/>
              <w:bottom w:val="single" w:sz="6" w:space="0" w:color="auto"/>
            </w:tcBorders>
            <w:shd w:val="clear" w:color="auto" w:fill="FFC000"/>
            <w:vAlign w:val="center"/>
          </w:tcPr>
          <w:p w14:paraId="5F36A040" w14:textId="7A9191AD" w:rsidR="003239B8" w:rsidRPr="005B109A" w:rsidRDefault="00B153E7" w:rsidP="008D2290">
            <w:pPr>
              <w:jc w:val="center"/>
              <w:rPr>
                <w:rFonts w:ascii="Cambria" w:hAnsi="Cambria"/>
                <w:b/>
                <w:bCs/>
                <w:i/>
                <w:sz w:val="20"/>
                <w:szCs w:val="20"/>
                <w:lang w:val="pt-BR"/>
              </w:rPr>
            </w:pPr>
            <w:r w:rsidRPr="005B109A">
              <w:rPr>
                <w:rFonts w:ascii="Cambria" w:hAnsi="Cambria"/>
                <w:b/>
                <w:bCs/>
                <w:sz w:val="20"/>
                <w:szCs w:val="20"/>
                <w:lang w:val="pt-BR"/>
              </w:rPr>
              <w:t>Direitos</w:t>
            </w:r>
            <w:r w:rsidR="008C6385" w:rsidRPr="005B109A">
              <w:rPr>
                <w:rFonts w:ascii="Cambria" w:hAnsi="Cambria"/>
                <w:b/>
                <w:bCs/>
                <w:sz w:val="20"/>
                <w:szCs w:val="20"/>
                <w:lang w:val="pt-BR"/>
              </w:rPr>
              <w:t xml:space="preserve"> </w:t>
            </w:r>
            <w:r w:rsidR="003239B8" w:rsidRPr="005B109A">
              <w:rPr>
                <w:rFonts w:ascii="Cambria" w:hAnsi="Cambria"/>
                <w:b/>
                <w:bCs/>
                <w:sz w:val="20"/>
                <w:szCs w:val="20"/>
                <w:lang w:val="pt-BR"/>
              </w:rPr>
              <w:t>declarados admis</w:t>
            </w:r>
            <w:r w:rsidR="00D64156" w:rsidRPr="005B109A">
              <w:rPr>
                <w:rFonts w:ascii="Cambria" w:hAnsi="Cambria"/>
                <w:b/>
                <w:bCs/>
                <w:sz w:val="20"/>
                <w:szCs w:val="20"/>
                <w:lang w:val="pt-BR"/>
              </w:rPr>
              <w:t>síveis</w:t>
            </w:r>
            <w:r w:rsidR="003239B8" w:rsidRPr="005B109A">
              <w:rPr>
                <w:rFonts w:ascii="Cambria" w:hAnsi="Cambria"/>
                <w:b/>
                <w:bCs/>
                <w:i/>
                <w:sz w:val="20"/>
                <w:szCs w:val="20"/>
                <w:lang w:val="pt-BR"/>
              </w:rPr>
              <w:t>:</w:t>
            </w:r>
          </w:p>
        </w:tc>
        <w:tc>
          <w:tcPr>
            <w:tcW w:w="5772" w:type="dxa"/>
            <w:vAlign w:val="center"/>
          </w:tcPr>
          <w:p w14:paraId="4DAE9D4D" w14:textId="5068EBC2" w:rsidR="003239B8" w:rsidRPr="00D64156" w:rsidRDefault="00A651B9" w:rsidP="008D2290">
            <w:pPr>
              <w:jc w:val="both"/>
              <w:rPr>
                <w:rFonts w:ascii="Cambria" w:hAnsi="Cambria"/>
                <w:bCs/>
                <w:sz w:val="20"/>
                <w:szCs w:val="20"/>
                <w:lang w:val="pt-BR"/>
              </w:rPr>
            </w:pPr>
            <w:r w:rsidRPr="00D64156">
              <w:rPr>
                <w:rFonts w:ascii="Cambria" w:hAnsi="Cambria"/>
                <w:bCs/>
                <w:sz w:val="20"/>
                <w:szCs w:val="20"/>
                <w:lang w:val="pt-BR" w:bidi="es-ES"/>
              </w:rPr>
              <w:t>N/A</w:t>
            </w:r>
          </w:p>
        </w:tc>
      </w:tr>
      <w:tr w:rsidR="003239B8" w:rsidRPr="00274D3E" w14:paraId="5702249F" w14:textId="77777777" w:rsidTr="005B109A">
        <w:trPr>
          <w:cantSplit/>
        </w:trPr>
        <w:tc>
          <w:tcPr>
            <w:tcW w:w="3565" w:type="dxa"/>
            <w:tcBorders>
              <w:top w:val="single" w:sz="6" w:space="0" w:color="auto"/>
              <w:bottom w:val="single" w:sz="6" w:space="0" w:color="auto"/>
            </w:tcBorders>
            <w:shd w:val="clear" w:color="auto" w:fill="FFC000"/>
            <w:vAlign w:val="center"/>
          </w:tcPr>
          <w:p w14:paraId="1F00DF1D" w14:textId="08A36C4A" w:rsidR="003239B8" w:rsidRPr="005B109A" w:rsidRDefault="00D64156" w:rsidP="008D2290">
            <w:pPr>
              <w:jc w:val="center"/>
              <w:rPr>
                <w:rFonts w:ascii="Cambria" w:hAnsi="Cambria"/>
                <w:b/>
                <w:bCs/>
                <w:sz w:val="20"/>
                <w:szCs w:val="20"/>
                <w:lang w:val="pt-BR"/>
              </w:rPr>
            </w:pPr>
            <w:r w:rsidRPr="005B109A">
              <w:rPr>
                <w:rFonts w:ascii="Cambria" w:hAnsi="Cambria"/>
                <w:b/>
                <w:bCs/>
                <w:sz w:val="20"/>
                <w:szCs w:val="20"/>
                <w:lang w:val="pt-BR"/>
              </w:rPr>
              <w:t>Esgotamento</w:t>
            </w:r>
            <w:r w:rsidR="003239B8" w:rsidRPr="005B109A">
              <w:rPr>
                <w:rFonts w:ascii="Cambria" w:hAnsi="Cambria"/>
                <w:b/>
                <w:bCs/>
                <w:sz w:val="20"/>
                <w:szCs w:val="20"/>
                <w:lang w:val="pt-BR"/>
              </w:rPr>
              <w:t xml:space="preserve"> de recursos internos</w:t>
            </w:r>
            <w:r w:rsidR="00EE00E9" w:rsidRPr="005B109A">
              <w:rPr>
                <w:rFonts w:ascii="Cambria" w:hAnsi="Cambria"/>
                <w:b/>
                <w:bCs/>
                <w:sz w:val="20"/>
                <w:szCs w:val="20"/>
                <w:lang w:val="pt-BR"/>
              </w:rPr>
              <w:t xml:space="preserve"> o</w:t>
            </w:r>
            <w:r w:rsidRPr="005B109A">
              <w:rPr>
                <w:rFonts w:ascii="Cambria" w:hAnsi="Cambria"/>
                <w:b/>
                <w:bCs/>
                <w:sz w:val="20"/>
                <w:szCs w:val="20"/>
                <w:lang w:val="pt-BR"/>
              </w:rPr>
              <w:t>u</w:t>
            </w:r>
            <w:r w:rsidR="00EE00E9" w:rsidRPr="005B109A">
              <w:rPr>
                <w:rFonts w:ascii="Cambria" w:hAnsi="Cambria"/>
                <w:b/>
                <w:bCs/>
                <w:sz w:val="20"/>
                <w:szCs w:val="20"/>
                <w:lang w:val="pt-BR"/>
              </w:rPr>
              <w:t xml:space="preserve"> proced</w:t>
            </w:r>
            <w:r w:rsidRPr="005B109A">
              <w:rPr>
                <w:rFonts w:ascii="Cambria" w:hAnsi="Cambria"/>
                <w:b/>
                <w:bCs/>
                <w:sz w:val="20"/>
                <w:szCs w:val="20"/>
                <w:lang w:val="pt-BR"/>
              </w:rPr>
              <w:t>ê</w:t>
            </w:r>
            <w:r w:rsidR="00EE00E9" w:rsidRPr="005B109A">
              <w:rPr>
                <w:rFonts w:ascii="Cambria" w:hAnsi="Cambria"/>
                <w:b/>
                <w:bCs/>
                <w:sz w:val="20"/>
                <w:szCs w:val="20"/>
                <w:lang w:val="pt-BR"/>
              </w:rPr>
              <w:t>ncia de u</w:t>
            </w:r>
            <w:r w:rsidRPr="005B109A">
              <w:rPr>
                <w:rFonts w:ascii="Cambria" w:hAnsi="Cambria"/>
                <w:b/>
                <w:bCs/>
                <w:sz w:val="20"/>
                <w:szCs w:val="20"/>
                <w:lang w:val="pt-BR"/>
              </w:rPr>
              <w:t>m</w:t>
            </w:r>
            <w:r w:rsidR="00EE00E9" w:rsidRPr="005B109A">
              <w:rPr>
                <w:rFonts w:ascii="Cambria" w:hAnsi="Cambria"/>
                <w:b/>
                <w:bCs/>
                <w:sz w:val="20"/>
                <w:szCs w:val="20"/>
                <w:lang w:val="pt-BR"/>
              </w:rPr>
              <w:t>a exce</w:t>
            </w:r>
            <w:r w:rsidR="00B153E7" w:rsidRPr="005B109A">
              <w:rPr>
                <w:rFonts w:ascii="Cambria" w:hAnsi="Cambria"/>
                <w:b/>
                <w:bCs/>
                <w:sz w:val="20"/>
                <w:szCs w:val="20"/>
                <w:lang w:val="pt-BR"/>
              </w:rPr>
              <w:t>ção</w:t>
            </w:r>
            <w:r w:rsidR="003239B8" w:rsidRPr="005B109A">
              <w:rPr>
                <w:rFonts w:ascii="Cambria" w:hAnsi="Cambria"/>
                <w:b/>
                <w:bCs/>
                <w:sz w:val="20"/>
                <w:szCs w:val="20"/>
                <w:lang w:val="pt-BR"/>
              </w:rPr>
              <w:t>:</w:t>
            </w:r>
          </w:p>
        </w:tc>
        <w:tc>
          <w:tcPr>
            <w:tcW w:w="5772" w:type="dxa"/>
            <w:vAlign w:val="center"/>
          </w:tcPr>
          <w:p w14:paraId="7F7C1A19" w14:textId="233450FC" w:rsidR="003239B8" w:rsidRPr="00D64156" w:rsidRDefault="00CE0487" w:rsidP="008D2290">
            <w:pPr>
              <w:rPr>
                <w:rFonts w:ascii="Cambria" w:hAnsi="Cambria"/>
                <w:bCs/>
                <w:sz w:val="20"/>
                <w:szCs w:val="20"/>
                <w:lang w:val="pt-BR"/>
              </w:rPr>
            </w:pPr>
            <w:r w:rsidRPr="00D64156">
              <w:rPr>
                <w:rFonts w:ascii="Cambria" w:hAnsi="Cambria"/>
                <w:bCs/>
                <w:sz w:val="20"/>
                <w:szCs w:val="20"/>
                <w:lang w:val="pt-BR" w:bidi="es-ES"/>
              </w:rPr>
              <w:t>N</w:t>
            </w:r>
            <w:r w:rsidR="00D64156">
              <w:rPr>
                <w:rFonts w:ascii="Cambria" w:hAnsi="Cambria"/>
                <w:bCs/>
                <w:sz w:val="20"/>
                <w:szCs w:val="20"/>
                <w:lang w:val="pt-BR" w:bidi="es-ES"/>
              </w:rPr>
              <w:t>ã</w:t>
            </w:r>
            <w:r w:rsidRPr="00D64156">
              <w:rPr>
                <w:rFonts w:ascii="Cambria" w:hAnsi="Cambria"/>
                <w:bCs/>
                <w:sz w:val="20"/>
                <w:szCs w:val="20"/>
                <w:lang w:val="pt-BR" w:bidi="es-ES"/>
              </w:rPr>
              <w:t xml:space="preserve">o, </w:t>
            </w:r>
            <w:r w:rsidR="00D64156">
              <w:rPr>
                <w:rFonts w:ascii="Cambria" w:hAnsi="Cambria"/>
                <w:bCs/>
                <w:sz w:val="20"/>
                <w:szCs w:val="20"/>
                <w:lang w:val="pt-BR" w:bidi="es-ES"/>
              </w:rPr>
              <w:t xml:space="preserve">nos termos </w:t>
            </w:r>
            <w:r w:rsidR="00B153E7" w:rsidRPr="00D64156">
              <w:rPr>
                <w:rFonts w:ascii="Cambria" w:hAnsi="Cambria"/>
                <w:bCs/>
                <w:sz w:val="20"/>
                <w:szCs w:val="20"/>
                <w:lang w:val="pt-BR" w:bidi="es-ES"/>
              </w:rPr>
              <w:t xml:space="preserve">da </w:t>
            </w:r>
            <w:r w:rsidR="00D64156">
              <w:rPr>
                <w:rFonts w:ascii="Cambria" w:hAnsi="Cambria"/>
                <w:bCs/>
                <w:sz w:val="20"/>
                <w:szCs w:val="20"/>
                <w:lang w:val="pt-BR" w:bidi="es-ES"/>
              </w:rPr>
              <w:t>seção</w:t>
            </w:r>
            <w:r w:rsidR="008C6385">
              <w:rPr>
                <w:rFonts w:ascii="Cambria" w:hAnsi="Cambria"/>
                <w:bCs/>
                <w:sz w:val="20"/>
                <w:szCs w:val="20"/>
                <w:lang w:val="pt-BR" w:bidi="es-ES"/>
              </w:rPr>
              <w:t xml:space="preserve"> </w:t>
            </w:r>
            <w:r w:rsidRPr="00D64156">
              <w:rPr>
                <w:rFonts w:ascii="Cambria" w:hAnsi="Cambria"/>
                <w:bCs/>
                <w:sz w:val="20"/>
                <w:szCs w:val="20"/>
                <w:lang w:val="pt-BR" w:bidi="es-ES"/>
              </w:rPr>
              <w:t>VI</w:t>
            </w:r>
          </w:p>
        </w:tc>
      </w:tr>
      <w:tr w:rsidR="003239B8" w:rsidRPr="00274D3E" w14:paraId="7A101B89" w14:textId="77777777" w:rsidTr="005B109A">
        <w:trPr>
          <w:cantSplit/>
        </w:trPr>
        <w:tc>
          <w:tcPr>
            <w:tcW w:w="3565" w:type="dxa"/>
            <w:tcBorders>
              <w:top w:val="single" w:sz="6" w:space="0" w:color="auto"/>
              <w:bottom w:val="single" w:sz="6" w:space="0" w:color="auto"/>
            </w:tcBorders>
            <w:shd w:val="clear" w:color="auto" w:fill="FFC000"/>
            <w:vAlign w:val="center"/>
          </w:tcPr>
          <w:p w14:paraId="0843C533" w14:textId="1F133F12" w:rsidR="003239B8" w:rsidRPr="005B109A" w:rsidRDefault="00D64156" w:rsidP="008D2290">
            <w:pPr>
              <w:jc w:val="center"/>
              <w:rPr>
                <w:rFonts w:ascii="Cambria" w:hAnsi="Cambria"/>
                <w:b/>
                <w:bCs/>
                <w:sz w:val="20"/>
                <w:szCs w:val="20"/>
                <w:lang w:val="pt-BR"/>
              </w:rPr>
            </w:pPr>
            <w:r w:rsidRPr="005B109A">
              <w:rPr>
                <w:rFonts w:ascii="Cambria" w:hAnsi="Cambria"/>
                <w:b/>
                <w:bCs/>
                <w:sz w:val="20"/>
                <w:szCs w:val="20"/>
                <w:lang w:val="pt-BR"/>
              </w:rPr>
              <w:t>Ap</w:t>
            </w:r>
            <w:r w:rsidR="003239B8" w:rsidRPr="005B109A">
              <w:rPr>
                <w:rFonts w:ascii="Cambria" w:hAnsi="Cambria"/>
                <w:b/>
                <w:bCs/>
                <w:sz w:val="20"/>
                <w:szCs w:val="20"/>
                <w:lang w:val="pt-BR"/>
              </w:rPr>
              <w:t>resenta</w:t>
            </w:r>
            <w:r w:rsidR="00B153E7" w:rsidRPr="005B109A">
              <w:rPr>
                <w:rFonts w:ascii="Cambria" w:hAnsi="Cambria"/>
                <w:b/>
                <w:bCs/>
                <w:sz w:val="20"/>
                <w:szCs w:val="20"/>
                <w:lang w:val="pt-BR"/>
              </w:rPr>
              <w:t>ção</w:t>
            </w:r>
            <w:r w:rsidR="003239B8" w:rsidRPr="005B109A">
              <w:rPr>
                <w:rFonts w:ascii="Cambria" w:hAnsi="Cambria"/>
                <w:b/>
                <w:bCs/>
                <w:sz w:val="20"/>
                <w:szCs w:val="20"/>
                <w:lang w:val="pt-BR"/>
              </w:rPr>
              <w:t xml:space="preserve"> dentro d</w:t>
            </w:r>
            <w:r w:rsidRPr="005B109A">
              <w:rPr>
                <w:rFonts w:ascii="Cambria" w:hAnsi="Cambria"/>
                <w:b/>
                <w:bCs/>
                <w:sz w:val="20"/>
                <w:szCs w:val="20"/>
                <w:lang w:val="pt-BR"/>
              </w:rPr>
              <w:t>o</w:t>
            </w:r>
            <w:r w:rsidR="003239B8" w:rsidRPr="005B109A">
              <w:rPr>
                <w:rFonts w:ascii="Cambria" w:hAnsi="Cambria"/>
                <w:b/>
                <w:bCs/>
                <w:sz w:val="20"/>
                <w:szCs w:val="20"/>
                <w:lang w:val="pt-BR"/>
              </w:rPr>
              <w:t xml:space="preserve"> p</w:t>
            </w:r>
            <w:r w:rsidRPr="005B109A">
              <w:rPr>
                <w:rFonts w:ascii="Cambria" w:hAnsi="Cambria"/>
                <w:b/>
                <w:bCs/>
                <w:sz w:val="20"/>
                <w:szCs w:val="20"/>
                <w:lang w:val="pt-BR"/>
              </w:rPr>
              <w:t>r</w:t>
            </w:r>
            <w:r w:rsidR="003239B8" w:rsidRPr="005B109A">
              <w:rPr>
                <w:rFonts w:ascii="Cambria" w:hAnsi="Cambria"/>
                <w:b/>
                <w:bCs/>
                <w:sz w:val="20"/>
                <w:szCs w:val="20"/>
                <w:lang w:val="pt-BR"/>
              </w:rPr>
              <w:t>azo:</w:t>
            </w:r>
          </w:p>
        </w:tc>
        <w:tc>
          <w:tcPr>
            <w:tcW w:w="5772" w:type="dxa"/>
            <w:vAlign w:val="center"/>
          </w:tcPr>
          <w:p w14:paraId="2AF0FC69" w14:textId="7165B25A" w:rsidR="003239B8" w:rsidRPr="00D64156" w:rsidRDefault="00CE0487" w:rsidP="008D2290">
            <w:pPr>
              <w:rPr>
                <w:rFonts w:ascii="Cambria" w:hAnsi="Cambria"/>
                <w:bCs/>
                <w:sz w:val="20"/>
                <w:szCs w:val="20"/>
                <w:lang w:val="pt-BR"/>
              </w:rPr>
            </w:pPr>
            <w:r w:rsidRPr="00D64156">
              <w:rPr>
                <w:rFonts w:ascii="Cambria" w:hAnsi="Cambria"/>
                <w:bCs/>
                <w:sz w:val="20"/>
                <w:szCs w:val="20"/>
                <w:lang w:val="pt-BR" w:bidi="es-ES"/>
              </w:rPr>
              <w:t>N</w:t>
            </w:r>
            <w:r w:rsidR="00D64156">
              <w:rPr>
                <w:rFonts w:ascii="Cambria" w:hAnsi="Cambria"/>
                <w:bCs/>
                <w:sz w:val="20"/>
                <w:szCs w:val="20"/>
                <w:lang w:val="pt-BR" w:bidi="es-ES"/>
              </w:rPr>
              <w:t>ã</w:t>
            </w:r>
            <w:r w:rsidRPr="00D64156">
              <w:rPr>
                <w:rFonts w:ascii="Cambria" w:hAnsi="Cambria"/>
                <w:bCs/>
                <w:sz w:val="20"/>
                <w:szCs w:val="20"/>
                <w:lang w:val="pt-BR" w:bidi="es-ES"/>
              </w:rPr>
              <w:t>o</w:t>
            </w:r>
            <w:r w:rsidR="001422FA" w:rsidRPr="00D64156">
              <w:rPr>
                <w:rFonts w:ascii="Cambria" w:hAnsi="Cambria"/>
                <w:bCs/>
                <w:sz w:val="20"/>
                <w:szCs w:val="20"/>
                <w:lang w:val="pt-BR" w:bidi="es-ES"/>
              </w:rPr>
              <w:t xml:space="preserve">, </w:t>
            </w:r>
            <w:r w:rsidR="00D64156">
              <w:rPr>
                <w:rFonts w:ascii="Cambria" w:hAnsi="Cambria"/>
                <w:bCs/>
                <w:sz w:val="20"/>
                <w:szCs w:val="20"/>
                <w:lang w:val="pt-BR" w:bidi="es-ES"/>
              </w:rPr>
              <w:t xml:space="preserve">nos termos </w:t>
            </w:r>
            <w:r w:rsidR="00B153E7" w:rsidRPr="00D64156">
              <w:rPr>
                <w:rFonts w:ascii="Cambria" w:hAnsi="Cambria"/>
                <w:bCs/>
                <w:sz w:val="20"/>
                <w:szCs w:val="20"/>
                <w:lang w:val="pt-BR" w:bidi="es-ES"/>
              </w:rPr>
              <w:t xml:space="preserve">da </w:t>
            </w:r>
            <w:r w:rsidR="00D64156">
              <w:rPr>
                <w:rFonts w:ascii="Cambria" w:hAnsi="Cambria"/>
                <w:bCs/>
                <w:sz w:val="20"/>
                <w:szCs w:val="20"/>
                <w:lang w:val="pt-BR" w:bidi="es-ES"/>
              </w:rPr>
              <w:t>seção</w:t>
            </w:r>
            <w:r w:rsidR="008C6385">
              <w:rPr>
                <w:rFonts w:ascii="Cambria" w:hAnsi="Cambria"/>
                <w:bCs/>
                <w:sz w:val="20"/>
                <w:szCs w:val="20"/>
                <w:lang w:val="pt-BR" w:bidi="es-ES"/>
              </w:rPr>
              <w:t xml:space="preserve"> </w:t>
            </w:r>
            <w:r w:rsidR="001422FA" w:rsidRPr="00D64156">
              <w:rPr>
                <w:rFonts w:ascii="Cambria" w:hAnsi="Cambria"/>
                <w:bCs/>
                <w:sz w:val="20"/>
                <w:szCs w:val="20"/>
                <w:lang w:val="pt-BR" w:bidi="es-ES"/>
              </w:rPr>
              <w:t>VI</w:t>
            </w:r>
          </w:p>
        </w:tc>
      </w:tr>
    </w:tbl>
    <w:p w14:paraId="73156F4D" w14:textId="77777777" w:rsidR="00CE0487" w:rsidRPr="00D64156" w:rsidRDefault="00CE0487" w:rsidP="003239B8">
      <w:pPr>
        <w:spacing w:before="240" w:after="240"/>
        <w:ind w:firstLine="720"/>
        <w:jc w:val="both"/>
        <w:rPr>
          <w:rFonts w:asciiTheme="majorHAnsi" w:hAnsiTheme="majorHAnsi"/>
          <w:b/>
          <w:sz w:val="20"/>
          <w:szCs w:val="20"/>
          <w:lang w:val="pt-BR"/>
        </w:rPr>
      </w:pPr>
    </w:p>
    <w:p w14:paraId="56FD5D57" w14:textId="577F4A1B" w:rsidR="003239B8" w:rsidRPr="00D64156" w:rsidRDefault="00223A29" w:rsidP="003239B8">
      <w:pPr>
        <w:spacing w:before="240" w:after="240"/>
        <w:ind w:firstLine="720"/>
        <w:jc w:val="both"/>
        <w:rPr>
          <w:rFonts w:asciiTheme="majorHAnsi" w:hAnsiTheme="majorHAnsi"/>
          <w:b/>
          <w:sz w:val="20"/>
          <w:szCs w:val="20"/>
          <w:lang w:val="pt-BR"/>
        </w:rPr>
      </w:pPr>
      <w:r w:rsidRPr="00D64156">
        <w:rPr>
          <w:rFonts w:asciiTheme="majorHAnsi" w:hAnsiTheme="majorHAnsi"/>
          <w:b/>
          <w:sz w:val="20"/>
          <w:szCs w:val="20"/>
          <w:lang w:val="pt-BR"/>
        </w:rPr>
        <w:lastRenderedPageBreak/>
        <w:t xml:space="preserve">V. </w:t>
      </w:r>
      <w:r w:rsidRPr="00D64156">
        <w:rPr>
          <w:rFonts w:asciiTheme="majorHAnsi" w:hAnsiTheme="majorHAnsi"/>
          <w:b/>
          <w:sz w:val="20"/>
          <w:szCs w:val="20"/>
          <w:lang w:val="pt-BR"/>
        </w:rPr>
        <w:tab/>
      </w:r>
      <w:r w:rsidR="004241A0" w:rsidRPr="00D64156">
        <w:rPr>
          <w:rFonts w:asciiTheme="majorHAnsi" w:hAnsiTheme="majorHAnsi"/>
          <w:b/>
          <w:sz w:val="20"/>
          <w:szCs w:val="20"/>
          <w:lang w:val="pt-BR"/>
        </w:rPr>
        <w:t>POSI</w:t>
      </w:r>
      <w:r w:rsidR="00D64156">
        <w:rPr>
          <w:rFonts w:asciiTheme="majorHAnsi" w:hAnsiTheme="majorHAnsi"/>
          <w:b/>
          <w:sz w:val="20"/>
          <w:szCs w:val="20"/>
          <w:lang w:val="pt-BR"/>
        </w:rPr>
        <w:t xml:space="preserve">ÇÃO DAS </w:t>
      </w:r>
      <w:r w:rsidR="004241A0" w:rsidRPr="00D64156">
        <w:rPr>
          <w:rFonts w:asciiTheme="majorHAnsi" w:hAnsiTheme="majorHAnsi"/>
          <w:b/>
          <w:sz w:val="20"/>
          <w:szCs w:val="20"/>
          <w:lang w:val="pt-BR"/>
        </w:rPr>
        <w:t>PARTES</w:t>
      </w:r>
      <w:r w:rsidR="003239B8" w:rsidRPr="00D64156">
        <w:rPr>
          <w:rFonts w:asciiTheme="majorHAnsi" w:hAnsiTheme="majorHAnsi"/>
          <w:b/>
          <w:sz w:val="20"/>
          <w:szCs w:val="20"/>
          <w:lang w:val="pt-BR"/>
        </w:rPr>
        <w:t xml:space="preserve"> </w:t>
      </w:r>
    </w:p>
    <w:p w14:paraId="7E75E8AF" w14:textId="424A9A53" w:rsidR="003E76BF" w:rsidRPr="00D64156" w:rsidRDefault="003E76BF" w:rsidP="003E76B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pt-BR"/>
        </w:rPr>
      </w:pPr>
      <w:r w:rsidRPr="00D64156">
        <w:rPr>
          <w:i/>
          <w:iCs/>
          <w:sz w:val="20"/>
          <w:szCs w:val="20"/>
          <w:lang w:val="pt-BR"/>
        </w:rPr>
        <w:t>Posi</w:t>
      </w:r>
      <w:r w:rsidR="00B153E7" w:rsidRPr="00D64156">
        <w:rPr>
          <w:i/>
          <w:iCs/>
          <w:sz w:val="20"/>
          <w:szCs w:val="20"/>
          <w:lang w:val="pt-BR"/>
        </w:rPr>
        <w:t>ção</w:t>
      </w:r>
      <w:r w:rsidRPr="00D64156">
        <w:rPr>
          <w:i/>
          <w:iCs/>
          <w:sz w:val="20"/>
          <w:szCs w:val="20"/>
          <w:lang w:val="pt-BR"/>
        </w:rPr>
        <w:t xml:space="preserve"> </w:t>
      </w:r>
      <w:r w:rsidR="00B153E7" w:rsidRPr="00D64156">
        <w:rPr>
          <w:i/>
          <w:iCs/>
          <w:sz w:val="20"/>
          <w:szCs w:val="20"/>
          <w:lang w:val="pt-BR"/>
        </w:rPr>
        <w:t xml:space="preserve">da </w:t>
      </w:r>
      <w:r w:rsidRPr="00D64156">
        <w:rPr>
          <w:i/>
          <w:iCs/>
          <w:sz w:val="20"/>
          <w:szCs w:val="20"/>
          <w:lang w:val="pt-BR"/>
        </w:rPr>
        <w:t xml:space="preserve">parte </w:t>
      </w:r>
      <w:r w:rsidR="00D64156" w:rsidRPr="00D64156">
        <w:rPr>
          <w:i/>
          <w:iCs/>
          <w:sz w:val="20"/>
          <w:szCs w:val="20"/>
          <w:lang w:val="pt-BR"/>
        </w:rPr>
        <w:t xml:space="preserve">peticionária </w:t>
      </w:r>
    </w:p>
    <w:p w14:paraId="0B0769AF" w14:textId="776613A4" w:rsidR="003440AF" w:rsidRPr="00D64156" w:rsidRDefault="00EC0BB7" w:rsidP="00EE038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A</w:t>
      </w:r>
      <w:r w:rsidR="00A21C0E" w:rsidRPr="00D64156">
        <w:rPr>
          <w:sz w:val="20"/>
          <w:szCs w:val="20"/>
          <w:lang w:val="pt-BR"/>
        </w:rPr>
        <w:t xml:space="preserve"> parte </w:t>
      </w:r>
      <w:r w:rsidR="00D64156" w:rsidRPr="00D64156">
        <w:rPr>
          <w:sz w:val="20"/>
          <w:szCs w:val="20"/>
          <w:lang w:val="pt-BR"/>
        </w:rPr>
        <w:t>peticionária</w:t>
      </w:r>
      <w:r w:rsidR="008C6385">
        <w:rPr>
          <w:sz w:val="20"/>
          <w:szCs w:val="20"/>
          <w:lang w:val="pt-BR"/>
        </w:rPr>
        <w:t xml:space="preserve"> </w:t>
      </w:r>
      <w:r w:rsidR="00643428" w:rsidRPr="00D64156">
        <w:rPr>
          <w:sz w:val="20"/>
          <w:szCs w:val="20"/>
          <w:lang w:val="pt-BR"/>
        </w:rPr>
        <w:t>alega</w:t>
      </w:r>
      <w:r w:rsidR="00EE0381" w:rsidRPr="00D64156">
        <w:rPr>
          <w:sz w:val="20"/>
          <w:szCs w:val="20"/>
          <w:lang w:val="pt-BR"/>
        </w:rPr>
        <w:t xml:space="preserve"> a falta de pag</w:t>
      </w:r>
      <w:r>
        <w:rPr>
          <w:sz w:val="20"/>
          <w:szCs w:val="20"/>
          <w:lang w:val="pt-BR"/>
        </w:rPr>
        <w:t>ament</w:t>
      </w:r>
      <w:r w:rsidR="00EE0381" w:rsidRPr="00D64156">
        <w:rPr>
          <w:sz w:val="20"/>
          <w:szCs w:val="20"/>
          <w:lang w:val="pt-BR"/>
        </w:rPr>
        <w:t>o de títulos e</w:t>
      </w:r>
      <w:r>
        <w:rPr>
          <w:sz w:val="20"/>
          <w:szCs w:val="20"/>
          <w:lang w:val="pt-BR"/>
        </w:rPr>
        <w:t>x</w:t>
      </w:r>
      <w:r w:rsidR="00EE0381" w:rsidRPr="00D64156">
        <w:rPr>
          <w:sz w:val="20"/>
          <w:szCs w:val="20"/>
          <w:lang w:val="pt-BR"/>
        </w:rPr>
        <w:t>ecutivos judici</w:t>
      </w:r>
      <w:r w:rsidR="00B153E7" w:rsidRPr="00D64156">
        <w:rPr>
          <w:sz w:val="20"/>
          <w:szCs w:val="20"/>
          <w:lang w:val="pt-BR"/>
        </w:rPr>
        <w:t>ais</w:t>
      </w:r>
      <w:r w:rsidR="008C6385">
        <w:rPr>
          <w:sz w:val="20"/>
          <w:szCs w:val="20"/>
          <w:lang w:val="pt-BR"/>
        </w:rPr>
        <w:t xml:space="preserve"> </w:t>
      </w:r>
      <w:r w:rsidR="00EE0381" w:rsidRPr="00D64156">
        <w:rPr>
          <w:sz w:val="20"/>
          <w:szCs w:val="20"/>
          <w:lang w:val="pt-BR"/>
        </w:rPr>
        <w:t>de d</w:t>
      </w:r>
      <w:r>
        <w:rPr>
          <w:sz w:val="20"/>
          <w:szCs w:val="20"/>
          <w:lang w:val="pt-BR"/>
        </w:rPr>
        <w:t xml:space="preserve">ívidas </w:t>
      </w:r>
      <w:r w:rsidR="00EE0381" w:rsidRPr="00D64156">
        <w:rPr>
          <w:sz w:val="20"/>
          <w:szCs w:val="20"/>
          <w:lang w:val="pt-BR"/>
        </w:rPr>
        <w:t>estat</w:t>
      </w:r>
      <w:r w:rsidR="00B153E7" w:rsidRPr="00D64156">
        <w:rPr>
          <w:sz w:val="20"/>
          <w:szCs w:val="20"/>
          <w:lang w:val="pt-BR"/>
        </w:rPr>
        <w:t>ais</w:t>
      </w:r>
      <w:r w:rsidR="008C6385">
        <w:rPr>
          <w:sz w:val="20"/>
          <w:szCs w:val="20"/>
          <w:lang w:val="pt-BR"/>
        </w:rPr>
        <w:t xml:space="preserve"> </w:t>
      </w:r>
      <w:r w:rsidR="00EE0381" w:rsidRPr="00D64156">
        <w:rPr>
          <w:sz w:val="20"/>
          <w:szCs w:val="20"/>
          <w:lang w:val="pt-BR"/>
        </w:rPr>
        <w:t xml:space="preserve">(os </w:t>
      </w:r>
      <w:r>
        <w:rPr>
          <w:sz w:val="20"/>
          <w:szCs w:val="20"/>
          <w:lang w:val="pt-BR"/>
        </w:rPr>
        <w:t>ch</w:t>
      </w:r>
      <w:r w:rsidR="00EE0381" w:rsidRPr="00D64156">
        <w:rPr>
          <w:sz w:val="20"/>
          <w:szCs w:val="20"/>
          <w:lang w:val="pt-BR"/>
        </w:rPr>
        <w:t xml:space="preserve">amados </w:t>
      </w:r>
      <w:r w:rsidR="00EE0381" w:rsidRPr="00D64156">
        <w:rPr>
          <w:i/>
          <w:iCs/>
          <w:sz w:val="20"/>
          <w:szCs w:val="20"/>
          <w:lang w:val="pt-BR"/>
        </w:rPr>
        <w:t>precatórios</w:t>
      </w:r>
      <w:r w:rsidR="00EE0381" w:rsidRPr="00D64156">
        <w:rPr>
          <w:rStyle w:val="FootnoteReference"/>
          <w:sz w:val="20"/>
          <w:szCs w:val="20"/>
          <w:lang w:val="pt-BR"/>
        </w:rPr>
        <w:footnoteReference w:id="5"/>
      </w:r>
      <w:r w:rsidR="00EE0381" w:rsidRPr="00D64156">
        <w:rPr>
          <w:sz w:val="20"/>
          <w:szCs w:val="20"/>
          <w:lang w:val="pt-BR"/>
        </w:rPr>
        <w:t xml:space="preserve">), </w:t>
      </w:r>
      <w:r>
        <w:rPr>
          <w:sz w:val="20"/>
          <w:szCs w:val="20"/>
          <w:lang w:val="pt-BR"/>
        </w:rPr>
        <w:t xml:space="preserve">bem </w:t>
      </w:r>
      <w:r w:rsidR="00EE0381" w:rsidRPr="00D64156">
        <w:rPr>
          <w:sz w:val="20"/>
          <w:szCs w:val="20"/>
          <w:lang w:val="pt-BR"/>
        </w:rPr>
        <w:t xml:space="preserve">como </w:t>
      </w:r>
      <w:r>
        <w:rPr>
          <w:sz w:val="20"/>
          <w:szCs w:val="20"/>
          <w:lang w:val="pt-BR"/>
        </w:rPr>
        <w:t xml:space="preserve">supostas </w:t>
      </w:r>
      <w:r w:rsidR="00EE0381" w:rsidRPr="00D64156">
        <w:rPr>
          <w:sz w:val="20"/>
          <w:szCs w:val="20"/>
          <w:lang w:val="pt-BR"/>
        </w:rPr>
        <w:t>viola</w:t>
      </w:r>
      <w:r w:rsidR="00B153E7" w:rsidRPr="00D64156">
        <w:rPr>
          <w:sz w:val="20"/>
          <w:szCs w:val="20"/>
          <w:lang w:val="pt-BR"/>
        </w:rPr>
        <w:t>ções</w:t>
      </w:r>
      <w:r w:rsidR="00EE0381" w:rsidRPr="00D64156">
        <w:rPr>
          <w:sz w:val="20"/>
          <w:szCs w:val="20"/>
          <w:lang w:val="pt-BR"/>
        </w:rPr>
        <w:t xml:space="preserve"> relacionadas </w:t>
      </w:r>
      <w:r>
        <w:rPr>
          <w:sz w:val="20"/>
          <w:szCs w:val="20"/>
          <w:lang w:val="pt-BR"/>
        </w:rPr>
        <w:t>aos processos</w:t>
      </w:r>
      <w:r w:rsidR="008C6385">
        <w:rPr>
          <w:sz w:val="20"/>
          <w:szCs w:val="20"/>
          <w:lang w:val="pt-BR"/>
        </w:rPr>
        <w:t xml:space="preserve"> </w:t>
      </w:r>
      <w:r w:rsidR="00EE0381" w:rsidRPr="00D64156">
        <w:rPr>
          <w:sz w:val="20"/>
          <w:szCs w:val="20"/>
          <w:lang w:val="pt-BR"/>
        </w:rPr>
        <w:t>pen</w:t>
      </w:r>
      <w:r w:rsidR="00B153E7" w:rsidRPr="00D64156">
        <w:rPr>
          <w:sz w:val="20"/>
          <w:szCs w:val="20"/>
          <w:lang w:val="pt-BR"/>
        </w:rPr>
        <w:t>ais</w:t>
      </w:r>
      <w:r w:rsidR="008C6385">
        <w:rPr>
          <w:sz w:val="20"/>
          <w:szCs w:val="20"/>
          <w:lang w:val="pt-BR"/>
        </w:rPr>
        <w:t xml:space="preserve"> </w:t>
      </w:r>
      <w:r w:rsidR="00EE0381" w:rsidRPr="00D64156">
        <w:rPr>
          <w:sz w:val="20"/>
          <w:szCs w:val="20"/>
          <w:lang w:val="pt-BR"/>
        </w:rPr>
        <w:t xml:space="preserve">contra as </w:t>
      </w:r>
      <w:r>
        <w:rPr>
          <w:sz w:val="20"/>
          <w:szCs w:val="20"/>
          <w:lang w:val="pt-BR"/>
        </w:rPr>
        <w:t>supostas vítimas</w:t>
      </w:r>
      <w:r w:rsidR="00EE0381" w:rsidRPr="00D64156">
        <w:rPr>
          <w:sz w:val="20"/>
          <w:szCs w:val="20"/>
          <w:lang w:val="pt-BR"/>
        </w:rPr>
        <w:t xml:space="preserve">. </w:t>
      </w:r>
      <w:r>
        <w:rPr>
          <w:sz w:val="20"/>
          <w:szCs w:val="20"/>
          <w:lang w:val="pt-BR"/>
        </w:rPr>
        <w:t xml:space="preserve">Essas </w:t>
      </w:r>
      <w:r w:rsidR="00EE0381" w:rsidRPr="00D64156">
        <w:rPr>
          <w:sz w:val="20"/>
          <w:szCs w:val="20"/>
          <w:lang w:val="pt-BR"/>
        </w:rPr>
        <w:t>viola</w:t>
      </w:r>
      <w:r w:rsidR="00B153E7" w:rsidRPr="00D64156">
        <w:rPr>
          <w:sz w:val="20"/>
          <w:szCs w:val="20"/>
          <w:lang w:val="pt-BR"/>
        </w:rPr>
        <w:t>ções</w:t>
      </w:r>
      <w:r w:rsidR="00EE0381" w:rsidRPr="00D64156">
        <w:rPr>
          <w:sz w:val="20"/>
          <w:szCs w:val="20"/>
          <w:lang w:val="pt-BR"/>
        </w:rPr>
        <w:t xml:space="preserve"> inclu</w:t>
      </w:r>
      <w:r w:rsidR="00643428" w:rsidRPr="00D64156">
        <w:rPr>
          <w:sz w:val="20"/>
          <w:szCs w:val="20"/>
          <w:lang w:val="pt-BR"/>
        </w:rPr>
        <w:t>ir</w:t>
      </w:r>
      <w:r>
        <w:rPr>
          <w:sz w:val="20"/>
          <w:szCs w:val="20"/>
          <w:lang w:val="pt-BR"/>
        </w:rPr>
        <w:t xml:space="preserve">iam o confisco </w:t>
      </w:r>
      <w:r w:rsidR="003440AF" w:rsidRPr="00D64156">
        <w:rPr>
          <w:sz w:val="20"/>
          <w:szCs w:val="20"/>
          <w:lang w:val="pt-BR"/>
        </w:rPr>
        <w:t xml:space="preserve">de </w:t>
      </w:r>
      <w:r>
        <w:rPr>
          <w:sz w:val="20"/>
          <w:szCs w:val="20"/>
          <w:lang w:val="pt-BR"/>
        </w:rPr>
        <w:t>ativos</w:t>
      </w:r>
      <w:r w:rsidR="00EE0381" w:rsidRPr="00D64156">
        <w:rPr>
          <w:sz w:val="20"/>
          <w:szCs w:val="20"/>
          <w:lang w:val="pt-BR"/>
        </w:rPr>
        <w:t>,</w:t>
      </w:r>
      <w:r w:rsidR="003440AF" w:rsidRPr="00D64156">
        <w:rPr>
          <w:sz w:val="20"/>
          <w:szCs w:val="20"/>
          <w:lang w:val="pt-BR"/>
        </w:rPr>
        <w:t xml:space="preserve"> deten</w:t>
      </w:r>
      <w:r w:rsidR="00B153E7" w:rsidRPr="00D64156">
        <w:rPr>
          <w:sz w:val="20"/>
          <w:szCs w:val="20"/>
          <w:lang w:val="pt-BR"/>
        </w:rPr>
        <w:t>ções</w:t>
      </w:r>
      <w:r w:rsidR="003440AF" w:rsidRPr="00D64156">
        <w:rPr>
          <w:sz w:val="20"/>
          <w:szCs w:val="20"/>
          <w:lang w:val="pt-BR"/>
        </w:rPr>
        <w:t xml:space="preserve"> </w:t>
      </w:r>
      <w:r>
        <w:rPr>
          <w:sz w:val="20"/>
          <w:szCs w:val="20"/>
          <w:lang w:val="pt-BR"/>
        </w:rPr>
        <w:t>arbitrárias</w:t>
      </w:r>
      <w:r w:rsidR="00EE0381" w:rsidRPr="00D64156">
        <w:rPr>
          <w:sz w:val="20"/>
          <w:szCs w:val="20"/>
          <w:lang w:val="pt-BR"/>
        </w:rPr>
        <w:t>,</w:t>
      </w:r>
      <w:r w:rsidR="003440AF" w:rsidRPr="00D64156">
        <w:rPr>
          <w:sz w:val="20"/>
          <w:szCs w:val="20"/>
          <w:lang w:val="pt-BR"/>
        </w:rPr>
        <w:t xml:space="preserve"> condi</w:t>
      </w:r>
      <w:r w:rsidR="00B153E7" w:rsidRPr="00D64156">
        <w:rPr>
          <w:sz w:val="20"/>
          <w:szCs w:val="20"/>
          <w:lang w:val="pt-BR"/>
        </w:rPr>
        <w:t>ções</w:t>
      </w:r>
      <w:r w:rsidR="003440AF" w:rsidRPr="00D64156">
        <w:rPr>
          <w:sz w:val="20"/>
          <w:szCs w:val="20"/>
          <w:lang w:val="pt-BR"/>
        </w:rPr>
        <w:t xml:space="preserve"> </w:t>
      </w:r>
      <w:r>
        <w:rPr>
          <w:sz w:val="20"/>
          <w:szCs w:val="20"/>
          <w:lang w:val="pt-BR"/>
        </w:rPr>
        <w:t>penitenciárias</w:t>
      </w:r>
      <w:r w:rsidR="008C6385">
        <w:rPr>
          <w:sz w:val="20"/>
          <w:szCs w:val="20"/>
          <w:lang w:val="pt-BR"/>
        </w:rPr>
        <w:t xml:space="preserve"> </w:t>
      </w:r>
      <w:r w:rsidR="003440AF" w:rsidRPr="00D64156">
        <w:rPr>
          <w:sz w:val="20"/>
          <w:szCs w:val="20"/>
          <w:lang w:val="pt-BR"/>
        </w:rPr>
        <w:t>degradantes,</w:t>
      </w:r>
      <w:r w:rsidR="00EE0381" w:rsidRPr="00D64156">
        <w:rPr>
          <w:sz w:val="20"/>
          <w:szCs w:val="20"/>
          <w:lang w:val="pt-BR"/>
        </w:rPr>
        <w:t xml:space="preserve"> </w:t>
      </w:r>
      <w:r w:rsidR="00D075F4">
        <w:rPr>
          <w:sz w:val="20"/>
          <w:szCs w:val="20"/>
          <w:lang w:val="pt-BR"/>
        </w:rPr>
        <w:t>falta de comunicação</w:t>
      </w:r>
      <w:r w:rsidR="003440AF" w:rsidRPr="00D64156">
        <w:rPr>
          <w:sz w:val="20"/>
          <w:szCs w:val="20"/>
          <w:lang w:val="pt-BR"/>
        </w:rPr>
        <w:t xml:space="preserve"> </w:t>
      </w:r>
      <w:r>
        <w:rPr>
          <w:sz w:val="20"/>
          <w:szCs w:val="20"/>
          <w:lang w:val="pt-BR"/>
        </w:rPr>
        <w:t>e</w:t>
      </w:r>
      <w:r w:rsidR="003440AF" w:rsidRPr="00D64156">
        <w:rPr>
          <w:sz w:val="20"/>
          <w:szCs w:val="20"/>
          <w:lang w:val="pt-BR"/>
        </w:rPr>
        <w:t xml:space="preserve"> separa</w:t>
      </w:r>
      <w:r w:rsidR="00B153E7" w:rsidRPr="00D64156">
        <w:rPr>
          <w:sz w:val="20"/>
          <w:szCs w:val="20"/>
          <w:lang w:val="pt-BR"/>
        </w:rPr>
        <w:t>ção</w:t>
      </w:r>
      <w:r w:rsidR="003440AF" w:rsidRPr="00D64156">
        <w:rPr>
          <w:sz w:val="20"/>
          <w:szCs w:val="20"/>
          <w:lang w:val="pt-BR"/>
        </w:rPr>
        <w:t xml:space="preserve"> familiar</w:t>
      </w:r>
      <w:r w:rsidR="00EE0381" w:rsidRPr="00D64156">
        <w:rPr>
          <w:sz w:val="20"/>
          <w:szCs w:val="20"/>
          <w:lang w:val="pt-BR"/>
        </w:rPr>
        <w:t xml:space="preserve"> </w:t>
      </w:r>
      <w:r w:rsidR="00D075F4">
        <w:rPr>
          <w:sz w:val="20"/>
          <w:szCs w:val="20"/>
          <w:lang w:val="pt-BR"/>
        </w:rPr>
        <w:t>decorrentes</w:t>
      </w:r>
      <w:r w:rsidR="00EE0381" w:rsidRPr="00D64156">
        <w:rPr>
          <w:sz w:val="20"/>
          <w:szCs w:val="20"/>
          <w:lang w:val="pt-BR"/>
        </w:rPr>
        <w:t xml:space="preserve"> </w:t>
      </w:r>
      <w:r>
        <w:rPr>
          <w:sz w:val="20"/>
          <w:szCs w:val="20"/>
          <w:lang w:val="pt-BR"/>
        </w:rPr>
        <w:t xml:space="preserve">das </w:t>
      </w:r>
      <w:r w:rsidR="00EE0381" w:rsidRPr="00D64156">
        <w:rPr>
          <w:sz w:val="20"/>
          <w:szCs w:val="20"/>
          <w:lang w:val="pt-BR"/>
        </w:rPr>
        <w:t>deten</w:t>
      </w:r>
      <w:r w:rsidR="00B153E7" w:rsidRPr="00D64156">
        <w:rPr>
          <w:sz w:val="20"/>
          <w:szCs w:val="20"/>
          <w:lang w:val="pt-BR"/>
        </w:rPr>
        <w:t>ções</w:t>
      </w:r>
      <w:r w:rsidR="00EE0381" w:rsidRPr="00D64156">
        <w:rPr>
          <w:sz w:val="20"/>
          <w:szCs w:val="20"/>
          <w:lang w:val="pt-BR"/>
        </w:rPr>
        <w:t xml:space="preserve">, </w:t>
      </w:r>
      <w:r>
        <w:rPr>
          <w:sz w:val="20"/>
          <w:szCs w:val="20"/>
          <w:lang w:val="pt-BR"/>
        </w:rPr>
        <w:t>além de alegados danos</w:t>
      </w:r>
      <w:r w:rsidR="008C6385">
        <w:rPr>
          <w:sz w:val="20"/>
          <w:szCs w:val="20"/>
          <w:lang w:val="pt-BR"/>
        </w:rPr>
        <w:t xml:space="preserve"> </w:t>
      </w:r>
      <w:r>
        <w:rPr>
          <w:sz w:val="20"/>
          <w:szCs w:val="20"/>
          <w:lang w:val="pt-BR"/>
        </w:rPr>
        <w:t>à</w:t>
      </w:r>
      <w:r w:rsidR="003440AF" w:rsidRPr="00D64156">
        <w:rPr>
          <w:sz w:val="20"/>
          <w:szCs w:val="20"/>
          <w:lang w:val="pt-BR"/>
        </w:rPr>
        <w:t xml:space="preserve"> </w:t>
      </w:r>
      <w:r w:rsidR="00B153E7" w:rsidRPr="00D64156">
        <w:rPr>
          <w:sz w:val="20"/>
          <w:szCs w:val="20"/>
          <w:lang w:val="pt-BR"/>
        </w:rPr>
        <w:t>honra</w:t>
      </w:r>
      <w:r w:rsidR="008C6385">
        <w:rPr>
          <w:sz w:val="20"/>
          <w:szCs w:val="20"/>
          <w:lang w:val="pt-BR"/>
        </w:rPr>
        <w:t xml:space="preserve"> </w:t>
      </w:r>
      <w:r>
        <w:rPr>
          <w:sz w:val="20"/>
          <w:szCs w:val="20"/>
          <w:lang w:val="pt-BR"/>
        </w:rPr>
        <w:t xml:space="preserve">e à imagem </w:t>
      </w:r>
      <w:r w:rsidR="00D075F4">
        <w:rPr>
          <w:sz w:val="20"/>
          <w:szCs w:val="20"/>
          <w:lang w:val="pt-BR"/>
        </w:rPr>
        <w:t>provenientes</w:t>
      </w:r>
      <w:r>
        <w:rPr>
          <w:sz w:val="20"/>
          <w:szCs w:val="20"/>
          <w:lang w:val="pt-BR"/>
        </w:rPr>
        <w:t xml:space="preserve"> de sua </w:t>
      </w:r>
      <w:r w:rsidR="002E6840">
        <w:rPr>
          <w:sz w:val="20"/>
          <w:szCs w:val="20"/>
          <w:lang w:val="pt-BR"/>
        </w:rPr>
        <w:t>suposta</w:t>
      </w:r>
      <w:r w:rsidR="003440AF" w:rsidRPr="00D64156">
        <w:rPr>
          <w:sz w:val="20"/>
          <w:szCs w:val="20"/>
          <w:lang w:val="pt-BR"/>
        </w:rPr>
        <w:t xml:space="preserve"> </w:t>
      </w:r>
      <w:r w:rsidR="00A21C0E" w:rsidRPr="00D64156">
        <w:rPr>
          <w:sz w:val="20"/>
          <w:szCs w:val="20"/>
          <w:lang w:val="pt-BR"/>
        </w:rPr>
        <w:t>criminaliza</w:t>
      </w:r>
      <w:r w:rsidR="00B153E7" w:rsidRPr="00D64156">
        <w:rPr>
          <w:sz w:val="20"/>
          <w:szCs w:val="20"/>
          <w:lang w:val="pt-BR"/>
        </w:rPr>
        <w:t>ção</w:t>
      </w:r>
      <w:r w:rsidR="003440AF" w:rsidRPr="00D64156">
        <w:rPr>
          <w:sz w:val="20"/>
          <w:szCs w:val="20"/>
          <w:lang w:val="pt-BR"/>
        </w:rPr>
        <w:t>.</w:t>
      </w:r>
    </w:p>
    <w:p w14:paraId="427DD78C" w14:textId="312BBDBD" w:rsidR="000177A9" w:rsidRPr="00891A5F" w:rsidRDefault="000177A9"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EC0BB7">
        <w:rPr>
          <w:sz w:val="20"/>
          <w:szCs w:val="20"/>
          <w:lang w:val="pt-BR"/>
        </w:rPr>
        <w:t>Seg</w:t>
      </w:r>
      <w:r w:rsidR="00EC0BB7" w:rsidRPr="00EC0BB7">
        <w:rPr>
          <w:sz w:val="20"/>
          <w:szCs w:val="20"/>
          <w:lang w:val="pt-BR"/>
        </w:rPr>
        <w:t xml:space="preserve">undo </w:t>
      </w:r>
      <w:r w:rsidRPr="00EC0BB7">
        <w:rPr>
          <w:sz w:val="20"/>
          <w:szCs w:val="20"/>
          <w:lang w:val="pt-BR"/>
        </w:rPr>
        <w:t xml:space="preserve">a parte </w:t>
      </w:r>
      <w:r w:rsidR="00D64156" w:rsidRPr="00EC0BB7">
        <w:rPr>
          <w:sz w:val="20"/>
          <w:szCs w:val="20"/>
          <w:lang w:val="pt-BR"/>
        </w:rPr>
        <w:t>peticionária</w:t>
      </w:r>
      <w:r w:rsidRPr="00EC0BB7">
        <w:rPr>
          <w:sz w:val="20"/>
          <w:szCs w:val="20"/>
          <w:lang w:val="pt-BR"/>
        </w:rPr>
        <w:t xml:space="preserve">, as </w:t>
      </w:r>
      <w:r w:rsidR="00EC0BB7" w:rsidRPr="00EC0BB7">
        <w:rPr>
          <w:sz w:val="20"/>
          <w:szCs w:val="20"/>
          <w:lang w:val="pt-BR"/>
        </w:rPr>
        <w:t>supostas vítimas</w:t>
      </w:r>
      <w:r w:rsidR="008C6385">
        <w:rPr>
          <w:sz w:val="20"/>
          <w:szCs w:val="20"/>
          <w:lang w:val="pt-BR"/>
        </w:rPr>
        <w:t xml:space="preserve"> </w:t>
      </w:r>
      <w:r w:rsidRPr="00EC0BB7">
        <w:rPr>
          <w:sz w:val="20"/>
          <w:szCs w:val="20"/>
          <w:lang w:val="pt-BR"/>
        </w:rPr>
        <w:t>f</w:t>
      </w:r>
      <w:r w:rsidR="00EC0BB7" w:rsidRPr="00EC0BB7">
        <w:rPr>
          <w:sz w:val="20"/>
          <w:szCs w:val="20"/>
          <w:lang w:val="pt-BR"/>
        </w:rPr>
        <w:t>o</w:t>
      </w:r>
      <w:r w:rsidR="00EC0BB7">
        <w:rPr>
          <w:sz w:val="20"/>
          <w:szCs w:val="20"/>
          <w:lang w:val="pt-BR"/>
        </w:rPr>
        <w:t>ram submetidas</w:t>
      </w:r>
      <w:r w:rsidR="008C6385">
        <w:rPr>
          <w:sz w:val="20"/>
          <w:szCs w:val="20"/>
          <w:lang w:val="pt-BR"/>
        </w:rPr>
        <w:t xml:space="preserve"> </w:t>
      </w:r>
      <w:r w:rsidRPr="00EC0BB7">
        <w:rPr>
          <w:sz w:val="20"/>
          <w:szCs w:val="20"/>
          <w:lang w:val="pt-BR"/>
        </w:rPr>
        <w:t>a u</w:t>
      </w:r>
      <w:r w:rsidR="00EC0BB7">
        <w:rPr>
          <w:sz w:val="20"/>
          <w:szCs w:val="20"/>
          <w:lang w:val="pt-BR"/>
        </w:rPr>
        <w:t>m</w:t>
      </w:r>
      <w:r w:rsidRPr="00EC0BB7">
        <w:rPr>
          <w:sz w:val="20"/>
          <w:szCs w:val="20"/>
          <w:lang w:val="pt-BR"/>
        </w:rPr>
        <w:t xml:space="preserve"> </w:t>
      </w:r>
      <w:r w:rsidR="00EC0BB7">
        <w:rPr>
          <w:sz w:val="20"/>
          <w:szCs w:val="20"/>
          <w:lang w:val="pt-BR"/>
        </w:rPr>
        <w:t>processo</w:t>
      </w:r>
      <w:r w:rsidR="008C6385">
        <w:rPr>
          <w:sz w:val="20"/>
          <w:szCs w:val="20"/>
          <w:lang w:val="pt-BR"/>
        </w:rPr>
        <w:t xml:space="preserve"> </w:t>
      </w:r>
      <w:r w:rsidRPr="00EC0BB7">
        <w:rPr>
          <w:sz w:val="20"/>
          <w:szCs w:val="20"/>
          <w:lang w:val="pt-BR"/>
        </w:rPr>
        <w:t xml:space="preserve">penal </w:t>
      </w:r>
      <w:r w:rsidR="00D075F4">
        <w:rPr>
          <w:sz w:val="20"/>
          <w:szCs w:val="20"/>
          <w:lang w:val="pt-BR"/>
        </w:rPr>
        <w:t>que resultou</w:t>
      </w:r>
      <w:r w:rsidRPr="00EC0BB7">
        <w:rPr>
          <w:sz w:val="20"/>
          <w:szCs w:val="20"/>
          <w:lang w:val="pt-BR"/>
        </w:rPr>
        <w:t xml:space="preserve"> de u</w:t>
      </w:r>
      <w:r w:rsidR="00EC0BB7">
        <w:rPr>
          <w:sz w:val="20"/>
          <w:szCs w:val="20"/>
          <w:lang w:val="pt-BR"/>
        </w:rPr>
        <w:t xml:space="preserve">ma operação liderada pela Polícia </w:t>
      </w:r>
      <w:r w:rsidRPr="00EC0BB7">
        <w:rPr>
          <w:sz w:val="20"/>
          <w:szCs w:val="20"/>
          <w:lang w:val="pt-BR"/>
        </w:rPr>
        <w:t xml:space="preserve">Federal </w:t>
      </w:r>
      <w:r w:rsidR="002E6840">
        <w:rPr>
          <w:sz w:val="20"/>
          <w:szCs w:val="20"/>
          <w:lang w:val="pt-BR"/>
        </w:rPr>
        <w:t>b</w:t>
      </w:r>
      <w:r w:rsidR="00EC0BB7">
        <w:rPr>
          <w:sz w:val="20"/>
          <w:szCs w:val="20"/>
          <w:lang w:val="pt-BR"/>
        </w:rPr>
        <w:t xml:space="preserve">rasileira, </w:t>
      </w:r>
      <w:r w:rsidRPr="00EC0BB7">
        <w:rPr>
          <w:sz w:val="20"/>
          <w:szCs w:val="20"/>
          <w:lang w:val="pt-BR"/>
        </w:rPr>
        <w:t>denominad</w:t>
      </w:r>
      <w:r w:rsidR="00EC0BB7">
        <w:rPr>
          <w:sz w:val="20"/>
          <w:szCs w:val="20"/>
          <w:lang w:val="pt-BR"/>
        </w:rPr>
        <w:t>a</w:t>
      </w:r>
      <w:r w:rsidR="00EE0381" w:rsidRPr="00EC0BB7">
        <w:rPr>
          <w:sz w:val="20"/>
          <w:szCs w:val="20"/>
          <w:lang w:val="pt-BR"/>
        </w:rPr>
        <w:t xml:space="preserve"> </w:t>
      </w:r>
      <w:r w:rsidRPr="00EC0BB7">
        <w:rPr>
          <w:i/>
          <w:iCs/>
          <w:sz w:val="20"/>
          <w:szCs w:val="20"/>
          <w:lang w:val="pt-BR"/>
        </w:rPr>
        <w:t>Mãos Dadas</w:t>
      </w:r>
      <w:r w:rsidRPr="00EC0BB7">
        <w:rPr>
          <w:sz w:val="20"/>
          <w:szCs w:val="20"/>
          <w:lang w:val="pt-BR"/>
        </w:rPr>
        <w:t>.</w:t>
      </w:r>
      <w:r w:rsidR="00EC7FB3" w:rsidRPr="00EC0BB7">
        <w:rPr>
          <w:sz w:val="20"/>
          <w:szCs w:val="20"/>
          <w:lang w:val="pt-BR"/>
        </w:rPr>
        <w:t xml:space="preserve"> </w:t>
      </w:r>
      <w:r w:rsidR="00EC0BB7" w:rsidRPr="00EC0BB7">
        <w:rPr>
          <w:sz w:val="20"/>
          <w:szCs w:val="20"/>
          <w:lang w:val="pt-BR"/>
        </w:rPr>
        <w:t xml:space="preserve">A operação pretendia </w:t>
      </w:r>
      <w:r w:rsidR="00EC7FB3" w:rsidRPr="00EC0BB7">
        <w:rPr>
          <w:sz w:val="20"/>
          <w:szCs w:val="20"/>
          <w:lang w:val="pt-BR"/>
        </w:rPr>
        <w:t>enfrentar u</w:t>
      </w:r>
      <w:r w:rsidR="00EC0BB7" w:rsidRPr="00EC0BB7">
        <w:rPr>
          <w:sz w:val="20"/>
          <w:szCs w:val="20"/>
          <w:lang w:val="pt-BR"/>
        </w:rPr>
        <w:t xml:space="preserve">m </w:t>
      </w:r>
      <w:r w:rsidR="00EC0BB7">
        <w:rPr>
          <w:sz w:val="20"/>
          <w:szCs w:val="20"/>
          <w:lang w:val="pt-BR"/>
        </w:rPr>
        <w:t xml:space="preserve">suposto </w:t>
      </w:r>
      <w:r w:rsidR="00EC7FB3" w:rsidRPr="00EC0BB7">
        <w:rPr>
          <w:sz w:val="20"/>
          <w:szCs w:val="20"/>
          <w:lang w:val="pt-BR"/>
        </w:rPr>
        <w:t xml:space="preserve">esquema criminal para obter </w:t>
      </w:r>
      <w:r w:rsidR="00EC7FB3" w:rsidRPr="00EC0BB7">
        <w:rPr>
          <w:i/>
          <w:iCs/>
          <w:sz w:val="20"/>
          <w:szCs w:val="20"/>
          <w:lang w:val="pt-BR"/>
        </w:rPr>
        <w:t>precatórios</w:t>
      </w:r>
      <w:r w:rsidR="00EC7FB3" w:rsidRPr="00EC0BB7">
        <w:rPr>
          <w:sz w:val="20"/>
          <w:szCs w:val="20"/>
          <w:lang w:val="pt-BR"/>
        </w:rPr>
        <w:t xml:space="preserve"> de mane</w:t>
      </w:r>
      <w:r w:rsidR="00EC0BB7">
        <w:rPr>
          <w:sz w:val="20"/>
          <w:szCs w:val="20"/>
          <w:lang w:val="pt-BR"/>
        </w:rPr>
        <w:t>i</w:t>
      </w:r>
      <w:r w:rsidR="00EC7FB3" w:rsidRPr="00EC0BB7">
        <w:rPr>
          <w:sz w:val="20"/>
          <w:szCs w:val="20"/>
          <w:lang w:val="pt-BR"/>
        </w:rPr>
        <w:t>ra inde</w:t>
      </w:r>
      <w:r w:rsidR="00EC0BB7">
        <w:rPr>
          <w:sz w:val="20"/>
          <w:szCs w:val="20"/>
          <w:lang w:val="pt-BR"/>
        </w:rPr>
        <w:t>v</w:t>
      </w:r>
      <w:r w:rsidR="00EC7FB3" w:rsidRPr="00EC0BB7">
        <w:rPr>
          <w:sz w:val="20"/>
          <w:szCs w:val="20"/>
          <w:lang w:val="pt-BR"/>
        </w:rPr>
        <w:t>ida.</w:t>
      </w:r>
      <w:r w:rsidRPr="00EC0BB7">
        <w:rPr>
          <w:sz w:val="20"/>
          <w:szCs w:val="20"/>
          <w:lang w:val="pt-BR"/>
        </w:rPr>
        <w:t xml:space="preserve"> </w:t>
      </w:r>
      <w:r w:rsidR="00EC0BB7" w:rsidRPr="00EC0BB7">
        <w:rPr>
          <w:sz w:val="20"/>
          <w:szCs w:val="20"/>
          <w:lang w:val="pt-BR"/>
        </w:rPr>
        <w:t xml:space="preserve">O </w:t>
      </w:r>
      <w:r w:rsidR="00EC0BB7" w:rsidRPr="00891A5F">
        <w:rPr>
          <w:sz w:val="20"/>
          <w:szCs w:val="20"/>
          <w:lang w:val="pt-BR"/>
        </w:rPr>
        <w:t>processo</w:t>
      </w:r>
      <w:r w:rsidR="008C6385">
        <w:rPr>
          <w:sz w:val="20"/>
          <w:szCs w:val="20"/>
          <w:lang w:val="pt-BR"/>
        </w:rPr>
        <w:t xml:space="preserve"> </w:t>
      </w:r>
      <w:r w:rsidRPr="00EC0BB7">
        <w:rPr>
          <w:sz w:val="20"/>
          <w:szCs w:val="20"/>
          <w:lang w:val="pt-BR"/>
        </w:rPr>
        <w:t xml:space="preserve">penal </w:t>
      </w:r>
      <w:r w:rsidR="00EC0BB7" w:rsidRPr="00EC0BB7">
        <w:rPr>
          <w:sz w:val="20"/>
          <w:szCs w:val="20"/>
          <w:lang w:val="pt-BR"/>
        </w:rPr>
        <w:t xml:space="preserve">teria </w:t>
      </w:r>
      <w:r w:rsidRPr="00EC0BB7">
        <w:rPr>
          <w:sz w:val="20"/>
          <w:szCs w:val="20"/>
          <w:lang w:val="pt-BR"/>
        </w:rPr>
        <w:t>sido iniciado como forma de repres</w:t>
      </w:r>
      <w:r w:rsidR="00EC0BB7" w:rsidRPr="00EC0BB7">
        <w:rPr>
          <w:sz w:val="20"/>
          <w:szCs w:val="20"/>
          <w:lang w:val="pt-BR"/>
        </w:rPr>
        <w:t>á</w:t>
      </w:r>
      <w:r w:rsidRPr="00EC0BB7">
        <w:rPr>
          <w:sz w:val="20"/>
          <w:szCs w:val="20"/>
          <w:lang w:val="pt-BR"/>
        </w:rPr>
        <w:t xml:space="preserve">lia contra as </w:t>
      </w:r>
      <w:r w:rsidR="00EC0BB7" w:rsidRPr="00EC0BB7">
        <w:rPr>
          <w:sz w:val="20"/>
          <w:szCs w:val="20"/>
          <w:lang w:val="pt-BR"/>
        </w:rPr>
        <w:t>supostas vítimas</w:t>
      </w:r>
      <w:r w:rsidRPr="00EC0BB7">
        <w:rPr>
          <w:sz w:val="20"/>
          <w:szCs w:val="20"/>
          <w:lang w:val="pt-BR"/>
        </w:rPr>
        <w:t xml:space="preserve">, </w:t>
      </w:r>
      <w:r w:rsidR="00EC0BB7" w:rsidRPr="00EC0BB7">
        <w:rPr>
          <w:sz w:val="20"/>
          <w:szCs w:val="20"/>
          <w:lang w:val="pt-BR"/>
        </w:rPr>
        <w:t>j</w:t>
      </w:r>
      <w:r w:rsidR="00EC0BB7">
        <w:rPr>
          <w:sz w:val="20"/>
          <w:szCs w:val="20"/>
          <w:lang w:val="pt-BR"/>
        </w:rPr>
        <w:t xml:space="preserve">á </w:t>
      </w:r>
      <w:r w:rsidRPr="00EC0BB7">
        <w:rPr>
          <w:sz w:val="20"/>
          <w:szCs w:val="20"/>
          <w:lang w:val="pt-BR"/>
        </w:rPr>
        <w:t>que t</w:t>
      </w:r>
      <w:r w:rsidR="00EC0BB7">
        <w:rPr>
          <w:sz w:val="20"/>
          <w:szCs w:val="20"/>
          <w:lang w:val="pt-BR"/>
        </w:rPr>
        <w:t xml:space="preserve">êm um </w:t>
      </w:r>
      <w:r w:rsidRPr="00EC0BB7">
        <w:rPr>
          <w:sz w:val="20"/>
          <w:szCs w:val="20"/>
          <w:lang w:val="pt-BR"/>
        </w:rPr>
        <w:t xml:space="preserve">crédito </w:t>
      </w:r>
      <w:r w:rsidR="00891A5F">
        <w:rPr>
          <w:sz w:val="20"/>
          <w:szCs w:val="20"/>
          <w:lang w:val="pt-BR"/>
        </w:rPr>
        <w:t xml:space="preserve">não pago, de montante </w:t>
      </w:r>
      <w:r w:rsidRPr="00EC0BB7">
        <w:rPr>
          <w:sz w:val="20"/>
          <w:szCs w:val="20"/>
          <w:lang w:val="pt-BR"/>
        </w:rPr>
        <w:t>superior a R$ 754.298.981,34</w:t>
      </w:r>
      <w:r w:rsidR="00891A5F">
        <w:rPr>
          <w:sz w:val="20"/>
          <w:szCs w:val="20"/>
          <w:lang w:val="pt-BR"/>
        </w:rPr>
        <w:t>,</w:t>
      </w:r>
      <w:r w:rsidR="00F470FB" w:rsidRPr="00D64156">
        <w:rPr>
          <w:rStyle w:val="FootnoteReference"/>
          <w:sz w:val="20"/>
          <w:szCs w:val="20"/>
          <w:lang w:val="pt-BR"/>
        </w:rPr>
        <w:footnoteReference w:id="6"/>
      </w:r>
      <w:r w:rsidRPr="00EC0BB7">
        <w:rPr>
          <w:sz w:val="20"/>
          <w:szCs w:val="20"/>
          <w:lang w:val="pt-BR"/>
        </w:rPr>
        <w:t xml:space="preserve"> d</w:t>
      </w:r>
      <w:r w:rsidR="00891A5F">
        <w:rPr>
          <w:sz w:val="20"/>
          <w:szCs w:val="20"/>
          <w:lang w:val="pt-BR"/>
        </w:rPr>
        <w:t xml:space="preserve">o qual o </w:t>
      </w:r>
      <w:r w:rsidRPr="00EC0BB7">
        <w:rPr>
          <w:sz w:val="20"/>
          <w:szCs w:val="20"/>
          <w:lang w:val="pt-BR"/>
        </w:rPr>
        <w:t xml:space="preserve">Estado </w:t>
      </w:r>
      <w:r w:rsidR="00891A5F">
        <w:rPr>
          <w:sz w:val="20"/>
          <w:szCs w:val="20"/>
          <w:lang w:val="pt-BR"/>
        </w:rPr>
        <w:t>brasileiro seria devedor</w:t>
      </w:r>
      <w:r w:rsidRPr="00EC0BB7">
        <w:rPr>
          <w:sz w:val="20"/>
          <w:szCs w:val="20"/>
          <w:lang w:val="pt-BR"/>
        </w:rPr>
        <w:t xml:space="preserve">. </w:t>
      </w:r>
      <w:r w:rsidR="00891A5F" w:rsidRPr="00891A5F">
        <w:rPr>
          <w:sz w:val="20"/>
          <w:szCs w:val="20"/>
          <w:lang w:val="pt-BR"/>
        </w:rPr>
        <w:t>Desse modo</w:t>
      </w:r>
      <w:r w:rsidRPr="00891A5F">
        <w:rPr>
          <w:sz w:val="20"/>
          <w:szCs w:val="20"/>
          <w:lang w:val="pt-BR"/>
        </w:rPr>
        <w:t>, a peti</w:t>
      </w:r>
      <w:r w:rsidR="00B153E7" w:rsidRPr="00891A5F">
        <w:rPr>
          <w:sz w:val="20"/>
          <w:szCs w:val="20"/>
          <w:lang w:val="pt-BR"/>
        </w:rPr>
        <w:t>ção</w:t>
      </w:r>
      <w:r w:rsidRPr="00891A5F">
        <w:rPr>
          <w:sz w:val="20"/>
          <w:szCs w:val="20"/>
          <w:lang w:val="pt-BR"/>
        </w:rPr>
        <w:t xml:space="preserve"> </w:t>
      </w:r>
      <w:r w:rsidR="00891A5F">
        <w:rPr>
          <w:sz w:val="20"/>
          <w:szCs w:val="20"/>
          <w:lang w:val="pt-BR"/>
        </w:rPr>
        <w:t xml:space="preserve">em exame abrange dois </w:t>
      </w:r>
      <w:r w:rsidR="00EC0BB7" w:rsidRPr="00891A5F">
        <w:rPr>
          <w:sz w:val="20"/>
          <w:szCs w:val="20"/>
          <w:lang w:val="pt-BR"/>
        </w:rPr>
        <w:t>processos</w:t>
      </w:r>
      <w:r w:rsidR="008C6385">
        <w:rPr>
          <w:sz w:val="20"/>
          <w:szCs w:val="20"/>
          <w:lang w:val="pt-BR"/>
        </w:rPr>
        <w:t xml:space="preserve"> </w:t>
      </w:r>
      <w:r w:rsidRPr="00891A5F">
        <w:rPr>
          <w:sz w:val="20"/>
          <w:szCs w:val="20"/>
          <w:lang w:val="pt-BR"/>
        </w:rPr>
        <w:t>judici</w:t>
      </w:r>
      <w:r w:rsidR="00B153E7" w:rsidRPr="00891A5F">
        <w:rPr>
          <w:sz w:val="20"/>
          <w:szCs w:val="20"/>
          <w:lang w:val="pt-BR"/>
        </w:rPr>
        <w:t>ais</w:t>
      </w:r>
      <w:r w:rsidRPr="00891A5F">
        <w:rPr>
          <w:sz w:val="20"/>
          <w:szCs w:val="20"/>
          <w:lang w:val="pt-BR"/>
        </w:rPr>
        <w:t>: u</w:t>
      </w:r>
      <w:r w:rsidR="00891A5F">
        <w:rPr>
          <w:sz w:val="20"/>
          <w:szCs w:val="20"/>
          <w:lang w:val="pt-BR"/>
        </w:rPr>
        <w:t xml:space="preserve">m que exige o pagamento de um título executivo </w:t>
      </w:r>
      <w:r w:rsidR="00715051" w:rsidRPr="00891A5F">
        <w:rPr>
          <w:sz w:val="20"/>
          <w:szCs w:val="20"/>
          <w:lang w:val="pt-BR"/>
        </w:rPr>
        <w:t xml:space="preserve">judicial </w:t>
      </w:r>
      <w:r w:rsidR="00891A5F">
        <w:rPr>
          <w:sz w:val="20"/>
          <w:szCs w:val="20"/>
          <w:lang w:val="pt-BR"/>
        </w:rPr>
        <w:t xml:space="preserve">devido pelo </w:t>
      </w:r>
      <w:r w:rsidR="00715051" w:rsidRPr="00891A5F">
        <w:rPr>
          <w:sz w:val="20"/>
          <w:szCs w:val="20"/>
          <w:lang w:val="pt-BR"/>
        </w:rPr>
        <w:t>Estado</w:t>
      </w:r>
      <w:r w:rsidR="00EC1A95" w:rsidRPr="00891A5F">
        <w:rPr>
          <w:sz w:val="20"/>
          <w:szCs w:val="20"/>
          <w:lang w:val="pt-BR"/>
        </w:rPr>
        <w:t>;</w:t>
      </w:r>
      <w:r w:rsidR="00715051" w:rsidRPr="00891A5F">
        <w:rPr>
          <w:sz w:val="20"/>
          <w:szCs w:val="20"/>
          <w:lang w:val="pt-BR"/>
        </w:rPr>
        <w:t xml:space="preserve"> </w:t>
      </w:r>
      <w:r w:rsidR="00891A5F">
        <w:rPr>
          <w:sz w:val="20"/>
          <w:szCs w:val="20"/>
          <w:lang w:val="pt-BR"/>
        </w:rPr>
        <w:t>e</w:t>
      </w:r>
      <w:r w:rsidRPr="00891A5F">
        <w:rPr>
          <w:sz w:val="20"/>
          <w:szCs w:val="20"/>
          <w:lang w:val="pt-BR"/>
        </w:rPr>
        <w:t xml:space="preserve"> </w:t>
      </w:r>
      <w:r w:rsidR="00891A5F">
        <w:rPr>
          <w:sz w:val="20"/>
          <w:szCs w:val="20"/>
          <w:lang w:val="pt-BR"/>
        </w:rPr>
        <w:t xml:space="preserve">outro que se refere ao </w:t>
      </w:r>
      <w:r w:rsidR="00EC0BB7" w:rsidRPr="00891A5F">
        <w:rPr>
          <w:sz w:val="20"/>
          <w:szCs w:val="20"/>
          <w:lang w:val="pt-BR"/>
        </w:rPr>
        <w:t>processo</w:t>
      </w:r>
      <w:r w:rsidR="008C6385">
        <w:rPr>
          <w:sz w:val="20"/>
          <w:szCs w:val="20"/>
          <w:lang w:val="pt-BR"/>
        </w:rPr>
        <w:t xml:space="preserve"> </w:t>
      </w:r>
      <w:r w:rsidRPr="00891A5F">
        <w:rPr>
          <w:sz w:val="20"/>
          <w:szCs w:val="20"/>
          <w:lang w:val="pt-BR"/>
        </w:rPr>
        <w:t xml:space="preserve">penal </w:t>
      </w:r>
      <w:r w:rsidR="004120E7" w:rsidRPr="00891A5F">
        <w:rPr>
          <w:sz w:val="20"/>
          <w:szCs w:val="20"/>
          <w:lang w:val="pt-BR"/>
        </w:rPr>
        <w:t>condu</w:t>
      </w:r>
      <w:r w:rsidR="00891A5F">
        <w:rPr>
          <w:sz w:val="20"/>
          <w:szCs w:val="20"/>
          <w:lang w:val="pt-BR"/>
        </w:rPr>
        <w:t>z</w:t>
      </w:r>
      <w:r w:rsidR="004120E7" w:rsidRPr="00891A5F">
        <w:rPr>
          <w:sz w:val="20"/>
          <w:szCs w:val="20"/>
          <w:lang w:val="pt-BR"/>
        </w:rPr>
        <w:t xml:space="preserve">ido </w:t>
      </w:r>
      <w:r w:rsidRPr="00891A5F">
        <w:rPr>
          <w:sz w:val="20"/>
          <w:szCs w:val="20"/>
          <w:lang w:val="pt-BR"/>
        </w:rPr>
        <w:t>contra</w:t>
      </w:r>
      <w:r w:rsidR="004120E7" w:rsidRPr="00891A5F">
        <w:rPr>
          <w:sz w:val="20"/>
          <w:szCs w:val="20"/>
          <w:lang w:val="pt-BR"/>
        </w:rPr>
        <w:t xml:space="preserve"> </w:t>
      </w:r>
      <w:r w:rsidR="00EC0BB7" w:rsidRPr="00891A5F">
        <w:rPr>
          <w:sz w:val="20"/>
          <w:szCs w:val="20"/>
          <w:lang w:val="pt-BR"/>
        </w:rPr>
        <w:t>as supostas vítimas</w:t>
      </w:r>
      <w:r w:rsidRPr="00891A5F">
        <w:rPr>
          <w:sz w:val="20"/>
          <w:szCs w:val="20"/>
          <w:lang w:val="pt-BR"/>
        </w:rPr>
        <w:t xml:space="preserve">. </w:t>
      </w:r>
      <w:r w:rsidR="00891A5F" w:rsidRPr="00891A5F">
        <w:rPr>
          <w:sz w:val="20"/>
          <w:szCs w:val="20"/>
          <w:lang w:val="pt-BR"/>
        </w:rPr>
        <w:t>Segundo os peticionários</w:t>
      </w:r>
      <w:r w:rsidRPr="00891A5F">
        <w:rPr>
          <w:sz w:val="20"/>
          <w:szCs w:val="20"/>
          <w:lang w:val="pt-BR"/>
        </w:rPr>
        <w:t>, e</w:t>
      </w:r>
      <w:r w:rsidR="00891A5F" w:rsidRPr="00891A5F">
        <w:rPr>
          <w:sz w:val="20"/>
          <w:szCs w:val="20"/>
          <w:lang w:val="pt-BR"/>
        </w:rPr>
        <w:t>m</w:t>
      </w:r>
      <w:r w:rsidRPr="00891A5F">
        <w:rPr>
          <w:sz w:val="20"/>
          <w:szCs w:val="20"/>
          <w:lang w:val="pt-BR"/>
        </w:rPr>
        <w:t xml:space="preserve"> ambos </w:t>
      </w:r>
      <w:r w:rsidR="00891A5F" w:rsidRPr="00891A5F">
        <w:rPr>
          <w:sz w:val="20"/>
          <w:szCs w:val="20"/>
          <w:lang w:val="pt-BR"/>
        </w:rPr>
        <w:t xml:space="preserve">os </w:t>
      </w:r>
      <w:r w:rsidRPr="00891A5F">
        <w:rPr>
          <w:sz w:val="20"/>
          <w:szCs w:val="20"/>
          <w:lang w:val="pt-BR"/>
        </w:rPr>
        <w:t xml:space="preserve">casos </w:t>
      </w:r>
      <w:r w:rsidR="00891A5F">
        <w:rPr>
          <w:sz w:val="20"/>
          <w:szCs w:val="20"/>
          <w:lang w:val="pt-BR"/>
        </w:rPr>
        <w:t xml:space="preserve">foram violados os </w:t>
      </w:r>
      <w:r w:rsidR="00B153E7" w:rsidRPr="00891A5F">
        <w:rPr>
          <w:sz w:val="20"/>
          <w:szCs w:val="20"/>
          <w:lang w:val="pt-BR"/>
        </w:rPr>
        <w:t>direitos</w:t>
      </w:r>
      <w:r w:rsidR="008C6385">
        <w:rPr>
          <w:sz w:val="20"/>
          <w:szCs w:val="20"/>
          <w:lang w:val="pt-BR"/>
        </w:rPr>
        <w:t xml:space="preserve"> </w:t>
      </w:r>
      <w:r w:rsidR="00891A5F">
        <w:rPr>
          <w:sz w:val="20"/>
          <w:szCs w:val="20"/>
          <w:lang w:val="pt-BR"/>
        </w:rPr>
        <w:t xml:space="preserve">dos </w:t>
      </w:r>
      <w:r w:rsidRPr="00891A5F">
        <w:rPr>
          <w:sz w:val="20"/>
          <w:szCs w:val="20"/>
          <w:lang w:val="pt-BR"/>
        </w:rPr>
        <w:t>Gruenberg.</w:t>
      </w:r>
    </w:p>
    <w:p w14:paraId="424A2398" w14:textId="57B9A57F" w:rsidR="00EC7FB3" w:rsidRPr="00D64156" w:rsidRDefault="00891A5F" w:rsidP="00EC7FB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pt-BR"/>
        </w:rPr>
      </w:pPr>
      <w:r>
        <w:rPr>
          <w:sz w:val="20"/>
          <w:szCs w:val="20"/>
          <w:u w:val="single"/>
          <w:lang w:val="pt-BR"/>
        </w:rPr>
        <w:t>O</w:t>
      </w:r>
      <w:r w:rsidR="00EC7FB3" w:rsidRPr="00D64156">
        <w:rPr>
          <w:sz w:val="20"/>
          <w:szCs w:val="20"/>
          <w:u w:val="single"/>
          <w:lang w:val="pt-BR"/>
        </w:rPr>
        <w:t>s precatórios</w:t>
      </w:r>
    </w:p>
    <w:p w14:paraId="7ED97211" w14:textId="393D82A4" w:rsidR="004120E7" w:rsidRPr="00D64156" w:rsidRDefault="00891A5F"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891A5F">
        <w:rPr>
          <w:sz w:val="20"/>
          <w:szCs w:val="20"/>
          <w:lang w:val="pt-BR"/>
        </w:rPr>
        <w:t>O</w:t>
      </w:r>
      <w:r w:rsidR="004120E7" w:rsidRPr="00891A5F">
        <w:rPr>
          <w:sz w:val="20"/>
          <w:szCs w:val="20"/>
          <w:lang w:val="pt-BR"/>
        </w:rPr>
        <w:t xml:space="preserve">s </w:t>
      </w:r>
      <w:r w:rsidRPr="00891A5F">
        <w:rPr>
          <w:sz w:val="20"/>
          <w:szCs w:val="20"/>
          <w:lang w:val="pt-BR"/>
        </w:rPr>
        <w:t>peticionários</w:t>
      </w:r>
      <w:r w:rsidR="008C6385">
        <w:rPr>
          <w:sz w:val="20"/>
          <w:szCs w:val="20"/>
          <w:lang w:val="pt-BR"/>
        </w:rPr>
        <w:t xml:space="preserve"> </w:t>
      </w:r>
      <w:r w:rsidRPr="00891A5F">
        <w:rPr>
          <w:sz w:val="20"/>
          <w:szCs w:val="20"/>
          <w:lang w:val="pt-BR"/>
        </w:rPr>
        <w:t xml:space="preserve">afirmam </w:t>
      </w:r>
      <w:r w:rsidR="004120E7" w:rsidRPr="00891A5F">
        <w:rPr>
          <w:sz w:val="20"/>
          <w:szCs w:val="20"/>
          <w:lang w:val="pt-BR"/>
        </w:rPr>
        <w:t xml:space="preserve">que Wolf Gruenberg </w:t>
      </w:r>
      <w:r>
        <w:rPr>
          <w:sz w:val="20"/>
          <w:szCs w:val="20"/>
          <w:lang w:val="pt-BR"/>
        </w:rPr>
        <w:t xml:space="preserve">é </w:t>
      </w:r>
      <w:r w:rsidR="004120E7" w:rsidRPr="00891A5F">
        <w:rPr>
          <w:sz w:val="20"/>
          <w:szCs w:val="20"/>
          <w:lang w:val="pt-BR"/>
        </w:rPr>
        <w:t>c</w:t>
      </w:r>
      <w:r>
        <w:rPr>
          <w:sz w:val="20"/>
          <w:szCs w:val="20"/>
          <w:lang w:val="pt-BR"/>
        </w:rPr>
        <w:t>r</w:t>
      </w:r>
      <w:r w:rsidR="004120E7" w:rsidRPr="00891A5F">
        <w:rPr>
          <w:sz w:val="20"/>
          <w:szCs w:val="20"/>
          <w:lang w:val="pt-BR"/>
        </w:rPr>
        <w:t>edor de do</w:t>
      </w:r>
      <w:r>
        <w:rPr>
          <w:sz w:val="20"/>
          <w:szCs w:val="20"/>
          <w:lang w:val="pt-BR"/>
        </w:rPr>
        <w:t>i</w:t>
      </w:r>
      <w:r w:rsidR="004120E7" w:rsidRPr="00891A5F">
        <w:rPr>
          <w:sz w:val="20"/>
          <w:szCs w:val="20"/>
          <w:lang w:val="pt-BR"/>
        </w:rPr>
        <w:t xml:space="preserve">s </w:t>
      </w:r>
      <w:r w:rsidR="00715051" w:rsidRPr="00891A5F">
        <w:rPr>
          <w:sz w:val="20"/>
          <w:szCs w:val="20"/>
          <w:lang w:val="pt-BR"/>
        </w:rPr>
        <w:t>título</w:t>
      </w:r>
      <w:r w:rsidR="00A21C0E" w:rsidRPr="00891A5F">
        <w:rPr>
          <w:sz w:val="20"/>
          <w:szCs w:val="20"/>
          <w:lang w:val="pt-BR"/>
        </w:rPr>
        <w:t>s</w:t>
      </w:r>
      <w:r w:rsidR="00715051" w:rsidRPr="00891A5F">
        <w:rPr>
          <w:sz w:val="20"/>
          <w:szCs w:val="20"/>
          <w:lang w:val="pt-BR"/>
        </w:rPr>
        <w:t xml:space="preserve"> </w:t>
      </w:r>
      <w:r>
        <w:rPr>
          <w:sz w:val="20"/>
          <w:szCs w:val="20"/>
          <w:lang w:val="pt-BR"/>
        </w:rPr>
        <w:t>executivos</w:t>
      </w:r>
      <w:r w:rsidR="008C6385">
        <w:rPr>
          <w:sz w:val="20"/>
          <w:szCs w:val="20"/>
          <w:lang w:val="pt-BR"/>
        </w:rPr>
        <w:t xml:space="preserve"> </w:t>
      </w:r>
      <w:r w:rsidR="00715051" w:rsidRPr="00891A5F">
        <w:rPr>
          <w:sz w:val="20"/>
          <w:szCs w:val="20"/>
          <w:lang w:val="pt-BR"/>
        </w:rPr>
        <w:t>judici</w:t>
      </w:r>
      <w:r w:rsidR="00B153E7" w:rsidRPr="00891A5F">
        <w:rPr>
          <w:sz w:val="20"/>
          <w:szCs w:val="20"/>
          <w:lang w:val="pt-BR"/>
        </w:rPr>
        <w:t>ais</w:t>
      </w:r>
      <w:r w:rsidR="008C6385">
        <w:rPr>
          <w:sz w:val="20"/>
          <w:szCs w:val="20"/>
          <w:lang w:val="pt-BR"/>
        </w:rPr>
        <w:t xml:space="preserve"> </w:t>
      </w:r>
      <w:r w:rsidR="00B153E7" w:rsidRPr="00891A5F">
        <w:rPr>
          <w:sz w:val="20"/>
          <w:szCs w:val="20"/>
          <w:lang w:val="pt-BR"/>
        </w:rPr>
        <w:t xml:space="preserve">da </w:t>
      </w:r>
      <w:r w:rsidR="004120E7" w:rsidRPr="00891A5F">
        <w:rPr>
          <w:sz w:val="20"/>
          <w:szCs w:val="20"/>
          <w:lang w:val="pt-BR"/>
        </w:rPr>
        <w:t>Uni</w:t>
      </w:r>
      <w:r>
        <w:rPr>
          <w:sz w:val="20"/>
          <w:szCs w:val="20"/>
          <w:lang w:val="pt-BR"/>
        </w:rPr>
        <w:t>ão</w:t>
      </w:r>
      <w:r w:rsidR="004120E7" w:rsidRPr="00891A5F">
        <w:rPr>
          <w:sz w:val="20"/>
          <w:szCs w:val="20"/>
          <w:lang w:val="pt-BR"/>
        </w:rPr>
        <w:t xml:space="preserve"> Federal,</w:t>
      </w:r>
      <w:r>
        <w:rPr>
          <w:sz w:val="20"/>
          <w:szCs w:val="20"/>
          <w:lang w:val="pt-BR"/>
        </w:rPr>
        <w:t xml:space="preserve"> </w:t>
      </w:r>
      <w:r w:rsidR="004120E7" w:rsidRPr="00891A5F">
        <w:rPr>
          <w:sz w:val="20"/>
          <w:szCs w:val="20"/>
          <w:lang w:val="pt-BR"/>
        </w:rPr>
        <w:t xml:space="preserve">os </w:t>
      </w:r>
      <w:r>
        <w:rPr>
          <w:sz w:val="20"/>
          <w:szCs w:val="20"/>
          <w:lang w:val="pt-BR"/>
        </w:rPr>
        <w:t>q</w:t>
      </w:r>
      <w:r w:rsidR="004120E7" w:rsidRPr="00891A5F">
        <w:rPr>
          <w:sz w:val="20"/>
          <w:szCs w:val="20"/>
          <w:lang w:val="pt-BR"/>
        </w:rPr>
        <w:t>u</w:t>
      </w:r>
      <w:r w:rsidR="00B153E7" w:rsidRPr="00891A5F">
        <w:rPr>
          <w:sz w:val="20"/>
          <w:szCs w:val="20"/>
          <w:lang w:val="pt-BR"/>
        </w:rPr>
        <w:t>ais</w:t>
      </w:r>
      <w:r w:rsidR="008C6385">
        <w:rPr>
          <w:sz w:val="20"/>
          <w:szCs w:val="20"/>
          <w:lang w:val="pt-BR"/>
        </w:rPr>
        <w:t xml:space="preserve"> </w:t>
      </w:r>
      <w:r>
        <w:rPr>
          <w:sz w:val="20"/>
          <w:szCs w:val="20"/>
          <w:lang w:val="pt-BR"/>
        </w:rPr>
        <w:t xml:space="preserve">tiveram origem em </w:t>
      </w:r>
      <w:r w:rsidR="004120E7" w:rsidRPr="00891A5F">
        <w:rPr>
          <w:sz w:val="20"/>
          <w:szCs w:val="20"/>
          <w:lang w:val="pt-BR"/>
        </w:rPr>
        <w:t>1991</w:t>
      </w:r>
      <w:r w:rsidR="002E6120" w:rsidRPr="00891A5F">
        <w:rPr>
          <w:sz w:val="20"/>
          <w:szCs w:val="20"/>
          <w:lang w:val="pt-BR"/>
        </w:rPr>
        <w:t>,</w:t>
      </w:r>
      <w:r w:rsidR="004120E7" w:rsidRPr="00891A5F">
        <w:rPr>
          <w:sz w:val="20"/>
          <w:szCs w:val="20"/>
          <w:lang w:val="pt-BR"/>
        </w:rPr>
        <w:t xml:space="preserve"> </w:t>
      </w:r>
      <w:r>
        <w:rPr>
          <w:sz w:val="20"/>
          <w:szCs w:val="20"/>
          <w:lang w:val="pt-BR"/>
        </w:rPr>
        <w:t>e que, até esta data, não foram pagos</w:t>
      </w:r>
      <w:r w:rsidR="004120E7" w:rsidRPr="00891A5F">
        <w:rPr>
          <w:sz w:val="20"/>
          <w:szCs w:val="20"/>
          <w:lang w:val="pt-BR"/>
        </w:rPr>
        <w:t xml:space="preserve">. </w:t>
      </w:r>
      <w:r>
        <w:rPr>
          <w:sz w:val="20"/>
          <w:szCs w:val="20"/>
          <w:lang w:val="pt-BR"/>
        </w:rPr>
        <w:t>A</w:t>
      </w:r>
      <w:r w:rsidR="00715051" w:rsidRPr="00D64156">
        <w:rPr>
          <w:sz w:val="20"/>
          <w:szCs w:val="20"/>
          <w:lang w:val="pt-BR"/>
        </w:rPr>
        <w:t xml:space="preserve">s </w:t>
      </w:r>
      <w:r>
        <w:rPr>
          <w:sz w:val="20"/>
          <w:szCs w:val="20"/>
          <w:lang w:val="pt-BR"/>
        </w:rPr>
        <w:t>dívidas</w:t>
      </w:r>
      <w:r w:rsidR="008C6385">
        <w:rPr>
          <w:sz w:val="20"/>
          <w:szCs w:val="20"/>
          <w:lang w:val="pt-BR"/>
        </w:rPr>
        <w:t xml:space="preserve"> </w:t>
      </w:r>
      <w:r w:rsidR="00F825A3">
        <w:rPr>
          <w:sz w:val="20"/>
          <w:szCs w:val="20"/>
          <w:lang w:val="pt-BR"/>
        </w:rPr>
        <w:t>decorreram de</w:t>
      </w:r>
      <w:r>
        <w:rPr>
          <w:sz w:val="20"/>
          <w:szCs w:val="20"/>
          <w:lang w:val="pt-BR"/>
        </w:rPr>
        <w:t xml:space="preserve"> uma venda </w:t>
      </w:r>
      <w:r w:rsidR="004120E7" w:rsidRPr="00D64156">
        <w:rPr>
          <w:sz w:val="20"/>
          <w:szCs w:val="20"/>
          <w:lang w:val="pt-BR"/>
        </w:rPr>
        <w:t>realizada p</w:t>
      </w:r>
      <w:r>
        <w:rPr>
          <w:sz w:val="20"/>
          <w:szCs w:val="20"/>
          <w:lang w:val="pt-BR"/>
        </w:rPr>
        <w:t xml:space="preserve">ela </w:t>
      </w:r>
      <w:r w:rsidR="004120E7" w:rsidRPr="00D64156">
        <w:rPr>
          <w:sz w:val="20"/>
          <w:szCs w:val="20"/>
          <w:lang w:val="pt-BR"/>
        </w:rPr>
        <w:t xml:space="preserve">empresa </w:t>
      </w:r>
      <w:r w:rsidR="004120E7" w:rsidRPr="00D64156">
        <w:rPr>
          <w:i/>
          <w:iCs/>
          <w:sz w:val="20"/>
          <w:szCs w:val="20"/>
          <w:lang w:val="pt-BR"/>
        </w:rPr>
        <w:t>AC Indústria e Comércio, Importação e Exportação</w:t>
      </w:r>
      <w:r w:rsidR="004120E7" w:rsidRPr="00D64156">
        <w:rPr>
          <w:sz w:val="20"/>
          <w:szCs w:val="20"/>
          <w:lang w:val="pt-BR"/>
        </w:rPr>
        <w:t xml:space="preserve">, </w:t>
      </w:r>
      <w:r w:rsidR="00B153E7" w:rsidRPr="00D64156">
        <w:rPr>
          <w:sz w:val="20"/>
          <w:szCs w:val="20"/>
          <w:lang w:val="pt-BR"/>
        </w:rPr>
        <w:t xml:space="preserve">da </w:t>
      </w:r>
      <w:r>
        <w:rPr>
          <w:sz w:val="20"/>
          <w:szCs w:val="20"/>
          <w:lang w:val="pt-BR"/>
        </w:rPr>
        <w:t>qual</w:t>
      </w:r>
      <w:r w:rsidR="008C6385">
        <w:rPr>
          <w:sz w:val="20"/>
          <w:szCs w:val="20"/>
          <w:lang w:val="pt-BR"/>
        </w:rPr>
        <w:t xml:space="preserve"> </w:t>
      </w:r>
      <w:r>
        <w:rPr>
          <w:sz w:val="20"/>
          <w:szCs w:val="20"/>
          <w:lang w:val="pt-BR"/>
        </w:rPr>
        <w:t xml:space="preserve">o Senhor </w:t>
      </w:r>
      <w:bookmarkStart w:id="2" w:name="_Hlk144041432"/>
      <w:r w:rsidR="004120E7" w:rsidRPr="00D64156">
        <w:rPr>
          <w:sz w:val="20"/>
          <w:szCs w:val="20"/>
          <w:lang w:val="pt-BR"/>
        </w:rPr>
        <w:t xml:space="preserve">Gruenberg </w:t>
      </w:r>
      <w:bookmarkEnd w:id="2"/>
      <w:r w:rsidR="004120E7" w:rsidRPr="00D64156">
        <w:rPr>
          <w:sz w:val="20"/>
          <w:szCs w:val="20"/>
          <w:lang w:val="pt-BR"/>
        </w:rPr>
        <w:t xml:space="preserve">era </w:t>
      </w:r>
      <w:r>
        <w:rPr>
          <w:sz w:val="20"/>
          <w:szCs w:val="20"/>
          <w:lang w:val="pt-BR"/>
        </w:rPr>
        <w:t>sócio</w:t>
      </w:r>
      <w:r w:rsidR="00520DE4" w:rsidRPr="00D64156">
        <w:rPr>
          <w:sz w:val="20"/>
          <w:szCs w:val="20"/>
          <w:lang w:val="pt-BR"/>
        </w:rPr>
        <w:t xml:space="preserve">, </w:t>
      </w:r>
      <w:r>
        <w:rPr>
          <w:sz w:val="20"/>
          <w:szCs w:val="20"/>
          <w:lang w:val="pt-BR"/>
        </w:rPr>
        <w:t xml:space="preserve">à </w:t>
      </w:r>
      <w:r w:rsidR="004120E7" w:rsidRPr="00D64156">
        <w:rPr>
          <w:i/>
          <w:iCs/>
          <w:sz w:val="20"/>
          <w:szCs w:val="20"/>
          <w:lang w:val="pt-BR"/>
        </w:rPr>
        <w:t>Companhia Brasileira de Entrepostos e Comércio</w:t>
      </w:r>
      <w:r w:rsidR="004120E7" w:rsidRPr="00D64156">
        <w:rPr>
          <w:sz w:val="20"/>
          <w:szCs w:val="20"/>
          <w:lang w:val="pt-BR"/>
        </w:rPr>
        <w:t xml:space="preserve">, </w:t>
      </w:r>
      <w:r>
        <w:rPr>
          <w:sz w:val="20"/>
          <w:szCs w:val="20"/>
          <w:lang w:val="pt-BR"/>
        </w:rPr>
        <w:t>cujo</w:t>
      </w:r>
      <w:r w:rsidR="008C6385">
        <w:rPr>
          <w:sz w:val="20"/>
          <w:szCs w:val="20"/>
          <w:lang w:val="pt-BR"/>
        </w:rPr>
        <w:t xml:space="preserve"> </w:t>
      </w:r>
      <w:r w:rsidR="00520DE4" w:rsidRPr="00D64156">
        <w:rPr>
          <w:sz w:val="20"/>
          <w:szCs w:val="20"/>
          <w:lang w:val="pt-BR"/>
        </w:rPr>
        <w:t>débito</w:t>
      </w:r>
      <w:r w:rsidR="004120E7" w:rsidRPr="00D64156">
        <w:rPr>
          <w:sz w:val="20"/>
          <w:szCs w:val="20"/>
          <w:lang w:val="pt-BR"/>
        </w:rPr>
        <w:t xml:space="preserve"> n</w:t>
      </w:r>
      <w:r>
        <w:rPr>
          <w:sz w:val="20"/>
          <w:szCs w:val="20"/>
          <w:lang w:val="pt-BR"/>
        </w:rPr>
        <w:t>ã</w:t>
      </w:r>
      <w:r w:rsidR="004120E7" w:rsidRPr="00D64156">
        <w:rPr>
          <w:sz w:val="20"/>
          <w:szCs w:val="20"/>
          <w:lang w:val="pt-BR"/>
        </w:rPr>
        <w:t xml:space="preserve">o </w:t>
      </w:r>
      <w:r>
        <w:rPr>
          <w:sz w:val="20"/>
          <w:szCs w:val="20"/>
          <w:lang w:val="pt-BR"/>
        </w:rPr>
        <w:t xml:space="preserve">teria </w:t>
      </w:r>
      <w:r w:rsidR="008616BE" w:rsidRPr="00D64156">
        <w:rPr>
          <w:sz w:val="20"/>
          <w:szCs w:val="20"/>
          <w:lang w:val="pt-BR"/>
        </w:rPr>
        <w:t>sido</w:t>
      </w:r>
      <w:r w:rsidR="004120E7" w:rsidRPr="00D64156">
        <w:rPr>
          <w:sz w:val="20"/>
          <w:szCs w:val="20"/>
          <w:lang w:val="pt-BR"/>
        </w:rPr>
        <w:t xml:space="preserve"> pag</w:t>
      </w:r>
      <w:r>
        <w:rPr>
          <w:sz w:val="20"/>
          <w:szCs w:val="20"/>
          <w:lang w:val="pt-BR"/>
        </w:rPr>
        <w:t>o</w:t>
      </w:r>
      <w:r w:rsidR="004120E7" w:rsidRPr="00D64156">
        <w:rPr>
          <w:sz w:val="20"/>
          <w:szCs w:val="20"/>
          <w:lang w:val="pt-BR"/>
        </w:rPr>
        <w:t xml:space="preserve">, </w:t>
      </w:r>
      <w:r>
        <w:rPr>
          <w:sz w:val="20"/>
          <w:szCs w:val="20"/>
          <w:lang w:val="pt-BR"/>
        </w:rPr>
        <w:t xml:space="preserve">o que deu </w:t>
      </w:r>
      <w:r w:rsidR="004120E7" w:rsidRPr="00D64156">
        <w:rPr>
          <w:sz w:val="20"/>
          <w:szCs w:val="20"/>
          <w:lang w:val="pt-BR"/>
        </w:rPr>
        <w:t xml:space="preserve">lugar a </w:t>
      </w:r>
      <w:r>
        <w:rPr>
          <w:sz w:val="20"/>
          <w:szCs w:val="20"/>
          <w:lang w:val="pt-BR"/>
        </w:rPr>
        <w:t>uma</w:t>
      </w:r>
      <w:r w:rsidR="008C6385">
        <w:rPr>
          <w:sz w:val="20"/>
          <w:szCs w:val="20"/>
          <w:lang w:val="pt-BR"/>
        </w:rPr>
        <w:t xml:space="preserve"> </w:t>
      </w:r>
      <w:r w:rsidR="004120E7" w:rsidRPr="00D64156">
        <w:rPr>
          <w:sz w:val="20"/>
          <w:szCs w:val="20"/>
          <w:lang w:val="pt-BR"/>
        </w:rPr>
        <w:t>a</w:t>
      </w:r>
      <w:r w:rsidR="00B153E7" w:rsidRPr="00D64156">
        <w:rPr>
          <w:sz w:val="20"/>
          <w:szCs w:val="20"/>
          <w:lang w:val="pt-BR"/>
        </w:rPr>
        <w:t>ção</w:t>
      </w:r>
      <w:r w:rsidR="004120E7" w:rsidRPr="00D64156">
        <w:rPr>
          <w:sz w:val="20"/>
          <w:szCs w:val="20"/>
          <w:lang w:val="pt-BR"/>
        </w:rPr>
        <w:t xml:space="preserve"> de cobr</w:t>
      </w:r>
      <w:r>
        <w:rPr>
          <w:sz w:val="20"/>
          <w:szCs w:val="20"/>
          <w:lang w:val="pt-BR"/>
        </w:rPr>
        <w:t>ança e a uma</w:t>
      </w:r>
      <w:r w:rsidR="008C6385">
        <w:rPr>
          <w:sz w:val="20"/>
          <w:szCs w:val="20"/>
          <w:lang w:val="pt-BR"/>
        </w:rPr>
        <w:t xml:space="preserve"> </w:t>
      </w:r>
      <w:r>
        <w:rPr>
          <w:sz w:val="20"/>
          <w:szCs w:val="20"/>
          <w:lang w:val="pt-BR"/>
        </w:rPr>
        <w:t>ação</w:t>
      </w:r>
      <w:r w:rsidR="008C6385">
        <w:rPr>
          <w:sz w:val="20"/>
          <w:szCs w:val="20"/>
          <w:lang w:val="pt-BR"/>
        </w:rPr>
        <w:t xml:space="preserve"> </w:t>
      </w:r>
      <w:r w:rsidR="004120E7" w:rsidRPr="00D64156">
        <w:rPr>
          <w:sz w:val="20"/>
          <w:szCs w:val="20"/>
          <w:lang w:val="pt-BR"/>
        </w:rPr>
        <w:t xml:space="preserve">de </w:t>
      </w:r>
      <w:r w:rsidR="00EC0BB7">
        <w:rPr>
          <w:sz w:val="20"/>
          <w:szCs w:val="20"/>
          <w:lang w:val="pt-BR"/>
        </w:rPr>
        <w:t xml:space="preserve">danos </w:t>
      </w:r>
      <w:r>
        <w:rPr>
          <w:sz w:val="20"/>
          <w:szCs w:val="20"/>
          <w:lang w:val="pt-BR"/>
        </w:rPr>
        <w:t>e</w:t>
      </w:r>
      <w:r w:rsidR="004120E7" w:rsidRPr="00D64156">
        <w:rPr>
          <w:sz w:val="20"/>
          <w:szCs w:val="20"/>
          <w:lang w:val="pt-BR"/>
        </w:rPr>
        <w:t xml:space="preserve"> </w:t>
      </w:r>
      <w:r>
        <w:rPr>
          <w:sz w:val="20"/>
          <w:szCs w:val="20"/>
          <w:lang w:val="pt-BR"/>
        </w:rPr>
        <w:t xml:space="preserve">prejuízos julgadas </w:t>
      </w:r>
      <w:r w:rsidR="004120E7" w:rsidRPr="00D64156">
        <w:rPr>
          <w:sz w:val="20"/>
          <w:szCs w:val="20"/>
          <w:lang w:val="pt-BR"/>
        </w:rPr>
        <w:t>procedente</w:t>
      </w:r>
      <w:r w:rsidR="00520DE4" w:rsidRPr="00D64156">
        <w:rPr>
          <w:sz w:val="20"/>
          <w:szCs w:val="20"/>
          <w:lang w:val="pt-BR"/>
        </w:rPr>
        <w:t>s</w:t>
      </w:r>
      <w:r w:rsidR="004120E7" w:rsidRPr="00D64156">
        <w:rPr>
          <w:sz w:val="20"/>
          <w:szCs w:val="20"/>
          <w:lang w:val="pt-BR"/>
        </w:rPr>
        <w:t xml:space="preserve">. </w:t>
      </w:r>
      <w:r w:rsidRPr="00891A5F">
        <w:rPr>
          <w:sz w:val="20"/>
          <w:szCs w:val="20"/>
          <w:lang w:val="pt-BR"/>
        </w:rPr>
        <w:t xml:space="preserve">Afirmam também </w:t>
      </w:r>
      <w:r w:rsidR="002E6840">
        <w:rPr>
          <w:sz w:val="20"/>
          <w:szCs w:val="20"/>
          <w:lang w:val="pt-BR"/>
        </w:rPr>
        <w:t xml:space="preserve">que </w:t>
      </w:r>
      <w:r w:rsidRPr="00891A5F">
        <w:rPr>
          <w:sz w:val="20"/>
          <w:szCs w:val="20"/>
          <w:lang w:val="pt-BR"/>
        </w:rPr>
        <w:t xml:space="preserve">foram pagos apenas </w:t>
      </w:r>
      <w:r w:rsidR="004120E7" w:rsidRPr="00891A5F">
        <w:rPr>
          <w:sz w:val="20"/>
          <w:szCs w:val="20"/>
          <w:lang w:val="pt-BR"/>
        </w:rPr>
        <w:t xml:space="preserve">10% </w:t>
      </w:r>
      <w:r w:rsidR="00B153E7" w:rsidRPr="00891A5F">
        <w:rPr>
          <w:sz w:val="20"/>
          <w:szCs w:val="20"/>
          <w:lang w:val="pt-BR"/>
        </w:rPr>
        <w:t xml:space="preserve">da </w:t>
      </w:r>
      <w:r w:rsidRPr="00891A5F">
        <w:rPr>
          <w:sz w:val="20"/>
          <w:szCs w:val="20"/>
          <w:lang w:val="pt-BR"/>
        </w:rPr>
        <w:t>ação</w:t>
      </w:r>
      <w:r w:rsidR="008C6385">
        <w:rPr>
          <w:sz w:val="20"/>
          <w:szCs w:val="20"/>
          <w:lang w:val="pt-BR"/>
        </w:rPr>
        <w:t xml:space="preserve"> </w:t>
      </w:r>
      <w:r w:rsidR="004120E7" w:rsidRPr="00891A5F">
        <w:rPr>
          <w:sz w:val="20"/>
          <w:szCs w:val="20"/>
          <w:lang w:val="pt-BR"/>
        </w:rPr>
        <w:t xml:space="preserve">de </w:t>
      </w:r>
      <w:r w:rsidRPr="00891A5F">
        <w:rPr>
          <w:sz w:val="20"/>
          <w:szCs w:val="20"/>
          <w:lang w:val="pt-BR"/>
        </w:rPr>
        <w:t>cobrança</w:t>
      </w:r>
      <w:r w:rsidR="004120E7" w:rsidRPr="00891A5F">
        <w:rPr>
          <w:sz w:val="20"/>
          <w:szCs w:val="20"/>
          <w:lang w:val="pt-BR"/>
        </w:rPr>
        <w:t xml:space="preserve">, </w:t>
      </w:r>
      <w:r>
        <w:rPr>
          <w:sz w:val="20"/>
          <w:szCs w:val="20"/>
          <w:lang w:val="pt-BR"/>
        </w:rPr>
        <w:t xml:space="preserve">ao passo que a </w:t>
      </w:r>
      <w:r w:rsidRPr="00891A5F">
        <w:rPr>
          <w:sz w:val="20"/>
          <w:szCs w:val="20"/>
          <w:lang w:val="pt-BR"/>
        </w:rPr>
        <w:t>ação</w:t>
      </w:r>
      <w:r w:rsidR="008C6385">
        <w:rPr>
          <w:sz w:val="20"/>
          <w:szCs w:val="20"/>
          <w:lang w:val="pt-BR"/>
        </w:rPr>
        <w:t xml:space="preserve"> </w:t>
      </w:r>
      <w:r w:rsidR="004120E7" w:rsidRPr="00891A5F">
        <w:rPr>
          <w:sz w:val="20"/>
          <w:szCs w:val="20"/>
          <w:lang w:val="pt-BR"/>
        </w:rPr>
        <w:t xml:space="preserve">de </w:t>
      </w:r>
      <w:r w:rsidR="00EC0BB7" w:rsidRPr="00891A5F">
        <w:rPr>
          <w:sz w:val="20"/>
          <w:szCs w:val="20"/>
          <w:lang w:val="pt-BR"/>
        </w:rPr>
        <w:t>danos</w:t>
      </w:r>
      <w:r w:rsidR="008C6385">
        <w:rPr>
          <w:sz w:val="20"/>
          <w:szCs w:val="20"/>
          <w:lang w:val="pt-BR"/>
        </w:rPr>
        <w:t xml:space="preserve"> </w:t>
      </w:r>
      <w:r>
        <w:rPr>
          <w:sz w:val="20"/>
          <w:szCs w:val="20"/>
          <w:lang w:val="pt-BR"/>
        </w:rPr>
        <w:t>e</w:t>
      </w:r>
      <w:r w:rsidR="004120E7" w:rsidRPr="00891A5F">
        <w:rPr>
          <w:sz w:val="20"/>
          <w:szCs w:val="20"/>
          <w:lang w:val="pt-BR"/>
        </w:rPr>
        <w:t xml:space="preserve"> </w:t>
      </w:r>
      <w:r>
        <w:rPr>
          <w:sz w:val="20"/>
          <w:szCs w:val="20"/>
          <w:lang w:val="pt-BR"/>
        </w:rPr>
        <w:t xml:space="preserve">prejuízos não foi </w:t>
      </w:r>
      <w:r w:rsidR="004120E7" w:rsidRPr="00891A5F">
        <w:rPr>
          <w:sz w:val="20"/>
          <w:szCs w:val="20"/>
          <w:lang w:val="pt-BR"/>
        </w:rPr>
        <w:t xml:space="preserve">liquidada, </w:t>
      </w:r>
      <w:r>
        <w:rPr>
          <w:sz w:val="20"/>
          <w:szCs w:val="20"/>
          <w:lang w:val="pt-BR"/>
        </w:rPr>
        <w:t>razão pela qual a suposta vítima</w:t>
      </w:r>
      <w:r w:rsidR="008C6385">
        <w:rPr>
          <w:sz w:val="20"/>
          <w:szCs w:val="20"/>
          <w:lang w:val="pt-BR"/>
        </w:rPr>
        <w:t xml:space="preserve"> </w:t>
      </w:r>
      <w:r w:rsidR="004120E7" w:rsidRPr="00891A5F">
        <w:rPr>
          <w:sz w:val="20"/>
          <w:szCs w:val="20"/>
          <w:lang w:val="pt-BR"/>
        </w:rPr>
        <w:t>interp</w:t>
      </w:r>
      <w:r>
        <w:rPr>
          <w:sz w:val="20"/>
          <w:szCs w:val="20"/>
          <w:lang w:val="pt-BR"/>
        </w:rPr>
        <w:t xml:space="preserve">ôs </w:t>
      </w:r>
      <w:r w:rsidRPr="00891A5F">
        <w:rPr>
          <w:sz w:val="20"/>
          <w:szCs w:val="20"/>
          <w:lang w:val="pt-BR"/>
        </w:rPr>
        <w:t>uma</w:t>
      </w:r>
      <w:r w:rsidR="008C6385">
        <w:rPr>
          <w:sz w:val="20"/>
          <w:szCs w:val="20"/>
          <w:lang w:val="pt-BR"/>
        </w:rPr>
        <w:t xml:space="preserve"> </w:t>
      </w:r>
      <w:r w:rsidRPr="00891A5F">
        <w:rPr>
          <w:sz w:val="20"/>
          <w:szCs w:val="20"/>
          <w:lang w:val="pt-BR"/>
        </w:rPr>
        <w:t>ação</w:t>
      </w:r>
      <w:r w:rsidR="008C6385">
        <w:rPr>
          <w:sz w:val="20"/>
          <w:szCs w:val="20"/>
          <w:lang w:val="pt-BR"/>
        </w:rPr>
        <w:t xml:space="preserve"> </w:t>
      </w:r>
      <w:r w:rsidR="004120E7" w:rsidRPr="00891A5F">
        <w:rPr>
          <w:sz w:val="20"/>
          <w:szCs w:val="20"/>
          <w:lang w:val="pt-BR"/>
        </w:rPr>
        <w:t xml:space="preserve">de </w:t>
      </w:r>
      <w:r w:rsidR="00EC0BB7" w:rsidRPr="00891A5F">
        <w:rPr>
          <w:sz w:val="20"/>
          <w:szCs w:val="20"/>
          <w:lang w:val="pt-BR"/>
        </w:rPr>
        <w:t>danos</w:t>
      </w:r>
      <w:r w:rsidR="008C6385">
        <w:rPr>
          <w:sz w:val="20"/>
          <w:szCs w:val="20"/>
          <w:lang w:val="pt-BR"/>
        </w:rPr>
        <w:t xml:space="preserve"> </w:t>
      </w:r>
      <w:r>
        <w:rPr>
          <w:sz w:val="20"/>
          <w:szCs w:val="20"/>
          <w:lang w:val="pt-BR"/>
        </w:rPr>
        <w:t xml:space="preserve">e prejuízos, em </w:t>
      </w:r>
      <w:r w:rsidR="004120E7" w:rsidRPr="00891A5F">
        <w:rPr>
          <w:sz w:val="20"/>
          <w:szCs w:val="20"/>
          <w:lang w:val="pt-BR"/>
        </w:rPr>
        <w:t xml:space="preserve">1988, </w:t>
      </w:r>
      <w:r w:rsidR="00520DE4" w:rsidRPr="00891A5F">
        <w:rPr>
          <w:sz w:val="20"/>
          <w:szCs w:val="20"/>
          <w:lang w:val="pt-BR"/>
        </w:rPr>
        <w:t>que f</w:t>
      </w:r>
      <w:r>
        <w:rPr>
          <w:sz w:val="20"/>
          <w:szCs w:val="20"/>
          <w:lang w:val="pt-BR"/>
        </w:rPr>
        <w:t xml:space="preserve">oi </w:t>
      </w:r>
      <w:r w:rsidR="00520DE4" w:rsidRPr="00891A5F">
        <w:rPr>
          <w:sz w:val="20"/>
          <w:szCs w:val="20"/>
          <w:lang w:val="pt-BR"/>
        </w:rPr>
        <w:t>ju</w:t>
      </w:r>
      <w:r>
        <w:rPr>
          <w:sz w:val="20"/>
          <w:szCs w:val="20"/>
          <w:lang w:val="pt-BR"/>
        </w:rPr>
        <w:t>l</w:t>
      </w:r>
      <w:r w:rsidR="00520DE4" w:rsidRPr="00891A5F">
        <w:rPr>
          <w:sz w:val="20"/>
          <w:szCs w:val="20"/>
          <w:lang w:val="pt-BR"/>
        </w:rPr>
        <w:t xml:space="preserve">gada procedente, </w:t>
      </w:r>
      <w:r>
        <w:rPr>
          <w:sz w:val="20"/>
          <w:szCs w:val="20"/>
          <w:lang w:val="pt-BR"/>
        </w:rPr>
        <w:t xml:space="preserve">com a </w:t>
      </w:r>
      <w:r w:rsidR="00E07189" w:rsidRPr="00891A5F">
        <w:rPr>
          <w:sz w:val="20"/>
          <w:szCs w:val="20"/>
          <w:lang w:val="pt-BR"/>
        </w:rPr>
        <w:t>confirma</w:t>
      </w:r>
      <w:r w:rsidR="00B153E7" w:rsidRPr="00891A5F">
        <w:rPr>
          <w:sz w:val="20"/>
          <w:szCs w:val="20"/>
          <w:lang w:val="pt-BR"/>
        </w:rPr>
        <w:t>ção</w:t>
      </w:r>
      <w:r w:rsidR="00E07189" w:rsidRPr="00891A5F">
        <w:rPr>
          <w:sz w:val="20"/>
          <w:szCs w:val="20"/>
          <w:lang w:val="pt-BR"/>
        </w:rPr>
        <w:t xml:space="preserve"> </w:t>
      </w:r>
      <w:r>
        <w:rPr>
          <w:sz w:val="20"/>
          <w:szCs w:val="20"/>
          <w:lang w:val="pt-BR"/>
        </w:rPr>
        <w:t>e</w:t>
      </w:r>
      <w:r w:rsidR="00E07189" w:rsidRPr="00891A5F">
        <w:rPr>
          <w:sz w:val="20"/>
          <w:szCs w:val="20"/>
          <w:lang w:val="pt-BR"/>
        </w:rPr>
        <w:t xml:space="preserve"> determina</w:t>
      </w:r>
      <w:r w:rsidR="00B153E7" w:rsidRPr="00891A5F">
        <w:rPr>
          <w:sz w:val="20"/>
          <w:szCs w:val="20"/>
          <w:lang w:val="pt-BR"/>
        </w:rPr>
        <w:t>ção</w:t>
      </w:r>
      <w:r w:rsidR="00E07189" w:rsidRPr="00891A5F">
        <w:rPr>
          <w:sz w:val="20"/>
          <w:szCs w:val="20"/>
          <w:lang w:val="pt-BR"/>
        </w:rPr>
        <w:t xml:space="preserve"> d</w:t>
      </w:r>
      <w:r>
        <w:rPr>
          <w:sz w:val="20"/>
          <w:szCs w:val="20"/>
          <w:lang w:val="pt-BR"/>
        </w:rPr>
        <w:t xml:space="preserve">o pagamento do </w:t>
      </w:r>
      <w:r w:rsidR="004120E7" w:rsidRPr="00891A5F">
        <w:rPr>
          <w:sz w:val="20"/>
          <w:szCs w:val="20"/>
          <w:lang w:val="pt-BR"/>
        </w:rPr>
        <w:t xml:space="preserve">crédito. </w:t>
      </w:r>
      <w:r w:rsidR="00B9799B">
        <w:rPr>
          <w:sz w:val="20"/>
          <w:szCs w:val="20"/>
          <w:lang w:val="pt-BR"/>
        </w:rPr>
        <w:t>O</w:t>
      </w:r>
      <w:r w:rsidR="004120E7" w:rsidRPr="00D64156">
        <w:rPr>
          <w:sz w:val="20"/>
          <w:szCs w:val="20"/>
          <w:lang w:val="pt-BR"/>
        </w:rPr>
        <w:t xml:space="preserve"> recurso de apela</w:t>
      </w:r>
      <w:r w:rsidR="00B153E7" w:rsidRPr="00D64156">
        <w:rPr>
          <w:sz w:val="20"/>
          <w:szCs w:val="20"/>
          <w:lang w:val="pt-BR"/>
        </w:rPr>
        <w:t>ção</w:t>
      </w:r>
      <w:r w:rsidR="004120E7" w:rsidRPr="00D64156">
        <w:rPr>
          <w:sz w:val="20"/>
          <w:szCs w:val="20"/>
          <w:lang w:val="pt-BR"/>
        </w:rPr>
        <w:t xml:space="preserve"> </w:t>
      </w:r>
      <w:r w:rsidR="00B9799B">
        <w:rPr>
          <w:sz w:val="20"/>
          <w:szCs w:val="20"/>
          <w:lang w:val="pt-BR"/>
        </w:rPr>
        <w:t xml:space="preserve">e o </w:t>
      </w:r>
      <w:r w:rsidR="004120E7" w:rsidRPr="00D64156">
        <w:rPr>
          <w:sz w:val="20"/>
          <w:szCs w:val="20"/>
          <w:lang w:val="pt-BR"/>
        </w:rPr>
        <w:t xml:space="preserve">Recurso Especial </w:t>
      </w:r>
      <w:r w:rsidR="00B9799B">
        <w:rPr>
          <w:sz w:val="20"/>
          <w:szCs w:val="20"/>
          <w:lang w:val="pt-BR"/>
        </w:rPr>
        <w:t xml:space="preserve">interposto pelo </w:t>
      </w:r>
      <w:r w:rsidR="004120E7" w:rsidRPr="00D64156">
        <w:rPr>
          <w:sz w:val="20"/>
          <w:szCs w:val="20"/>
          <w:lang w:val="pt-BR"/>
        </w:rPr>
        <w:t xml:space="preserve">Estado </w:t>
      </w:r>
      <w:r w:rsidR="00B9799B">
        <w:rPr>
          <w:sz w:val="20"/>
          <w:szCs w:val="20"/>
          <w:lang w:val="pt-BR"/>
        </w:rPr>
        <w:t xml:space="preserve">foram indeferidos, e a ação transitou em julgado em </w:t>
      </w:r>
      <w:r w:rsidR="004120E7" w:rsidRPr="00D64156">
        <w:rPr>
          <w:sz w:val="20"/>
          <w:szCs w:val="20"/>
          <w:lang w:val="pt-BR"/>
        </w:rPr>
        <w:t xml:space="preserve">31 de </w:t>
      </w:r>
      <w:r w:rsidR="00455AAF" w:rsidRPr="00D64156">
        <w:rPr>
          <w:sz w:val="20"/>
          <w:szCs w:val="20"/>
          <w:lang w:val="pt-BR"/>
        </w:rPr>
        <w:t>outubro</w:t>
      </w:r>
      <w:r w:rsidR="008C6385">
        <w:rPr>
          <w:sz w:val="20"/>
          <w:szCs w:val="20"/>
          <w:lang w:val="pt-BR"/>
        </w:rPr>
        <w:t xml:space="preserve"> </w:t>
      </w:r>
      <w:r w:rsidR="004120E7" w:rsidRPr="00D64156">
        <w:rPr>
          <w:sz w:val="20"/>
          <w:szCs w:val="20"/>
          <w:lang w:val="pt-BR"/>
        </w:rPr>
        <w:t>de 1991</w:t>
      </w:r>
      <w:r w:rsidR="00E07189" w:rsidRPr="00D64156">
        <w:rPr>
          <w:sz w:val="20"/>
          <w:szCs w:val="20"/>
          <w:lang w:val="pt-BR"/>
        </w:rPr>
        <w:t xml:space="preserve">, </w:t>
      </w:r>
      <w:r w:rsidR="004120E7" w:rsidRPr="00D64156">
        <w:rPr>
          <w:sz w:val="20"/>
          <w:szCs w:val="20"/>
          <w:lang w:val="pt-BR"/>
        </w:rPr>
        <w:t>orden</w:t>
      </w:r>
      <w:r w:rsidR="00B9799B">
        <w:rPr>
          <w:sz w:val="20"/>
          <w:szCs w:val="20"/>
          <w:lang w:val="pt-BR"/>
        </w:rPr>
        <w:t>a</w:t>
      </w:r>
      <w:r w:rsidR="004120E7" w:rsidRPr="00D64156">
        <w:rPr>
          <w:sz w:val="20"/>
          <w:szCs w:val="20"/>
          <w:lang w:val="pt-BR"/>
        </w:rPr>
        <w:t>ndo</w:t>
      </w:r>
      <w:r w:rsidR="00B9799B">
        <w:rPr>
          <w:sz w:val="20"/>
          <w:szCs w:val="20"/>
          <w:lang w:val="pt-BR"/>
        </w:rPr>
        <w:t>-</w:t>
      </w:r>
      <w:r w:rsidR="004120E7" w:rsidRPr="00D64156">
        <w:rPr>
          <w:sz w:val="20"/>
          <w:szCs w:val="20"/>
          <w:lang w:val="pt-BR"/>
        </w:rPr>
        <w:t xml:space="preserve">se </w:t>
      </w:r>
      <w:r w:rsidR="00B9799B">
        <w:rPr>
          <w:sz w:val="20"/>
          <w:szCs w:val="20"/>
          <w:lang w:val="pt-BR"/>
        </w:rPr>
        <w:t xml:space="preserve">o pagamento </w:t>
      </w:r>
      <w:r w:rsidR="004120E7" w:rsidRPr="00D64156">
        <w:rPr>
          <w:sz w:val="20"/>
          <w:szCs w:val="20"/>
          <w:lang w:val="pt-BR"/>
        </w:rPr>
        <w:t xml:space="preserve">de US$ 41.044.823,67 </w:t>
      </w:r>
      <w:r w:rsidR="00B9799B">
        <w:rPr>
          <w:sz w:val="20"/>
          <w:szCs w:val="20"/>
          <w:lang w:val="pt-BR"/>
        </w:rPr>
        <w:t xml:space="preserve">ao Senhor </w:t>
      </w:r>
      <w:r w:rsidR="007F27FA" w:rsidRPr="00D64156">
        <w:rPr>
          <w:sz w:val="20"/>
          <w:szCs w:val="20"/>
          <w:lang w:val="pt-BR"/>
        </w:rPr>
        <w:t>Gruenberg</w:t>
      </w:r>
      <w:r w:rsidR="002A21E7" w:rsidRPr="00D64156">
        <w:rPr>
          <w:sz w:val="20"/>
          <w:szCs w:val="20"/>
          <w:lang w:val="pt-BR"/>
        </w:rPr>
        <w:t>.</w:t>
      </w:r>
    </w:p>
    <w:p w14:paraId="5AE8FC53" w14:textId="2D152CDE" w:rsidR="00427B38" w:rsidRPr="007C4753" w:rsidRDefault="002A21E7"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7C4753">
        <w:rPr>
          <w:sz w:val="20"/>
          <w:szCs w:val="20"/>
          <w:lang w:val="pt-BR"/>
        </w:rPr>
        <w:t>E</w:t>
      </w:r>
      <w:r w:rsidR="005063A6" w:rsidRPr="007C4753">
        <w:rPr>
          <w:sz w:val="20"/>
          <w:szCs w:val="20"/>
          <w:lang w:val="pt-BR"/>
        </w:rPr>
        <w:t>m</w:t>
      </w:r>
      <w:r w:rsidRPr="007C4753">
        <w:rPr>
          <w:sz w:val="20"/>
          <w:szCs w:val="20"/>
          <w:lang w:val="pt-BR"/>
        </w:rPr>
        <w:t xml:space="preserve"> 1999</w:t>
      </w:r>
      <w:r w:rsidR="007C4753" w:rsidRPr="007C4753">
        <w:rPr>
          <w:sz w:val="20"/>
          <w:szCs w:val="20"/>
          <w:lang w:val="pt-BR"/>
        </w:rPr>
        <w:t xml:space="preserve">, o </w:t>
      </w:r>
      <w:r w:rsidR="00EC0BB7" w:rsidRPr="007C4753">
        <w:rPr>
          <w:sz w:val="20"/>
          <w:szCs w:val="20"/>
          <w:lang w:val="pt-BR"/>
        </w:rPr>
        <w:t>processo</w:t>
      </w:r>
      <w:r w:rsidR="008C6385">
        <w:rPr>
          <w:sz w:val="20"/>
          <w:szCs w:val="20"/>
          <w:lang w:val="pt-BR"/>
        </w:rPr>
        <w:t xml:space="preserve"> </w:t>
      </w:r>
      <w:r w:rsidR="007C4753">
        <w:rPr>
          <w:sz w:val="20"/>
          <w:szCs w:val="20"/>
          <w:lang w:val="pt-BR"/>
        </w:rPr>
        <w:t>foi</w:t>
      </w:r>
      <w:r w:rsidR="008C6385">
        <w:rPr>
          <w:sz w:val="20"/>
          <w:szCs w:val="20"/>
          <w:lang w:val="pt-BR"/>
        </w:rPr>
        <w:t xml:space="preserve"> </w:t>
      </w:r>
      <w:r w:rsidRPr="007C4753">
        <w:rPr>
          <w:sz w:val="20"/>
          <w:szCs w:val="20"/>
          <w:lang w:val="pt-BR"/>
        </w:rPr>
        <w:t>transferido d</w:t>
      </w:r>
      <w:r w:rsidR="007C4753">
        <w:rPr>
          <w:sz w:val="20"/>
          <w:szCs w:val="20"/>
          <w:lang w:val="pt-BR"/>
        </w:rPr>
        <w:t>o</w:t>
      </w:r>
      <w:r w:rsidRPr="007C4753">
        <w:rPr>
          <w:sz w:val="20"/>
          <w:szCs w:val="20"/>
          <w:lang w:val="pt-BR"/>
        </w:rPr>
        <w:t xml:space="preserve"> Tribunal Estadual </w:t>
      </w:r>
      <w:r w:rsidR="007C4753">
        <w:rPr>
          <w:sz w:val="20"/>
          <w:szCs w:val="20"/>
          <w:lang w:val="pt-BR"/>
        </w:rPr>
        <w:t xml:space="preserve">para o </w:t>
      </w:r>
      <w:r w:rsidRPr="007C4753">
        <w:rPr>
          <w:sz w:val="20"/>
          <w:szCs w:val="20"/>
          <w:lang w:val="pt-BR"/>
        </w:rPr>
        <w:t xml:space="preserve">Tribunal Federal de São Paulo, </w:t>
      </w:r>
      <w:r w:rsidR="007C4753">
        <w:rPr>
          <w:sz w:val="20"/>
          <w:szCs w:val="20"/>
          <w:lang w:val="pt-BR"/>
        </w:rPr>
        <w:t>já que a União</w:t>
      </w:r>
      <w:r w:rsidR="008C6385">
        <w:rPr>
          <w:sz w:val="20"/>
          <w:szCs w:val="20"/>
          <w:lang w:val="pt-BR"/>
        </w:rPr>
        <w:t xml:space="preserve"> </w:t>
      </w:r>
      <w:r w:rsidRPr="007C4753">
        <w:rPr>
          <w:sz w:val="20"/>
          <w:szCs w:val="20"/>
          <w:lang w:val="pt-BR"/>
        </w:rPr>
        <w:t xml:space="preserve">Federal </w:t>
      </w:r>
      <w:r w:rsidR="007C4753">
        <w:rPr>
          <w:sz w:val="20"/>
          <w:szCs w:val="20"/>
          <w:lang w:val="pt-BR"/>
        </w:rPr>
        <w:t xml:space="preserve">passou a </w:t>
      </w:r>
      <w:r w:rsidRPr="007C4753">
        <w:rPr>
          <w:sz w:val="20"/>
          <w:szCs w:val="20"/>
          <w:lang w:val="pt-BR"/>
        </w:rPr>
        <w:t xml:space="preserve">ser </w:t>
      </w:r>
      <w:r w:rsidR="007B23C5" w:rsidRPr="007C4753">
        <w:rPr>
          <w:sz w:val="20"/>
          <w:szCs w:val="20"/>
          <w:lang w:val="pt-BR"/>
        </w:rPr>
        <w:t>a suces</w:t>
      </w:r>
      <w:r w:rsidR="007C4753">
        <w:rPr>
          <w:sz w:val="20"/>
          <w:szCs w:val="20"/>
          <w:lang w:val="pt-BR"/>
        </w:rPr>
        <w:t>s</w:t>
      </w:r>
      <w:r w:rsidR="007B23C5" w:rsidRPr="007C4753">
        <w:rPr>
          <w:sz w:val="20"/>
          <w:szCs w:val="20"/>
          <w:lang w:val="pt-BR"/>
        </w:rPr>
        <w:t>ora</w:t>
      </w:r>
      <w:r w:rsidRPr="007C4753">
        <w:rPr>
          <w:sz w:val="20"/>
          <w:szCs w:val="20"/>
          <w:lang w:val="pt-BR"/>
        </w:rPr>
        <w:t xml:space="preserve"> </w:t>
      </w:r>
      <w:r w:rsidR="00B153E7" w:rsidRPr="007C4753">
        <w:rPr>
          <w:sz w:val="20"/>
          <w:szCs w:val="20"/>
          <w:lang w:val="pt-BR"/>
        </w:rPr>
        <w:t xml:space="preserve">da </w:t>
      </w:r>
      <w:r w:rsidR="007C4753">
        <w:rPr>
          <w:sz w:val="20"/>
          <w:szCs w:val="20"/>
          <w:lang w:val="pt-BR"/>
        </w:rPr>
        <w:t>dívida</w:t>
      </w:r>
      <w:r w:rsidRPr="007C4753">
        <w:rPr>
          <w:sz w:val="20"/>
          <w:szCs w:val="20"/>
          <w:lang w:val="pt-BR"/>
        </w:rPr>
        <w:t xml:space="preserve">. </w:t>
      </w:r>
      <w:r w:rsidR="007C4753">
        <w:rPr>
          <w:sz w:val="20"/>
          <w:szCs w:val="20"/>
          <w:lang w:val="pt-BR"/>
        </w:rPr>
        <w:t xml:space="preserve">O </w:t>
      </w:r>
      <w:r w:rsidRPr="00D64156">
        <w:rPr>
          <w:sz w:val="20"/>
          <w:szCs w:val="20"/>
          <w:lang w:val="pt-BR"/>
        </w:rPr>
        <w:t xml:space="preserve">caso, a pedido </w:t>
      </w:r>
      <w:r w:rsidR="00B153E7" w:rsidRPr="00D64156">
        <w:rPr>
          <w:sz w:val="20"/>
          <w:szCs w:val="20"/>
          <w:lang w:val="pt-BR"/>
        </w:rPr>
        <w:t xml:space="preserve">da </w:t>
      </w:r>
      <w:r w:rsidRPr="00D64156">
        <w:rPr>
          <w:sz w:val="20"/>
          <w:szCs w:val="20"/>
          <w:lang w:val="pt-BR"/>
        </w:rPr>
        <w:t xml:space="preserve">empresa </w:t>
      </w:r>
      <w:r w:rsidR="00B153E7" w:rsidRPr="00D64156">
        <w:rPr>
          <w:sz w:val="20"/>
          <w:szCs w:val="20"/>
          <w:lang w:val="pt-BR"/>
        </w:rPr>
        <w:t xml:space="preserve">da </w:t>
      </w:r>
      <w:r w:rsidR="007C4753">
        <w:rPr>
          <w:sz w:val="20"/>
          <w:szCs w:val="20"/>
          <w:lang w:val="pt-BR"/>
        </w:rPr>
        <w:t xml:space="preserve">suposta </w:t>
      </w:r>
      <w:r w:rsidR="00891A5F">
        <w:rPr>
          <w:sz w:val="20"/>
          <w:szCs w:val="20"/>
          <w:lang w:val="pt-BR"/>
        </w:rPr>
        <w:t>vítima</w:t>
      </w:r>
      <w:r w:rsidRPr="00D64156">
        <w:rPr>
          <w:sz w:val="20"/>
          <w:szCs w:val="20"/>
          <w:lang w:val="pt-BR"/>
        </w:rPr>
        <w:t xml:space="preserve">, </w:t>
      </w:r>
      <w:r w:rsidR="007C4753">
        <w:rPr>
          <w:sz w:val="20"/>
          <w:szCs w:val="20"/>
          <w:lang w:val="pt-BR"/>
        </w:rPr>
        <w:t>foi</w:t>
      </w:r>
      <w:r w:rsidR="008C6385">
        <w:rPr>
          <w:sz w:val="20"/>
          <w:szCs w:val="20"/>
          <w:lang w:val="pt-BR"/>
        </w:rPr>
        <w:t xml:space="preserve"> </w:t>
      </w:r>
      <w:r w:rsidR="007C4753">
        <w:rPr>
          <w:sz w:val="20"/>
          <w:szCs w:val="20"/>
          <w:lang w:val="pt-BR"/>
        </w:rPr>
        <w:t>enviado à Justiça</w:t>
      </w:r>
      <w:r w:rsidR="008C6385">
        <w:rPr>
          <w:sz w:val="20"/>
          <w:szCs w:val="20"/>
          <w:lang w:val="pt-BR"/>
        </w:rPr>
        <w:t xml:space="preserve"> </w:t>
      </w:r>
      <w:r w:rsidRPr="00D64156">
        <w:rPr>
          <w:sz w:val="20"/>
          <w:szCs w:val="20"/>
          <w:lang w:val="pt-BR"/>
        </w:rPr>
        <w:t xml:space="preserve">Federal de Porto Alegre. </w:t>
      </w:r>
      <w:r w:rsidRPr="007C4753">
        <w:rPr>
          <w:sz w:val="20"/>
          <w:szCs w:val="20"/>
          <w:lang w:val="pt-BR"/>
        </w:rPr>
        <w:t>Seg</w:t>
      </w:r>
      <w:r w:rsidR="007C4753" w:rsidRPr="007C4753">
        <w:rPr>
          <w:sz w:val="20"/>
          <w:szCs w:val="20"/>
          <w:lang w:val="pt-BR"/>
        </w:rPr>
        <w:t xml:space="preserve">undo </w:t>
      </w:r>
      <w:r w:rsidRPr="007C4753">
        <w:rPr>
          <w:sz w:val="20"/>
          <w:szCs w:val="20"/>
          <w:lang w:val="pt-BR"/>
        </w:rPr>
        <w:t xml:space="preserve">os </w:t>
      </w:r>
      <w:r w:rsidR="00891A5F" w:rsidRPr="007C4753">
        <w:rPr>
          <w:sz w:val="20"/>
          <w:szCs w:val="20"/>
          <w:lang w:val="pt-BR"/>
        </w:rPr>
        <w:t>peticionários</w:t>
      </w:r>
      <w:r w:rsidRPr="007C4753">
        <w:rPr>
          <w:sz w:val="20"/>
          <w:szCs w:val="20"/>
          <w:lang w:val="pt-BR"/>
        </w:rPr>
        <w:t xml:space="preserve">, </w:t>
      </w:r>
      <w:r w:rsidR="007C4753" w:rsidRPr="007C4753">
        <w:rPr>
          <w:sz w:val="20"/>
          <w:szCs w:val="20"/>
          <w:lang w:val="pt-BR"/>
        </w:rPr>
        <w:t xml:space="preserve">novo prazo </w:t>
      </w:r>
      <w:r w:rsidR="007C4753">
        <w:rPr>
          <w:sz w:val="20"/>
          <w:szCs w:val="20"/>
          <w:lang w:val="pt-BR"/>
        </w:rPr>
        <w:t xml:space="preserve">foi concedido para que o </w:t>
      </w:r>
      <w:r w:rsidRPr="007C4753">
        <w:rPr>
          <w:sz w:val="20"/>
          <w:szCs w:val="20"/>
          <w:lang w:val="pt-BR"/>
        </w:rPr>
        <w:t xml:space="preserve">Estado se </w:t>
      </w:r>
      <w:r w:rsidR="007C4753">
        <w:rPr>
          <w:sz w:val="20"/>
          <w:szCs w:val="20"/>
          <w:lang w:val="pt-BR"/>
        </w:rPr>
        <w:t xml:space="preserve">manifestasse no </w:t>
      </w:r>
      <w:r w:rsidR="00EC0BB7" w:rsidRPr="007C4753">
        <w:rPr>
          <w:sz w:val="20"/>
          <w:szCs w:val="20"/>
          <w:lang w:val="pt-BR"/>
        </w:rPr>
        <w:t>processo</w:t>
      </w:r>
      <w:r w:rsidRPr="007C4753">
        <w:rPr>
          <w:sz w:val="20"/>
          <w:szCs w:val="20"/>
          <w:lang w:val="pt-BR"/>
        </w:rPr>
        <w:t xml:space="preserve">, apesar </w:t>
      </w:r>
      <w:r w:rsidR="00B153E7" w:rsidRPr="007C4753">
        <w:rPr>
          <w:sz w:val="20"/>
          <w:szCs w:val="20"/>
          <w:lang w:val="pt-BR"/>
        </w:rPr>
        <w:t xml:space="preserve">da </w:t>
      </w:r>
      <w:r w:rsidR="00715051" w:rsidRPr="007C4753">
        <w:rPr>
          <w:sz w:val="20"/>
          <w:szCs w:val="20"/>
          <w:lang w:val="pt-BR"/>
        </w:rPr>
        <w:t>preclus</w:t>
      </w:r>
      <w:r w:rsidR="007C4753">
        <w:rPr>
          <w:sz w:val="20"/>
          <w:szCs w:val="20"/>
          <w:lang w:val="pt-BR"/>
        </w:rPr>
        <w:t>ão</w:t>
      </w:r>
      <w:r w:rsidRPr="007C4753">
        <w:rPr>
          <w:sz w:val="20"/>
          <w:szCs w:val="20"/>
          <w:lang w:val="pt-BR"/>
        </w:rPr>
        <w:t xml:space="preserve">. </w:t>
      </w:r>
      <w:r w:rsidR="007C4753" w:rsidRPr="007C4753">
        <w:rPr>
          <w:sz w:val="20"/>
          <w:szCs w:val="20"/>
          <w:lang w:val="pt-BR"/>
        </w:rPr>
        <w:t>Desde então</w:t>
      </w:r>
      <w:r w:rsidRPr="007C4753">
        <w:rPr>
          <w:sz w:val="20"/>
          <w:szCs w:val="20"/>
          <w:lang w:val="pt-BR"/>
        </w:rPr>
        <w:t xml:space="preserve">, os membros </w:t>
      </w:r>
      <w:r w:rsidR="00B153E7" w:rsidRPr="007C4753">
        <w:rPr>
          <w:sz w:val="20"/>
          <w:szCs w:val="20"/>
          <w:lang w:val="pt-BR"/>
        </w:rPr>
        <w:t xml:space="preserve">da </w:t>
      </w:r>
      <w:r w:rsidR="00D76D5F" w:rsidRPr="007C4753">
        <w:rPr>
          <w:sz w:val="20"/>
          <w:szCs w:val="20"/>
          <w:lang w:val="pt-BR"/>
        </w:rPr>
        <w:t>A</w:t>
      </w:r>
      <w:r w:rsidR="007C4753" w:rsidRPr="007C4753">
        <w:rPr>
          <w:sz w:val="20"/>
          <w:szCs w:val="20"/>
          <w:lang w:val="pt-BR"/>
        </w:rPr>
        <w:t xml:space="preserve">dvocacia-Geral </w:t>
      </w:r>
      <w:r w:rsidR="00B153E7" w:rsidRPr="007C4753">
        <w:rPr>
          <w:sz w:val="20"/>
          <w:szCs w:val="20"/>
          <w:lang w:val="pt-BR"/>
        </w:rPr>
        <w:t xml:space="preserve">da </w:t>
      </w:r>
      <w:r w:rsidR="007C4753" w:rsidRPr="007C4753">
        <w:rPr>
          <w:sz w:val="20"/>
          <w:szCs w:val="20"/>
          <w:lang w:val="pt-BR"/>
        </w:rPr>
        <w:t>União</w:t>
      </w:r>
      <w:r w:rsidR="008C6385">
        <w:rPr>
          <w:sz w:val="20"/>
          <w:szCs w:val="20"/>
          <w:lang w:val="pt-BR"/>
        </w:rPr>
        <w:t xml:space="preserve"> </w:t>
      </w:r>
      <w:r w:rsidRPr="007C4753">
        <w:rPr>
          <w:sz w:val="20"/>
          <w:szCs w:val="20"/>
          <w:lang w:val="pt-BR"/>
        </w:rPr>
        <w:t xml:space="preserve">(AGU) </w:t>
      </w:r>
      <w:r w:rsidR="007C4753" w:rsidRPr="007C4753">
        <w:rPr>
          <w:sz w:val="20"/>
          <w:szCs w:val="20"/>
          <w:lang w:val="pt-BR"/>
        </w:rPr>
        <w:t>co</w:t>
      </w:r>
      <w:r w:rsidR="007C4753">
        <w:rPr>
          <w:sz w:val="20"/>
          <w:szCs w:val="20"/>
          <w:lang w:val="pt-BR"/>
        </w:rPr>
        <w:t xml:space="preserve">meçaram a adiar o </w:t>
      </w:r>
      <w:r w:rsidRPr="007C4753">
        <w:rPr>
          <w:sz w:val="20"/>
          <w:szCs w:val="20"/>
          <w:lang w:val="pt-BR"/>
        </w:rPr>
        <w:t xml:space="preserve">caso </w:t>
      </w:r>
      <w:r w:rsidR="007C4753">
        <w:rPr>
          <w:sz w:val="20"/>
          <w:szCs w:val="20"/>
          <w:lang w:val="pt-BR"/>
        </w:rPr>
        <w:t xml:space="preserve">e a voltar a </w:t>
      </w:r>
      <w:r w:rsidR="00E07189" w:rsidRPr="007C4753">
        <w:rPr>
          <w:sz w:val="20"/>
          <w:szCs w:val="20"/>
          <w:lang w:val="pt-BR"/>
        </w:rPr>
        <w:t>discutir</w:t>
      </w:r>
      <w:r w:rsidRPr="007C4753">
        <w:rPr>
          <w:sz w:val="20"/>
          <w:szCs w:val="20"/>
          <w:lang w:val="pt-BR"/>
        </w:rPr>
        <w:t xml:space="preserve"> </w:t>
      </w:r>
      <w:r w:rsidR="007C4753">
        <w:rPr>
          <w:sz w:val="20"/>
          <w:szCs w:val="20"/>
          <w:lang w:val="pt-BR"/>
        </w:rPr>
        <w:t>o mérito</w:t>
      </w:r>
      <w:r w:rsidRPr="007C4753">
        <w:rPr>
          <w:sz w:val="20"/>
          <w:szCs w:val="20"/>
          <w:lang w:val="pt-BR"/>
        </w:rPr>
        <w:t xml:space="preserve">, apesar </w:t>
      </w:r>
      <w:r w:rsidR="00A21C0E" w:rsidRPr="007C4753">
        <w:rPr>
          <w:sz w:val="20"/>
          <w:szCs w:val="20"/>
          <w:lang w:val="pt-BR"/>
        </w:rPr>
        <w:t xml:space="preserve">de </w:t>
      </w:r>
      <w:r w:rsidR="007C4753">
        <w:rPr>
          <w:sz w:val="20"/>
          <w:szCs w:val="20"/>
          <w:lang w:val="pt-BR"/>
        </w:rPr>
        <w:t>já haver coisa julgada</w:t>
      </w:r>
      <w:r w:rsidRPr="007C4753">
        <w:rPr>
          <w:sz w:val="20"/>
          <w:szCs w:val="20"/>
          <w:lang w:val="pt-BR"/>
        </w:rPr>
        <w:t xml:space="preserve">. </w:t>
      </w:r>
      <w:r w:rsidR="007C4753" w:rsidRPr="007C4753">
        <w:rPr>
          <w:sz w:val="20"/>
          <w:szCs w:val="20"/>
          <w:lang w:val="pt-BR"/>
        </w:rPr>
        <w:t xml:space="preserve">No ano </w:t>
      </w:r>
      <w:r w:rsidRPr="007C4753">
        <w:rPr>
          <w:sz w:val="20"/>
          <w:szCs w:val="20"/>
          <w:lang w:val="pt-BR"/>
        </w:rPr>
        <w:t xml:space="preserve">2000, a AGU </w:t>
      </w:r>
      <w:r w:rsidR="007C4753">
        <w:rPr>
          <w:sz w:val="20"/>
          <w:szCs w:val="20"/>
          <w:lang w:val="pt-BR"/>
        </w:rPr>
        <w:t xml:space="preserve">interpôs </w:t>
      </w:r>
      <w:r w:rsidRPr="007C4753">
        <w:rPr>
          <w:sz w:val="20"/>
          <w:szCs w:val="20"/>
          <w:lang w:val="pt-BR"/>
        </w:rPr>
        <w:t>recurso interlocut</w:t>
      </w:r>
      <w:r w:rsidR="007C4753">
        <w:rPr>
          <w:sz w:val="20"/>
          <w:szCs w:val="20"/>
          <w:lang w:val="pt-BR"/>
        </w:rPr>
        <w:t>ó</w:t>
      </w:r>
      <w:r w:rsidRPr="007C4753">
        <w:rPr>
          <w:sz w:val="20"/>
          <w:szCs w:val="20"/>
          <w:lang w:val="pt-BR"/>
        </w:rPr>
        <w:t xml:space="preserve">rio </w:t>
      </w:r>
      <w:r w:rsidR="007C4753">
        <w:rPr>
          <w:sz w:val="20"/>
          <w:szCs w:val="20"/>
          <w:lang w:val="pt-BR"/>
        </w:rPr>
        <w:t>per</w:t>
      </w:r>
      <w:r w:rsidRPr="007C4753">
        <w:rPr>
          <w:sz w:val="20"/>
          <w:szCs w:val="20"/>
          <w:lang w:val="pt-BR"/>
        </w:rPr>
        <w:t xml:space="preserve">ante </w:t>
      </w:r>
      <w:r w:rsidR="007C4753">
        <w:rPr>
          <w:sz w:val="20"/>
          <w:szCs w:val="20"/>
          <w:lang w:val="pt-BR"/>
        </w:rPr>
        <w:t xml:space="preserve">o </w:t>
      </w:r>
      <w:r w:rsidRPr="007C4753">
        <w:rPr>
          <w:sz w:val="20"/>
          <w:szCs w:val="20"/>
          <w:lang w:val="pt-BR"/>
        </w:rPr>
        <w:t xml:space="preserve">Tribunal Regional Federal </w:t>
      </w:r>
      <w:r w:rsidR="00B153E7" w:rsidRPr="007C4753">
        <w:rPr>
          <w:sz w:val="20"/>
          <w:szCs w:val="20"/>
          <w:lang w:val="pt-BR"/>
        </w:rPr>
        <w:t xml:space="preserve">da </w:t>
      </w:r>
      <w:r w:rsidRPr="007C4753">
        <w:rPr>
          <w:sz w:val="20"/>
          <w:szCs w:val="20"/>
          <w:lang w:val="pt-BR"/>
        </w:rPr>
        <w:t>4ª Regi</w:t>
      </w:r>
      <w:r w:rsidR="007C4753">
        <w:rPr>
          <w:sz w:val="20"/>
          <w:szCs w:val="20"/>
          <w:lang w:val="pt-BR"/>
        </w:rPr>
        <w:t xml:space="preserve">ão </w:t>
      </w:r>
      <w:r w:rsidR="00E07189" w:rsidRPr="007C4753">
        <w:rPr>
          <w:sz w:val="20"/>
          <w:szCs w:val="20"/>
          <w:lang w:val="pt-BR"/>
        </w:rPr>
        <w:t>p</w:t>
      </w:r>
      <w:r w:rsidR="007C4753">
        <w:rPr>
          <w:sz w:val="20"/>
          <w:szCs w:val="20"/>
          <w:lang w:val="pt-BR"/>
        </w:rPr>
        <w:t>ela rejeição da nulidade processual por parte do juiz de primeira instância</w:t>
      </w:r>
      <w:r w:rsidRPr="007C4753">
        <w:rPr>
          <w:sz w:val="20"/>
          <w:szCs w:val="20"/>
          <w:lang w:val="pt-BR"/>
        </w:rPr>
        <w:t xml:space="preserve">. </w:t>
      </w:r>
      <w:r w:rsidR="007C4753" w:rsidRPr="007C4753">
        <w:rPr>
          <w:sz w:val="20"/>
          <w:szCs w:val="20"/>
          <w:lang w:val="pt-BR"/>
        </w:rPr>
        <w:t xml:space="preserve">O </w:t>
      </w:r>
      <w:r w:rsidRPr="007C4753">
        <w:rPr>
          <w:sz w:val="20"/>
          <w:szCs w:val="20"/>
          <w:lang w:val="pt-BR"/>
        </w:rPr>
        <w:t xml:space="preserve">recurso </w:t>
      </w:r>
      <w:r w:rsidR="007C4753" w:rsidRPr="007C4753">
        <w:rPr>
          <w:sz w:val="20"/>
          <w:szCs w:val="20"/>
          <w:lang w:val="pt-BR"/>
        </w:rPr>
        <w:t>foi</w:t>
      </w:r>
      <w:r w:rsidR="008C6385">
        <w:rPr>
          <w:sz w:val="20"/>
          <w:szCs w:val="20"/>
          <w:lang w:val="pt-BR"/>
        </w:rPr>
        <w:t xml:space="preserve"> </w:t>
      </w:r>
      <w:r w:rsidR="007C4753" w:rsidRPr="007C4753">
        <w:rPr>
          <w:sz w:val="20"/>
          <w:szCs w:val="20"/>
          <w:lang w:val="pt-BR"/>
        </w:rPr>
        <w:t>indeferido e,</w:t>
      </w:r>
      <w:r w:rsidRPr="007C4753">
        <w:rPr>
          <w:sz w:val="20"/>
          <w:szCs w:val="20"/>
          <w:lang w:val="pt-BR"/>
        </w:rPr>
        <w:t xml:space="preserve"> portanto, a AGU </w:t>
      </w:r>
      <w:r w:rsidR="007C4753" w:rsidRPr="007C4753">
        <w:rPr>
          <w:sz w:val="20"/>
          <w:szCs w:val="20"/>
          <w:lang w:val="pt-BR"/>
        </w:rPr>
        <w:t>a</w:t>
      </w:r>
      <w:r w:rsidR="007C4753">
        <w:rPr>
          <w:sz w:val="20"/>
          <w:szCs w:val="20"/>
          <w:lang w:val="pt-BR"/>
        </w:rPr>
        <w:t xml:space="preserve">presentou um novo </w:t>
      </w:r>
      <w:r w:rsidR="003511D9" w:rsidRPr="007C4753">
        <w:rPr>
          <w:sz w:val="20"/>
          <w:szCs w:val="20"/>
          <w:lang w:val="pt-BR"/>
        </w:rPr>
        <w:t>recurso especial</w:t>
      </w:r>
      <w:r w:rsidRPr="007C4753">
        <w:rPr>
          <w:sz w:val="20"/>
          <w:szCs w:val="20"/>
          <w:lang w:val="pt-BR"/>
        </w:rPr>
        <w:t xml:space="preserve"> </w:t>
      </w:r>
      <w:r w:rsidR="007C4753">
        <w:rPr>
          <w:sz w:val="20"/>
          <w:szCs w:val="20"/>
          <w:lang w:val="pt-BR"/>
        </w:rPr>
        <w:t xml:space="preserve">ao </w:t>
      </w:r>
      <w:r w:rsidRPr="007C4753">
        <w:rPr>
          <w:sz w:val="20"/>
          <w:szCs w:val="20"/>
          <w:lang w:val="pt-BR"/>
        </w:rPr>
        <w:t xml:space="preserve">Superior Tribunal de </w:t>
      </w:r>
      <w:r w:rsidR="007C4753" w:rsidRPr="007C4753">
        <w:rPr>
          <w:sz w:val="20"/>
          <w:szCs w:val="20"/>
          <w:lang w:val="pt-BR"/>
        </w:rPr>
        <w:t>Justiça</w:t>
      </w:r>
      <w:r w:rsidRPr="007C4753">
        <w:rPr>
          <w:sz w:val="20"/>
          <w:szCs w:val="20"/>
          <w:lang w:val="pt-BR"/>
        </w:rPr>
        <w:t xml:space="preserve">, que </w:t>
      </w:r>
      <w:r w:rsidR="007C4753">
        <w:rPr>
          <w:sz w:val="20"/>
          <w:szCs w:val="20"/>
          <w:lang w:val="pt-BR"/>
        </w:rPr>
        <w:t>demorou quatro anos para ser analisado</w:t>
      </w:r>
      <w:r w:rsidR="00D76D5F" w:rsidRPr="007C4753">
        <w:rPr>
          <w:sz w:val="20"/>
          <w:szCs w:val="20"/>
          <w:lang w:val="pt-BR"/>
        </w:rPr>
        <w:t>.</w:t>
      </w:r>
    </w:p>
    <w:p w14:paraId="2073367A" w14:textId="7B8797B3" w:rsidR="00D76D5F" w:rsidRPr="00A2573A" w:rsidRDefault="007C4753"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7C4753">
        <w:rPr>
          <w:sz w:val="20"/>
          <w:szCs w:val="20"/>
          <w:lang w:val="pt-BR"/>
        </w:rPr>
        <w:t xml:space="preserve">Acrescentam os </w:t>
      </w:r>
      <w:r w:rsidR="00891A5F" w:rsidRPr="007C4753">
        <w:rPr>
          <w:sz w:val="20"/>
          <w:szCs w:val="20"/>
          <w:lang w:val="pt-BR"/>
        </w:rPr>
        <w:t>peticionários</w:t>
      </w:r>
      <w:r w:rsidR="008C6385">
        <w:rPr>
          <w:sz w:val="20"/>
          <w:szCs w:val="20"/>
          <w:lang w:val="pt-BR"/>
        </w:rPr>
        <w:t xml:space="preserve"> </w:t>
      </w:r>
      <w:r w:rsidR="00D76D5F" w:rsidRPr="007C4753">
        <w:rPr>
          <w:sz w:val="20"/>
          <w:szCs w:val="20"/>
          <w:lang w:val="pt-BR"/>
        </w:rPr>
        <w:t xml:space="preserve">que, </w:t>
      </w:r>
      <w:r w:rsidRPr="007C4753">
        <w:rPr>
          <w:sz w:val="20"/>
          <w:szCs w:val="20"/>
          <w:lang w:val="pt-BR"/>
        </w:rPr>
        <w:t>de</w:t>
      </w:r>
      <w:r>
        <w:rPr>
          <w:sz w:val="20"/>
          <w:szCs w:val="20"/>
          <w:lang w:val="pt-BR"/>
        </w:rPr>
        <w:t>v</w:t>
      </w:r>
      <w:r w:rsidRPr="007C4753">
        <w:rPr>
          <w:sz w:val="20"/>
          <w:szCs w:val="20"/>
          <w:lang w:val="pt-BR"/>
        </w:rPr>
        <w:t xml:space="preserve">ido a uma mudança legislativa </w:t>
      </w:r>
      <w:r w:rsidR="00F825A3">
        <w:rPr>
          <w:sz w:val="20"/>
          <w:szCs w:val="20"/>
          <w:lang w:val="pt-BR"/>
        </w:rPr>
        <w:t>ocorrida</w:t>
      </w:r>
      <w:r w:rsidRPr="007C4753">
        <w:rPr>
          <w:sz w:val="20"/>
          <w:szCs w:val="20"/>
          <w:lang w:val="pt-BR"/>
        </w:rPr>
        <w:t xml:space="preserve"> no ano </w:t>
      </w:r>
      <w:r w:rsidR="00D76D5F" w:rsidRPr="007C4753">
        <w:rPr>
          <w:sz w:val="20"/>
          <w:szCs w:val="20"/>
          <w:lang w:val="pt-BR"/>
        </w:rPr>
        <w:t xml:space="preserve">2000, a </w:t>
      </w:r>
      <w:r w:rsidRPr="007C4753">
        <w:rPr>
          <w:sz w:val="20"/>
          <w:szCs w:val="20"/>
          <w:lang w:val="pt-BR"/>
        </w:rPr>
        <w:t xml:space="preserve">sentença </w:t>
      </w:r>
      <w:r w:rsidR="00D76D5F" w:rsidRPr="007C4753">
        <w:rPr>
          <w:sz w:val="20"/>
          <w:szCs w:val="20"/>
          <w:lang w:val="pt-BR"/>
        </w:rPr>
        <w:t>de liquida</w:t>
      </w:r>
      <w:r w:rsidR="00B153E7" w:rsidRPr="007C4753">
        <w:rPr>
          <w:sz w:val="20"/>
          <w:szCs w:val="20"/>
          <w:lang w:val="pt-BR"/>
        </w:rPr>
        <w:t>ção</w:t>
      </w:r>
      <w:r w:rsidR="00D76D5F" w:rsidRPr="007C4753">
        <w:rPr>
          <w:sz w:val="20"/>
          <w:szCs w:val="20"/>
          <w:lang w:val="pt-BR"/>
        </w:rPr>
        <w:t xml:space="preserve"> </w:t>
      </w:r>
      <w:r w:rsidRPr="007C4753">
        <w:rPr>
          <w:sz w:val="20"/>
          <w:szCs w:val="20"/>
          <w:lang w:val="pt-BR"/>
        </w:rPr>
        <w:t>esta</w:t>
      </w:r>
      <w:r>
        <w:rPr>
          <w:sz w:val="20"/>
          <w:szCs w:val="20"/>
          <w:lang w:val="pt-BR"/>
        </w:rPr>
        <w:t xml:space="preserve">beleceu novos </w:t>
      </w:r>
      <w:r w:rsidR="00D76D5F" w:rsidRPr="007C4753">
        <w:rPr>
          <w:sz w:val="20"/>
          <w:szCs w:val="20"/>
          <w:lang w:val="pt-BR"/>
        </w:rPr>
        <w:t>indicadores a ser</w:t>
      </w:r>
      <w:r>
        <w:rPr>
          <w:sz w:val="20"/>
          <w:szCs w:val="20"/>
          <w:lang w:val="pt-BR"/>
        </w:rPr>
        <w:t>em</w:t>
      </w:r>
      <w:r w:rsidR="00D76D5F" w:rsidRPr="007C4753">
        <w:rPr>
          <w:sz w:val="20"/>
          <w:szCs w:val="20"/>
          <w:lang w:val="pt-BR"/>
        </w:rPr>
        <w:t xml:space="preserve"> aplicados </w:t>
      </w:r>
      <w:r>
        <w:rPr>
          <w:sz w:val="20"/>
          <w:szCs w:val="20"/>
          <w:lang w:val="pt-BR"/>
        </w:rPr>
        <w:t xml:space="preserve">à dívida, e que essa decisão transitou em julgado em </w:t>
      </w:r>
      <w:r w:rsidR="00D76D5F" w:rsidRPr="007C4753">
        <w:rPr>
          <w:sz w:val="20"/>
          <w:szCs w:val="20"/>
          <w:lang w:val="pt-BR"/>
        </w:rPr>
        <w:t xml:space="preserve">28 de </w:t>
      </w:r>
      <w:r>
        <w:rPr>
          <w:sz w:val="20"/>
          <w:szCs w:val="20"/>
          <w:lang w:val="pt-BR"/>
        </w:rPr>
        <w:t xml:space="preserve">fevereiro </w:t>
      </w:r>
      <w:r w:rsidR="00D76D5F" w:rsidRPr="007C4753">
        <w:rPr>
          <w:sz w:val="20"/>
          <w:szCs w:val="20"/>
          <w:lang w:val="pt-BR"/>
        </w:rPr>
        <w:t xml:space="preserve">de 2005, determinando que </w:t>
      </w:r>
      <w:r>
        <w:rPr>
          <w:sz w:val="20"/>
          <w:szCs w:val="20"/>
          <w:lang w:val="pt-BR"/>
        </w:rPr>
        <w:t xml:space="preserve">o montante </w:t>
      </w:r>
      <w:r w:rsidR="00D76D5F" w:rsidRPr="007C4753">
        <w:rPr>
          <w:sz w:val="20"/>
          <w:szCs w:val="20"/>
          <w:lang w:val="pt-BR"/>
        </w:rPr>
        <w:t xml:space="preserve">total </w:t>
      </w:r>
      <w:r w:rsidR="00B153E7" w:rsidRPr="007C4753">
        <w:rPr>
          <w:sz w:val="20"/>
          <w:szCs w:val="20"/>
          <w:lang w:val="pt-BR"/>
        </w:rPr>
        <w:t xml:space="preserve">da </w:t>
      </w:r>
      <w:r>
        <w:rPr>
          <w:sz w:val="20"/>
          <w:szCs w:val="20"/>
          <w:lang w:val="pt-BR"/>
        </w:rPr>
        <w:t xml:space="preserve">dívida naquele </w:t>
      </w:r>
      <w:r w:rsidR="00D76D5F" w:rsidRPr="007C4753">
        <w:rPr>
          <w:sz w:val="20"/>
          <w:szCs w:val="20"/>
          <w:lang w:val="pt-BR"/>
        </w:rPr>
        <w:t xml:space="preserve">momento era R$ 754.298.981,34; </w:t>
      </w:r>
      <w:r w:rsidR="00A2573A">
        <w:rPr>
          <w:sz w:val="20"/>
          <w:szCs w:val="20"/>
          <w:lang w:val="pt-BR"/>
        </w:rPr>
        <w:t xml:space="preserve">e que o pagamento desse montante seria dividido em dez </w:t>
      </w:r>
      <w:r w:rsidR="002E1DE3" w:rsidRPr="007C4753">
        <w:rPr>
          <w:sz w:val="20"/>
          <w:szCs w:val="20"/>
          <w:lang w:val="pt-BR"/>
        </w:rPr>
        <w:t>parcelas</w:t>
      </w:r>
      <w:r w:rsidR="00EE0381" w:rsidRPr="007C4753">
        <w:rPr>
          <w:sz w:val="20"/>
          <w:szCs w:val="20"/>
          <w:lang w:val="pt-BR"/>
        </w:rPr>
        <w:t xml:space="preserve">. </w:t>
      </w:r>
      <w:r w:rsidR="00A2573A" w:rsidRPr="00A2573A">
        <w:rPr>
          <w:sz w:val="20"/>
          <w:szCs w:val="20"/>
          <w:lang w:val="pt-BR"/>
        </w:rPr>
        <w:t>No entanto</w:t>
      </w:r>
      <w:r w:rsidR="00D76D5F" w:rsidRPr="00A2573A">
        <w:rPr>
          <w:sz w:val="20"/>
          <w:szCs w:val="20"/>
          <w:lang w:val="pt-BR"/>
        </w:rPr>
        <w:t xml:space="preserve">, como a </w:t>
      </w:r>
      <w:r w:rsidRPr="00A2573A">
        <w:rPr>
          <w:sz w:val="20"/>
          <w:szCs w:val="20"/>
          <w:lang w:val="pt-BR"/>
        </w:rPr>
        <w:t>União</w:t>
      </w:r>
      <w:r w:rsidR="008C6385">
        <w:rPr>
          <w:sz w:val="20"/>
          <w:szCs w:val="20"/>
          <w:lang w:val="pt-BR"/>
        </w:rPr>
        <w:t xml:space="preserve"> </w:t>
      </w:r>
      <w:r w:rsidR="00A2573A" w:rsidRPr="00A2573A">
        <w:rPr>
          <w:sz w:val="20"/>
          <w:szCs w:val="20"/>
          <w:lang w:val="pt-BR"/>
        </w:rPr>
        <w:t xml:space="preserve">questionava o </w:t>
      </w:r>
      <w:r w:rsidR="00D76D5F" w:rsidRPr="00A2573A">
        <w:rPr>
          <w:sz w:val="20"/>
          <w:szCs w:val="20"/>
          <w:lang w:val="pt-BR"/>
        </w:rPr>
        <w:t xml:space="preserve">valor, </w:t>
      </w:r>
      <w:r w:rsidR="00EE0381" w:rsidRPr="00A2573A">
        <w:rPr>
          <w:sz w:val="20"/>
          <w:szCs w:val="20"/>
          <w:lang w:val="pt-BR"/>
        </w:rPr>
        <w:t xml:space="preserve">a </w:t>
      </w:r>
      <w:r w:rsidR="00A2573A">
        <w:rPr>
          <w:sz w:val="20"/>
          <w:szCs w:val="20"/>
          <w:lang w:val="pt-BR"/>
        </w:rPr>
        <w:t>autoridade</w:t>
      </w:r>
      <w:r w:rsidR="008C6385">
        <w:rPr>
          <w:sz w:val="20"/>
          <w:szCs w:val="20"/>
          <w:lang w:val="pt-BR"/>
        </w:rPr>
        <w:t xml:space="preserve"> </w:t>
      </w:r>
      <w:r w:rsidR="00EE0381" w:rsidRPr="00A2573A">
        <w:rPr>
          <w:sz w:val="20"/>
          <w:szCs w:val="20"/>
          <w:lang w:val="pt-BR"/>
        </w:rPr>
        <w:t xml:space="preserve">judicial </w:t>
      </w:r>
      <w:r w:rsidR="00A2573A">
        <w:rPr>
          <w:sz w:val="20"/>
          <w:szCs w:val="20"/>
          <w:lang w:val="pt-BR"/>
        </w:rPr>
        <w:t xml:space="preserve">estabeleceu um </w:t>
      </w:r>
      <w:r w:rsidR="002E1DE3" w:rsidRPr="00A2573A">
        <w:rPr>
          <w:sz w:val="20"/>
          <w:szCs w:val="20"/>
          <w:lang w:val="pt-BR"/>
        </w:rPr>
        <w:t>título e</w:t>
      </w:r>
      <w:r w:rsidR="00075FC4">
        <w:rPr>
          <w:sz w:val="20"/>
          <w:szCs w:val="20"/>
          <w:lang w:val="pt-BR"/>
        </w:rPr>
        <w:t>x</w:t>
      </w:r>
      <w:r w:rsidR="002E1DE3" w:rsidRPr="00A2573A">
        <w:rPr>
          <w:sz w:val="20"/>
          <w:szCs w:val="20"/>
          <w:lang w:val="pt-BR"/>
        </w:rPr>
        <w:t xml:space="preserve">ecutivo </w:t>
      </w:r>
      <w:r w:rsidR="00D76D5F" w:rsidRPr="00A2573A">
        <w:rPr>
          <w:sz w:val="20"/>
          <w:szCs w:val="20"/>
          <w:lang w:val="pt-BR"/>
        </w:rPr>
        <w:t>de R$ 47.654.042,04</w:t>
      </w:r>
      <w:r w:rsidR="00406825" w:rsidRPr="00A2573A">
        <w:rPr>
          <w:sz w:val="20"/>
          <w:szCs w:val="20"/>
          <w:lang w:val="pt-BR"/>
        </w:rPr>
        <w:t xml:space="preserve"> (</w:t>
      </w:r>
      <w:r w:rsidR="00F825A3">
        <w:rPr>
          <w:sz w:val="20"/>
          <w:szCs w:val="20"/>
          <w:lang w:val="pt-BR"/>
        </w:rPr>
        <w:t>cerca de</w:t>
      </w:r>
      <w:r w:rsidR="00406825" w:rsidRPr="00A2573A">
        <w:rPr>
          <w:sz w:val="20"/>
          <w:szCs w:val="20"/>
          <w:lang w:val="pt-BR"/>
        </w:rPr>
        <w:t xml:space="preserve"> </w:t>
      </w:r>
      <w:r w:rsidR="00406825" w:rsidRPr="00A2573A">
        <w:rPr>
          <w:sz w:val="20"/>
          <w:szCs w:val="20"/>
          <w:lang w:val="pt-BR"/>
        </w:rPr>
        <w:lastRenderedPageBreak/>
        <w:t xml:space="preserve">10 </w:t>
      </w:r>
      <w:r w:rsidR="00A2573A">
        <w:rPr>
          <w:sz w:val="20"/>
          <w:szCs w:val="20"/>
          <w:lang w:val="pt-BR"/>
        </w:rPr>
        <w:t>milhões</w:t>
      </w:r>
      <w:r w:rsidR="00406825" w:rsidRPr="00A2573A">
        <w:rPr>
          <w:sz w:val="20"/>
          <w:szCs w:val="20"/>
          <w:lang w:val="pt-BR"/>
        </w:rPr>
        <w:t xml:space="preserve"> de dólares)</w:t>
      </w:r>
      <w:r w:rsidR="00A2573A">
        <w:rPr>
          <w:sz w:val="20"/>
          <w:szCs w:val="20"/>
          <w:lang w:val="pt-BR"/>
        </w:rPr>
        <w:t>,</w:t>
      </w:r>
      <w:r w:rsidR="007E1139" w:rsidRPr="00D64156">
        <w:rPr>
          <w:rStyle w:val="FootnoteReference"/>
          <w:sz w:val="20"/>
          <w:szCs w:val="20"/>
          <w:lang w:val="pt-BR"/>
        </w:rPr>
        <w:footnoteReference w:id="7"/>
      </w:r>
      <w:r w:rsidR="002E1DE3" w:rsidRPr="00A2573A">
        <w:rPr>
          <w:sz w:val="20"/>
          <w:szCs w:val="20"/>
          <w:lang w:val="pt-BR"/>
        </w:rPr>
        <w:t xml:space="preserve"> </w:t>
      </w:r>
      <w:r w:rsidR="00A2573A">
        <w:rPr>
          <w:sz w:val="20"/>
          <w:szCs w:val="20"/>
          <w:lang w:val="pt-BR"/>
        </w:rPr>
        <w:t>do qual somente duas cotas foram pagas</w:t>
      </w:r>
      <w:r w:rsidR="00D76D5F" w:rsidRPr="00A2573A">
        <w:rPr>
          <w:sz w:val="20"/>
          <w:szCs w:val="20"/>
          <w:lang w:val="pt-BR"/>
        </w:rPr>
        <w:t xml:space="preserve">. </w:t>
      </w:r>
      <w:r w:rsidR="00A2573A" w:rsidRPr="00A2573A">
        <w:rPr>
          <w:sz w:val="20"/>
          <w:szCs w:val="20"/>
          <w:lang w:val="pt-BR"/>
        </w:rPr>
        <w:t xml:space="preserve">O montante pago </w:t>
      </w:r>
      <w:r w:rsidRPr="00A2573A">
        <w:rPr>
          <w:sz w:val="20"/>
          <w:szCs w:val="20"/>
          <w:lang w:val="pt-BR"/>
        </w:rPr>
        <w:t>foi</w:t>
      </w:r>
      <w:r w:rsidR="008C6385">
        <w:rPr>
          <w:sz w:val="20"/>
          <w:szCs w:val="20"/>
          <w:lang w:val="pt-BR"/>
        </w:rPr>
        <w:t xml:space="preserve"> </w:t>
      </w:r>
      <w:r w:rsidR="00D76D5F" w:rsidRPr="00A2573A">
        <w:rPr>
          <w:sz w:val="20"/>
          <w:szCs w:val="20"/>
          <w:lang w:val="pt-BR"/>
        </w:rPr>
        <w:t>retirado p</w:t>
      </w:r>
      <w:r w:rsidR="00A2573A" w:rsidRPr="00A2573A">
        <w:rPr>
          <w:sz w:val="20"/>
          <w:szCs w:val="20"/>
          <w:lang w:val="pt-BR"/>
        </w:rPr>
        <w:t xml:space="preserve">ela suposta </w:t>
      </w:r>
      <w:r w:rsidR="00891A5F" w:rsidRPr="00A2573A">
        <w:rPr>
          <w:sz w:val="20"/>
          <w:szCs w:val="20"/>
          <w:lang w:val="pt-BR"/>
        </w:rPr>
        <w:t>vítima</w:t>
      </w:r>
      <w:r w:rsidR="008C6385">
        <w:rPr>
          <w:sz w:val="20"/>
          <w:szCs w:val="20"/>
          <w:lang w:val="pt-BR"/>
        </w:rPr>
        <w:t xml:space="preserve"> </w:t>
      </w:r>
      <w:r w:rsidR="00A2573A" w:rsidRPr="00A2573A">
        <w:rPr>
          <w:sz w:val="20"/>
          <w:szCs w:val="20"/>
          <w:lang w:val="pt-BR"/>
        </w:rPr>
        <w:t>e</w:t>
      </w:r>
      <w:r w:rsidR="00D76D5F" w:rsidRPr="00A2573A">
        <w:rPr>
          <w:sz w:val="20"/>
          <w:szCs w:val="20"/>
          <w:lang w:val="pt-BR"/>
        </w:rPr>
        <w:t xml:space="preserve"> transferido a </w:t>
      </w:r>
      <w:r w:rsidR="00891A5F" w:rsidRPr="00A2573A">
        <w:rPr>
          <w:sz w:val="20"/>
          <w:szCs w:val="20"/>
          <w:lang w:val="pt-BR"/>
        </w:rPr>
        <w:t>uma</w:t>
      </w:r>
      <w:r w:rsidR="008C6385">
        <w:rPr>
          <w:sz w:val="20"/>
          <w:szCs w:val="20"/>
          <w:lang w:val="pt-BR"/>
        </w:rPr>
        <w:t xml:space="preserve"> </w:t>
      </w:r>
      <w:r w:rsidR="00A2573A">
        <w:rPr>
          <w:sz w:val="20"/>
          <w:szCs w:val="20"/>
          <w:lang w:val="pt-BR"/>
        </w:rPr>
        <w:t xml:space="preserve">conta no </w:t>
      </w:r>
      <w:r w:rsidR="00D76D5F" w:rsidRPr="00A2573A">
        <w:rPr>
          <w:sz w:val="20"/>
          <w:szCs w:val="20"/>
          <w:lang w:val="pt-BR"/>
        </w:rPr>
        <w:t>Urugua</w:t>
      </w:r>
      <w:r w:rsidR="00A2573A">
        <w:rPr>
          <w:sz w:val="20"/>
          <w:szCs w:val="20"/>
          <w:lang w:val="pt-BR"/>
        </w:rPr>
        <w:t>i</w:t>
      </w:r>
      <w:r w:rsidR="00D76D5F" w:rsidRPr="00A2573A">
        <w:rPr>
          <w:sz w:val="20"/>
          <w:szCs w:val="20"/>
          <w:lang w:val="pt-BR"/>
        </w:rPr>
        <w:t xml:space="preserve">. A partir </w:t>
      </w:r>
      <w:r w:rsidR="00B153E7" w:rsidRPr="00A2573A">
        <w:rPr>
          <w:sz w:val="20"/>
          <w:szCs w:val="20"/>
          <w:lang w:val="pt-BR"/>
        </w:rPr>
        <w:t xml:space="preserve">da </w:t>
      </w:r>
      <w:r w:rsidR="00A2573A" w:rsidRPr="00A2573A">
        <w:rPr>
          <w:sz w:val="20"/>
          <w:szCs w:val="20"/>
          <w:lang w:val="pt-BR"/>
        </w:rPr>
        <w:t xml:space="preserve">terceira </w:t>
      </w:r>
      <w:r w:rsidR="007A0BAB" w:rsidRPr="00A2573A">
        <w:rPr>
          <w:sz w:val="20"/>
          <w:szCs w:val="20"/>
          <w:lang w:val="pt-BR"/>
        </w:rPr>
        <w:t xml:space="preserve">cota </w:t>
      </w:r>
      <w:r w:rsidR="00B153E7" w:rsidRPr="00A2573A">
        <w:rPr>
          <w:sz w:val="20"/>
          <w:szCs w:val="20"/>
          <w:lang w:val="pt-BR"/>
        </w:rPr>
        <w:t xml:space="preserve">da </w:t>
      </w:r>
      <w:r w:rsidR="00A2573A" w:rsidRPr="00A2573A">
        <w:rPr>
          <w:sz w:val="20"/>
          <w:szCs w:val="20"/>
          <w:lang w:val="pt-BR"/>
        </w:rPr>
        <w:t>dí</w:t>
      </w:r>
      <w:r w:rsidR="00A2573A">
        <w:rPr>
          <w:sz w:val="20"/>
          <w:szCs w:val="20"/>
          <w:lang w:val="pt-BR"/>
        </w:rPr>
        <w:t>vida</w:t>
      </w:r>
      <w:r w:rsidR="00D76D5F" w:rsidRPr="00A2573A">
        <w:rPr>
          <w:sz w:val="20"/>
          <w:szCs w:val="20"/>
          <w:lang w:val="pt-BR"/>
        </w:rPr>
        <w:t xml:space="preserve">, </w:t>
      </w:r>
      <w:r w:rsidR="00A2573A">
        <w:rPr>
          <w:sz w:val="20"/>
          <w:szCs w:val="20"/>
          <w:lang w:val="pt-BR"/>
        </w:rPr>
        <w:t xml:space="preserve">o novo juiz da causa começou a rejeitar as solicitações de retirada, </w:t>
      </w:r>
      <w:r w:rsidR="00D76D5F" w:rsidRPr="00A2573A">
        <w:rPr>
          <w:sz w:val="20"/>
          <w:szCs w:val="20"/>
          <w:lang w:val="pt-BR"/>
        </w:rPr>
        <w:t>impos</w:t>
      </w:r>
      <w:r w:rsidR="00A2573A">
        <w:rPr>
          <w:sz w:val="20"/>
          <w:szCs w:val="20"/>
          <w:lang w:val="pt-BR"/>
        </w:rPr>
        <w:t>s</w:t>
      </w:r>
      <w:r w:rsidR="00D76D5F" w:rsidRPr="00A2573A">
        <w:rPr>
          <w:sz w:val="20"/>
          <w:szCs w:val="20"/>
          <w:lang w:val="pt-BR"/>
        </w:rPr>
        <w:t xml:space="preserve">ibilitando </w:t>
      </w:r>
      <w:r w:rsidR="00A2573A">
        <w:rPr>
          <w:sz w:val="20"/>
          <w:szCs w:val="20"/>
          <w:lang w:val="pt-BR"/>
        </w:rPr>
        <w:t xml:space="preserve">o pagamento da totalidade do </w:t>
      </w:r>
      <w:r w:rsidR="002E1DE3" w:rsidRPr="00A2573A">
        <w:rPr>
          <w:sz w:val="20"/>
          <w:szCs w:val="20"/>
          <w:lang w:val="pt-BR"/>
        </w:rPr>
        <w:t>t</w:t>
      </w:r>
      <w:r w:rsidR="00A21C0E" w:rsidRPr="00A2573A">
        <w:rPr>
          <w:sz w:val="20"/>
          <w:szCs w:val="20"/>
          <w:lang w:val="pt-BR"/>
        </w:rPr>
        <w:t>í</w:t>
      </w:r>
      <w:r w:rsidR="002E1DE3" w:rsidRPr="00A2573A">
        <w:rPr>
          <w:sz w:val="20"/>
          <w:szCs w:val="20"/>
          <w:lang w:val="pt-BR"/>
        </w:rPr>
        <w:t>tulo e</w:t>
      </w:r>
      <w:r w:rsidR="00A2573A">
        <w:rPr>
          <w:sz w:val="20"/>
          <w:szCs w:val="20"/>
          <w:lang w:val="pt-BR"/>
        </w:rPr>
        <w:t>x</w:t>
      </w:r>
      <w:r w:rsidR="002E1DE3" w:rsidRPr="00A2573A">
        <w:rPr>
          <w:sz w:val="20"/>
          <w:szCs w:val="20"/>
          <w:lang w:val="pt-BR"/>
        </w:rPr>
        <w:t xml:space="preserve">ecutivo </w:t>
      </w:r>
      <w:r w:rsidR="00A2573A">
        <w:rPr>
          <w:sz w:val="20"/>
          <w:szCs w:val="20"/>
          <w:lang w:val="pt-BR"/>
        </w:rPr>
        <w:t>e</w:t>
      </w:r>
      <w:r w:rsidR="00D76D5F" w:rsidRPr="00A2573A">
        <w:rPr>
          <w:sz w:val="20"/>
          <w:szCs w:val="20"/>
          <w:lang w:val="pt-BR"/>
        </w:rPr>
        <w:t xml:space="preserve"> </w:t>
      </w:r>
      <w:r w:rsidR="00B153E7" w:rsidRPr="00A2573A">
        <w:rPr>
          <w:sz w:val="20"/>
          <w:szCs w:val="20"/>
          <w:lang w:val="pt-BR"/>
        </w:rPr>
        <w:t xml:space="preserve">da </w:t>
      </w:r>
      <w:r w:rsidR="00D76D5F" w:rsidRPr="00A2573A">
        <w:rPr>
          <w:sz w:val="20"/>
          <w:szCs w:val="20"/>
          <w:lang w:val="pt-BR"/>
        </w:rPr>
        <w:t>d</w:t>
      </w:r>
      <w:r w:rsidR="00A2573A">
        <w:rPr>
          <w:sz w:val="20"/>
          <w:szCs w:val="20"/>
          <w:lang w:val="pt-BR"/>
        </w:rPr>
        <w:t>ívida</w:t>
      </w:r>
      <w:r w:rsidR="00D76D5F" w:rsidRPr="00A2573A">
        <w:rPr>
          <w:sz w:val="20"/>
          <w:szCs w:val="20"/>
          <w:lang w:val="pt-BR"/>
        </w:rPr>
        <w:t>. E</w:t>
      </w:r>
      <w:r w:rsidR="00A2573A" w:rsidRPr="00A2573A">
        <w:rPr>
          <w:sz w:val="20"/>
          <w:szCs w:val="20"/>
          <w:lang w:val="pt-BR"/>
        </w:rPr>
        <w:t>m</w:t>
      </w:r>
      <w:r w:rsidR="00D76D5F" w:rsidRPr="00A2573A">
        <w:rPr>
          <w:sz w:val="20"/>
          <w:szCs w:val="20"/>
          <w:lang w:val="pt-BR"/>
        </w:rPr>
        <w:t xml:space="preserve"> 2005, as </w:t>
      </w:r>
      <w:r w:rsidR="00EC0BB7" w:rsidRPr="00A2573A">
        <w:rPr>
          <w:sz w:val="20"/>
          <w:szCs w:val="20"/>
          <w:lang w:val="pt-BR"/>
        </w:rPr>
        <w:t>supostas vítimas</w:t>
      </w:r>
      <w:r w:rsidR="008C6385">
        <w:rPr>
          <w:sz w:val="20"/>
          <w:szCs w:val="20"/>
          <w:lang w:val="pt-BR"/>
        </w:rPr>
        <w:t xml:space="preserve"> </w:t>
      </w:r>
      <w:r w:rsidR="00A2573A" w:rsidRPr="00A2573A">
        <w:rPr>
          <w:sz w:val="20"/>
          <w:szCs w:val="20"/>
          <w:lang w:val="pt-BR"/>
        </w:rPr>
        <w:t>e seu filho</w:t>
      </w:r>
      <w:r w:rsidR="00D76D5F" w:rsidRPr="00A2573A">
        <w:rPr>
          <w:sz w:val="20"/>
          <w:szCs w:val="20"/>
          <w:lang w:val="pt-BR"/>
        </w:rPr>
        <w:t xml:space="preserve">, Michel Gruenberg, </w:t>
      </w:r>
      <w:r w:rsidR="00A2573A" w:rsidRPr="00A2573A">
        <w:rPr>
          <w:sz w:val="20"/>
          <w:szCs w:val="20"/>
          <w:lang w:val="pt-BR"/>
        </w:rPr>
        <w:t>fixaram re</w:t>
      </w:r>
      <w:r w:rsidR="00A2573A">
        <w:rPr>
          <w:sz w:val="20"/>
          <w:szCs w:val="20"/>
          <w:lang w:val="pt-BR"/>
        </w:rPr>
        <w:t xml:space="preserve">sidência na cidade </w:t>
      </w:r>
      <w:r w:rsidR="00D76D5F" w:rsidRPr="00A2573A">
        <w:rPr>
          <w:sz w:val="20"/>
          <w:szCs w:val="20"/>
          <w:lang w:val="pt-BR"/>
        </w:rPr>
        <w:t>de Punta del Este, Urugua</w:t>
      </w:r>
      <w:r w:rsidR="00A2573A">
        <w:rPr>
          <w:sz w:val="20"/>
          <w:szCs w:val="20"/>
          <w:lang w:val="pt-BR"/>
        </w:rPr>
        <w:t>i</w:t>
      </w:r>
      <w:r w:rsidR="00D76D5F" w:rsidRPr="00A2573A">
        <w:rPr>
          <w:sz w:val="20"/>
          <w:szCs w:val="20"/>
          <w:lang w:val="pt-BR"/>
        </w:rPr>
        <w:t>.</w:t>
      </w:r>
    </w:p>
    <w:p w14:paraId="0148A052" w14:textId="768991F9" w:rsidR="00324DFF" w:rsidRPr="00D64156" w:rsidRDefault="00A2573A" w:rsidP="00324DF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58"/>
        <w:jc w:val="both"/>
        <w:rPr>
          <w:sz w:val="20"/>
          <w:szCs w:val="20"/>
          <w:u w:val="single"/>
          <w:lang w:val="pt-BR"/>
        </w:rPr>
      </w:pPr>
      <w:r>
        <w:rPr>
          <w:color w:val="auto"/>
          <w:sz w:val="20"/>
          <w:szCs w:val="20"/>
          <w:u w:val="single"/>
          <w:lang w:val="pt-BR"/>
        </w:rPr>
        <w:t>As</w:t>
      </w:r>
      <w:r w:rsidR="00324DFF" w:rsidRPr="00D64156">
        <w:rPr>
          <w:color w:val="auto"/>
          <w:sz w:val="20"/>
          <w:szCs w:val="20"/>
          <w:u w:val="single"/>
          <w:lang w:val="pt-BR"/>
        </w:rPr>
        <w:t xml:space="preserve"> </w:t>
      </w:r>
      <w:r w:rsidR="00324DFF" w:rsidRPr="00D64156">
        <w:rPr>
          <w:sz w:val="20"/>
          <w:szCs w:val="20"/>
          <w:u w:val="single"/>
          <w:lang w:val="pt-BR"/>
        </w:rPr>
        <w:t>investiga</w:t>
      </w:r>
      <w:r w:rsidR="00B153E7" w:rsidRPr="00D64156">
        <w:rPr>
          <w:sz w:val="20"/>
          <w:szCs w:val="20"/>
          <w:u w:val="single"/>
          <w:lang w:val="pt-BR"/>
        </w:rPr>
        <w:t>ções</w:t>
      </w:r>
      <w:r w:rsidR="00324DFF" w:rsidRPr="00D64156">
        <w:rPr>
          <w:sz w:val="20"/>
          <w:szCs w:val="20"/>
          <w:u w:val="single"/>
          <w:lang w:val="pt-BR"/>
        </w:rPr>
        <w:t xml:space="preserve">, </w:t>
      </w:r>
      <w:r>
        <w:rPr>
          <w:sz w:val="20"/>
          <w:szCs w:val="20"/>
          <w:u w:val="single"/>
          <w:lang w:val="pt-BR"/>
        </w:rPr>
        <w:t xml:space="preserve">a prisão e as </w:t>
      </w:r>
      <w:r w:rsidR="00324DFF" w:rsidRPr="00D64156">
        <w:rPr>
          <w:sz w:val="20"/>
          <w:szCs w:val="20"/>
          <w:u w:val="single"/>
          <w:lang w:val="pt-BR"/>
        </w:rPr>
        <w:t>condi</w:t>
      </w:r>
      <w:r w:rsidR="00B153E7" w:rsidRPr="00D64156">
        <w:rPr>
          <w:sz w:val="20"/>
          <w:szCs w:val="20"/>
          <w:u w:val="single"/>
          <w:lang w:val="pt-BR"/>
        </w:rPr>
        <w:t>ções</w:t>
      </w:r>
      <w:r w:rsidR="00324DFF" w:rsidRPr="00D64156">
        <w:rPr>
          <w:sz w:val="20"/>
          <w:szCs w:val="20"/>
          <w:u w:val="single"/>
          <w:lang w:val="pt-BR"/>
        </w:rPr>
        <w:t xml:space="preserve"> </w:t>
      </w:r>
      <w:r>
        <w:rPr>
          <w:sz w:val="20"/>
          <w:szCs w:val="20"/>
          <w:u w:val="single"/>
          <w:lang w:val="pt-BR"/>
        </w:rPr>
        <w:t>carcerárias</w:t>
      </w:r>
    </w:p>
    <w:p w14:paraId="7E9C772B" w14:textId="52431A2A" w:rsidR="008F507D" w:rsidRPr="00D64156" w:rsidRDefault="00A2573A"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O</w:t>
      </w:r>
      <w:r w:rsidR="002E1DE3" w:rsidRPr="00D64156">
        <w:rPr>
          <w:sz w:val="20"/>
          <w:szCs w:val="20"/>
          <w:lang w:val="pt-BR"/>
        </w:rPr>
        <w:t xml:space="preserve">s </w:t>
      </w:r>
      <w:r w:rsidR="00891A5F">
        <w:rPr>
          <w:sz w:val="20"/>
          <w:szCs w:val="20"/>
          <w:lang w:val="pt-BR"/>
        </w:rPr>
        <w:t>peticionários</w:t>
      </w:r>
      <w:r w:rsidR="008C6385">
        <w:rPr>
          <w:sz w:val="20"/>
          <w:szCs w:val="20"/>
          <w:lang w:val="pt-BR"/>
        </w:rPr>
        <w:t xml:space="preserve"> </w:t>
      </w:r>
      <w:r>
        <w:rPr>
          <w:sz w:val="20"/>
          <w:szCs w:val="20"/>
          <w:lang w:val="pt-BR"/>
        </w:rPr>
        <w:t xml:space="preserve">alegam que a operação </w:t>
      </w:r>
      <w:r w:rsidR="00C7545D" w:rsidRPr="00D64156">
        <w:rPr>
          <w:sz w:val="20"/>
          <w:szCs w:val="20"/>
          <w:lang w:val="pt-BR"/>
        </w:rPr>
        <w:t>“M</w:t>
      </w:r>
      <w:r>
        <w:rPr>
          <w:sz w:val="20"/>
          <w:szCs w:val="20"/>
          <w:lang w:val="pt-BR"/>
        </w:rPr>
        <w:t xml:space="preserve">ãos </w:t>
      </w:r>
      <w:r w:rsidR="00C7545D" w:rsidRPr="00D64156">
        <w:rPr>
          <w:sz w:val="20"/>
          <w:szCs w:val="20"/>
          <w:lang w:val="pt-BR"/>
        </w:rPr>
        <w:t>Dadas”,</w:t>
      </w:r>
      <w:r w:rsidR="002E1DE3" w:rsidRPr="00D64156">
        <w:rPr>
          <w:sz w:val="20"/>
          <w:szCs w:val="20"/>
          <w:lang w:val="pt-BR"/>
        </w:rPr>
        <w:t xml:space="preserve"> realizad</w:t>
      </w:r>
      <w:r>
        <w:rPr>
          <w:sz w:val="20"/>
          <w:szCs w:val="20"/>
          <w:lang w:val="pt-BR"/>
        </w:rPr>
        <w:t>a</w:t>
      </w:r>
      <w:r w:rsidR="002E1DE3" w:rsidRPr="00D64156">
        <w:rPr>
          <w:sz w:val="20"/>
          <w:szCs w:val="20"/>
          <w:lang w:val="pt-BR"/>
        </w:rPr>
        <w:t xml:space="preserve"> </w:t>
      </w:r>
      <w:r>
        <w:rPr>
          <w:sz w:val="20"/>
          <w:szCs w:val="20"/>
          <w:lang w:val="pt-BR"/>
        </w:rPr>
        <w:t xml:space="preserve">pela </w:t>
      </w:r>
      <w:r w:rsidR="002E1DE3" w:rsidRPr="00D64156">
        <w:rPr>
          <w:sz w:val="20"/>
          <w:szCs w:val="20"/>
          <w:lang w:val="pt-BR"/>
        </w:rPr>
        <w:t>Superintend</w:t>
      </w:r>
      <w:r>
        <w:rPr>
          <w:sz w:val="20"/>
          <w:szCs w:val="20"/>
          <w:lang w:val="pt-BR"/>
        </w:rPr>
        <w:t>ê</w:t>
      </w:r>
      <w:r w:rsidR="002E1DE3" w:rsidRPr="00D64156">
        <w:rPr>
          <w:sz w:val="20"/>
          <w:szCs w:val="20"/>
          <w:lang w:val="pt-BR"/>
        </w:rPr>
        <w:t xml:space="preserve">ncia </w:t>
      </w:r>
      <w:r w:rsidR="00B153E7" w:rsidRPr="00D64156">
        <w:rPr>
          <w:sz w:val="20"/>
          <w:szCs w:val="20"/>
          <w:lang w:val="pt-BR"/>
        </w:rPr>
        <w:t xml:space="preserve">da </w:t>
      </w:r>
      <w:r>
        <w:rPr>
          <w:sz w:val="20"/>
          <w:szCs w:val="20"/>
          <w:lang w:val="pt-BR"/>
        </w:rPr>
        <w:t xml:space="preserve">Polícia </w:t>
      </w:r>
      <w:r w:rsidR="002E1DE3" w:rsidRPr="00D64156">
        <w:rPr>
          <w:sz w:val="20"/>
          <w:szCs w:val="20"/>
          <w:lang w:val="pt-BR"/>
        </w:rPr>
        <w:t>Federal d</w:t>
      </w:r>
      <w:r>
        <w:rPr>
          <w:sz w:val="20"/>
          <w:szCs w:val="20"/>
          <w:lang w:val="pt-BR"/>
        </w:rPr>
        <w:t>o</w:t>
      </w:r>
      <w:r w:rsidR="002E1DE3" w:rsidRPr="00D64156">
        <w:rPr>
          <w:sz w:val="20"/>
          <w:szCs w:val="20"/>
          <w:lang w:val="pt-BR"/>
        </w:rPr>
        <w:t xml:space="preserve"> Rio Grande do Sul, p</w:t>
      </w:r>
      <w:r>
        <w:rPr>
          <w:sz w:val="20"/>
          <w:szCs w:val="20"/>
          <w:lang w:val="pt-BR"/>
        </w:rPr>
        <w:t xml:space="preserve">elo Ministério </w:t>
      </w:r>
      <w:r w:rsidR="002E1DE3" w:rsidRPr="00D64156">
        <w:rPr>
          <w:sz w:val="20"/>
          <w:szCs w:val="20"/>
          <w:lang w:val="pt-BR"/>
        </w:rPr>
        <w:t xml:space="preserve">Público </w:t>
      </w:r>
      <w:r w:rsidR="006644D8" w:rsidRPr="00D64156">
        <w:rPr>
          <w:sz w:val="20"/>
          <w:szCs w:val="20"/>
          <w:lang w:val="pt-BR"/>
        </w:rPr>
        <w:t>Federal</w:t>
      </w:r>
      <w:r w:rsidR="002E1DE3" w:rsidRPr="00D64156">
        <w:rPr>
          <w:sz w:val="20"/>
          <w:szCs w:val="20"/>
          <w:lang w:val="pt-BR"/>
        </w:rPr>
        <w:t xml:space="preserve"> (MPF) </w:t>
      </w:r>
      <w:r>
        <w:rPr>
          <w:sz w:val="20"/>
          <w:szCs w:val="20"/>
          <w:lang w:val="pt-BR"/>
        </w:rPr>
        <w:t xml:space="preserve">e pelo </w:t>
      </w:r>
      <w:r w:rsidR="002E1DE3" w:rsidRPr="00D64156">
        <w:rPr>
          <w:sz w:val="20"/>
          <w:szCs w:val="20"/>
          <w:lang w:val="pt-BR"/>
        </w:rPr>
        <w:t>Poder Judici</w:t>
      </w:r>
      <w:r>
        <w:rPr>
          <w:sz w:val="20"/>
          <w:szCs w:val="20"/>
          <w:lang w:val="pt-BR"/>
        </w:rPr>
        <w:t>ário</w:t>
      </w:r>
      <w:r w:rsidR="00C7545D" w:rsidRPr="00D64156">
        <w:rPr>
          <w:sz w:val="20"/>
          <w:szCs w:val="20"/>
          <w:lang w:val="pt-BR"/>
        </w:rPr>
        <w:t>,</w:t>
      </w:r>
      <w:r w:rsidR="006644D8" w:rsidRPr="00D64156">
        <w:rPr>
          <w:sz w:val="20"/>
          <w:szCs w:val="20"/>
          <w:lang w:val="pt-BR"/>
        </w:rPr>
        <w:t xml:space="preserve"> </w:t>
      </w:r>
      <w:r>
        <w:rPr>
          <w:sz w:val="20"/>
          <w:szCs w:val="20"/>
          <w:lang w:val="pt-BR"/>
        </w:rPr>
        <w:t xml:space="preserve">submeteu as </w:t>
      </w:r>
      <w:r w:rsidR="00EC0BB7">
        <w:rPr>
          <w:sz w:val="20"/>
          <w:szCs w:val="20"/>
          <w:lang w:val="pt-BR"/>
        </w:rPr>
        <w:t>supostas vítimas</w:t>
      </w:r>
      <w:r w:rsidR="008C6385">
        <w:rPr>
          <w:sz w:val="20"/>
          <w:szCs w:val="20"/>
          <w:lang w:val="pt-BR"/>
        </w:rPr>
        <w:t xml:space="preserve"> </w:t>
      </w:r>
      <w:r w:rsidR="002E1DE3" w:rsidRPr="00D64156">
        <w:rPr>
          <w:sz w:val="20"/>
          <w:szCs w:val="20"/>
          <w:lang w:val="pt-BR"/>
        </w:rPr>
        <w:t>a trat</w:t>
      </w:r>
      <w:r>
        <w:rPr>
          <w:sz w:val="20"/>
          <w:szCs w:val="20"/>
          <w:lang w:val="pt-BR"/>
        </w:rPr>
        <w:t>ament</w:t>
      </w:r>
      <w:r w:rsidR="002E1DE3" w:rsidRPr="00D64156">
        <w:rPr>
          <w:sz w:val="20"/>
          <w:szCs w:val="20"/>
          <w:lang w:val="pt-BR"/>
        </w:rPr>
        <w:t xml:space="preserve">os </w:t>
      </w:r>
      <w:r>
        <w:rPr>
          <w:sz w:val="20"/>
          <w:szCs w:val="20"/>
          <w:lang w:val="pt-BR"/>
        </w:rPr>
        <w:t xml:space="preserve">desumanos e </w:t>
      </w:r>
      <w:r w:rsidR="002E1DE3" w:rsidRPr="00D64156">
        <w:rPr>
          <w:sz w:val="20"/>
          <w:szCs w:val="20"/>
          <w:lang w:val="pt-BR"/>
        </w:rPr>
        <w:t>degradantes</w:t>
      </w:r>
      <w:r>
        <w:rPr>
          <w:sz w:val="20"/>
          <w:szCs w:val="20"/>
          <w:lang w:val="pt-BR"/>
        </w:rPr>
        <w:t>, em virtude de suas</w:t>
      </w:r>
      <w:r w:rsidR="008C6385">
        <w:rPr>
          <w:sz w:val="20"/>
          <w:szCs w:val="20"/>
          <w:lang w:val="pt-BR"/>
        </w:rPr>
        <w:t xml:space="preserve"> </w:t>
      </w:r>
      <w:r w:rsidR="002E1DE3" w:rsidRPr="00D64156">
        <w:rPr>
          <w:sz w:val="20"/>
          <w:szCs w:val="20"/>
          <w:lang w:val="pt-BR"/>
        </w:rPr>
        <w:t>condi</w:t>
      </w:r>
      <w:r w:rsidR="00B153E7" w:rsidRPr="00D64156">
        <w:rPr>
          <w:sz w:val="20"/>
          <w:szCs w:val="20"/>
          <w:lang w:val="pt-BR"/>
        </w:rPr>
        <w:t>ções</w:t>
      </w:r>
      <w:r w:rsidR="002E1DE3" w:rsidRPr="00D64156">
        <w:rPr>
          <w:sz w:val="20"/>
          <w:szCs w:val="20"/>
          <w:lang w:val="pt-BR"/>
        </w:rPr>
        <w:t xml:space="preserve"> de </w:t>
      </w:r>
      <w:r>
        <w:rPr>
          <w:sz w:val="20"/>
          <w:szCs w:val="20"/>
          <w:lang w:val="pt-BR"/>
        </w:rPr>
        <w:t xml:space="preserve">saúde, conforme se detalha a seguir, e ainda que um </w:t>
      </w:r>
      <w:r w:rsidR="00891A5F" w:rsidRPr="00A2573A">
        <w:rPr>
          <w:sz w:val="20"/>
          <w:szCs w:val="20"/>
          <w:lang w:val="pt-BR"/>
        </w:rPr>
        <w:t xml:space="preserve">dos </w:t>
      </w:r>
      <w:r w:rsidR="00C7545D" w:rsidRPr="00A2573A">
        <w:rPr>
          <w:sz w:val="20"/>
          <w:szCs w:val="20"/>
          <w:lang w:val="pt-BR"/>
        </w:rPr>
        <w:t xml:space="preserve">delegados </w:t>
      </w:r>
      <w:r>
        <w:rPr>
          <w:sz w:val="20"/>
          <w:szCs w:val="20"/>
          <w:lang w:val="pt-BR"/>
        </w:rPr>
        <w:t xml:space="preserve">responsáveis é irmão do já </w:t>
      </w:r>
      <w:r w:rsidR="00C7545D" w:rsidRPr="00A2573A">
        <w:rPr>
          <w:sz w:val="20"/>
          <w:szCs w:val="20"/>
          <w:lang w:val="pt-BR"/>
        </w:rPr>
        <w:t xml:space="preserve">mencionado </w:t>
      </w:r>
      <w:r>
        <w:rPr>
          <w:sz w:val="20"/>
          <w:szCs w:val="20"/>
          <w:lang w:val="pt-BR"/>
        </w:rPr>
        <w:t>juiz</w:t>
      </w:r>
      <w:r w:rsidR="008C6385">
        <w:rPr>
          <w:sz w:val="20"/>
          <w:szCs w:val="20"/>
          <w:lang w:val="pt-BR"/>
        </w:rPr>
        <w:t xml:space="preserve"> </w:t>
      </w:r>
      <w:r w:rsidR="00B153E7" w:rsidRPr="00A2573A">
        <w:rPr>
          <w:sz w:val="20"/>
          <w:szCs w:val="20"/>
          <w:lang w:val="pt-BR"/>
        </w:rPr>
        <w:t xml:space="preserve">da </w:t>
      </w:r>
      <w:r w:rsidR="00A45A96" w:rsidRPr="00A2573A">
        <w:rPr>
          <w:sz w:val="20"/>
          <w:szCs w:val="20"/>
          <w:lang w:val="pt-BR"/>
        </w:rPr>
        <w:t>causa (</w:t>
      </w:r>
      <w:r w:rsidR="00A45A96" w:rsidRPr="00A2573A">
        <w:rPr>
          <w:i/>
          <w:iCs/>
          <w:sz w:val="20"/>
          <w:szCs w:val="20"/>
          <w:lang w:val="pt-BR"/>
        </w:rPr>
        <w:t>supra</w:t>
      </w:r>
      <w:r w:rsidR="00A45A96" w:rsidRPr="00A2573A">
        <w:rPr>
          <w:sz w:val="20"/>
          <w:szCs w:val="20"/>
          <w:lang w:val="pt-BR"/>
        </w:rPr>
        <w:t xml:space="preserve"> p</w:t>
      </w:r>
      <w:r>
        <w:rPr>
          <w:sz w:val="20"/>
          <w:szCs w:val="20"/>
          <w:lang w:val="pt-BR"/>
        </w:rPr>
        <w:t>a</w:t>
      </w:r>
      <w:r w:rsidR="00A45A96" w:rsidRPr="00A2573A">
        <w:rPr>
          <w:sz w:val="20"/>
          <w:szCs w:val="20"/>
          <w:lang w:val="pt-BR"/>
        </w:rPr>
        <w:t xml:space="preserve">r. </w:t>
      </w:r>
      <w:r w:rsidR="00A45A96" w:rsidRPr="00D64156">
        <w:rPr>
          <w:sz w:val="20"/>
          <w:szCs w:val="20"/>
          <w:lang w:val="pt-BR"/>
        </w:rPr>
        <w:t>5)</w:t>
      </w:r>
      <w:r w:rsidR="00C7545D" w:rsidRPr="00D64156">
        <w:rPr>
          <w:sz w:val="20"/>
          <w:szCs w:val="20"/>
          <w:lang w:val="pt-BR"/>
        </w:rPr>
        <w:t>.</w:t>
      </w:r>
    </w:p>
    <w:p w14:paraId="588C479A" w14:textId="4EF4AE4E" w:rsidR="00383C6E" w:rsidRPr="00D64156" w:rsidRDefault="00383C6E"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D64156">
        <w:rPr>
          <w:sz w:val="20"/>
          <w:szCs w:val="20"/>
          <w:lang w:val="pt-BR"/>
        </w:rPr>
        <w:t>E</w:t>
      </w:r>
      <w:r w:rsidR="00A2573A">
        <w:rPr>
          <w:sz w:val="20"/>
          <w:szCs w:val="20"/>
          <w:lang w:val="pt-BR"/>
        </w:rPr>
        <w:t>m</w:t>
      </w:r>
      <w:r w:rsidRPr="00D64156">
        <w:rPr>
          <w:sz w:val="20"/>
          <w:szCs w:val="20"/>
          <w:lang w:val="pt-BR"/>
        </w:rPr>
        <w:t xml:space="preserve"> 2 de </w:t>
      </w:r>
      <w:r w:rsidR="00455AAF" w:rsidRPr="00D64156">
        <w:rPr>
          <w:sz w:val="20"/>
          <w:szCs w:val="20"/>
          <w:lang w:val="pt-BR"/>
        </w:rPr>
        <w:t>maio</w:t>
      </w:r>
      <w:r w:rsidR="008C6385">
        <w:rPr>
          <w:sz w:val="20"/>
          <w:szCs w:val="20"/>
          <w:lang w:val="pt-BR"/>
        </w:rPr>
        <w:t xml:space="preserve"> </w:t>
      </w:r>
      <w:r w:rsidRPr="00D64156">
        <w:rPr>
          <w:sz w:val="20"/>
          <w:szCs w:val="20"/>
          <w:lang w:val="pt-BR"/>
        </w:rPr>
        <w:t>de 2007</w:t>
      </w:r>
      <w:r w:rsidR="00A2573A">
        <w:rPr>
          <w:sz w:val="20"/>
          <w:szCs w:val="20"/>
          <w:lang w:val="pt-BR"/>
        </w:rPr>
        <w:t xml:space="preserve">, o Senhor </w:t>
      </w:r>
      <w:r w:rsidRPr="00D64156">
        <w:rPr>
          <w:sz w:val="20"/>
          <w:szCs w:val="20"/>
          <w:lang w:val="pt-BR"/>
        </w:rPr>
        <w:t xml:space="preserve">Wolf Gruenberg se </w:t>
      </w:r>
      <w:r w:rsidR="00A2573A">
        <w:rPr>
          <w:sz w:val="20"/>
          <w:szCs w:val="20"/>
          <w:lang w:val="pt-BR"/>
        </w:rPr>
        <w:t xml:space="preserve">submeteu a uma cirurgia </w:t>
      </w:r>
      <w:r w:rsidRPr="00D64156">
        <w:rPr>
          <w:sz w:val="20"/>
          <w:szCs w:val="20"/>
          <w:lang w:val="pt-BR"/>
        </w:rPr>
        <w:t xml:space="preserve">cardiovascular. </w:t>
      </w:r>
      <w:r w:rsidR="00A2573A">
        <w:rPr>
          <w:sz w:val="20"/>
          <w:szCs w:val="20"/>
          <w:lang w:val="pt-BR"/>
        </w:rPr>
        <w:t xml:space="preserve">Alguns dias depois, foi diagnosticado com câncer </w:t>
      </w:r>
      <w:r w:rsidRPr="00D64156">
        <w:rPr>
          <w:sz w:val="20"/>
          <w:szCs w:val="20"/>
          <w:lang w:val="pt-BR"/>
        </w:rPr>
        <w:t xml:space="preserve">sublingual. </w:t>
      </w:r>
      <w:r w:rsidR="00A2573A" w:rsidRPr="00A2573A">
        <w:rPr>
          <w:sz w:val="20"/>
          <w:szCs w:val="20"/>
          <w:lang w:val="pt-BR"/>
        </w:rPr>
        <w:t xml:space="preserve">Por conseguinte, iniciou, em </w:t>
      </w:r>
      <w:r w:rsidR="006644D8" w:rsidRPr="00A2573A">
        <w:rPr>
          <w:sz w:val="20"/>
          <w:szCs w:val="20"/>
          <w:lang w:val="pt-BR"/>
        </w:rPr>
        <w:t xml:space="preserve">18 de </w:t>
      </w:r>
      <w:r w:rsidR="00A2573A" w:rsidRPr="00A2573A">
        <w:rPr>
          <w:sz w:val="20"/>
          <w:szCs w:val="20"/>
          <w:lang w:val="pt-BR"/>
        </w:rPr>
        <w:t>ju</w:t>
      </w:r>
      <w:r w:rsidR="00A2573A">
        <w:rPr>
          <w:sz w:val="20"/>
          <w:szCs w:val="20"/>
          <w:lang w:val="pt-BR"/>
        </w:rPr>
        <w:t xml:space="preserve">nho </w:t>
      </w:r>
      <w:r w:rsidR="006644D8" w:rsidRPr="00A2573A">
        <w:rPr>
          <w:sz w:val="20"/>
          <w:szCs w:val="20"/>
          <w:lang w:val="pt-BR"/>
        </w:rPr>
        <w:t>de 2007,</w:t>
      </w:r>
      <w:r w:rsidRPr="00A2573A">
        <w:rPr>
          <w:sz w:val="20"/>
          <w:szCs w:val="20"/>
          <w:lang w:val="pt-BR"/>
        </w:rPr>
        <w:t xml:space="preserve"> u</w:t>
      </w:r>
      <w:r w:rsidR="00A2573A">
        <w:rPr>
          <w:sz w:val="20"/>
          <w:szCs w:val="20"/>
          <w:lang w:val="pt-BR"/>
        </w:rPr>
        <w:t>m</w:t>
      </w:r>
      <w:r w:rsidRPr="00A2573A">
        <w:rPr>
          <w:sz w:val="20"/>
          <w:szCs w:val="20"/>
          <w:lang w:val="pt-BR"/>
        </w:rPr>
        <w:t xml:space="preserve"> tratamento </w:t>
      </w:r>
      <w:r w:rsidR="00A2573A">
        <w:rPr>
          <w:sz w:val="20"/>
          <w:szCs w:val="20"/>
          <w:lang w:val="pt-BR"/>
        </w:rPr>
        <w:t xml:space="preserve">disponível somente no </w:t>
      </w:r>
      <w:r w:rsidRPr="00A2573A">
        <w:rPr>
          <w:sz w:val="20"/>
          <w:szCs w:val="20"/>
          <w:lang w:val="pt-BR"/>
        </w:rPr>
        <w:t>Hospital Sírio</w:t>
      </w:r>
      <w:r w:rsidR="00A2573A">
        <w:rPr>
          <w:sz w:val="20"/>
          <w:szCs w:val="20"/>
          <w:lang w:val="pt-BR"/>
        </w:rPr>
        <w:t>-</w:t>
      </w:r>
      <w:r w:rsidRPr="00A2573A">
        <w:rPr>
          <w:sz w:val="20"/>
          <w:szCs w:val="20"/>
          <w:lang w:val="pt-BR"/>
        </w:rPr>
        <w:t xml:space="preserve">Libanês de São Paulo, </w:t>
      </w:r>
      <w:r w:rsidR="006644D8" w:rsidRPr="00A2573A">
        <w:rPr>
          <w:sz w:val="20"/>
          <w:szCs w:val="20"/>
          <w:lang w:val="pt-BR"/>
        </w:rPr>
        <w:t xml:space="preserve">o </w:t>
      </w:r>
      <w:r w:rsidR="00891A5F" w:rsidRPr="00A2573A">
        <w:rPr>
          <w:sz w:val="20"/>
          <w:szCs w:val="20"/>
          <w:lang w:val="pt-BR"/>
        </w:rPr>
        <w:t>qual</w:t>
      </w:r>
      <w:r w:rsidR="008C6385">
        <w:rPr>
          <w:sz w:val="20"/>
          <w:szCs w:val="20"/>
          <w:lang w:val="pt-BR"/>
        </w:rPr>
        <w:t xml:space="preserve"> </w:t>
      </w:r>
      <w:r w:rsidRPr="00A2573A">
        <w:rPr>
          <w:sz w:val="20"/>
          <w:szCs w:val="20"/>
          <w:lang w:val="pt-BR"/>
        </w:rPr>
        <w:t>incluía medica</w:t>
      </w:r>
      <w:r w:rsidR="00B153E7" w:rsidRPr="00A2573A">
        <w:rPr>
          <w:sz w:val="20"/>
          <w:szCs w:val="20"/>
          <w:lang w:val="pt-BR"/>
        </w:rPr>
        <w:t>ção</w:t>
      </w:r>
      <w:r w:rsidRPr="00A2573A">
        <w:rPr>
          <w:sz w:val="20"/>
          <w:szCs w:val="20"/>
          <w:lang w:val="pt-BR"/>
        </w:rPr>
        <w:t xml:space="preserve">, quimioterapia </w:t>
      </w:r>
      <w:r w:rsidR="00A2573A">
        <w:rPr>
          <w:sz w:val="20"/>
          <w:szCs w:val="20"/>
          <w:lang w:val="pt-BR"/>
        </w:rPr>
        <w:t>e</w:t>
      </w:r>
      <w:r w:rsidRPr="00A2573A">
        <w:rPr>
          <w:sz w:val="20"/>
          <w:szCs w:val="20"/>
          <w:lang w:val="pt-BR"/>
        </w:rPr>
        <w:t xml:space="preserve"> </w:t>
      </w:r>
      <w:r w:rsidR="00652DC1" w:rsidRPr="00A2573A">
        <w:rPr>
          <w:sz w:val="20"/>
          <w:szCs w:val="20"/>
          <w:lang w:val="pt-BR"/>
        </w:rPr>
        <w:t>cin</w:t>
      </w:r>
      <w:r w:rsidR="00A2573A">
        <w:rPr>
          <w:sz w:val="20"/>
          <w:szCs w:val="20"/>
          <w:lang w:val="pt-BR"/>
        </w:rPr>
        <w:t>q</w:t>
      </w:r>
      <w:r w:rsidR="00652DC1" w:rsidRPr="00A2573A">
        <w:rPr>
          <w:sz w:val="20"/>
          <w:szCs w:val="20"/>
          <w:lang w:val="pt-BR"/>
        </w:rPr>
        <w:t xml:space="preserve">uenta </w:t>
      </w:r>
      <w:r w:rsidR="00A2573A">
        <w:rPr>
          <w:sz w:val="20"/>
          <w:szCs w:val="20"/>
          <w:lang w:val="pt-BR"/>
        </w:rPr>
        <w:t>e q</w:t>
      </w:r>
      <w:r w:rsidR="00652DC1" w:rsidRPr="00A2573A">
        <w:rPr>
          <w:sz w:val="20"/>
          <w:szCs w:val="20"/>
          <w:lang w:val="pt-BR"/>
        </w:rPr>
        <w:t>uatro</w:t>
      </w:r>
      <w:r w:rsidRPr="00A2573A">
        <w:rPr>
          <w:sz w:val="20"/>
          <w:szCs w:val="20"/>
          <w:lang w:val="pt-BR"/>
        </w:rPr>
        <w:t xml:space="preserve"> </w:t>
      </w:r>
      <w:r w:rsidR="00A2573A">
        <w:rPr>
          <w:sz w:val="20"/>
          <w:szCs w:val="20"/>
          <w:lang w:val="pt-BR"/>
        </w:rPr>
        <w:t xml:space="preserve">sessões </w:t>
      </w:r>
      <w:r w:rsidRPr="00A2573A">
        <w:rPr>
          <w:sz w:val="20"/>
          <w:szCs w:val="20"/>
          <w:lang w:val="pt-BR"/>
        </w:rPr>
        <w:t xml:space="preserve">de radioterapia. </w:t>
      </w:r>
      <w:r w:rsidR="00A2573A">
        <w:rPr>
          <w:sz w:val="20"/>
          <w:szCs w:val="20"/>
          <w:lang w:val="pt-BR"/>
        </w:rPr>
        <w:t xml:space="preserve">Por sua </w:t>
      </w:r>
      <w:r w:rsidR="008F507D" w:rsidRPr="00D64156">
        <w:rPr>
          <w:sz w:val="20"/>
          <w:szCs w:val="20"/>
          <w:lang w:val="pt-BR"/>
        </w:rPr>
        <w:t xml:space="preserve">vez, a </w:t>
      </w:r>
      <w:r w:rsidR="00A2573A">
        <w:rPr>
          <w:sz w:val="20"/>
          <w:szCs w:val="20"/>
          <w:lang w:val="pt-BR"/>
        </w:rPr>
        <w:t xml:space="preserve">Senhora </w:t>
      </w:r>
      <w:r w:rsidR="008F507D" w:rsidRPr="00D64156">
        <w:rPr>
          <w:sz w:val="20"/>
          <w:szCs w:val="20"/>
          <w:lang w:val="pt-BR"/>
        </w:rPr>
        <w:t xml:space="preserve">Betty Gruenberg se </w:t>
      </w:r>
      <w:r w:rsidR="00A2573A">
        <w:rPr>
          <w:sz w:val="20"/>
          <w:szCs w:val="20"/>
          <w:lang w:val="pt-BR"/>
        </w:rPr>
        <w:t>submeteu</w:t>
      </w:r>
      <w:r w:rsidR="008F507D" w:rsidRPr="00D64156">
        <w:rPr>
          <w:sz w:val="20"/>
          <w:szCs w:val="20"/>
          <w:lang w:val="pt-BR"/>
        </w:rPr>
        <w:t xml:space="preserve">, </w:t>
      </w:r>
      <w:r w:rsidR="00A2573A">
        <w:rPr>
          <w:sz w:val="20"/>
          <w:szCs w:val="20"/>
          <w:lang w:val="pt-BR"/>
        </w:rPr>
        <w:t xml:space="preserve">em </w:t>
      </w:r>
      <w:r w:rsidR="008F507D" w:rsidRPr="00D64156">
        <w:rPr>
          <w:sz w:val="20"/>
          <w:szCs w:val="20"/>
          <w:lang w:val="pt-BR"/>
        </w:rPr>
        <w:t>12 de novembr</w:t>
      </w:r>
      <w:r w:rsidR="00A2573A">
        <w:rPr>
          <w:sz w:val="20"/>
          <w:szCs w:val="20"/>
          <w:lang w:val="pt-BR"/>
        </w:rPr>
        <w:t>o</w:t>
      </w:r>
      <w:r w:rsidR="008F507D" w:rsidRPr="00D64156">
        <w:rPr>
          <w:sz w:val="20"/>
          <w:szCs w:val="20"/>
          <w:lang w:val="pt-BR"/>
        </w:rPr>
        <w:t xml:space="preserve"> de 2007, a </w:t>
      </w:r>
      <w:r w:rsidR="00891A5F">
        <w:rPr>
          <w:sz w:val="20"/>
          <w:szCs w:val="20"/>
          <w:lang w:val="pt-BR"/>
        </w:rPr>
        <w:t>uma</w:t>
      </w:r>
      <w:r w:rsidR="008C6385">
        <w:rPr>
          <w:sz w:val="20"/>
          <w:szCs w:val="20"/>
          <w:lang w:val="pt-BR"/>
        </w:rPr>
        <w:t xml:space="preserve"> </w:t>
      </w:r>
      <w:r w:rsidR="008F507D" w:rsidRPr="00D64156">
        <w:rPr>
          <w:sz w:val="20"/>
          <w:szCs w:val="20"/>
          <w:lang w:val="pt-BR"/>
        </w:rPr>
        <w:t>opera</w:t>
      </w:r>
      <w:r w:rsidR="00B153E7" w:rsidRPr="00D64156">
        <w:rPr>
          <w:sz w:val="20"/>
          <w:szCs w:val="20"/>
          <w:lang w:val="pt-BR"/>
        </w:rPr>
        <w:t>ção</w:t>
      </w:r>
      <w:r w:rsidR="008F507D" w:rsidRPr="00D64156">
        <w:rPr>
          <w:sz w:val="20"/>
          <w:szCs w:val="20"/>
          <w:lang w:val="pt-BR"/>
        </w:rPr>
        <w:t xml:space="preserve"> de redu</w:t>
      </w:r>
      <w:r w:rsidR="00B153E7" w:rsidRPr="00D64156">
        <w:rPr>
          <w:sz w:val="20"/>
          <w:szCs w:val="20"/>
          <w:lang w:val="pt-BR"/>
        </w:rPr>
        <w:t>ção</w:t>
      </w:r>
      <w:r w:rsidR="008F507D" w:rsidRPr="00D64156">
        <w:rPr>
          <w:sz w:val="20"/>
          <w:szCs w:val="20"/>
          <w:lang w:val="pt-BR"/>
        </w:rPr>
        <w:t xml:space="preserve"> </w:t>
      </w:r>
      <w:r w:rsidR="00A2573A">
        <w:rPr>
          <w:sz w:val="20"/>
          <w:szCs w:val="20"/>
          <w:lang w:val="pt-BR"/>
        </w:rPr>
        <w:t>e</w:t>
      </w:r>
      <w:r w:rsidR="008F507D" w:rsidRPr="00D64156">
        <w:rPr>
          <w:sz w:val="20"/>
          <w:szCs w:val="20"/>
          <w:lang w:val="pt-BR"/>
        </w:rPr>
        <w:t xml:space="preserve"> corre</w:t>
      </w:r>
      <w:r w:rsidR="00B153E7" w:rsidRPr="00D64156">
        <w:rPr>
          <w:sz w:val="20"/>
          <w:szCs w:val="20"/>
          <w:lang w:val="pt-BR"/>
        </w:rPr>
        <w:t>ção</w:t>
      </w:r>
      <w:r w:rsidR="008F507D" w:rsidRPr="00D64156">
        <w:rPr>
          <w:sz w:val="20"/>
          <w:szCs w:val="20"/>
          <w:lang w:val="pt-BR"/>
        </w:rPr>
        <w:t xml:space="preserve"> de se</w:t>
      </w:r>
      <w:r w:rsidR="00A2573A">
        <w:rPr>
          <w:sz w:val="20"/>
          <w:szCs w:val="20"/>
          <w:lang w:val="pt-BR"/>
        </w:rPr>
        <w:t>i</w:t>
      </w:r>
      <w:r w:rsidR="008F507D" w:rsidRPr="00D64156">
        <w:rPr>
          <w:sz w:val="20"/>
          <w:szCs w:val="20"/>
          <w:lang w:val="pt-BR"/>
        </w:rPr>
        <w:t>os.</w:t>
      </w:r>
    </w:p>
    <w:p w14:paraId="1FC695CC" w14:textId="4B382252" w:rsidR="00513340" w:rsidRPr="00580375" w:rsidRDefault="00580375" w:rsidP="00EC7F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 xml:space="preserve">Concluída a primeira </w:t>
      </w:r>
      <w:r w:rsidR="00383C6E" w:rsidRPr="00D64156">
        <w:rPr>
          <w:sz w:val="20"/>
          <w:szCs w:val="20"/>
          <w:lang w:val="pt-BR"/>
        </w:rPr>
        <w:t>fase d</w:t>
      </w:r>
      <w:r>
        <w:rPr>
          <w:sz w:val="20"/>
          <w:szCs w:val="20"/>
          <w:lang w:val="pt-BR"/>
        </w:rPr>
        <w:t>o</w:t>
      </w:r>
      <w:r w:rsidR="00383C6E" w:rsidRPr="00D64156">
        <w:rPr>
          <w:sz w:val="20"/>
          <w:szCs w:val="20"/>
          <w:lang w:val="pt-BR"/>
        </w:rPr>
        <w:t xml:space="preserve"> tratamento d</w:t>
      </w:r>
      <w:r>
        <w:rPr>
          <w:sz w:val="20"/>
          <w:szCs w:val="20"/>
          <w:lang w:val="pt-BR"/>
        </w:rPr>
        <w:t xml:space="preserve">o Senhor </w:t>
      </w:r>
      <w:r w:rsidR="00383C6E" w:rsidRPr="00D64156">
        <w:rPr>
          <w:sz w:val="20"/>
          <w:szCs w:val="20"/>
          <w:lang w:val="pt-BR"/>
        </w:rPr>
        <w:t xml:space="preserve">Wolf, as </w:t>
      </w:r>
      <w:r w:rsidR="00EC0BB7">
        <w:rPr>
          <w:sz w:val="20"/>
          <w:szCs w:val="20"/>
          <w:lang w:val="pt-BR"/>
        </w:rPr>
        <w:t>supostas vítimas</w:t>
      </w:r>
      <w:r w:rsidR="008C6385">
        <w:rPr>
          <w:sz w:val="20"/>
          <w:szCs w:val="20"/>
          <w:lang w:val="pt-BR"/>
        </w:rPr>
        <w:t xml:space="preserve"> </w:t>
      </w:r>
      <w:r>
        <w:rPr>
          <w:sz w:val="20"/>
          <w:szCs w:val="20"/>
          <w:lang w:val="pt-BR"/>
        </w:rPr>
        <w:t xml:space="preserve">viajaram ao </w:t>
      </w:r>
      <w:r w:rsidR="00383C6E" w:rsidRPr="00D64156">
        <w:rPr>
          <w:sz w:val="20"/>
          <w:szCs w:val="20"/>
          <w:lang w:val="pt-BR"/>
        </w:rPr>
        <w:t>Urugua</w:t>
      </w:r>
      <w:r>
        <w:rPr>
          <w:sz w:val="20"/>
          <w:szCs w:val="20"/>
          <w:lang w:val="pt-BR"/>
        </w:rPr>
        <w:t xml:space="preserve">i e, em seguida, regressaram ao </w:t>
      </w:r>
      <w:r w:rsidR="00383C6E" w:rsidRPr="00D64156">
        <w:rPr>
          <w:sz w:val="20"/>
          <w:szCs w:val="20"/>
          <w:lang w:val="pt-BR"/>
        </w:rPr>
        <w:t>Brasil</w:t>
      </w:r>
      <w:r>
        <w:rPr>
          <w:sz w:val="20"/>
          <w:szCs w:val="20"/>
          <w:lang w:val="pt-BR"/>
        </w:rPr>
        <w:t xml:space="preserve">, em </w:t>
      </w:r>
      <w:r w:rsidR="00383C6E" w:rsidRPr="00D64156">
        <w:rPr>
          <w:sz w:val="20"/>
          <w:szCs w:val="20"/>
          <w:lang w:val="pt-BR"/>
        </w:rPr>
        <w:t xml:space="preserve">20 de </w:t>
      </w:r>
      <w:r>
        <w:rPr>
          <w:sz w:val="20"/>
          <w:szCs w:val="20"/>
          <w:lang w:val="pt-BR"/>
        </w:rPr>
        <w:t>novembro</w:t>
      </w:r>
      <w:r w:rsidR="008C6385">
        <w:rPr>
          <w:sz w:val="20"/>
          <w:szCs w:val="20"/>
          <w:lang w:val="pt-BR"/>
        </w:rPr>
        <w:t xml:space="preserve"> </w:t>
      </w:r>
      <w:r w:rsidR="00383C6E" w:rsidRPr="00D64156">
        <w:rPr>
          <w:sz w:val="20"/>
          <w:szCs w:val="20"/>
          <w:lang w:val="pt-BR"/>
        </w:rPr>
        <w:t>de 2007</w:t>
      </w:r>
      <w:r>
        <w:rPr>
          <w:sz w:val="20"/>
          <w:szCs w:val="20"/>
          <w:lang w:val="pt-BR"/>
        </w:rPr>
        <w:t>,</w:t>
      </w:r>
      <w:r w:rsidR="00383C6E" w:rsidRPr="00D64156">
        <w:rPr>
          <w:sz w:val="20"/>
          <w:szCs w:val="20"/>
          <w:lang w:val="pt-BR"/>
        </w:rPr>
        <w:t xml:space="preserve"> para a segunda fase d</w:t>
      </w:r>
      <w:r>
        <w:rPr>
          <w:sz w:val="20"/>
          <w:szCs w:val="20"/>
          <w:lang w:val="pt-BR"/>
        </w:rPr>
        <w:t>o</w:t>
      </w:r>
      <w:r w:rsidR="00383C6E" w:rsidRPr="00D64156">
        <w:rPr>
          <w:sz w:val="20"/>
          <w:szCs w:val="20"/>
          <w:lang w:val="pt-BR"/>
        </w:rPr>
        <w:t xml:space="preserve"> tratamento, </w:t>
      </w:r>
      <w:r>
        <w:rPr>
          <w:sz w:val="20"/>
          <w:szCs w:val="20"/>
          <w:lang w:val="pt-BR"/>
        </w:rPr>
        <w:t xml:space="preserve">quando foram surpreendidas por uma ostensiva operação de busca </w:t>
      </w:r>
      <w:r w:rsidR="00383C6E" w:rsidRPr="00D64156">
        <w:rPr>
          <w:sz w:val="20"/>
          <w:szCs w:val="20"/>
          <w:lang w:val="pt-BR"/>
        </w:rPr>
        <w:t xml:space="preserve">e </w:t>
      </w:r>
      <w:r>
        <w:rPr>
          <w:sz w:val="20"/>
          <w:szCs w:val="20"/>
          <w:lang w:val="pt-BR"/>
        </w:rPr>
        <w:t>apreensão, que resultou em sua detenção</w:t>
      </w:r>
      <w:r w:rsidR="00383C6E" w:rsidRPr="00D64156">
        <w:rPr>
          <w:sz w:val="20"/>
          <w:szCs w:val="20"/>
          <w:lang w:val="pt-BR"/>
        </w:rPr>
        <w:t xml:space="preserve">. </w:t>
      </w:r>
      <w:r w:rsidR="00383C6E" w:rsidRPr="00580375">
        <w:rPr>
          <w:sz w:val="20"/>
          <w:szCs w:val="20"/>
          <w:lang w:val="pt-BR"/>
        </w:rPr>
        <w:t>Seg</w:t>
      </w:r>
      <w:r w:rsidRPr="00580375">
        <w:rPr>
          <w:sz w:val="20"/>
          <w:szCs w:val="20"/>
          <w:lang w:val="pt-BR"/>
        </w:rPr>
        <w:t xml:space="preserve">undo os </w:t>
      </w:r>
      <w:r w:rsidR="00891A5F" w:rsidRPr="00580375">
        <w:rPr>
          <w:sz w:val="20"/>
          <w:szCs w:val="20"/>
          <w:lang w:val="pt-BR"/>
        </w:rPr>
        <w:t>peticionários</w:t>
      </w:r>
      <w:r w:rsidR="00383C6E" w:rsidRPr="00580375">
        <w:rPr>
          <w:sz w:val="20"/>
          <w:szCs w:val="20"/>
          <w:lang w:val="pt-BR"/>
        </w:rPr>
        <w:t xml:space="preserve">, as </w:t>
      </w:r>
      <w:r w:rsidR="00EC0BB7" w:rsidRPr="00580375">
        <w:rPr>
          <w:sz w:val="20"/>
          <w:szCs w:val="20"/>
          <w:lang w:val="pt-BR"/>
        </w:rPr>
        <w:t>supostas vítimas</w:t>
      </w:r>
      <w:r w:rsidR="008C6385">
        <w:rPr>
          <w:sz w:val="20"/>
          <w:szCs w:val="20"/>
          <w:lang w:val="pt-BR"/>
        </w:rPr>
        <w:t xml:space="preserve"> </w:t>
      </w:r>
      <w:r w:rsidRPr="00580375">
        <w:rPr>
          <w:sz w:val="20"/>
          <w:szCs w:val="20"/>
          <w:lang w:val="pt-BR"/>
        </w:rPr>
        <w:t>e se</w:t>
      </w:r>
      <w:r>
        <w:rPr>
          <w:sz w:val="20"/>
          <w:szCs w:val="20"/>
          <w:lang w:val="pt-BR"/>
        </w:rPr>
        <w:t xml:space="preserve">u filho foram </w:t>
      </w:r>
      <w:r w:rsidR="00383C6E" w:rsidRPr="00580375">
        <w:rPr>
          <w:sz w:val="20"/>
          <w:szCs w:val="20"/>
          <w:lang w:val="pt-BR"/>
        </w:rPr>
        <w:t xml:space="preserve">privados de </w:t>
      </w:r>
      <w:r w:rsidR="00B153E7" w:rsidRPr="00580375">
        <w:rPr>
          <w:sz w:val="20"/>
          <w:szCs w:val="20"/>
          <w:lang w:val="pt-BR"/>
        </w:rPr>
        <w:t>liberdade</w:t>
      </w:r>
      <w:r w:rsidR="008C6385">
        <w:rPr>
          <w:sz w:val="20"/>
          <w:szCs w:val="20"/>
          <w:lang w:val="pt-BR"/>
        </w:rPr>
        <w:t xml:space="preserve"> </w:t>
      </w:r>
      <w:r>
        <w:rPr>
          <w:sz w:val="20"/>
          <w:szCs w:val="20"/>
          <w:lang w:val="pt-BR"/>
        </w:rPr>
        <w:t xml:space="preserve">em </w:t>
      </w:r>
      <w:r w:rsidR="00383C6E" w:rsidRPr="00580375">
        <w:rPr>
          <w:sz w:val="20"/>
          <w:szCs w:val="20"/>
          <w:lang w:val="pt-BR"/>
        </w:rPr>
        <w:t xml:space="preserve">20 de </w:t>
      </w:r>
      <w:r w:rsidRPr="00580375">
        <w:rPr>
          <w:sz w:val="20"/>
          <w:szCs w:val="20"/>
          <w:lang w:val="pt-BR"/>
        </w:rPr>
        <w:t>novembro</w:t>
      </w:r>
      <w:r w:rsidR="008C6385">
        <w:rPr>
          <w:sz w:val="20"/>
          <w:szCs w:val="20"/>
          <w:lang w:val="pt-BR"/>
        </w:rPr>
        <w:t xml:space="preserve"> </w:t>
      </w:r>
      <w:r w:rsidR="00383C6E" w:rsidRPr="00580375">
        <w:rPr>
          <w:sz w:val="20"/>
          <w:szCs w:val="20"/>
          <w:lang w:val="pt-BR"/>
        </w:rPr>
        <w:t xml:space="preserve">de 2007, </w:t>
      </w:r>
      <w:r>
        <w:rPr>
          <w:sz w:val="20"/>
          <w:szCs w:val="20"/>
          <w:lang w:val="pt-BR"/>
        </w:rPr>
        <w:t xml:space="preserve">ao </w:t>
      </w:r>
      <w:r w:rsidR="00383C6E" w:rsidRPr="00580375">
        <w:rPr>
          <w:sz w:val="20"/>
          <w:szCs w:val="20"/>
          <w:lang w:val="pt-BR"/>
        </w:rPr>
        <w:t xml:space="preserve">desembarcar </w:t>
      </w:r>
      <w:r>
        <w:rPr>
          <w:sz w:val="20"/>
          <w:szCs w:val="20"/>
          <w:lang w:val="pt-BR"/>
        </w:rPr>
        <w:t xml:space="preserve">no </w:t>
      </w:r>
      <w:r w:rsidR="00383C6E" w:rsidRPr="00580375">
        <w:rPr>
          <w:sz w:val="20"/>
          <w:szCs w:val="20"/>
          <w:lang w:val="pt-BR"/>
        </w:rPr>
        <w:t xml:space="preserve">Brasil, permanecendo detidos por </w:t>
      </w:r>
      <w:r>
        <w:rPr>
          <w:sz w:val="20"/>
          <w:szCs w:val="20"/>
          <w:lang w:val="pt-BR"/>
        </w:rPr>
        <w:t xml:space="preserve">mais de três </w:t>
      </w:r>
      <w:r w:rsidR="00383C6E" w:rsidRPr="00580375">
        <w:rPr>
          <w:sz w:val="20"/>
          <w:szCs w:val="20"/>
          <w:lang w:val="pt-BR"/>
        </w:rPr>
        <w:t>horas. A</w:t>
      </w:r>
      <w:r w:rsidRPr="00580375">
        <w:rPr>
          <w:sz w:val="20"/>
          <w:szCs w:val="20"/>
          <w:lang w:val="pt-BR"/>
        </w:rPr>
        <w:t>lém disso</w:t>
      </w:r>
      <w:r w:rsidR="00383C6E" w:rsidRPr="00580375">
        <w:rPr>
          <w:sz w:val="20"/>
          <w:szCs w:val="20"/>
          <w:lang w:val="pt-BR"/>
        </w:rPr>
        <w:t xml:space="preserve">, </w:t>
      </w:r>
      <w:r w:rsidR="002E6840">
        <w:rPr>
          <w:sz w:val="20"/>
          <w:szCs w:val="20"/>
          <w:lang w:val="pt-BR"/>
        </w:rPr>
        <w:t xml:space="preserve">tiveram </w:t>
      </w:r>
      <w:r>
        <w:rPr>
          <w:sz w:val="20"/>
          <w:szCs w:val="20"/>
          <w:lang w:val="pt-BR"/>
        </w:rPr>
        <w:t xml:space="preserve">seus computadores e telefones </w:t>
      </w:r>
      <w:r w:rsidR="00383C6E" w:rsidRPr="00580375">
        <w:rPr>
          <w:sz w:val="20"/>
          <w:szCs w:val="20"/>
          <w:lang w:val="pt-BR"/>
        </w:rPr>
        <w:t xml:space="preserve">celulares </w:t>
      </w:r>
      <w:r w:rsidR="002E6840">
        <w:rPr>
          <w:sz w:val="20"/>
          <w:szCs w:val="20"/>
          <w:lang w:val="pt-BR"/>
        </w:rPr>
        <w:t xml:space="preserve">apreendidos </w:t>
      </w:r>
      <w:r>
        <w:rPr>
          <w:sz w:val="20"/>
          <w:szCs w:val="20"/>
          <w:lang w:val="pt-BR"/>
        </w:rPr>
        <w:t xml:space="preserve">e foram submetidos a uma série de </w:t>
      </w:r>
      <w:r w:rsidR="007B4A20">
        <w:rPr>
          <w:sz w:val="20"/>
          <w:szCs w:val="20"/>
          <w:lang w:val="pt-BR"/>
        </w:rPr>
        <w:t>medidas coercitivas</w:t>
      </w:r>
      <w:r w:rsidR="00383C6E" w:rsidRPr="00580375">
        <w:rPr>
          <w:sz w:val="20"/>
          <w:szCs w:val="20"/>
          <w:lang w:val="pt-BR"/>
        </w:rPr>
        <w:t xml:space="preserve">: </w:t>
      </w:r>
      <w:r w:rsidR="00853C82">
        <w:rPr>
          <w:sz w:val="20"/>
          <w:szCs w:val="20"/>
          <w:lang w:val="pt-BR"/>
        </w:rPr>
        <w:t xml:space="preserve">a </w:t>
      </w:r>
      <w:r w:rsidR="00A2573A" w:rsidRPr="00580375">
        <w:rPr>
          <w:sz w:val="20"/>
          <w:szCs w:val="20"/>
          <w:lang w:val="pt-BR"/>
        </w:rPr>
        <w:t>autoridade</w:t>
      </w:r>
      <w:r w:rsidR="008C6385">
        <w:rPr>
          <w:sz w:val="20"/>
          <w:szCs w:val="20"/>
          <w:lang w:val="pt-BR"/>
        </w:rPr>
        <w:t xml:space="preserve"> </w:t>
      </w:r>
      <w:r w:rsidR="00B153E7" w:rsidRPr="00580375">
        <w:rPr>
          <w:sz w:val="20"/>
          <w:szCs w:val="20"/>
          <w:lang w:val="pt-BR"/>
        </w:rPr>
        <w:t xml:space="preserve">da </w:t>
      </w:r>
      <w:r w:rsidR="00383C6E" w:rsidRPr="00580375">
        <w:rPr>
          <w:sz w:val="20"/>
          <w:szCs w:val="20"/>
          <w:lang w:val="pt-BR"/>
        </w:rPr>
        <w:t>Ag</w:t>
      </w:r>
      <w:r w:rsidR="00853C82">
        <w:rPr>
          <w:sz w:val="20"/>
          <w:szCs w:val="20"/>
          <w:lang w:val="pt-BR"/>
        </w:rPr>
        <w:t>ê</w:t>
      </w:r>
      <w:r w:rsidR="00383C6E" w:rsidRPr="00580375">
        <w:rPr>
          <w:sz w:val="20"/>
          <w:szCs w:val="20"/>
          <w:lang w:val="pt-BR"/>
        </w:rPr>
        <w:t>ncia Nacional de Vigil</w:t>
      </w:r>
      <w:r w:rsidR="00853C82">
        <w:rPr>
          <w:sz w:val="20"/>
          <w:szCs w:val="20"/>
          <w:lang w:val="pt-BR"/>
        </w:rPr>
        <w:t>â</w:t>
      </w:r>
      <w:r w:rsidR="00383C6E" w:rsidRPr="00580375">
        <w:rPr>
          <w:sz w:val="20"/>
          <w:szCs w:val="20"/>
          <w:lang w:val="pt-BR"/>
        </w:rPr>
        <w:t>ncia Sanit</w:t>
      </w:r>
      <w:r w:rsidR="00853C82">
        <w:rPr>
          <w:sz w:val="20"/>
          <w:szCs w:val="20"/>
          <w:lang w:val="pt-BR"/>
        </w:rPr>
        <w:t>á</w:t>
      </w:r>
      <w:r w:rsidR="00383C6E" w:rsidRPr="00580375">
        <w:rPr>
          <w:sz w:val="20"/>
          <w:szCs w:val="20"/>
          <w:lang w:val="pt-BR"/>
        </w:rPr>
        <w:t xml:space="preserve">ria </w:t>
      </w:r>
      <w:r w:rsidR="007B4A20">
        <w:rPr>
          <w:sz w:val="20"/>
          <w:szCs w:val="20"/>
          <w:lang w:val="pt-BR"/>
        </w:rPr>
        <w:t xml:space="preserve">foi chamada </w:t>
      </w:r>
      <w:r w:rsidR="00383C6E" w:rsidRPr="00580375">
        <w:rPr>
          <w:sz w:val="20"/>
          <w:szCs w:val="20"/>
          <w:lang w:val="pt-BR"/>
        </w:rPr>
        <w:t>para anali</w:t>
      </w:r>
      <w:r w:rsidR="00853C82">
        <w:rPr>
          <w:sz w:val="20"/>
          <w:szCs w:val="20"/>
          <w:lang w:val="pt-BR"/>
        </w:rPr>
        <w:t>s</w:t>
      </w:r>
      <w:r w:rsidR="00383C6E" w:rsidRPr="00580375">
        <w:rPr>
          <w:sz w:val="20"/>
          <w:szCs w:val="20"/>
          <w:lang w:val="pt-BR"/>
        </w:rPr>
        <w:t xml:space="preserve">ar </w:t>
      </w:r>
      <w:r w:rsidR="00853C82">
        <w:rPr>
          <w:sz w:val="20"/>
          <w:szCs w:val="20"/>
          <w:lang w:val="pt-BR"/>
        </w:rPr>
        <w:t>o</w:t>
      </w:r>
      <w:r w:rsidR="00383C6E" w:rsidRPr="00580375">
        <w:rPr>
          <w:sz w:val="20"/>
          <w:szCs w:val="20"/>
          <w:lang w:val="pt-BR"/>
        </w:rPr>
        <w:t xml:space="preserve"> medicamento de Wolf, </w:t>
      </w:r>
      <w:r w:rsidR="007B4A20">
        <w:rPr>
          <w:sz w:val="20"/>
          <w:szCs w:val="20"/>
          <w:lang w:val="pt-BR"/>
        </w:rPr>
        <w:t xml:space="preserve">e um </w:t>
      </w:r>
      <w:r w:rsidR="00383C6E" w:rsidRPr="00580375">
        <w:rPr>
          <w:sz w:val="20"/>
          <w:szCs w:val="20"/>
          <w:lang w:val="pt-BR"/>
        </w:rPr>
        <w:t>representante d</w:t>
      </w:r>
      <w:r w:rsidR="007B4A20">
        <w:rPr>
          <w:sz w:val="20"/>
          <w:szCs w:val="20"/>
          <w:lang w:val="pt-BR"/>
        </w:rPr>
        <w:t xml:space="preserve">o Ministério da Agricultura foi chamado para que analisasse um pote </w:t>
      </w:r>
      <w:r w:rsidR="00513340" w:rsidRPr="00580375">
        <w:rPr>
          <w:sz w:val="20"/>
          <w:szCs w:val="20"/>
          <w:lang w:val="pt-BR"/>
        </w:rPr>
        <w:t xml:space="preserve">de </w:t>
      </w:r>
      <w:r w:rsidR="00383C6E" w:rsidRPr="00580375">
        <w:rPr>
          <w:sz w:val="20"/>
          <w:szCs w:val="20"/>
          <w:lang w:val="pt-BR"/>
        </w:rPr>
        <w:t>mel que usar</w:t>
      </w:r>
      <w:r w:rsidR="007B4A20">
        <w:rPr>
          <w:sz w:val="20"/>
          <w:szCs w:val="20"/>
          <w:lang w:val="pt-BR"/>
        </w:rPr>
        <w:t>i</w:t>
      </w:r>
      <w:r w:rsidR="00383C6E" w:rsidRPr="00580375">
        <w:rPr>
          <w:sz w:val="20"/>
          <w:szCs w:val="20"/>
          <w:lang w:val="pt-BR"/>
        </w:rPr>
        <w:t xml:space="preserve">a para a </w:t>
      </w:r>
      <w:r w:rsidR="00513340" w:rsidRPr="00580375">
        <w:rPr>
          <w:sz w:val="20"/>
          <w:szCs w:val="20"/>
          <w:lang w:val="pt-BR"/>
        </w:rPr>
        <w:t>cicatriza</w:t>
      </w:r>
      <w:r w:rsidR="00B153E7" w:rsidRPr="00580375">
        <w:rPr>
          <w:sz w:val="20"/>
          <w:szCs w:val="20"/>
          <w:lang w:val="pt-BR"/>
        </w:rPr>
        <w:t>ção</w:t>
      </w:r>
      <w:r w:rsidR="00513340" w:rsidRPr="00580375">
        <w:rPr>
          <w:sz w:val="20"/>
          <w:szCs w:val="20"/>
          <w:lang w:val="pt-BR"/>
        </w:rPr>
        <w:t xml:space="preserve"> </w:t>
      </w:r>
      <w:r w:rsidR="00EC0BB7" w:rsidRPr="00580375">
        <w:rPr>
          <w:sz w:val="20"/>
          <w:szCs w:val="20"/>
          <w:lang w:val="pt-BR"/>
        </w:rPr>
        <w:t xml:space="preserve">das </w:t>
      </w:r>
      <w:r w:rsidR="007B4A20">
        <w:rPr>
          <w:sz w:val="20"/>
          <w:szCs w:val="20"/>
          <w:lang w:val="pt-BR"/>
        </w:rPr>
        <w:t xml:space="preserve">feridas na </w:t>
      </w:r>
      <w:r w:rsidR="00383C6E" w:rsidRPr="00580375">
        <w:rPr>
          <w:sz w:val="20"/>
          <w:szCs w:val="20"/>
          <w:lang w:val="pt-BR"/>
        </w:rPr>
        <w:t>garganta</w:t>
      </w:r>
      <w:r w:rsidR="00513340" w:rsidRPr="00580375">
        <w:rPr>
          <w:sz w:val="20"/>
          <w:szCs w:val="20"/>
          <w:lang w:val="pt-BR"/>
        </w:rPr>
        <w:t xml:space="preserve"> causadas</w:t>
      </w:r>
      <w:r w:rsidR="00383C6E" w:rsidRPr="00580375">
        <w:rPr>
          <w:sz w:val="20"/>
          <w:szCs w:val="20"/>
          <w:lang w:val="pt-BR"/>
        </w:rPr>
        <w:t xml:space="preserve"> p</w:t>
      </w:r>
      <w:r w:rsidR="007B4A20">
        <w:rPr>
          <w:sz w:val="20"/>
          <w:szCs w:val="20"/>
          <w:lang w:val="pt-BR"/>
        </w:rPr>
        <w:t xml:space="preserve">ela </w:t>
      </w:r>
      <w:r w:rsidR="00383C6E" w:rsidRPr="00580375">
        <w:rPr>
          <w:sz w:val="20"/>
          <w:szCs w:val="20"/>
          <w:lang w:val="pt-BR"/>
        </w:rPr>
        <w:t>radioterapia.</w:t>
      </w:r>
    </w:p>
    <w:p w14:paraId="76A59ED0" w14:textId="1DE698C2" w:rsidR="00513340" w:rsidRPr="00104667" w:rsidRDefault="007B4A20"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O</w:t>
      </w:r>
      <w:r w:rsidR="00513340" w:rsidRPr="007B4A20">
        <w:rPr>
          <w:sz w:val="20"/>
          <w:szCs w:val="20"/>
          <w:lang w:val="pt-BR"/>
        </w:rPr>
        <w:t xml:space="preserve">s </w:t>
      </w:r>
      <w:r w:rsidR="00891A5F" w:rsidRPr="007B4A20">
        <w:rPr>
          <w:sz w:val="20"/>
          <w:szCs w:val="20"/>
          <w:lang w:val="pt-BR"/>
        </w:rPr>
        <w:t>peticionários</w:t>
      </w:r>
      <w:r w:rsidR="008C6385">
        <w:rPr>
          <w:sz w:val="20"/>
          <w:szCs w:val="20"/>
          <w:lang w:val="pt-BR"/>
        </w:rPr>
        <w:t xml:space="preserve"> </w:t>
      </w:r>
      <w:r w:rsidR="00513340" w:rsidRPr="007B4A20">
        <w:rPr>
          <w:sz w:val="20"/>
          <w:szCs w:val="20"/>
          <w:lang w:val="pt-BR"/>
        </w:rPr>
        <w:t>informa</w:t>
      </w:r>
      <w:r w:rsidRPr="007B4A20">
        <w:rPr>
          <w:sz w:val="20"/>
          <w:szCs w:val="20"/>
          <w:lang w:val="pt-BR"/>
        </w:rPr>
        <w:t>m</w:t>
      </w:r>
      <w:r>
        <w:rPr>
          <w:sz w:val="20"/>
          <w:szCs w:val="20"/>
          <w:lang w:val="pt-BR"/>
        </w:rPr>
        <w:t xml:space="preserve"> que a busca e apreensão </w:t>
      </w:r>
      <w:r w:rsidR="00D4202E">
        <w:rPr>
          <w:sz w:val="20"/>
          <w:szCs w:val="20"/>
          <w:lang w:val="pt-BR"/>
        </w:rPr>
        <w:t xml:space="preserve">resultou </w:t>
      </w:r>
      <w:r w:rsidR="00104667">
        <w:rPr>
          <w:sz w:val="20"/>
          <w:szCs w:val="20"/>
          <w:lang w:val="pt-BR"/>
        </w:rPr>
        <w:t xml:space="preserve">de escutas telefônicas e da violação do sigilo bancário </w:t>
      </w:r>
      <w:r w:rsidR="00513340" w:rsidRPr="007B4A20">
        <w:rPr>
          <w:sz w:val="20"/>
          <w:szCs w:val="20"/>
          <w:lang w:val="pt-BR"/>
        </w:rPr>
        <w:t xml:space="preserve">por parte de agentes </w:t>
      </w:r>
      <w:r w:rsidR="00B153E7" w:rsidRPr="007B4A20">
        <w:rPr>
          <w:sz w:val="20"/>
          <w:szCs w:val="20"/>
          <w:lang w:val="pt-BR"/>
        </w:rPr>
        <w:t xml:space="preserve">da </w:t>
      </w:r>
      <w:r w:rsidR="00104667">
        <w:rPr>
          <w:sz w:val="20"/>
          <w:szCs w:val="20"/>
          <w:lang w:val="pt-BR"/>
        </w:rPr>
        <w:t xml:space="preserve">Polícia </w:t>
      </w:r>
      <w:r w:rsidR="003511D9" w:rsidRPr="007B4A20">
        <w:rPr>
          <w:sz w:val="20"/>
          <w:szCs w:val="20"/>
          <w:lang w:val="pt-BR"/>
        </w:rPr>
        <w:t>Federal</w:t>
      </w:r>
      <w:r w:rsidR="00513340" w:rsidRPr="007B4A20">
        <w:rPr>
          <w:sz w:val="20"/>
          <w:szCs w:val="20"/>
          <w:lang w:val="pt-BR"/>
        </w:rPr>
        <w:t xml:space="preserve">, </w:t>
      </w:r>
      <w:r w:rsidR="00104667">
        <w:rPr>
          <w:sz w:val="20"/>
          <w:szCs w:val="20"/>
          <w:lang w:val="pt-BR"/>
        </w:rPr>
        <w:t xml:space="preserve">sem que se houvesse </w:t>
      </w:r>
      <w:r w:rsidR="00513340" w:rsidRPr="007B4A20">
        <w:rPr>
          <w:sz w:val="20"/>
          <w:szCs w:val="20"/>
          <w:lang w:val="pt-BR"/>
        </w:rPr>
        <w:t xml:space="preserve">iniciado </w:t>
      </w:r>
      <w:r w:rsidR="00891A5F" w:rsidRPr="007B4A20">
        <w:rPr>
          <w:sz w:val="20"/>
          <w:szCs w:val="20"/>
          <w:lang w:val="pt-BR"/>
        </w:rPr>
        <w:t>uma</w:t>
      </w:r>
      <w:r w:rsidR="008C6385">
        <w:rPr>
          <w:sz w:val="20"/>
          <w:szCs w:val="20"/>
          <w:lang w:val="pt-BR"/>
        </w:rPr>
        <w:t xml:space="preserve"> </w:t>
      </w:r>
      <w:r w:rsidR="00513340" w:rsidRPr="007B4A20">
        <w:rPr>
          <w:sz w:val="20"/>
          <w:szCs w:val="20"/>
          <w:lang w:val="pt-BR"/>
        </w:rPr>
        <w:t>investiga</w:t>
      </w:r>
      <w:r w:rsidR="00B153E7" w:rsidRPr="007B4A20">
        <w:rPr>
          <w:sz w:val="20"/>
          <w:szCs w:val="20"/>
          <w:lang w:val="pt-BR"/>
        </w:rPr>
        <w:t>ção</w:t>
      </w:r>
      <w:r w:rsidR="00513340" w:rsidRPr="007B4A20">
        <w:rPr>
          <w:sz w:val="20"/>
          <w:szCs w:val="20"/>
          <w:lang w:val="pt-BR"/>
        </w:rPr>
        <w:t xml:space="preserve"> policial contra </w:t>
      </w:r>
      <w:r w:rsidR="00EC0BB7" w:rsidRPr="007B4A20">
        <w:rPr>
          <w:sz w:val="20"/>
          <w:szCs w:val="20"/>
          <w:lang w:val="pt-BR"/>
        </w:rPr>
        <w:t>as supostas vítima</w:t>
      </w:r>
      <w:r w:rsidR="00D4202E">
        <w:rPr>
          <w:sz w:val="20"/>
          <w:szCs w:val="20"/>
          <w:lang w:val="pt-BR"/>
        </w:rPr>
        <w:t>s</w:t>
      </w:r>
      <w:r w:rsidR="00513340" w:rsidRPr="007B4A20">
        <w:rPr>
          <w:sz w:val="20"/>
          <w:szCs w:val="20"/>
          <w:lang w:val="pt-BR"/>
        </w:rPr>
        <w:t xml:space="preserve">. </w:t>
      </w:r>
      <w:r w:rsidR="00DE1C84" w:rsidRPr="00104667">
        <w:rPr>
          <w:sz w:val="20"/>
          <w:szCs w:val="20"/>
          <w:lang w:val="pt-BR"/>
        </w:rPr>
        <w:t xml:space="preserve">Por </w:t>
      </w:r>
      <w:r w:rsidR="00104667" w:rsidRPr="00104667">
        <w:rPr>
          <w:sz w:val="20"/>
          <w:szCs w:val="20"/>
          <w:lang w:val="pt-BR"/>
        </w:rPr>
        <w:t>esse motivo</w:t>
      </w:r>
      <w:r w:rsidR="00DE1C84" w:rsidRPr="00104667">
        <w:rPr>
          <w:sz w:val="20"/>
          <w:szCs w:val="20"/>
          <w:lang w:val="pt-BR"/>
        </w:rPr>
        <w:t xml:space="preserve">, </w:t>
      </w:r>
      <w:r w:rsidR="00513340" w:rsidRPr="00104667">
        <w:rPr>
          <w:sz w:val="20"/>
          <w:szCs w:val="20"/>
          <w:lang w:val="pt-BR"/>
        </w:rPr>
        <w:t xml:space="preserve">as </w:t>
      </w:r>
      <w:r w:rsidR="00EC0BB7" w:rsidRPr="00104667">
        <w:rPr>
          <w:sz w:val="20"/>
          <w:szCs w:val="20"/>
          <w:lang w:val="pt-BR"/>
        </w:rPr>
        <w:t>supostas vítimas</w:t>
      </w:r>
      <w:r w:rsidR="008C6385">
        <w:rPr>
          <w:sz w:val="20"/>
          <w:szCs w:val="20"/>
          <w:lang w:val="pt-BR"/>
        </w:rPr>
        <w:t xml:space="preserve"> </w:t>
      </w:r>
      <w:r w:rsidR="00104667">
        <w:rPr>
          <w:sz w:val="20"/>
          <w:szCs w:val="20"/>
          <w:lang w:val="pt-BR"/>
        </w:rPr>
        <w:t xml:space="preserve">apresentaram sete solicitações </w:t>
      </w:r>
      <w:r w:rsidR="00513340" w:rsidRPr="00104667">
        <w:rPr>
          <w:sz w:val="20"/>
          <w:szCs w:val="20"/>
          <w:lang w:val="pt-BR"/>
        </w:rPr>
        <w:t xml:space="preserve">para </w:t>
      </w:r>
      <w:r w:rsidR="00104667">
        <w:rPr>
          <w:sz w:val="20"/>
          <w:szCs w:val="20"/>
          <w:lang w:val="pt-BR"/>
        </w:rPr>
        <w:t xml:space="preserve">conhecer o </w:t>
      </w:r>
      <w:r w:rsidR="00513340" w:rsidRPr="00104667">
        <w:rPr>
          <w:sz w:val="20"/>
          <w:szCs w:val="20"/>
          <w:lang w:val="pt-BR"/>
        </w:rPr>
        <w:t xml:space="preserve">objeto </w:t>
      </w:r>
      <w:r w:rsidR="00B153E7" w:rsidRPr="00104667">
        <w:rPr>
          <w:sz w:val="20"/>
          <w:szCs w:val="20"/>
          <w:lang w:val="pt-BR"/>
        </w:rPr>
        <w:t xml:space="preserve">da </w:t>
      </w:r>
      <w:r w:rsidR="00513340" w:rsidRPr="00104667">
        <w:rPr>
          <w:sz w:val="20"/>
          <w:szCs w:val="20"/>
          <w:lang w:val="pt-BR"/>
        </w:rPr>
        <w:t>investiga</w:t>
      </w:r>
      <w:r w:rsidR="00B153E7" w:rsidRPr="00104667">
        <w:rPr>
          <w:sz w:val="20"/>
          <w:szCs w:val="20"/>
          <w:lang w:val="pt-BR"/>
        </w:rPr>
        <w:t>ção</w:t>
      </w:r>
      <w:r w:rsidR="008D5FD1" w:rsidRPr="00104667">
        <w:rPr>
          <w:sz w:val="20"/>
          <w:szCs w:val="20"/>
          <w:lang w:val="pt-BR"/>
        </w:rPr>
        <w:t xml:space="preserve">, </w:t>
      </w:r>
      <w:r w:rsidR="00104667">
        <w:rPr>
          <w:sz w:val="20"/>
          <w:szCs w:val="20"/>
          <w:lang w:val="pt-BR"/>
        </w:rPr>
        <w:t xml:space="preserve">mas simplesmente lhes disseram que não havia investigação alguma em </w:t>
      </w:r>
      <w:r w:rsidR="00513340" w:rsidRPr="00104667">
        <w:rPr>
          <w:sz w:val="20"/>
          <w:szCs w:val="20"/>
          <w:lang w:val="pt-BR"/>
        </w:rPr>
        <w:t>curso o</w:t>
      </w:r>
      <w:r w:rsidR="00104667">
        <w:rPr>
          <w:sz w:val="20"/>
          <w:szCs w:val="20"/>
          <w:lang w:val="pt-BR"/>
        </w:rPr>
        <w:t xml:space="preserve">u que não podia </w:t>
      </w:r>
      <w:r w:rsidR="00513340" w:rsidRPr="00104667">
        <w:rPr>
          <w:sz w:val="20"/>
          <w:szCs w:val="20"/>
          <w:lang w:val="pt-BR"/>
        </w:rPr>
        <w:t xml:space="preserve">ser revelada. </w:t>
      </w:r>
      <w:r w:rsidR="00104667" w:rsidRPr="00104667">
        <w:rPr>
          <w:sz w:val="20"/>
          <w:szCs w:val="20"/>
          <w:lang w:val="pt-BR"/>
        </w:rPr>
        <w:t>Em se</w:t>
      </w:r>
      <w:r w:rsidR="00104667">
        <w:rPr>
          <w:sz w:val="20"/>
          <w:szCs w:val="20"/>
          <w:lang w:val="pt-BR"/>
        </w:rPr>
        <w:t>guida</w:t>
      </w:r>
      <w:r w:rsidR="00513340" w:rsidRPr="00104667">
        <w:rPr>
          <w:sz w:val="20"/>
          <w:szCs w:val="20"/>
          <w:lang w:val="pt-BR"/>
        </w:rPr>
        <w:t xml:space="preserve">, </w:t>
      </w:r>
      <w:r w:rsidR="00104667">
        <w:rPr>
          <w:sz w:val="20"/>
          <w:szCs w:val="20"/>
          <w:lang w:val="pt-BR"/>
        </w:rPr>
        <w:t xml:space="preserve">recorreram ao </w:t>
      </w:r>
      <w:r w:rsidR="003511D9" w:rsidRPr="00104667">
        <w:rPr>
          <w:sz w:val="20"/>
          <w:szCs w:val="20"/>
          <w:lang w:val="pt-BR"/>
        </w:rPr>
        <w:t xml:space="preserve">Tribunal Regional Federal </w:t>
      </w:r>
      <w:r w:rsidR="00B153E7" w:rsidRPr="00104667">
        <w:rPr>
          <w:sz w:val="20"/>
          <w:szCs w:val="20"/>
          <w:lang w:val="pt-BR"/>
        </w:rPr>
        <w:t xml:space="preserve">da </w:t>
      </w:r>
      <w:r w:rsidR="003511D9" w:rsidRPr="00104667">
        <w:rPr>
          <w:sz w:val="20"/>
          <w:szCs w:val="20"/>
          <w:lang w:val="pt-BR"/>
        </w:rPr>
        <w:t>4ª Regi</w:t>
      </w:r>
      <w:r w:rsidR="00104667">
        <w:rPr>
          <w:sz w:val="20"/>
          <w:szCs w:val="20"/>
          <w:lang w:val="pt-BR"/>
        </w:rPr>
        <w:t>ão</w:t>
      </w:r>
      <w:r w:rsidR="00513340" w:rsidRPr="00104667">
        <w:rPr>
          <w:sz w:val="20"/>
          <w:szCs w:val="20"/>
          <w:lang w:val="pt-BR"/>
        </w:rPr>
        <w:t xml:space="preserve">, que </w:t>
      </w:r>
      <w:r w:rsidR="00104667">
        <w:rPr>
          <w:sz w:val="20"/>
          <w:szCs w:val="20"/>
          <w:lang w:val="pt-BR"/>
        </w:rPr>
        <w:t xml:space="preserve">determinou que lhes fosse revelado o conteúdo </w:t>
      </w:r>
      <w:r w:rsidR="00EC0BB7" w:rsidRPr="00104667">
        <w:rPr>
          <w:sz w:val="20"/>
          <w:szCs w:val="20"/>
          <w:lang w:val="pt-BR"/>
        </w:rPr>
        <w:t xml:space="preserve">das </w:t>
      </w:r>
      <w:r w:rsidR="00513340" w:rsidRPr="00104667">
        <w:rPr>
          <w:sz w:val="20"/>
          <w:szCs w:val="20"/>
          <w:lang w:val="pt-BR"/>
        </w:rPr>
        <w:t>investiga</w:t>
      </w:r>
      <w:r w:rsidR="00B153E7" w:rsidRPr="00104667">
        <w:rPr>
          <w:sz w:val="20"/>
          <w:szCs w:val="20"/>
          <w:lang w:val="pt-BR"/>
        </w:rPr>
        <w:t>ções</w:t>
      </w:r>
      <w:r w:rsidR="00513340" w:rsidRPr="00104667">
        <w:rPr>
          <w:sz w:val="20"/>
          <w:szCs w:val="20"/>
          <w:lang w:val="pt-BR"/>
        </w:rPr>
        <w:t xml:space="preserve">. </w:t>
      </w:r>
      <w:r w:rsidR="008D5FD1" w:rsidRPr="00104667">
        <w:rPr>
          <w:sz w:val="20"/>
          <w:szCs w:val="20"/>
          <w:lang w:val="pt-BR"/>
        </w:rPr>
        <w:t>N</w:t>
      </w:r>
      <w:r w:rsidR="00104667" w:rsidRPr="00104667">
        <w:rPr>
          <w:sz w:val="20"/>
          <w:szCs w:val="20"/>
          <w:lang w:val="pt-BR"/>
        </w:rPr>
        <w:t>ã</w:t>
      </w:r>
      <w:r w:rsidR="008D5FD1" w:rsidRPr="00104667">
        <w:rPr>
          <w:sz w:val="20"/>
          <w:szCs w:val="20"/>
          <w:lang w:val="pt-BR"/>
        </w:rPr>
        <w:t>o obstante</w:t>
      </w:r>
      <w:r w:rsidR="00104667" w:rsidRPr="00104667">
        <w:rPr>
          <w:sz w:val="20"/>
          <w:szCs w:val="20"/>
          <w:lang w:val="pt-BR"/>
        </w:rPr>
        <w:t xml:space="preserve"> isso</w:t>
      </w:r>
      <w:r w:rsidR="00513340" w:rsidRPr="00104667">
        <w:rPr>
          <w:sz w:val="20"/>
          <w:szCs w:val="20"/>
          <w:lang w:val="pt-BR"/>
        </w:rPr>
        <w:t xml:space="preserve">, </w:t>
      </w:r>
      <w:r w:rsidR="00104667" w:rsidRPr="00104667">
        <w:rPr>
          <w:sz w:val="20"/>
          <w:szCs w:val="20"/>
          <w:lang w:val="pt-BR"/>
        </w:rPr>
        <w:t xml:space="preserve">o </w:t>
      </w:r>
      <w:r w:rsidR="00A2573A" w:rsidRPr="00104667">
        <w:rPr>
          <w:sz w:val="20"/>
          <w:szCs w:val="20"/>
          <w:lang w:val="pt-BR"/>
        </w:rPr>
        <w:t>juiz</w:t>
      </w:r>
      <w:r w:rsidR="008C6385">
        <w:rPr>
          <w:sz w:val="20"/>
          <w:szCs w:val="20"/>
          <w:lang w:val="pt-BR"/>
        </w:rPr>
        <w:t xml:space="preserve"> </w:t>
      </w:r>
      <w:r w:rsidR="00513340" w:rsidRPr="00104667">
        <w:rPr>
          <w:sz w:val="20"/>
          <w:szCs w:val="20"/>
          <w:lang w:val="pt-BR"/>
        </w:rPr>
        <w:t>de prime</w:t>
      </w:r>
      <w:r w:rsidR="00104667">
        <w:rPr>
          <w:sz w:val="20"/>
          <w:szCs w:val="20"/>
          <w:lang w:val="pt-BR"/>
        </w:rPr>
        <w:t>i</w:t>
      </w:r>
      <w:r w:rsidR="00513340" w:rsidRPr="00104667">
        <w:rPr>
          <w:sz w:val="20"/>
          <w:szCs w:val="20"/>
          <w:lang w:val="pt-BR"/>
        </w:rPr>
        <w:t>ra inst</w:t>
      </w:r>
      <w:r w:rsidR="00104667">
        <w:rPr>
          <w:sz w:val="20"/>
          <w:szCs w:val="20"/>
          <w:lang w:val="pt-BR"/>
        </w:rPr>
        <w:t>â</w:t>
      </w:r>
      <w:r w:rsidR="00513340" w:rsidRPr="00104667">
        <w:rPr>
          <w:sz w:val="20"/>
          <w:szCs w:val="20"/>
          <w:lang w:val="pt-BR"/>
        </w:rPr>
        <w:t xml:space="preserve">ncia </w:t>
      </w:r>
      <w:r w:rsidR="00104667">
        <w:rPr>
          <w:sz w:val="20"/>
          <w:szCs w:val="20"/>
          <w:lang w:val="pt-BR"/>
        </w:rPr>
        <w:t xml:space="preserve">ignorou a decisão </w:t>
      </w:r>
      <w:r w:rsidR="008C6385">
        <w:rPr>
          <w:sz w:val="20"/>
          <w:szCs w:val="20"/>
          <w:lang w:val="pt-BR"/>
        </w:rPr>
        <w:t>e</w:t>
      </w:r>
      <w:r w:rsidR="00104667">
        <w:rPr>
          <w:sz w:val="20"/>
          <w:szCs w:val="20"/>
          <w:lang w:val="pt-BR"/>
        </w:rPr>
        <w:t xml:space="preserve"> ordenou a prisão </w:t>
      </w:r>
      <w:r w:rsidR="00513340" w:rsidRPr="00104667">
        <w:rPr>
          <w:sz w:val="20"/>
          <w:szCs w:val="20"/>
          <w:lang w:val="pt-BR"/>
        </w:rPr>
        <w:t xml:space="preserve">preventiva </w:t>
      </w:r>
      <w:r w:rsidR="00EC0BB7" w:rsidRPr="00104667">
        <w:rPr>
          <w:sz w:val="20"/>
          <w:szCs w:val="20"/>
          <w:lang w:val="pt-BR"/>
        </w:rPr>
        <w:t xml:space="preserve">das supostas </w:t>
      </w:r>
      <w:r w:rsidR="008C6385" w:rsidRPr="00104667">
        <w:rPr>
          <w:sz w:val="20"/>
          <w:szCs w:val="20"/>
          <w:lang w:val="pt-BR"/>
        </w:rPr>
        <w:t>vítimas.</w:t>
      </w:r>
    </w:p>
    <w:p w14:paraId="793E6383" w14:textId="76593B84" w:rsidR="00513340" w:rsidRDefault="00104667"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104667">
        <w:rPr>
          <w:sz w:val="20"/>
          <w:szCs w:val="20"/>
          <w:lang w:val="pt-BR"/>
        </w:rPr>
        <w:t>O</w:t>
      </w:r>
      <w:r w:rsidR="008D5FD1" w:rsidRPr="00104667">
        <w:rPr>
          <w:sz w:val="20"/>
          <w:szCs w:val="20"/>
          <w:lang w:val="pt-BR"/>
        </w:rPr>
        <w:t xml:space="preserve">s </w:t>
      </w:r>
      <w:r w:rsidR="00891A5F" w:rsidRPr="00104667">
        <w:rPr>
          <w:sz w:val="20"/>
          <w:szCs w:val="20"/>
          <w:lang w:val="pt-BR"/>
        </w:rPr>
        <w:t>peticionários</w:t>
      </w:r>
      <w:r w:rsidR="008C6385">
        <w:rPr>
          <w:sz w:val="20"/>
          <w:szCs w:val="20"/>
          <w:lang w:val="pt-BR"/>
        </w:rPr>
        <w:t xml:space="preserve"> </w:t>
      </w:r>
      <w:r w:rsidRPr="00104667">
        <w:rPr>
          <w:sz w:val="20"/>
          <w:szCs w:val="20"/>
          <w:lang w:val="pt-BR"/>
        </w:rPr>
        <w:t xml:space="preserve">relatam que, ao ser detida, a Senhora </w:t>
      </w:r>
      <w:r w:rsidR="008D5FD1" w:rsidRPr="00104667">
        <w:rPr>
          <w:sz w:val="20"/>
          <w:szCs w:val="20"/>
          <w:lang w:val="pt-BR"/>
        </w:rPr>
        <w:t xml:space="preserve">Gruenberg </w:t>
      </w:r>
      <w:r w:rsidR="007C4753" w:rsidRPr="00104667">
        <w:rPr>
          <w:sz w:val="20"/>
          <w:szCs w:val="20"/>
          <w:lang w:val="pt-BR"/>
        </w:rPr>
        <w:t>foi</w:t>
      </w:r>
      <w:r w:rsidR="008C6385">
        <w:rPr>
          <w:sz w:val="20"/>
          <w:szCs w:val="20"/>
          <w:lang w:val="pt-BR"/>
        </w:rPr>
        <w:t xml:space="preserve"> </w:t>
      </w:r>
      <w:r w:rsidRPr="00104667">
        <w:rPr>
          <w:sz w:val="20"/>
          <w:szCs w:val="20"/>
          <w:lang w:val="pt-BR"/>
        </w:rPr>
        <w:t>coagida</w:t>
      </w:r>
      <w:r w:rsidR="008D5FD1" w:rsidRPr="00104667">
        <w:rPr>
          <w:sz w:val="20"/>
          <w:szCs w:val="20"/>
          <w:lang w:val="pt-BR"/>
        </w:rPr>
        <w:t xml:space="preserve"> </w:t>
      </w:r>
      <w:r w:rsidRPr="00104667">
        <w:rPr>
          <w:sz w:val="20"/>
          <w:szCs w:val="20"/>
          <w:lang w:val="pt-BR"/>
        </w:rPr>
        <w:t>e</w:t>
      </w:r>
      <w:r w:rsidR="008D5FD1" w:rsidRPr="00104667">
        <w:rPr>
          <w:sz w:val="20"/>
          <w:szCs w:val="20"/>
          <w:lang w:val="pt-BR"/>
        </w:rPr>
        <w:t xml:space="preserve"> ob</w:t>
      </w:r>
      <w:r w:rsidRPr="00104667">
        <w:rPr>
          <w:sz w:val="20"/>
          <w:szCs w:val="20"/>
          <w:lang w:val="pt-BR"/>
        </w:rPr>
        <w:t>r</w:t>
      </w:r>
      <w:r w:rsidR="008D5FD1" w:rsidRPr="00104667">
        <w:rPr>
          <w:sz w:val="20"/>
          <w:szCs w:val="20"/>
          <w:lang w:val="pt-BR"/>
        </w:rPr>
        <w:t xml:space="preserve">igada a renunciar </w:t>
      </w:r>
      <w:r>
        <w:rPr>
          <w:sz w:val="20"/>
          <w:szCs w:val="20"/>
          <w:lang w:val="pt-BR"/>
        </w:rPr>
        <w:t xml:space="preserve">ao exame </w:t>
      </w:r>
      <w:r w:rsidR="009A28AD" w:rsidRPr="00104667">
        <w:rPr>
          <w:sz w:val="20"/>
          <w:szCs w:val="20"/>
          <w:lang w:val="pt-BR"/>
        </w:rPr>
        <w:t>corporal proces</w:t>
      </w:r>
      <w:r>
        <w:rPr>
          <w:sz w:val="20"/>
          <w:szCs w:val="20"/>
          <w:lang w:val="pt-BR"/>
        </w:rPr>
        <w:t>su</w:t>
      </w:r>
      <w:r w:rsidR="009A28AD" w:rsidRPr="00104667">
        <w:rPr>
          <w:sz w:val="20"/>
          <w:szCs w:val="20"/>
          <w:lang w:val="pt-BR"/>
        </w:rPr>
        <w:t>al</w:t>
      </w:r>
      <w:r w:rsidR="008D5FD1" w:rsidRPr="00104667">
        <w:rPr>
          <w:sz w:val="20"/>
          <w:szCs w:val="20"/>
          <w:lang w:val="pt-BR"/>
        </w:rPr>
        <w:t xml:space="preserve">, apesar de </w:t>
      </w:r>
      <w:r w:rsidR="009A28AD" w:rsidRPr="00104667">
        <w:rPr>
          <w:sz w:val="20"/>
          <w:szCs w:val="20"/>
          <w:lang w:val="pt-BR"/>
        </w:rPr>
        <w:t xml:space="preserve">ter </w:t>
      </w:r>
      <w:r>
        <w:rPr>
          <w:sz w:val="20"/>
          <w:szCs w:val="20"/>
          <w:lang w:val="pt-BR"/>
        </w:rPr>
        <w:t xml:space="preserve">mais de cem pontos nos seios, e </w:t>
      </w:r>
      <w:r w:rsidR="007C4753" w:rsidRPr="00104667">
        <w:rPr>
          <w:sz w:val="20"/>
          <w:szCs w:val="20"/>
          <w:lang w:val="pt-BR"/>
        </w:rPr>
        <w:t>foi</w:t>
      </w:r>
      <w:r w:rsidR="008C6385">
        <w:rPr>
          <w:sz w:val="20"/>
          <w:szCs w:val="20"/>
          <w:lang w:val="pt-BR"/>
        </w:rPr>
        <w:t xml:space="preserve"> </w:t>
      </w:r>
      <w:r w:rsidR="008D5FD1" w:rsidRPr="00104667">
        <w:rPr>
          <w:sz w:val="20"/>
          <w:szCs w:val="20"/>
          <w:lang w:val="pt-BR"/>
        </w:rPr>
        <w:t xml:space="preserve">enviada </w:t>
      </w:r>
      <w:r>
        <w:rPr>
          <w:sz w:val="20"/>
          <w:szCs w:val="20"/>
          <w:lang w:val="pt-BR"/>
        </w:rPr>
        <w:t xml:space="preserve">à </w:t>
      </w:r>
      <w:r w:rsidR="008D5FD1" w:rsidRPr="00104667">
        <w:rPr>
          <w:sz w:val="20"/>
          <w:szCs w:val="20"/>
          <w:lang w:val="pt-BR"/>
        </w:rPr>
        <w:t>Penitenci</w:t>
      </w:r>
      <w:r>
        <w:rPr>
          <w:sz w:val="20"/>
          <w:szCs w:val="20"/>
          <w:lang w:val="pt-BR"/>
        </w:rPr>
        <w:t xml:space="preserve">ária Feminina </w:t>
      </w:r>
      <w:r w:rsidR="008D5FD1" w:rsidRPr="00104667">
        <w:rPr>
          <w:sz w:val="20"/>
          <w:szCs w:val="20"/>
          <w:lang w:val="pt-BR"/>
        </w:rPr>
        <w:t xml:space="preserve">Madre Pelletier. </w:t>
      </w:r>
      <w:r w:rsidR="009E6012" w:rsidRPr="009E6012">
        <w:rPr>
          <w:sz w:val="20"/>
          <w:szCs w:val="20"/>
          <w:lang w:val="pt-BR"/>
        </w:rPr>
        <w:t xml:space="preserve">Devido à </w:t>
      </w:r>
      <w:r w:rsidR="008D5FD1" w:rsidRPr="009E6012">
        <w:rPr>
          <w:sz w:val="20"/>
          <w:szCs w:val="20"/>
          <w:lang w:val="pt-BR"/>
        </w:rPr>
        <w:t>insalubridad</w:t>
      </w:r>
      <w:r w:rsidR="009E6012">
        <w:rPr>
          <w:sz w:val="20"/>
          <w:szCs w:val="20"/>
          <w:lang w:val="pt-BR"/>
        </w:rPr>
        <w:t>e</w:t>
      </w:r>
      <w:r w:rsidR="008D5FD1" w:rsidRPr="009E6012">
        <w:rPr>
          <w:sz w:val="20"/>
          <w:szCs w:val="20"/>
          <w:lang w:val="pt-BR"/>
        </w:rPr>
        <w:t xml:space="preserve"> </w:t>
      </w:r>
      <w:r w:rsidR="009E6012">
        <w:rPr>
          <w:sz w:val="20"/>
          <w:szCs w:val="20"/>
          <w:lang w:val="pt-BR"/>
        </w:rPr>
        <w:t xml:space="preserve">e às </w:t>
      </w:r>
      <w:r w:rsidR="008D5FD1" w:rsidRPr="009E6012">
        <w:rPr>
          <w:sz w:val="20"/>
          <w:szCs w:val="20"/>
          <w:lang w:val="pt-BR"/>
        </w:rPr>
        <w:t>pés</w:t>
      </w:r>
      <w:r w:rsidR="00662A84">
        <w:rPr>
          <w:sz w:val="20"/>
          <w:szCs w:val="20"/>
          <w:lang w:val="pt-BR"/>
        </w:rPr>
        <w:t>s</w:t>
      </w:r>
      <w:r w:rsidR="008D5FD1" w:rsidRPr="009E6012">
        <w:rPr>
          <w:sz w:val="20"/>
          <w:szCs w:val="20"/>
          <w:lang w:val="pt-BR"/>
        </w:rPr>
        <w:t>imas condi</w:t>
      </w:r>
      <w:r w:rsidR="00B153E7" w:rsidRPr="009E6012">
        <w:rPr>
          <w:sz w:val="20"/>
          <w:szCs w:val="20"/>
          <w:lang w:val="pt-BR"/>
        </w:rPr>
        <w:t>ções</w:t>
      </w:r>
      <w:r w:rsidR="008D5FD1" w:rsidRPr="009E6012">
        <w:rPr>
          <w:sz w:val="20"/>
          <w:szCs w:val="20"/>
          <w:lang w:val="pt-BR"/>
        </w:rPr>
        <w:t xml:space="preserve"> </w:t>
      </w:r>
      <w:r w:rsidR="00B153E7" w:rsidRPr="009E6012">
        <w:rPr>
          <w:sz w:val="20"/>
          <w:szCs w:val="20"/>
          <w:lang w:val="pt-BR"/>
        </w:rPr>
        <w:t xml:space="preserve">da </w:t>
      </w:r>
      <w:r w:rsidR="008D5FD1" w:rsidRPr="009E6012">
        <w:rPr>
          <w:sz w:val="20"/>
          <w:szCs w:val="20"/>
          <w:lang w:val="pt-BR"/>
        </w:rPr>
        <w:t>pris</w:t>
      </w:r>
      <w:r w:rsidR="00662A84">
        <w:rPr>
          <w:sz w:val="20"/>
          <w:szCs w:val="20"/>
          <w:lang w:val="pt-BR"/>
        </w:rPr>
        <w:t>ão</w:t>
      </w:r>
      <w:r w:rsidR="008D5FD1" w:rsidRPr="009E6012">
        <w:rPr>
          <w:sz w:val="20"/>
          <w:szCs w:val="20"/>
          <w:lang w:val="pt-BR"/>
        </w:rPr>
        <w:t xml:space="preserve">, </w:t>
      </w:r>
      <w:r w:rsidR="00662A84">
        <w:rPr>
          <w:sz w:val="20"/>
          <w:szCs w:val="20"/>
          <w:lang w:val="pt-BR"/>
        </w:rPr>
        <w:t xml:space="preserve">depois </w:t>
      </w:r>
      <w:r w:rsidR="008D5FD1" w:rsidRPr="009E6012">
        <w:rPr>
          <w:sz w:val="20"/>
          <w:szCs w:val="20"/>
          <w:lang w:val="pt-BR"/>
        </w:rPr>
        <w:t xml:space="preserve">de seis </w:t>
      </w:r>
      <w:r w:rsidR="00662A84">
        <w:rPr>
          <w:sz w:val="20"/>
          <w:szCs w:val="20"/>
          <w:lang w:val="pt-BR"/>
        </w:rPr>
        <w:t>dias</w:t>
      </w:r>
      <w:r w:rsidR="00D4202E">
        <w:rPr>
          <w:sz w:val="20"/>
          <w:szCs w:val="20"/>
          <w:lang w:val="pt-BR"/>
        </w:rPr>
        <w:t>,</w:t>
      </w:r>
      <w:r w:rsidR="00662A84">
        <w:rPr>
          <w:sz w:val="20"/>
          <w:szCs w:val="20"/>
          <w:lang w:val="pt-BR"/>
        </w:rPr>
        <w:t xml:space="preserve"> contraiu uma infecção que a obrigou </w:t>
      </w:r>
      <w:r w:rsidR="008D5FD1" w:rsidRPr="009E6012">
        <w:rPr>
          <w:sz w:val="20"/>
          <w:szCs w:val="20"/>
          <w:lang w:val="pt-BR"/>
        </w:rPr>
        <w:t xml:space="preserve">a ser </w:t>
      </w:r>
      <w:r w:rsidR="00662A84">
        <w:rPr>
          <w:sz w:val="20"/>
          <w:szCs w:val="20"/>
          <w:lang w:val="pt-BR"/>
        </w:rPr>
        <w:t>transferida para o</w:t>
      </w:r>
      <w:r w:rsidR="008D5FD1" w:rsidRPr="009E6012">
        <w:rPr>
          <w:sz w:val="20"/>
          <w:szCs w:val="20"/>
          <w:lang w:val="pt-BR"/>
        </w:rPr>
        <w:t xml:space="preserve"> Hospital Moinhos de Vento, onde se </w:t>
      </w:r>
      <w:r w:rsidR="00662A84">
        <w:rPr>
          <w:sz w:val="20"/>
          <w:szCs w:val="20"/>
          <w:lang w:val="pt-BR"/>
        </w:rPr>
        <w:t xml:space="preserve">constatou que tinha </w:t>
      </w:r>
      <w:r w:rsidR="008D5FD1" w:rsidRPr="009E6012">
        <w:rPr>
          <w:sz w:val="20"/>
          <w:szCs w:val="20"/>
          <w:lang w:val="pt-BR"/>
        </w:rPr>
        <w:t xml:space="preserve">septicemia. </w:t>
      </w:r>
      <w:r w:rsidR="00662A84">
        <w:rPr>
          <w:sz w:val="20"/>
          <w:szCs w:val="20"/>
          <w:lang w:val="pt-BR"/>
        </w:rPr>
        <w:t>O</w:t>
      </w:r>
      <w:r w:rsidR="008D5FD1" w:rsidRPr="00D64156">
        <w:rPr>
          <w:sz w:val="20"/>
          <w:szCs w:val="20"/>
          <w:lang w:val="pt-BR"/>
        </w:rPr>
        <w:t xml:space="preserve">s </w:t>
      </w:r>
      <w:r w:rsidR="00891A5F">
        <w:rPr>
          <w:sz w:val="20"/>
          <w:szCs w:val="20"/>
          <w:lang w:val="pt-BR"/>
        </w:rPr>
        <w:t>peticionários</w:t>
      </w:r>
      <w:r w:rsidR="008C6385">
        <w:rPr>
          <w:sz w:val="20"/>
          <w:szCs w:val="20"/>
          <w:lang w:val="pt-BR"/>
        </w:rPr>
        <w:t xml:space="preserve"> </w:t>
      </w:r>
      <w:r w:rsidR="00662A84">
        <w:rPr>
          <w:sz w:val="20"/>
          <w:szCs w:val="20"/>
          <w:lang w:val="pt-BR"/>
        </w:rPr>
        <w:t xml:space="preserve">salientam que a transferência da Senhora </w:t>
      </w:r>
      <w:r w:rsidR="008D5FD1" w:rsidRPr="00D64156">
        <w:rPr>
          <w:sz w:val="20"/>
          <w:szCs w:val="20"/>
          <w:lang w:val="pt-BR"/>
        </w:rPr>
        <w:t xml:space="preserve">Betty </w:t>
      </w:r>
      <w:r w:rsidR="000D69FD" w:rsidRPr="00D64156">
        <w:rPr>
          <w:sz w:val="20"/>
          <w:szCs w:val="20"/>
          <w:lang w:val="pt-BR"/>
        </w:rPr>
        <w:t xml:space="preserve">Gruenberg </w:t>
      </w:r>
      <w:r w:rsidR="00662A84">
        <w:rPr>
          <w:sz w:val="20"/>
          <w:szCs w:val="20"/>
          <w:lang w:val="pt-BR"/>
        </w:rPr>
        <w:t xml:space="preserve">para o </w:t>
      </w:r>
      <w:r w:rsidR="008D5FD1" w:rsidRPr="00D64156">
        <w:rPr>
          <w:sz w:val="20"/>
          <w:szCs w:val="20"/>
          <w:lang w:val="pt-BR"/>
        </w:rPr>
        <w:t xml:space="preserve">hospital </w:t>
      </w:r>
      <w:r w:rsidR="007C4753">
        <w:rPr>
          <w:sz w:val="20"/>
          <w:szCs w:val="20"/>
          <w:lang w:val="pt-BR"/>
        </w:rPr>
        <w:t>foi</w:t>
      </w:r>
      <w:r w:rsidR="008C6385">
        <w:rPr>
          <w:sz w:val="20"/>
          <w:szCs w:val="20"/>
          <w:lang w:val="pt-BR"/>
        </w:rPr>
        <w:t xml:space="preserve"> </w:t>
      </w:r>
      <w:r w:rsidR="008D5FD1" w:rsidRPr="00D64156">
        <w:rPr>
          <w:sz w:val="20"/>
          <w:szCs w:val="20"/>
          <w:lang w:val="pt-BR"/>
        </w:rPr>
        <w:t>negad</w:t>
      </w:r>
      <w:r w:rsidR="00662A84">
        <w:rPr>
          <w:sz w:val="20"/>
          <w:szCs w:val="20"/>
          <w:lang w:val="pt-BR"/>
        </w:rPr>
        <w:t xml:space="preserve">a pelo </w:t>
      </w:r>
      <w:r w:rsidR="00A2573A">
        <w:rPr>
          <w:sz w:val="20"/>
          <w:szCs w:val="20"/>
          <w:lang w:val="pt-BR"/>
        </w:rPr>
        <w:t>juiz</w:t>
      </w:r>
      <w:r w:rsidR="008C6385">
        <w:rPr>
          <w:sz w:val="20"/>
          <w:szCs w:val="20"/>
          <w:lang w:val="pt-BR"/>
        </w:rPr>
        <w:t xml:space="preserve"> </w:t>
      </w:r>
      <w:r w:rsidR="008D5FD1" w:rsidRPr="00D64156">
        <w:rPr>
          <w:sz w:val="20"/>
          <w:szCs w:val="20"/>
          <w:lang w:val="pt-BR"/>
        </w:rPr>
        <w:t>a cargo</w:t>
      </w:r>
      <w:r w:rsidR="009A28AD" w:rsidRPr="00D64156">
        <w:rPr>
          <w:sz w:val="20"/>
          <w:szCs w:val="20"/>
          <w:lang w:val="pt-BR"/>
        </w:rPr>
        <w:t xml:space="preserve"> d</w:t>
      </w:r>
      <w:r w:rsidR="00662A84">
        <w:rPr>
          <w:sz w:val="20"/>
          <w:szCs w:val="20"/>
          <w:lang w:val="pt-BR"/>
        </w:rPr>
        <w:t>o</w:t>
      </w:r>
      <w:r w:rsidR="009A28AD" w:rsidRPr="00D64156">
        <w:rPr>
          <w:sz w:val="20"/>
          <w:szCs w:val="20"/>
          <w:lang w:val="pt-BR"/>
        </w:rPr>
        <w:t xml:space="preserve"> </w:t>
      </w:r>
      <w:r w:rsidR="00EC0BB7">
        <w:rPr>
          <w:sz w:val="20"/>
          <w:szCs w:val="20"/>
          <w:lang w:val="pt-BR"/>
        </w:rPr>
        <w:t>processo</w:t>
      </w:r>
      <w:r w:rsidR="008D5FD1" w:rsidRPr="00D64156">
        <w:rPr>
          <w:sz w:val="20"/>
          <w:szCs w:val="20"/>
          <w:lang w:val="pt-BR"/>
        </w:rPr>
        <w:t>,</w:t>
      </w:r>
      <w:r w:rsidR="00F77C3C" w:rsidRPr="00D64156">
        <w:rPr>
          <w:sz w:val="20"/>
          <w:szCs w:val="20"/>
          <w:lang w:val="pt-BR"/>
        </w:rPr>
        <w:t xml:space="preserve"> </w:t>
      </w:r>
      <w:r w:rsidR="00662A84">
        <w:rPr>
          <w:sz w:val="20"/>
          <w:szCs w:val="20"/>
          <w:lang w:val="pt-BR"/>
        </w:rPr>
        <w:t xml:space="preserve">embora houvesse </w:t>
      </w:r>
      <w:r w:rsidR="008D5FD1" w:rsidRPr="00D64156">
        <w:rPr>
          <w:sz w:val="20"/>
          <w:szCs w:val="20"/>
          <w:lang w:val="pt-BR"/>
        </w:rPr>
        <w:t>indica</w:t>
      </w:r>
      <w:r w:rsidR="00B153E7" w:rsidRPr="00D64156">
        <w:rPr>
          <w:sz w:val="20"/>
          <w:szCs w:val="20"/>
          <w:lang w:val="pt-BR"/>
        </w:rPr>
        <w:t>ção</w:t>
      </w:r>
      <w:r w:rsidR="008D5FD1" w:rsidRPr="00D64156">
        <w:rPr>
          <w:sz w:val="20"/>
          <w:szCs w:val="20"/>
          <w:lang w:val="pt-BR"/>
        </w:rPr>
        <w:t xml:space="preserve"> médica </w:t>
      </w:r>
      <w:r w:rsidR="009A28AD" w:rsidRPr="00D64156">
        <w:rPr>
          <w:sz w:val="20"/>
          <w:szCs w:val="20"/>
          <w:lang w:val="pt-BR"/>
        </w:rPr>
        <w:t xml:space="preserve">para </w:t>
      </w:r>
      <w:r w:rsidR="00662A84">
        <w:rPr>
          <w:sz w:val="20"/>
          <w:szCs w:val="20"/>
          <w:lang w:val="pt-BR"/>
        </w:rPr>
        <w:t>fazê-lo</w:t>
      </w:r>
      <w:r w:rsidR="008D5FD1" w:rsidRPr="00D64156">
        <w:rPr>
          <w:sz w:val="20"/>
          <w:szCs w:val="20"/>
          <w:lang w:val="pt-BR"/>
        </w:rPr>
        <w:t xml:space="preserve">; </w:t>
      </w:r>
      <w:r w:rsidR="00662A84">
        <w:rPr>
          <w:sz w:val="20"/>
          <w:szCs w:val="20"/>
          <w:lang w:val="pt-BR"/>
        </w:rPr>
        <w:t>e</w:t>
      </w:r>
      <w:r w:rsidR="008D5FD1" w:rsidRPr="00D64156">
        <w:rPr>
          <w:sz w:val="20"/>
          <w:szCs w:val="20"/>
          <w:lang w:val="pt-BR"/>
        </w:rPr>
        <w:t xml:space="preserve"> que su</w:t>
      </w:r>
      <w:r w:rsidR="00662A84">
        <w:rPr>
          <w:sz w:val="20"/>
          <w:szCs w:val="20"/>
          <w:lang w:val="pt-BR"/>
        </w:rPr>
        <w:t>a</w:t>
      </w:r>
      <w:r w:rsidR="008D5FD1" w:rsidRPr="00D64156">
        <w:rPr>
          <w:sz w:val="20"/>
          <w:szCs w:val="20"/>
          <w:lang w:val="pt-BR"/>
        </w:rPr>
        <w:t xml:space="preserve"> </w:t>
      </w:r>
      <w:r w:rsidR="00BE609A">
        <w:rPr>
          <w:sz w:val="20"/>
          <w:szCs w:val="20"/>
          <w:lang w:val="pt-BR"/>
        </w:rPr>
        <w:t>ida</w:t>
      </w:r>
      <w:r w:rsidR="00662A84">
        <w:rPr>
          <w:sz w:val="20"/>
          <w:szCs w:val="20"/>
          <w:lang w:val="pt-BR"/>
        </w:rPr>
        <w:t xml:space="preserve"> ao </w:t>
      </w:r>
      <w:r w:rsidR="008D5FD1" w:rsidRPr="00D64156">
        <w:rPr>
          <w:sz w:val="20"/>
          <w:szCs w:val="20"/>
          <w:lang w:val="pt-BR"/>
        </w:rPr>
        <w:t xml:space="preserve">hospital </w:t>
      </w:r>
      <w:r w:rsidR="00662A84">
        <w:rPr>
          <w:sz w:val="20"/>
          <w:szCs w:val="20"/>
          <w:lang w:val="pt-BR"/>
        </w:rPr>
        <w:t xml:space="preserve">só foi determinada pelo </w:t>
      </w:r>
      <w:r w:rsidR="00A2573A">
        <w:rPr>
          <w:sz w:val="20"/>
          <w:szCs w:val="20"/>
          <w:lang w:val="pt-BR"/>
        </w:rPr>
        <w:t>juiz</w:t>
      </w:r>
      <w:r w:rsidR="008C6385">
        <w:rPr>
          <w:sz w:val="20"/>
          <w:szCs w:val="20"/>
          <w:lang w:val="pt-BR"/>
        </w:rPr>
        <w:t xml:space="preserve"> </w:t>
      </w:r>
      <w:r w:rsidR="008D5FD1" w:rsidRPr="00D64156">
        <w:rPr>
          <w:sz w:val="20"/>
          <w:szCs w:val="20"/>
          <w:lang w:val="pt-BR"/>
        </w:rPr>
        <w:t xml:space="preserve">de </w:t>
      </w:r>
      <w:r w:rsidR="008857CC">
        <w:rPr>
          <w:sz w:val="20"/>
          <w:szCs w:val="20"/>
          <w:lang w:val="pt-BR"/>
        </w:rPr>
        <w:t>plantão</w:t>
      </w:r>
      <w:r w:rsidR="009A28AD" w:rsidRPr="00D64156">
        <w:rPr>
          <w:sz w:val="20"/>
          <w:szCs w:val="20"/>
          <w:lang w:val="pt-BR"/>
        </w:rPr>
        <w:t>.</w:t>
      </w:r>
      <w:r w:rsidR="008D5FD1" w:rsidRPr="00D64156">
        <w:rPr>
          <w:sz w:val="20"/>
          <w:szCs w:val="20"/>
          <w:lang w:val="pt-BR"/>
        </w:rPr>
        <w:t xml:space="preserve"> </w:t>
      </w:r>
      <w:r w:rsidR="008857CC" w:rsidRPr="008857CC">
        <w:rPr>
          <w:sz w:val="20"/>
          <w:szCs w:val="20"/>
          <w:lang w:val="pt-BR"/>
        </w:rPr>
        <w:t>Enquanto esta</w:t>
      </w:r>
      <w:r w:rsidR="008857CC">
        <w:rPr>
          <w:sz w:val="20"/>
          <w:szCs w:val="20"/>
          <w:lang w:val="pt-BR"/>
        </w:rPr>
        <w:t>v</w:t>
      </w:r>
      <w:r w:rsidR="008857CC" w:rsidRPr="008857CC">
        <w:rPr>
          <w:sz w:val="20"/>
          <w:szCs w:val="20"/>
          <w:lang w:val="pt-BR"/>
        </w:rPr>
        <w:t xml:space="preserve">a no </w:t>
      </w:r>
      <w:r w:rsidR="008D5FD1" w:rsidRPr="008857CC">
        <w:rPr>
          <w:sz w:val="20"/>
          <w:szCs w:val="20"/>
          <w:lang w:val="pt-BR"/>
        </w:rPr>
        <w:t xml:space="preserve">hospital, a </w:t>
      </w:r>
      <w:r w:rsidR="008857CC" w:rsidRPr="008857CC">
        <w:rPr>
          <w:sz w:val="20"/>
          <w:szCs w:val="20"/>
          <w:lang w:val="pt-BR"/>
        </w:rPr>
        <w:t xml:space="preserve">suposta vítima ficou algemada </w:t>
      </w:r>
      <w:r w:rsidR="008D5FD1" w:rsidRPr="008857CC">
        <w:rPr>
          <w:sz w:val="20"/>
          <w:szCs w:val="20"/>
          <w:lang w:val="pt-BR"/>
        </w:rPr>
        <w:t xml:space="preserve">durante </w:t>
      </w:r>
      <w:r w:rsidR="008857CC" w:rsidRPr="008857CC">
        <w:rPr>
          <w:sz w:val="20"/>
          <w:szCs w:val="20"/>
          <w:lang w:val="pt-BR"/>
        </w:rPr>
        <w:t>q</w:t>
      </w:r>
      <w:r w:rsidR="008D5FD1" w:rsidRPr="008857CC">
        <w:rPr>
          <w:sz w:val="20"/>
          <w:szCs w:val="20"/>
          <w:lang w:val="pt-BR"/>
        </w:rPr>
        <w:t xml:space="preserve">uarenta </w:t>
      </w:r>
      <w:r w:rsidR="008857CC" w:rsidRPr="008857CC">
        <w:rPr>
          <w:sz w:val="20"/>
          <w:szCs w:val="20"/>
          <w:lang w:val="pt-BR"/>
        </w:rPr>
        <w:t>dias</w:t>
      </w:r>
      <w:r w:rsidR="008D5FD1" w:rsidRPr="008857CC">
        <w:rPr>
          <w:sz w:val="20"/>
          <w:szCs w:val="20"/>
          <w:lang w:val="pt-BR"/>
        </w:rPr>
        <w:t xml:space="preserve">, </w:t>
      </w:r>
      <w:r w:rsidR="008857CC" w:rsidRPr="008857CC">
        <w:rPr>
          <w:sz w:val="20"/>
          <w:szCs w:val="20"/>
          <w:lang w:val="pt-BR"/>
        </w:rPr>
        <w:t xml:space="preserve">sob </w:t>
      </w:r>
      <w:r w:rsidR="008857CC">
        <w:rPr>
          <w:sz w:val="20"/>
          <w:szCs w:val="20"/>
          <w:lang w:val="pt-BR"/>
        </w:rPr>
        <w:t xml:space="preserve">a vigilância de policiais </w:t>
      </w:r>
      <w:r w:rsidR="008D5FD1" w:rsidRPr="008857CC">
        <w:rPr>
          <w:sz w:val="20"/>
          <w:szCs w:val="20"/>
          <w:lang w:val="pt-BR"/>
        </w:rPr>
        <w:t>f</w:t>
      </w:r>
      <w:r w:rsidR="008857CC">
        <w:rPr>
          <w:sz w:val="20"/>
          <w:szCs w:val="20"/>
          <w:lang w:val="pt-BR"/>
        </w:rPr>
        <w:t>o</w:t>
      </w:r>
      <w:r w:rsidR="008D5FD1" w:rsidRPr="008857CC">
        <w:rPr>
          <w:sz w:val="20"/>
          <w:szCs w:val="20"/>
          <w:lang w:val="pt-BR"/>
        </w:rPr>
        <w:t xml:space="preserve">rtemente armados </w:t>
      </w:r>
      <w:r w:rsidR="008857CC">
        <w:rPr>
          <w:sz w:val="20"/>
          <w:szCs w:val="20"/>
          <w:lang w:val="pt-BR"/>
        </w:rPr>
        <w:t>e sem poder se encontrar com o filho</w:t>
      </w:r>
      <w:r w:rsidR="008D5FD1" w:rsidRPr="008857CC">
        <w:rPr>
          <w:sz w:val="20"/>
          <w:szCs w:val="20"/>
          <w:lang w:val="pt-BR"/>
        </w:rPr>
        <w:t xml:space="preserve">. </w:t>
      </w:r>
      <w:r w:rsidR="008857CC" w:rsidRPr="008857CC">
        <w:rPr>
          <w:sz w:val="20"/>
          <w:szCs w:val="20"/>
          <w:lang w:val="pt-BR"/>
        </w:rPr>
        <w:t>Q</w:t>
      </w:r>
      <w:r w:rsidR="008D5FD1" w:rsidRPr="008857CC">
        <w:rPr>
          <w:sz w:val="20"/>
          <w:szCs w:val="20"/>
          <w:lang w:val="pt-BR"/>
        </w:rPr>
        <w:t>uando se recuper</w:t>
      </w:r>
      <w:r w:rsidR="008857CC" w:rsidRPr="008857CC">
        <w:rPr>
          <w:sz w:val="20"/>
          <w:szCs w:val="20"/>
          <w:lang w:val="pt-BR"/>
        </w:rPr>
        <w:t>ou</w:t>
      </w:r>
      <w:r w:rsidR="008D5FD1" w:rsidRPr="008857CC">
        <w:rPr>
          <w:sz w:val="20"/>
          <w:szCs w:val="20"/>
          <w:lang w:val="pt-BR"/>
        </w:rPr>
        <w:t xml:space="preserve">, a </w:t>
      </w:r>
      <w:r w:rsidR="008857CC" w:rsidRPr="008857CC">
        <w:rPr>
          <w:sz w:val="20"/>
          <w:szCs w:val="20"/>
          <w:lang w:val="pt-BR"/>
        </w:rPr>
        <w:t xml:space="preserve">transferiram para a prisão </w:t>
      </w:r>
      <w:r w:rsidR="008857CC">
        <w:rPr>
          <w:sz w:val="20"/>
          <w:szCs w:val="20"/>
          <w:lang w:val="pt-BR"/>
        </w:rPr>
        <w:t xml:space="preserve">da Polícia </w:t>
      </w:r>
      <w:r w:rsidR="003511D9" w:rsidRPr="008857CC">
        <w:rPr>
          <w:sz w:val="20"/>
          <w:szCs w:val="20"/>
          <w:lang w:val="pt-BR"/>
        </w:rPr>
        <w:t>Federal</w:t>
      </w:r>
      <w:r w:rsidR="008D5FD1" w:rsidRPr="008857CC">
        <w:rPr>
          <w:sz w:val="20"/>
          <w:szCs w:val="20"/>
          <w:lang w:val="pt-BR"/>
        </w:rPr>
        <w:t xml:space="preserve">, </w:t>
      </w:r>
      <w:r w:rsidR="008857CC">
        <w:rPr>
          <w:sz w:val="20"/>
          <w:szCs w:val="20"/>
          <w:lang w:val="pt-BR"/>
        </w:rPr>
        <w:t xml:space="preserve">onde a mantiveram em uma cela contígua </w:t>
      </w:r>
      <w:r w:rsidR="008D5FD1" w:rsidRPr="008857CC">
        <w:rPr>
          <w:sz w:val="20"/>
          <w:szCs w:val="20"/>
          <w:lang w:val="pt-BR"/>
        </w:rPr>
        <w:t xml:space="preserve">ocupada por </w:t>
      </w:r>
      <w:r w:rsidR="008857CC">
        <w:rPr>
          <w:sz w:val="20"/>
          <w:szCs w:val="20"/>
          <w:lang w:val="pt-BR"/>
        </w:rPr>
        <w:t>homens</w:t>
      </w:r>
      <w:r w:rsidR="008D5FD1" w:rsidRPr="008857CC">
        <w:rPr>
          <w:sz w:val="20"/>
          <w:szCs w:val="20"/>
          <w:lang w:val="pt-BR"/>
        </w:rPr>
        <w:t>, s</w:t>
      </w:r>
      <w:r w:rsidR="008857CC">
        <w:rPr>
          <w:sz w:val="20"/>
          <w:szCs w:val="20"/>
          <w:lang w:val="pt-BR"/>
        </w:rPr>
        <w:t xml:space="preserve">em poder realizar sua </w:t>
      </w:r>
      <w:r w:rsidR="008D5FD1" w:rsidRPr="008857CC">
        <w:rPr>
          <w:sz w:val="20"/>
          <w:szCs w:val="20"/>
          <w:lang w:val="pt-BR"/>
        </w:rPr>
        <w:t xml:space="preserve">higiene </w:t>
      </w:r>
      <w:r w:rsidR="00B153E7" w:rsidRPr="008857CC">
        <w:rPr>
          <w:sz w:val="20"/>
          <w:szCs w:val="20"/>
          <w:lang w:val="pt-BR"/>
        </w:rPr>
        <w:t>pessoal</w:t>
      </w:r>
      <w:r w:rsidR="008C6385">
        <w:rPr>
          <w:sz w:val="20"/>
          <w:szCs w:val="20"/>
          <w:lang w:val="pt-BR"/>
        </w:rPr>
        <w:t xml:space="preserve"> </w:t>
      </w:r>
      <w:r w:rsidR="008D5FD1" w:rsidRPr="008857CC">
        <w:rPr>
          <w:sz w:val="20"/>
          <w:szCs w:val="20"/>
          <w:lang w:val="pt-BR"/>
        </w:rPr>
        <w:t xml:space="preserve">básica </w:t>
      </w:r>
      <w:r w:rsidR="008857CC">
        <w:rPr>
          <w:sz w:val="20"/>
          <w:szCs w:val="20"/>
          <w:lang w:val="pt-BR"/>
        </w:rPr>
        <w:t>e</w:t>
      </w:r>
      <w:r w:rsidR="00F77C3C" w:rsidRPr="008857CC">
        <w:rPr>
          <w:sz w:val="20"/>
          <w:szCs w:val="20"/>
          <w:lang w:val="pt-BR"/>
        </w:rPr>
        <w:t xml:space="preserve"> </w:t>
      </w:r>
      <w:r w:rsidR="009A28AD" w:rsidRPr="008857CC">
        <w:rPr>
          <w:sz w:val="20"/>
          <w:szCs w:val="20"/>
          <w:lang w:val="pt-BR"/>
        </w:rPr>
        <w:t>sendo</w:t>
      </w:r>
      <w:r w:rsidR="00F77C3C" w:rsidRPr="008857CC">
        <w:rPr>
          <w:sz w:val="20"/>
          <w:szCs w:val="20"/>
          <w:lang w:val="pt-BR"/>
        </w:rPr>
        <w:t xml:space="preserve"> constantemente </w:t>
      </w:r>
      <w:r w:rsidR="008857CC">
        <w:rPr>
          <w:sz w:val="20"/>
          <w:szCs w:val="20"/>
          <w:lang w:val="pt-BR"/>
        </w:rPr>
        <w:t>submetida a constrangimentos</w:t>
      </w:r>
      <w:r w:rsidR="008D5FD1" w:rsidRPr="008857CC">
        <w:rPr>
          <w:sz w:val="20"/>
          <w:szCs w:val="20"/>
          <w:lang w:val="pt-BR"/>
        </w:rPr>
        <w:t xml:space="preserve">. </w:t>
      </w:r>
      <w:r w:rsidR="008857CC">
        <w:rPr>
          <w:sz w:val="20"/>
          <w:szCs w:val="20"/>
          <w:lang w:val="pt-BR"/>
        </w:rPr>
        <w:t>A</w:t>
      </w:r>
      <w:r w:rsidR="008D5FD1" w:rsidRPr="008857CC">
        <w:rPr>
          <w:sz w:val="20"/>
          <w:szCs w:val="20"/>
          <w:lang w:val="pt-BR"/>
        </w:rPr>
        <w:t xml:space="preserve"> </w:t>
      </w:r>
      <w:r w:rsidR="008857CC" w:rsidRPr="008857CC">
        <w:rPr>
          <w:sz w:val="20"/>
          <w:szCs w:val="20"/>
          <w:lang w:val="pt-BR"/>
        </w:rPr>
        <w:t xml:space="preserve">suposta vítima </w:t>
      </w:r>
      <w:r w:rsidR="007C4753" w:rsidRPr="008857CC">
        <w:rPr>
          <w:sz w:val="20"/>
          <w:szCs w:val="20"/>
          <w:lang w:val="pt-BR"/>
        </w:rPr>
        <w:t>foi</w:t>
      </w:r>
      <w:r w:rsidR="008C6385">
        <w:rPr>
          <w:sz w:val="20"/>
          <w:szCs w:val="20"/>
          <w:lang w:val="pt-BR"/>
        </w:rPr>
        <w:t xml:space="preserve"> </w:t>
      </w:r>
      <w:r w:rsidR="008D5FD1" w:rsidRPr="008857CC">
        <w:rPr>
          <w:sz w:val="20"/>
          <w:szCs w:val="20"/>
          <w:lang w:val="pt-BR"/>
        </w:rPr>
        <w:t>informada</w:t>
      </w:r>
      <w:r w:rsidR="00D4202E">
        <w:rPr>
          <w:sz w:val="20"/>
          <w:szCs w:val="20"/>
          <w:lang w:val="pt-BR"/>
        </w:rPr>
        <w:t xml:space="preserve"> de</w:t>
      </w:r>
      <w:r w:rsidR="008C6385">
        <w:rPr>
          <w:sz w:val="20"/>
          <w:szCs w:val="20"/>
          <w:lang w:val="pt-BR"/>
        </w:rPr>
        <w:t xml:space="preserve"> </w:t>
      </w:r>
      <w:r w:rsidR="008D5FD1" w:rsidRPr="008857CC">
        <w:rPr>
          <w:sz w:val="20"/>
          <w:szCs w:val="20"/>
          <w:lang w:val="pt-BR"/>
        </w:rPr>
        <w:t xml:space="preserve">que </w:t>
      </w:r>
      <w:r w:rsidR="008857CC" w:rsidRPr="008857CC">
        <w:rPr>
          <w:sz w:val="20"/>
          <w:szCs w:val="20"/>
          <w:lang w:val="pt-BR"/>
        </w:rPr>
        <w:t>s</w:t>
      </w:r>
      <w:r w:rsidR="008857CC">
        <w:rPr>
          <w:sz w:val="20"/>
          <w:szCs w:val="20"/>
          <w:lang w:val="pt-BR"/>
        </w:rPr>
        <w:t xml:space="preserve">eu filho poderia </w:t>
      </w:r>
      <w:r w:rsidR="00D4202E">
        <w:rPr>
          <w:sz w:val="20"/>
          <w:szCs w:val="20"/>
          <w:lang w:val="pt-BR"/>
        </w:rPr>
        <w:t xml:space="preserve">ser </w:t>
      </w:r>
      <w:r w:rsidR="008857CC">
        <w:rPr>
          <w:sz w:val="20"/>
          <w:szCs w:val="20"/>
          <w:lang w:val="pt-BR"/>
        </w:rPr>
        <w:t xml:space="preserve">enviado a </w:t>
      </w:r>
      <w:r w:rsidR="00891A5F" w:rsidRPr="008857CC">
        <w:rPr>
          <w:sz w:val="20"/>
          <w:szCs w:val="20"/>
          <w:lang w:val="pt-BR"/>
        </w:rPr>
        <w:t>uma</w:t>
      </w:r>
      <w:r w:rsidR="008C6385">
        <w:rPr>
          <w:sz w:val="20"/>
          <w:szCs w:val="20"/>
          <w:lang w:val="pt-BR"/>
        </w:rPr>
        <w:t xml:space="preserve"> </w:t>
      </w:r>
      <w:r w:rsidR="008D5FD1" w:rsidRPr="008857CC">
        <w:rPr>
          <w:sz w:val="20"/>
          <w:szCs w:val="20"/>
          <w:lang w:val="pt-BR"/>
        </w:rPr>
        <w:t>casa de corre</w:t>
      </w:r>
      <w:r w:rsidR="00B153E7" w:rsidRPr="008857CC">
        <w:rPr>
          <w:sz w:val="20"/>
          <w:szCs w:val="20"/>
          <w:lang w:val="pt-BR"/>
        </w:rPr>
        <w:t>ção</w:t>
      </w:r>
      <w:r w:rsidR="008D5FD1" w:rsidRPr="008857CC">
        <w:rPr>
          <w:sz w:val="20"/>
          <w:szCs w:val="20"/>
          <w:lang w:val="pt-BR"/>
        </w:rPr>
        <w:t xml:space="preserve">. </w:t>
      </w:r>
      <w:r w:rsidR="008857CC" w:rsidRPr="008857CC">
        <w:rPr>
          <w:sz w:val="20"/>
          <w:szCs w:val="20"/>
          <w:lang w:val="pt-BR"/>
        </w:rPr>
        <w:t xml:space="preserve">Também proibiram o filho </w:t>
      </w:r>
      <w:r w:rsidR="00D4202E">
        <w:rPr>
          <w:sz w:val="20"/>
          <w:szCs w:val="20"/>
          <w:lang w:val="pt-BR"/>
        </w:rPr>
        <w:t xml:space="preserve">de visitar </w:t>
      </w:r>
      <w:r w:rsidR="008857CC">
        <w:rPr>
          <w:sz w:val="20"/>
          <w:szCs w:val="20"/>
          <w:lang w:val="pt-BR"/>
        </w:rPr>
        <w:t>os pa</w:t>
      </w:r>
      <w:r w:rsidR="00D4202E">
        <w:rPr>
          <w:sz w:val="20"/>
          <w:szCs w:val="20"/>
          <w:lang w:val="pt-BR"/>
        </w:rPr>
        <w:t>i</w:t>
      </w:r>
      <w:r w:rsidR="008857CC">
        <w:rPr>
          <w:sz w:val="20"/>
          <w:szCs w:val="20"/>
          <w:lang w:val="pt-BR"/>
        </w:rPr>
        <w:t>s por mais de trinta dias.</w:t>
      </w:r>
    </w:p>
    <w:p w14:paraId="7EBC2DB5" w14:textId="5CC9B565" w:rsidR="003557A0" w:rsidRPr="006A3667" w:rsidRDefault="008857CC"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 xml:space="preserve">O Senhor </w:t>
      </w:r>
      <w:r w:rsidR="003557A0" w:rsidRPr="00D64156">
        <w:rPr>
          <w:sz w:val="20"/>
          <w:szCs w:val="20"/>
          <w:lang w:val="pt-BR"/>
        </w:rPr>
        <w:t xml:space="preserve">Wolf, </w:t>
      </w:r>
      <w:r>
        <w:rPr>
          <w:sz w:val="20"/>
          <w:szCs w:val="20"/>
          <w:lang w:val="pt-BR"/>
        </w:rPr>
        <w:t xml:space="preserve">por sua </w:t>
      </w:r>
      <w:r w:rsidR="003557A0" w:rsidRPr="00D64156">
        <w:rPr>
          <w:sz w:val="20"/>
          <w:szCs w:val="20"/>
          <w:lang w:val="pt-BR"/>
        </w:rPr>
        <w:t>vez, s</w:t>
      </w:r>
      <w:r>
        <w:rPr>
          <w:sz w:val="20"/>
          <w:szCs w:val="20"/>
          <w:lang w:val="pt-BR"/>
        </w:rPr>
        <w:t xml:space="preserve">ofreu uma trombose enquanto esteve </w:t>
      </w:r>
      <w:r w:rsidR="003557A0" w:rsidRPr="00D64156">
        <w:rPr>
          <w:sz w:val="20"/>
          <w:szCs w:val="20"/>
          <w:lang w:val="pt-BR"/>
        </w:rPr>
        <w:t xml:space="preserve">privado de </w:t>
      </w:r>
      <w:r w:rsidR="00B153E7" w:rsidRPr="00D64156">
        <w:rPr>
          <w:sz w:val="20"/>
          <w:szCs w:val="20"/>
          <w:lang w:val="pt-BR"/>
        </w:rPr>
        <w:t>liberdade</w:t>
      </w:r>
      <w:r w:rsidR="003557A0" w:rsidRPr="00D64156">
        <w:rPr>
          <w:sz w:val="20"/>
          <w:szCs w:val="20"/>
          <w:lang w:val="pt-BR"/>
        </w:rPr>
        <w:t xml:space="preserve">; </w:t>
      </w:r>
      <w:r w:rsidR="007C4753">
        <w:rPr>
          <w:sz w:val="20"/>
          <w:szCs w:val="20"/>
          <w:lang w:val="pt-BR"/>
        </w:rPr>
        <w:t>foi</w:t>
      </w:r>
      <w:r w:rsidR="008C6385">
        <w:rPr>
          <w:sz w:val="20"/>
          <w:szCs w:val="20"/>
          <w:lang w:val="pt-BR"/>
        </w:rPr>
        <w:t xml:space="preserve"> </w:t>
      </w:r>
      <w:r>
        <w:rPr>
          <w:sz w:val="20"/>
          <w:szCs w:val="20"/>
          <w:lang w:val="pt-BR"/>
        </w:rPr>
        <w:lastRenderedPageBreak/>
        <w:t xml:space="preserve">transferido para o </w:t>
      </w:r>
      <w:r w:rsidR="003557A0" w:rsidRPr="00D64156">
        <w:rPr>
          <w:sz w:val="20"/>
          <w:szCs w:val="20"/>
          <w:lang w:val="pt-BR"/>
        </w:rPr>
        <w:t>Hospital Moinhos de Vento,</w:t>
      </w:r>
      <w:r>
        <w:rPr>
          <w:sz w:val="20"/>
          <w:szCs w:val="20"/>
          <w:lang w:val="pt-BR"/>
        </w:rPr>
        <w:t xml:space="preserve"> </w:t>
      </w:r>
      <w:r w:rsidR="003557A0" w:rsidRPr="00D64156">
        <w:rPr>
          <w:sz w:val="20"/>
          <w:szCs w:val="20"/>
          <w:lang w:val="pt-BR"/>
        </w:rPr>
        <w:t xml:space="preserve">onde </w:t>
      </w:r>
      <w:r>
        <w:rPr>
          <w:sz w:val="20"/>
          <w:szCs w:val="20"/>
          <w:lang w:val="pt-BR"/>
        </w:rPr>
        <w:t>permaneceu trinta dias</w:t>
      </w:r>
      <w:r w:rsidR="003557A0" w:rsidRPr="00D64156">
        <w:rPr>
          <w:sz w:val="20"/>
          <w:szCs w:val="20"/>
          <w:lang w:val="pt-BR"/>
        </w:rPr>
        <w:t xml:space="preserve">; </w:t>
      </w:r>
      <w:r>
        <w:rPr>
          <w:sz w:val="20"/>
          <w:szCs w:val="20"/>
          <w:lang w:val="pt-BR"/>
        </w:rPr>
        <w:t xml:space="preserve">e, em seguida, </w:t>
      </w:r>
      <w:r w:rsidR="003557A0" w:rsidRPr="00D64156">
        <w:rPr>
          <w:sz w:val="20"/>
          <w:szCs w:val="20"/>
          <w:lang w:val="pt-BR"/>
        </w:rPr>
        <w:t xml:space="preserve">enviado </w:t>
      </w:r>
      <w:r>
        <w:rPr>
          <w:sz w:val="20"/>
          <w:szCs w:val="20"/>
          <w:lang w:val="pt-BR"/>
        </w:rPr>
        <w:t xml:space="preserve">ao </w:t>
      </w:r>
      <w:r w:rsidR="003557A0" w:rsidRPr="00D64156">
        <w:rPr>
          <w:sz w:val="20"/>
          <w:szCs w:val="20"/>
          <w:lang w:val="pt-BR"/>
        </w:rPr>
        <w:t>Hospital de Vila Nova, que se encontra</w:t>
      </w:r>
      <w:r>
        <w:rPr>
          <w:sz w:val="20"/>
          <w:szCs w:val="20"/>
          <w:lang w:val="pt-BR"/>
        </w:rPr>
        <w:t>v</w:t>
      </w:r>
      <w:r w:rsidR="003557A0" w:rsidRPr="00D64156">
        <w:rPr>
          <w:sz w:val="20"/>
          <w:szCs w:val="20"/>
          <w:lang w:val="pt-BR"/>
        </w:rPr>
        <w:t xml:space="preserve">a </w:t>
      </w:r>
      <w:r>
        <w:rPr>
          <w:sz w:val="20"/>
          <w:szCs w:val="20"/>
          <w:lang w:val="pt-BR"/>
        </w:rPr>
        <w:t xml:space="preserve">em precárias </w:t>
      </w:r>
      <w:r w:rsidR="003557A0" w:rsidRPr="00D64156">
        <w:rPr>
          <w:sz w:val="20"/>
          <w:szCs w:val="20"/>
          <w:lang w:val="pt-BR"/>
        </w:rPr>
        <w:t>condi</w:t>
      </w:r>
      <w:r w:rsidR="00B153E7" w:rsidRPr="00D64156">
        <w:rPr>
          <w:sz w:val="20"/>
          <w:szCs w:val="20"/>
          <w:lang w:val="pt-BR"/>
        </w:rPr>
        <w:t>ções</w:t>
      </w:r>
      <w:r w:rsidR="003557A0" w:rsidRPr="00D64156">
        <w:rPr>
          <w:sz w:val="20"/>
          <w:szCs w:val="20"/>
          <w:lang w:val="pt-BR"/>
        </w:rPr>
        <w:t xml:space="preserve">. </w:t>
      </w:r>
      <w:r w:rsidR="003557A0" w:rsidRPr="008857CC">
        <w:rPr>
          <w:sz w:val="20"/>
          <w:szCs w:val="20"/>
          <w:lang w:val="pt-BR"/>
        </w:rPr>
        <w:t>A</w:t>
      </w:r>
      <w:r w:rsidRPr="008857CC">
        <w:rPr>
          <w:sz w:val="20"/>
          <w:szCs w:val="20"/>
          <w:lang w:val="pt-BR"/>
        </w:rPr>
        <w:t>lém disso</w:t>
      </w:r>
      <w:r w:rsidR="003557A0" w:rsidRPr="008857CC">
        <w:rPr>
          <w:sz w:val="20"/>
          <w:szCs w:val="20"/>
          <w:lang w:val="pt-BR"/>
        </w:rPr>
        <w:t xml:space="preserve">, </w:t>
      </w:r>
      <w:r w:rsidRPr="008857CC">
        <w:rPr>
          <w:sz w:val="20"/>
          <w:szCs w:val="20"/>
          <w:lang w:val="pt-BR"/>
        </w:rPr>
        <w:t xml:space="preserve">foi impedido de </w:t>
      </w:r>
      <w:r w:rsidR="003557A0" w:rsidRPr="008857CC">
        <w:rPr>
          <w:sz w:val="20"/>
          <w:szCs w:val="20"/>
          <w:lang w:val="pt-BR"/>
        </w:rPr>
        <w:t xml:space="preserve">continuar </w:t>
      </w:r>
      <w:r w:rsidRPr="008857CC">
        <w:rPr>
          <w:sz w:val="20"/>
          <w:szCs w:val="20"/>
          <w:lang w:val="pt-BR"/>
        </w:rPr>
        <w:t xml:space="preserve">o </w:t>
      </w:r>
      <w:r w:rsidR="003557A0" w:rsidRPr="008857CC">
        <w:rPr>
          <w:sz w:val="20"/>
          <w:szCs w:val="20"/>
          <w:lang w:val="pt-BR"/>
        </w:rPr>
        <w:t xml:space="preserve">tratamento contra </w:t>
      </w:r>
      <w:r w:rsidRPr="008857CC">
        <w:rPr>
          <w:sz w:val="20"/>
          <w:szCs w:val="20"/>
          <w:lang w:val="pt-BR"/>
        </w:rPr>
        <w:t xml:space="preserve">o </w:t>
      </w:r>
      <w:r w:rsidR="003557A0" w:rsidRPr="008857CC">
        <w:rPr>
          <w:sz w:val="20"/>
          <w:szCs w:val="20"/>
          <w:lang w:val="pt-BR"/>
        </w:rPr>
        <w:t>c</w:t>
      </w:r>
      <w:r w:rsidRPr="008857CC">
        <w:rPr>
          <w:sz w:val="20"/>
          <w:szCs w:val="20"/>
          <w:lang w:val="pt-BR"/>
        </w:rPr>
        <w:t>â</w:t>
      </w:r>
      <w:r w:rsidR="003557A0" w:rsidRPr="008857CC">
        <w:rPr>
          <w:sz w:val="20"/>
          <w:szCs w:val="20"/>
          <w:lang w:val="pt-BR"/>
        </w:rPr>
        <w:t xml:space="preserve">ncer, </w:t>
      </w:r>
      <w:r>
        <w:rPr>
          <w:sz w:val="20"/>
          <w:szCs w:val="20"/>
          <w:lang w:val="pt-BR"/>
        </w:rPr>
        <w:t xml:space="preserve">e não lhe foi permitido realizar o </w:t>
      </w:r>
      <w:r w:rsidR="003557A0" w:rsidRPr="008857CC">
        <w:rPr>
          <w:sz w:val="20"/>
          <w:szCs w:val="20"/>
          <w:lang w:val="pt-BR"/>
        </w:rPr>
        <w:t>cuidado p</w:t>
      </w:r>
      <w:r>
        <w:rPr>
          <w:sz w:val="20"/>
          <w:szCs w:val="20"/>
          <w:lang w:val="pt-BR"/>
        </w:rPr>
        <w:t>ós-</w:t>
      </w:r>
      <w:r w:rsidR="003557A0" w:rsidRPr="008857CC">
        <w:rPr>
          <w:sz w:val="20"/>
          <w:szCs w:val="20"/>
          <w:lang w:val="pt-BR"/>
        </w:rPr>
        <w:t>operat</w:t>
      </w:r>
      <w:r>
        <w:rPr>
          <w:sz w:val="20"/>
          <w:szCs w:val="20"/>
          <w:lang w:val="pt-BR"/>
        </w:rPr>
        <w:t>ó</w:t>
      </w:r>
      <w:r w:rsidR="003557A0" w:rsidRPr="008857CC">
        <w:rPr>
          <w:sz w:val="20"/>
          <w:szCs w:val="20"/>
          <w:lang w:val="pt-BR"/>
        </w:rPr>
        <w:t>rio de su</w:t>
      </w:r>
      <w:r>
        <w:rPr>
          <w:sz w:val="20"/>
          <w:szCs w:val="20"/>
          <w:lang w:val="pt-BR"/>
        </w:rPr>
        <w:t>a</w:t>
      </w:r>
      <w:r w:rsidR="003557A0" w:rsidRPr="008857CC">
        <w:rPr>
          <w:sz w:val="20"/>
          <w:szCs w:val="20"/>
          <w:lang w:val="pt-BR"/>
        </w:rPr>
        <w:t xml:space="preserve"> ciru</w:t>
      </w:r>
      <w:r>
        <w:rPr>
          <w:sz w:val="20"/>
          <w:szCs w:val="20"/>
          <w:lang w:val="pt-BR"/>
        </w:rPr>
        <w:t xml:space="preserve">rgia </w:t>
      </w:r>
      <w:r w:rsidR="003557A0" w:rsidRPr="008857CC">
        <w:rPr>
          <w:sz w:val="20"/>
          <w:szCs w:val="20"/>
          <w:lang w:val="pt-BR"/>
        </w:rPr>
        <w:t xml:space="preserve">cardiovascular, </w:t>
      </w:r>
      <w:r>
        <w:rPr>
          <w:sz w:val="20"/>
          <w:szCs w:val="20"/>
          <w:lang w:val="pt-BR"/>
        </w:rPr>
        <w:t xml:space="preserve">com o </w:t>
      </w:r>
      <w:r w:rsidR="003557A0" w:rsidRPr="008857CC">
        <w:rPr>
          <w:sz w:val="20"/>
          <w:szCs w:val="20"/>
          <w:lang w:val="pt-BR"/>
        </w:rPr>
        <w:t xml:space="preserve">argumento de que, como </w:t>
      </w:r>
      <w:r>
        <w:rPr>
          <w:sz w:val="20"/>
          <w:szCs w:val="20"/>
          <w:lang w:val="pt-BR"/>
        </w:rPr>
        <w:t>tinha dupla nacionalidade</w:t>
      </w:r>
      <w:r w:rsidR="003557A0" w:rsidRPr="008857CC">
        <w:rPr>
          <w:sz w:val="20"/>
          <w:szCs w:val="20"/>
          <w:lang w:val="pt-BR"/>
        </w:rPr>
        <w:t xml:space="preserve">, </w:t>
      </w:r>
      <w:r>
        <w:rPr>
          <w:sz w:val="20"/>
          <w:szCs w:val="20"/>
          <w:lang w:val="pt-BR"/>
        </w:rPr>
        <w:t xml:space="preserve">poderia fugir para a </w:t>
      </w:r>
      <w:r w:rsidR="003557A0" w:rsidRPr="008857CC">
        <w:rPr>
          <w:sz w:val="20"/>
          <w:szCs w:val="20"/>
          <w:lang w:val="pt-BR"/>
        </w:rPr>
        <w:t>Aleman</w:t>
      </w:r>
      <w:r>
        <w:rPr>
          <w:sz w:val="20"/>
          <w:szCs w:val="20"/>
          <w:lang w:val="pt-BR"/>
        </w:rPr>
        <w:t>h</w:t>
      </w:r>
      <w:r w:rsidR="003557A0" w:rsidRPr="008857CC">
        <w:rPr>
          <w:sz w:val="20"/>
          <w:szCs w:val="20"/>
          <w:lang w:val="pt-BR"/>
        </w:rPr>
        <w:t>a. Sobre es</w:t>
      </w:r>
      <w:r w:rsidRPr="008857CC">
        <w:rPr>
          <w:sz w:val="20"/>
          <w:szCs w:val="20"/>
          <w:lang w:val="pt-BR"/>
        </w:rPr>
        <w:t>s</w:t>
      </w:r>
      <w:r w:rsidR="003557A0" w:rsidRPr="008857CC">
        <w:rPr>
          <w:sz w:val="20"/>
          <w:szCs w:val="20"/>
          <w:lang w:val="pt-BR"/>
        </w:rPr>
        <w:t>e último p</w:t>
      </w:r>
      <w:r w:rsidRPr="008857CC">
        <w:rPr>
          <w:sz w:val="20"/>
          <w:szCs w:val="20"/>
          <w:lang w:val="pt-BR"/>
        </w:rPr>
        <w:t>o</w:t>
      </w:r>
      <w:r w:rsidR="003557A0" w:rsidRPr="008857CC">
        <w:rPr>
          <w:sz w:val="20"/>
          <w:szCs w:val="20"/>
          <w:lang w:val="pt-BR"/>
        </w:rPr>
        <w:t xml:space="preserve">nto, os </w:t>
      </w:r>
      <w:r w:rsidR="00891A5F" w:rsidRPr="008857CC">
        <w:rPr>
          <w:sz w:val="20"/>
          <w:szCs w:val="20"/>
          <w:lang w:val="pt-BR"/>
        </w:rPr>
        <w:t>peticionários</w:t>
      </w:r>
      <w:r w:rsidR="008C6385">
        <w:rPr>
          <w:sz w:val="20"/>
          <w:szCs w:val="20"/>
          <w:lang w:val="pt-BR"/>
        </w:rPr>
        <w:t xml:space="preserve"> </w:t>
      </w:r>
      <w:r w:rsidRPr="008857CC">
        <w:rPr>
          <w:sz w:val="20"/>
          <w:szCs w:val="20"/>
          <w:lang w:val="pt-BR"/>
        </w:rPr>
        <w:t xml:space="preserve">salientam que o Senhor </w:t>
      </w:r>
      <w:r w:rsidR="003557A0" w:rsidRPr="008857CC">
        <w:rPr>
          <w:sz w:val="20"/>
          <w:szCs w:val="20"/>
          <w:lang w:val="pt-BR"/>
        </w:rPr>
        <w:t>Wolf</w:t>
      </w:r>
      <w:r w:rsidRPr="008857CC">
        <w:rPr>
          <w:sz w:val="20"/>
          <w:szCs w:val="20"/>
          <w:lang w:val="pt-BR"/>
        </w:rPr>
        <w:t>, na realidade,</w:t>
      </w:r>
      <w:r>
        <w:rPr>
          <w:sz w:val="20"/>
          <w:szCs w:val="20"/>
          <w:lang w:val="pt-BR"/>
        </w:rPr>
        <w:t xml:space="preserve"> não tinha dupla cidadania</w:t>
      </w:r>
      <w:r w:rsidR="003557A0" w:rsidRPr="008857CC">
        <w:rPr>
          <w:sz w:val="20"/>
          <w:szCs w:val="20"/>
          <w:lang w:val="pt-BR"/>
        </w:rPr>
        <w:t>; na</w:t>
      </w:r>
      <w:r>
        <w:rPr>
          <w:sz w:val="20"/>
          <w:szCs w:val="20"/>
          <w:lang w:val="pt-BR"/>
        </w:rPr>
        <w:t>s</w:t>
      </w:r>
      <w:r w:rsidR="003557A0" w:rsidRPr="008857CC">
        <w:rPr>
          <w:sz w:val="20"/>
          <w:szCs w:val="20"/>
          <w:lang w:val="pt-BR"/>
        </w:rPr>
        <w:t xml:space="preserve">cido apátrida de </w:t>
      </w:r>
      <w:r w:rsidR="00BE609A">
        <w:rPr>
          <w:sz w:val="20"/>
          <w:szCs w:val="20"/>
          <w:lang w:val="pt-BR"/>
        </w:rPr>
        <w:t>p</w:t>
      </w:r>
      <w:r>
        <w:rPr>
          <w:sz w:val="20"/>
          <w:szCs w:val="20"/>
          <w:lang w:val="pt-BR"/>
        </w:rPr>
        <w:t xml:space="preserve">ais poloneses em um </w:t>
      </w:r>
      <w:r w:rsidR="003557A0" w:rsidRPr="008857CC">
        <w:rPr>
          <w:sz w:val="20"/>
          <w:szCs w:val="20"/>
          <w:lang w:val="pt-BR"/>
        </w:rPr>
        <w:t xml:space="preserve">campo de refugiados </w:t>
      </w:r>
      <w:r w:rsidR="00B153E7" w:rsidRPr="008857CC">
        <w:rPr>
          <w:sz w:val="20"/>
          <w:szCs w:val="20"/>
          <w:lang w:val="pt-BR"/>
        </w:rPr>
        <w:t xml:space="preserve">da </w:t>
      </w:r>
      <w:r w:rsidR="003557A0" w:rsidRPr="008857CC">
        <w:rPr>
          <w:sz w:val="20"/>
          <w:szCs w:val="20"/>
          <w:lang w:val="pt-BR"/>
        </w:rPr>
        <w:t xml:space="preserve">Segunda Guerra Mundial, </w:t>
      </w:r>
      <w:r>
        <w:rPr>
          <w:sz w:val="20"/>
          <w:szCs w:val="20"/>
          <w:lang w:val="pt-BR"/>
        </w:rPr>
        <w:t>só teria adquirido a cidadania brasileira</w:t>
      </w:r>
      <w:r w:rsidR="003557A0" w:rsidRPr="008857CC">
        <w:rPr>
          <w:sz w:val="20"/>
          <w:szCs w:val="20"/>
          <w:lang w:val="pt-BR"/>
        </w:rPr>
        <w:t xml:space="preserve">. </w:t>
      </w:r>
      <w:r w:rsidRPr="006A3667">
        <w:rPr>
          <w:sz w:val="20"/>
          <w:szCs w:val="20"/>
          <w:lang w:val="pt-BR"/>
        </w:rPr>
        <w:t xml:space="preserve">Quando saiu do </w:t>
      </w:r>
      <w:r w:rsidR="003557A0" w:rsidRPr="006A3667">
        <w:rPr>
          <w:sz w:val="20"/>
          <w:szCs w:val="20"/>
          <w:lang w:val="pt-BR"/>
        </w:rPr>
        <w:t xml:space="preserve">hospital, </w:t>
      </w:r>
      <w:r w:rsidR="006A3667" w:rsidRPr="006A3667">
        <w:rPr>
          <w:sz w:val="20"/>
          <w:szCs w:val="20"/>
          <w:lang w:val="pt-BR"/>
        </w:rPr>
        <w:t>destaca</w:t>
      </w:r>
      <w:r w:rsidR="006A3667">
        <w:rPr>
          <w:sz w:val="20"/>
          <w:szCs w:val="20"/>
          <w:lang w:val="pt-BR"/>
        </w:rPr>
        <w:t xml:space="preserve"> a </w:t>
      </w:r>
      <w:r w:rsidR="00134301" w:rsidRPr="006A3667">
        <w:rPr>
          <w:sz w:val="20"/>
          <w:szCs w:val="20"/>
          <w:lang w:val="pt-BR"/>
        </w:rPr>
        <w:t>parte</w:t>
      </w:r>
      <w:r w:rsidR="003557A0" w:rsidRPr="006A3667">
        <w:rPr>
          <w:sz w:val="20"/>
          <w:szCs w:val="20"/>
          <w:lang w:val="pt-BR"/>
        </w:rPr>
        <w:t xml:space="preserve"> </w:t>
      </w:r>
      <w:r w:rsidR="00D64156" w:rsidRPr="006A3667">
        <w:rPr>
          <w:sz w:val="20"/>
          <w:szCs w:val="20"/>
          <w:lang w:val="pt-BR"/>
        </w:rPr>
        <w:t>peticionária</w:t>
      </w:r>
      <w:r w:rsidR="003557A0" w:rsidRPr="006A3667">
        <w:rPr>
          <w:sz w:val="20"/>
          <w:szCs w:val="20"/>
          <w:lang w:val="pt-BR"/>
        </w:rPr>
        <w:t xml:space="preserve">, </w:t>
      </w:r>
      <w:r w:rsidR="007C4753" w:rsidRPr="006A3667">
        <w:rPr>
          <w:sz w:val="20"/>
          <w:szCs w:val="20"/>
          <w:lang w:val="pt-BR"/>
        </w:rPr>
        <w:t xml:space="preserve">foi </w:t>
      </w:r>
      <w:r w:rsidR="006A3667">
        <w:rPr>
          <w:sz w:val="20"/>
          <w:szCs w:val="20"/>
          <w:lang w:val="pt-BR"/>
        </w:rPr>
        <w:t xml:space="preserve">preso na </w:t>
      </w:r>
      <w:r w:rsidR="003557A0" w:rsidRPr="006A3667">
        <w:rPr>
          <w:sz w:val="20"/>
          <w:szCs w:val="20"/>
          <w:lang w:val="pt-BR"/>
        </w:rPr>
        <w:t xml:space="preserve">sede </w:t>
      </w:r>
      <w:r w:rsidR="00B153E7" w:rsidRPr="006A3667">
        <w:rPr>
          <w:sz w:val="20"/>
          <w:szCs w:val="20"/>
          <w:lang w:val="pt-BR"/>
        </w:rPr>
        <w:t xml:space="preserve">da </w:t>
      </w:r>
      <w:r w:rsidR="006A3667">
        <w:rPr>
          <w:sz w:val="20"/>
          <w:szCs w:val="20"/>
          <w:lang w:val="pt-BR"/>
        </w:rPr>
        <w:t xml:space="preserve">Polícia </w:t>
      </w:r>
      <w:r w:rsidR="003511D9" w:rsidRPr="006A3667">
        <w:rPr>
          <w:sz w:val="20"/>
          <w:szCs w:val="20"/>
          <w:lang w:val="pt-BR"/>
        </w:rPr>
        <w:t>Federal</w:t>
      </w:r>
      <w:r w:rsidR="00C7545D" w:rsidRPr="006A3667">
        <w:rPr>
          <w:sz w:val="20"/>
          <w:szCs w:val="20"/>
          <w:lang w:val="pt-BR"/>
        </w:rPr>
        <w:t xml:space="preserve">, </w:t>
      </w:r>
      <w:r w:rsidR="006A3667">
        <w:rPr>
          <w:sz w:val="20"/>
          <w:szCs w:val="20"/>
          <w:lang w:val="pt-BR"/>
        </w:rPr>
        <w:t xml:space="preserve">quando deveria ter sido preso de outra maneira, em virtude de sua </w:t>
      </w:r>
      <w:r w:rsidR="003557A0" w:rsidRPr="006A3667">
        <w:rPr>
          <w:sz w:val="20"/>
          <w:szCs w:val="20"/>
          <w:lang w:val="pt-BR"/>
        </w:rPr>
        <w:t>condi</w:t>
      </w:r>
      <w:r w:rsidR="00B153E7" w:rsidRPr="006A3667">
        <w:rPr>
          <w:sz w:val="20"/>
          <w:szCs w:val="20"/>
          <w:lang w:val="pt-BR"/>
        </w:rPr>
        <w:t>ção</w:t>
      </w:r>
      <w:r w:rsidR="003557A0" w:rsidRPr="006A3667">
        <w:rPr>
          <w:sz w:val="20"/>
          <w:szCs w:val="20"/>
          <w:lang w:val="pt-BR"/>
        </w:rPr>
        <w:t xml:space="preserve"> de </w:t>
      </w:r>
      <w:r w:rsidR="006A3667">
        <w:rPr>
          <w:sz w:val="20"/>
          <w:szCs w:val="20"/>
          <w:lang w:val="pt-BR"/>
        </w:rPr>
        <w:t>advogado</w:t>
      </w:r>
      <w:r w:rsidR="003557A0" w:rsidRPr="006A3667">
        <w:rPr>
          <w:sz w:val="20"/>
          <w:szCs w:val="20"/>
          <w:lang w:val="pt-BR"/>
        </w:rPr>
        <w:t xml:space="preserve">. </w:t>
      </w:r>
      <w:r w:rsidR="003557A0" w:rsidRPr="00772C30">
        <w:rPr>
          <w:sz w:val="20"/>
          <w:szCs w:val="20"/>
          <w:lang w:val="pt-BR"/>
        </w:rPr>
        <w:t>A</w:t>
      </w:r>
      <w:r w:rsidR="006A3667" w:rsidRPr="00772C30">
        <w:rPr>
          <w:sz w:val="20"/>
          <w:szCs w:val="20"/>
          <w:lang w:val="pt-BR"/>
        </w:rPr>
        <w:t>lém disso</w:t>
      </w:r>
      <w:r w:rsidR="003557A0" w:rsidRPr="00D64156">
        <w:rPr>
          <w:sz w:val="20"/>
          <w:szCs w:val="20"/>
          <w:lang w:val="pt-BR"/>
        </w:rPr>
        <w:t xml:space="preserve">, </w:t>
      </w:r>
      <w:r w:rsidR="006A3667">
        <w:rPr>
          <w:sz w:val="20"/>
          <w:szCs w:val="20"/>
          <w:lang w:val="pt-BR"/>
        </w:rPr>
        <w:t xml:space="preserve">foi-lhe informado que estava </w:t>
      </w:r>
      <w:r w:rsidR="00E02CCA">
        <w:rPr>
          <w:sz w:val="20"/>
          <w:szCs w:val="20"/>
          <w:lang w:val="pt-BR"/>
        </w:rPr>
        <w:t>sem comunicação alguma</w:t>
      </w:r>
      <w:r w:rsidR="003557A0" w:rsidRPr="00D64156">
        <w:rPr>
          <w:sz w:val="20"/>
          <w:szCs w:val="20"/>
          <w:lang w:val="pt-BR"/>
        </w:rPr>
        <w:t xml:space="preserve">. </w:t>
      </w:r>
      <w:r w:rsidR="003557A0" w:rsidRPr="006A3667">
        <w:rPr>
          <w:sz w:val="20"/>
          <w:szCs w:val="20"/>
          <w:lang w:val="pt-BR"/>
        </w:rPr>
        <w:t>Durante su</w:t>
      </w:r>
      <w:r w:rsidR="006A3667" w:rsidRPr="006A3667">
        <w:rPr>
          <w:sz w:val="20"/>
          <w:szCs w:val="20"/>
          <w:lang w:val="pt-BR"/>
        </w:rPr>
        <w:t>a</w:t>
      </w:r>
      <w:r w:rsidR="003557A0" w:rsidRPr="006A3667">
        <w:rPr>
          <w:sz w:val="20"/>
          <w:szCs w:val="20"/>
          <w:lang w:val="pt-BR"/>
        </w:rPr>
        <w:t xml:space="preserve"> deten</w:t>
      </w:r>
      <w:r w:rsidR="00B153E7" w:rsidRPr="006A3667">
        <w:rPr>
          <w:sz w:val="20"/>
          <w:szCs w:val="20"/>
          <w:lang w:val="pt-BR"/>
        </w:rPr>
        <w:t>ção</w:t>
      </w:r>
      <w:r w:rsidR="003557A0" w:rsidRPr="006A3667">
        <w:rPr>
          <w:sz w:val="20"/>
          <w:szCs w:val="20"/>
          <w:lang w:val="pt-BR"/>
        </w:rPr>
        <w:t xml:space="preserve">, </w:t>
      </w:r>
      <w:r w:rsidR="006A3667" w:rsidRPr="006A3667">
        <w:rPr>
          <w:sz w:val="20"/>
          <w:szCs w:val="20"/>
          <w:lang w:val="pt-BR"/>
        </w:rPr>
        <w:t xml:space="preserve">também foi impedido de </w:t>
      </w:r>
      <w:r w:rsidR="003557A0" w:rsidRPr="006A3667">
        <w:rPr>
          <w:sz w:val="20"/>
          <w:szCs w:val="20"/>
          <w:lang w:val="pt-BR"/>
        </w:rPr>
        <w:t xml:space="preserve">participar </w:t>
      </w:r>
      <w:r w:rsidR="006A3667">
        <w:rPr>
          <w:sz w:val="20"/>
          <w:szCs w:val="20"/>
          <w:lang w:val="pt-BR"/>
        </w:rPr>
        <w:t xml:space="preserve">das </w:t>
      </w:r>
      <w:r w:rsidR="003557A0" w:rsidRPr="006A3667">
        <w:rPr>
          <w:sz w:val="20"/>
          <w:szCs w:val="20"/>
          <w:lang w:val="pt-BR"/>
        </w:rPr>
        <w:t>celebra</w:t>
      </w:r>
      <w:r w:rsidR="00B153E7" w:rsidRPr="006A3667">
        <w:rPr>
          <w:sz w:val="20"/>
          <w:szCs w:val="20"/>
          <w:lang w:val="pt-BR"/>
        </w:rPr>
        <w:t>ções</w:t>
      </w:r>
      <w:r w:rsidR="003557A0" w:rsidRPr="006A3667">
        <w:rPr>
          <w:sz w:val="20"/>
          <w:szCs w:val="20"/>
          <w:lang w:val="pt-BR"/>
        </w:rPr>
        <w:t xml:space="preserve"> de su</w:t>
      </w:r>
      <w:r w:rsidR="006A3667">
        <w:rPr>
          <w:sz w:val="20"/>
          <w:szCs w:val="20"/>
          <w:lang w:val="pt-BR"/>
        </w:rPr>
        <w:t>a</w:t>
      </w:r>
      <w:r w:rsidR="003557A0" w:rsidRPr="006A3667">
        <w:rPr>
          <w:sz w:val="20"/>
          <w:szCs w:val="20"/>
          <w:lang w:val="pt-BR"/>
        </w:rPr>
        <w:t xml:space="preserve"> religi</w:t>
      </w:r>
      <w:r w:rsidR="006A3667">
        <w:rPr>
          <w:sz w:val="20"/>
          <w:szCs w:val="20"/>
          <w:lang w:val="pt-BR"/>
        </w:rPr>
        <w:t>ão</w:t>
      </w:r>
      <w:r w:rsidR="003557A0" w:rsidRPr="006A3667">
        <w:rPr>
          <w:sz w:val="20"/>
          <w:szCs w:val="20"/>
          <w:lang w:val="pt-BR"/>
        </w:rPr>
        <w:t>. E</w:t>
      </w:r>
      <w:r w:rsidR="006A3667" w:rsidRPr="006A3667">
        <w:rPr>
          <w:sz w:val="20"/>
          <w:szCs w:val="20"/>
          <w:lang w:val="pt-BR"/>
        </w:rPr>
        <w:t>m</w:t>
      </w:r>
      <w:r w:rsidR="003557A0" w:rsidRPr="006A3667">
        <w:rPr>
          <w:sz w:val="20"/>
          <w:szCs w:val="20"/>
          <w:lang w:val="pt-BR"/>
        </w:rPr>
        <w:t xml:space="preserve"> </w:t>
      </w:r>
      <w:r w:rsidR="00455AAF" w:rsidRPr="006A3667">
        <w:rPr>
          <w:sz w:val="20"/>
          <w:szCs w:val="20"/>
          <w:lang w:val="pt-BR"/>
        </w:rPr>
        <w:t xml:space="preserve">outubro </w:t>
      </w:r>
      <w:r w:rsidR="003557A0" w:rsidRPr="006A3667">
        <w:rPr>
          <w:sz w:val="20"/>
          <w:szCs w:val="20"/>
          <w:lang w:val="pt-BR"/>
        </w:rPr>
        <w:t xml:space="preserve">de 2008, por </w:t>
      </w:r>
      <w:r w:rsidR="006A3667" w:rsidRPr="006A3667">
        <w:rPr>
          <w:sz w:val="20"/>
          <w:szCs w:val="20"/>
          <w:lang w:val="pt-BR"/>
        </w:rPr>
        <w:t xml:space="preserve">decisão do </w:t>
      </w:r>
      <w:r w:rsidR="003557A0" w:rsidRPr="006A3667">
        <w:rPr>
          <w:sz w:val="20"/>
          <w:szCs w:val="20"/>
          <w:lang w:val="pt-BR"/>
        </w:rPr>
        <w:t xml:space="preserve">Supremo Tribunal Federal, Wolf </w:t>
      </w:r>
      <w:r w:rsidR="006A3667" w:rsidRPr="006A3667">
        <w:rPr>
          <w:sz w:val="20"/>
          <w:szCs w:val="20"/>
          <w:lang w:val="pt-BR"/>
        </w:rPr>
        <w:t>ad</w:t>
      </w:r>
      <w:r w:rsidR="006A3667">
        <w:rPr>
          <w:sz w:val="20"/>
          <w:szCs w:val="20"/>
          <w:lang w:val="pt-BR"/>
        </w:rPr>
        <w:t xml:space="preserve">quiriu o </w:t>
      </w:r>
      <w:r w:rsidR="00B153E7" w:rsidRPr="006A3667">
        <w:rPr>
          <w:sz w:val="20"/>
          <w:szCs w:val="20"/>
          <w:lang w:val="pt-BR"/>
        </w:rPr>
        <w:t>direito</w:t>
      </w:r>
      <w:r w:rsidR="008C6385">
        <w:rPr>
          <w:sz w:val="20"/>
          <w:szCs w:val="20"/>
          <w:lang w:val="pt-BR"/>
        </w:rPr>
        <w:t xml:space="preserve"> </w:t>
      </w:r>
      <w:r w:rsidR="006A3667">
        <w:rPr>
          <w:sz w:val="20"/>
          <w:szCs w:val="20"/>
          <w:lang w:val="pt-BR"/>
        </w:rPr>
        <w:t xml:space="preserve">à prisão </w:t>
      </w:r>
      <w:r w:rsidR="003557A0" w:rsidRPr="006A3667">
        <w:rPr>
          <w:sz w:val="20"/>
          <w:szCs w:val="20"/>
          <w:lang w:val="pt-BR"/>
        </w:rPr>
        <w:t>domiciliar.</w:t>
      </w:r>
    </w:p>
    <w:p w14:paraId="26019981" w14:textId="509F47D0" w:rsidR="00C56831" w:rsidRPr="006A3667" w:rsidRDefault="006A3667"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6A3667">
        <w:rPr>
          <w:sz w:val="20"/>
          <w:szCs w:val="20"/>
          <w:lang w:val="pt-BR"/>
        </w:rPr>
        <w:t xml:space="preserve">Os peticionários </w:t>
      </w:r>
      <w:r w:rsidR="00DC753B" w:rsidRPr="006A3667">
        <w:rPr>
          <w:sz w:val="20"/>
          <w:szCs w:val="20"/>
          <w:lang w:val="pt-BR"/>
        </w:rPr>
        <w:t>també</w:t>
      </w:r>
      <w:r>
        <w:rPr>
          <w:sz w:val="20"/>
          <w:szCs w:val="20"/>
          <w:lang w:val="pt-BR"/>
        </w:rPr>
        <w:t>m</w:t>
      </w:r>
      <w:r w:rsidR="00DC753B" w:rsidRPr="006A3667">
        <w:rPr>
          <w:sz w:val="20"/>
          <w:szCs w:val="20"/>
          <w:lang w:val="pt-BR"/>
        </w:rPr>
        <w:t xml:space="preserve"> alega</w:t>
      </w:r>
      <w:r w:rsidRPr="006A3667">
        <w:rPr>
          <w:sz w:val="20"/>
          <w:szCs w:val="20"/>
          <w:lang w:val="pt-BR"/>
        </w:rPr>
        <w:t xml:space="preserve">m que as </w:t>
      </w:r>
      <w:r w:rsidR="00EC0BB7" w:rsidRPr="006A3667">
        <w:rPr>
          <w:sz w:val="20"/>
          <w:szCs w:val="20"/>
          <w:lang w:val="pt-BR"/>
        </w:rPr>
        <w:t>supostas vítimas</w:t>
      </w:r>
      <w:r w:rsidR="008C6385">
        <w:rPr>
          <w:sz w:val="20"/>
          <w:szCs w:val="20"/>
          <w:lang w:val="pt-BR"/>
        </w:rPr>
        <w:t xml:space="preserve"> </w:t>
      </w:r>
      <w:r w:rsidR="00DC753B" w:rsidRPr="006A3667">
        <w:rPr>
          <w:sz w:val="20"/>
          <w:szCs w:val="20"/>
          <w:lang w:val="pt-BR"/>
        </w:rPr>
        <w:t>f</w:t>
      </w:r>
      <w:r w:rsidRPr="006A3667">
        <w:rPr>
          <w:sz w:val="20"/>
          <w:szCs w:val="20"/>
          <w:lang w:val="pt-BR"/>
        </w:rPr>
        <w:t xml:space="preserve">oram </w:t>
      </w:r>
      <w:r w:rsidR="00DC753B" w:rsidRPr="006A3667">
        <w:rPr>
          <w:sz w:val="20"/>
          <w:szCs w:val="20"/>
          <w:lang w:val="pt-BR"/>
        </w:rPr>
        <w:t xml:space="preserve">filmadas </w:t>
      </w:r>
      <w:r>
        <w:rPr>
          <w:sz w:val="20"/>
          <w:szCs w:val="20"/>
          <w:lang w:val="pt-BR"/>
        </w:rPr>
        <w:t xml:space="preserve">no quarto de um </w:t>
      </w:r>
      <w:r w:rsidR="00DC753B" w:rsidRPr="006A3667">
        <w:rPr>
          <w:sz w:val="20"/>
          <w:szCs w:val="20"/>
          <w:lang w:val="pt-BR"/>
        </w:rPr>
        <w:t xml:space="preserve">hotel </w:t>
      </w:r>
      <w:r>
        <w:rPr>
          <w:sz w:val="20"/>
          <w:szCs w:val="20"/>
          <w:lang w:val="pt-BR"/>
        </w:rPr>
        <w:t xml:space="preserve">em </w:t>
      </w:r>
      <w:r w:rsidR="00DC753B" w:rsidRPr="006A3667">
        <w:rPr>
          <w:sz w:val="20"/>
          <w:szCs w:val="20"/>
          <w:lang w:val="pt-BR"/>
        </w:rPr>
        <w:t>2 de abril de 2008, por orde</w:t>
      </w:r>
      <w:r>
        <w:rPr>
          <w:sz w:val="20"/>
          <w:szCs w:val="20"/>
          <w:lang w:val="pt-BR"/>
        </w:rPr>
        <w:t xml:space="preserve">m do </w:t>
      </w:r>
      <w:r w:rsidR="00A2573A" w:rsidRPr="006A3667">
        <w:rPr>
          <w:sz w:val="20"/>
          <w:szCs w:val="20"/>
          <w:lang w:val="pt-BR"/>
        </w:rPr>
        <w:t>juiz</w:t>
      </w:r>
      <w:r w:rsidR="008C6385">
        <w:rPr>
          <w:sz w:val="20"/>
          <w:szCs w:val="20"/>
          <w:lang w:val="pt-BR"/>
        </w:rPr>
        <w:t xml:space="preserve"> </w:t>
      </w:r>
      <w:r>
        <w:rPr>
          <w:sz w:val="20"/>
          <w:szCs w:val="20"/>
          <w:lang w:val="pt-BR"/>
        </w:rPr>
        <w:t>responsável</w:t>
      </w:r>
      <w:r w:rsidR="00DC753B" w:rsidRPr="006A3667">
        <w:rPr>
          <w:sz w:val="20"/>
          <w:szCs w:val="20"/>
          <w:lang w:val="pt-BR"/>
        </w:rPr>
        <w:t xml:space="preserve">, </w:t>
      </w:r>
      <w:r>
        <w:rPr>
          <w:sz w:val="20"/>
          <w:szCs w:val="20"/>
          <w:lang w:val="pt-BR"/>
        </w:rPr>
        <w:t xml:space="preserve">e tiveram expostas suas </w:t>
      </w:r>
      <w:r w:rsidR="00DC753B" w:rsidRPr="006A3667">
        <w:rPr>
          <w:sz w:val="20"/>
          <w:szCs w:val="20"/>
          <w:lang w:val="pt-BR"/>
        </w:rPr>
        <w:t>intimidades con</w:t>
      </w:r>
      <w:r>
        <w:rPr>
          <w:sz w:val="20"/>
          <w:szCs w:val="20"/>
          <w:lang w:val="pt-BR"/>
        </w:rPr>
        <w:t>j</w:t>
      </w:r>
      <w:r w:rsidR="00DC753B" w:rsidRPr="006A3667">
        <w:rPr>
          <w:sz w:val="20"/>
          <w:szCs w:val="20"/>
          <w:lang w:val="pt-BR"/>
        </w:rPr>
        <w:t>ug</w:t>
      </w:r>
      <w:r w:rsidR="00B153E7" w:rsidRPr="006A3667">
        <w:rPr>
          <w:sz w:val="20"/>
          <w:szCs w:val="20"/>
          <w:lang w:val="pt-BR"/>
        </w:rPr>
        <w:t>ais</w:t>
      </w:r>
      <w:r w:rsidR="00DC753B" w:rsidRPr="006A3667">
        <w:rPr>
          <w:sz w:val="20"/>
          <w:szCs w:val="20"/>
          <w:lang w:val="pt-BR"/>
        </w:rPr>
        <w:t>. A</w:t>
      </w:r>
      <w:r w:rsidRPr="006A3667">
        <w:rPr>
          <w:sz w:val="20"/>
          <w:szCs w:val="20"/>
          <w:lang w:val="pt-BR"/>
        </w:rPr>
        <w:t xml:space="preserve">lém disso, as </w:t>
      </w:r>
      <w:r w:rsidR="00DC753B" w:rsidRPr="006A3667">
        <w:rPr>
          <w:sz w:val="20"/>
          <w:szCs w:val="20"/>
          <w:lang w:val="pt-BR"/>
        </w:rPr>
        <w:t>deten</w:t>
      </w:r>
      <w:r w:rsidR="00B153E7" w:rsidRPr="006A3667">
        <w:rPr>
          <w:sz w:val="20"/>
          <w:szCs w:val="20"/>
          <w:lang w:val="pt-BR"/>
        </w:rPr>
        <w:t>ções</w:t>
      </w:r>
      <w:r w:rsidR="00DC753B" w:rsidRPr="006A3667">
        <w:rPr>
          <w:sz w:val="20"/>
          <w:szCs w:val="20"/>
          <w:lang w:val="pt-BR"/>
        </w:rPr>
        <w:t xml:space="preserve"> </w:t>
      </w:r>
      <w:r>
        <w:rPr>
          <w:sz w:val="20"/>
          <w:szCs w:val="20"/>
          <w:lang w:val="pt-BR"/>
        </w:rPr>
        <w:t>e</w:t>
      </w:r>
      <w:r w:rsidR="00DC753B" w:rsidRPr="006A3667">
        <w:rPr>
          <w:sz w:val="20"/>
          <w:szCs w:val="20"/>
          <w:lang w:val="pt-BR"/>
        </w:rPr>
        <w:t xml:space="preserve"> causas </w:t>
      </w:r>
      <w:r w:rsidR="00EC0BB7" w:rsidRPr="006A3667">
        <w:rPr>
          <w:sz w:val="20"/>
          <w:szCs w:val="20"/>
          <w:lang w:val="pt-BR"/>
        </w:rPr>
        <w:t xml:space="preserve">das </w:t>
      </w:r>
      <w:r w:rsidR="00DC753B" w:rsidRPr="006A3667">
        <w:rPr>
          <w:sz w:val="20"/>
          <w:szCs w:val="20"/>
          <w:lang w:val="pt-BR"/>
        </w:rPr>
        <w:t>investiga</w:t>
      </w:r>
      <w:r w:rsidR="00B153E7" w:rsidRPr="006A3667">
        <w:rPr>
          <w:sz w:val="20"/>
          <w:szCs w:val="20"/>
          <w:lang w:val="pt-BR"/>
        </w:rPr>
        <w:t>ções</w:t>
      </w:r>
      <w:r w:rsidR="00DC753B" w:rsidRPr="006A3667">
        <w:rPr>
          <w:sz w:val="20"/>
          <w:szCs w:val="20"/>
          <w:lang w:val="pt-BR"/>
        </w:rPr>
        <w:t xml:space="preserve"> contra as </w:t>
      </w:r>
      <w:r w:rsidR="00EC0BB7" w:rsidRPr="006A3667">
        <w:rPr>
          <w:sz w:val="20"/>
          <w:szCs w:val="20"/>
          <w:lang w:val="pt-BR"/>
        </w:rPr>
        <w:t>supostas vítimas</w:t>
      </w:r>
      <w:r w:rsidR="008C6385">
        <w:rPr>
          <w:sz w:val="20"/>
          <w:szCs w:val="20"/>
          <w:lang w:val="pt-BR"/>
        </w:rPr>
        <w:t xml:space="preserve"> </w:t>
      </w:r>
      <w:r>
        <w:rPr>
          <w:sz w:val="20"/>
          <w:szCs w:val="20"/>
          <w:lang w:val="pt-BR"/>
        </w:rPr>
        <w:t>foram divulgadas de maneira</w:t>
      </w:r>
      <w:r w:rsidR="008C6385">
        <w:rPr>
          <w:sz w:val="20"/>
          <w:szCs w:val="20"/>
          <w:lang w:val="pt-BR"/>
        </w:rPr>
        <w:t xml:space="preserve"> </w:t>
      </w:r>
      <w:r w:rsidR="00DC753B" w:rsidRPr="006A3667">
        <w:rPr>
          <w:sz w:val="20"/>
          <w:szCs w:val="20"/>
          <w:lang w:val="pt-BR"/>
        </w:rPr>
        <w:t xml:space="preserve">sensacionalista. </w:t>
      </w:r>
      <w:r w:rsidRPr="006A3667">
        <w:rPr>
          <w:sz w:val="20"/>
          <w:szCs w:val="20"/>
          <w:lang w:val="pt-BR"/>
        </w:rPr>
        <w:t xml:space="preserve">Em </w:t>
      </w:r>
      <w:r w:rsidR="00DC753B" w:rsidRPr="006A3667">
        <w:rPr>
          <w:sz w:val="20"/>
          <w:szCs w:val="20"/>
          <w:lang w:val="pt-BR"/>
        </w:rPr>
        <w:t xml:space="preserve">29 de abril de 2009, as </w:t>
      </w:r>
      <w:r w:rsidR="00EC0BB7" w:rsidRPr="006A3667">
        <w:rPr>
          <w:sz w:val="20"/>
          <w:szCs w:val="20"/>
          <w:lang w:val="pt-BR"/>
        </w:rPr>
        <w:t>supostas vítimas</w:t>
      </w:r>
      <w:r w:rsidR="008C6385">
        <w:rPr>
          <w:sz w:val="20"/>
          <w:szCs w:val="20"/>
          <w:lang w:val="pt-BR"/>
        </w:rPr>
        <w:t xml:space="preserve"> </w:t>
      </w:r>
      <w:r w:rsidRPr="006A3667">
        <w:rPr>
          <w:sz w:val="20"/>
          <w:szCs w:val="20"/>
          <w:lang w:val="pt-BR"/>
        </w:rPr>
        <w:t xml:space="preserve">também </w:t>
      </w:r>
      <w:r w:rsidR="00772C30">
        <w:rPr>
          <w:sz w:val="20"/>
          <w:szCs w:val="20"/>
          <w:lang w:val="pt-BR"/>
        </w:rPr>
        <w:t>tiveram</w:t>
      </w:r>
      <w:r>
        <w:rPr>
          <w:sz w:val="20"/>
          <w:szCs w:val="20"/>
          <w:lang w:val="pt-BR"/>
        </w:rPr>
        <w:t xml:space="preserve"> </w:t>
      </w:r>
      <w:r w:rsidR="00DC753B" w:rsidRPr="006A3667">
        <w:rPr>
          <w:sz w:val="20"/>
          <w:szCs w:val="20"/>
          <w:lang w:val="pt-BR"/>
        </w:rPr>
        <w:t>invadida su</w:t>
      </w:r>
      <w:r>
        <w:rPr>
          <w:sz w:val="20"/>
          <w:szCs w:val="20"/>
          <w:lang w:val="pt-BR"/>
        </w:rPr>
        <w:t>a</w:t>
      </w:r>
      <w:r w:rsidR="00DC753B" w:rsidRPr="006A3667">
        <w:rPr>
          <w:sz w:val="20"/>
          <w:szCs w:val="20"/>
          <w:lang w:val="pt-BR"/>
        </w:rPr>
        <w:t xml:space="preserve"> resid</w:t>
      </w:r>
      <w:r>
        <w:rPr>
          <w:sz w:val="20"/>
          <w:szCs w:val="20"/>
          <w:lang w:val="pt-BR"/>
        </w:rPr>
        <w:t>ê</w:t>
      </w:r>
      <w:r w:rsidR="00DC753B" w:rsidRPr="006A3667">
        <w:rPr>
          <w:sz w:val="20"/>
          <w:szCs w:val="20"/>
          <w:lang w:val="pt-BR"/>
        </w:rPr>
        <w:t xml:space="preserve">ncia </w:t>
      </w:r>
      <w:r>
        <w:rPr>
          <w:sz w:val="20"/>
          <w:szCs w:val="20"/>
          <w:lang w:val="pt-BR"/>
        </w:rPr>
        <w:t xml:space="preserve">no </w:t>
      </w:r>
      <w:r w:rsidR="00DC753B" w:rsidRPr="006A3667">
        <w:rPr>
          <w:sz w:val="20"/>
          <w:szCs w:val="20"/>
          <w:lang w:val="pt-BR"/>
        </w:rPr>
        <w:t>Urugua</w:t>
      </w:r>
      <w:r>
        <w:rPr>
          <w:sz w:val="20"/>
          <w:szCs w:val="20"/>
          <w:lang w:val="pt-BR"/>
        </w:rPr>
        <w:t>i</w:t>
      </w:r>
      <w:r w:rsidR="00DC753B" w:rsidRPr="006A3667">
        <w:rPr>
          <w:sz w:val="20"/>
          <w:szCs w:val="20"/>
          <w:lang w:val="pt-BR"/>
        </w:rPr>
        <w:t xml:space="preserve"> </w:t>
      </w:r>
      <w:r>
        <w:rPr>
          <w:sz w:val="20"/>
          <w:szCs w:val="20"/>
          <w:lang w:val="pt-BR"/>
        </w:rPr>
        <w:t xml:space="preserve">por uma operação chefiada por </w:t>
      </w:r>
      <w:r w:rsidR="00DC753B" w:rsidRPr="006A3667">
        <w:rPr>
          <w:sz w:val="20"/>
          <w:szCs w:val="20"/>
          <w:lang w:val="pt-BR"/>
        </w:rPr>
        <w:t xml:space="preserve">autoridades </w:t>
      </w:r>
      <w:r>
        <w:rPr>
          <w:sz w:val="20"/>
          <w:szCs w:val="20"/>
          <w:lang w:val="pt-BR"/>
        </w:rPr>
        <w:t xml:space="preserve">brasileiras que conduziam um veículo da Embaixada do </w:t>
      </w:r>
      <w:r w:rsidR="00DC753B" w:rsidRPr="006A3667">
        <w:rPr>
          <w:sz w:val="20"/>
          <w:szCs w:val="20"/>
          <w:lang w:val="pt-BR"/>
        </w:rPr>
        <w:t xml:space="preserve">Brasil </w:t>
      </w:r>
      <w:r>
        <w:rPr>
          <w:sz w:val="20"/>
          <w:szCs w:val="20"/>
          <w:lang w:val="pt-BR"/>
        </w:rPr>
        <w:t>no Uruguai</w:t>
      </w:r>
      <w:r w:rsidR="00DC753B" w:rsidRPr="006A3667">
        <w:rPr>
          <w:sz w:val="20"/>
          <w:szCs w:val="20"/>
          <w:lang w:val="pt-BR"/>
        </w:rPr>
        <w:t xml:space="preserve">. </w:t>
      </w:r>
      <w:r w:rsidRPr="006A3667">
        <w:rPr>
          <w:sz w:val="20"/>
          <w:szCs w:val="20"/>
          <w:lang w:val="pt-BR"/>
        </w:rPr>
        <w:t xml:space="preserve">A </w:t>
      </w:r>
      <w:r w:rsidR="00DC753B" w:rsidRPr="006A3667">
        <w:rPr>
          <w:sz w:val="20"/>
          <w:szCs w:val="20"/>
          <w:lang w:val="pt-BR"/>
        </w:rPr>
        <w:t>opera</w:t>
      </w:r>
      <w:r w:rsidR="00B153E7" w:rsidRPr="006A3667">
        <w:rPr>
          <w:sz w:val="20"/>
          <w:szCs w:val="20"/>
          <w:lang w:val="pt-BR"/>
        </w:rPr>
        <w:t>ção</w:t>
      </w:r>
      <w:r w:rsidR="00DC753B" w:rsidRPr="006A3667">
        <w:rPr>
          <w:sz w:val="20"/>
          <w:szCs w:val="20"/>
          <w:lang w:val="pt-BR"/>
        </w:rPr>
        <w:t xml:space="preserve"> </w:t>
      </w:r>
      <w:r w:rsidRPr="006A3667">
        <w:rPr>
          <w:sz w:val="20"/>
          <w:szCs w:val="20"/>
          <w:lang w:val="pt-BR"/>
        </w:rPr>
        <w:t xml:space="preserve">apreendeu </w:t>
      </w:r>
      <w:r w:rsidR="00DC753B" w:rsidRPr="006A3667">
        <w:rPr>
          <w:sz w:val="20"/>
          <w:szCs w:val="20"/>
          <w:lang w:val="pt-BR"/>
        </w:rPr>
        <w:t xml:space="preserve">documentos </w:t>
      </w:r>
      <w:r w:rsidRPr="006A3667">
        <w:rPr>
          <w:sz w:val="20"/>
          <w:szCs w:val="20"/>
          <w:lang w:val="pt-BR"/>
        </w:rPr>
        <w:t>e</w:t>
      </w:r>
      <w:r w:rsidR="00DC753B" w:rsidRPr="006A3667">
        <w:rPr>
          <w:sz w:val="20"/>
          <w:szCs w:val="20"/>
          <w:lang w:val="pt-BR"/>
        </w:rPr>
        <w:t xml:space="preserve"> </w:t>
      </w:r>
      <w:r>
        <w:rPr>
          <w:sz w:val="20"/>
          <w:szCs w:val="20"/>
          <w:lang w:val="pt-BR"/>
        </w:rPr>
        <w:t xml:space="preserve">bens que estavam sob a custódia </w:t>
      </w:r>
      <w:r w:rsidR="00EC0BB7" w:rsidRPr="006A3667">
        <w:rPr>
          <w:sz w:val="20"/>
          <w:szCs w:val="20"/>
          <w:lang w:val="pt-BR"/>
        </w:rPr>
        <w:t xml:space="preserve">das </w:t>
      </w:r>
      <w:r w:rsidR="00DC753B" w:rsidRPr="006A3667">
        <w:rPr>
          <w:sz w:val="20"/>
          <w:szCs w:val="20"/>
          <w:lang w:val="pt-BR"/>
        </w:rPr>
        <w:t xml:space="preserve">autoridades </w:t>
      </w:r>
      <w:r>
        <w:rPr>
          <w:sz w:val="20"/>
          <w:szCs w:val="20"/>
          <w:lang w:val="pt-BR"/>
        </w:rPr>
        <w:t>brasileiras</w:t>
      </w:r>
      <w:r w:rsidR="00DC753B" w:rsidRPr="006A3667">
        <w:rPr>
          <w:sz w:val="20"/>
          <w:szCs w:val="20"/>
          <w:lang w:val="pt-BR"/>
        </w:rPr>
        <w:t xml:space="preserve">. </w:t>
      </w:r>
      <w:r>
        <w:rPr>
          <w:sz w:val="20"/>
          <w:szCs w:val="20"/>
          <w:lang w:val="pt-BR"/>
        </w:rPr>
        <w:t xml:space="preserve">Afirmam que a </w:t>
      </w:r>
      <w:r w:rsidR="00C313E0" w:rsidRPr="006A3667">
        <w:rPr>
          <w:sz w:val="20"/>
          <w:szCs w:val="20"/>
          <w:lang w:val="pt-BR"/>
        </w:rPr>
        <w:t>carta</w:t>
      </w:r>
      <w:r w:rsidR="00DC753B" w:rsidRPr="006A3667">
        <w:rPr>
          <w:sz w:val="20"/>
          <w:szCs w:val="20"/>
          <w:lang w:val="pt-BR"/>
        </w:rPr>
        <w:t xml:space="preserve"> rogat</w:t>
      </w:r>
      <w:r>
        <w:rPr>
          <w:sz w:val="20"/>
          <w:szCs w:val="20"/>
          <w:lang w:val="pt-BR"/>
        </w:rPr>
        <w:t>ó</w:t>
      </w:r>
      <w:r w:rsidR="00DC753B" w:rsidRPr="006A3667">
        <w:rPr>
          <w:sz w:val="20"/>
          <w:szCs w:val="20"/>
          <w:lang w:val="pt-BR"/>
        </w:rPr>
        <w:t xml:space="preserve">ria emitida </w:t>
      </w:r>
      <w:r w:rsidR="00772C30">
        <w:rPr>
          <w:sz w:val="20"/>
          <w:szCs w:val="20"/>
          <w:lang w:val="pt-BR"/>
        </w:rPr>
        <w:t xml:space="preserve">contrariou </w:t>
      </w:r>
      <w:r>
        <w:rPr>
          <w:sz w:val="20"/>
          <w:szCs w:val="20"/>
          <w:lang w:val="pt-BR"/>
        </w:rPr>
        <w:t xml:space="preserve">o </w:t>
      </w:r>
      <w:r w:rsidR="00DC753B" w:rsidRPr="006A3667">
        <w:rPr>
          <w:sz w:val="20"/>
          <w:szCs w:val="20"/>
          <w:lang w:val="pt-BR"/>
        </w:rPr>
        <w:t xml:space="preserve">Protocolo de São Luís; que as autoridades </w:t>
      </w:r>
      <w:r>
        <w:rPr>
          <w:sz w:val="20"/>
          <w:szCs w:val="20"/>
          <w:lang w:val="pt-BR"/>
        </w:rPr>
        <w:t xml:space="preserve">brasileiras não deixaram cópia da ordem de busca e apreensão, além de </w:t>
      </w:r>
      <w:r w:rsidR="00BE609A">
        <w:rPr>
          <w:sz w:val="20"/>
          <w:szCs w:val="20"/>
          <w:lang w:val="pt-BR"/>
        </w:rPr>
        <w:t>terem tentado</w:t>
      </w:r>
      <w:r>
        <w:rPr>
          <w:sz w:val="20"/>
          <w:szCs w:val="20"/>
          <w:lang w:val="pt-BR"/>
        </w:rPr>
        <w:t xml:space="preserve"> convencer as </w:t>
      </w:r>
      <w:r w:rsidR="00DC753B" w:rsidRPr="006A3667">
        <w:rPr>
          <w:sz w:val="20"/>
          <w:szCs w:val="20"/>
          <w:lang w:val="pt-BR"/>
        </w:rPr>
        <w:t xml:space="preserve">autoridades </w:t>
      </w:r>
      <w:r>
        <w:rPr>
          <w:sz w:val="20"/>
          <w:szCs w:val="20"/>
          <w:lang w:val="pt-BR"/>
        </w:rPr>
        <w:t xml:space="preserve">uruguaias </w:t>
      </w:r>
      <w:r w:rsidR="00DC753B" w:rsidRPr="006A3667">
        <w:rPr>
          <w:sz w:val="20"/>
          <w:szCs w:val="20"/>
          <w:lang w:val="pt-BR"/>
        </w:rPr>
        <w:t xml:space="preserve">de que as </w:t>
      </w:r>
      <w:r w:rsidR="00EC0BB7" w:rsidRPr="006A3667">
        <w:rPr>
          <w:sz w:val="20"/>
          <w:szCs w:val="20"/>
          <w:lang w:val="pt-BR"/>
        </w:rPr>
        <w:t>supostas vítimas</w:t>
      </w:r>
      <w:r w:rsidR="008C6385">
        <w:rPr>
          <w:sz w:val="20"/>
          <w:szCs w:val="20"/>
          <w:lang w:val="pt-BR"/>
        </w:rPr>
        <w:t xml:space="preserve"> </w:t>
      </w:r>
      <w:r w:rsidR="00DC753B" w:rsidRPr="006A3667">
        <w:rPr>
          <w:sz w:val="20"/>
          <w:szCs w:val="20"/>
          <w:lang w:val="pt-BR"/>
        </w:rPr>
        <w:t>era</w:t>
      </w:r>
      <w:r>
        <w:rPr>
          <w:sz w:val="20"/>
          <w:szCs w:val="20"/>
          <w:lang w:val="pt-BR"/>
        </w:rPr>
        <w:t>m</w:t>
      </w:r>
      <w:r w:rsidR="00DC753B" w:rsidRPr="006A3667">
        <w:rPr>
          <w:sz w:val="20"/>
          <w:szCs w:val="20"/>
          <w:lang w:val="pt-BR"/>
        </w:rPr>
        <w:t xml:space="preserve"> narcotraficantes. </w:t>
      </w:r>
      <w:r w:rsidRPr="006A3667">
        <w:rPr>
          <w:sz w:val="20"/>
          <w:szCs w:val="20"/>
          <w:lang w:val="pt-BR"/>
        </w:rPr>
        <w:t xml:space="preserve">Os peticionários </w:t>
      </w:r>
      <w:r w:rsidR="00DC753B" w:rsidRPr="006A3667">
        <w:rPr>
          <w:sz w:val="20"/>
          <w:szCs w:val="20"/>
          <w:lang w:val="pt-BR"/>
        </w:rPr>
        <w:t>alega</w:t>
      </w:r>
      <w:r w:rsidRPr="006A3667">
        <w:rPr>
          <w:sz w:val="20"/>
          <w:szCs w:val="20"/>
          <w:lang w:val="pt-BR"/>
        </w:rPr>
        <w:t>m</w:t>
      </w:r>
      <w:r w:rsidR="00DC753B" w:rsidRPr="006A3667">
        <w:rPr>
          <w:sz w:val="20"/>
          <w:szCs w:val="20"/>
          <w:lang w:val="pt-BR"/>
        </w:rPr>
        <w:t xml:space="preserve"> que a </w:t>
      </w:r>
      <w:r w:rsidR="00C313E0" w:rsidRPr="006A3667">
        <w:rPr>
          <w:sz w:val="20"/>
          <w:szCs w:val="20"/>
          <w:lang w:val="pt-BR"/>
        </w:rPr>
        <w:t>carta</w:t>
      </w:r>
      <w:r w:rsidR="00DC753B" w:rsidRPr="006A3667">
        <w:rPr>
          <w:sz w:val="20"/>
          <w:szCs w:val="20"/>
          <w:lang w:val="pt-BR"/>
        </w:rPr>
        <w:t xml:space="preserve"> rogat</w:t>
      </w:r>
      <w:r w:rsidRPr="006A3667">
        <w:rPr>
          <w:sz w:val="20"/>
          <w:szCs w:val="20"/>
          <w:lang w:val="pt-BR"/>
        </w:rPr>
        <w:t>ó</w:t>
      </w:r>
      <w:r w:rsidR="00DC753B" w:rsidRPr="006A3667">
        <w:rPr>
          <w:sz w:val="20"/>
          <w:szCs w:val="20"/>
          <w:lang w:val="pt-BR"/>
        </w:rPr>
        <w:t xml:space="preserve">ria </w:t>
      </w:r>
      <w:r w:rsidR="007C4753" w:rsidRPr="006A3667">
        <w:rPr>
          <w:sz w:val="20"/>
          <w:szCs w:val="20"/>
          <w:lang w:val="pt-BR"/>
        </w:rPr>
        <w:t>foi</w:t>
      </w:r>
      <w:r w:rsidR="008C6385">
        <w:rPr>
          <w:sz w:val="20"/>
          <w:szCs w:val="20"/>
          <w:lang w:val="pt-BR"/>
        </w:rPr>
        <w:t xml:space="preserve"> </w:t>
      </w:r>
      <w:r w:rsidR="00DC753B" w:rsidRPr="006A3667">
        <w:rPr>
          <w:sz w:val="20"/>
          <w:szCs w:val="20"/>
          <w:lang w:val="pt-BR"/>
        </w:rPr>
        <w:t xml:space="preserve">emitida </w:t>
      </w:r>
      <w:r>
        <w:rPr>
          <w:sz w:val="20"/>
          <w:szCs w:val="20"/>
          <w:lang w:val="pt-BR"/>
        </w:rPr>
        <w:t xml:space="preserve">anteriormente à denúncia e </w:t>
      </w:r>
      <w:r w:rsidR="00DC753B" w:rsidRPr="006A3667">
        <w:rPr>
          <w:sz w:val="20"/>
          <w:szCs w:val="20"/>
          <w:lang w:val="pt-BR"/>
        </w:rPr>
        <w:t>menciona</w:t>
      </w:r>
      <w:r w:rsidR="008C6385">
        <w:rPr>
          <w:sz w:val="20"/>
          <w:szCs w:val="20"/>
          <w:lang w:val="pt-BR"/>
        </w:rPr>
        <w:t xml:space="preserve"> </w:t>
      </w:r>
      <w:r>
        <w:rPr>
          <w:sz w:val="20"/>
          <w:szCs w:val="20"/>
          <w:lang w:val="pt-BR"/>
        </w:rPr>
        <w:t xml:space="preserve">crimes pelos quais as </w:t>
      </w:r>
      <w:r w:rsidR="00EC0BB7" w:rsidRPr="006A3667">
        <w:rPr>
          <w:sz w:val="20"/>
          <w:szCs w:val="20"/>
          <w:lang w:val="pt-BR"/>
        </w:rPr>
        <w:t>supostas vítimas</w:t>
      </w:r>
      <w:r w:rsidR="008C6385">
        <w:rPr>
          <w:sz w:val="20"/>
          <w:szCs w:val="20"/>
          <w:lang w:val="pt-BR"/>
        </w:rPr>
        <w:t xml:space="preserve"> </w:t>
      </w:r>
      <w:r>
        <w:rPr>
          <w:sz w:val="20"/>
          <w:szCs w:val="20"/>
          <w:lang w:val="pt-BR"/>
        </w:rPr>
        <w:t xml:space="preserve">já haviam </w:t>
      </w:r>
      <w:r w:rsidR="00DC753B" w:rsidRPr="006A3667">
        <w:rPr>
          <w:sz w:val="20"/>
          <w:szCs w:val="20"/>
          <w:lang w:val="pt-BR"/>
        </w:rPr>
        <w:t xml:space="preserve">sido </w:t>
      </w:r>
      <w:r>
        <w:rPr>
          <w:sz w:val="20"/>
          <w:szCs w:val="20"/>
          <w:lang w:val="pt-BR"/>
        </w:rPr>
        <w:t>absolvidas</w:t>
      </w:r>
      <w:r w:rsidR="00DC753B" w:rsidRPr="006A3667">
        <w:rPr>
          <w:sz w:val="20"/>
          <w:szCs w:val="20"/>
          <w:lang w:val="pt-BR"/>
        </w:rPr>
        <w:t xml:space="preserve">; </w:t>
      </w:r>
      <w:r>
        <w:rPr>
          <w:sz w:val="20"/>
          <w:szCs w:val="20"/>
          <w:lang w:val="pt-BR"/>
        </w:rPr>
        <w:t>e</w:t>
      </w:r>
      <w:r w:rsidR="00DC753B" w:rsidRPr="006A3667">
        <w:rPr>
          <w:sz w:val="20"/>
          <w:szCs w:val="20"/>
          <w:lang w:val="pt-BR"/>
        </w:rPr>
        <w:t xml:space="preserve"> que </w:t>
      </w:r>
      <w:r>
        <w:rPr>
          <w:sz w:val="20"/>
          <w:szCs w:val="20"/>
          <w:lang w:val="pt-BR"/>
        </w:rPr>
        <w:t xml:space="preserve">não houve </w:t>
      </w:r>
      <w:r w:rsidR="00DC753B" w:rsidRPr="006A3667">
        <w:rPr>
          <w:sz w:val="20"/>
          <w:szCs w:val="20"/>
          <w:lang w:val="pt-BR"/>
        </w:rPr>
        <w:t>autoriza</w:t>
      </w:r>
      <w:r w:rsidR="00B153E7" w:rsidRPr="006A3667">
        <w:rPr>
          <w:sz w:val="20"/>
          <w:szCs w:val="20"/>
          <w:lang w:val="pt-BR"/>
        </w:rPr>
        <w:t>ção</w:t>
      </w:r>
      <w:r w:rsidR="00DC753B" w:rsidRPr="006A3667">
        <w:rPr>
          <w:sz w:val="20"/>
          <w:szCs w:val="20"/>
          <w:lang w:val="pt-BR"/>
        </w:rPr>
        <w:t xml:space="preserve"> para a </w:t>
      </w:r>
      <w:r w:rsidR="00891A5F" w:rsidRPr="006A3667">
        <w:rPr>
          <w:sz w:val="20"/>
          <w:szCs w:val="20"/>
          <w:lang w:val="pt-BR"/>
        </w:rPr>
        <w:t>ação</w:t>
      </w:r>
      <w:r w:rsidR="008C6385">
        <w:rPr>
          <w:sz w:val="20"/>
          <w:szCs w:val="20"/>
          <w:lang w:val="pt-BR"/>
        </w:rPr>
        <w:t xml:space="preserve"> </w:t>
      </w:r>
      <w:r w:rsidR="00DC753B" w:rsidRPr="006A3667">
        <w:rPr>
          <w:sz w:val="20"/>
          <w:szCs w:val="20"/>
          <w:lang w:val="pt-BR"/>
        </w:rPr>
        <w:t xml:space="preserve">de </w:t>
      </w:r>
      <w:r>
        <w:rPr>
          <w:sz w:val="20"/>
          <w:szCs w:val="20"/>
          <w:lang w:val="pt-BR"/>
        </w:rPr>
        <w:t>busca e apreensão na residência</w:t>
      </w:r>
      <w:r w:rsidR="00DC753B" w:rsidRPr="006A3667">
        <w:rPr>
          <w:sz w:val="20"/>
          <w:szCs w:val="20"/>
          <w:lang w:val="pt-BR"/>
        </w:rPr>
        <w:t xml:space="preserve">. Finalmente, </w:t>
      </w:r>
      <w:r w:rsidRPr="006A3667">
        <w:rPr>
          <w:sz w:val="20"/>
          <w:szCs w:val="20"/>
          <w:lang w:val="pt-BR"/>
        </w:rPr>
        <w:t>considera</w:t>
      </w:r>
      <w:r w:rsidR="007C470D">
        <w:rPr>
          <w:sz w:val="20"/>
          <w:szCs w:val="20"/>
          <w:lang w:val="pt-BR"/>
        </w:rPr>
        <w:t>m</w:t>
      </w:r>
      <w:r w:rsidRPr="006A3667">
        <w:rPr>
          <w:sz w:val="20"/>
          <w:szCs w:val="20"/>
          <w:lang w:val="pt-BR"/>
        </w:rPr>
        <w:t xml:space="preserve"> que n</w:t>
      </w:r>
      <w:r w:rsidR="007C470D">
        <w:rPr>
          <w:sz w:val="20"/>
          <w:szCs w:val="20"/>
          <w:lang w:val="pt-BR"/>
        </w:rPr>
        <w:t>ã</w:t>
      </w:r>
      <w:r w:rsidRPr="006A3667">
        <w:rPr>
          <w:sz w:val="20"/>
          <w:szCs w:val="20"/>
          <w:lang w:val="pt-BR"/>
        </w:rPr>
        <w:t>o é possív</w:t>
      </w:r>
      <w:r>
        <w:rPr>
          <w:sz w:val="20"/>
          <w:szCs w:val="20"/>
          <w:lang w:val="pt-BR"/>
        </w:rPr>
        <w:t xml:space="preserve">el obter justiça </w:t>
      </w:r>
      <w:r w:rsidR="007C470D">
        <w:rPr>
          <w:sz w:val="20"/>
          <w:szCs w:val="20"/>
          <w:lang w:val="pt-BR"/>
        </w:rPr>
        <w:t>per</w:t>
      </w:r>
      <w:r w:rsidR="00DC753B" w:rsidRPr="006A3667">
        <w:rPr>
          <w:sz w:val="20"/>
          <w:szCs w:val="20"/>
          <w:lang w:val="pt-BR"/>
        </w:rPr>
        <w:t xml:space="preserve">ante </w:t>
      </w:r>
      <w:r w:rsidR="007C470D">
        <w:rPr>
          <w:sz w:val="20"/>
          <w:szCs w:val="20"/>
          <w:lang w:val="pt-BR"/>
        </w:rPr>
        <w:t xml:space="preserve">o </w:t>
      </w:r>
      <w:r w:rsidR="00DC753B" w:rsidRPr="006A3667">
        <w:rPr>
          <w:sz w:val="20"/>
          <w:szCs w:val="20"/>
          <w:lang w:val="pt-BR"/>
        </w:rPr>
        <w:t xml:space="preserve">Poder </w:t>
      </w:r>
      <w:r w:rsidR="007C470D">
        <w:rPr>
          <w:sz w:val="20"/>
          <w:szCs w:val="20"/>
          <w:lang w:val="pt-BR"/>
        </w:rPr>
        <w:t xml:space="preserve">Judiciário do </w:t>
      </w:r>
      <w:r w:rsidR="00DC753B" w:rsidRPr="006A3667">
        <w:rPr>
          <w:sz w:val="20"/>
          <w:szCs w:val="20"/>
          <w:lang w:val="pt-BR"/>
        </w:rPr>
        <w:t>Estado d</w:t>
      </w:r>
      <w:r w:rsidR="007C470D">
        <w:rPr>
          <w:sz w:val="20"/>
          <w:szCs w:val="20"/>
          <w:lang w:val="pt-BR"/>
        </w:rPr>
        <w:t>o</w:t>
      </w:r>
      <w:r w:rsidR="00DC753B" w:rsidRPr="006A3667">
        <w:rPr>
          <w:sz w:val="20"/>
          <w:szCs w:val="20"/>
          <w:lang w:val="pt-BR"/>
        </w:rPr>
        <w:t xml:space="preserve"> Rio Grande do Sul, </w:t>
      </w:r>
      <w:r w:rsidR="007C470D">
        <w:rPr>
          <w:sz w:val="20"/>
          <w:szCs w:val="20"/>
          <w:lang w:val="pt-BR"/>
        </w:rPr>
        <w:t xml:space="preserve">já que </w:t>
      </w:r>
      <w:r w:rsidR="00772C30">
        <w:rPr>
          <w:sz w:val="20"/>
          <w:szCs w:val="20"/>
          <w:lang w:val="pt-BR"/>
        </w:rPr>
        <w:t>esse estado</w:t>
      </w:r>
      <w:r w:rsidR="007C470D">
        <w:rPr>
          <w:sz w:val="20"/>
          <w:szCs w:val="20"/>
          <w:lang w:val="pt-BR"/>
        </w:rPr>
        <w:t xml:space="preserve">, em </w:t>
      </w:r>
      <w:r w:rsidR="00C313E0" w:rsidRPr="006A3667">
        <w:rPr>
          <w:sz w:val="20"/>
          <w:szCs w:val="20"/>
          <w:lang w:val="pt-BR"/>
        </w:rPr>
        <w:t>coopera</w:t>
      </w:r>
      <w:r w:rsidR="00B153E7" w:rsidRPr="006A3667">
        <w:rPr>
          <w:sz w:val="20"/>
          <w:szCs w:val="20"/>
          <w:lang w:val="pt-BR"/>
        </w:rPr>
        <w:t>ção</w:t>
      </w:r>
      <w:r w:rsidR="00DC753B" w:rsidRPr="006A3667">
        <w:rPr>
          <w:sz w:val="20"/>
          <w:szCs w:val="20"/>
          <w:lang w:val="pt-BR"/>
        </w:rPr>
        <w:t xml:space="preserve"> </w:t>
      </w:r>
      <w:r w:rsidR="007C470D">
        <w:rPr>
          <w:sz w:val="20"/>
          <w:szCs w:val="20"/>
          <w:lang w:val="pt-BR"/>
        </w:rPr>
        <w:t xml:space="preserve">com os meios </w:t>
      </w:r>
      <w:r w:rsidR="00DC753B" w:rsidRPr="006A3667">
        <w:rPr>
          <w:sz w:val="20"/>
          <w:szCs w:val="20"/>
          <w:lang w:val="pt-BR"/>
        </w:rPr>
        <w:t>loc</w:t>
      </w:r>
      <w:r w:rsidR="00B153E7" w:rsidRPr="006A3667">
        <w:rPr>
          <w:sz w:val="20"/>
          <w:szCs w:val="20"/>
          <w:lang w:val="pt-BR"/>
        </w:rPr>
        <w:t>ais</w:t>
      </w:r>
      <w:r w:rsidR="008C6385">
        <w:rPr>
          <w:sz w:val="20"/>
          <w:szCs w:val="20"/>
          <w:lang w:val="pt-BR"/>
        </w:rPr>
        <w:t xml:space="preserve"> </w:t>
      </w:r>
      <w:r w:rsidR="00C313E0" w:rsidRPr="006A3667">
        <w:rPr>
          <w:sz w:val="20"/>
          <w:szCs w:val="20"/>
          <w:lang w:val="pt-BR"/>
        </w:rPr>
        <w:t>de comunica</w:t>
      </w:r>
      <w:r w:rsidR="00B153E7" w:rsidRPr="006A3667">
        <w:rPr>
          <w:sz w:val="20"/>
          <w:szCs w:val="20"/>
          <w:lang w:val="pt-BR"/>
        </w:rPr>
        <w:t>ção</w:t>
      </w:r>
      <w:r w:rsidR="00DC753B" w:rsidRPr="006A3667">
        <w:rPr>
          <w:sz w:val="20"/>
          <w:szCs w:val="20"/>
          <w:lang w:val="pt-BR"/>
        </w:rPr>
        <w:t xml:space="preserve"> </w:t>
      </w:r>
      <w:r w:rsidR="00C313E0" w:rsidRPr="006A3667">
        <w:rPr>
          <w:sz w:val="20"/>
          <w:szCs w:val="20"/>
          <w:lang w:val="pt-BR"/>
        </w:rPr>
        <w:t xml:space="preserve">que as </w:t>
      </w:r>
      <w:r w:rsidR="007C470D">
        <w:rPr>
          <w:sz w:val="20"/>
          <w:szCs w:val="20"/>
          <w:lang w:val="pt-BR"/>
        </w:rPr>
        <w:t>hostilizam</w:t>
      </w:r>
      <w:r w:rsidR="00DC753B" w:rsidRPr="006A3667">
        <w:rPr>
          <w:sz w:val="20"/>
          <w:szCs w:val="20"/>
          <w:lang w:val="pt-BR"/>
        </w:rPr>
        <w:t xml:space="preserve">, </w:t>
      </w:r>
      <w:r w:rsidR="007C470D">
        <w:rPr>
          <w:sz w:val="20"/>
          <w:szCs w:val="20"/>
          <w:lang w:val="pt-BR"/>
        </w:rPr>
        <w:t xml:space="preserve">persegue as </w:t>
      </w:r>
      <w:r w:rsidR="00EC0BB7" w:rsidRPr="006A3667">
        <w:rPr>
          <w:sz w:val="20"/>
          <w:szCs w:val="20"/>
          <w:lang w:val="pt-BR"/>
        </w:rPr>
        <w:t>supostas vítimas</w:t>
      </w:r>
      <w:r w:rsidR="008C6385">
        <w:rPr>
          <w:sz w:val="20"/>
          <w:szCs w:val="20"/>
          <w:lang w:val="pt-BR"/>
        </w:rPr>
        <w:t xml:space="preserve"> </w:t>
      </w:r>
      <w:r w:rsidR="007C470D">
        <w:rPr>
          <w:sz w:val="20"/>
          <w:szCs w:val="20"/>
          <w:lang w:val="pt-BR"/>
        </w:rPr>
        <w:t xml:space="preserve">e suas </w:t>
      </w:r>
      <w:r w:rsidR="00C313E0" w:rsidRPr="006A3667">
        <w:rPr>
          <w:sz w:val="20"/>
          <w:szCs w:val="20"/>
          <w:lang w:val="pt-BR"/>
        </w:rPr>
        <w:t>empresas.</w:t>
      </w:r>
    </w:p>
    <w:p w14:paraId="52645E16" w14:textId="0B6C0BD9" w:rsidR="001A76C6" w:rsidRPr="007C470D" w:rsidRDefault="007C470D" w:rsidP="001A76C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u w:val="single"/>
          <w:lang w:val="pt-BR"/>
        </w:rPr>
      </w:pPr>
      <w:r w:rsidRPr="007C470D">
        <w:rPr>
          <w:sz w:val="20"/>
          <w:szCs w:val="20"/>
          <w:u w:val="single"/>
          <w:lang w:val="pt-BR"/>
        </w:rPr>
        <w:t>O</w:t>
      </w:r>
      <w:r w:rsidR="001A76C6" w:rsidRPr="007C470D">
        <w:rPr>
          <w:sz w:val="20"/>
          <w:szCs w:val="20"/>
          <w:u w:val="single"/>
          <w:lang w:val="pt-BR"/>
        </w:rPr>
        <w:t xml:space="preserve"> </w:t>
      </w:r>
      <w:r w:rsidR="00EC0BB7" w:rsidRPr="007C470D">
        <w:rPr>
          <w:sz w:val="20"/>
          <w:szCs w:val="20"/>
          <w:u w:val="single"/>
          <w:lang w:val="pt-BR"/>
        </w:rPr>
        <w:t>processo</w:t>
      </w:r>
      <w:r w:rsidR="008C6385">
        <w:rPr>
          <w:sz w:val="20"/>
          <w:szCs w:val="20"/>
          <w:u w:val="single"/>
          <w:lang w:val="pt-BR"/>
        </w:rPr>
        <w:t xml:space="preserve"> </w:t>
      </w:r>
      <w:r w:rsidR="001A76C6" w:rsidRPr="007C470D">
        <w:rPr>
          <w:sz w:val="20"/>
          <w:szCs w:val="20"/>
          <w:u w:val="single"/>
          <w:lang w:val="pt-BR"/>
        </w:rPr>
        <w:t xml:space="preserve">penal </w:t>
      </w:r>
      <w:r w:rsidRPr="007C470D">
        <w:rPr>
          <w:sz w:val="20"/>
          <w:szCs w:val="20"/>
          <w:u w:val="single"/>
          <w:lang w:val="pt-BR"/>
        </w:rPr>
        <w:t xml:space="preserve">e as </w:t>
      </w:r>
      <w:r w:rsidR="001A76C6" w:rsidRPr="007C470D">
        <w:rPr>
          <w:sz w:val="20"/>
          <w:szCs w:val="20"/>
          <w:u w:val="single"/>
          <w:lang w:val="pt-BR"/>
        </w:rPr>
        <w:t>considera</w:t>
      </w:r>
      <w:r w:rsidR="00B153E7" w:rsidRPr="007C470D">
        <w:rPr>
          <w:sz w:val="20"/>
          <w:szCs w:val="20"/>
          <w:u w:val="single"/>
          <w:lang w:val="pt-BR"/>
        </w:rPr>
        <w:t>ções</w:t>
      </w:r>
      <w:r w:rsidR="001A76C6" w:rsidRPr="007C470D">
        <w:rPr>
          <w:sz w:val="20"/>
          <w:szCs w:val="20"/>
          <w:u w:val="single"/>
          <w:lang w:val="pt-BR"/>
        </w:rPr>
        <w:t xml:space="preserve"> d</w:t>
      </w:r>
      <w:r w:rsidRPr="007C470D">
        <w:rPr>
          <w:sz w:val="20"/>
          <w:szCs w:val="20"/>
          <w:u w:val="single"/>
          <w:lang w:val="pt-BR"/>
        </w:rPr>
        <w:t>o</w:t>
      </w:r>
      <w:r w:rsidR="001A76C6" w:rsidRPr="007C470D">
        <w:rPr>
          <w:sz w:val="20"/>
          <w:szCs w:val="20"/>
          <w:u w:val="single"/>
          <w:lang w:val="pt-BR"/>
        </w:rPr>
        <w:t xml:space="preserve"> peticion</w:t>
      </w:r>
      <w:r>
        <w:rPr>
          <w:sz w:val="20"/>
          <w:szCs w:val="20"/>
          <w:u w:val="single"/>
          <w:lang w:val="pt-BR"/>
        </w:rPr>
        <w:t>á</w:t>
      </w:r>
      <w:r w:rsidR="001A76C6" w:rsidRPr="007C470D">
        <w:rPr>
          <w:sz w:val="20"/>
          <w:szCs w:val="20"/>
          <w:u w:val="single"/>
          <w:lang w:val="pt-BR"/>
        </w:rPr>
        <w:t>rio sobre admis</w:t>
      </w:r>
      <w:r>
        <w:rPr>
          <w:sz w:val="20"/>
          <w:szCs w:val="20"/>
          <w:u w:val="single"/>
          <w:lang w:val="pt-BR"/>
        </w:rPr>
        <w:t>s</w:t>
      </w:r>
      <w:r w:rsidR="001A76C6" w:rsidRPr="007C470D">
        <w:rPr>
          <w:sz w:val="20"/>
          <w:szCs w:val="20"/>
          <w:u w:val="single"/>
          <w:lang w:val="pt-BR"/>
        </w:rPr>
        <w:t>ibilidad</w:t>
      </w:r>
      <w:r>
        <w:rPr>
          <w:sz w:val="20"/>
          <w:szCs w:val="20"/>
          <w:u w:val="single"/>
          <w:lang w:val="pt-BR"/>
        </w:rPr>
        <w:t>e</w:t>
      </w:r>
    </w:p>
    <w:p w14:paraId="6F7A4888" w14:textId="14051531" w:rsidR="001A76C6" w:rsidRPr="007C470D" w:rsidRDefault="001A76C6" w:rsidP="001A76C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7C470D">
        <w:rPr>
          <w:sz w:val="20"/>
          <w:szCs w:val="20"/>
          <w:lang w:val="pt-BR"/>
        </w:rPr>
        <w:t xml:space="preserve"> </w:t>
      </w:r>
      <w:r w:rsidR="007C470D" w:rsidRPr="007C470D">
        <w:rPr>
          <w:sz w:val="20"/>
          <w:szCs w:val="20"/>
          <w:lang w:val="pt-BR"/>
        </w:rPr>
        <w:t>A</w:t>
      </w:r>
      <w:r w:rsidRPr="007C470D">
        <w:rPr>
          <w:sz w:val="20"/>
          <w:szCs w:val="20"/>
          <w:lang w:val="pt-BR"/>
        </w:rPr>
        <w:t xml:space="preserve"> </w:t>
      </w:r>
      <w:r w:rsidR="007C470D" w:rsidRPr="007C470D">
        <w:rPr>
          <w:sz w:val="20"/>
          <w:szCs w:val="20"/>
          <w:lang w:val="pt-BR"/>
        </w:rPr>
        <w:t>Comissão</w:t>
      </w:r>
      <w:r w:rsidR="008C6385">
        <w:rPr>
          <w:sz w:val="20"/>
          <w:szCs w:val="20"/>
          <w:lang w:val="pt-BR"/>
        </w:rPr>
        <w:t xml:space="preserve"> </w:t>
      </w:r>
      <w:r w:rsidRPr="007C470D">
        <w:rPr>
          <w:sz w:val="20"/>
          <w:szCs w:val="20"/>
          <w:lang w:val="pt-BR"/>
        </w:rPr>
        <w:t xml:space="preserve">Interamericana </w:t>
      </w:r>
      <w:r w:rsidR="007C470D" w:rsidRPr="007C470D">
        <w:rPr>
          <w:sz w:val="20"/>
          <w:szCs w:val="20"/>
          <w:lang w:val="pt-BR"/>
        </w:rPr>
        <w:t xml:space="preserve">observa que a </w:t>
      </w:r>
      <w:r w:rsidRPr="007C470D">
        <w:rPr>
          <w:sz w:val="20"/>
          <w:szCs w:val="20"/>
          <w:lang w:val="pt-BR"/>
        </w:rPr>
        <w:t>informa</w:t>
      </w:r>
      <w:r w:rsidR="00B153E7" w:rsidRPr="007C470D">
        <w:rPr>
          <w:sz w:val="20"/>
          <w:szCs w:val="20"/>
          <w:lang w:val="pt-BR"/>
        </w:rPr>
        <w:t>ção</w:t>
      </w:r>
      <w:r w:rsidRPr="007C470D">
        <w:rPr>
          <w:sz w:val="20"/>
          <w:szCs w:val="20"/>
          <w:lang w:val="pt-BR"/>
        </w:rPr>
        <w:t xml:space="preserve"> sobre os </w:t>
      </w:r>
      <w:r w:rsidR="00EC0BB7" w:rsidRPr="007C470D">
        <w:rPr>
          <w:sz w:val="20"/>
          <w:szCs w:val="20"/>
          <w:lang w:val="pt-BR"/>
        </w:rPr>
        <w:t>processos</w:t>
      </w:r>
      <w:r w:rsidR="008C6385">
        <w:rPr>
          <w:sz w:val="20"/>
          <w:szCs w:val="20"/>
          <w:lang w:val="pt-BR"/>
        </w:rPr>
        <w:t xml:space="preserve"> </w:t>
      </w:r>
      <w:r w:rsidRPr="007C470D">
        <w:rPr>
          <w:sz w:val="20"/>
          <w:szCs w:val="20"/>
          <w:lang w:val="pt-BR"/>
        </w:rPr>
        <w:t xml:space="preserve">internos </w:t>
      </w:r>
      <w:r w:rsidR="007C470D" w:rsidRPr="007C470D">
        <w:rPr>
          <w:sz w:val="20"/>
          <w:szCs w:val="20"/>
          <w:lang w:val="pt-BR"/>
        </w:rPr>
        <w:t>n</w:t>
      </w:r>
      <w:r w:rsidR="007C470D">
        <w:rPr>
          <w:sz w:val="20"/>
          <w:szCs w:val="20"/>
          <w:lang w:val="pt-BR"/>
        </w:rPr>
        <w:t>ão é a</w:t>
      </w:r>
      <w:r w:rsidRPr="007C470D">
        <w:rPr>
          <w:sz w:val="20"/>
          <w:szCs w:val="20"/>
          <w:lang w:val="pt-BR"/>
        </w:rPr>
        <w:t xml:space="preserve">presentada de </w:t>
      </w:r>
      <w:r w:rsidR="006A3667" w:rsidRPr="007C470D">
        <w:rPr>
          <w:sz w:val="20"/>
          <w:szCs w:val="20"/>
          <w:lang w:val="pt-BR"/>
        </w:rPr>
        <w:t>maneira</w:t>
      </w:r>
      <w:r w:rsidR="008C6385">
        <w:rPr>
          <w:sz w:val="20"/>
          <w:szCs w:val="20"/>
          <w:lang w:val="pt-BR"/>
        </w:rPr>
        <w:t xml:space="preserve"> </w:t>
      </w:r>
      <w:r w:rsidRPr="007C470D">
        <w:rPr>
          <w:sz w:val="20"/>
          <w:szCs w:val="20"/>
          <w:lang w:val="pt-BR"/>
        </w:rPr>
        <w:t xml:space="preserve">clara, completa </w:t>
      </w:r>
      <w:r w:rsidR="007C470D">
        <w:rPr>
          <w:sz w:val="20"/>
          <w:szCs w:val="20"/>
          <w:lang w:val="pt-BR"/>
        </w:rPr>
        <w:t>e</w:t>
      </w:r>
      <w:r w:rsidRPr="007C470D">
        <w:rPr>
          <w:sz w:val="20"/>
          <w:szCs w:val="20"/>
          <w:lang w:val="pt-BR"/>
        </w:rPr>
        <w:t xml:space="preserve"> sistemática, </w:t>
      </w:r>
      <w:r w:rsidR="007C470D">
        <w:rPr>
          <w:sz w:val="20"/>
          <w:szCs w:val="20"/>
          <w:lang w:val="pt-BR"/>
        </w:rPr>
        <w:t>e que muitos dos fatos são mencionados sem a respectiva data.</w:t>
      </w:r>
    </w:p>
    <w:p w14:paraId="076C8CCB" w14:textId="28F1DE58" w:rsidR="001A76C6" w:rsidRPr="00692FD2" w:rsidRDefault="001A76C6" w:rsidP="00BB74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773AEF">
        <w:rPr>
          <w:sz w:val="20"/>
          <w:szCs w:val="20"/>
          <w:lang w:val="pt-BR"/>
        </w:rPr>
        <w:t>A</w:t>
      </w:r>
      <w:r w:rsidR="00773AEF" w:rsidRPr="00773AEF">
        <w:rPr>
          <w:sz w:val="20"/>
          <w:szCs w:val="20"/>
          <w:lang w:val="pt-BR"/>
        </w:rPr>
        <w:t>lém disso</w:t>
      </w:r>
      <w:r w:rsidR="00C43094" w:rsidRPr="00773AEF">
        <w:rPr>
          <w:sz w:val="20"/>
          <w:szCs w:val="20"/>
          <w:lang w:val="pt-BR"/>
        </w:rPr>
        <w:t xml:space="preserve">, </w:t>
      </w:r>
      <w:r w:rsidRPr="00773AEF">
        <w:rPr>
          <w:sz w:val="20"/>
          <w:szCs w:val="20"/>
          <w:lang w:val="pt-BR"/>
        </w:rPr>
        <w:t>nas subse</w:t>
      </w:r>
      <w:r w:rsidR="00B153E7" w:rsidRPr="00773AEF">
        <w:rPr>
          <w:sz w:val="20"/>
          <w:szCs w:val="20"/>
          <w:lang w:val="pt-BR"/>
        </w:rPr>
        <w:t>ções</w:t>
      </w:r>
      <w:r w:rsidRPr="00773AEF">
        <w:rPr>
          <w:sz w:val="20"/>
          <w:szCs w:val="20"/>
          <w:lang w:val="pt-BR"/>
        </w:rPr>
        <w:t xml:space="preserve"> anteriores, </w:t>
      </w:r>
      <w:r w:rsidR="00773AEF">
        <w:rPr>
          <w:sz w:val="20"/>
          <w:szCs w:val="20"/>
          <w:lang w:val="pt-BR"/>
        </w:rPr>
        <w:t>do</w:t>
      </w:r>
      <w:r w:rsidRPr="00773AEF">
        <w:rPr>
          <w:sz w:val="20"/>
          <w:szCs w:val="20"/>
          <w:lang w:val="pt-BR"/>
        </w:rPr>
        <w:t xml:space="preserve">s escritos </w:t>
      </w:r>
      <w:r w:rsidR="00773AEF" w:rsidRPr="00773AEF">
        <w:rPr>
          <w:sz w:val="20"/>
          <w:szCs w:val="20"/>
          <w:lang w:val="pt-BR"/>
        </w:rPr>
        <w:t>e</w:t>
      </w:r>
      <w:r w:rsidRPr="00773AEF">
        <w:rPr>
          <w:sz w:val="20"/>
          <w:szCs w:val="20"/>
          <w:lang w:val="pt-BR"/>
        </w:rPr>
        <w:t xml:space="preserve"> documentos </w:t>
      </w:r>
      <w:r w:rsidR="00773AEF">
        <w:rPr>
          <w:sz w:val="20"/>
          <w:szCs w:val="20"/>
          <w:lang w:val="pt-BR"/>
        </w:rPr>
        <w:t>a</w:t>
      </w:r>
      <w:r w:rsidRPr="00773AEF">
        <w:rPr>
          <w:sz w:val="20"/>
          <w:szCs w:val="20"/>
          <w:lang w:val="pt-BR"/>
        </w:rPr>
        <w:t>presentados p</w:t>
      </w:r>
      <w:r w:rsidR="00773AEF">
        <w:rPr>
          <w:sz w:val="20"/>
          <w:szCs w:val="20"/>
          <w:lang w:val="pt-BR"/>
        </w:rPr>
        <w:t xml:space="preserve">ela </w:t>
      </w:r>
      <w:r w:rsidRPr="00773AEF">
        <w:rPr>
          <w:sz w:val="20"/>
          <w:szCs w:val="20"/>
          <w:lang w:val="pt-BR"/>
        </w:rPr>
        <w:t xml:space="preserve">parte </w:t>
      </w:r>
      <w:r w:rsidR="00D64156" w:rsidRPr="00773AEF">
        <w:rPr>
          <w:sz w:val="20"/>
          <w:szCs w:val="20"/>
          <w:lang w:val="pt-BR"/>
        </w:rPr>
        <w:t>peticionária</w:t>
      </w:r>
      <w:r w:rsidRPr="00773AEF">
        <w:rPr>
          <w:sz w:val="20"/>
          <w:szCs w:val="20"/>
          <w:lang w:val="pt-BR"/>
        </w:rPr>
        <w:t xml:space="preserve">, </w:t>
      </w:r>
      <w:r w:rsidR="00773AEF">
        <w:rPr>
          <w:sz w:val="20"/>
          <w:szCs w:val="20"/>
          <w:lang w:val="pt-BR"/>
        </w:rPr>
        <w:t xml:space="preserve">é possível </w:t>
      </w:r>
      <w:r w:rsidRPr="00773AEF">
        <w:rPr>
          <w:sz w:val="20"/>
          <w:szCs w:val="20"/>
          <w:lang w:val="pt-BR"/>
        </w:rPr>
        <w:t xml:space="preserve">inferir que Wolf Gruenberg </w:t>
      </w:r>
      <w:r w:rsidR="00773AEF">
        <w:rPr>
          <w:sz w:val="20"/>
          <w:szCs w:val="20"/>
          <w:lang w:val="pt-BR"/>
        </w:rPr>
        <w:t>e</w:t>
      </w:r>
      <w:r w:rsidRPr="00773AEF">
        <w:rPr>
          <w:sz w:val="20"/>
          <w:szCs w:val="20"/>
          <w:lang w:val="pt-BR"/>
        </w:rPr>
        <w:t xml:space="preserve"> Betty Gruenberg f</w:t>
      </w:r>
      <w:r w:rsidR="00773AEF">
        <w:rPr>
          <w:sz w:val="20"/>
          <w:szCs w:val="20"/>
          <w:lang w:val="pt-BR"/>
        </w:rPr>
        <w:t xml:space="preserve">oram </w:t>
      </w:r>
      <w:r w:rsidRPr="00773AEF">
        <w:rPr>
          <w:sz w:val="20"/>
          <w:szCs w:val="20"/>
          <w:lang w:val="pt-BR"/>
        </w:rPr>
        <w:t xml:space="preserve">investigados </w:t>
      </w:r>
      <w:r w:rsidR="00773AEF">
        <w:rPr>
          <w:sz w:val="20"/>
          <w:szCs w:val="20"/>
          <w:lang w:val="pt-BR"/>
        </w:rPr>
        <w:t>e</w:t>
      </w:r>
      <w:r w:rsidRPr="00773AEF">
        <w:rPr>
          <w:sz w:val="20"/>
          <w:szCs w:val="20"/>
          <w:lang w:val="pt-BR"/>
        </w:rPr>
        <w:t xml:space="preserve"> proce</w:t>
      </w:r>
      <w:r w:rsidR="00773AEF">
        <w:rPr>
          <w:sz w:val="20"/>
          <w:szCs w:val="20"/>
          <w:lang w:val="pt-BR"/>
        </w:rPr>
        <w:t>s</w:t>
      </w:r>
      <w:r w:rsidRPr="00773AEF">
        <w:rPr>
          <w:sz w:val="20"/>
          <w:szCs w:val="20"/>
          <w:lang w:val="pt-BR"/>
        </w:rPr>
        <w:t xml:space="preserve">sados penalmente entre 2007 </w:t>
      </w:r>
      <w:r w:rsidR="00773AEF">
        <w:rPr>
          <w:sz w:val="20"/>
          <w:szCs w:val="20"/>
          <w:lang w:val="pt-BR"/>
        </w:rPr>
        <w:t>e</w:t>
      </w:r>
      <w:r w:rsidRPr="00773AEF">
        <w:rPr>
          <w:sz w:val="20"/>
          <w:szCs w:val="20"/>
          <w:lang w:val="pt-BR"/>
        </w:rPr>
        <w:t xml:space="preserve"> 2021. </w:t>
      </w:r>
      <w:r w:rsidR="00773AEF">
        <w:rPr>
          <w:sz w:val="20"/>
          <w:szCs w:val="20"/>
          <w:lang w:val="pt-BR"/>
        </w:rPr>
        <w:t>Ne</w:t>
      </w:r>
      <w:r w:rsidR="008317B2" w:rsidRPr="007C4753">
        <w:rPr>
          <w:sz w:val="20"/>
          <w:szCs w:val="20"/>
          <w:lang w:val="pt-BR"/>
        </w:rPr>
        <w:t>s</w:t>
      </w:r>
      <w:r w:rsidR="00773AEF">
        <w:rPr>
          <w:sz w:val="20"/>
          <w:szCs w:val="20"/>
          <w:lang w:val="pt-BR"/>
        </w:rPr>
        <w:t>s</w:t>
      </w:r>
      <w:r w:rsidR="008317B2" w:rsidRPr="007C4753">
        <w:rPr>
          <w:sz w:val="20"/>
          <w:szCs w:val="20"/>
          <w:lang w:val="pt-BR"/>
        </w:rPr>
        <w:t>e</w:t>
      </w:r>
      <w:r w:rsidRPr="007C4753">
        <w:rPr>
          <w:sz w:val="20"/>
          <w:szCs w:val="20"/>
          <w:lang w:val="pt-BR"/>
        </w:rPr>
        <w:t xml:space="preserve"> período, f</w:t>
      </w:r>
      <w:r w:rsidR="00773AEF">
        <w:rPr>
          <w:sz w:val="20"/>
          <w:szCs w:val="20"/>
          <w:lang w:val="pt-BR"/>
        </w:rPr>
        <w:t xml:space="preserve">oram </w:t>
      </w:r>
      <w:r w:rsidRPr="007C4753">
        <w:rPr>
          <w:sz w:val="20"/>
          <w:szCs w:val="20"/>
          <w:lang w:val="pt-BR"/>
        </w:rPr>
        <w:t xml:space="preserve">acusados </w:t>
      </w:r>
      <w:r w:rsidR="00891A5F" w:rsidRPr="007C4753">
        <w:rPr>
          <w:sz w:val="20"/>
          <w:szCs w:val="20"/>
          <w:lang w:val="pt-BR"/>
        </w:rPr>
        <w:t>dos</w:t>
      </w:r>
      <w:r w:rsidR="008C6385">
        <w:rPr>
          <w:sz w:val="20"/>
          <w:szCs w:val="20"/>
          <w:lang w:val="pt-BR"/>
        </w:rPr>
        <w:t xml:space="preserve"> </w:t>
      </w:r>
      <w:r w:rsidR="00773AEF">
        <w:rPr>
          <w:sz w:val="20"/>
          <w:szCs w:val="20"/>
          <w:lang w:val="pt-BR"/>
        </w:rPr>
        <w:t xml:space="preserve">crimes </w:t>
      </w:r>
      <w:r w:rsidRPr="007C4753">
        <w:rPr>
          <w:sz w:val="20"/>
          <w:szCs w:val="20"/>
          <w:lang w:val="pt-BR"/>
        </w:rPr>
        <w:t>de: i) “</w:t>
      </w:r>
      <w:r w:rsidR="00692FD2">
        <w:rPr>
          <w:sz w:val="20"/>
          <w:szCs w:val="20"/>
          <w:lang w:val="pt-BR"/>
        </w:rPr>
        <w:t>fraude</w:t>
      </w:r>
      <w:r w:rsidRPr="007C4753">
        <w:rPr>
          <w:sz w:val="20"/>
          <w:szCs w:val="20"/>
          <w:lang w:val="pt-BR"/>
        </w:rPr>
        <w:t xml:space="preserve"> judicial”, por </w:t>
      </w:r>
      <w:r w:rsidR="00773AEF">
        <w:rPr>
          <w:sz w:val="20"/>
          <w:szCs w:val="20"/>
          <w:lang w:val="pt-BR"/>
        </w:rPr>
        <w:t xml:space="preserve">suposta intenção de enganar a </w:t>
      </w:r>
      <w:r w:rsidR="007C4753">
        <w:rPr>
          <w:sz w:val="20"/>
          <w:szCs w:val="20"/>
          <w:lang w:val="pt-BR"/>
        </w:rPr>
        <w:t>Justiça</w:t>
      </w:r>
      <w:r w:rsidR="008C6385">
        <w:rPr>
          <w:sz w:val="20"/>
          <w:szCs w:val="20"/>
          <w:lang w:val="pt-BR"/>
        </w:rPr>
        <w:t xml:space="preserve"> </w:t>
      </w:r>
      <w:r w:rsidRPr="007C4753">
        <w:rPr>
          <w:sz w:val="20"/>
          <w:szCs w:val="20"/>
          <w:lang w:val="pt-BR"/>
        </w:rPr>
        <w:t xml:space="preserve">para </w:t>
      </w:r>
      <w:r w:rsidR="00773AEF">
        <w:rPr>
          <w:sz w:val="20"/>
          <w:szCs w:val="20"/>
          <w:lang w:val="pt-BR"/>
        </w:rPr>
        <w:t xml:space="preserve">prejudicar a </w:t>
      </w:r>
      <w:r w:rsidR="007C4753" w:rsidRPr="007C4753">
        <w:rPr>
          <w:sz w:val="20"/>
          <w:szCs w:val="20"/>
          <w:lang w:val="pt-BR"/>
        </w:rPr>
        <w:t>União</w:t>
      </w:r>
      <w:r w:rsidR="008C6385">
        <w:rPr>
          <w:sz w:val="20"/>
          <w:szCs w:val="20"/>
          <w:lang w:val="pt-BR"/>
        </w:rPr>
        <w:t xml:space="preserve"> </w:t>
      </w:r>
      <w:r w:rsidR="00773AEF">
        <w:rPr>
          <w:sz w:val="20"/>
          <w:szCs w:val="20"/>
          <w:lang w:val="pt-BR"/>
        </w:rPr>
        <w:t xml:space="preserve">no </w:t>
      </w:r>
      <w:r w:rsidRPr="007C4753">
        <w:rPr>
          <w:sz w:val="20"/>
          <w:szCs w:val="20"/>
          <w:lang w:val="pt-BR"/>
        </w:rPr>
        <w:t xml:space="preserve">contexto </w:t>
      </w:r>
      <w:r w:rsidR="00891A5F" w:rsidRPr="007C4753">
        <w:rPr>
          <w:sz w:val="20"/>
          <w:szCs w:val="20"/>
          <w:lang w:val="pt-BR"/>
        </w:rPr>
        <w:t xml:space="preserve">dos </w:t>
      </w:r>
      <w:r w:rsidRPr="007C4753">
        <w:rPr>
          <w:i/>
          <w:iCs/>
          <w:sz w:val="20"/>
          <w:szCs w:val="20"/>
          <w:lang w:val="pt-BR"/>
        </w:rPr>
        <w:t>precatórios</w:t>
      </w:r>
      <w:r w:rsidR="00692FD2">
        <w:rPr>
          <w:sz w:val="20"/>
          <w:szCs w:val="20"/>
          <w:lang w:val="pt-BR"/>
        </w:rPr>
        <w:t>;</w:t>
      </w:r>
      <w:r w:rsidRPr="007C4753">
        <w:rPr>
          <w:sz w:val="20"/>
          <w:szCs w:val="20"/>
          <w:lang w:val="pt-BR"/>
        </w:rPr>
        <w:t xml:space="preserve"> </w:t>
      </w:r>
      <w:r w:rsidR="00773AEF">
        <w:rPr>
          <w:sz w:val="20"/>
          <w:szCs w:val="20"/>
          <w:lang w:val="pt-BR"/>
        </w:rPr>
        <w:t xml:space="preserve">mas essa </w:t>
      </w:r>
      <w:r w:rsidRPr="007C4753">
        <w:rPr>
          <w:sz w:val="20"/>
          <w:szCs w:val="20"/>
          <w:lang w:val="pt-BR"/>
        </w:rPr>
        <w:t>acusa</w:t>
      </w:r>
      <w:r w:rsidR="00B153E7" w:rsidRPr="007C4753">
        <w:rPr>
          <w:sz w:val="20"/>
          <w:szCs w:val="20"/>
          <w:lang w:val="pt-BR"/>
        </w:rPr>
        <w:t>ção</w:t>
      </w:r>
      <w:r w:rsidRPr="007C4753">
        <w:rPr>
          <w:sz w:val="20"/>
          <w:szCs w:val="20"/>
          <w:lang w:val="pt-BR"/>
        </w:rPr>
        <w:t xml:space="preserve"> </w:t>
      </w:r>
      <w:r w:rsidR="007C4753" w:rsidRPr="007C4753">
        <w:rPr>
          <w:sz w:val="20"/>
          <w:szCs w:val="20"/>
          <w:lang w:val="pt-BR"/>
        </w:rPr>
        <w:t>foi</w:t>
      </w:r>
      <w:r w:rsidR="008C6385">
        <w:rPr>
          <w:sz w:val="20"/>
          <w:szCs w:val="20"/>
          <w:lang w:val="pt-BR"/>
        </w:rPr>
        <w:t xml:space="preserve"> </w:t>
      </w:r>
      <w:r w:rsidRPr="007C4753">
        <w:rPr>
          <w:sz w:val="20"/>
          <w:szCs w:val="20"/>
          <w:lang w:val="pt-BR"/>
        </w:rPr>
        <w:t>ar</w:t>
      </w:r>
      <w:r w:rsidR="00773AEF">
        <w:rPr>
          <w:sz w:val="20"/>
          <w:szCs w:val="20"/>
          <w:lang w:val="pt-BR"/>
        </w:rPr>
        <w:t>qu</w:t>
      </w:r>
      <w:r w:rsidRPr="007C4753">
        <w:rPr>
          <w:sz w:val="20"/>
          <w:szCs w:val="20"/>
          <w:lang w:val="pt-BR"/>
        </w:rPr>
        <w:t xml:space="preserve">ivada; ii) </w:t>
      </w:r>
      <w:r w:rsidR="00692FD2">
        <w:rPr>
          <w:sz w:val="20"/>
          <w:szCs w:val="20"/>
          <w:lang w:val="pt-BR"/>
        </w:rPr>
        <w:t xml:space="preserve">lavagem de dinheiro e evasão </w:t>
      </w:r>
      <w:r w:rsidRPr="007C4753">
        <w:rPr>
          <w:sz w:val="20"/>
          <w:szCs w:val="20"/>
          <w:lang w:val="pt-BR"/>
        </w:rPr>
        <w:t xml:space="preserve">de divisas, por transferir parte </w:t>
      </w:r>
      <w:r w:rsidR="00692FD2">
        <w:rPr>
          <w:sz w:val="20"/>
          <w:szCs w:val="20"/>
          <w:lang w:val="pt-BR"/>
        </w:rPr>
        <w:t xml:space="preserve">já recebida </w:t>
      </w:r>
      <w:r w:rsidR="00B153E7" w:rsidRPr="007C4753">
        <w:rPr>
          <w:sz w:val="20"/>
          <w:szCs w:val="20"/>
          <w:lang w:val="pt-BR"/>
        </w:rPr>
        <w:t>da indenização</w:t>
      </w:r>
      <w:r w:rsidR="008C6385">
        <w:rPr>
          <w:sz w:val="20"/>
          <w:szCs w:val="20"/>
          <w:lang w:val="pt-BR"/>
        </w:rPr>
        <w:t xml:space="preserve"> </w:t>
      </w:r>
      <w:r w:rsidRPr="007C4753">
        <w:rPr>
          <w:sz w:val="20"/>
          <w:szCs w:val="20"/>
          <w:lang w:val="pt-BR"/>
        </w:rPr>
        <w:t>a su</w:t>
      </w:r>
      <w:r w:rsidR="00692FD2">
        <w:rPr>
          <w:sz w:val="20"/>
          <w:szCs w:val="20"/>
          <w:lang w:val="pt-BR"/>
        </w:rPr>
        <w:t>a</w:t>
      </w:r>
      <w:r w:rsidRPr="007C4753">
        <w:rPr>
          <w:sz w:val="20"/>
          <w:szCs w:val="20"/>
          <w:lang w:val="pt-BR"/>
        </w:rPr>
        <w:t xml:space="preserve"> resid</w:t>
      </w:r>
      <w:r w:rsidR="00692FD2">
        <w:rPr>
          <w:sz w:val="20"/>
          <w:szCs w:val="20"/>
          <w:lang w:val="pt-BR"/>
        </w:rPr>
        <w:t>ê</w:t>
      </w:r>
      <w:r w:rsidRPr="007C4753">
        <w:rPr>
          <w:sz w:val="20"/>
          <w:szCs w:val="20"/>
          <w:lang w:val="pt-BR"/>
        </w:rPr>
        <w:t xml:space="preserve">ncia </w:t>
      </w:r>
      <w:r w:rsidR="00692FD2">
        <w:rPr>
          <w:sz w:val="20"/>
          <w:szCs w:val="20"/>
          <w:lang w:val="pt-BR"/>
        </w:rPr>
        <w:t xml:space="preserve">no </w:t>
      </w:r>
      <w:r w:rsidR="006A3667">
        <w:rPr>
          <w:sz w:val="20"/>
          <w:szCs w:val="20"/>
          <w:lang w:val="pt-BR"/>
        </w:rPr>
        <w:t>Uruguai</w:t>
      </w:r>
      <w:r w:rsidRPr="007C4753">
        <w:rPr>
          <w:sz w:val="20"/>
          <w:szCs w:val="20"/>
          <w:lang w:val="pt-BR"/>
        </w:rPr>
        <w:t xml:space="preserve">, </w:t>
      </w:r>
      <w:r w:rsidR="00692FD2">
        <w:rPr>
          <w:sz w:val="20"/>
          <w:szCs w:val="20"/>
          <w:lang w:val="pt-BR"/>
        </w:rPr>
        <w:t>mas foram absolvidos</w:t>
      </w:r>
      <w:r w:rsidRPr="007C4753">
        <w:rPr>
          <w:sz w:val="20"/>
          <w:szCs w:val="20"/>
          <w:lang w:val="pt-BR"/>
        </w:rPr>
        <w:t>;</w:t>
      </w:r>
      <w:r w:rsidR="008317B2" w:rsidRPr="007C4753">
        <w:rPr>
          <w:sz w:val="20"/>
          <w:szCs w:val="20"/>
          <w:lang w:val="pt-BR"/>
        </w:rPr>
        <w:t xml:space="preserve"> </w:t>
      </w:r>
      <w:r w:rsidR="00692FD2">
        <w:rPr>
          <w:sz w:val="20"/>
          <w:szCs w:val="20"/>
          <w:lang w:val="pt-BR"/>
        </w:rPr>
        <w:t>e</w:t>
      </w:r>
      <w:r w:rsidRPr="007C4753">
        <w:rPr>
          <w:sz w:val="20"/>
          <w:szCs w:val="20"/>
          <w:lang w:val="pt-BR"/>
        </w:rPr>
        <w:t xml:space="preserve"> iii) organiza</w:t>
      </w:r>
      <w:r w:rsidR="00B153E7" w:rsidRPr="007C4753">
        <w:rPr>
          <w:sz w:val="20"/>
          <w:szCs w:val="20"/>
          <w:lang w:val="pt-BR"/>
        </w:rPr>
        <w:t>ção</w:t>
      </w:r>
      <w:r w:rsidRPr="007C4753">
        <w:rPr>
          <w:sz w:val="20"/>
          <w:szCs w:val="20"/>
          <w:lang w:val="pt-BR"/>
        </w:rPr>
        <w:t xml:space="preserve"> crimin</w:t>
      </w:r>
      <w:r w:rsidR="008267B6">
        <w:rPr>
          <w:sz w:val="20"/>
          <w:szCs w:val="20"/>
          <w:lang w:val="pt-BR"/>
        </w:rPr>
        <w:t>osa</w:t>
      </w:r>
      <w:r w:rsidRPr="007C4753">
        <w:rPr>
          <w:sz w:val="20"/>
          <w:szCs w:val="20"/>
          <w:lang w:val="pt-BR"/>
        </w:rPr>
        <w:t>, fals</w:t>
      </w:r>
      <w:r w:rsidR="00692FD2">
        <w:rPr>
          <w:sz w:val="20"/>
          <w:szCs w:val="20"/>
          <w:lang w:val="pt-BR"/>
        </w:rPr>
        <w:t xml:space="preserve">idade </w:t>
      </w:r>
      <w:r w:rsidRPr="007C4753">
        <w:rPr>
          <w:sz w:val="20"/>
          <w:szCs w:val="20"/>
          <w:lang w:val="pt-BR"/>
        </w:rPr>
        <w:t xml:space="preserve">ideológica de documento privado </w:t>
      </w:r>
      <w:r w:rsidR="00692FD2">
        <w:rPr>
          <w:sz w:val="20"/>
          <w:szCs w:val="20"/>
          <w:lang w:val="pt-BR"/>
        </w:rPr>
        <w:t>e</w:t>
      </w:r>
      <w:r w:rsidRPr="007C4753">
        <w:rPr>
          <w:sz w:val="20"/>
          <w:szCs w:val="20"/>
          <w:lang w:val="pt-BR"/>
        </w:rPr>
        <w:t xml:space="preserve"> den</w:t>
      </w:r>
      <w:r w:rsidR="00692FD2">
        <w:rPr>
          <w:sz w:val="20"/>
          <w:szCs w:val="20"/>
          <w:lang w:val="pt-BR"/>
        </w:rPr>
        <w:t>ú</w:t>
      </w:r>
      <w:r w:rsidRPr="007C4753">
        <w:rPr>
          <w:sz w:val="20"/>
          <w:szCs w:val="20"/>
          <w:lang w:val="pt-BR"/>
        </w:rPr>
        <w:t>ncia caluniosa, prescritos e</w:t>
      </w:r>
      <w:r w:rsidR="00692FD2">
        <w:rPr>
          <w:sz w:val="20"/>
          <w:szCs w:val="20"/>
          <w:lang w:val="pt-BR"/>
        </w:rPr>
        <w:t xml:space="preserve">m meados </w:t>
      </w:r>
      <w:r w:rsidRPr="007C4753">
        <w:rPr>
          <w:sz w:val="20"/>
          <w:szCs w:val="20"/>
          <w:lang w:val="pt-BR"/>
        </w:rPr>
        <w:t xml:space="preserve">de 2021. </w:t>
      </w:r>
      <w:r w:rsidRPr="00692FD2">
        <w:rPr>
          <w:sz w:val="20"/>
          <w:szCs w:val="20"/>
          <w:lang w:val="pt-BR"/>
        </w:rPr>
        <w:t xml:space="preserve">Antes </w:t>
      </w:r>
      <w:r w:rsidR="00B153E7" w:rsidRPr="00692FD2">
        <w:rPr>
          <w:sz w:val="20"/>
          <w:szCs w:val="20"/>
          <w:lang w:val="pt-BR"/>
        </w:rPr>
        <w:t xml:space="preserve">da </w:t>
      </w:r>
      <w:r w:rsidRPr="00692FD2">
        <w:rPr>
          <w:sz w:val="20"/>
          <w:szCs w:val="20"/>
          <w:lang w:val="pt-BR"/>
        </w:rPr>
        <w:t>prescri</w:t>
      </w:r>
      <w:r w:rsidR="00B153E7" w:rsidRPr="00692FD2">
        <w:rPr>
          <w:sz w:val="20"/>
          <w:szCs w:val="20"/>
          <w:lang w:val="pt-BR"/>
        </w:rPr>
        <w:t>ção</w:t>
      </w:r>
      <w:r w:rsidRPr="00692FD2">
        <w:rPr>
          <w:sz w:val="20"/>
          <w:szCs w:val="20"/>
          <w:lang w:val="pt-BR"/>
        </w:rPr>
        <w:t>, f</w:t>
      </w:r>
      <w:r w:rsidR="00692FD2" w:rsidRPr="00692FD2">
        <w:rPr>
          <w:sz w:val="20"/>
          <w:szCs w:val="20"/>
          <w:lang w:val="pt-BR"/>
        </w:rPr>
        <w:t xml:space="preserve">oram </w:t>
      </w:r>
      <w:r w:rsidRPr="00692FD2">
        <w:rPr>
          <w:sz w:val="20"/>
          <w:szCs w:val="20"/>
          <w:lang w:val="pt-BR"/>
        </w:rPr>
        <w:t>condenados</w:t>
      </w:r>
      <w:r w:rsidR="00692FD2">
        <w:rPr>
          <w:sz w:val="20"/>
          <w:szCs w:val="20"/>
          <w:lang w:val="pt-BR"/>
        </w:rPr>
        <w:t>,</w:t>
      </w:r>
      <w:r w:rsidRPr="00692FD2">
        <w:rPr>
          <w:sz w:val="20"/>
          <w:szCs w:val="20"/>
          <w:lang w:val="pt-BR"/>
        </w:rPr>
        <w:t xml:space="preserve"> </w:t>
      </w:r>
      <w:r w:rsidR="00692FD2">
        <w:rPr>
          <w:sz w:val="20"/>
          <w:szCs w:val="20"/>
          <w:lang w:val="pt-BR"/>
        </w:rPr>
        <w:t xml:space="preserve">em fevereiro </w:t>
      </w:r>
      <w:r w:rsidRPr="00692FD2">
        <w:rPr>
          <w:sz w:val="20"/>
          <w:szCs w:val="20"/>
          <w:lang w:val="pt-BR"/>
        </w:rPr>
        <w:t>de 2012</w:t>
      </w:r>
      <w:r w:rsidR="00692FD2">
        <w:rPr>
          <w:sz w:val="20"/>
          <w:szCs w:val="20"/>
          <w:lang w:val="pt-BR"/>
        </w:rPr>
        <w:t xml:space="preserve">, pela </w:t>
      </w:r>
      <w:r w:rsidR="007C4753" w:rsidRPr="00692FD2">
        <w:rPr>
          <w:sz w:val="20"/>
          <w:szCs w:val="20"/>
          <w:lang w:val="pt-BR"/>
        </w:rPr>
        <w:t>Justiça</w:t>
      </w:r>
      <w:r w:rsidR="008C6385">
        <w:rPr>
          <w:sz w:val="20"/>
          <w:szCs w:val="20"/>
          <w:lang w:val="pt-BR"/>
        </w:rPr>
        <w:t xml:space="preserve"> </w:t>
      </w:r>
      <w:r w:rsidRPr="00692FD2">
        <w:rPr>
          <w:sz w:val="20"/>
          <w:szCs w:val="20"/>
          <w:lang w:val="pt-BR"/>
        </w:rPr>
        <w:t xml:space="preserve">Federal de Porto Alegre, </w:t>
      </w:r>
      <w:r w:rsidR="00692FD2">
        <w:rPr>
          <w:sz w:val="20"/>
          <w:szCs w:val="20"/>
          <w:lang w:val="pt-BR"/>
        </w:rPr>
        <w:t xml:space="preserve">e as </w:t>
      </w:r>
      <w:r w:rsidRPr="00692FD2">
        <w:rPr>
          <w:sz w:val="20"/>
          <w:szCs w:val="20"/>
          <w:lang w:val="pt-BR"/>
        </w:rPr>
        <w:t>penas f</w:t>
      </w:r>
      <w:r w:rsidR="00692FD2">
        <w:rPr>
          <w:sz w:val="20"/>
          <w:szCs w:val="20"/>
          <w:lang w:val="pt-BR"/>
        </w:rPr>
        <w:t xml:space="preserve">oram majoritariamente mantidas em </w:t>
      </w:r>
      <w:r w:rsidRPr="00692FD2">
        <w:rPr>
          <w:sz w:val="20"/>
          <w:szCs w:val="20"/>
          <w:lang w:val="pt-BR"/>
        </w:rPr>
        <w:t>segunda inst</w:t>
      </w:r>
      <w:r w:rsidR="00692FD2">
        <w:rPr>
          <w:sz w:val="20"/>
          <w:szCs w:val="20"/>
          <w:lang w:val="pt-BR"/>
        </w:rPr>
        <w:t>â</w:t>
      </w:r>
      <w:r w:rsidRPr="00692FD2">
        <w:rPr>
          <w:sz w:val="20"/>
          <w:szCs w:val="20"/>
          <w:lang w:val="pt-BR"/>
        </w:rPr>
        <w:t xml:space="preserve">ncia. </w:t>
      </w:r>
    </w:p>
    <w:p w14:paraId="413D81BE" w14:textId="7D417224" w:rsidR="001A76C6" w:rsidRDefault="001A76C6" w:rsidP="00BB74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692FD2">
        <w:rPr>
          <w:sz w:val="20"/>
          <w:szCs w:val="20"/>
          <w:lang w:val="pt-BR"/>
        </w:rPr>
        <w:t>U</w:t>
      </w:r>
      <w:r w:rsidR="00692FD2" w:rsidRPr="00692FD2">
        <w:rPr>
          <w:sz w:val="20"/>
          <w:szCs w:val="20"/>
          <w:lang w:val="pt-BR"/>
        </w:rPr>
        <w:t>m</w:t>
      </w:r>
      <w:r w:rsidRPr="00692FD2">
        <w:rPr>
          <w:sz w:val="20"/>
          <w:szCs w:val="20"/>
          <w:lang w:val="pt-BR"/>
        </w:rPr>
        <w:t xml:space="preserve"> </w:t>
      </w:r>
      <w:r w:rsidR="00891A5F" w:rsidRPr="00692FD2">
        <w:rPr>
          <w:sz w:val="20"/>
          <w:szCs w:val="20"/>
          <w:lang w:val="pt-BR"/>
        </w:rPr>
        <w:t xml:space="preserve">dos </w:t>
      </w:r>
      <w:r w:rsidRPr="00692FD2">
        <w:rPr>
          <w:sz w:val="20"/>
          <w:szCs w:val="20"/>
          <w:lang w:val="pt-BR"/>
        </w:rPr>
        <w:t xml:space="preserve">anexos, </w:t>
      </w:r>
      <w:r w:rsidR="00891A5F" w:rsidRPr="00692FD2">
        <w:rPr>
          <w:sz w:val="20"/>
          <w:szCs w:val="20"/>
          <w:lang w:val="pt-BR"/>
        </w:rPr>
        <w:t>uma</w:t>
      </w:r>
      <w:r w:rsidR="008C6385">
        <w:rPr>
          <w:sz w:val="20"/>
          <w:szCs w:val="20"/>
          <w:lang w:val="pt-BR"/>
        </w:rPr>
        <w:t xml:space="preserve"> </w:t>
      </w:r>
      <w:r w:rsidRPr="00692FD2">
        <w:rPr>
          <w:sz w:val="20"/>
          <w:szCs w:val="20"/>
          <w:lang w:val="pt-BR"/>
        </w:rPr>
        <w:t xml:space="preserve">nota </w:t>
      </w:r>
      <w:r w:rsidR="00692FD2" w:rsidRPr="00692FD2">
        <w:rPr>
          <w:sz w:val="20"/>
          <w:szCs w:val="20"/>
          <w:lang w:val="pt-BR"/>
        </w:rPr>
        <w:t>jornal</w:t>
      </w:r>
      <w:r w:rsidR="00692FD2">
        <w:rPr>
          <w:sz w:val="20"/>
          <w:szCs w:val="20"/>
          <w:lang w:val="pt-BR"/>
        </w:rPr>
        <w:t>ística</w:t>
      </w:r>
      <w:r w:rsidRPr="00692FD2">
        <w:rPr>
          <w:sz w:val="20"/>
          <w:szCs w:val="20"/>
          <w:lang w:val="pt-BR"/>
        </w:rPr>
        <w:t>, enumera problemas alegados durante es</w:t>
      </w:r>
      <w:r w:rsidR="00692FD2">
        <w:rPr>
          <w:sz w:val="20"/>
          <w:szCs w:val="20"/>
          <w:lang w:val="pt-BR"/>
        </w:rPr>
        <w:t>s</w:t>
      </w:r>
      <w:r w:rsidRPr="00692FD2">
        <w:rPr>
          <w:sz w:val="20"/>
          <w:szCs w:val="20"/>
          <w:lang w:val="pt-BR"/>
        </w:rPr>
        <w:t xml:space="preserve">e </w:t>
      </w:r>
      <w:r w:rsidR="00EC0BB7" w:rsidRPr="00692FD2">
        <w:rPr>
          <w:sz w:val="20"/>
          <w:szCs w:val="20"/>
          <w:lang w:val="pt-BR"/>
        </w:rPr>
        <w:t>processo</w:t>
      </w:r>
      <w:r w:rsidR="008C6385">
        <w:rPr>
          <w:sz w:val="20"/>
          <w:szCs w:val="20"/>
          <w:lang w:val="pt-BR"/>
        </w:rPr>
        <w:t xml:space="preserve"> </w:t>
      </w:r>
      <w:r w:rsidRPr="00692FD2">
        <w:rPr>
          <w:sz w:val="20"/>
          <w:szCs w:val="20"/>
          <w:lang w:val="pt-BR"/>
        </w:rPr>
        <w:t xml:space="preserve">que </w:t>
      </w:r>
      <w:r w:rsidR="00692FD2">
        <w:rPr>
          <w:sz w:val="20"/>
          <w:szCs w:val="20"/>
          <w:lang w:val="pt-BR"/>
        </w:rPr>
        <w:t xml:space="preserve">não teriam sido </w:t>
      </w:r>
      <w:r w:rsidRPr="00692FD2">
        <w:rPr>
          <w:sz w:val="20"/>
          <w:szCs w:val="20"/>
          <w:lang w:val="pt-BR"/>
        </w:rPr>
        <w:t>decididos p</w:t>
      </w:r>
      <w:r w:rsidR="00692FD2">
        <w:rPr>
          <w:sz w:val="20"/>
          <w:szCs w:val="20"/>
          <w:lang w:val="pt-BR"/>
        </w:rPr>
        <w:t xml:space="preserve">elos órgãos </w:t>
      </w:r>
      <w:r w:rsidRPr="00692FD2">
        <w:rPr>
          <w:sz w:val="20"/>
          <w:szCs w:val="20"/>
          <w:lang w:val="pt-BR"/>
        </w:rPr>
        <w:t xml:space="preserve">internos </w:t>
      </w:r>
      <w:r w:rsidR="00692FD2">
        <w:rPr>
          <w:sz w:val="20"/>
          <w:szCs w:val="20"/>
          <w:lang w:val="pt-BR"/>
        </w:rPr>
        <w:t xml:space="preserve">devido à </w:t>
      </w:r>
      <w:r w:rsidRPr="00692FD2">
        <w:rPr>
          <w:sz w:val="20"/>
          <w:szCs w:val="20"/>
          <w:lang w:val="pt-BR"/>
        </w:rPr>
        <w:t>prescri</w:t>
      </w:r>
      <w:r w:rsidR="00B153E7" w:rsidRPr="00692FD2">
        <w:rPr>
          <w:sz w:val="20"/>
          <w:szCs w:val="20"/>
          <w:lang w:val="pt-BR"/>
        </w:rPr>
        <w:t>ção</w:t>
      </w:r>
      <w:r w:rsidRPr="00692FD2">
        <w:rPr>
          <w:sz w:val="20"/>
          <w:szCs w:val="20"/>
          <w:lang w:val="pt-BR"/>
        </w:rPr>
        <w:t>: as investiga</w:t>
      </w:r>
      <w:r w:rsidR="00B153E7" w:rsidRPr="00692FD2">
        <w:rPr>
          <w:sz w:val="20"/>
          <w:szCs w:val="20"/>
          <w:lang w:val="pt-BR"/>
        </w:rPr>
        <w:t>ções</w:t>
      </w:r>
      <w:r w:rsidRPr="00692FD2">
        <w:rPr>
          <w:sz w:val="20"/>
          <w:szCs w:val="20"/>
          <w:lang w:val="pt-BR"/>
        </w:rPr>
        <w:t xml:space="preserve"> que fundamentar</w:t>
      </w:r>
      <w:r w:rsidR="00692FD2">
        <w:rPr>
          <w:sz w:val="20"/>
          <w:szCs w:val="20"/>
          <w:lang w:val="pt-BR"/>
        </w:rPr>
        <w:t xml:space="preserve">am </w:t>
      </w:r>
      <w:r w:rsidRPr="00692FD2">
        <w:rPr>
          <w:sz w:val="20"/>
          <w:szCs w:val="20"/>
          <w:lang w:val="pt-BR"/>
        </w:rPr>
        <w:t xml:space="preserve">a </w:t>
      </w:r>
      <w:r w:rsidR="00891A5F" w:rsidRPr="00692FD2">
        <w:rPr>
          <w:sz w:val="20"/>
          <w:szCs w:val="20"/>
          <w:lang w:val="pt-BR"/>
        </w:rPr>
        <w:t>ação</w:t>
      </w:r>
      <w:r w:rsidR="008C6385">
        <w:rPr>
          <w:sz w:val="20"/>
          <w:szCs w:val="20"/>
          <w:lang w:val="pt-BR"/>
        </w:rPr>
        <w:t xml:space="preserve"> </w:t>
      </w:r>
      <w:r w:rsidRPr="00692FD2">
        <w:rPr>
          <w:sz w:val="20"/>
          <w:szCs w:val="20"/>
          <w:lang w:val="pt-BR"/>
        </w:rPr>
        <w:t xml:space="preserve">penal </w:t>
      </w:r>
      <w:r w:rsidR="00692FD2">
        <w:rPr>
          <w:sz w:val="20"/>
          <w:szCs w:val="20"/>
          <w:lang w:val="pt-BR"/>
        </w:rPr>
        <w:t xml:space="preserve">teriam </w:t>
      </w:r>
      <w:r w:rsidRPr="00692FD2">
        <w:rPr>
          <w:sz w:val="20"/>
          <w:szCs w:val="20"/>
          <w:lang w:val="pt-BR"/>
        </w:rPr>
        <w:t xml:space="preserve">sido iniciadas a partir de </w:t>
      </w:r>
      <w:r w:rsidR="00891A5F" w:rsidRPr="00692FD2">
        <w:rPr>
          <w:sz w:val="20"/>
          <w:szCs w:val="20"/>
          <w:lang w:val="pt-BR"/>
        </w:rPr>
        <w:t>uma</w:t>
      </w:r>
      <w:r w:rsidR="008C6385">
        <w:rPr>
          <w:sz w:val="20"/>
          <w:szCs w:val="20"/>
          <w:lang w:val="pt-BR"/>
        </w:rPr>
        <w:t xml:space="preserve"> </w:t>
      </w:r>
      <w:r w:rsidRPr="00692FD2">
        <w:rPr>
          <w:sz w:val="20"/>
          <w:szCs w:val="20"/>
          <w:lang w:val="pt-BR"/>
        </w:rPr>
        <w:t>den</w:t>
      </w:r>
      <w:r w:rsidR="00692FD2">
        <w:rPr>
          <w:sz w:val="20"/>
          <w:szCs w:val="20"/>
          <w:lang w:val="pt-BR"/>
        </w:rPr>
        <w:t>ú</w:t>
      </w:r>
      <w:r w:rsidRPr="00692FD2">
        <w:rPr>
          <w:sz w:val="20"/>
          <w:szCs w:val="20"/>
          <w:lang w:val="pt-BR"/>
        </w:rPr>
        <w:t>ncia an</w:t>
      </w:r>
      <w:r w:rsidR="00692FD2">
        <w:rPr>
          <w:sz w:val="20"/>
          <w:szCs w:val="20"/>
          <w:lang w:val="pt-BR"/>
        </w:rPr>
        <w:t>ô</w:t>
      </w:r>
      <w:r w:rsidRPr="00692FD2">
        <w:rPr>
          <w:sz w:val="20"/>
          <w:szCs w:val="20"/>
          <w:lang w:val="pt-BR"/>
        </w:rPr>
        <w:t xml:space="preserve">nima, </w:t>
      </w:r>
      <w:r w:rsidR="00692FD2">
        <w:rPr>
          <w:sz w:val="20"/>
          <w:szCs w:val="20"/>
          <w:lang w:val="pt-BR"/>
        </w:rPr>
        <w:t xml:space="preserve">o que violaria o princípio </w:t>
      </w:r>
      <w:r w:rsidRPr="00692FD2">
        <w:rPr>
          <w:sz w:val="20"/>
          <w:szCs w:val="20"/>
          <w:lang w:val="pt-BR"/>
        </w:rPr>
        <w:t>de inadmis</w:t>
      </w:r>
      <w:r w:rsidR="00692FD2">
        <w:rPr>
          <w:sz w:val="20"/>
          <w:szCs w:val="20"/>
          <w:lang w:val="pt-BR"/>
        </w:rPr>
        <w:t>s</w:t>
      </w:r>
      <w:r w:rsidRPr="00692FD2">
        <w:rPr>
          <w:sz w:val="20"/>
          <w:szCs w:val="20"/>
          <w:lang w:val="pt-BR"/>
        </w:rPr>
        <w:t>ibilidad</w:t>
      </w:r>
      <w:r w:rsidR="00692FD2">
        <w:rPr>
          <w:sz w:val="20"/>
          <w:szCs w:val="20"/>
          <w:lang w:val="pt-BR"/>
        </w:rPr>
        <w:t>e</w:t>
      </w:r>
      <w:r w:rsidRPr="00692FD2">
        <w:rPr>
          <w:sz w:val="20"/>
          <w:szCs w:val="20"/>
          <w:lang w:val="pt-BR"/>
        </w:rPr>
        <w:t xml:space="preserve"> de pr</w:t>
      </w:r>
      <w:r w:rsidR="00692FD2">
        <w:rPr>
          <w:sz w:val="20"/>
          <w:szCs w:val="20"/>
          <w:lang w:val="pt-BR"/>
        </w:rPr>
        <w:t>ov</w:t>
      </w:r>
      <w:r w:rsidRPr="00692FD2">
        <w:rPr>
          <w:sz w:val="20"/>
          <w:szCs w:val="20"/>
          <w:lang w:val="pt-BR"/>
        </w:rPr>
        <w:t xml:space="preserve">as ilícitas; a defesa de Wolf </w:t>
      </w:r>
      <w:r w:rsidR="00692FD2">
        <w:rPr>
          <w:sz w:val="20"/>
          <w:szCs w:val="20"/>
          <w:lang w:val="pt-BR"/>
        </w:rPr>
        <w:t>afirmava que havia s</w:t>
      </w:r>
      <w:r w:rsidRPr="00692FD2">
        <w:rPr>
          <w:sz w:val="20"/>
          <w:szCs w:val="20"/>
          <w:lang w:val="pt-BR"/>
        </w:rPr>
        <w:t>ido condenado p</w:t>
      </w:r>
      <w:r w:rsidR="00692FD2">
        <w:rPr>
          <w:sz w:val="20"/>
          <w:szCs w:val="20"/>
          <w:lang w:val="pt-BR"/>
        </w:rPr>
        <w:t xml:space="preserve">elo crime </w:t>
      </w:r>
      <w:r w:rsidRPr="00692FD2">
        <w:rPr>
          <w:sz w:val="20"/>
          <w:szCs w:val="20"/>
          <w:lang w:val="pt-BR"/>
        </w:rPr>
        <w:t>de organiza</w:t>
      </w:r>
      <w:r w:rsidR="00B153E7" w:rsidRPr="00692FD2">
        <w:rPr>
          <w:sz w:val="20"/>
          <w:szCs w:val="20"/>
          <w:lang w:val="pt-BR"/>
        </w:rPr>
        <w:t>ção</w:t>
      </w:r>
      <w:r w:rsidRPr="00692FD2">
        <w:rPr>
          <w:sz w:val="20"/>
          <w:szCs w:val="20"/>
          <w:lang w:val="pt-BR"/>
        </w:rPr>
        <w:t xml:space="preserve"> crimin</w:t>
      </w:r>
      <w:r w:rsidR="00772C30">
        <w:rPr>
          <w:sz w:val="20"/>
          <w:szCs w:val="20"/>
          <w:lang w:val="pt-BR"/>
        </w:rPr>
        <w:t>osa</w:t>
      </w:r>
      <w:r w:rsidRPr="00692FD2">
        <w:rPr>
          <w:sz w:val="20"/>
          <w:szCs w:val="20"/>
          <w:lang w:val="pt-BR"/>
        </w:rPr>
        <w:t xml:space="preserve"> </w:t>
      </w:r>
      <w:r w:rsidR="00692FD2">
        <w:rPr>
          <w:sz w:val="20"/>
          <w:szCs w:val="20"/>
          <w:lang w:val="pt-BR"/>
        </w:rPr>
        <w:t>sem que houvesse</w:t>
      </w:r>
      <w:r w:rsidRPr="00692FD2">
        <w:rPr>
          <w:sz w:val="20"/>
          <w:szCs w:val="20"/>
          <w:lang w:val="pt-BR"/>
        </w:rPr>
        <w:t xml:space="preserve">, </w:t>
      </w:r>
      <w:r w:rsidR="00692FD2">
        <w:rPr>
          <w:sz w:val="20"/>
          <w:szCs w:val="20"/>
          <w:lang w:val="pt-BR"/>
        </w:rPr>
        <w:t xml:space="preserve">na </w:t>
      </w:r>
      <w:r w:rsidRPr="00692FD2">
        <w:rPr>
          <w:sz w:val="20"/>
          <w:szCs w:val="20"/>
          <w:lang w:val="pt-BR"/>
        </w:rPr>
        <w:t>época, tipifica</w:t>
      </w:r>
      <w:r w:rsidR="00B153E7" w:rsidRPr="00692FD2">
        <w:rPr>
          <w:sz w:val="20"/>
          <w:szCs w:val="20"/>
          <w:lang w:val="pt-BR"/>
        </w:rPr>
        <w:t>ção</w:t>
      </w:r>
      <w:r w:rsidRPr="00692FD2">
        <w:rPr>
          <w:sz w:val="20"/>
          <w:szCs w:val="20"/>
          <w:lang w:val="pt-BR"/>
        </w:rPr>
        <w:t xml:space="preserve"> </w:t>
      </w:r>
      <w:r w:rsidR="00B153E7" w:rsidRPr="00692FD2">
        <w:rPr>
          <w:sz w:val="20"/>
          <w:szCs w:val="20"/>
          <w:lang w:val="pt-BR"/>
        </w:rPr>
        <w:t xml:space="preserve">da </w:t>
      </w:r>
      <w:r w:rsidRPr="00692FD2">
        <w:rPr>
          <w:sz w:val="20"/>
          <w:szCs w:val="20"/>
          <w:lang w:val="pt-BR"/>
        </w:rPr>
        <w:t xml:space="preserve">conduta; as </w:t>
      </w:r>
      <w:r w:rsidR="00EC0BB7" w:rsidRPr="00692FD2">
        <w:rPr>
          <w:sz w:val="20"/>
          <w:szCs w:val="20"/>
          <w:lang w:val="pt-BR"/>
        </w:rPr>
        <w:t>supostas vítimas</w:t>
      </w:r>
      <w:r w:rsidR="008C6385">
        <w:rPr>
          <w:sz w:val="20"/>
          <w:szCs w:val="20"/>
          <w:lang w:val="pt-BR"/>
        </w:rPr>
        <w:t xml:space="preserve"> </w:t>
      </w:r>
      <w:r w:rsidR="00692FD2">
        <w:rPr>
          <w:sz w:val="20"/>
          <w:szCs w:val="20"/>
          <w:lang w:val="pt-BR"/>
        </w:rPr>
        <w:t xml:space="preserve">sofreram </w:t>
      </w:r>
      <w:r w:rsidRPr="00692FD2">
        <w:rPr>
          <w:sz w:val="20"/>
          <w:szCs w:val="20"/>
          <w:lang w:val="pt-BR"/>
        </w:rPr>
        <w:t>viola</w:t>
      </w:r>
      <w:r w:rsidR="00B153E7" w:rsidRPr="00692FD2">
        <w:rPr>
          <w:sz w:val="20"/>
          <w:szCs w:val="20"/>
          <w:lang w:val="pt-BR"/>
        </w:rPr>
        <w:t>ções</w:t>
      </w:r>
      <w:r w:rsidRPr="00692FD2">
        <w:rPr>
          <w:sz w:val="20"/>
          <w:szCs w:val="20"/>
          <w:lang w:val="pt-BR"/>
        </w:rPr>
        <w:t xml:space="preserve"> </w:t>
      </w:r>
      <w:r w:rsidR="00692FD2">
        <w:rPr>
          <w:sz w:val="20"/>
          <w:szCs w:val="20"/>
          <w:lang w:val="pt-BR"/>
        </w:rPr>
        <w:t xml:space="preserve">de seu sigilo telefônico, bancário e </w:t>
      </w:r>
      <w:r w:rsidRPr="00692FD2">
        <w:rPr>
          <w:sz w:val="20"/>
          <w:szCs w:val="20"/>
          <w:lang w:val="pt-BR"/>
        </w:rPr>
        <w:t xml:space="preserve">fiscal antes </w:t>
      </w:r>
      <w:r w:rsidR="00B153E7" w:rsidRPr="00692FD2">
        <w:rPr>
          <w:sz w:val="20"/>
          <w:szCs w:val="20"/>
          <w:lang w:val="pt-BR"/>
        </w:rPr>
        <w:t xml:space="preserve">da </w:t>
      </w:r>
      <w:r w:rsidRPr="00692FD2">
        <w:rPr>
          <w:sz w:val="20"/>
          <w:szCs w:val="20"/>
          <w:lang w:val="pt-BR"/>
        </w:rPr>
        <w:t>investiga</w:t>
      </w:r>
      <w:r w:rsidR="00B153E7" w:rsidRPr="00692FD2">
        <w:rPr>
          <w:sz w:val="20"/>
          <w:szCs w:val="20"/>
          <w:lang w:val="pt-BR"/>
        </w:rPr>
        <w:t>ção</w:t>
      </w:r>
      <w:r w:rsidRPr="00692FD2">
        <w:rPr>
          <w:sz w:val="20"/>
          <w:szCs w:val="20"/>
          <w:lang w:val="pt-BR"/>
        </w:rPr>
        <w:t xml:space="preserve"> policial </w:t>
      </w:r>
      <w:r w:rsidR="00692FD2">
        <w:rPr>
          <w:sz w:val="20"/>
          <w:szCs w:val="20"/>
          <w:lang w:val="pt-BR"/>
        </w:rPr>
        <w:t>e</w:t>
      </w:r>
      <w:r w:rsidRPr="00692FD2">
        <w:rPr>
          <w:sz w:val="20"/>
          <w:szCs w:val="20"/>
          <w:lang w:val="pt-BR"/>
        </w:rPr>
        <w:t xml:space="preserve">, portanto, </w:t>
      </w:r>
      <w:r w:rsidR="00692FD2">
        <w:rPr>
          <w:sz w:val="20"/>
          <w:szCs w:val="20"/>
          <w:lang w:val="pt-BR"/>
        </w:rPr>
        <w:t xml:space="preserve">o </w:t>
      </w:r>
      <w:r w:rsidR="00EC0BB7" w:rsidRPr="00692FD2">
        <w:rPr>
          <w:sz w:val="20"/>
          <w:szCs w:val="20"/>
          <w:lang w:val="pt-BR"/>
        </w:rPr>
        <w:t>processo</w:t>
      </w:r>
      <w:r w:rsidR="008C6385">
        <w:rPr>
          <w:sz w:val="20"/>
          <w:szCs w:val="20"/>
          <w:lang w:val="pt-BR"/>
        </w:rPr>
        <w:t xml:space="preserve"> </w:t>
      </w:r>
      <w:r w:rsidRPr="00692FD2">
        <w:rPr>
          <w:sz w:val="20"/>
          <w:szCs w:val="20"/>
          <w:lang w:val="pt-BR"/>
        </w:rPr>
        <w:t xml:space="preserve">penal </w:t>
      </w:r>
      <w:r w:rsidR="00692FD2">
        <w:rPr>
          <w:sz w:val="20"/>
          <w:szCs w:val="20"/>
          <w:lang w:val="pt-BR"/>
        </w:rPr>
        <w:t xml:space="preserve">incluiu provas obtidas </w:t>
      </w:r>
      <w:r w:rsidRPr="00692FD2">
        <w:rPr>
          <w:sz w:val="20"/>
          <w:szCs w:val="20"/>
          <w:lang w:val="pt-BR"/>
        </w:rPr>
        <w:t xml:space="preserve">de </w:t>
      </w:r>
      <w:r w:rsidR="006A3667" w:rsidRPr="00692FD2">
        <w:rPr>
          <w:sz w:val="20"/>
          <w:szCs w:val="20"/>
          <w:lang w:val="pt-BR"/>
        </w:rPr>
        <w:t>maneira</w:t>
      </w:r>
      <w:r w:rsidR="008C6385">
        <w:rPr>
          <w:sz w:val="20"/>
          <w:szCs w:val="20"/>
          <w:lang w:val="pt-BR"/>
        </w:rPr>
        <w:t xml:space="preserve"> </w:t>
      </w:r>
      <w:r w:rsidRPr="00692FD2">
        <w:rPr>
          <w:sz w:val="20"/>
          <w:szCs w:val="20"/>
          <w:lang w:val="pt-BR"/>
        </w:rPr>
        <w:t>ilegal; tamb</w:t>
      </w:r>
      <w:r w:rsidR="00692FD2">
        <w:rPr>
          <w:sz w:val="20"/>
          <w:szCs w:val="20"/>
          <w:lang w:val="pt-BR"/>
        </w:rPr>
        <w:t xml:space="preserve">ém teria ocorrido </w:t>
      </w:r>
      <w:r w:rsidRPr="00692FD2">
        <w:rPr>
          <w:sz w:val="20"/>
          <w:szCs w:val="20"/>
          <w:lang w:val="pt-BR"/>
        </w:rPr>
        <w:t>renova</w:t>
      </w:r>
      <w:r w:rsidR="00B153E7" w:rsidRPr="00692FD2">
        <w:rPr>
          <w:sz w:val="20"/>
          <w:szCs w:val="20"/>
          <w:lang w:val="pt-BR"/>
        </w:rPr>
        <w:t>ção</w:t>
      </w:r>
      <w:r w:rsidRPr="00692FD2">
        <w:rPr>
          <w:sz w:val="20"/>
          <w:szCs w:val="20"/>
          <w:lang w:val="pt-BR"/>
        </w:rPr>
        <w:t xml:space="preserve"> irregular de interven</w:t>
      </w:r>
      <w:r w:rsidR="00B153E7" w:rsidRPr="00692FD2">
        <w:rPr>
          <w:sz w:val="20"/>
          <w:szCs w:val="20"/>
          <w:lang w:val="pt-BR"/>
        </w:rPr>
        <w:t>ções</w:t>
      </w:r>
      <w:r w:rsidRPr="00692FD2">
        <w:rPr>
          <w:sz w:val="20"/>
          <w:szCs w:val="20"/>
          <w:lang w:val="pt-BR"/>
        </w:rPr>
        <w:t xml:space="preserve"> tele</w:t>
      </w:r>
      <w:r w:rsidR="00692FD2">
        <w:rPr>
          <w:sz w:val="20"/>
          <w:szCs w:val="20"/>
          <w:lang w:val="pt-BR"/>
        </w:rPr>
        <w:t>fô</w:t>
      </w:r>
      <w:r w:rsidRPr="00692FD2">
        <w:rPr>
          <w:sz w:val="20"/>
          <w:szCs w:val="20"/>
          <w:lang w:val="pt-BR"/>
        </w:rPr>
        <w:t xml:space="preserve">nicas </w:t>
      </w:r>
      <w:r w:rsidR="00692FD2">
        <w:rPr>
          <w:sz w:val="20"/>
          <w:szCs w:val="20"/>
          <w:lang w:val="pt-BR"/>
        </w:rPr>
        <w:t>e</w:t>
      </w:r>
      <w:r w:rsidRPr="00692FD2">
        <w:rPr>
          <w:sz w:val="20"/>
          <w:szCs w:val="20"/>
          <w:lang w:val="pt-BR"/>
        </w:rPr>
        <w:t xml:space="preserve"> telemáticas </w:t>
      </w:r>
      <w:r w:rsidR="00692FD2">
        <w:rPr>
          <w:sz w:val="20"/>
          <w:szCs w:val="20"/>
          <w:lang w:val="pt-BR"/>
        </w:rPr>
        <w:t xml:space="preserve">depois do encerramento do prazo </w:t>
      </w:r>
      <w:r w:rsidRPr="00692FD2">
        <w:rPr>
          <w:sz w:val="20"/>
          <w:szCs w:val="20"/>
          <w:lang w:val="pt-BR"/>
        </w:rPr>
        <w:t xml:space="preserve">legal </w:t>
      </w:r>
      <w:r w:rsidR="00692FD2">
        <w:rPr>
          <w:sz w:val="20"/>
          <w:szCs w:val="20"/>
          <w:lang w:val="pt-BR"/>
        </w:rPr>
        <w:t xml:space="preserve">e sem a devida </w:t>
      </w:r>
      <w:r w:rsidRPr="00692FD2">
        <w:rPr>
          <w:sz w:val="20"/>
          <w:szCs w:val="20"/>
          <w:lang w:val="pt-BR"/>
        </w:rPr>
        <w:t>autoriza</w:t>
      </w:r>
      <w:r w:rsidR="00B153E7" w:rsidRPr="00692FD2">
        <w:rPr>
          <w:sz w:val="20"/>
          <w:szCs w:val="20"/>
          <w:lang w:val="pt-BR"/>
        </w:rPr>
        <w:t>ção</w:t>
      </w:r>
      <w:r w:rsidRPr="00692FD2">
        <w:rPr>
          <w:sz w:val="20"/>
          <w:szCs w:val="20"/>
          <w:lang w:val="pt-BR"/>
        </w:rPr>
        <w:t xml:space="preserve"> judicial, </w:t>
      </w:r>
      <w:r w:rsidR="00692FD2">
        <w:rPr>
          <w:sz w:val="20"/>
          <w:szCs w:val="20"/>
          <w:lang w:val="pt-BR"/>
        </w:rPr>
        <w:t xml:space="preserve">além de uma rejeição de transcrição </w:t>
      </w:r>
      <w:r w:rsidR="00891A5F" w:rsidRPr="00692FD2">
        <w:rPr>
          <w:sz w:val="20"/>
          <w:szCs w:val="20"/>
          <w:lang w:val="pt-BR"/>
        </w:rPr>
        <w:t xml:space="preserve">dos </w:t>
      </w:r>
      <w:r w:rsidRPr="00692FD2">
        <w:rPr>
          <w:sz w:val="20"/>
          <w:szCs w:val="20"/>
          <w:lang w:val="pt-BR"/>
        </w:rPr>
        <w:t xml:space="preserve">diálogos obtidos por </w:t>
      </w:r>
      <w:r w:rsidR="00692FD2">
        <w:rPr>
          <w:sz w:val="20"/>
          <w:szCs w:val="20"/>
          <w:lang w:val="pt-BR"/>
        </w:rPr>
        <w:t xml:space="preserve">essas </w:t>
      </w:r>
      <w:r w:rsidRPr="00692FD2">
        <w:rPr>
          <w:sz w:val="20"/>
          <w:szCs w:val="20"/>
          <w:lang w:val="pt-BR"/>
        </w:rPr>
        <w:t>interven</w:t>
      </w:r>
      <w:r w:rsidR="00B153E7" w:rsidRPr="00692FD2">
        <w:rPr>
          <w:sz w:val="20"/>
          <w:szCs w:val="20"/>
          <w:lang w:val="pt-BR"/>
        </w:rPr>
        <w:t>ções</w:t>
      </w:r>
      <w:r w:rsidRPr="00692FD2">
        <w:rPr>
          <w:sz w:val="20"/>
          <w:szCs w:val="20"/>
          <w:lang w:val="pt-BR"/>
        </w:rPr>
        <w:t xml:space="preserve"> considerados relevantes p</w:t>
      </w:r>
      <w:r w:rsidR="00692FD2">
        <w:rPr>
          <w:sz w:val="20"/>
          <w:szCs w:val="20"/>
          <w:lang w:val="pt-BR"/>
        </w:rPr>
        <w:t xml:space="preserve">ela </w:t>
      </w:r>
      <w:r w:rsidRPr="00692FD2">
        <w:rPr>
          <w:sz w:val="20"/>
          <w:szCs w:val="20"/>
          <w:lang w:val="pt-BR"/>
        </w:rPr>
        <w:t>acusa</w:t>
      </w:r>
      <w:r w:rsidR="00B153E7" w:rsidRPr="00692FD2">
        <w:rPr>
          <w:sz w:val="20"/>
          <w:szCs w:val="20"/>
          <w:lang w:val="pt-BR"/>
        </w:rPr>
        <w:t>ção</w:t>
      </w:r>
      <w:r w:rsidRPr="00692FD2">
        <w:rPr>
          <w:sz w:val="20"/>
          <w:szCs w:val="20"/>
          <w:lang w:val="pt-BR"/>
        </w:rPr>
        <w:t>.</w:t>
      </w:r>
    </w:p>
    <w:p w14:paraId="01F9E612" w14:textId="77777777" w:rsidR="0007364B" w:rsidRPr="00692FD2" w:rsidRDefault="0007364B" w:rsidP="0007364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pt-BR"/>
        </w:rPr>
      </w:pPr>
    </w:p>
    <w:p w14:paraId="26ADF263" w14:textId="66CCCF22" w:rsidR="000A6A74" w:rsidRPr="005023EE" w:rsidRDefault="001A76C6" w:rsidP="000A6A74">
      <w:pPr>
        <w:pStyle w:val="ListParagraph"/>
        <w:widowControl w:val="0"/>
        <w:numPr>
          <w:ilvl w:val="0"/>
          <w:numId w:val="59"/>
        </w:numPr>
        <w:spacing w:before="240" w:after="240"/>
        <w:ind w:left="0" w:firstLine="720"/>
        <w:jc w:val="both"/>
        <w:rPr>
          <w:sz w:val="20"/>
          <w:szCs w:val="20"/>
          <w:lang w:val="pt-BR"/>
        </w:rPr>
      </w:pPr>
      <w:r w:rsidRPr="005023EE">
        <w:rPr>
          <w:sz w:val="20"/>
          <w:szCs w:val="20"/>
          <w:lang w:val="pt-BR"/>
        </w:rPr>
        <w:lastRenderedPageBreak/>
        <w:t>E</w:t>
      </w:r>
      <w:r w:rsidR="005023EE" w:rsidRPr="005023EE">
        <w:rPr>
          <w:sz w:val="20"/>
          <w:szCs w:val="20"/>
          <w:lang w:val="pt-BR"/>
        </w:rPr>
        <w:t>m conclusão</w:t>
      </w:r>
      <w:r w:rsidRPr="005023EE">
        <w:rPr>
          <w:sz w:val="20"/>
          <w:szCs w:val="20"/>
          <w:lang w:val="pt-BR"/>
        </w:rPr>
        <w:t xml:space="preserve">, </w:t>
      </w:r>
      <w:r w:rsidR="000A6A74" w:rsidRPr="005023EE">
        <w:rPr>
          <w:sz w:val="20"/>
          <w:szCs w:val="20"/>
          <w:lang w:val="pt-BR"/>
        </w:rPr>
        <w:t xml:space="preserve">a parte </w:t>
      </w:r>
      <w:r w:rsidR="00D64156" w:rsidRPr="005023EE">
        <w:rPr>
          <w:sz w:val="20"/>
          <w:szCs w:val="20"/>
          <w:lang w:val="pt-BR"/>
        </w:rPr>
        <w:t>peticionária</w:t>
      </w:r>
      <w:r w:rsidR="008C6385">
        <w:rPr>
          <w:sz w:val="20"/>
          <w:szCs w:val="20"/>
          <w:lang w:val="pt-BR"/>
        </w:rPr>
        <w:t xml:space="preserve"> </w:t>
      </w:r>
      <w:r w:rsidR="005023EE" w:rsidRPr="005023EE">
        <w:rPr>
          <w:sz w:val="20"/>
          <w:szCs w:val="20"/>
          <w:lang w:val="pt-BR"/>
        </w:rPr>
        <w:t>afirma</w:t>
      </w:r>
      <w:r w:rsidR="005023EE">
        <w:rPr>
          <w:sz w:val="20"/>
          <w:szCs w:val="20"/>
          <w:lang w:val="pt-BR"/>
        </w:rPr>
        <w:t xml:space="preserve"> que as </w:t>
      </w:r>
      <w:r w:rsidR="000A6A74" w:rsidRPr="005023EE">
        <w:rPr>
          <w:sz w:val="20"/>
          <w:szCs w:val="20"/>
          <w:lang w:val="pt-BR"/>
        </w:rPr>
        <w:t>situa</w:t>
      </w:r>
      <w:r w:rsidR="00B153E7" w:rsidRPr="005023EE">
        <w:rPr>
          <w:sz w:val="20"/>
          <w:szCs w:val="20"/>
          <w:lang w:val="pt-BR"/>
        </w:rPr>
        <w:t>ções</w:t>
      </w:r>
      <w:r w:rsidR="000A6A74" w:rsidRPr="005023EE">
        <w:rPr>
          <w:sz w:val="20"/>
          <w:szCs w:val="20"/>
          <w:lang w:val="pt-BR"/>
        </w:rPr>
        <w:t xml:space="preserve"> </w:t>
      </w:r>
      <w:r w:rsidR="005023EE">
        <w:rPr>
          <w:sz w:val="20"/>
          <w:szCs w:val="20"/>
          <w:lang w:val="pt-BR"/>
        </w:rPr>
        <w:t xml:space="preserve">suscitadas perante a </w:t>
      </w:r>
      <w:r w:rsidR="000A6A74" w:rsidRPr="005023EE">
        <w:rPr>
          <w:sz w:val="20"/>
          <w:szCs w:val="20"/>
          <w:lang w:val="pt-BR"/>
        </w:rPr>
        <w:t>CIDH p</w:t>
      </w:r>
      <w:r w:rsidR="005023EE">
        <w:rPr>
          <w:sz w:val="20"/>
          <w:szCs w:val="20"/>
          <w:lang w:val="pt-BR"/>
        </w:rPr>
        <w:t xml:space="preserve">elas </w:t>
      </w:r>
      <w:r w:rsidR="00EC0BB7" w:rsidRPr="005023EE">
        <w:rPr>
          <w:sz w:val="20"/>
          <w:szCs w:val="20"/>
          <w:lang w:val="pt-BR"/>
        </w:rPr>
        <w:t>supostas vítimas</w:t>
      </w:r>
      <w:r w:rsidR="008C6385">
        <w:rPr>
          <w:sz w:val="20"/>
          <w:szCs w:val="20"/>
          <w:lang w:val="pt-BR"/>
        </w:rPr>
        <w:t xml:space="preserve"> </w:t>
      </w:r>
      <w:r w:rsidR="005023EE">
        <w:rPr>
          <w:sz w:val="20"/>
          <w:szCs w:val="20"/>
          <w:lang w:val="pt-BR"/>
        </w:rPr>
        <w:t xml:space="preserve">foram </w:t>
      </w:r>
      <w:r w:rsidR="000A6A74" w:rsidRPr="005023EE">
        <w:rPr>
          <w:sz w:val="20"/>
          <w:szCs w:val="20"/>
          <w:lang w:val="pt-BR"/>
        </w:rPr>
        <w:t>objeto de exame p</w:t>
      </w:r>
      <w:r w:rsidR="005023EE">
        <w:rPr>
          <w:sz w:val="20"/>
          <w:szCs w:val="20"/>
          <w:lang w:val="pt-BR"/>
        </w:rPr>
        <w:t>elo Poder Judiciário brasileiro durante mais de trinta e cinco anos</w:t>
      </w:r>
      <w:r w:rsidR="000A6A74" w:rsidRPr="005023EE">
        <w:rPr>
          <w:sz w:val="20"/>
          <w:szCs w:val="20"/>
          <w:lang w:val="pt-BR"/>
        </w:rPr>
        <w:t xml:space="preserve">, </w:t>
      </w:r>
      <w:r w:rsidR="005023EE">
        <w:rPr>
          <w:sz w:val="20"/>
          <w:szCs w:val="20"/>
          <w:lang w:val="pt-BR"/>
        </w:rPr>
        <w:t xml:space="preserve">tempo </w:t>
      </w:r>
      <w:r w:rsidR="000A6A74" w:rsidRPr="005023EE">
        <w:rPr>
          <w:sz w:val="20"/>
          <w:szCs w:val="20"/>
          <w:lang w:val="pt-BR"/>
        </w:rPr>
        <w:t>injustificado e irrazo</w:t>
      </w:r>
      <w:r w:rsidR="005023EE">
        <w:rPr>
          <w:sz w:val="20"/>
          <w:szCs w:val="20"/>
          <w:lang w:val="pt-BR"/>
        </w:rPr>
        <w:t>ável</w:t>
      </w:r>
      <w:r w:rsidR="000A6A74" w:rsidRPr="005023EE">
        <w:rPr>
          <w:sz w:val="20"/>
          <w:szCs w:val="20"/>
          <w:lang w:val="pt-BR"/>
        </w:rPr>
        <w:t xml:space="preserve">. </w:t>
      </w:r>
      <w:r w:rsidR="005023EE" w:rsidRPr="005023EE">
        <w:rPr>
          <w:sz w:val="20"/>
          <w:szCs w:val="20"/>
          <w:lang w:val="pt-BR"/>
        </w:rPr>
        <w:t>Do mesmo modo</w:t>
      </w:r>
      <w:r w:rsidR="000A6A74" w:rsidRPr="005023EE">
        <w:rPr>
          <w:sz w:val="20"/>
          <w:szCs w:val="20"/>
          <w:lang w:val="pt-BR"/>
        </w:rPr>
        <w:t>, e</w:t>
      </w:r>
      <w:r w:rsidR="005023EE" w:rsidRPr="005023EE">
        <w:rPr>
          <w:sz w:val="20"/>
          <w:szCs w:val="20"/>
          <w:lang w:val="pt-BR"/>
        </w:rPr>
        <w:t xml:space="preserve">m suas </w:t>
      </w:r>
      <w:r w:rsidR="000A6A74" w:rsidRPr="005023EE">
        <w:rPr>
          <w:sz w:val="20"/>
          <w:szCs w:val="20"/>
          <w:lang w:val="pt-BR"/>
        </w:rPr>
        <w:t>observa</w:t>
      </w:r>
      <w:r w:rsidR="00B153E7" w:rsidRPr="005023EE">
        <w:rPr>
          <w:sz w:val="20"/>
          <w:szCs w:val="20"/>
          <w:lang w:val="pt-BR"/>
        </w:rPr>
        <w:t>ções</w:t>
      </w:r>
      <w:r w:rsidR="000A6A74" w:rsidRPr="005023EE">
        <w:rPr>
          <w:sz w:val="20"/>
          <w:szCs w:val="20"/>
          <w:lang w:val="pt-BR"/>
        </w:rPr>
        <w:t xml:space="preserve"> adicion</w:t>
      </w:r>
      <w:r w:rsidR="00B153E7" w:rsidRPr="005023EE">
        <w:rPr>
          <w:sz w:val="20"/>
          <w:szCs w:val="20"/>
          <w:lang w:val="pt-BR"/>
        </w:rPr>
        <w:t>ais</w:t>
      </w:r>
      <w:r w:rsidR="000A6A74" w:rsidRPr="005023EE">
        <w:rPr>
          <w:sz w:val="20"/>
          <w:szCs w:val="20"/>
          <w:lang w:val="pt-BR"/>
        </w:rPr>
        <w:t xml:space="preserve">, </w:t>
      </w:r>
      <w:r w:rsidR="005023EE" w:rsidRPr="005023EE">
        <w:rPr>
          <w:sz w:val="20"/>
          <w:szCs w:val="20"/>
          <w:lang w:val="pt-BR"/>
        </w:rPr>
        <w:t xml:space="preserve">salienta que não pôde esgotar os </w:t>
      </w:r>
      <w:r w:rsidR="000A6A74" w:rsidRPr="005023EE">
        <w:rPr>
          <w:sz w:val="20"/>
          <w:szCs w:val="20"/>
          <w:lang w:val="pt-BR"/>
        </w:rPr>
        <w:t>recursos internos indicados p</w:t>
      </w:r>
      <w:r w:rsidR="005023EE" w:rsidRPr="005023EE">
        <w:rPr>
          <w:sz w:val="20"/>
          <w:szCs w:val="20"/>
          <w:lang w:val="pt-BR"/>
        </w:rPr>
        <w:t>elo</w:t>
      </w:r>
      <w:r w:rsidR="005023EE">
        <w:rPr>
          <w:sz w:val="20"/>
          <w:szCs w:val="20"/>
          <w:lang w:val="pt-BR"/>
        </w:rPr>
        <w:t xml:space="preserve"> </w:t>
      </w:r>
      <w:r w:rsidR="000A6A74" w:rsidRPr="005023EE">
        <w:rPr>
          <w:sz w:val="20"/>
          <w:szCs w:val="20"/>
          <w:lang w:val="pt-BR"/>
        </w:rPr>
        <w:t xml:space="preserve">Estado, </w:t>
      </w:r>
      <w:r w:rsidR="005023EE">
        <w:rPr>
          <w:sz w:val="20"/>
          <w:szCs w:val="20"/>
          <w:lang w:val="pt-BR"/>
        </w:rPr>
        <w:t>já</w:t>
      </w:r>
      <w:r w:rsidR="000A6A74" w:rsidRPr="005023EE">
        <w:rPr>
          <w:sz w:val="20"/>
          <w:szCs w:val="20"/>
          <w:lang w:val="pt-BR"/>
        </w:rPr>
        <w:t xml:space="preserve"> que: i) a </w:t>
      </w:r>
      <w:r w:rsidR="00891A5F" w:rsidRPr="005023EE">
        <w:rPr>
          <w:sz w:val="20"/>
          <w:szCs w:val="20"/>
          <w:lang w:val="pt-BR"/>
        </w:rPr>
        <w:t>ação</w:t>
      </w:r>
      <w:r w:rsidR="008C6385">
        <w:rPr>
          <w:sz w:val="20"/>
          <w:szCs w:val="20"/>
          <w:lang w:val="pt-BR"/>
        </w:rPr>
        <w:t xml:space="preserve"> </w:t>
      </w:r>
      <w:r w:rsidR="000A6A74" w:rsidRPr="005023EE">
        <w:rPr>
          <w:sz w:val="20"/>
          <w:szCs w:val="20"/>
          <w:lang w:val="pt-BR"/>
        </w:rPr>
        <w:t xml:space="preserve">civil por </w:t>
      </w:r>
      <w:r w:rsidR="00EC0BB7" w:rsidRPr="005023EE">
        <w:rPr>
          <w:sz w:val="20"/>
          <w:szCs w:val="20"/>
          <w:lang w:val="pt-BR"/>
        </w:rPr>
        <w:t>danos</w:t>
      </w:r>
      <w:r w:rsidR="008C6385">
        <w:rPr>
          <w:sz w:val="20"/>
          <w:szCs w:val="20"/>
          <w:lang w:val="pt-BR"/>
        </w:rPr>
        <w:t xml:space="preserve"> </w:t>
      </w:r>
      <w:r w:rsidR="005023EE">
        <w:rPr>
          <w:sz w:val="20"/>
          <w:szCs w:val="20"/>
          <w:lang w:val="pt-BR"/>
        </w:rPr>
        <w:t xml:space="preserve">e </w:t>
      </w:r>
      <w:r w:rsidR="00772C30">
        <w:rPr>
          <w:sz w:val="20"/>
          <w:szCs w:val="20"/>
          <w:lang w:val="pt-BR"/>
        </w:rPr>
        <w:t>prejuízos</w:t>
      </w:r>
      <w:r w:rsidR="005023EE">
        <w:rPr>
          <w:sz w:val="20"/>
          <w:szCs w:val="20"/>
          <w:lang w:val="pt-BR"/>
        </w:rPr>
        <w:t xml:space="preserve"> </w:t>
      </w:r>
      <w:r w:rsidR="000A6A74" w:rsidRPr="005023EE">
        <w:rPr>
          <w:sz w:val="20"/>
          <w:szCs w:val="20"/>
          <w:lang w:val="pt-BR"/>
        </w:rPr>
        <w:t>n</w:t>
      </w:r>
      <w:r w:rsidR="005023EE">
        <w:rPr>
          <w:sz w:val="20"/>
          <w:szCs w:val="20"/>
          <w:lang w:val="pt-BR"/>
        </w:rPr>
        <w:t>ã</w:t>
      </w:r>
      <w:r w:rsidR="000A6A74" w:rsidRPr="005023EE">
        <w:rPr>
          <w:sz w:val="20"/>
          <w:szCs w:val="20"/>
          <w:lang w:val="pt-BR"/>
        </w:rPr>
        <w:t>o garant</w:t>
      </w:r>
      <w:r w:rsidR="005023EE">
        <w:rPr>
          <w:sz w:val="20"/>
          <w:szCs w:val="20"/>
          <w:lang w:val="pt-BR"/>
        </w:rPr>
        <w:t>e</w:t>
      </w:r>
      <w:r w:rsidR="000A6A74" w:rsidRPr="005023EE">
        <w:rPr>
          <w:sz w:val="20"/>
          <w:szCs w:val="20"/>
          <w:lang w:val="pt-BR"/>
        </w:rPr>
        <w:t xml:space="preserve"> a condena</w:t>
      </w:r>
      <w:r w:rsidR="009A3F8A">
        <w:rPr>
          <w:sz w:val="20"/>
          <w:szCs w:val="20"/>
          <w:lang w:val="pt-BR"/>
        </w:rPr>
        <w:t xml:space="preserve">ção do </w:t>
      </w:r>
      <w:r w:rsidR="000A6A74" w:rsidRPr="005023EE">
        <w:rPr>
          <w:sz w:val="20"/>
          <w:szCs w:val="20"/>
          <w:lang w:val="pt-BR"/>
        </w:rPr>
        <w:t xml:space="preserve">Estado </w:t>
      </w:r>
      <w:r w:rsidR="009A3F8A">
        <w:rPr>
          <w:sz w:val="20"/>
          <w:szCs w:val="20"/>
          <w:lang w:val="pt-BR"/>
        </w:rPr>
        <w:t xml:space="preserve">brasileiro pela </w:t>
      </w:r>
      <w:r w:rsidR="000A6A74" w:rsidRPr="005023EE">
        <w:rPr>
          <w:sz w:val="20"/>
          <w:szCs w:val="20"/>
          <w:lang w:val="pt-BR"/>
        </w:rPr>
        <w:t>viola</w:t>
      </w:r>
      <w:r w:rsidR="00B153E7" w:rsidRPr="005023EE">
        <w:rPr>
          <w:sz w:val="20"/>
          <w:szCs w:val="20"/>
          <w:lang w:val="pt-BR"/>
        </w:rPr>
        <w:t>ção</w:t>
      </w:r>
      <w:r w:rsidR="000A6A74" w:rsidRPr="005023EE">
        <w:rPr>
          <w:sz w:val="20"/>
          <w:szCs w:val="20"/>
          <w:lang w:val="pt-BR"/>
        </w:rPr>
        <w:t xml:space="preserve"> </w:t>
      </w:r>
      <w:r w:rsidR="00891A5F" w:rsidRPr="005023EE">
        <w:rPr>
          <w:sz w:val="20"/>
          <w:szCs w:val="20"/>
          <w:lang w:val="pt-BR"/>
        </w:rPr>
        <w:t xml:space="preserve">dos </w:t>
      </w:r>
      <w:r w:rsidR="00B153E7" w:rsidRPr="005023EE">
        <w:rPr>
          <w:sz w:val="20"/>
          <w:szCs w:val="20"/>
          <w:lang w:val="pt-BR"/>
        </w:rPr>
        <w:t>direitos</w:t>
      </w:r>
      <w:r w:rsidR="008C6385">
        <w:rPr>
          <w:sz w:val="20"/>
          <w:szCs w:val="20"/>
          <w:lang w:val="pt-BR"/>
        </w:rPr>
        <w:t xml:space="preserve"> </w:t>
      </w:r>
      <w:r w:rsidR="000A6A74" w:rsidRPr="005023EE">
        <w:rPr>
          <w:sz w:val="20"/>
          <w:szCs w:val="20"/>
          <w:lang w:val="pt-BR"/>
        </w:rPr>
        <w:t xml:space="preserve">humanos; ii) a </w:t>
      </w:r>
      <w:r w:rsidR="00891A5F" w:rsidRPr="005023EE">
        <w:rPr>
          <w:sz w:val="20"/>
          <w:szCs w:val="20"/>
          <w:lang w:val="pt-BR"/>
        </w:rPr>
        <w:t>ação</w:t>
      </w:r>
      <w:r w:rsidR="008C6385">
        <w:rPr>
          <w:sz w:val="20"/>
          <w:szCs w:val="20"/>
          <w:lang w:val="pt-BR"/>
        </w:rPr>
        <w:t xml:space="preserve"> </w:t>
      </w:r>
      <w:r w:rsidR="000A6A74" w:rsidRPr="005023EE">
        <w:rPr>
          <w:sz w:val="20"/>
          <w:szCs w:val="20"/>
          <w:lang w:val="pt-BR"/>
        </w:rPr>
        <w:t xml:space="preserve">penal sugerida </w:t>
      </w:r>
      <w:r w:rsidR="009A3F8A">
        <w:rPr>
          <w:sz w:val="20"/>
          <w:szCs w:val="20"/>
          <w:lang w:val="pt-BR"/>
        </w:rPr>
        <w:t xml:space="preserve">é </w:t>
      </w:r>
      <w:r w:rsidR="00891A5F" w:rsidRPr="005023EE">
        <w:rPr>
          <w:sz w:val="20"/>
          <w:szCs w:val="20"/>
          <w:lang w:val="pt-BR"/>
        </w:rPr>
        <w:t>uma</w:t>
      </w:r>
      <w:r w:rsidR="008C6385">
        <w:rPr>
          <w:sz w:val="20"/>
          <w:szCs w:val="20"/>
          <w:lang w:val="pt-BR"/>
        </w:rPr>
        <w:t xml:space="preserve"> </w:t>
      </w:r>
      <w:r w:rsidR="00891A5F" w:rsidRPr="005023EE">
        <w:rPr>
          <w:sz w:val="20"/>
          <w:szCs w:val="20"/>
          <w:lang w:val="pt-BR"/>
        </w:rPr>
        <w:t>ação</w:t>
      </w:r>
      <w:r w:rsidR="008C6385">
        <w:rPr>
          <w:sz w:val="20"/>
          <w:szCs w:val="20"/>
          <w:lang w:val="pt-BR"/>
        </w:rPr>
        <w:t xml:space="preserve"> </w:t>
      </w:r>
      <w:r w:rsidR="000A6A74" w:rsidRPr="005023EE">
        <w:rPr>
          <w:sz w:val="20"/>
          <w:szCs w:val="20"/>
          <w:lang w:val="pt-BR"/>
        </w:rPr>
        <w:t xml:space="preserve">penal pública incondicional; iii) </w:t>
      </w:r>
      <w:r w:rsidR="009A3F8A">
        <w:rPr>
          <w:sz w:val="20"/>
          <w:szCs w:val="20"/>
          <w:lang w:val="pt-BR"/>
        </w:rPr>
        <w:t>o</w:t>
      </w:r>
      <w:r w:rsidR="000A6A74" w:rsidRPr="005023EE">
        <w:rPr>
          <w:sz w:val="20"/>
          <w:szCs w:val="20"/>
          <w:lang w:val="pt-BR"/>
        </w:rPr>
        <w:t xml:space="preserve"> Código Penal </w:t>
      </w:r>
      <w:r w:rsidR="009A3F8A">
        <w:rPr>
          <w:sz w:val="20"/>
          <w:szCs w:val="20"/>
          <w:lang w:val="pt-BR"/>
        </w:rPr>
        <w:t xml:space="preserve">brasileiro adota o princípio de ubiquidade e, como a </w:t>
      </w:r>
      <w:r w:rsidR="000A6A74" w:rsidRPr="005023EE">
        <w:rPr>
          <w:sz w:val="20"/>
          <w:szCs w:val="20"/>
          <w:lang w:val="pt-BR"/>
        </w:rPr>
        <w:t>viola</w:t>
      </w:r>
      <w:r w:rsidR="00B153E7" w:rsidRPr="005023EE">
        <w:rPr>
          <w:sz w:val="20"/>
          <w:szCs w:val="20"/>
          <w:lang w:val="pt-BR"/>
        </w:rPr>
        <w:t>ção</w:t>
      </w:r>
      <w:r w:rsidR="000A6A74" w:rsidRPr="005023EE">
        <w:rPr>
          <w:sz w:val="20"/>
          <w:szCs w:val="20"/>
          <w:lang w:val="pt-BR"/>
        </w:rPr>
        <w:t xml:space="preserve"> d</w:t>
      </w:r>
      <w:r w:rsidR="009A3F8A">
        <w:rPr>
          <w:sz w:val="20"/>
          <w:szCs w:val="20"/>
          <w:lang w:val="pt-BR"/>
        </w:rPr>
        <w:t>o</w:t>
      </w:r>
      <w:r w:rsidR="000A6A74" w:rsidRPr="005023EE">
        <w:rPr>
          <w:sz w:val="20"/>
          <w:szCs w:val="20"/>
          <w:lang w:val="pt-BR"/>
        </w:rPr>
        <w:t xml:space="preserve"> domic</w:t>
      </w:r>
      <w:r w:rsidR="009A3F8A">
        <w:rPr>
          <w:sz w:val="20"/>
          <w:szCs w:val="20"/>
          <w:lang w:val="pt-BR"/>
        </w:rPr>
        <w:t>í</w:t>
      </w:r>
      <w:r w:rsidR="000A6A74" w:rsidRPr="005023EE">
        <w:rPr>
          <w:sz w:val="20"/>
          <w:szCs w:val="20"/>
          <w:lang w:val="pt-BR"/>
        </w:rPr>
        <w:t>lio t</w:t>
      </w:r>
      <w:r w:rsidR="009A3F8A">
        <w:rPr>
          <w:sz w:val="20"/>
          <w:szCs w:val="20"/>
          <w:lang w:val="pt-BR"/>
        </w:rPr>
        <w:t>eve lugar em território uruguaio</w:t>
      </w:r>
      <w:r w:rsidR="000A6A74" w:rsidRPr="005023EE">
        <w:rPr>
          <w:sz w:val="20"/>
          <w:szCs w:val="20"/>
          <w:lang w:val="pt-BR"/>
        </w:rPr>
        <w:t xml:space="preserve">, </w:t>
      </w:r>
      <w:r w:rsidR="009A3F8A">
        <w:rPr>
          <w:sz w:val="20"/>
          <w:szCs w:val="20"/>
          <w:lang w:val="pt-BR"/>
        </w:rPr>
        <w:t>o Poder Judiciário brasileiro não tem competência para analisar o crime</w:t>
      </w:r>
      <w:r w:rsidR="000A6A74" w:rsidRPr="005023EE">
        <w:rPr>
          <w:sz w:val="20"/>
          <w:szCs w:val="20"/>
          <w:lang w:val="pt-BR"/>
        </w:rPr>
        <w:t xml:space="preserve">; iv) </w:t>
      </w:r>
      <w:r w:rsidR="009A3F8A">
        <w:rPr>
          <w:sz w:val="20"/>
          <w:szCs w:val="20"/>
          <w:lang w:val="pt-BR"/>
        </w:rPr>
        <w:t xml:space="preserve">já foram realizadas tentativas de </w:t>
      </w:r>
      <w:r w:rsidR="000A6A74" w:rsidRPr="005023EE">
        <w:rPr>
          <w:sz w:val="20"/>
          <w:szCs w:val="20"/>
          <w:lang w:val="pt-BR"/>
        </w:rPr>
        <w:t xml:space="preserve">responsabilizar os agentes </w:t>
      </w:r>
      <w:r w:rsidR="009A3F8A">
        <w:rPr>
          <w:sz w:val="20"/>
          <w:szCs w:val="20"/>
          <w:lang w:val="pt-BR"/>
        </w:rPr>
        <w:t xml:space="preserve">brasileiros, mas não houve </w:t>
      </w:r>
      <w:r w:rsidR="000A6A74" w:rsidRPr="005023EE">
        <w:rPr>
          <w:sz w:val="20"/>
          <w:szCs w:val="20"/>
          <w:lang w:val="pt-BR"/>
        </w:rPr>
        <w:t xml:space="preserve">resultado efetivo, </w:t>
      </w:r>
      <w:r w:rsidR="009A3F8A">
        <w:rPr>
          <w:sz w:val="20"/>
          <w:szCs w:val="20"/>
          <w:lang w:val="pt-BR"/>
        </w:rPr>
        <w:t xml:space="preserve">já que as </w:t>
      </w:r>
      <w:r w:rsidR="000A6A74" w:rsidRPr="005023EE">
        <w:rPr>
          <w:sz w:val="20"/>
          <w:szCs w:val="20"/>
          <w:lang w:val="pt-BR"/>
        </w:rPr>
        <w:t>autoridades goza</w:t>
      </w:r>
      <w:r w:rsidR="009A3F8A">
        <w:rPr>
          <w:sz w:val="20"/>
          <w:szCs w:val="20"/>
          <w:lang w:val="pt-BR"/>
        </w:rPr>
        <w:t>m</w:t>
      </w:r>
      <w:r w:rsidR="000A6A74" w:rsidRPr="005023EE">
        <w:rPr>
          <w:sz w:val="20"/>
          <w:szCs w:val="20"/>
          <w:lang w:val="pt-BR"/>
        </w:rPr>
        <w:t xml:space="preserve"> de “imunidad</w:t>
      </w:r>
      <w:r w:rsidR="009A3F8A">
        <w:rPr>
          <w:sz w:val="20"/>
          <w:szCs w:val="20"/>
          <w:lang w:val="pt-BR"/>
        </w:rPr>
        <w:t>e</w:t>
      </w:r>
      <w:r w:rsidR="000A6A74" w:rsidRPr="005023EE">
        <w:rPr>
          <w:sz w:val="20"/>
          <w:szCs w:val="20"/>
          <w:lang w:val="pt-BR"/>
        </w:rPr>
        <w:t xml:space="preserve"> relativa e impunidad</w:t>
      </w:r>
      <w:r w:rsidR="009A3F8A">
        <w:rPr>
          <w:sz w:val="20"/>
          <w:szCs w:val="20"/>
          <w:lang w:val="pt-BR"/>
        </w:rPr>
        <w:t>e</w:t>
      </w:r>
      <w:r w:rsidR="000A6A74" w:rsidRPr="005023EE">
        <w:rPr>
          <w:sz w:val="20"/>
          <w:szCs w:val="20"/>
          <w:lang w:val="pt-BR"/>
        </w:rPr>
        <w:t xml:space="preserve"> absoluta”.</w:t>
      </w:r>
    </w:p>
    <w:p w14:paraId="388DAEB2" w14:textId="6EEF3933" w:rsidR="003E76BF" w:rsidRPr="00D64156" w:rsidRDefault="003E76BF" w:rsidP="003E76B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pt-BR"/>
        </w:rPr>
      </w:pPr>
      <w:r w:rsidRPr="00247E84">
        <w:rPr>
          <w:i/>
          <w:iCs/>
          <w:sz w:val="20"/>
          <w:szCs w:val="20"/>
          <w:lang w:val="pt-BR"/>
        </w:rPr>
        <w:t>Posi</w:t>
      </w:r>
      <w:r w:rsidR="00B153E7" w:rsidRPr="00247E84">
        <w:rPr>
          <w:i/>
          <w:iCs/>
          <w:sz w:val="20"/>
          <w:szCs w:val="20"/>
          <w:lang w:val="pt-BR"/>
        </w:rPr>
        <w:t>ção</w:t>
      </w:r>
      <w:r w:rsidRPr="00D64156">
        <w:rPr>
          <w:i/>
          <w:iCs/>
          <w:sz w:val="20"/>
          <w:szCs w:val="20"/>
          <w:lang w:val="pt-BR"/>
        </w:rPr>
        <w:t xml:space="preserve"> d</w:t>
      </w:r>
      <w:r w:rsidR="00247E84">
        <w:rPr>
          <w:i/>
          <w:iCs/>
          <w:sz w:val="20"/>
          <w:szCs w:val="20"/>
          <w:lang w:val="pt-BR"/>
        </w:rPr>
        <w:t>o</w:t>
      </w:r>
      <w:r w:rsidRPr="00D64156">
        <w:rPr>
          <w:i/>
          <w:iCs/>
          <w:sz w:val="20"/>
          <w:szCs w:val="20"/>
          <w:lang w:val="pt-BR"/>
        </w:rPr>
        <w:t xml:space="preserve"> Estado </w:t>
      </w:r>
      <w:r w:rsidR="00247E84">
        <w:rPr>
          <w:i/>
          <w:iCs/>
          <w:sz w:val="20"/>
          <w:szCs w:val="20"/>
          <w:lang w:val="pt-BR"/>
        </w:rPr>
        <w:t>brasileiro</w:t>
      </w:r>
    </w:p>
    <w:p w14:paraId="15F5B4CE" w14:textId="13B07CFA" w:rsidR="00FB08B6" w:rsidRPr="00D64156" w:rsidRDefault="00247E84" w:rsidP="00FB08B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247E84">
        <w:rPr>
          <w:sz w:val="20"/>
          <w:szCs w:val="20"/>
          <w:lang w:val="pt-BR"/>
        </w:rPr>
        <w:t>O</w:t>
      </w:r>
      <w:r w:rsidR="004503E1" w:rsidRPr="00247E84">
        <w:rPr>
          <w:sz w:val="20"/>
          <w:szCs w:val="20"/>
          <w:lang w:val="pt-BR"/>
        </w:rPr>
        <w:t xml:space="preserve"> Estado</w:t>
      </w:r>
      <w:r w:rsidR="003E76BF" w:rsidRPr="00247E84">
        <w:rPr>
          <w:sz w:val="20"/>
          <w:szCs w:val="20"/>
          <w:lang w:val="pt-BR"/>
        </w:rPr>
        <w:t xml:space="preserve"> </w:t>
      </w:r>
      <w:r w:rsidR="004503E1" w:rsidRPr="00247E84">
        <w:rPr>
          <w:sz w:val="20"/>
          <w:szCs w:val="20"/>
          <w:lang w:val="pt-BR"/>
        </w:rPr>
        <w:t xml:space="preserve">alega que </w:t>
      </w:r>
      <w:r w:rsidRPr="00247E84">
        <w:rPr>
          <w:sz w:val="20"/>
          <w:szCs w:val="20"/>
          <w:lang w:val="pt-BR"/>
        </w:rPr>
        <w:t>o</w:t>
      </w:r>
      <w:r w:rsidR="00FB08B6" w:rsidRPr="00247E84">
        <w:rPr>
          <w:sz w:val="20"/>
          <w:szCs w:val="20"/>
          <w:lang w:val="pt-BR"/>
        </w:rPr>
        <w:t xml:space="preserve"> peticion</w:t>
      </w:r>
      <w:r>
        <w:rPr>
          <w:sz w:val="20"/>
          <w:szCs w:val="20"/>
          <w:lang w:val="pt-BR"/>
        </w:rPr>
        <w:t>á</w:t>
      </w:r>
      <w:r w:rsidR="00FB08B6" w:rsidRPr="00247E84">
        <w:rPr>
          <w:sz w:val="20"/>
          <w:szCs w:val="20"/>
          <w:lang w:val="pt-BR"/>
        </w:rPr>
        <w:t xml:space="preserve">rio </w:t>
      </w:r>
      <w:r>
        <w:rPr>
          <w:sz w:val="20"/>
          <w:szCs w:val="20"/>
          <w:lang w:val="pt-BR"/>
        </w:rPr>
        <w:t xml:space="preserve">apresentou </w:t>
      </w:r>
      <w:r w:rsidR="00891A5F" w:rsidRPr="00247E84">
        <w:rPr>
          <w:sz w:val="20"/>
          <w:szCs w:val="20"/>
          <w:lang w:val="pt-BR"/>
        </w:rPr>
        <w:t>uma</w:t>
      </w:r>
      <w:r w:rsidR="008C6385">
        <w:rPr>
          <w:sz w:val="20"/>
          <w:szCs w:val="20"/>
          <w:lang w:val="pt-BR"/>
        </w:rPr>
        <w:t xml:space="preserve"> </w:t>
      </w:r>
      <w:r w:rsidR="00FB08B6" w:rsidRPr="00247E84">
        <w:rPr>
          <w:sz w:val="20"/>
          <w:szCs w:val="20"/>
          <w:lang w:val="pt-BR"/>
        </w:rPr>
        <w:t>descri</w:t>
      </w:r>
      <w:r w:rsidR="00B153E7" w:rsidRPr="00247E84">
        <w:rPr>
          <w:sz w:val="20"/>
          <w:szCs w:val="20"/>
          <w:lang w:val="pt-BR"/>
        </w:rPr>
        <w:t>ção</w:t>
      </w:r>
      <w:r w:rsidR="00FB08B6" w:rsidRPr="00247E84">
        <w:rPr>
          <w:sz w:val="20"/>
          <w:szCs w:val="20"/>
          <w:lang w:val="pt-BR"/>
        </w:rPr>
        <w:t xml:space="preserve"> confusa de d</w:t>
      </w:r>
      <w:r>
        <w:rPr>
          <w:sz w:val="20"/>
          <w:szCs w:val="20"/>
          <w:lang w:val="pt-BR"/>
        </w:rPr>
        <w:t xml:space="preserve">uas </w:t>
      </w:r>
      <w:r w:rsidR="00FB08B6" w:rsidRPr="00247E84">
        <w:rPr>
          <w:sz w:val="20"/>
          <w:szCs w:val="20"/>
          <w:lang w:val="pt-BR"/>
        </w:rPr>
        <w:t>situa</w:t>
      </w:r>
      <w:r w:rsidR="00B153E7" w:rsidRPr="00247E84">
        <w:rPr>
          <w:sz w:val="20"/>
          <w:szCs w:val="20"/>
          <w:lang w:val="pt-BR"/>
        </w:rPr>
        <w:t>ções</w:t>
      </w:r>
      <w:r w:rsidR="00FB08B6" w:rsidRPr="00247E84">
        <w:rPr>
          <w:sz w:val="20"/>
          <w:szCs w:val="20"/>
          <w:lang w:val="pt-BR"/>
        </w:rPr>
        <w:t xml:space="preserve"> </w:t>
      </w:r>
      <w:r>
        <w:rPr>
          <w:sz w:val="20"/>
          <w:szCs w:val="20"/>
          <w:lang w:val="pt-BR"/>
        </w:rPr>
        <w:t>aparentemente não relacionadas</w:t>
      </w:r>
      <w:r w:rsidR="00FB08B6" w:rsidRPr="00247E84">
        <w:rPr>
          <w:sz w:val="20"/>
          <w:szCs w:val="20"/>
          <w:lang w:val="pt-BR"/>
        </w:rPr>
        <w:t xml:space="preserve">: a demora </w:t>
      </w:r>
      <w:r>
        <w:rPr>
          <w:sz w:val="20"/>
          <w:szCs w:val="20"/>
          <w:lang w:val="pt-BR"/>
        </w:rPr>
        <w:t xml:space="preserve">no cumprimento de decisões </w:t>
      </w:r>
      <w:r w:rsidR="00FB08B6" w:rsidRPr="00247E84">
        <w:rPr>
          <w:sz w:val="20"/>
          <w:szCs w:val="20"/>
          <w:lang w:val="pt-BR"/>
        </w:rPr>
        <w:t>judici</w:t>
      </w:r>
      <w:r w:rsidR="00B153E7" w:rsidRPr="00247E84">
        <w:rPr>
          <w:sz w:val="20"/>
          <w:szCs w:val="20"/>
          <w:lang w:val="pt-BR"/>
        </w:rPr>
        <w:t>ais</w:t>
      </w:r>
      <w:r w:rsidR="008C6385">
        <w:rPr>
          <w:sz w:val="20"/>
          <w:szCs w:val="20"/>
          <w:lang w:val="pt-BR"/>
        </w:rPr>
        <w:t xml:space="preserve"> </w:t>
      </w:r>
      <w:r>
        <w:rPr>
          <w:sz w:val="20"/>
          <w:szCs w:val="20"/>
          <w:lang w:val="pt-BR"/>
        </w:rPr>
        <w:t xml:space="preserve">e o tratamento das </w:t>
      </w:r>
      <w:r w:rsidR="00EC0BB7" w:rsidRPr="00247E84">
        <w:rPr>
          <w:sz w:val="20"/>
          <w:szCs w:val="20"/>
          <w:lang w:val="pt-BR"/>
        </w:rPr>
        <w:t>supostas vítimas</w:t>
      </w:r>
      <w:r w:rsidR="008C6385">
        <w:rPr>
          <w:sz w:val="20"/>
          <w:szCs w:val="20"/>
          <w:lang w:val="pt-BR"/>
        </w:rPr>
        <w:t xml:space="preserve"> </w:t>
      </w:r>
      <w:r>
        <w:rPr>
          <w:sz w:val="20"/>
          <w:szCs w:val="20"/>
          <w:lang w:val="pt-BR"/>
        </w:rPr>
        <w:t xml:space="preserve">como resultado da operação </w:t>
      </w:r>
      <w:r w:rsidR="00FB08B6" w:rsidRPr="00247E84">
        <w:rPr>
          <w:sz w:val="20"/>
          <w:szCs w:val="20"/>
          <w:lang w:val="pt-BR"/>
        </w:rPr>
        <w:t>policial. Afirma que por es</w:t>
      </w:r>
      <w:r w:rsidRPr="00247E84">
        <w:rPr>
          <w:sz w:val="20"/>
          <w:szCs w:val="20"/>
          <w:lang w:val="pt-BR"/>
        </w:rPr>
        <w:t>s</w:t>
      </w:r>
      <w:r w:rsidR="00FB08B6" w:rsidRPr="00247E84">
        <w:rPr>
          <w:sz w:val="20"/>
          <w:szCs w:val="20"/>
          <w:lang w:val="pt-BR"/>
        </w:rPr>
        <w:t>a raz</w:t>
      </w:r>
      <w:r w:rsidRPr="00247E84">
        <w:rPr>
          <w:sz w:val="20"/>
          <w:szCs w:val="20"/>
          <w:lang w:val="pt-BR"/>
        </w:rPr>
        <w:t>ã</w:t>
      </w:r>
      <w:r>
        <w:rPr>
          <w:sz w:val="20"/>
          <w:szCs w:val="20"/>
          <w:lang w:val="pt-BR"/>
        </w:rPr>
        <w:t xml:space="preserve">o a </w:t>
      </w:r>
      <w:r w:rsidR="00FB08B6" w:rsidRPr="00247E84">
        <w:rPr>
          <w:sz w:val="20"/>
          <w:szCs w:val="20"/>
          <w:lang w:val="pt-BR"/>
        </w:rPr>
        <w:t>peti</w:t>
      </w:r>
      <w:r w:rsidR="00B153E7" w:rsidRPr="00247E84">
        <w:rPr>
          <w:sz w:val="20"/>
          <w:szCs w:val="20"/>
          <w:lang w:val="pt-BR"/>
        </w:rPr>
        <w:t>ção</w:t>
      </w:r>
      <w:r w:rsidR="00FB08B6" w:rsidRPr="00247E84">
        <w:rPr>
          <w:sz w:val="20"/>
          <w:szCs w:val="20"/>
          <w:lang w:val="pt-BR"/>
        </w:rPr>
        <w:t xml:space="preserve"> </w:t>
      </w:r>
      <w:r w:rsidR="00736CD7">
        <w:rPr>
          <w:sz w:val="20"/>
          <w:szCs w:val="20"/>
          <w:lang w:val="pt-BR"/>
        </w:rPr>
        <w:t xml:space="preserve">é </w:t>
      </w:r>
      <w:r w:rsidR="00277A7A">
        <w:rPr>
          <w:sz w:val="20"/>
          <w:szCs w:val="20"/>
          <w:lang w:val="pt-BR"/>
        </w:rPr>
        <w:t>inepta</w:t>
      </w:r>
      <w:r w:rsidR="00736CD7">
        <w:rPr>
          <w:sz w:val="20"/>
          <w:szCs w:val="20"/>
          <w:lang w:val="pt-BR"/>
        </w:rPr>
        <w:t xml:space="preserve"> e não apresenta os </w:t>
      </w:r>
      <w:r w:rsidR="00FB08B6" w:rsidRPr="00247E84">
        <w:rPr>
          <w:sz w:val="20"/>
          <w:szCs w:val="20"/>
          <w:lang w:val="pt-BR"/>
        </w:rPr>
        <w:t>requisitos mínimos para tramita</w:t>
      </w:r>
      <w:r w:rsidR="00B153E7" w:rsidRPr="00247E84">
        <w:rPr>
          <w:sz w:val="20"/>
          <w:szCs w:val="20"/>
          <w:lang w:val="pt-BR"/>
        </w:rPr>
        <w:t>ção</w:t>
      </w:r>
      <w:r w:rsidR="00FB08B6" w:rsidRPr="00247E84">
        <w:rPr>
          <w:sz w:val="20"/>
          <w:szCs w:val="20"/>
          <w:lang w:val="pt-BR"/>
        </w:rPr>
        <w:t xml:space="preserve">. </w:t>
      </w:r>
      <w:r w:rsidR="00FB08B6" w:rsidRPr="00D64156">
        <w:rPr>
          <w:sz w:val="20"/>
          <w:szCs w:val="20"/>
          <w:lang w:val="pt-BR"/>
        </w:rPr>
        <w:t xml:space="preserve">Alternativamente, </w:t>
      </w:r>
      <w:r w:rsidR="00736CD7">
        <w:rPr>
          <w:sz w:val="20"/>
          <w:szCs w:val="20"/>
          <w:lang w:val="pt-BR"/>
        </w:rPr>
        <w:t xml:space="preserve">solicita à </w:t>
      </w:r>
      <w:r w:rsidR="007C470D">
        <w:rPr>
          <w:sz w:val="20"/>
          <w:szCs w:val="20"/>
          <w:lang w:val="pt-BR"/>
        </w:rPr>
        <w:t>Comissão</w:t>
      </w:r>
      <w:r w:rsidR="008C6385">
        <w:rPr>
          <w:sz w:val="20"/>
          <w:szCs w:val="20"/>
          <w:lang w:val="pt-BR"/>
        </w:rPr>
        <w:t xml:space="preserve"> </w:t>
      </w:r>
      <w:r w:rsidR="00736CD7">
        <w:rPr>
          <w:sz w:val="20"/>
          <w:szCs w:val="20"/>
          <w:lang w:val="pt-BR"/>
        </w:rPr>
        <w:t xml:space="preserve">que separe a </w:t>
      </w:r>
      <w:r w:rsidR="00FB08B6" w:rsidRPr="00D64156">
        <w:rPr>
          <w:sz w:val="20"/>
          <w:szCs w:val="20"/>
          <w:lang w:val="pt-BR"/>
        </w:rPr>
        <w:t>peti</w:t>
      </w:r>
      <w:r w:rsidR="00B153E7" w:rsidRPr="00D64156">
        <w:rPr>
          <w:sz w:val="20"/>
          <w:szCs w:val="20"/>
          <w:lang w:val="pt-BR"/>
        </w:rPr>
        <w:t>ção</w:t>
      </w:r>
      <w:r w:rsidR="00FB08B6" w:rsidRPr="00D64156">
        <w:rPr>
          <w:sz w:val="20"/>
          <w:szCs w:val="20"/>
          <w:lang w:val="pt-BR"/>
        </w:rPr>
        <w:t xml:space="preserve"> </w:t>
      </w:r>
      <w:r w:rsidR="00736CD7">
        <w:rPr>
          <w:sz w:val="20"/>
          <w:szCs w:val="20"/>
          <w:lang w:val="pt-BR"/>
        </w:rPr>
        <w:t xml:space="preserve">em duas, segundo as duas </w:t>
      </w:r>
      <w:r w:rsidR="00FB08B6" w:rsidRPr="00D64156">
        <w:rPr>
          <w:sz w:val="20"/>
          <w:szCs w:val="20"/>
          <w:lang w:val="pt-BR"/>
        </w:rPr>
        <w:t>situa</w:t>
      </w:r>
      <w:r w:rsidR="00B153E7" w:rsidRPr="00D64156">
        <w:rPr>
          <w:sz w:val="20"/>
          <w:szCs w:val="20"/>
          <w:lang w:val="pt-BR"/>
        </w:rPr>
        <w:t>ções</w:t>
      </w:r>
      <w:r w:rsidR="00FB08B6" w:rsidRPr="00D64156">
        <w:rPr>
          <w:sz w:val="20"/>
          <w:szCs w:val="20"/>
          <w:lang w:val="pt-BR"/>
        </w:rPr>
        <w:t xml:space="preserve"> mencionadas.</w:t>
      </w:r>
    </w:p>
    <w:p w14:paraId="73D352AB" w14:textId="4C7A9DFC" w:rsidR="003E76BF" w:rsidRPr="00D64156" w:rsidRDefault="00B51CC4" w:rsidP="0030235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D64156">
        <w:rPr>
          <w:sz w:val="20"/>
          <w:szCs w:val="20"/>
          <w:lang w:val="pt-BR"/>
        </w:rPr>
        <w:t>Alega</w:t>
      </w:r>
      <w:r w:rsidR="004503E1" w:rsidRPr="00D64156">
        <w:rPr>
          <w:sz w:val="20"/>
          <w:szCs w:val="20"/>
          <w:lang w:val="pt-BR"/>
        </w:rPr>
        <w:t xml:space="preserve"> que n</w:t>
      </w:r>
      <w:r w:rsidR="00736CD7">
        <w:rPr>
          <w:sz w:val="20"/>
          <w:szCs w:val="20"/>
          <w:lang w:val="pt-BR"/>
        </w:rPr>
        <w:t>ã</w:t>
      </w:r>
      <w:r w:rsidR="004503E1" w:rsidRPr="00D64156">
        <w:rPr>
          <w:sz w:val="20"/>
          <w:szCs w:val="20"/>
          <w:lang w:val="pt-BR"/>
        </w:rPr>
        <w:t xml:space="preserve">o existe </w:t>
      </w:r>
      <w:r w:rsidR="00736CD7">
        <w:rPr>
          <w:sz w:val="20"/>
          <w:szCs w:val="20"/>
          <w:lang w:val="pt-BR"/>
        </w:rPr>
        <w:t>competência</w:t>
      </w:r>
      <w:r w:rsidR="008C6385">
        <w:rPr>
          <w:sz w:val="20"/>
          <w:szCs w:val="20"/>
          <w:lang w:val="pt-BR"/>
        </w:rPr>
        <w:t xml:space="preserve"> </w:t>
      </w:r>
      <w:r w:rsidR="004503E1" w:rsidRPr="00D64156">
        <w:rPr>
          <w:i/>
          <w:iCs/>
          <w:sz w:val="20"/>
          <w:szCs w:val="20"/>
          <w:lang w:val="pt-BR"/>
        </w:rPr>
        <w:t xml:space="preserve">ratione personae </w:t>
      </w:r>
      <w:r w:rsidR="00736CD7">
        <w:rPr>
          <w:sz w:val="20"/>
          <w:szCs w:val="20"/>
          <w:lang w:val="pt-BR"/>
        </w:rPr>
        <w:t>a respeito</w:t>
      </w:r>
      <w:r w:rsidR="004503E1" w:rsidRPr="00D64156">
        <w:rPr>
          <w:sz w:val="20"/>
          <w:szCs w:val="20"/>
          <w:lang w:val="pt-BR"/>
        </w:rPr>
        <w:t xml:space="preserve"> </w:t>
      </w:r>
      <w:r w:rsidR="00EC0BB7">
        <w:rPr>
          <w:sz w:val="20"/>
          <w:szCs w:val="20"/>
          <w:lang w:val="pt-BR"/>
        </w:rPr>
        <w:t xml:space="preserve">das </w:t>
      </w:r>
      <w:r w:rsidR="004503E1" w:rsidRPr="00D64156">
        <w:rPr>
          <w:sz w:val="20"/>
          <w:szCs w:val="20"/>
          <w:lang w:val="pt-BR"/>
        </w:rPr>
        <w:t>alegadas viola</w:t>
      </w:r>
      <w:r w:rsidR="00B153E7" w:rsidRPr="00D64156">
        <w:rPr>
          <w:sz w:val="20"/>
          <w:szCs w:val="20"/>
          <w:lang w:val="pt-BR"/>
        </w:rPr>
        <w:t>ções</w:t>
      </w:r>
      <w:r w:rsidR="004503E1" w:rsidRPr="00D64156">
        <w:rPr>
          <w:sz w:val="20"/>
          <w:szCs w:val="20"/>
          <w:lang w:val="pt-BR"/>
        </w:rPr>
        <w:t xml:space="preserve"> vinculadas </w:t>
      </w:r>
      <w:r w:rsidR="00736CD7">
        <w:rPr>
          <w:sz w:val="20"/>
          <w:szCs w:val="20"/>
          <w:lang w:val="pt-BR"/>
        </w:rPr>
        <w:t xml:space="preserve">aos </w:t>
      </w:r>
      <w:r w:rsidR="004503E1" w:rsidRPr="00D64156">
        <w:rPr>
          <w:sz w:val="20"/>
          <w:szCs w:val="20"/>
          <w:lang w:val="pt-BR"/>
        </w:rPr>
        <w:t xml:space="preserve">títulos </w:t>
      </w:r>
      <w:r w:rsidR="00891A5F">
        <w:rPr>
          <w:sz w:val="20"/>
          <w:szCs w:val="20"/>
          <w:lang w:val="pt-BR"/>
        </w:rPr>
        <w:t>executivos</w:t>
      </w:r>
      <w:r w:rsidR="008C6385">
        <w:rPr>
          <w:sz w:val="20"/>
          <w:szCs w:val="20"/>
          <w:lang w:val="pt-BR"/>
        </w:rPr>
        <w:t xml:space="preserve"> </w:t>
      </w:r>
      <w:r w:rsidR="004503E1" w:rsidRPr="00D64156">
        <w:rPr>
          <w:sz w:val="20"/>
          <w:szCs w:val="20"/>
          <w:lang w:val="pt-BR"/>
        </w:rPr>
        <w:t>judici</w:t>
      </w:r>
      <w:r w:rsidR="00B153E7" w:rsidRPr="00D64156">
        <w:rPr>
          <w:sz w:val="20"/>
          <w:szCs w:val="20"/>
          <w:lang w:val="pt-BR"/>
        </w:rPr>
        <w:t>ais</w:t>
      </w:r>
      <w:r w:rsidR="004503E1" w:rsidRPr="00D64156">
        <w:rPr>
          <w:sz w:val="20"/>
          <w:szCs w:val="20"/>
          <w:lang w:val="pt-BR"/>
        </w:rPr>
        <w:t xml:space="preserve">, </w:t>
      </w:r>
      <w:r w:rsidR="00736CD7">
        <w:rPr>
          <w:sz w:val="20"/>
          <w:szCs w:val="20"/>
          <w:lang w:val="pt-BR"/>
        </w:rPr>
        <w:t xml:space="preserve">já que, em nenhum </w:t>
      </w:r>
      <w:r w:rsidR="004503E1" w:rsidRPr="00D64156">
        <w:rPr>
          <w:sz w:val="20"/>
          <w:szCs w:val="20"/>
          <w:lang w:val="pt-BR"/>
        </w:rPr>
        <w:t>momento</w:t>
      </w:r>
      <w:r w:rsidR="00736CD7">
        <w:rPr>
          <w:sz w:val="20"/>
          <w:szCs w:val="20"/>
          <w:lang w:val="pt-BR"/>
        </w:rPr>
        <w:t>,</w:t>
      </w:r>
      <w:r w:rsidR="004503E1" w:rsidRPr="00D64156">
        <w:rPr>
          <w:sz w:val="20"/>
          <w:szCs w:val="20"/>
          <w:lang w:val="pt-BR"/>
        </w:rPr>
        <w:t xml:space="preserve"> as </w:t>
      </w:r>
      <w:r w:rsidR="00EC0BB7">
        <w:rPr>
          <w:sz w:val="20"/>
          <w:szCs w:val="20"/>
          <w:lang w:val="pt-BR"/>
        </w:rPr>
        <w:t>supostas vítimas</w:t>
      </w:r>
      <w:r w:rsidR="008C6385">
        <w:rPr>
          <w:sz w:val="20"/>
          <w:szCs w:val="20"/>
          <w:lang w:val="pt-BR"/>
        </w:rPr>
        <w:t xml:space="preserve"> </w:t>
      </w:r>
      <w:r w:rsidR="00736CD7">
        <w:rPr>
          <w:sz w:val="20"/>
          <w:szCs w:val="20"/>
          <w:lang w:val="pt-BR"/>
        </w:rPr>
        <w:t xml:space="preserve">compareceram como parte nos trâmites </w:t>
      </w:r>
      <w:r w:rsidR="004503E1" w:rsidRPr="00D64156">
        <w:rPr>
          <w:sz w:val="20"/>
          <w:szCs w:val="20"/>
          <w:lang w:val="pt-BR"/>
        </w:rPr>
        <w:t>judici</w:t>
      </w:r>
      <w:r w:rsidR="00B153E7" w:rsidRPr="00D64156">
        <w:rPr>
          <w:sz w:val="20"/>
          <w:szCs w:val="20"/>
          <w:lang w:val="pt-BR"/>
        </w:rPr>
        <w:t>ais</w:t>
      </w:r>
      <w:r w:rsidR="008C6385">
        <w:rPr>
          <w:sz w:val="20"/>
          <w:szCs w:val="20"/>
          <w:lang w:val="pt-BR"/>
        </w:rPr>
        <w:t xml:space="preserve"> </w:t>
      </w:r>
      <w:r w:rsidR="004503E1" w:rsidRPr="00D64156">
        <w:rPr>
          <w:sz w:val="20"/>
          <w:szCs w:val="20"/>
          <w:lang w:val="pt-BR"/>
        </w:rPr>
        <w:t xml:space="preserve">internos sobre a </w:t>
      </w:r>
      <w:r w:rsidR="00736CD7">
        <w:rPr>
          <w:sz w:val="20"/>
          <w:szCs w:val="20"/>
          <w:lang w:val="pt-BR"/>
        </w:rPr>
        <w:t>matéria</w:t>
      </w:r>
      <w:r w:rsidR="004503E1" w:rsidRPr="00D64156">
        <w:rPr>
          <w:sz w:val="20"/>
          <w:szCs w:val="20"/>
          <w:lang w:val="pt-BR"/>
        </w:rPr>
        <w:t xml:space="preserve">, </w:t>
      </w:r>
      <w:r w:rsidR="00BD7CEF" w:rsidRPr="00D64156">
        <w:rPr>
          <w:sz w:val="20"/>
          <w:szCs w:val="20"/>
          <w:lang w:val="pt-BR"/>
        </w:rPr>
        <w:t>que tratar</w:t>
      </w:r>
      <w:r w:rsidR="00736CD7">
        <w:rPr>
          <w:sz w:val="20"/>
          <w:szCs w:val="20"/>
          <w:lang w:val="pt-BR"/>
        </w:rPr>
        <w:t xml:space="preserve">am </w:t>
      </w:r>
      <w:r w:rsidR="004503E1" w:rsidRPr="00D64156">
        <w:rPr>
          <w:sz w:val="20"/>
          <w:szCs w:val="20"/>
          <w:lang w:val="pt-BR"/>
        </w:rPr>
        <w:t xml:space="preserve">de </w:t>
      </w:r>
      <w:r w:rsidR="00B153E7" w:rsidRPr="00D64156">
        <w:rPr>
          <w:sz w:val="20"/>
          <w:szCs w:val="20"/>
          <w:lang w:val="pt-BR"/>
        </w:rPr>
        <w:t>direitos</w:t>
      </w:r>
      <w:r w:rsidR="008C6385">
        <w:rPr>
          <w:sz w:val="20"/>
          <w:szCs w:val="20"/>
          <w:lang w:val="pt-BR"/>
        </w:rPr>
        <w:t xml:space="preserve"> </w:t>
      </w:r>
      <w:r w:rsidR="004F11BC" w:rsidRPr="00D64156">
        <w:rPr>
          <w:sz w:val="20"/>
          <w:szCs w:val="20"/>
          <w:lang w:val="pt-BR"/>
        </w:rPr>
        <w:t>de crédito</w:t>
      </w:r>
      <w:r w:rsidR="00F02249" w:rsidRPr="00D64156">
        <w:rPr>
          <w:sz w:val="20"/>
          <w:szCs w:val="20"/>
          <w:lang w:val="pt-BR"/>
        </w:rPr>
        <w:t xml:space="preserve"> relativos</w:t>
      </w:r>
      <w:r w:rsidR="004503E1" w:rsidRPr="00D64156">
        <w:rPr>
          <w:sz w:val="20"/>
          <w:szCs w:val="20"/>
          <w:lang w:val="pt-BR"/>
        </w:rPr>
        <w:t xml:space="preserve"> exclusivamente </w:t>
      </w:r>
      <w:r w:rsidR="00F02249" w:rsidRPr="00D64156">
        <w:rPr>
          <w:sz w:val="20"/>
          <w:szCs w:val="20"/>
          <w:lang w:val="pt-BR"/>
        </w:rPr>
        <w:t>a</w:t>
      </w:r>
      <w:r w:rsidR="004503E1" w:rsidRPr="00D64156">
        <w:rPr>
          <w:sz w:val="20"/>
          <w:szCs w:val="20"/>
          <w:lang w:val="pt-BR"/>
        </w:rPr>
        <w:t xml:space="preserve"> </w:t>
      </w:r>
      <w:r w:rsidR="00736CD7">
        <w:rPr>
          <w:sz w:val="20"/>
          <w:szCs w:val="20"/>
          <w:lang w:val="pt-BR"/>
        </w:rPr>
        <w:t>pessoas</w:t>
      </w:r>
      <w:r w:rsidR="008C6385">
        <w:rPr>
          <w:sz w:val="20"/>
          <w:szCs w:val="20"/>
          <w:lang w:val="pt-BR"/>
        </w:rPr>
        <w:t xml:space="preserve"> </w:t>
      </w:r>
      <w:r w:rsidR="004503E1" w:rsidRPr="00D64156">
        <w:rPr>
          <w:sz w:val="20"/>
          <w:szCs w:val="20"/>
          <w:lang w:val="pt-BR"/>
        </w:rPr>
        <w:t xml:space="preserve">jurídicas. </w:t>
      </w:r>
      <w:r w:rsidR="00736CD7">
        <w:rPr>
          <w:sz w:val="20"/>
          <w:szCs w:val="20"/>
          <w:lang w:val="pt-BR"/>
        </w:rPr>
        <w:t>Desse modo</w:t>
      </w:r>
      <w:r w:rsidR="00307FD5" w:rsidRPr="00D64156">
        <w:rPr>
          <w:sz w:val="20"/>
          <w:szCs w:val="20"/>
          <w:lang w:val="pt-BR"/>
        </w:rPr>
        <w:t xml:space="preserve">, </w:t>
      </w:r>
      <w:r w:rsidR="00FA1C6C" w:rsidRPr="00D64156">
        <w:rPr>
          <w:sz w:val="20"/>
          <w:szCs w:val="20"/>
          <w:lang w:val="pt-BR"/>
        </w:rPr>
        <w:t>afirma</w:t>
      </w:r>
      <w:r w:rsidR="004E2862" w:rsidRPr="00D64156">
        <w:rPr>
          <w:sz w:val="20"/>
          <w:szCs w:val="20"/>
          <w:lang w:val="pt-BR"/>
        </w:rPr>
        <w:t xml:space="preserve"> </w:t>
      </w:r>
      <w:r w:rsidR="004F11BC" w:rsidRPr="00D64156">
        <w:rPr>
          <w:sz w:val="20"/>
          <w:szCs w:val="20"/>
          <w:lang w:val="pt-BR"/>
        </w:rPr>
        <w:t>que</w:t>
      </w:r>
      <w:r w:rsidR="004503E1" w:rsidRPr="00D64156">
        <w:rPr>
          <w:sz w:val="20"/>
          <w:szCs w:val="20"/>
          <w:lang w:val="pt-BR"/>
        </w:rPr>
        <w:t xml:space="preserve"> </w:t>
      </w:r>
      <w:r w:rsidR="00307FD5" w:rsidRPr="00D64156">
        <w:rPr>
          <w:sz w:val="20"/>
          <w:szCs w:val="20"/>
          <w:lang w:val="pt-BR"/>
        </w:rPr>
        <w:t xml:space="preserve">a parte </w:t>
      </w:r>
      <w:r w:rsidR="00D64156" w:rsidRPr="00D64156">
        <w:rPr>
          <w:sz w:val="20"/>
          <w:szCs w:val="20"/>
          <w:lang w:val="pt-BR"/>
        </w:rPr>
        <w:t>peticionária</w:t>
      </w:r>
      <w:r w:rsidR="008C6385">
        <w:rPr>
          <w:sz w:val="20"/>
          <w:szCs w:val="20"/>
          <w:lang w:val="pt-BR"/>
        </w:rPr>
        <w:t xml:space="preserve"> </w:t>
      </w:r>
      <w:r w:rsidR="00736CD7">
        <w:rPr>
          <w:sz w:val="20"/>
          <w:szCs w:val="20"/>
          <w:lang w:val="pt-BR"/>
        </w:rPr>
        <w:t xml:space="preserve">não esgotou os </w:t>
      </w:r>
      <w:r w:rsidR="00307FD5" w:rsidRPr="00D64156">
        <w:rPr>
          <w:sz w:val="20"/>
          <w:szCs w:val="20"/>
          <w:lang w:val="pt-BR"/>
        </w:rPr>
        <w:t>recursos internos.</w:t>
      </w:r>
    </w:p>
    <w:p w14:paraId="125F570F" w14:textId="4165ECA0" w:rsidR="004503E1" w:rsidRPr="00736CD7" w:rsidRDefault="00307FD5" w:rsidP="005A54C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247E84">
        <w:rPr>
          <w:sz w:val="20"/>
          <w:szCs w:val="20"/>
          <w:lang w:val="pt-BR"/>
        </w:rPr>
        <w:t>A</w:t>
      </w:r>
      <w:r w:rsidR="00736CD7">
        <w:rPr>
          <w:sz w:val="20"/>
          <w:szCs w:val="20"/>
          <w:lang w:val="pt-BR"/>
        </w:rPr>
        <w:t>lém disso</w:t>
      </w:r>
      <w:r w:rsidRPr="00247E84">
        <w:rPr>
          <w:sz w:val="20"/>
          <w:szCs w:val="20"/>
          <w:lang w:val="pt-BR"/>
        </w:rPr>
        <w:t>, a</w:t>
      </w:r>
      <w:r w:rsidR="004503E1" w:rsidRPr="00247E84">
        <w:rPr>
          <w:sz w:val="20"/>
          <w:szCs w:val="20"/>
          <w:lang w:val="pt-BR"/>
        </w:rPr>
        <w:t xml:space="preserve">lega que </w:t>
      </w:r>
      <w:r w:rsidR="003E76BF" w:rsidRPr="00247E84">
        <w:rPr>
          <w:sz w:val="20"/>
          <w:szCs w:val="20"/>
          <w:lang w:val="pt-BR"/>
        </w:rPr>
        <w:t xml:space="preserve">a parte </w:t>
      </w:r>
      <w:r w:rsidR="00D64156" w:rsidRPr="00247E84">
        <w:rPr>
          <w:sz w:val="20"/>
          <w:szCs w:val="20"/>
          <w:lang w:val="pt-BR"/>
        </w:rPr>
        <w:t xml:space="preserve">peticionária </w:t>
      </w:r>
      <w:r w:rsidR="00736CD7">
        <w:rPr>
          <w:sz w:val="20"/>
          <w:szCs w:val="20"/>
          <w:lang w:val="pt-BR"/>
        </w:rPr>
        <w:t xml:space="preserve">não expôs fatos </w:t>
      </w:r>
      <w:r w:rsidR="004503E1" w:rsidRPr="00247E84">
        <w:rPr>
          <w:sz w:val="20"/>
          <w:szCs w:val="20"/>
          <w:lang w:val="pt-BR"/>
        </w:rPr>
        <w:t>que caracteri</w:t>
      </w:r>
      <w:r w:rsidR="00736CD7">
        <w:rPr>
          <w:sz w:val="20"/>
          <w:szCs w:val="20"/>
          <w:lang w:val="pt-BR"/>
        </w:rPr>
        <w:t xml:space="preserve">zem </w:t>
      </w:r>
      <w:r w:rsidR="004503E1" w:rsidRPr="00247E84">
        <w:rPr>
          <w:sz w:val="20"/>
          <w:szCs w:val="20"/>
          <w:lang w:val="pt-BR"/>
        </w:rPr>
        <w:t>viola</w:t>
      </w:r>
      <w:r w:rsidR="00B153E7" w:rsidRPr="00247E84">
        <w:rPr>
          <w:sz w:val="20"/>
          <w:szCs w:val="20"/>
          <w:lang w:val="pt-BR"/>
        </w:rPr>
        <w:t>ções</w:t>
      </w:r>
      <w:r w:rsidR="004503E1" w:rsidRPr="00247E84">
        <w:rPr>
          <w:sz w:val="20"/>
          <w:szCs w:val="20"/>
          <w:lang w:val="pt-BR"/>
        </w:rPr>
        <w:t xml:space="preserve"> </w:t>
      </w:r>
      <w:r w:rsidR="00736CD7">
        <w:rPr>
          <w:sz w:val="20"/>
          <w:szCs w:val="20"/>
          <w:lang w:val="pt-BR"/>
        </w:rPr>
        <w:t xml:space="preserve">dos </w:t>
      </w:r>
      <w:r w:rsidR="00B153E7" w:rsidRPr="00247E84">
        <w:rPr>
          <w:sz w:val="20"/>
          <w:szCs w:val="20"/>
          <w:lang w:val="pt-BR"/>
        </w:rPr>
        <w:t>direitos</w:t>
      </w:r>
      <w:r w:rsidR="008C6385">
        <w:rPr>
          <w:sz w:val="20"/>
          <w:szCs w:val="20"/>
          <w:lang w:val="pt-BR"/>
        </w:rPr>
        <w:t xml:space="preserve"> </w:t>
      </w:r>
      <w:r w:rsidR="004503E1" w:rsidRPr="00247E84">
        <w:rPr>
          <w:sz w:val="20"/>
          <w:szCs w:val="20"/>
          <w:lang w:val="pt-BR"/>
        </w:rPr>
        <w:t>humanos</w:t>
      </w:r>
      <w:r w:rsidR="00EF5915" w:rsidRPr="00247E84">
        <w:rPr>
          <w:sz w:val="20"/>
          <w:szCs w:val="20"/>
          <w:lang w:val="pt-BR"/>
        </w:rPr>
        <w:t xml:space="preserve"> </w:t>
      </w:r>
      <w:r w:rsidR="00EC0BB7" w:rsidRPr="00247E84">
        <w:rPr>
          <w:sz w:val="20"/>
          <w:szCs w:val="20"/>
          <w:lang w:val="pt-BR"/>
        </w:rPr>
        <w:t>das supostas vítimas</w:t>
      </w:r>
      <w:r w:rsidR="004F11BC" w:rsidRPr="00247E84">
        <w:rPr>
          <w:sz w:val="20"/>
          <w:szCs w:val="20"/>
          <w:lang w:val="pt-BR"/>
        </w:rPr>
        <w:t>.</w:t>
      </w:r>
      <w:r w:rsidR="00E47B9C" w:rsidRPr="00247E84">
        <w:rPr>
          <w:sz w:val="20"/>
          <w:szCs w:val="20"/>
          <w:lang w:val="pt-BR"/>
        </w:rPr>
        <w:t xml:space="preserve"> </w:t>
      </w:r>
      <w:r w:rsidR="00736CD7" w:rsidRPr="00736CD7">
        <w:rPr>
          <w:sz w:val="20"/>
          <w:szCs w:val="20"/>
          <w:lang w:val="pt-BR"/>
        </w:rPr>
        <w:t>Ness</w:t>
      </w:r>
      <w:r w:rsidR="00736CD7">
        <w:rPr>
          <w:sz w:val="20"/>
          <w:szCs w:val="20"/>
          <w:lang w:val="pt-BR"/>
        </w:rPr>
        <w:t xml:space="preserve">e </w:t>
      </w:r>
      <w:r w:rsidR="00E47B9C" w:rsidRPr="00736CD7">
        <w:rPr>
          <w:sz w:val="20"/>
          <w:szCs w:val="20"/>
          <w:lang w:val="pt-BR"/>
        </w:rPr>
        <w:t xml:space="preserve">sentido, </w:t>
      </w:r>
      <w:r w:rsidR="00736CD7">
        <w:rPr>
          <w:sz w:val="20"/>
          <w:szCs w:val="20"/>
          <w:lang w:val="pt-BR"/>
        </w:rPr>
        <w:t xml:space="preserve">quanto às alegações </w:t>
      </w:r>
      <w:r w:rsidR="00891A5F" w:rsidRPr="00736CD7">
        <w:rPr>
          <w:sz w:val="20"/>
          <w:szCs w:val="20"/>
          <w:lang w:val="pt-BR"/>
        </w:rPr>
        <w:t>dos peticionários</w:t>
      </w:r>
      <w:r w:rsidR="008C6385">
        <w:rPr>
          <w:sz w:val="20"/>
          <w:szCs w:val="20"/>
          <w:lang w:val="pt-BR"/>
        </w:rPr>
        <w:t xml:space="preserve"> </w:t>
      </w:r>
      <w:r w:rsidR="00E47B9C" w:rsidRPr="00736CD7">
        <w:rPr>
          <w:sz w:val="20"/>
          <w:szCs w:val="20"/>
          <w:lang w:val="pt-BR"/>
        </w:rPr>
        <w:t xml:space="preserve">sobre </w:t>
      </w:r>
      <w:r w:rsidR="00736CD7">
        <w:rPr>
          <w:sz w:val="20"/>
          <w:szCs w:val="20"/>
          <w:lang w:val="pt-BR"/>
        </w:rPr>
        <w:t xml:space="preserve">o não pagamento </w:t>
      </w:r>
      <w:r w:rsidR="00891A5F" w:rsidRPr="00736CD7">
        <w:rPr>
          <w:sz w:val="20"/>
          <w:szCs w:val="20"/>
          <w:lang w:val="pt-BR"/>
        </w:rPr>
        <w:t xml:space="preserve">dos </w:t>
      </w:r>
      <w:r w:rsidR="00E47B9C" w:rsidRPr="00736CD7">
        <w:rPr>
          <w:i/>
          <w:iCs/>
          <w:sz w:val="20"/>
          <w:szCs w:val="20"/>
          <w:lang w:val="pt-BR"/>
        </w:rPr>
        <w:t>precatórios</w:t>
      </w:r>
      <w:r w:rsidR="00E47B9C" w:rsidRPr="00736CD7">
        <w:rPr>
          <w:sz w:val="20"/>
          <w:szCs w:val="20"/>
          <w:lang w:val="pt-BR"/>
        </w:rPr>
        <w:t xml:space="preserve">, </w:t>
      </w:r>
      <w:r w:rsidR="00736CD7">
        <w:rPr>
          <w:sz w:val="20"/>
          <w:szCs w:val="20"/>
          <w:lang w:val="pt-BR"/>
        </w:rPr>
        <w:t xml:space="preserve">salienta que os pagamentos seguem uma ordem cronológica e critérios </w:t>
      </w:r>
      <w:r w:rsidR="00E47B9C" w:rsidRPr="00736CD7">
        <w:rPr>
          <w:sz w:val="20"/>
          <w:szCs w:val="20"/>
          <w:lang w:val="pt-BR"/>
        </w:rPr>
        <w:t>internos de prioriza</w:t>
      </w:r>
      <w:r w:rsidR="00B153E7" w:rsidRPr="00736CD7">
        <w:rPr>
          <w:sz w:val="20"/>
          <w:szCs w:val="20"/>
          <w:lang w:val="pt-BR"/>
        </w:rPr>
        <w:t>ção</w:t>
      </w:r>
      <w:r w:rsidR="00E47B9C" w:rsidRPr="00736CD7">
        <w:rPr>
          <w:sz w:val="20"/>
          <w:szCs w:val="20"/>
          <w:lang w:val="pt-BR"/>
        </w:rPr>
        <w:t xml:space="preserve"> referentes a </w:t>
      </w:r>
      <w:r w:rsidR="00736CD7">
        <w:rPr>
          <w:sz w:val="20"/>
          <w:szCs w:val="20"/>
          <w:lang w:val="pt-BR"/>
        </w:rPr>
        <w:t xml:space="preserve">salários e pensões </w:t>
      </w:r>
      <w:r w:rsidR="00E47B9C" w:rsidRPr="00736CD7">
        <w:rPr>
          <w:sz w:val="20"/>
          <w:szCs w:val="20"/>
          <w:lang w:val="pt-BR"/>
        </w:rPr>
        <w:t xml:space="preserve">de </w:t>
      </w:r>
      <w:r w:rsidR="00736CD7" w:rsidRPr="00736CD7">
        <w:rPr>
          <w:sz w:val="20"/>
          <w:szCs w:val="20"/>
          <w:lang w:val="pt-BR"/>
        </w:rPr>
        <w:t>pessoas</w:t>
      </w:r>
      <w:r w:rsidR="008C6385">
        <w:rPr>
          <w:sz w:val="20"/>
          <w:szCs w:val="20"/>
          <w:lang w:val="pt-BR"/>
        </w:rPr>
        <w:t xml:space="preserve"> </w:t>
      </w:r>
      <w:r w:rsidR="00E47B9C" w:rsidRPr="00736CD7">
        <w:rPr>
          <w:sz w:val="20"/>
          <w:szCs w:val="20"/>
          <w:lang w:val="pt-BR"/>
        </w:rPr>
        <w:t xml:space="preserve">físicas. </w:t>
      </w:r>
      <w:r w:rsidR="00736CD7">
        <w:rPr>
          <w:sz w:val="20"/>
          <w:szCs w:val="20"/>
          <w:lang w:val="pt-BR"/>
        </w:rPr>
        <w:t>Quanto às demais alegações</w:t>
      </w:r>
      <w:r w:rsidR="00E47B9C" w:rsidRPr="00247E84">
        <w:rPr>
          <w:sz w:val="20"/>
          <w:szCs w:val="20"/>
          <w:lang w:val="pt-BR"/>
        </w:rPr>
        <w:t xml:space="preserve">, </w:t>
      </w:r>
      <w:r w:rsidR="00736CD7">
        <w:rPr>
          <w:sz w:val="20"/>
          <w:szCs w:val="20"/>
          <w:lang w:val="pt-BR"/>
        </w:rPr>
        <w:t>o</w:t>
      </w:r>
      <w:r w:rsidR="00E47B9C" w:rsidRPr="00247E84">
        <w:rPr>
          <w:sz w:val="20"/>
          <w:szCs w:val="20"/>
          <w:lang w:val="pt-BR"/>
        </w:rPr>
        <w:t xml:space="preserve"> Estado afirma que </w:t>
      </w:r>
      <w:r w:rsidR="00736CD7">
        <w:rPr>
          <w:sz w:val="20"/>
          <w:szCs w:val="20"/>
          <w:lang w:val="pt-BR"/>
        </w:rPr>
        <w:t xml:space="preserve">não existem </w:t>
      </w:r>
      <w:r w:rsidR="00E47B9C" w:rsidRPr="00247E84">
        <w:rPr>
          <w:sz w:val="20"/>
          <w:szCs w:val="20"/>
          <w:lang w:val="pt-BR"/>
        </w:rPr>
        <w:t xml:space="preserve">elementos contra </w:t>
      </w:r>
      <w:r w:rsidR="00B153E7" w:rsidRPr="00247E84">
        <w:rPr>
          <w:sz w:val="20"/>
          <w:szCs w:val="20"/>
          <w:lang w:val="pt-BR"/>
        </w:rPr>
        <w:t xml:space="preserve">a </w:t>
      </w:r>
      <w:r w:rsidR="00E47B9C" w:rsidRPr="00247E84">
        <w:rPr>
          <w:sz w:val="20"/>
          <w:szCs w:val="20"/>
          <w:lang w:val="pt-BR"/>
        </w:rPr>
        <w:t>idoneidad</w:t>
      </w:r>
      <w:r w:rsidR="00736CD7">
        <w:rPr>
          <w:sz w:val="20"/>
          <w:szCs w:val="20"/>
          <w:lang w:val="pt-BR"/>
        </w:rPr>
        <w:t>e</w:t>
      </w:r>
      <w:r w:rsidR="00E47B9C" w:rsidRPr="00247E84">
        <w:rPr>
          <w:sz w:val="20"/>
          <w:szCs w:val="20"/>
          <w:lang w:val="pt-BR"/>
        </w:rPr>
        <w:t xml:space="preserve"> </w:t>
      </w:r>
      <w:r w:rsidR="00EC0BB7" w:rsidRPr="00247E84">
        <w:rPr>
          <w:sz w:val="20"/>
          <w:szCs w:val="20"/>
          <w:lang w:val="pt-BR"/>
        </w:rPr>
        <w:t xml:space="preserve">das </w:t>
      </w:r>
      <w:r w:rsidR="00E47B9C" w:rsidRPr="00247E84">
        <w:rPr>
          <w:sz w:val="20"/>
          <w:szCs w:val="20"/>
          <w:lang w:val="pt-BR"/>
        </w:rPr>
        <w:t>autoridades polici</w:t>
      </w:r>
      <w:r w:rsidR="00B153E7" w:rsidRPr="00247E84">
        <w:rPr>
          <w:sz w:val="20"/>
          <w:szCs w:val="20"/>
          <w:lang w:val="pt-BR"/>
        </w:rPr>
        <w:t>ais</w:t>
      </w:r>
      <w:r w:rsidR="008C6385">
        <w:rPr>
          <w:sz w:val="20"/>
          <w:szCs w:val="20"/>
          <w:lang w:val="pt-BR"/>
        </w:rPr>
        <w:t xml:space="preserve"> </w:t>
      </w:r>
      <w:r w:rsidR="00736CD7">
        <w:rPr>
          <w:sz w:val="20"/>
          <w:szCs w:val="20"/>
          <w:lang w:val="pt-BR"/>
        </w:rPr>
        <w:t>e</w:t>
      </w:r>
      <w:r w:rsidR="00E47B9C" w:rsidRPr="00247E84">
        <w:rPr>
          <w:sz w:val="20"/>
          <w:szCs w:val="20"/>
          <w:lang w:val="pt-BR"/>
        </w:rPr>
        <w:t xml:space="preserve"> judici</w:t>
      </w:r>
      <w:r w:rsidR="00B153E7" w:rsidRPr="00247E84">
        <w:rPr>
          <w:sz w:val="20"/>
          <w:szCs w:val="20"/>
          <w:lang w:val="pt-BR"/>
        </w:rPr>
        <w:t>ais</w:t>
      </w:r>
      <w:r w:rsidR="008C6385">
        <w:rPr>
          <w:sz w:val="20"/>
          <w:szCs w:val="20"/>
          <w:lang w:val="pt-BR"/>
        </w:rPr>
        <w:t xml:space="preserve"> </w:t>
      </w:r>
      <w:r w:rsidR="00736CD7">
        <w:rPr>
          <w:sz w:val="20"/>
          <w:szCs w:val="20"/>
          <w:lang w:val="pt-BR"/>
        </w:rPr>
        <w:t xml:space="preserve">envolvidas no </w:t>
      </w:r>
      <w:r w:rsidR="00EC0BB7" w:rsidRPr="00247E84">
        <w:rPr>
          <w:sz w:val="20"/>
          <w:szCs w:val="20"/>
          <w:lang w:val="pt-BR"/>
        </w:rPr>
        <w:t>processo</w:t>
      </w:r>
      <w:r w:rsidR="008C6385">
        <w:rPr>
          <w:sz w:val="20"/>
          <w:szCs w:val="20"/>
          <w:lang w:val="pt-BR"/>
        </w:rPr>
        <w:t xml:space="preserve"> </w:t>
      </w:r>
      <w:r w:rsidR="00E47B9C" w:rsidRPr="00247E84">
        <w:rPr>
          <w:sz w:val="20"/>
          <w:szCs w:val="20"/>
          <w:lang w:val="pt-BR"/>
        </w:rPr>
        <w:t>penal, o</w:t>
      </w:r>
      <w:r w:rsidR="00736CD7">
        <w:rPr>
          <w:sz w:val="20"/>
          <w:szCs w:val="20"/>
          <w:lang w:val="pt-BR"/>
        </w:rPr>
        <w:t>u</w:t>
      </w:r>
      <w:r w:rsidR="00E47B9C" w:rsidRPr="00247E84">
        <w:rPr>
          <w:sz w:val="20"/>
          <w:szCs w:val="20"/>
          <w:lang w:val="pt-BR"/>
        </w:rPr>
        <w:t xml:space="preserve"> </w:t>
      </w:r>
      <w:r w:rsidR="00891A5F" w:rsidRPr="00247E84">
        <w:rPr>
          <w:sz w:val="20"/>
          <w:szCs w:val="20"/>
          <w:lang w:val="pt-BR"/>
        </w:rPr>
        <w:t xml:space="preserve">dos </w:t>
      </w:r>
      <w:r w:rsidR="00D64156" w:rsidRPr="00247E84">
        <w:rPr>
          <w:sz w:val="20"/>
          <w:szCs w:val="20"/>
          <w:lang w:val="pt-BR"/>
        </w:rPr>
        <w:t>procedimentos</w:t>
      </w:r>
      <w:r w:rsidR="008C6385">
        <w:rPr>
          <w:sz w:val="20"/>
          <w:szCs w:val="20"/>
          <w:lang w:val="pt-BR"/>
        </w:rPr>
        <w:t xml:space="preserve"> </w:t>
      </w:r>
      <w:r w:rsidR="00E47B9C" w:rsidRPr="00247E84">
        <w:rPr>
          <w:sz w:val="20"/>
          <w:szCs w:val="20"/>
          <w:lang w:val="pt-BR"/>
        </w:rPr>
        <w:t xml:space="preserve">seguidos. </w:t>
      </w:r>
      <w:r w:rsidR="00736CD7" w:rsidRPr="00736CD7">
        <w:rPr>
          <w:sz w:val="20"/>
          <w:szCs w:val="20"/>
          <w:lang w:val="pt-BR"/>
        </w:rPr>
        <w:t>Também</w:t>
      </w:r>
      <w:r w:rsidR="00736CD7">
        <w:rPr>
          <w:sz w:val="20"/>
          <w:szCs w:val="20"/>
          <w:lang w:val="pt-BR"/>
        </w:rPr>
        <w:t xml:space="preserve"> destaca que a busca e apreensão no </w:t>
      </w:r>
      <w:r w:rsidR="006A3667" w:rsidRPr="00736CD7">
        <w:rPr>
          <w:sz w:val="20"/>
          <w:szCs w:val="20"/>
          <w:lang w:val="pt-BR"/>
        </w:rPr>
        <w:t>Uruguai</w:t>
      </w:r>
      <w:r w:rsidR="008C6385">
        <w:rPr>
          <w:sz w:val="20"/>
          <w:szCs w:val="20"/>
          <w:lang w:val="pt-BR"/>
        </w:rPr>
        <w:t xml:space="preserve"> </w:t>
      </w:r>
      <w:r w:rsidR="00736CD7">
        <w:rPr>
          <w:sz w:val="20"/>
          <w:szCs w:val="20"/>
          <w:lang w:val="pt-BR"/>
        </w:rPr>
        <w:t xml:space="preserve">e a </w:t>
      </w:r>
      <w:r w:rsidR="004503E1" w:rsidRPr="00736CD7">
        <w:rPr>
          <w:sz w:val="20"/>
          <w:szCs w:val="20"/>
          <w:lang w:val="pt-BR"/>
        </w:rPr>
        <w:t>participa</w:t>
      </w:r>
      <w:r w:rsidR="00B153E7" w:rsidRPr="00736CD7">
        <w:rPr>
          <w:sz w:val="20"/>
          <w:szCs w:val="20"/>
          <w:lang w:val="pt-BR"/>
        </w:rPr>
        <w:t>ção</w:t>
      </w:r>
      <w:r w:rsidR="004503E1" w:rsidRPr="00736CD7">
        <w:rPr>
          <w:sz w:val="20"/>
          <w:szCs w:val="20"/>
          <w:lang w:val="pt-BR"/>
        </w:rPr>
        <w:t xml:space="preserve"> de autoridades </w:t>
      </w:r>
      <w:r w:rsidR="00736CD7">
        <w:rPr>
          <w:sz w:val="20"/>
          <w:szCs w:val="20"/>
          <w:lang w:val="pt-BR"/>
        </w:rPr>
        <w:t>brasileiras foram</w:t>
      </w:r>
      <w:r w:rsidR="00F470FB" w:rsidRPr="00736CD7">
        <w:rPr>
          <w:sz w:val="20"/>
          <w:szCs w:val="20"/>
          <w:lang w:val="pt-BR"/>
        </w:rPr>
        <w:t>, ambos,</w:t>
      </w:r>
      <w:r w:rsidR="004503E1" w:rsidRPr="00736CD7">
        <w:rPr>
          <w:sz w:val="20"/>
          <w:szCs w:val="20"/>
          <w:lang w:val="pt-BR"/>
        </w:rPr>
        <w:t xml:space="preserve"> de</w:t>
      </w:r>
      <w:r w:rsidR="00736CD7">
        <w:rPr>
          <w:sz w:val="20"/>
          <w:szCs w:val="20"/>
          <w:lang w:val="pt-BR"/>
        </w:rPr>
        <w:t>v</w:t>
      </w:r>
      <w:r w:rsidR="004503E1" w:rsidRPr="00736CD7">
        <w:rPr>
          <w:sz w:val="20"/>
          <w:szCs w:val="20"/>
          <w:lang w:val="pt-BR"/>
        </w:rPr>
        <w:t>idamente autorizados p</w:t>
      </w:r>
      <w:r w:rsidR="00736CD7">
        <w:rPr>
          <w:sz w:val="20"/>
          <w:szCs w:val="20"/>
          <w:lang w:val="pt-BR"/>
        </w:rPr>
        <w:t xml:space="preserve">elo </w:t>
      </w:r>
      <w:r w:rsidR="004503E1" w:rsidRPr="00736CD7">
        <w:rPr>
          <w:sz w:val="20"/>
          <w:szCs w:val="20"/>
          <w:lang w:val="pt-BR"/>
        </w:rPr>
        <w:t>Poder Judici</w:t>
      </w:r>
      <w:r w:rsidR="00736CD7">
        <w:rPr>
          <w:sz w:val="20"/>
          <w:szCs w:val="20"/>
          <w:lang w:val="pt-BR"/>
        </w:rPr>
        <w:t>ário</w:t>
      </w:r>
      <w:r w:rsidR="004503E1" w:rsidRPr="00736CD7">
        <w:rPr>
          <w:sz w:val="20"/>
          <w:szCs w:val="20"/>
          <w:lang w:val="pt-BR"/>
        </w:rPr>
        <w:t>.</w:t>
      </w:r>
    </w:p>
    <w:p w14:paraId="5512DEFE" w14:textId="007006D1" w:rsidR="000A6A74" w:rsidRPr="004D5FE2" w:rsidRDefault="000A6A74" w:rsidP="000A6A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736CD7">
        <w:rPr>
          <w:sz w:val="20"/>
          <w:szCs w:val="20"/>
          <w:lang w:val="pt-BR"/>
        </w:rPr>
        <w:t>E</w:t>
      </w:r>
      <w:r w:rsidR="00736CD7" w:rsidRPr="00736CD7">
        <w:rPr>
          <w:sz w:val="20"/>
          <w:szCs w:val="20"/>
          <w:lang w:val="pt-BR"/>
        </w:rPr>
        <w:t xml:space="preserve">m conclusão, o </w:t>
      </w:r>
      <w:r w:rsidRPr="00736CD7">
        <w:rPr>
          <w:sz w:val="20"/>
          <w:szCs w:val="20"/>
          <w:lang w:val="pt-BR"/>
        </w:rPr>
        <w:t xml:space="preserve">Estado afirma que as </w:t>
      </w:r>
      <w:r w:rsidR="00EC0BB7" w:rsidRPr="00736CD7">
        <w:rPr>
          <w:sz w:val="20"/>
          <w:szCs w:val="20"/>
          <w:lang w:val="pt-BR"/>
        </w:rPr>
        <w:t xml:space="preserve">supostas vítimas </w:t>
      </w:r>
      <w:r w:rsidR="00736CD7" w:rsidRPr="00736CD7">
        <w:rPr>
          <w:sz w:val="20"/>
          <w:szCs w:val="20"/>
          <w:lang w:val="pt-BR"/>
        </w:rPr>
        <w:t>n</w:t>
      </w:r>
      <w:r w:rsidR="00736CD7">
        <w:rPr>
          <w:sz w:val="20"/>
          <w:szCs w:val="20"/>
          <w:lang w:val="pt-BR"/>
        </w:rPr>
        <w:t xml:space="preserve">ão esgotaram os </w:t>
      </w:r>
      <w:r w:rsidRPr="00736CD7">
        <w:rPr>
          <w:sz w:val="20"/>
          <w:szCs w:val="20"/>
          <w:lang w:val="pt-BR"/>
        </w:rPr>
        <w:t>recursos internos, como</w:t>
      </w:r>
      <w:r w:rsidR="00311BCB" w:rsidRPr="00736CD7">
        <w:rPr>
          <w:sz w:val="20"/>
          <w:szCs w:val="20"/>
          <w:lang w:val="pt-BR"/>
        </w:rPr>
        <w:t>:</w:t>
      </w:r>
      <w:r w:rsidRPr="00736CD7">
        <w:rPr>
          <w:sz w:val="20"/>
          <w:szCs w:val="20"/>
          <w:lang w:val="pt-BR"/>
        </w:rPr>
        <w:t xml:space="preserve"> i) a </w:t>
      </w:r>
      <w:r w:rsidR="00891A5F" w:rsidRPr="00736CD7">
        <w:rPr>
          <w:sz w:val="20"/>
          <w:szCs w:val="20"/>
          <w:lang w:val="pt-BR"/>
        </w:rPr>
        <w:t>ação</w:t>
      </w:r>
      <w:r w:rsidR="008C6385">
        <w:rPr>
          <w:sz w:val="20"/>
          <w:szCs w:val="20"/>
          <w:lang w:val="pt-BR"/>
        </w:rPr>
        <w:t xml:space="preserve"> </w:t>
      </w:r>
      <w:r w:rsidRPr="00736CD7">
        <w:rPr>
          <w:sz w:val="20"/>
          <w:szCs w:val="20"/>
          <w:lang w:val="pt-BR"/>
        </w:rPr>
        <w:t>de repara</w:t>
      </w:r>
      <w:r w:rsidR="00B153E7" w:rsidRPr="00736CD7">
        <w:rPr>
          <w:sz w:val="20"/>
          <w:szCs w:val="20"/>
          <w:lang w:val="pt-BR"/>
        </w:rPr>
        <w:t>ção</w:t>
      </w:r>
      <w:r w:rsidRPr="00736CD7">
        <w:rPr>
          <w:sz w:val="20"/>
          <w:szCs w:val="20"/>
          <w:lang w:val="pt-BR"/>
        </w:rPr>
        <w:t xml:space="preserve"> por da</w:t>
      </w:r>
      <w:r w:rsidR="00736CD7">
        <w:rPr>
          <w:sz w:val="20"/>
          <w:szCs w:val="20"/>
          <w:lang w:val="pt-BR"/>
        </w:rPr>
        <w:t>n</w:t>
      </w:r>
      <w:r w:rsidRPr="00736CD7">
        <w:rPr>
          <w:sz w:val="20"/>
          <w:szCs w:val="20"/>
          <w:lang w:val="pt-BR"/>
        </w:rPr>
        <w:t>o moral, funda</w:t>
      </w:r>
      <w:r w:rsidR="00736CD7">
        <w:rPr>
          <w:sz w:val="20"/>
          <w:szCs w:val="20"/>
          <w:lang w:val="pt-BR"/>
        </w:rPr>
        <w:t>menta</w:t>
      </w:r>
      <w:r w:rsidRPr="00736CD7">
        <w:rPr>
          <w:sz w:val="20"/>
          <w:szCs w:val="20"/>
          <w:lang w:val="pt-BR"/>
        </w:rPr>
        <w:t xml:space="preserve">da </w:t>
      </w:r>
      <w:r w:rsidR="00736CD7">
        <w:rPr>
          <w:sz w:val="20"/>
          <w:szCs w:val="20"/>
          <w:lang w:val="pt-BR"/>
        </w:rPr>
        <w:t xml:space="preserve">na </w:t>
      </w:r>
      <w:r w:rsidRPr="00736CD7">
        <w:rPr>
          <w:sz w:val="20"/>
          <w:szCs w:val="20"/>
          <w:lang w:val="pt-BR"/>
        </w:rPr>
        <w:t>responsabilidad</w:t>
      </w:r>
      <w:r w:rsidR="00736CD7">
        <w:rPr>
          <w:sz w:val="20"/>
          <w:szCs w:val="20"/>
          <w:lang w:val="pt-BR"/>
        </w:rPr>
        <w:t>e</w:t>
      </w:r>
      <w:r w:rsidRPr="00736CD7">
        <w:rPr>
          <w:sz w:val="20"/>
          <w:szCs w:val="20"/>
          <w:lang w:val="pt-BR"/>
        </w:rPr>
        <w:t xml:space="preserve"> civil d</w:t>
      </w:r>
      <w:r w:rsidR="00736CD7">
        <w:rPr>
          <w:sz w:val="20"/>
          <w:szCs w:val="20"/>
          <w:lang w:val="pt-BR"/>
        </w:rPr>
        <w:t>o</w:t>
      </w:r>
      <w:r w:rsidRPr="00736CD7">
        <w:rPr>
          <w:sz w:val="20"/>
          <w:szCs w:val="20"/>
          <w:lang w:val="pt-BR"/>
        </w:rPr>
        <w:t xml:space="preserve"> Estado; ii) a </w:t>
      </w:r>
      <w:r w:rsidR="00891A5F" w:rsidRPr="00736CD7">
        <w:rPr>
          <w:sz w:val="20"/>
          <w:szCs w:val="20"/>
          <w:lang w:val="pt-BR"/>
        </w:rPr>
        <w:t>ação</w:t>
      </w:r>
      <w:r w:rsidR="008C6385">
        <w:rPr>
          <w:sz w:val="20"/>
          <w:szCs w:val="20"/>
          <w:lang w:val="pt-BR"/>
        </w:rPr>
        <w:t xml:space="preserve"> </w:t>
      </w:r>
      <w:r w:rsidRPr="00736CD7">
        <w:rPr>
          <w:sz w:val="20"/>
          <w:szCs w:val="20"/>
          <w:lang w:val="pt-BR"/>
        </w:rPr>
        <w:t>penal p</w:t>
      </w:r>
      <w:r w:rsidR="00736CD7">
        <w:rPr>
          <w:sz w:val="20"/>
          <w:szCs w:val="20"/>
          <w:lang w:val="pt-BR"/>
        </w:rPr>
        <w:t xml:space="preserve">elo crime </w:t>
      </w:r>
      <w:r w:rsidRPr="00736CD7">
        <w:rPr>
          <w:sz w:val="20"/>
          <w:szCs w:val="20"/>
          <w:lang w:val="pt-BR"/>
        </w:rPr>
        <w:t>de viola</w:t>
      </w:r>
      <w:r w:rsidR="00B153E7" w:rsidRPr="00736CD7">
        <w:rPr>
          <w:sz w:val="20"/>
          <w:szCs w:val="20"/>
          <w:lang w:val="pt-BR"/>
        </w:rPr>
        <w:t>ção</w:t>
      </w:r>
      <w:r w:rsidRPr="00736CD7">
        <w:rPr>
          <w:sz w:val="20"/>
          <w:szCs w:val="20"/>
          <w:lang w:val="pt-BR"/>
        </w:rPr>
        <w:t xml:space="preserve"> de domic</w:t>
      </w:r>
      <w:r w:rsidR="00736CD7">
        <w:rPr>
          <w:sz w:val="20"/>
          <w:szCs w:val="20"/>
          <w:lang w:val="pt-BR"/>
        </w:rPr>
        <w:t>ílio</w:t>
      </w:r>
      <w:r w:rsidRPr="00736CD7">
        <w:rPr>
          <w:sz w:val="20"/>
          <w:szCs w:val="20"/>
          <w:lang w:val="pt-BR"/>
        </w:rPr>
        <w:t>, co</w:t>
      </w:r>
      <w:r w:rsidR="00736CD7">
        <w:rPr>
          <w:sz w:val="20"/>
          <w:szCs w:val="20"/>
          <w:lang w:val="pt-BR"/>
        </w:rPr>
        <w:t>m</w:t>
      </w:r>
      <w:r w:rsidRPr="00736CD7">
        <w:rPr>
          <w:sz w:val="20"/>
          <w:szCs w:val="20"/>
          <w:lang w:val="pt-BR"/>
        </w:rPr>
        <w:t xml:space="preserve"> fundamento </w:t>
      </w:r>
      <w:r w:rsidR="00736CD7">
        <w:rPr>
          <w:sz w:val="20"/>
          <w:szCs w:val="20"/>
          <w:lang w:val="pt-BR"/>
        </w:rPr>
        <w:t xml:space="preserve">no artigo </w:t>
      </w:r>
      <w:r w:rsidRPr="00736CD7">
        <w:rPr>
          <w:sz w:val="20"/>
          <w:szCs w:val="20"/>
          <w:lang w:val="pt-BR"/>
        </w:rPr>
        <w:t>150 d</w:t>
      </w:r>
      <w:r w:rsidR="00736CD7">
        <w:rPr>
          <w:sz w:val="20"/>
          <w:szCs w:val="20"/>
          <w:lang w:val="pt-BR"/>
        </w:rPr>
        <w:t>o</w:t>
      </w:r>
      <w:r w:rsidRPr="00736CD7">
        <w:rPr>
          <w:sz w:val="20"/>
          <w:szCs w:val="20"/>
          <w:lang w:val="pt-BR"/>
        </w:rPr>
        <w:t xml:space="preserve"> Código Penal </w:t>
      </w:r>
      <w:r w:rsidR="00736CD7">
        <w:rPr>
          <w:sz w:val="20"/>
          <w:szCs w:val="20"/>
          <w:lang w:val="pt-BR"/>
        </w:rPr>
        <w:t>brasileiro</w:t>
      </w:r>
      <w:r w:rsidRPr="00736CD7">
        <w:rPr>
          <w:sz w:val="20"/>
          <w:szCs w:val="20"/>
          <w:lang w:val="pt-BR"/>
        </w:rPr>
        <w:t xml:space="preserve">; </w:t>
      </w:r>
      <w:r w:rsidR="00736CD7">
        <w:rPr>
          <w:sz w:val="20"/>
          <w:szCs w:val="20"/>
          <w:lang w:val="pt-BR"/>
        </w:rPr>
        <w:t>e</w:t>
      </w:r>
      <w:r w:rsidRPr="00736CD7">
        <w:rPr>
          <w:sz w:val="20"/>
          <w:szCs w:val="20"/>
          <w:lang w:val="pt-BR"/>
        </w:rPr>
        <w:t xml:space="preserve"> iii)</w:t>
      </w:r>
      <w:r w:rsidR="00736CD7">
        <w:rPr>
          <w:sz w:val="20"/>
          <w:szCs w:val="20"/>
          <w:lang w:val="pt-BR"/>
        </w:rPr>
        <w:t xml:space="preserve"> </w:t>
      </w:r>
      <w:r w:rsidRPr="00736CD7">
        <w:rPr>
          <w:sz w:val="20"/>
          <w:szCs w:val="20"/>
          <w:lang w:val="pt-BR"/>
        </w:rPr>
        <w:t xml:space="preserve">a </w:t>
      </w:r>
      <w:r w:rsidR="00891A5F" w:rsidRPr="00736CD7">
        <w:rPr>
          <w:sz w:val="20"/>
          <w:szCs w:val="20"/>
          <w:lang w:val="pt-BR"/>
        </w:rPr>
        <w:t>ação</w:t>
      </w:r>
      <w:r w:rsidR="008C6385">
        <w:rPr>
          <w:sz w:val="20"/>
          <w:szCs w:val="20"/>
          <w:lang w:val="pt-BR"/>
        </w:rPr>
        <w:t xml:space="preserve"> </w:t>
      </w:r>
      <w:r w:rsidRPr="00736CD7">
        <w:rPr>
          <w:sz w:val="20"/>
          <w:szCs w:val="20"/>
          <w:lang w:val="pt-BR"/>
        </w:rPr>
        <w:t>de responsabilidad</w:t>
      </w:r>
      <w:r w:rsidR="00736CD7">
        <w:rPr>
          <w:sz w:val="20"/>
          <w:szCs w:val="20"/>
          <w:lang w:val="pt-BR"/>
        </w:rPr>
        <w:t>e</w:t>
      </w:r>
      <w:r w:rsidRPr="00736CD7">
        <w:rPr>
          <w:sz w:val="20"/>
          <w:szCs w:val="20"/>
          <w:lang w:val="pt-BR"/>
        </w:rPr>
        <w:t xml:space="preserve"> disciplinar </w:t>
      </w:r>
      <w:r w:rsidR="00891A5F" w:rsidRPr="00736CD7">
        <w:rPr>
          <w:sz w:val="20"/>
          <w:szCs w:val="20"/>
          <w:lang w:val="pt-BR"/>
        </w:rPr>
        <w:t xml:space="preserve">dos </w:t>
      </w:r>
      <w:r w:rsidRPr="00736CD7">
        <w:rPr>
          <w:sz w:val="20"/>
          <w:szCs w:val="20"/>
          <w:lang w:val="pt-BR"/>
        </w:rPr>
        <w:t xml:space="preserve">servidores públicos </w:t>
      </w:r>
      <w:r w:rsidR="00736CD7">
        <w:rPr>
          <w:sz w:val="20"/>
          <w:szCs w:val="20"/>
          <w:lang w:val="pt-BR"/>
        </w:rPr>
        <w:t>envolvid</w:t>
      </w:r>
      <w:r w:rsidR="004D5FE2">
        <w:rPr>
          <w:sz w:val="20"/>
          <w:szCs w:val="20"/>
          <w:lang w:val="pt-BR"/>
        </w:rPr>
        <w:t xml:space="preserve">os na </w:t>
      </w:r>
      <w:r w:rsidR="007912F5">
        <w:rPr>
          <w:sz w:val="20"/>
          <w:szCs w:val="20"/>
          <w:lang w:val="pt-BR"/>
        </w:rPr>
        <w:t xml:space="preserve">suposta </w:t>
      </w:r>
      <w:r w:rsidR="004D5FE2">
        <w:rPr>
          <w:sz w:val="20"/>
          <w:szCs w:val="20"/>
          <w:lang w:val="pt-BR"/>
        </w:rPr>
        <w:t xml:space="preserve">busca </w:t>
      </w:r>
      <w:r w:rsidRPr="00736CD7">
        <w:rPr>
          <w:sz w:val="20"/>
          <w:szCs w:val="20"/>
          <w:lang w:val="pt-BR"/>
        </w:rPr>
        <w:t>irregular de domic</w:t>
      </w:r>
      <w:r w:rsidR="004D5FE2">
        <w:rPr>
          <w:sz w:val="20"/>
          <w:szCs w:val="20"/>
          <w:lang w:val="pt-BR"/>
        </w:rPr>
        <w:t>í</w:t>
      </w:r>
      <w:r w:rsidRPr="00736CD7">
        <w:rPr>
          <w:sz w:val="20"/>
          <w:szCs w:val="20"/>
          <w:lang w:val="pt-BR"/>
        </w:rPr>
        <w:t xml:space="preserve">lio, mediante </w:t>
      </w:r>
      <w:r w:rsidR="004D5FE2">
        <w:rPr>
          <w:sz w:val="20"/>
          <w:szCs w:val="20"/>
          <w:lang w:val="pt-BR"/>
        </w:rPr>
        <w:t xml:space="preserve">o início de um procedimento </w:t>
      </w:r>
      <w:r w:rsidRPr="00736CD7">
        <w:rPr>
          <w:sz w:val="20"/>
          <w:szCs w:val="20"/>
          <w:lang w:val="pt-BR"/>
        </w:rPr>
        <w:t xml:space="preserve">administrativo </w:t>
      </w:r>
      <w:r w:rsidR="00C44218">
        <w:rPr>
          <w:sz w:val="20"/>
          <w:szCs w:val="20"/>
          <w:lang w:val="pt-BR"/>
        </w:rPr>
        <w:t>disciplinar</w:t>
      </w:r>
      <w:r w:rsidRPr="00736CD7">
        <w:rPr>
          <w:sz w:val="20"/>
          <w:szCs w:val="20"/>
          <w:lang w:val="pt-BR"/>
        </w:rPr>
        <w:t xml:space="preserve">. </w:t>
      </w:r>
      <w:r w:rsidR="004D5FE2" w:rsidRPr="004D5FE2">
        <w:rPr>
          <w:sz w:val="20"/>
          <w:szCs w:val="20"/>
          <w:lang w:val="pt-BR"/>
        </w:rPr>
        <w:t xml:space="preserve">Acrescenta que as </w:t>
      </w:r>
      <w:r w:rsidR="00EC0BB7" w:rsidRPr="004D5FE2">
        <w:rPr>
          <w:sz w:val="20"/>
          <w:szCs w:val="20"/>
          <w:lang w:val="pt-BR"/>
        </w:rPr>
        <w:t>supostas vítimas</w:t>
      </w:r>
      <w:r w:rsidR="008C6385">
        <w:rPr>
          <w:sz w:val="20"/>
          <w:szCs w:val="20"/>
          <w:lang w:val="pt-BR"/>
        </w:rPr>
        <w:t xml:space="preserve"> </w:t>
      </w:r>
      <w:r w:rsidRPr="004D5FE2">
        <w:rPr>
          <w:sz w:val="20"/>
          <w:szCs w:val="20"/>
          <w:lang w:val="pt-BR"/>
        </w:rPr>
        <w:t>pretende</w:t>
      </w:r>
      <w:r w:rsidR="004D5FE2" w:rsidRPr="004D5FE2">
        <w:rPr>
          <w:sz w:val="20"/>
          <w:szCs w:val="20"/>
          <w:lang w:val="pt-BR"/>
        </w:rPr>
        <w:t>m</w:t>
      </w:r>
      <w:r w:rsidRPr="004D5FE2">
        <w:rPr>
          <w:sz w:val="20"/>
          <w:szCs w:val="20"/>
          <w:lang w:val="pt-BR"/>
        </w:rPr>
        <w:t xml:space="preserve"> </w:t>
      </w:r>
      <w:r w:rsidR="004D5FE2">
        <w:rPr>
          <w:sz w:val="20"/>
          <w:szCs w:val="20"/>
          <w:lang w:val="pt-BR"/>
        </w:rPr>
        <w:t xml:space="preserve">transformar a </w:t>
      </w:r>
      <w:r w:rsidRPr="004D5FE2">
        <w:rPr>
          <w:sz w:val="20"/>
          <w:szCs w:val="20"/>
          <w:lang w:val="pt-BR"/>
        </w:rPr>
        <w:t>CIDH e</w:t>
      </w:r>
      <w:r w:rsidR="004D5FE2">
        <w:rPr>
          <w:sz w:val="20"/>
          <w:szCs w:val="20"/>
          <w:lang w:val="pt-BR"/>
        </w:rPr>
        <w:t>m</w:t>
      </w:r>
      <w:r w:rsidRPr="004D5FE2">
        <w:rPr>
          <w:sz w:val="20"/>
          <w:szCs w:val="20"/>
          <w:lang w:val="pt-BR"/>
        </w:rPr>
        <w:t xml:space="preserve"> </w:t>
      </w:r>
      <w:r w:rsidR="00891A5F" w:rsidRPr="004D5FE2">
        <w:rPr>
          <w:sz w:val="20"/>
          <w:szCs w:val="20"/>
          <w:lang w:val="pt-BR"/>
        </w:rPr>
        <w:t>uma</w:t>
      </w:r>
      <w:r w:rsidR="008C6385">
        <w:rPr>
          <w:sz w:val="20"/>
          <w:szCs w:val="20"/>
          <w:lang w:val="pt-BR"/>
        </w:rPr>
        <w:t xml:space="preserve"> </w:t>
      </w:r>
      <w:r w:rsidR="004D5FE2">
        <w:rPr>
          <w:sz w:val="20"/>
          <w:szCs w:val="20"/>
          <w:lang w:val="pt-BR"/>
        </w:rPr>
        <w:t>q</w:t>
      </w:r>
      <w:r w:rsidRPr="004D5FE2">
        <w:rPr>
          <w:sz w:val="20"/>
          <w:szCs w:val="20"/>
          <w:lang w:val="pt-BR"/>
        </w:rPr>
        <w:t>uarta inst</w:t>
      </w:r>
      <w:r w:rsidR="004D5FE2">
        <w:rPr>
          <w:sz w:val="20"/>
          <w:szCs w:val="20"/>
          <w:lang w:val="pt-BR"/>
        </w:rPr>
        <w:t>â</w:t>
      </w:r>
      <w:r w:rsidRPr="004D5FE2">
        <w:rPr>
          <w:sz w:val="20"/>
          <w:szCs w:val="20"/>
          <w:lang w:val="pt-BR"/>
        </w:rPr>
        <w:t xml:space="preserve">ncia. </w:t>
      </w:r>
    </w:p>
    <w:p w14:paraId="3112378C" w14:textId="539FAE42" w:rsidR="001C5567" w:rsidRPr="00C44218" w:rsidRDefault="001C5567" w:rsidP="003E76B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C44218">
        <w:rPr>
          <w:b/>
          <w:bCs/>
          <w:color w:val="000000" w:themeColor="text1"/>
          <w:sz w:val="20"/>
          <w:szCs w:val="20"/>
          <w:lang w:val="pt-BR"/>
        </w:rPr>
        <w:t>V</w:t>
      </w:r>
      <w:r w:rsidR="00907E48" w:rsidRPr="00C44218">
        <w:rPr>
          <w:b/>
          <w:bCs/>
          <w:color w:val="000000" w:themeColor="text1"/>
          <w:sz w:val="20"/>
          <w:szCs w:val="20"/>
          <w:lang w:val="pt-BR"/>
        </w:rPr>
        <w:t>I</w:t>
      </w:r>
      <w:r w:rsidRPr="00C44218">
        <w:rPr>
          <w:b/>
          <w:bCs/>
          <w:color w:val="000000" w:themeColor="text1"/>
          <w:sz w:val="20"/>
          <w:szCs w:val="20"/>
          <w:lang w:val="pt-BR"/>
        </w:rPr>
        <w:t>.</w:t>
      </w:r>
      <w:r w:rsidRPr="00C44218">
        <w:rPr>
          <w:b/>
          <w:bCs/>
          <w:color w:val="000000" w:themeColor="text1"/>
          <w:sz w:val="20"/>
          <w:szCs w:val="20"/>
          <w:lang w:val="pt-BR"/>
        </w:rPr>
        <w:tab/>
      </w:r>
      <w:r w:rsidRPr="00C44218">
        <w:rPr>
          <w:b/>
          <w:bCs/>
          <w:sz w:val="20"/>
          <w:szCs w:val="20"/>
          <w:lang w:val="pt-BR"/>
        </w:rPr>
        <w:t>SOLICIT</w:t>
      </w:r>
      <w:r w:rsidR="00C44218" w:rsidRPr="00C44218">
        <w:rPr>
          <w:b/>
          <w:bCs/>
          <w:sz w:val="20"/>
          <w:szCs w:val="20"/>
          <w:lang w:val="pt-BR"/>
        </w:rPr>
        <w:t>AÇÃO DE DESMEMBRAMENTO DO PROCESSO</w:t>
      </w:r>
      <w:r w:rsidR="00C44218">
        <w:rPr>
          <w:b/>
          <w:bCs/>
          <w:sz w:val="20"/>
          <w:szCs w:val="20"/>
          <w:lang w:val="pt-BR"/>
        </w:rPr>
        <w:t xml:space="preserve"> </w:t>
      </w:r>
    </w:p>
    <w:p w14:paraId="7DCB4BC6" w14:textId="2B4C489C" w:rsidR="00C56831" w:rsidRPr="00C44218" w:rsidRDefault="00C44218" w:rsidP="003E76B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C44218">
        <w:rPr>
          <w:sz w:val="20"/>
          <w:szCs w:val="20"/>
          <w:lang w:val="pt-BR"/>
        </w:rPr>
        <w:t>O</w:t>
      </w:r>
      <w:r w:rsidR="00307FD5" w:rsidRPr="00C44218">
        <w:rPr>
          <w:sz w:val="20"/>
          <w:szCs w:val="20"/>
          <w:lang w:val="pt-BR"/>
        </w:rPr>
        <w:t xml:space="preserve"> Estado, </w:t>
      </w:r>
      <w:r w:rsidRPr="00C44218">
        <w:rPr>
          <w:sz w:val="20"/>
          <w:szCs w:val="20"/>
          <w:lang w:val="pt-BR"/>
        </w:rPr>
        <w:t>em</w:t>
      </w:r>
      <w:r>
        <w:rPr>
          <w:sz w:val="20"/>
          <w:szCs w:val="20"/>
          <w:lang w:val="pt-BR"/>
        </w:rPr>
        <w:t xml:space="preserve"> resumo</w:t>
      </w:r>
      <w:r w:rsidR="00307FD5" w:rsidRPr="00C44218">
        <w:rPr>
          <w:sz w:val="20"/>
          <w:szCs w:val="20"/>
          <w:lang w:val="pt-BR"/>
        </w:rPr>
        <w:t xml:space="preserve">, </w:t>
      </w:r>
      <w:r>
        <w:rPr>
          <w:sz w:val="20"/>
          <w:szCs w:val="20"/>
          <w:lang w:val="pt-BR"/>
        </w:rPr>
        <w:t xml:space="preserve">afirma que os acontecimentos vinculados aos </w:t>
      </w:r>
      <w:r w:rsidR="00307FD5" w:rsidRPr="00C44218">
        <w:rPr>
          <w:sz w:val="20"/>
          <w:szCs w:val="20"/>
          <w:lang w:val="pt-BR"/>
        </w:rPr>
        <w:t xml:space="preserve">títulos </w:t>
      </w:r>
      <w:r w:rsidR="00891A5F" w:rsidRPr="00C44218">
        <w:rPr>
          <w:sz w:val="20"/>
          <w:szCs w:val="20"/>
          <w:lang w:val="pt-BR"/>
        </w:rPr>
        <w:t>executivos</w:t>
      </w:r>
      <w:r w:rsidR="008C6385">
        <w:rPr>
          <w:sz w:val="20"/>
          <w:szCs w:val="20"/>
          <w:lang w:val="pt-BR"/>
        </w:rPr>
        <w:t xml:space="preserve"> </w:t>
      </w:r>
      <w:r w:rsidR="00307FD5" w:rsidRPr="00C44218">
        <w:rPr>
          <w:sz w:val="20"/>
          <w:szCs w:val="20"/>
          <w:lang w:val="pt-BR"/>
        </w:rPr>
        <w:t>judici</w:t>
      </w:r>
      <w:r w:rsidR="00B153E7" w:rsidRPr="00C44218">
        <w:rPr>
          <w:sz w:val="20"/>
          <w:szCs w:val="20"/>
          <w:lang w:val="pt-BR"/>
        </w:rPr>
        <w:t>ais</w:t>
      </w:r>
      <w:r w:rsidR="008C6385">
        <w:rPr>
          <w:sz w:val="20"/>
          <w:szCs w:val="20"/>
          <w:lang w:val="pt-BR"/>
        </w:rPr>
        <w:t xml:space="preserve"> </w:t>
      </w:r>
      <w:r>
        <w:rPr>
          <w:sz w:val="20"/>
          <w:szCs w:val="20"/>
          <w:lang w:val="pt-BR"/>
        </w:rPr>
        <w:t xml:space="preserve">não têm conexão com os acontecimentos referentes às supostas </w:t>
      </w:r>
      <w:r w:rsidR="00307FD5" w:rsidRPr="00C44218">
        <w:rPr>
          <w:sz w:val="20"/>
          <w:szCs w:val="20"/>
          <w:lang w:val="pt-BR"/>
        </w:rPr>
        <w:t>viola</w:t>
      </w:r>
      <w:r w:rsidR="00B153E7" w:rsidRPr="00C44218">
        <w:rPr>
          <w:sz w:val="20"/>
          <w:szCs w:val="20"/>
          <w:lang w:val="pt-BR"/>
        </w:rPr>
        <w:t>ções</w:t>
      </w:r>
      <w:r w:rsidR="00307FD5" w:rsidRPr="00C44218">
        <w:rPr>
          <w:sz w:val="20"/>
          <w:szCs w:val="20"/>
          <w:lang w:val="pt-BR"/>
        </w:rPr>
        <w:t xml:space="preserve"> </w:t>
      </w:r>
      <w:r>
        <w:rPr>
          <w:sz w:val="20"/>
          <w:szCs w:val="20"/>
          <w:lang w:val="pt-BR"/>
        </w:rPr>
        <w:t xml:space="preserve">decorrentes </w:t>
      </w:r>
      <w:r w:rsidR="00B153E7" w:rsidRPr="00C44218">
        <w:rPr>
          <w:sz w:val="20"/>
          <w:szCs w:val="20"/>
          <w:lang w:val="pt-BR"/>
        </w:rPr>
        <w:t xml:space="preserve">da </w:t>
      </w:r>
      <w:r w:rsidR="00307FD5" w:rsidRPr="00C44218">
        <w:rPr>
          <w:sz w:val="20"/>
          <w:szCs w:val="20"/>
          <w:lang w:val="pt-BR"/>
        </w:rPr>
        <w:t>opera</w:t>
      </w:r>
      <w:r w:rsidR="00B153E7" w:rsidRPr="00C44218">
        <w:rPr>
          <w:sz w:val="20"/>
          <w:szCs w:val="20"/>
          <w:lang w:val="pt-BR"/>
        </w:rPr>
        <w:t>ção</w:t>
      </w:r>
      <w:r w:rsidR="00307FD5" w:rsidRPr="00C44218">
        <w:rPr>
          <w:sz w:val="20"/>
          <w:szCs w:val="20"/>
          <w:lang w:val="pt-BR"/>
        </w:rPr>
        <w:t xml:space="preserve"> policial, </w:t>
      </w:r>
      <w:r>
        <w:rPr>
          <w:sz w:val="20"/>
          <w:szCs w:val="20"/>
          <w:lang w:val="pt-BR"/>
        </w:rPr>
        <w:t xml:space="preserve">razão pela qual solicita à </w:t>
      </w:r>
      <w:r w:rsidR="007C470D" w:rsidRPr="00C44218">
        <w:rPr>
          <w:sz w:val="20"/>
          <w:szCs w:val="20"/>
          <w:lang w:val="pt-BR"/>
        </w:rPr>
        <w:t>Comissão</w:t>
      </w:r>
      <w:r w:rsidR="008C6385">
        <w:rPr>
          <w:sz w:val="20"/>
          <w:szCs w:val="20"/>
          <w:lang w:val="pt-BR"/>
        </w:rPr>
        <w:t xml:space="preserve"> </w:t>
      </w:r>
      <w:r w:rsidR="00307FD5" w:rsidRPr="00C44218">
        <w:rPr>
          <w:sz w:val="20"/>
          <w:szCs w:val="20"/>
          <w:lang w:val="pt-BR"/>
        </w:rPr>
        <w:t xml:space="preserve">que divida </w:t>
      </w:r>
      <w:r>
        <w:rPr>
          <w:sz w:val="20"/>
          <w:szCs w:val="20"/>
          <w:lang w:val="pt-BR"/>
        </w:rPr>
        <w:t xml:space="preserve">o caso em duas </w:t>
      </w:r>
      <w:r w:rsidR="00307FD5" w:rsidRPr="00C44218">
        <w:rPr>
          <w:sz w:val="20"/>
          <w:szCs w:val="20"/>
          <w:lang w:val="pt-BR"/>
        </w:rPr>
        <w:t>partes.</w:t>
      </w:r>
    </w:p>
    <w:p w14:paraId="2BA8DB23" w14:textId="4A4B3A2C" w:rsidR="004E2862" w:rsidRPr="00A149AB" w:rsidRDefault="00307FD5" w:rsidP="003E76BF">
      <w:pPr>
        <w:pStyle w:val="ListParagraph"/>
        <w:widowControl w:val="0"/>
        <w:numPr>
          <w:ilvl w:val="0"/>
          <w:numId w:val="59"/>
        </w:numPr>
        <w:spacing w:before="240" w:after="240"/>
        <w:ind w:left="0" w:firstLine="720"/>
        <w:jc w:val="both"/>
        <w:rPr>
          <w:sz w:val="20"/>
          <w:szCs w:val="20"/>
          <w:lang w:val="pt-BR"/>
        </w:rPr>
      </w:pPr>
      <w:r w:rsidRPr="00A149AB">
        <w:rPr>
          <w:sz w:val="20"/>
          <w:szCs w:val="20"/>
          <w:lang w:val="pt-BR"/>
        </w:rPr>
        <w:t xml:space="preserve">Sobre </w:t>
      </w:r>
      <w:r w:rsidR="00A149AB" w:rsidRPr="00A149AB">
        <w:rPr>
          <w:sz w:val="20"/>
          <w:szCs w:val="20"/>
          <w:lang w:val="pt-BR"/>
        </w:rPr>
        <w:t>o</w:t>
      </w:r>
      <w:r w:rsidRPr="00A149AB">
        <w:rPr>
          <w:sz w:val="20"/>
          <w:szCs w:val="20"/>
          <w:lang w:val="pt-BR"/>
        </w:rPr>
        <w:t xml:space="preserve"> tema, a </w:t>
      </w:r>
      <w:r w:rsidR="007C470D" w:rsidRPr="00A149AB">
        <w:rPr>
          <w:sz w:val="20"/>
          <w:szCs w:val="20"/>
          <w:lang w:val="pt-BR"/>
        </w:rPr>
        <w:t>Comissão</w:t>
      </w:r>
      <w:r w:rsidR="008C6385">
        <w:rPr>
          <w:sz w:val="20"/>
          <w:szCs w:val="20"/>
          <w:lang w:val="pt-BR"/>
        </w:rPr>
        <w:t xml:space="preserve"> </w:t>
      </w:r>
      <w:r w:rsidRPr="00A149AB">
        <w:rPr>
          <w:sz w:val="20"/>
          <w:szCs w:val="20"/>
          <w:lang w:val="pt-BR"/>
        </w:rPr>
        <w:t xml:space="preserve">Interamericana </w:t>
      </w:r>
      <w:r w:rsidR="00A149AB" w:rsidRPr="00A149AB">
        <w:rPr>
          <w:sz w:val="20"/>
          <w:szCs w:val="20"/>
          <w:lang w:val="pt-BR"/>
        </w:rPr>
        <w:t xml:space="preserve">esclarece que o artigo </w:t>
      </w:r>
      <w:r w:rsidR="004E2862" w:rsidRPr="00A149AB">
        <w:rPr>
          <w:sz w:val="20"/>
          <w:szCs w:val="20"/>
          <w:lang w:val="pt-BR"/>
        </w:rPr>
        <w:t>29.4 de s</w:t>
      </w:r>
      <w:r w:rsidR="00A149AB" w:rsidRPr="00A149AB">
        <w:rPr>
          <w:sz w:val="20"/>
          <w:szCs w:val="20"/>
          <w:lang w:val="pt-BR"/>
        </w:rPr>
        <w:t>e</w:t>
      </w:r>
      <w:r w:rsidR="004E2862" w:rsidRPr="00A149AB">
        <w:rPr>
          <w:sz w:val="20"/>
          <w:szCs w:val="20"/>
          <w:lang w:val="pt-BR"/>
        </w:rPr>
        <w:t>u Reg</w:t>
      </w:r>
      <w:r w:rsidR="00A149AB">
        <w:rPr>
          <w:sz w:val="20"/>
          <w:szCs w:val="20"/>
          <w:lang w:val="pt-BR"/>
        </w:rPr>
        <w:t>u</w:t>
      </w:r>
      <w:r w:rsidR="004E2862" w:rsidRPr="00A149AB">
        <w:rPr>
          <w:sz w:val="20"/>
          <w:szCs w:val="20"/>
          <w:lang w:val="pt-BR"/>
        </w:rPr>
        <w:t xml:space="preserve">lamento </w:t>
      </w:r>
      <w:r w:rsidR="00A149AB" w:rsidRPr="00A149AB">
        <w:rPr>
          <w:sz w:val="20"/>
          <w:szCs w:val="20"/>
          <w:lang w:val="pt-BR"/>
        </w:rPr>
        <w:t xml:space="preserve">não </w:t>
      </w:r>
      <w:r w:rsidR="004E2862" w:rsidRPr="00A149AB">
        <w:rPr>
          <w:sz w:val="20"/>
          <w:szCs w:val="20"/>
          <w:lang w:val="pt-BR"/>
        </w:rPr>
        <w:t xml:space="preserve">exige que </w:t>
      </w:r>
      <w:r w:rsidR="00A149AB">
        <w:rPr>
          <w:sz w:val="20"/>
          <w:szCs w:val="20"/>
          <w:lang w:val="pt-BR"/>
        </w:rPr>
        <w:t>fatos</w:t>
      </w:r>
      <w:r w:rsidR="004E2862" w:rsidRPr="00A149AB">
        <w:rPr>
          <w:sz w:val="20"/>
          <w:szCs w:val="20"/>
          <w:lang w:val="pt-BR"/>
        </w:rPr>
        <w:t xml:space="preserve">, vítimas </w:t>
      </w:r>
      <w:r w:rsidR="00A149AB">
        <w:rPr>
          <w:sz w:val="20"/>
          <w:szCs w:val="20"/>
          <w:lang w:val="pt-BR"/>
        </w:rPr>
        <w:t>e</w:t>
      </w:r>
      <w:r w:rsidR="004E2862" w:rsidRPr="00A149AB">
        <w:rPr>
          <w:sz w:val="20"/>
          <w:szCs w:val="20"/>
          <w:lang w:val="pt-BR"/>
        </w:rPr>
        <w:t xml:space="preserve"> viola</w:t>
      </w:r>
      <w:r w:rsidR="00B153E7" w:rsidRPr="00A149AB">
        <w:rPr>
          <w:sz w:val="20"/>
          <w:szCs w:val="20"/>
          <w:lang w:val="pt-BR"/>
        </w:rPr>
        <w:t>ções</w:t>
      </w:r>
      <w:r w:rsidR="004E2862" w:rsidRPr="00A149AB">
        <w:rPr>
          <w:sz w:val="20"/>
          <w:szCs w:val="20"/>
          <w:lang w:val="pt-BR"/>
        </w:rPr>
        <w:t xml:space="preserve"> </w:t>
      </w:r>
      <w:r w:rsidR="00A149AB">
        <w:rPr>
          <w:sz w:val="20"/>
          <w:szCs w:val="20"/>
          <w:lang w:val="pt-BR"/>
        </w:rPr>
        <w:t>a</w:t>
      </w:r>
      <w:r w:rsidR="004E2862" w:rsidRPr="00A149AB">
        <w:rPr>
          <w:sz w:val="20"/>
          <w:szCs w:val="20"/>
          <w:lang w:val="pt-BR"/>
        </w:rPr>
        <w:t>presentados e</w:t>
      </w:r>
      <w:r w:rsidR="00A149AB">
        <w:rPr>
          <w:sz w:val="20"/>
          <w:szCs w:val="20"/>
          <w:lang w:val="pt-BR"/>
        </w:rPr>
        <w:t>m</w:t>
      </w:r>
      <w:r w:rsidR="004E2862" w:rsidRPr="00A149AB">
        <w:rPr>
          <w:sz w:val="20"/>
          <w:szCs w:val="20"/>
          <w:lang w:val="pt-BR"/>
        </w:rPr>
        <w:t xml:space="preserve"> </w:t>
      </w:r>
      <w:r w:rsidR="00891A5F" w:rsidRPr="00A149AB">
        <w:rPr>
          <w:sz w:val="20"/>
          <w:szCs w:val="20"/>
          <w:lang w:val="pt-BR"/>
        </w:rPr>
        <w:t>uma</w:t>
      </w:r>
      <w:r w:rsidR="008C6385">
        <w:rPr>
          <w:sz w:val="20"/>
          <w:szCs w:val="20"/>
          <w:lang w:val="pt-BR"/>
        </w:rPr>
        <w:t xml:space="preserve"> </w:t>
      </w:r>
      <w:r w:rsidR="004E2862" w:rsidRPr="00A149AB">
        <w:rPr>
          <w:sz w:val="20"/>
          <w:szCs w:val="20"/>
          <w:lang w:val="pt-BR"/>
        </w:rPr>
        <w:t>peti</w:t>
      </w:r>
      <w:r w:rsidR="00B153E7" w:rsidRPr="00A149AB">
        <w:rPr>
          <w:sz w:val="20"/>
          <w:szCs w:val="20"/>
          <w:lang w:val="pt-BR"/>
        </w:rPr>
        <w:t>ção</w:t>
      </w:r>
      <w:r w:rsidR="004E2862" w:rsidRPr="00A149AB">
        <w:rPr>
          <w:sz w:val="20"/>
          <w:szCs w:val="20"/>
          <w:lang w:val="pt-BR"/>
        </w:rPr>
        <w:t xml:space="preserve"> </w:t>
      </w:r>
      <w:r w:rsidR="00216B97" w:rsidRPr="00A149AB">
        <w:rPr>
          <w:sz w:val="20"/>
          <w:szCs w:val="20"/>
          <w:lang w:val="pt-BR"/>
        </w:rPr>
        <w:t>coincida</w:t>
      </w:r>
      <w:r w:rsidR="00A149AB">
        <w:rPr>
          <w:sz w:val="20"/>
          <w:szCs w:val="20"/>
          <w:lang w:val="pt-BR"/>
        </w:rPr>
        <w:t>m</w:t>
      </w:r>
      <w:r w:rsidR="004E2862" w:rsidRPr="00A149AB">
        <w:rPr>
          <w:sz w:val="20"/>
          <w:szCs w:val="20"/>
          <w:lang w:val="pt-BR"/>
        </w:rPr>
        <w:t xml:space="preserve"> estritamente </w:t>
      </w:r>
      <w:r w:rsidR="00A149AB">
        <w:rPr>
          <w:sz w:val="20"/>
          <w:szCs w:val="20"/>
          <w:lang w:val="pt-BR"/>
        </w:rPr>
        <w:t xml:space="preserve">quanto a tempo e </w:t>
      </w:r>
      <w:r w:rsidR="004E2862" w:rsidRPr="00A149AB">
        <w:rPr>
          <w:sz w:val="20"/>
          <w:szCs w:val="20"/>
          <w:lang w:val="pt-BR"/>
        </w:rPr>
        <w:t>lugar para que p</w:t>
      </w:r>
      <w:r w:rsidR="00A149AB">
        <w:rPr>
          <w:sz w:val="20"/>
          <w:szCs w:val="20"/>
          <w:lang w:val="pt-BR"/>
        </w:rPr>
        <w:t xml:space="preserve">ossam ser processados </w:t>
      </w:r>
      <w:r w:rsidR="004E2862" w:rsidRPr="00A149AB">
        <w:rPr>
          <w:sz w:val="20"/>
          <w:szCs w:val="20"/>
          <w:lang w:val="pt-BR"/>
        </w:rPr>
        <w:t>​​como u</w:t>
      </w:r>
      <w:r w:rsidR="00A149AB">
        <w:rPr>
          <w:sz w:val="20"/>
          <w:szCs w:val="20"/>
          <w:lang w:val="pt-BR"/>
        </w:rPr>
        <w:t xml:space="preserve">m só </w:t>
      </w:r>
      <w:r w:rsidR="004E2862" w:rsidRPr="00A149AB">
        <w:rPr>
          <w:sz w:val="20"/>
          <w:szCs w:val="20"/>
          <w:lang w:val="pt-BR"/>
        </w:rPr>
        <w:t xml:space="preserve">caso. </w:t>
      </w:r>
      <w:r w:rsidR="00A149AB" w:rsidRPr="00A149AB">
        <w:rPr>
          <w:sz w:val="20"/>
          <w:szCs w:val="20"/>
          <w:lang w:val="pt-BR"/>
        </w:rPr>
        <w:t xml:space="preserve">A </w:t>
      </w:r>
      <w:r w:rsidR="007C470D" w:rsidRPr="00A149AB">
        <w:rPr>
          <w:sz w:val="20"/>
          <w:szCs w:val="20"/>
          <w:lang w:val="pt-BR"/>
        </w:rPr>
        <w:t>Comissão</w:t>
      </w:r>
      <w:r w:rsidR="008C6385">
        <w:rPr>
          <w:sz w:val="20"/>
          <w:szCs w:val="20"/>
          <w:lang w:val="pt-BR"/>
        </w:rPr>
        <w:t xml:space="preserve"> </w:t>
      </w:r>
      <w:r w:rsidR="00A149AB" w:rsidRPr="00A149AB">
        <w:rPr>
          <w:sz w:val="20"/>
          <w:szCs w:val="20"/>
          <w:lang w:val="pt-BR"/>
        </w:rPr>
        <w:t>é</w:t>
      </w:r>
      <w:r w:rsidR="004E2862" w:rsidRPr="00A149AB">
        <w:rPr>
          <w:sz w:val="20"/>
          <w:szCs w:val="20"/>
          <w:lang w:val="pt-BR"/>
        </w:rPr>
        <w:t xml:space="preserve"> competente para </w:t>
      </w:r>
      <w:r w:rsidR="00A149AB" w:rsidRPr="00A149AB">
        <w:rPr>
          <w:sz w:val="20"/>
          <w:szCs w:val="20"/>
          <w:lang w:val="pt-BR"/>
        </w:rPr>
        <w:t>co</w:t>
      </w:r>
      <w:r w:rsidR="00A149AB">
        <w:rPr>
          <w:sz w:val="20"/>
          <w:szCs w:val="20"/>
          <w:lang w:val="pt-BR"/>
        </w:rPr>
        <w:t xml:space="preserve">nhecer </w:t>
      </w:r>
      <w:r w:rsidR="004E2862" w:rsidRPr="00A149AB">
        <w:rPr>
          <w:sz w:val="20"/>
          <w:szCs w:val="20"/>
          <w:lang w:val="pt-BR"/>
        </w:rPr>
        <w:t>de casos individu</w:t>
      </w:r>
      <w:r w:rsidR="00B153E7" w:rsidRPr="00A149AB">
        <w:rPr>
          <w:sz w:val="20"/>
          <w:szCs w:val="20"/>
          <w:lang w:val="pt-BR"/>
        </w:rPr>
        <w:t>ais</w:t>
      </w:r>
      <w:r w:rsidR="008C6385">
        <w:rPr>
          <w:sz w:val="20"/>
          <w:szCs w:val="20"/>
          <w:lang w:val="pt-BR"/>
        </w:rPr>
        <w:t xml:space="preserve"> </w:t>
      </w:r>
      <w:r w:rsidR="004E2862" w:rsidRPr="00A149AB">
        <w:rPr>
          <w:sz w:val="20"/>
          <w:szCs w:val="20"/>
          <w:lang w:val="pt-BR"/>
        </w:rPr>
        <w:t xml:space="preserve">relacionados </w:t>
      </w:r>
      <w:r w:rsidR="00A149AB">
        <w:rPr>
          <w:sz w:val="20"/>
          <w:szCs w:val="20"/>
          <w:lang w:val="pt-BR"/>
        </w:rPr>
        <w:t xml:space="preserve">a </w:t>
      </w:r>
      <w:r w:rsidR="00EC0BB7" w:rsidRPr="00A149AB">
        <w:rPr>
          <w:sz w:val="20"/>
          <w:szCs w:val="20"/>
          <w:lang w:val="pt-BR"/>
        </w:rPr>
        <w:t>supostas vítimas</w:t>
      </w:r>
      <w:r w:rsidR="008C6385">
        <w:rPr>
          <w:sz w:val="20"/>
          <w:szCs w:val="20"/>
          <w:lang w:val="pt-BR"/>
        </w:rPr>
        <w:t xml:space="preserve"> </w:t>
      </w:r>
      <w:r w:rsidR="004E2862" w:rsidRPr="00A149AB">
        <w:rPr>
          <w:sz w:val="20"/>
          <w:szCs w:val="20"/>
          <w:lang w:val="pt-BR"/>
        </w:rPr>
        <w:t>que denuncia</w:t>
      </w:r>
      <w:r w:rsidR="00A149AB">
        <w:rPr>
          <w:sz w:val="20"/>
          <w:szCs w:val="20"/>
          <w:lang w:val="pt-BR"/>
        </w:rPr>
        <w:t>m</w:t>
      </w:r>
      <w:r w:rsidR="004E2862" w:rsidRPr="00A149AB">
        <w:rPr>
          <w:sz w:val="20"/>
          <w:szCs w:val="20"/>
          <w:lang w:val="pt-BR"/>
        </w:rPr>
        <w:t xml:space="preserve"> viola</w:t>
      </w:r>
      <w:r w:rsidR="00B153E7" w:rsidRPr="00A149AB">
        <w:rPr>
          <w:sz w:val="20"/>
          <w:szCs w:val="20"/>
          <w:lang w:val="pt-BR"/>
        </w:rPr>
        <w:t>ções</w:t>
      </w:r>
      <w:r w:rsidR="004E2862" w:rsidRPr="00A149AB">
        <w:rPr>
          <w:sz w:val="20"/>
          <w:szCs w:val="20"/>
          <w:lang w:val="pt-BR"/>
        </w:rPr>
        <w:t xml:space="preserve"> oc</w:t>
      </w:r>
      <w:r w:rsidR="00A149AB">
        <w:rPr>
          <w:sz w:val="20"/>
          <w:szCs w:val="20"/>
          <w:lang w:val="pt-BR"/>
        </w:rPr>
        <w:t>o</w:t>
      </w:r>
      <w:r w:rsidR="004E2862" w:rsidRPr="00A149AB">
        <w:rPr>
          <w:sz w:val="20"/>
          <w:szCs w:val="20"/>
          <w:lang w:val="pt-BR"/>
        </w:rPr>
        <w:t>rridas e</w:t>
      </w:r>
      <w:r w:rsidR="00A149AB">
        <w:rPr>
          <w:sz w:val="20"/>
          <w:szCs w:val="20"/>
          <w:lang w:val="pt-BR"/>
        </w:rPr>
        <w:t>m</w:t>
      </w:r>
      <w:r w:rsidR="004E2862" w:rsidRPr="00A149AB">
        <w:rPr>
          <w:sz w:val="20"/>
          <w:szCs w:val="20"/>
          <w:lang w:val="pt-BR"/>
        </w:rPr>
        <w:t xml:space="preserve"> diferentes momentos </w:t>
      </w:r>
      <w:r w:rsidR="00A149AB">
        <w:rPr>
          <w:sz w:val="20"/>
          <w:szCs w:val="20"/>
          <w:lang w:val="pt-BR"/>
        </w:rPr>
        <w:t>e</w:t>
      </w:r>
      <w:r w:rsidR="004E2862" w:rsidRPr="00A149AB">
        <w:rPr>
          <w:sz w:val="20"/>
          <w:szCs w:val="20"/>
          <w:lang w:val="pt-BR"/>
        </w:rPr>
        <w:t xml:space="preserve"> lugares, </w:t>
      </w:r>
      <w:r w:rsidR="00A149AB">
        <w:rPr>
          <w:sz w:val="20"/>
          <w:szCs w:val="20"/>
          <w:lang w:val="pt-BR"/>
        </w:rPr>
        <w:t xml:space="preserve">mas que supostamente tiveram a mesma origem, como a aplicação </w:t>
      </w:r>
      <w:r w:rsidR="004E2862" w:rsidRPr="00A149AB">
        <w:rPr>
          <w:sz w:val="20"/>
          <w:szCs w:val="20"/>
          <w:lang w:val="pt-BR"/>
        </w:rPr>
        <w:t>de normas jurídicas o</w:t>
      </w:r>
      <w:r w:rsidR="00A149AB">
        <w:rPr>
          <w:sz w:val="20"/>
          <w:szCs w:val="20"/>
          <w:lang w:val="pt-BR"/>
        </w:rPr>
        <w:t xml:space="preserve">u a existência de um mesmo </w:t>
      </w:r>
      <w:r w:rsidR="004E2862" w:rsidRPr="00A149AB">
        <w:rPr>
          <w:sz w:val="20"/>
          <w:szCs w:val="20"/>
          <w:lang w:val="pt-BR"/>
        </w:rPr>
        <w:t>esquema o</w:t>
      </w:r>
      <w:r w:rsidR="00A149AB">
        <w:rPr>
          <w:sz w:val="20"/>
          <w:szCs w:val="20"/>
          <w:lang w:val="pt-BR"/>
        </w:rPr>
        <w:t>u</w:t>
      </w:r>
      <w:r w:rsidR="004E2862" w:rsidRPr="00A149AB">
        <w:rPr>
          <w:sz w:val="20"/>
          <w:szCs w:val="20"/>
          <w:lang w:val="pt-BR"/>
        </w:rPr>
        <w:t xml:space="preserve"> prática. </w:t>
      </w:r>
      <w:r w:rsidR="00A149AB" w:rsidRPr="00A149AB">
        <w:rPr>
          <w:sz w:val="20"/>
          <w:szCs w:val="20"/>
          <w:lang w:val="pt-BR"/>
        </w:rPr>
        <w:t xml:space="preserve">No mesmo </w:t>
      </w:r>
      <w:r w:rsidR="004E2862" w:rsidRPr="00A149AB">
        <w:rPr>
          <w:sz w:val="20"/>
          <w:szCs w:val="20"/>
          <w:lang w:val="pt-BR"/>
        </w:rPr>
        <w:t xml:space="preserve">sentido, a </w:t>
      </w:r>
      <w:r w:rsidR="007C470D" w:rsidRPr="00A149AB">
        <w:rPr>
          <w:sz w:val="20"/>
          <w:szCs w:val="20"/>
          <w:lang w:val="pt-BR"/>
        </w:rPr>
        <w:t>Comissão</w:t>
      </w:r>
      <w:r w:rsidR="008C6385">
        <w:rPr>
          <w:sz w:val="20"/>
          <w:szCs w:val="20"/>
          <w:lang w:val="pt-BR"/>
        </w:rPr>
        <w:t xml:space="preserve"> </w:t>
      </w:r>
      <w:r w:rsidR="00A149AB">
        <w:rPr>
          <w:sz w:val="20"/>
          <w:szCs w:val="20"/>
          <w:lang w:val="pt-BR"/>
        </w:rPr>
        <w:t xml:space="preserve">decidiu </w:t>
      </w:r>
      <w:r w:rsidR="004E2862" w:rsidRPr="00A149AB">
        <w:rPr>
          <w:sz w:val="20"/>
          <w:szCs w:val="20"/>
          <w:lang w:val="pt-BR"/>
        </w:rPr>
        <w:t>acumular peti</w:t>
      </w:r>
      <w:r w:rsidR="00B153E7" w:rsidRPr="00A149AB">
        <w:rPr>
          <w:sz w:val="20"/>
          <w:szCs w:val="20"/>
          <w:lang w:val="pt-BR"/>
        </w:rPr>
        <w:t>ções</w:t>
      </w:r>
      <w:r w:rsidR="004E2862" w:rsidRPr="00A149AB">
        <w:rPr>
          <w:sz w:val="20"/>
          <w:szCs w:val="20"/>
          <w:lang w:val="pt-BR"/>
        </w:rPr>
        <w:t xml:space="preserve"> </w:t>
      </w:r>
      <w:r w:rsidR="00A149AB">
        <w:rPr>
          <w:sz w:val="20"/>
          <w:szCs w:val="20"/>
          <w:lang w:val="pt-BR"/>
        </w:rPr>
        <w:t>e</w:t>
      </w:r>
      <w:r w:rsidR="004E2862" w:rsidRPr="00A149AB">
        <w:rPr>
          <w:sz w:val="20"/>
          <w:szCs w:val="20"/>
          <w:lang w:val="pt-BR"/>
        </w:rPr>
        <w:t xml:space="preserve"> casos que </w:t>
      </w:r>
      <w:r w:rsidR="00A149AB">
        <w:rPr>
          <w:sz w:val="20"/>
          <w:szCs w:val="20"/>
          <w:lang w:val="pt-BR"/>
        </w:rPr>
        <w:t xml:space="preserve">respondam a um mesmo </w:t>
      </w:r>
      <w:r w:rsidR="004E2862" w:rsidRPr="00A149AB">
        <w:rPr>
          <w:sz w:val="20"/>
          <w:szCs w:val="20"/>
          <w:lang w:val="pt-BR"/>
        </w:rPr>
        <w:t>contexto normativo, institucional o</w:t>
      </w:r>
      <w:r w:rsidR="00A149AB">
        <w:rPr>
          <w:sz w:val="20"/>
          <w:szCs w:val="20"/>
          <w:lang w:val="pt-BR"/>
        </w:rPr>
        <w:t>u</w:t>
      </w:r>
      <w:r w:rsidR="004E2862" w:rsidRPr="00A149AB">
        <w:rPr>
          <w:sz w:val="20"/>
          <w:szCs w:val="20"/>
          <w:lang w:val="pt-BR"/>
        </w:rPr>
        <w:t xml:space="preserve"> fático; o</w:t>
      </w:r>
      <w:r w:rsidR="00A149AB">
        <w:rPr>
          <w:sz w:val="20"/>
          <w:szCs w:val="20"/>
          <w:lang w:val="pt-BR"/>
        </w:rPr>
        <w:t xml:space="preserve">u em que </w:t>
      </w:r>
      <w:r w:rsidR="004E2862" w:rsidRPr="00A149AB">
        <w:rPr>
          <w:sz w:val="20"/>
          <w:szCs w:val="20"/>
          <w:lang w:val="pt-BR"/>
        </w:rPr>
        <w:t>exista similitud</w:t>
      </w:r>
      <w:r w:rsidR="00A149AB">
        <w:rPr>
          <w:sz w:val="20"/>
          <w:szCs w:val="20"/>
          <w:lang w:val="pt-BR"/>
        </w:rPr>
        <w:t>e</w:t>
      </w:r>
      <w:r w:rsidR="004E2862" w:rsidRPr="00A149AB">
        <w:rPr>
          <w:sz w:val="20"/>
          <w:szCs w:val="20"/>
          <w:lang w:val="pt-BR"/>
        </w:rPr>
        <w:t xml:space="preserve"> entre os </w:t>
      </w:r>
      <w:r w:rsidR="00A149AB">
        <w:rPr>
          <w:sz w:val="20"/>
          <w:szCs w:val="20"/>
          <w:lang w:val="pt-BR"/>
        </w:rPr>
        <w:t xml:space="preserve">fatos </w:t>
      </w:r>
      <w:r w:rsidR="004E2862" w:rsidRPr="00A149AB">
        <w:rPr>
          <w:sz w:val="20"/>
          <w:szCs w:val="20"/>
          <w:lang w:val="pt-BR"/>
        </w:rPr>
        <w:lastRenderedPageBreak/>
        <w:t>alegados</w:t>
      </w:r>
      <w:r w:rsidR="00A149AB">
        <w:rPr>
          <w:sz w:val="20"/>
          <w:szCs w:val="20"/>
          <w:lang w:val="pt-BR"/>
        </w:rPr>
        <w:t>.</w:t>
      </w:r>
      <w:r w:rsidR="00216B97" w:rsidRPr="00D64156">
        <w:rPr>
          <w:rStyle w:val="FootnoteReference"/>
          <w:sz w:val="20"/>
          <w:szCs w:val="20"/>
          <w:lang w:val="pt-BR"/>
        </w:rPr>
        <w:footnoteReference w:id="8"/>
      </w:r>
    </w:p>
    <w:p w14:paraId="28FF6819" w14:textId="2296A0DF" w:rsidR="004D7D64" w:rsidRPr="000F5FBD" w:rsidRDefault="006F1918" w:rsidP="003E76BF">
      <w:pPr>
        <w:pStyle w:val="ListParagraph"/>
        <w:widowControl w:val="0"/>
        <w:numPr>
          <w:ilvl w:val="0"/>
          <w:numId w:val="59"/>
        </w:numPr>
        <w:spacing w:before="240" w:after="240"/>
        <w:ind w:left="0" w:firstLine="720"/>
        <w:jc w:val="both"/>
        <w:rPr>
          <w:sz w:val="20"/>
          <w:szCs w:val="20"/>
          <w:lang w:val="pt-BR"/>
        </w:rPr>
      </w:pPr>
      <w:r w:rsidRPr="006F1918">
        <w:rPr>
          <w:sz w:val="20"/>
          <w:szCs w:val="20"/>
          <w:lang w:val="pt-BR"/>
        </w:rPr>
        <w:t xml:space="preserve">No </w:t>
      </w:r>
      <w:r w:rsidR="00216B97" w:rsidRPr="006F1918">
        <w:rPr>
          <w:sz w:val="20"/>
          <w:szCs w:val="20"/>
          <w:lang w:val="pt-BR"/>
        </w:rPr>
        <w:t xml:space="preserve">presente caso, os </w:t>
      </w:r>
      <w:r w:rsidRPr="006F1918">
        <w:rPr>
          <w:sz w:val="20"/>
          <w:szCs w:val="20"/>
          <w:lang w:val="pt-BR"/>
        </w:rPr>
        <w:t xml:space="preserve">fatos </w:t>
      </w:r>
      <w:r w:rsidR="00216B97" w:rsidRPr="006F1918">
        <w:rPr>
          <w:sz w:val="20"/>
          <w:szCs w:val="20"/>
          <w:lang w:val="pt-BR"/>
        </w:rPr>
        <w:t>alegados p</w:t>
      </w:r>
      <w:r w:rsidRPr="006F1918">
        <w:rPr>
          <w:sz w:val="20"/>
          <w:szCs w:val="20"/>
          <w:lang w:val="pt-BR"/>
        </w:rPr>
        <w:t xml:space="preserve">elos </w:t>
      </w:r>
      <w:r w:rsidR="00891A5F" w:rsidRPr="006F1918">
        <w:rPr>
          <w:sz w:val="20"/>
          <w:szCs w:val="20"/>
          <w:lang w:val="pt-BR"/>
        </w:rPr>
        <w:t>peticionários</w:t>
      </w:r>
      <w:r w:rsidR="008C6385">
        <w:rPr>
          <w:sz w:val="20"/>
          <w:szCs w:val="20"/>
          <w:lang w:val="pt-BR"/>
        </w:rPr>
        <w:t xml:space="preserve"> </w:t>
      </w:r>
      <w:r w:rsidR="00307FD5" w:rsidRPr="006F1918">
        <w:rPr>
          <w:sz w:val="20"/>
          <w:szCs w:val="20"/>
          <w:lang w:val="pt-BR"/>
        </w:rPr>
        <w:t>t</w:t>
      </w:r>
      <w:r w:rsidRPr="006F1918">
        <w:rPr>
          <w:sz w:val="20"/>
          <w:szCs w:val="20"/>
          <w:lang w:val="pt-BR"/>
        </w:rPr>
        <w:t>ê</w:t>
      </w:r>
      <w:r>
        <w:rPr>
          <w:sz w:val="20"/>
          <w:szCs w:val="20"/>
          <w:lang w:val="pt-BR"/>
        </w:rPr>
        <w:t xml:space="preserve">m o mesmo </w:t>
      </w:r>
      <w:r w:rsidR="00216B97" w:rsidRPr="006F1918">
        <w:rPr>
          <w:sz w:val="20"/>
          <w:szCs w:val="20"/>
          <w:lang w:val="pt-BR"/>
        </w:rPr>
        <w:t xml:space="preserve">contexto institucional </w:t>
      </w:r>
      <w:r>
        <w:rPr>
          <w:sz w:val="20"/>
          <w:szCs w:val="20"/>
          <w:lang w:val="pt-BR"/>
        </w:rPr>
        <w:t>e</w:t>
      </w:r>
      <w:r w:rsidR="00216B97" w:rsidRPr="006F1918">
        <w:rPr>
          <w:sz w:val="20"/>
          <w:szCs w:val="20"/>
          <w:lang w:val="pt-BR"/>
        </w:rPr>
        <w:t xml:space="preserve"> fático</w:t>
      </w:r>
      <w:r w:rsidR="008E0A64" w:rsidRPr="006F1918">
        <w:rPr>
          <w:sz w:val="20"/>
          <w:szCs w:val="20"/>
          <w:lang w:val="pt-BR"/>
        </w:rPr>
        <w:t xml:space="preserve">, </w:t>
      </w:r>
      <w:r>
        <w:rPr>
          <w:sz w:val="20"/>
          <w:szCs w:val="20"/>
          <w:lang w:val="pt-BR"/>
        </w:rPr>
        <w:t xml:space="preserve">além de serem fatos ocorridos com as mesmas </w:t>
      </w:r>
      <w:r w:rsidR="00EC0BB7" w:rsidRPr="006F1918">
        <w:rPr>
          <w:sz w:val="20"/>
          <w:szCs w:val="20"/>
          <w:lang w:val="pt-BR"/>
        </w:rPr>
        <w:t>supostas vítimas</w:t>
      </w:r>
      <w:r w:rsidR="00216B97" w:rsidRPr="006F1918">
        <w:rPr>
          <w:sz w:val="20"/>
          <w:szCs w:val="20"/>
          <w:lang w:val="pt-BR"/>
        </w:rPr>
        <w:t>. Seg</w:t>
      </w:r>
      <w:r w:rsidRPr="006F1918">
        <w:rPr>
          <w:sz w:val="20"/>
          <w:szCs w:val="20"/>
          <w:lang w:val="pt-BR"/>
        </w:rPr>
        <w:t>undo informaçõ</w:t>
      </w:r>
      <w:r>
        <w:rPr>
          <w:sz w:val="20"/>
          <w:szCs w:val="20"/>
          <w:lang w:val="pt-BR"/>
        </w:rPr>
        <w:t xml:space="preserve">es prestadas pelas </w:t>
      </w:r>
      <w:r w:rsidR="00307FD5" w:rsidRPr="006F1918">
        <w:rPr>
          <w:sz w:val="20"/>
          <w:szCs w:val="20"/>
          <w:lang w:val="pt-BR"/>
        </w:rPr>
        <w:t>partes</w:t>
      </w:r>
      <w:r w:rsidR="00216B97" w:rsidRPr="006F1918">
        <w:rPr>
          <w:sz w:val="20"/>
          <w:szCs w:val="20"/>
          <w:lang w:val="pt-BR"/>
        </w:rPr>
        <w:t>, a persecu</w:t>
      </w:r>
      <w:r w:rsidR="00B153E7" w:rsidRPr="006F1918">
        <w:rPr>
          <w:sz w:val="20"/>
          <w:szCs w:val="20"/>
          <w:lang w:val="pt-BR"/>
        </w:rPr>
        <w:t>ção</w:t>
      </w:r>
      <w:r w:rsidR="00216B97" w:rsidRPr="006F1918">
        <w:rPr>
          <w:sz w:val="20"/>
          <w:szCs w:val="20"/>
          <w:lang w:val="pt-BR"/>
        </w:rPr>
        <w:t xml:space="preserve"> penal contra as </w:t>
      </w:r>
      <w:r w:rsidR="00EC0BB7" w:rsidRPr="006F1918">
        <w:rPr>
          <w:sz w:val="20"/>
          <w:szCs w:val="20"/>
          <w:lang w:val="pt-BR"/>
        </w:rPr>
        <w:t xml:space="preserve">supostas vítimas </w:t>
      </w:r>
      <w:r>
        <w:rPr>
          <w:sz w:val="20"/>
          <w:szCs w:val="20"/>
          <w:lang w:val="pt-BR"/>
        </w:rPr>
        <w:t xml:space="preserve">teria </w:t>
      </w:r>
      <w:r w:rsidR="00216B97" w:rsidRPr="006F1918">
        <w:rPr>
          <w:sz w:val="20"/>
          <w:szCs w:val="20"/>
          <w:lang w:val="pt-BR"/>
        </w:rPr>
        <w:t>partido de u</w:t>
      </w:r>
      <w:r>
        <w:rPr>
          <w:sz w:val="20"/>
          <w:szCs w:val="20"/>
          <w:lang w:val="pt-BR"/>
        </w:rPr>
        <w:t>m</w:t>
      </w:r>
      <w:r w:rsidR="00216B97" w:rsidRPr="006F1918">
        <w:rPr>
          <w:sz w:val="20"/>
          <w:szCs w:val="20"/>
          <w:lang w:val="pt-BR"/>
        </w:rPr>
        <w:t xml:space="preserve"> </w:t>
      </w:r>
      <w:r>
        <w:rPr>
          <w:sz w:val="20"/>
          <w:szCs w:val="20"/>
          <w:lang w:val="pt-BR"/>
        </w:rPr>
        <w:t>supost</w:t>
      </w:r>
      <w:r w:rsidR="008C6385">
        <w:rPr>
          <w:sz w:val="20"/>
          <w:szCs w:val="20"/>
          <w:lang w:val="pt-BR"/>
        </w:rPr>
        <w:t>o</w:t>
      </w:r>
      <w:r>
        <w:rPr>
          <w:sz w:val="20"/>
          <w:szCs w:val="20"/>
          <w:lang w:val="pt-BR"/>
        </w:rPr>
        <w:t xml:space="preserve"> crime </w:t>
      </w:r>
      <w:r w:rsidR="00216B97" w:rsidRPr="006F1918">
        <w:rPr>
          <w:sz w:val="20"/>
          <w:szCs w:val="20"/>
          <w:lang w:val="pt-BR"/>
        </w:rPr>
        <w:t>de “malversa</w:t>
      </w:r>
      <w:r w:rsidR="00B153E7" w:rsidRPr="006F1918">
        <w:rPr>
          <w:sz w:val="20"/>
          <w:szCs w:val="20"/>
          <w:lang w:val="pt-BR"/>
        </w:rPr>
        <w:t>ção</w:t>
      </w:r>
      <w:r w:rsidR="00216B97" w:rsidRPr="006F1918">
        <w:rPr>
          <w:sz w:val="20"/>
          <w:szCs w:val="20"/>
          <w:lang w:val="pt-BR"/>
        </w:rPr>
        <w:t xml:space="preserve"> </w:t>
      </w:r>
      <w:r w:rsidR="00370328">
        <w:rPr>
          <w:sz w:val="20"/>
          <w:szCs w:val="20"/>
          <w:lang w:val="pt-BR"/>
        </w:rPr>
        <w:t>jurídica</w:t>
      </w:r>
      <w:r w:rsidR="00216B97" w:rsidRPr="006F1918">
        <w:rPr>
          <w:sz w:val="20"/>
          <w:szCs w:val="20"/>
          <w:lang w:val="pt-BR"/>
        </w:rPr>
        <w:t xml:space="preserve">” relacionado </w:t>
      </w:r>
      <w:r>
        <w:rPr>
          <w:sz w:val="20"/>
          <w:szCs w:val="20"/>
          <w:lang w:val="pt-BR"/>
        </w:rPr>
        <w:t xml:space="preserve">ao </w:t>
      </w:r>
      <w:r w:rsidR="00EC0BB7" w:rsidRPr="006F1918">
        <w:rPr>
          <w:sz w:val="20"/>
          <w:szCs w:val="20"/>
          <w:lang w:val="pt-BR"/>
        </w:rPr>
        <w:t>processo</w:t>
      </w:r>
      <w:r w:rsidR="008C6385">
        <w:rPr>
          <w:sz w:val="20"/>
          <w:szCs w:val="20"/>
          <w:lang w:val="pt-BR"/>
        </w:rPr>
        <w:t xml:space="preserve"> </w:t>
      </w:r>
      <w:r w:rsidR="00216B97" w:rsidRPr="006F1918">
        <w:rPr>
          <w:sz w:val="20"/>
          <w:szCs w:val="20"/>
          <w:lang w:val="pt-BR"/>
        </w:rPr>
        <w:t xml:space="preserve">que </w:t>
      </w:r>
      <w:r>
        <w:rPr>
          <w:sz w:val="20"/>
          <w:szCs w:val="20"/>
          <w:lang w:val="pt-BR"/>
        </w:rPr>
        <w:t xml:space="preserve">resultou no </w:t>
      </w:r>
      <w:r w:rsidR="00B153E7" w:rsidRPr="006F1918">
        <w:rPr>
          <w:sz w:val="20"/>
          <w:szCs w:val="20"/>
          <w:lang w:val="pt-BR"/>
        </w:rPr>
        <w:t>direito</w:t>
      </w:r>
      <w:r w:rsidR="008C6385">
        <w:rPr>
          <w:sz w:val="20"/>
          <w:szCs w:val="20"/>
          <w:lang w:val="pt-BR"/>
        </w:rPr>
        <w:t xml:space="preserve"> </w:t>
      </w:r>
      <w:r>
        <w:rPr>
          <w:sz w:val="20"/>
          <w:szCs w:val="20"/>
          <w:lang w:val="pt-BR"/>
        </w:rPr>
        <w:t xml:space="preserve">ao </w:t>
      </w:r>
      <w:r w:rsidR="004D7D64" w:rsidRPr="006F1918">
        <w:rPr>
          <w:sz w:val="20"/>
          <w:szCs w:val="20"/>
          <w:lang w:val="pt-BR"/>
        </w:rPr>
        <w:t>título e</w:t>
      </w:r>
      <w:r>
        <w:rPr>
          <w:sz w:val="20"/>
          <w:szCs w:val="20"/>
          <w:lang w:val="pt-BR"/>
        </w:rPr>
        <w:t>x</w:t>
      </w:r>
      <w:r w:rsidR="004D7D64" w:rsidRPr="006F1918">
        <w:rPr>
          <w:sz w:val="20"/>
          <w:szCs w:val="20"/>
          <w:lang w:val="pt-BR"/>
        </w:rPr>
        <w:t>ecutivo judicial.</w:t>
      </w:r>
      <w:r w:rsidR="00216B97" w:rsidRPr="006F1918">
        <w:rPr>
          <w:sz w:val="20"/>
          <w:szCs w:val="20"/>
          <w:lang w:val="pt-BR"/>
        </w:rPr>
        <w:t xml:space="preserve"> </w:t>
      </w:r>
      <w:r w:rsidR="00216B97" w:rsidRPr="00065548">
        <w:rPr>
          <w:sz w:val="20"/>
          <w:szCs w:val="20"/>
          <w:lang w:val="pt-BR"/>
        </w:rPr>
        <w:t xml:space="preserve">Portanto, a </w:t>
      </w:r>
      <w:r w:rsidR="007C470D" w:rsidRPr="00065548">
        <w:rPr>
          <w:sz w:val="20"/>
          <w:szCs w:val="20"/>
          <w:lang w:val="pt-BR"/>
        </w:rPr>
        <w:t>Comissão</w:t>
      </w:r>
      <w:r w:rsidR="008C6385">
        <w:rPr>
          <w:sz w:val="20"/>
          <w:szCs w:val="20"/>
          <w:lang w:val="pt-BR"/>
        </w:rPr>
        <w:t xml:space="preserve"> </w:t>
      </w:r>
      <w:r w:rsidR="00065548" w:rsidRPr="00065548">
        <w:rPr>
          <w:sz w:val="20"/>
          <w:szCs w:val="20"/>
          <w:lang w:val="pt-BR"/>
        </w:rPr>
        <w:t xml:space="preserve">conclui que a </w:t>
      </w:r>
      <w:r w:rsidR="00216B97" w:rsidRPr="00065548">
        <w:rPr>
          <w:sz w:val="20"/>
          <w:szCs w:val="20"/>
          <w:lang w:val="pt-BR"/>
        </w:rPr>
        <w:t>peti</w:t>
      </w:r>
      <w:r w:rsidR="00B153E7" w:rsidRPr="00065548">
        <w:rPr>
          <w:sz w:val="20"/>
          <w:szCs w:val="20"/>
          <w:lang w:val="pt-BR"/>
        </w:rPr>
        <w:t>ção</w:t>
      </w:r>
      <w:r w:rsidR="00216B97" w:rsidRPr="00065548">
        <w:rPr>
          <w:sz w:val="20"/>
          <w:szCs w:val="20"/>
          <w:lang w:val="pt-BR"/>
        </w:rPr>
        <w:t xml:space="preserve"> </w:t>
      </w:r>
      <w:r w:rsidR="00065548" w:rsidRPr="00065548">
        <w:rPr>
          <w:sz w:val="20"/>
          <w:szCs w:val="20"/>
          <w:lang w:val="pt-BR"/>
        </w:rPr>
        <w:t xml:space="preserve">não expõe </w:t>
      </w:r>
      <w:r w:rsidR="00065548">
        <w:rPr>
          <w:sz w:val="20"/>
          <w:szCs w:val="20"/>
          <w:lang w:val="pt-BR"/>
        </w:rPr>
        <w:t xml:space="preserve">fatos </w:t>
      </w:r>
      <w:r w:rsidR="00216B97" w:rsidRPr="00065548">
        <w:rPr>
          <w:sz w:val="20"/>
          <w:szCs w:val="20"/>
          <w:lang w:val="pt-BR"/>
        </w:rPr>
        <w:t xml:space="preserve">separados, </w:t>
      </w:r>
      <w:r w:rsidR="00065548">
        <w:rPr>
          <w:sz w:val="20"/>
          <w:szCs w:val="20"/>
          <w:lang w:val="pt-BR"/>
        </w:rPr>
        <w:t xml:space="preserve">nem </w:t>
      </w:r>
      <w:r w:rsidR="00216B97" w:rsidRPr="00065548">
        <w:rPr>
          <w:sz w:val="20"/>
          <w:szCs w:val="20"/>
          <w:lang w:val="pt-BR"/>
        </w:rPr>
        <w:t>carece de u</w:t>
      </w:r>
      <w:r w:rsidR="00065548">
        <w:rPr>
          <w:sz w:val="20"/>
          <w:szCs w:val="20"/>
          <w:lang w:val="pt-BR"/>
        </w:rPr>
        <w:t>m</w:t>
      </w:r>
      <w:r w:rsidR="00216B97" w:rsidRPr="00065548">
        <w:rPr>
          <w:sz w:val="20"/>
          <w:szCs w:val="20"/>
          <w:lang w:val="pt-BR"/>
        </w:rPr>
        <w:t xml:space="preserve"> nexo lógico, n</w:t>
      </w:r>
      <w:r w:rsidR="00065548">
        <w:rPr>
          <w:sz w:val="20"/>
          <w:szCs w:val="20"/>
          <w:lang w:val="pt-BR"/>
        </w:rPr>
        <w:t>em</w:t>
      </w:r>
      <w:r w:rsidR="00216B97" w:rsidRPr="00065548">
        <w:rPr>
          <w:sz w:val="20"/>
          <w:szCs w:val="20"/>
          <w:lang w:val="pt-BR"/>
        </w:rPr>
        <w:t xml:space="preserve"> se refere a sup</w:t>
      </w:r>
      <w:r w:rsidR="00065548">
        <w:rPr>
          <w:sz w:val="20"/>
          <w:szCs w:val="20"/>
          <w:lang w:val="pt-BR"/>
        </w:rPr>
        <w:t>o</w:t>
      </w:r>
      <w:r w:rsidR="00216B97" w:rsidRPr="00065548">
        <w:rPr>
          <w:sz w:val="20"/>
          <w:szCs w:val="20"/>
          <w:lang w:val="pt-BR"/>
        </w:rPr>
        <w:t>stas viola</w:t>
      </w:r>
      <w:r w:rsidR="00B153E7" w:rsidRPr="00065548">
        <w:rPr>
          <w:sz w:val="20"/>
          <w:szCs w:val="20"/>
          <w:lang w:val="pt-BR"/>
        </w:rPr>
        <w:t>ções</w:t>
      </w:r>
      <w:r w:rsidR="00216B97" w:rsidRPr="00065548">
        <w:rPr>
          <w:sz w:val="20"/>
          <w:szCs w:val="20"/>
          <w:lang w:val="pt-BR"/>
        </w:rPr>
        <w:t xml:space="preserve"> </w:t>
      </w:r>
      <w:r w:rsidR="000F5FBD">
        <w:rPr>
          <w:sz w:val="20"/>
          <w:szCs w:val="20"/>
          <w:lang w:val="pt-BR"/>
        </w:rPr>
        <w:t>sem conexão</w:t>
      </w:r>
      <w:r w:rsidR="00216B97" w:rsidRPr="00065548">
        <w:rPr>
          <w:sz w:val="20"/>
          <w:szCs w:val="20"/>
          <w:lang w:val="pt-BR"/>
        </w:rPr>
        <w:t xml:space="preserve">, </w:t>
      </w:r>
      <w:r w:rsidR="000F5FBD">
        <w:rPr>
          <w:sz w:val="20"/>
          <w:szCs w:val="20"/>
          <w:lang w:val="pt-BR"/>
        </w:rPr>
        <w:t>razão pela qual rejeita a solicitação de desmembramento</w:t>
      </w:r>
      <w:r w:rsidR="00763B5C" w:rsidRPr="00065548">
        <w:rPr>
          <w:sz w:val="20"/>
          <w:szCs w:val="20"/>
          <w:lang w:val="pt-BR"/>
        </w:rPr>
        <w:t xml:space="preserve">. </w:t>
      </w:r>
      <w:r w:rsidR="00763B5C" w:rsidRPr="000F5FBD">
        <w:rPr>
          <w:sz w:val="20"/>
          <w:szCs w:val="20"/>
          <w:lang w:val="pt-BR"/>
        </w:rPr>
        <w:t xml:space="preserve">Portanto, </w:t>
      </w:r>
      <w:r w:rsidR="000F5FBD" w:rsidRPr="000F5FBD">
        <w:rPr>
          <w:sz w:val="20"/>
          <w:szCs w:val="20"/>
          <w:lang w:val="pt-BR"/>
        </w:rPr>
        <w:t xml:space="preserve">trata-se de </w:t>
      </w:r>
      <w:r w:rsidR="00891A5F" w:rsidRPr="000F5FBD">
        <w:rPr>
          <w:sz w:val="20"/>
          <w:szCs w:val="20"/>
          <w:lang w:val="pt-BR"/>
        </w:rPr>
        <w:t>uma</w:t>
      </w:r>
      <w:r w:rsidR="008C6385">
        <w:rPr>
          <w:sz w:val="20"/>
          <w:szCs w:val="20"/>
          <w:lang w:val="pt-BR"/>
        </w:rPr>
        <w:t xml:space="preserve"> </w:t>
      </w:r>
      <w:r w:rsidR="00763B5C" w:rsidRPr="000F5FBD">
        <w:rPr>
          <w:sz w:val="20"/>
          <w:szCs w:val="20"/>
          <w:lang w:val="pt-BR"/>
        </w:rPr>
        <w:t>m</w:t>
      </w:r>
      <w:r w:rsidR="000F5FBD" w:rsidRPr="000F5FBD">
        <w:rPr>
          <w:sz w:val="20"/>
          <w:szCs w:val="20"/>
          <w:lang w:val="pt-BR"/>
        </w:rPr>
        <w:t>e</w:t>
      </w:r>
      <w:r w:rsidR="00763B5C" w:rsidRPr="000F5FBD">
        <w:rPr>
          <w:sz w:val="20"/>
          <w:szCs w:val="20"/>
          <w:lang w:val="pt-BR"/>
        </w:rPr>
        <w:t>sma peti</w:t>
      </w:r>
      <w:r w:rsidR="00B153E7" w:rsidRPr="000F5FBD">
        <w:rPr>
          <w:sz w:val="20"/>
          <w:szCs w:val="20"/>
          <w:lang w:val="pt-BR"/>
        </w:rPr>
        <w:t>ção</w:t>
      </w:r>
      <w:r w:rsidR="00763B5C" w:rsidRPr="000F5FBD">
        <w:rPr>
          <w:sz w:val="20"/>
          <w:szCs w:val="20"/>
          <w:lang w:val="pt-BR"/>
        </w:rPr>
        <w:t xml:space="preserve"> co</w:t>
      </w:r>
      <w:r w:rsidR="000F5FBD" w:rsidRPr="000F5FBD">
        <w:rPr>
          <w:sz w:val="20"/>
          <w:szCs w:val="20"/>
          <w:lang w:val="pt-BR"/>
        </w:rPr>
        <w:t xml:space="preserve">m </w:t>
      </w:r>
      <w:r w:rsidR="00763B5C" w:rsidRPr="000F5FBD">
        <w:rPr>
          <w:sz w:val="20"/>
          <w:szCs w:val="20"/>
          <w:lang w:val="pt-BR"/>
        </w:rPr>
        <w:t>objeto d</w:t>
      </w:r>
      <w:r w:rsidR="000F5FBD" w:rsidRPr="000F5FBD">
        <w:rPr>
          <w:sz w:val="20"/>
          <w:szCs w:val="20"/>
          <w:lang w:val="pt-BR"/>
        </w:rPr>
        <w:t>uplo</w:t>
      </w:r>
      <w:r w:rsidR="00763B5C" w:rsidRPr="000F5FBD">
        <w:rPr>
          <w:sz w:val="20"/>
          <w:szCs w:val="20"/>
          <w:lang w:val="pt-BR"/>
        </w:rPr>
        <w:t xml:space="preserve">, </w:t>
      </w:r>
      <w:r w:rsidR="000F5FBD" w:rsidRPr="000F5FBD">
        <w:rPr>
          <w:sz w:val="20"/>
          <w:szCs w:val="20"/>
          <w:lang w:val="pt-BR"/>
        </w:rPr>
        <w:t xml:space="preserve">aspectos que serão considerados </w:t>
      </w:r>
      <w:r w:rsidR="000F5FBD">
        <w:rPr>
          <w:sz w:val="20"/>
          <w:szCs w:val="20"/>
          <w:lang w:val="pt-BR"/>
        </w:rPr>
        <w:t>em si mesmos</w:t>
      </w:r>
      <w:r w:rsidR="00E504C6" w:rsidRPr="000F5FBD">
        <w:rPr>
          <w:sz w:val="20"/>
          <w:szCs w:val="20"/>
          <w:lang w:val="pt-BR"/>
        </w:rPr>
        <w:t>.</w:t>
      </w:r>
      <w:r w:rsidR="008C6385">
        <w:rPr>
          <w:sz w:val="20"/>
          <w:szCs w:val="20"/>
          <w:lang w:val="pt-BR"/>
        </w:rPr>
        <w:t xml:space="preserve"> </w:t>
      </w:r>
    </w:p>
    <w:p w14:paraId="623E75FE" w14:textId="32D1720B" w:rsidR="004D7D64" w:rsidRPr="0088647F" w:rsidRDefault="004D7D64" w:rsidP="003E76BF">
      <w:pPr>
        <w:pStyle w:val="ListParagraph"/>
        <w:widowControl w:val="0"/>
        <w:spacing w:before="240" w:after="240"/>
        <w:jc w:val="both"/>
        <w:rPr>
          <w:sz w:val="20"/>
          <w:szCs w:val="20"/>
          <w:lang w:val="pt-BR"/>
        </w:rPr>
      </w:pPr>
      <w:r w:rsidRPr="0088647F">
        <w:rPr>
          <w:b/>
          <w:bCs/>
          <w:color w:val="000000" w:themeColor="text1"/>
          <w:sz w:val="20"/>
          <w:szCs w:val="20"/>
          <w:lang w:val="pt-BR"/>
        </w:rPr>
        <w:t>V</w:t>
      </w:r>
      <w:r w:rsidR="00907E48" w:rsidRPr="0088647F">
        <w:rPr>
          <w:b/>
          <w:bCs/>
          <w:color w:val="000000" w:themeColor="text1"/>
          <w:sz w:val="20"/>
          <w:szCs w:val="20"/>
          <w:lang w:val="pt-BR"/>
        </w:rPr>
        <w:t>I</w:t>
      </w:r>
      <w:r w:rsidRPr="0088647F">
        <w:rPr>
          <w:b/>
          <w:bCs/>
          <w:color w:val="000000" w:themeColor="text1"/>
          <w:sz w:val="20"/>
          <w:szCs w:val="20"/>
          <w:lang w:val="pt-BR"/>
        </w:rPr>
        <w:t>I.</w:t>
      </w:r>
      <w:r w:rsidRPr="0088647F">
        <w:rPr>
          <w:b/>
          <w:bCs/>
          <w:color w:val="000000" w:themeColor="text1"/>
          <w:sz w:val="20"/>
          <w:szCs w:val="20"/>
          <w:lang w:val="pt-BR"/>
        </w:rPr>
        <w:tab/>
      </w:r>
      <w:r w:rsidR="00907E48" w:rsidRPr="0088647F">
        <w:rPr>
          <w:b/>
          <w:bCs/>
          <w:color w:val="000000" w:themeColor="text1"/>
          <w:sz w:val="20"/>
          <w:szCs w:val="20"/>
          <w:lang w:val="pt-BR"/>
        </w:rPr>
        <w:t>ANÁLIS</w:t>
      </w:r>
      <w:r w:rsidR="000F5FBD" w:rsidRPr="0088647F">
        <w:rPr>
          <w:b/>
          <w:bCs/>
          <w:color w:val="000000" w:themeColor="text1"/>
          <w:sz w:val="20"/>
          <w:szCs w:val="20"/>
          <w:lang w:val="pt-BR"/>
        </w:rPr>
        <w:t xml:space="preserve">E DA </w:t>
      </w:r>
      <w:r w:rsidRPr="0088647F">
        <w:rPr>
          <w:b/>
          <w:bCs/>
          <w:color w:val="000000" w:themeColor="text1"/>
          <w:sz w:val="20"/>
          <w:szCs w:val="20"/>
          <w:lang w:val="pt-BR"/>
        </w:rPr>
        <w:t>COMPET</w:t>
      </w:r>
      <w:r w:rsidR="000F5FBD" w:rsidRPr="0088647F">
        <w:rPr>
          <w:b/>
          <w:bCs/>
          <w:color w:val="000000" w:themeColor="text1"/>
          <w:sz w:val="20"/>
          <w:szCs w:val="20"/>
          <w:lang w:val="pt-BR"/>
        </w:rPr>
        <w:t>Ê</w:t>
      </w:r>
      <w:r w:rsidRPr="0088647F">
        <w:rPr>
          <w:b/>
          <w:bCs/>
          <w:color w:val="000000" w:themeColor="text1"/>
          <w:sz w:val="20"/>
          <w:szCs w:val="20"/>
          <w:lang w:val="pt-BR"/>
        </w:rPr>
        <w:t xml:space="preserve">NCIA </w:t>
      </w:r>
      <w:r w:rsidRPr="0088647F">
        <w:rPr>
          <w:b/>
          <w:bCs/>
          <w:i/>
          <w:iCs/>
          <w:color w:val="000000" w:themeColor="text1"/>
          <w:sz w:val="20"/>
          <w:szCs w:val="20"/>
          <w:lang w:val="pt-BR"/>
        </w:rPr>
        <w:t>RATIONE PERSONAE</w:t>
      </w:r>
      <w:r w:rsidR="00907E48" w:rsidRPr="0088647F">
        <w:rPr>
          <w:b/>
          <w:bCs/>
          <w:i/>
          <w:iCs/>
          <w:color w:val="000000" w:themeColor="text1"/>
          <w:sz w:val="20"/>
          <w:szCs w:val="20"/>
          <w:lang w:val="pt-BR"/>
        </w:rPr>
        <w:t xml:space="preserve"> </w:t>
      </w:r>
      <w:r w:rsidR="00907E48" w:rsidRPr="0088647F">
        <w:rPr>
          <w:b/>
          <w:bCs/>
          <w:color w:val="000000" w:themeColor="text1"/>
          <w:sz w:val="20"/>
          <w:szCs w:val="20"/>
          <w:lang w:val="pt-BR"/>
        </w:rPr>
        <w:t>DA CIDH</w:t>
      </w:r>
    </w:p>
    <w:p w14:paraId="7BC19C33" w14:textId="07A65844" w:rsidR="00907E48" w:rsidRPr="0088647F" w:rsidRDefault="00907E48" w:rsidP="00133342">
      <w:pPr>
        <w:pStyle w:val="ListParagraph"/>
        <w:numPr>
          <w:ilvl w:val="0"/>
          <w:numId w:val="59"/>
        </w:numPr>
        <w:spacing w:before="240" w:after="240"/>
        <w:ind w:left="0" w:firstLine="709"/>
        <w:jc w:val="both"/>
        <w:rPr>
          <w:sz w:val="20"/>
          <w:szCs w:val="20"/>
          <w:lang w:val="pt-BR"/>
        </w:rPr>
      </w:pPr>
      <w:r w:rsidRPr="0088647F">
        <w:rPr>
          <w:sz w:val="20"/>
          <w:szCs w:val="20"/>
          <w:lang w:val="pt-BR"/>
        </w:rPr>
        <w:t xml:space="preserve">Como </w:t>
      </w:r>
      <w:r w:rsidR="0088647F" w:rsidRPr="0088647F">
        <w:rPr>
          <w:sz w:val="20"/>
          <w:szCs w:val="20"/>
          <w:lang w:val="pt-BR"/>
        </w:rPr>
        <w:t>prim</w:t>
      </w:r>
      <w:r w:rsidR="0088647F">
        <w:rPr>
          <w:sz w:val="20"/>
          <w:szCs w:val="20"/>
          <w:lang w:val="pt-BR"/>
        </w:rPr>
        <w:t>eiro passo</w:t>
      </w:r>
      <w:r w:rsidRPr="0088647F">
        <w:rPr>
          <w:sz w:val="20"/>
          <w:szCs w:val="20"/>
          <w:lang w:val="pt-BR"/>
        </w:rPr>
        <w:t xml:space="preserve"> lógico</w:t>
      </w:r>
      <w:r w:rsidR="00370328">
        <w:rPr>
          <w:sz w:val="20"/>
          <w:szCs w:val="20"/>
          <w:lang w:val="pt-BR"/>
        </w:rPr>
        <w:t>,</w:t>
      </w:r>
      <w:r w:rsidRPr="0088647F">
        <w:rPr>
          <w:sz w:val="20"/>
          <w:szCs w:val="20"/>
          <w:lang w:val="pt-BR"/>
        </w:rPr>
        <w:t xml:space="preserve"> antes de </w:t>
      </w:r>
      <w:r w:rsidR="0088647F">
        <w:rPr>
          <w:sz w:val="20"/>
          <w:szCs w:val="20"/>
          <w:lang w:val="pt-BR"/>
        </w:rPr>
        <w:t xml:space="preserve">começar </w:t>
      </w:r>
      <w:r w:rsidRPr="0088647F">
        <w:rPr>
          <w:sz w:val="20"/>
          <w:szCs w:val="20"/>
          <w:lang w:val="pt-BR"/>
        </w:rPr>
        <w:t xml:space="preserve">a considerar </w:t>
      </w:r>
      <w:r w:rsidR="0088647F">
        <w:rPr>
          <w:sz w:val="20"/>
          <w:szCs w:val="20"/>
          <w:lang w:val="pt-BR"/>
        </w:rPr>
        <w:t xml:space="preserve">qualquer </w:t>
      </w:r>
      <w:r w:rsidRPr="0088647F">
        <w:rPr>
          <w:sz w:val="20"/>
          <w:szCs w:val="20"/>
          <w:lang w:val="pt-BR"/>
        </w:rPr>
        <w:t>aspecto de admis</w:t>
      </w:r>
      <w:r w:rsidR="0088647F">
        <w:rPr>
          <w:sz w:val="20"/>
          <w:szCs w:val="20"/>
          <w:lang w:val="pt-BR"/>
        </w:rPr>
        <w:t>s</w:t>
      </w:r>
      <w:r w:rsidRPr="0088647F">
        <w:rPr>
          <w:sz w:val="20"/>
          <w:szCs w:val="20"/>
          <w:lang w:val="pt-BR"/>
        </w:rPr>
        <w:t>ibilidad</w:t>
      </w:r>
      <w:r w:rsidR="0088647F">
        <w:rPr>
          <w:sz w:val="20"/>
          <w:szCs w:val="20"/>
          <w:lang w:val="pt-BR"/>
        </w:rPr>
        <w:t>e,</w:t>
      </w:r>
      <w:r w:rsidRPr="0088647F">
        <w:rPr>
          <w:sz w:val="20"/>
          <w:szCs w:val="20"/>
          <w:lang w:val="pt-BR"/>
        </w:rPr>
        <w:t xml:space="preserve"> a </w:t>
      </w:r>
      <w:r w:rsidR="007C470D" w:rsidRPr="0088647F">
        <w:rPr>
          <w:sz w:val="20"/>
          <w:szCs w:val="20"/>
          <w:lang w:val="pt-BR"/>
        </w:rPr>
        <w:t>Comissão</w:t>
      </w:r>
      <w:r w:rsidR="008C6385">
        <w:rPr>
          <w:sz w:val="20"/>
          <w:szCs w:val="20"/>
          <w:lang w:val="pt-BR"/>
        </w:rPr>
        <w:t xml:space="preserve"> </w:t>
      </w:r>
      <w:r w:rsidRPr="0088647F">
        <w:rPr>
          <w:sz w:val="20"/>
          <w:szCs w:val="20"/>
          <w:lang w:val="pt-BR"/>
        </w:rPr>
        <w:t>Interamericana de</w:t>
      </w:r>
      <w:r w:rsidR="0088647F">
        <w:rPr>
          <w:sz w:val="20"/>
          <w:szCs w:val="20"/>
          <w:lang w:val="pt-BR"/>
        </w:rPr>
        <w:t xml:space="preserve">ve-se </w:t>
      </w:r>
      <w:r w:rsidRPr="0088647F">
        <w:rPr>
          <w:sz w:val="20"/>
          <w:szCs w:val="20"/>
          <w:lang w:val="pt-BR"/>
        </w:rPr>
        <w:t>referir a su</w:t>
      </w:r>
      <w:r w:rsidR="0088647F">
        <w:rPr>
          <w:sz w:val="20"/>
          <w:szCs w:val="20"/>
          <w:lang w:val="pt-BR"/>
        </w:rPr>
        <w:t>a</w:t>
      </w:r>
      <w:r w:rsidRPr="0088647F">
        <w:rPr>
          <w:sz w:val="20"/>
          <w:szCs w:val="20"/>
          <w:lang w:val="pt-BR"/>
        </w:rPr>
        <w:t xml:space="preserve"> </w:t>
      </w:r>
      <w:r w:rsidR="00736CD7" w:rsidRPr="0088647F">
        <w:rPr>
          <w:sz w:val="20"/>
          <w:szCs w:val="20"/>
          <w:lang w:val="pt-BR"/>
        </w:rPr>
        <w:t>competência</w:t>
      </w:r>
      <w:r w:rsidR="008C6385">
        <w:rPr>
          <w:sz w:val="20"/>
          <w:szCs w:val="20"/>
          <w:lang w:val="pt-BR"/>
        </w:rPr>
        <w:t xml:space="preserve"> </w:t>
      </w:r>
      <w:r w:rsidRPr="0088647F">
        <w:rPr>
          <w:sz w:val="20"/>
          <w:szCs w:val="20"/>
          <w:lang w:val="pt-BR"/>
        </w:rPr>
        <w:t xml:space="preserve">para </w:t>
      </w:r>
      <w:r w:rsidR="0088647F">
        <w:rPr>
          <w:sz w:val="20"/>
          <w:szCs w:val="20"/>
          <w:lang w:val="pt-BR"/>
        </w:rPr>
        <w:t xml:space="preserve">se pronunciar a respeito do </w:t>
      </w:r>
      <w:r w:rsidRPr="0088647F">
        <w:rPr>
          <w:sz w:val="20"/>
          <w:szCs w:val="20"/>
          <w:lang w:val="pt-BR"/>
        </w:rPr>
        <w:t xml:space="preserve">presente caso. </w:t>
      </w:r>
      <w:r w:rsidR="0088647F" w:rsidRPr="0088647F">
        <w:rPr>
          <w:sz w:val="20"/>
          <w:szCs w:val="20"/>
          <w:lang w:val="pt-BR"/>
        </w:rPr>
        <w:t>Ne</w:t>
      </w:r>
      <w:r w:rsidR="0088647F">
        <w:rPr>
          <w:sz w:val="20"/>
          <w:szCs w:val="20"/>
          <w:lang w:val="pt-BR"/>
        </w:rPr>
        <w:t xml:space="preserve">sse </w:t>
      </w:r>
      <w:r w:rsidRPr="0088647F">
        <w:rPr>
          <w:sz w:val="20"/>
          <w:szCs w:val="20"/>
          <w:lang w:val="pt-BR"/>
        </w:rPr>
        <w:t xml:space="preserve">sentido, </w:t>
      </w:r>
      <w:r w:rsidR="0088647F">
        <w:rPr>
          <w:sz w:val="20"/>
          <w:szCs w:val="20"/>
          <w:lang w:val="pt-BR"/>
        </w:rPr>
        <w:t xml:space="preserve">o ponto de maior controvérsia entre as </w:t>
      </w:r>
      <w:r w:rsidRPr="0088647F">
        <w:rPr>
          <w:sz w:val="20"/>
          <w:szCs w:val="20"/>
          <w:lang w:val="pt-BR"/>
        </w:rPr>
        <w:t xml:space="preserve">partes </w:t>
      </w:r>
      <w:r w:rsidR="0088647F">
        <w:rPr>
          <w:sz w:val="20"/>
          <w:szCs w:val="20"/>
          <w:lang w:val="pt-BR"/>
        </w:rPr>
        <w:t xml:space="preserve">é o </w:t>
      </w:r>
      <w:r w:rsidRPr="0088647F">
        <w:rPr>
          <w:sz w:val="20"/>
          <w:szCs w:val="20"/>
          <w:lang w:val="pt-BR"/>
        </w:rPr>
        <w:t xml:space="preserve">relativo </w:t>
      </w:r>
      <w:r w:rsidR="0088647F">
        <w:rPr>
          <w:sz w:val="20"/>
          <w:szCs w:val="20"/>
          <w:lang w:val="pt-BR"/>
        </w:rPr>
        <w:t xml:space="preserve">à </w:t>
      </w:r>
      <w:r w:rsidR="00736CD7" w:rsidRPr="0088647F">
        <w:rPr>
          <w:sz w:val="20"/>
          <w:szCs w:val="20"/>
          <w:lang w:val="pt-BR"/>
        </w:rPr>
        <w:t>competência</w:t>
      </w:r>
      <w:r w:rsidR="008C6385">
        <w:rPr>
          <w:sz w:val="20"/>
          <w:szCs w:val="20"/>
          <w:lang w:val="pt-BR"/>
        </w:rPr>
        <w:t xml:space="preserve"> </w:t>
      </w:r>
      <w:r w:rsidR="00B153E7" w:rsidRPr="0088647F">
        <w:rPr>
          <w:sz w:val="20"/>
          <w:szCs w:val="20"/>
          <w:lang w:val="pt-BR"/>
        </w:rPr>
        <w:t>pessoal</w:t>
      </w:r>
      <w:r w:rsidR="008C6385">
        <w:rPr>
          <w:sz w:val="20"/>
          <w:szCs w:val="20"/>
          <w:lang w:val="pt-BR"/>
        </w:rPr>
        <w:t xml:space="preserve"> </w:t>
      </w:r>
      <w:r w:rsidR="00B153E7" w:rsidRPr="0088647F">
        <w:rPr>
          <w:sz w:val="20"/>
          <w:szCs w:val="20"/>
          <w:lang w:val="pt-BR"/>
        </w:rPr>
        <w:t xml:space="preserve">da </w:t>
      </w:r>
      <w:r w:rsidR="007C470D" w:rsidRPr="0088647F">
        <w:rPr>
          <w:sz w:val="20"/>
          <w:szCs w:val="20"/>
          <w:lang w:val="pt-BR"/>
        </w:rPr>
        <w:t>Comissão</w:t>
      </w:r>
      <w:r w:rsidR="008C6385">
        <w:rPr>
          <w:sz w:val="20"/>
          <w:szCs w:val="20"/>
          <w:lang w:val="pt-BR"/>
        </w:rPr>
        <w:t xml:space="preserve"> </w:t>
      </w:r>
      <w:r w:rsidR="0088647F">
        <w:rPr>
          <w:sz w:val="20"/>
          <w:szCs w:val="20"/>
          <w:lang w:val="pt-BR"/>
        </w:rPr>
        <w:t xml:space="preserve">quanto às </w:t>
      </w:r>
      <w:r w:rsidRPr="0088647F">
        <w:rPr>
          <w:sz w:val="20"/>
          <w:szCs w:val="20"/>
          <w:lang w:val="pt-BR"/>
        </w:rPr>
        <w:t xml:space="preserve">alegadas </w:t>
      </w:r>
      <w:r w:rsidR="00EC0BB7" w:rsidRPr="0088647F">
        <w:rPr>
          <w:sz w:val="20"/>
          <w:szCs w:val="20"/>
          <w:lang w:val="pt-BR"/>
        </w:rPr>
        <w:t>supostas vítimas</w:t>
      </w:r>
      <w:r w:rsidRPr="0088647F">
        <w:rPr>
          <w:sz w:val="20"/>
          <w:szCs w:val="20"/>
          <w:lang w:val="pt-BR"/>
        </w:rPr>
        <w:t xml:space="preserve">. </w:t>
      </w:r>
      <w:r w:rsidR="006A3667" w:rsidRPr="0088647F">
        <w:rPr>
          <w:sz w:val="20"/>
          <w:szCs w:val="20"/>
          <w:lang w:val="pt-BR"/>
        </w:rPr>
        <w:t xml:space="preserve">Os peticionários </w:t>
      </w:r>
      <w:r w:rsidR="0088647F" w:rsidRPr="0088647F">
        <w:rPr>
          <w:sz w:val="20"/>
          <w:szCs w:val="20"/>
          <w:lang w:val="pt-BR"/>
        </w:rPr>
        <w:t xml:space="preserve">afirmam que as </w:t>
      </w:r>
      <w:r w:rsidRPr="0088647F">
        <w:rPr>
          <w:sz w:val="20"/>
          <w:szCs w:val="20"/>
          <w:lang w:val="pt-BR"/>
        </w:rPr>
        <w:t>vítimas d</w:t>
      </w:r>
      <w:r w:rsidR="0088647F" w:rsidRPr="0088647F">
        <w:rPr>
          <w:sz w:val="20"/>
          <w:szCs w:val="20"/>
          <w:lang w:val="pt-BR"/>
        </w:rPr>
        <w:t>o</w:t>
      </w:r>
      <w:r w:rsidRPr="0088647F">
        <w:rPr>
          <w:sz w:val="20"/>
          <w:szCs w:val="20"/>
          <w:lang w:val="pt-BR"/>
        </w:rPr>
        <w:t xml:space="preserve"> presente caso </w:t>
      </w:r>
      <w:r w:rsidR="0088647F">
        <w:rPr>
          <w:sz w:val="20"/>
          <w:szCs w:val="20"/>
          <w:lang w:val="pt-BR"/>
        </w:rPr>
        <w:t xml:space="preserve">são o Senhor </w:t>
      </w:r>
      <w:r w:rsidRPr="0088647F">
        <w:rPr>
          <w:sz w:val="20"/>
          <w:szCs w:val="20"/>
          <w:lang w:val="pt-BR"/>
        </w:rPr>
        <w:t xml:space="preserve">Wolf Gruenberg </w:t>
      </w:r>
      <w:r w:rsidR="0088647F">
        <w:rPr>
          <w:sz w:val="20"/>
          <w:szCs w:val="20"/>
          <w:lang w:val="pt-BR"/>
        </w:rPr>
        <w:t xml:space="preserve">e a Senhora </w:t>
      </w:r>
      <w:r w:rsidRPr="0088647F">
        <w:rPr>
          <w:sz w:val="20"/>
          <w:szCs w:val="20"/>
          <w:lang w:val="pt-BR"/>
        </w:rPr>
        <w:t xml:space="preserve">Betty G. Gruenberg; </w:t>
      </w:r>
      <w:r w:rsidR="0088647F">
        <w:rPr>
          <w:sz w:val="20"/>
          <w:szCs w:val="20"/>
          <w:lang w:val="pt-BR"/>
        </w:rPr>
        <w:t xml:space="preserve">e o </w:t>
      </w:r>
      <w:r w:rsidRPr="0088647F">
        <w:rPr>
          <w:sz w:val="20"/>
          <w:szCs w:val="20"/>
          <w:lang w:val="pt-BR"/>
        </w:rPr>
        <w:t>Estado, por su</w:t>
      </w:r>
      <w:r w:rsidR="0088647F">
        <w:rPr>
          <w:sz w:val="20"/>
          <w:szCs w:val="20"/>
          <w:lang w:val="pt-BR"/>
        </w:rPr>
        <w:t>a</w:t>
      </w:r>
      <w:r w:rsidRPr="0088647F">
        <w:rPr>
          <w:sz w:val="20"/>
          <w:szCs w:val="20"/>
          <w:lang w:val="pt-BR"/>
        </w:rPr>
        <w:t xml:space="preserve"> </w:t>
      </w:r>
      <w:r w:rsidR="0088647F">
        <w:rPr>
          <w:sz w:val="20"/>
          <w:szCs w:val="20"/>
          <w:lang w:val="pt-BR"/>
        </w:rPr>
        <w:t>vez</w:t>
      </w:r>
      <w:r w:rsidRPr="0088647F">
        <w:rPr>
          <w:sz w:val="20"/>
          <w:szCs w:val="20"/>
          <w:lang w:val="pt-BR"/>
        </w:rPr>
        <w:t xml:space="preserve">, alega que, </w:t>
      </w:r>
      <w:r w:rsidR="0088647F">
        <w:rPr>
          <w:sz w:val="20"/>
          <w:szCs w:val="20"/>
          <w:lang w:val="pt-BR"/>
        </w:rPr>
        <w:t>na realidade</w:t>
      </w:r>
      <w:r w:rsidRPr="0088647F">
        <w:rPr>
          <w:sz w:val="20"/>
          <w:szCs w:val="20"/>
          <w:lang w:val="pt-BR"/>
        </w:rPr>
        <w:t xml:space="preserve">, os recursos internos referentes aos </w:t>
      </w:r>
      <w:r w:rsidRPr="0088647F">
        <w:rPr>
          <w:i/>
          <w:iCs/>
          <w:sz w:val="20"/>
          <w:szCs w:val="20"/>
          <w:lang w:val="pt-BR"/>
        </w:rPr>
        <w:t>precatórios</w:t>
      </w:r>
      <w:r w:rsidRPr="0088647F">
        <w:rPr>
          <w:sz w:val="20"/>
          <w:szCs w:val="20"/>
          <w:lang w:val="pt-BR"/>
        </w:rPr>
        <w:t xml:space="preserve"> f</w:t>
      </w:r>
      <w:r w:rsidR="0088647F">
        <w:rPr>
          <w:sz w:val="20"/>
          <w:szCs w:val="20"/>
          <w:lang w:val="pt-BR"/>
        </w:rPr>
        <w:t xml:space="preserve">oram acionados </w:t>
      </w:r>
      <w:r w:rsidRPr="0088647F">
        <w:rPr>
          <w:sz w:val="20"/>
          <w:szCs w:val="20"/>
          <w:lang w:val="pt-BR"/>
        </w:rPr>
        <w:t xml:space="preserve">para proteger </w:t>
      </w:r>
      <w:r w:rsidR="00B153E7" w:rsidRPr="0088647F">
        <w:rPr>
          <w:sz w:val="20"/>
          <w:szCs w:val="20"/>
          <w:lang w:val="pt-BR"/>
        </w:rPr>
        <w:t>direitos</w:t>
      </w:r>
      <w:r w:rsidR="008C6385">
        <w:rPr>
          <w:sz w:val="20"/>
          <w:szCs w:val="20"/>
          <w:lang w:val="pt-BR"/>
        </w:rPr>
        <w:t xml:space="preserve"> </w:t>
      </w:r>
      <w:r w:rsidRPr="0088647F">
        <w:rPr>
          <w:sz w:val="20"/>
          <w:szCs w:val="20"/>
          <w:lang w:val="pt-BR"/>
        </w:rPr>
        <w:t xml:space="preserve">de </w:t>
      </w:r>
      <w:r w:rsidR="00736CD7" w:rsidRPr="0088647F">
        <w:rPr>
          <w:sz w:val="20"/>
          <w:szCs w:val="20"/>
          <w:lang w:val="pt-BR"/>
        </w:rPr>
        <w:t>pessoas</w:t>
      </w:r>
      <w:r w:rsidR="008C6385">
        <w:rPr>
          <w:sz w:val="20"/>
          <w:szCs w:val="20"/>
          <w:lang w:val="pt-BR"/>
        </w:rPr>
        <w:t xml:space="preserve"> </w:t>
      </w:r>
      <w:r w:rsidRPr="0088647F">
        <w:rPr>
          <w:sz w:val="20"/>
          <w:szCs w:val="20"/>
          <w:lang w:val="pt-BR"/>
        </w:rPr>
        <w:t xml:space="preserve">jurídicas de </w:t>
      </w:r>
      <w:r w:rsidR="00B153E7" w:rsidRPr="0088647F">
        <w:rPr>
          <w:sz w:val="20"/>
          <w:szCs w:val="20"/>
          <w:lang w:val="pt-BR"/>
        </w:rPr>
        <w:t>direito</w:t>
      </w:r>
      <w:r w:rsidR="008C6385">
        <w:rPr>
          <w:sz w:val="20"/>
          <w:szCs w:val="20"/>
          <w:lang w:val="pt-BR"/>
        </w:rPr>
        <w:t xml:space="preserve"> </w:t>
      </w:r>
      <w:r w:rsidRPr="0088647F">
        <w:rPr>
          <w:sz w:val="20"/>
          <w:szCs w:val="20"/>
          <w:lang w:val="pt-BR"/>
        </w:rPr>
        <w:t xml:space="preserve">mercantil, as </w:t>
      </w:r>
      <w:r w:rsidR="0088647F">
        <w:rPr>
          <w:sz w:val="20"/>
          <w:szCs w:val="20"/>
          <w:lang w:val="pt-BR"/>
        </w:rPr>
        <w:t>q</w:t>
      </w:r>
      <w:r w:rsidRPr="0088647F">
        <w:rPr>
          <w:sz w:val="20"/>
          <w:szCs w:val="20"/>
          <w:lang w:val="pt-BR"/>
        </w:rPr>
        <w:t>u</w:t>
      </w:r>
      <w:r w:rsidR="00B153E7" w:rsidRPr="0088647F">
        <w:rPr>
          <w:sz w:val="20"/>
          <w:szCs w:val="20"/>
          <w:lang w:val="pt-BR"/>
        </w:rPr>
        <w:t>ais</w:t>
      </w:r>
      <w:r w:rsidR="0088647F">
        <w:rPr>
          <w:sz w:val="20"/>
          <w:szCs w:val="20"/>
          <w:lang w:val="pt-BR"/>
        </w:rPr>
        <w:t xml:space="preserve">, ao gozar </w:t>
      </w:r>
      <w:r w:rsidRPr="0088647F">
        <w:rPr>
          <w:sz w:val="20"/>
          <w:szCs w:val="20"/>
          <w:lang w:val="pt-BR"/>
        </w:rPr>
        <w:t>de capacidad</w:t>
      </w:r>
      <w:r w:rsidR="0088647F">
        <w:rPr>
          <w:sz w:val="20"/>
          <w:szCs w:val="20"/>
          <w:lang w:val="pt-BR"/>
        </w:rPr>
        <w:t>e</w:t>
      </w:r>
      <w:r w:rsidRPr="0088647F">
        <w:rPr>
          <w:sz w:val="20"/>
          <w:szCs w:val="20"/>
          <w:lang w:val="pt-BR"/>
        </w:rPr>
        <w:t xml:space="preserve"> jurídica </w:t>
      </w:r>
      <w:r w:rsidR="0088647F">
        <w:rPr>
          <w:sz w:val="20"/>
          <w:szCs w:val="20"/>
          <w:lang w:val="pt-BR"/>
        </w:rPr>
        <w:t xml:space="preserve">própria, reclamaram perante os </w:t>
      </w:r>
      <w:r w:rsidRPr="0088647F">
        <w:rPr>
          <w:sz w:val="20"/>
          <w:szCs w:val="20"/>
          <w:lang w:val="pt-BR"/>
        </w:rPr>
        <w:t>tribun</w:t>
      </w:r>
      <w:r w:rsidR="00B153E7" w:rsidRPr="0088647F">
        <w:rPr>
          <w:sz w:val="20"/>
          <w:szCs w:val="20"/>
          <w:lang w:val="pt-BR"/>
        </w:rPr>
        <w:t>ais</w:t>
      </w:r>
      <w:r w:rsidR="008C6385">
        <w:rPr>
          <w:sz w:val="20"/>
          <w:szCs w:val="20"/>
          <w:lang w:val="pt-BR"/>
        </w:rPr>
        <w:t xml:space="preserve"> </w:t>
      </w:r>
      <w:r w:rsidRPr="0088647F">
        <w:rPr>
          <w:sz w:val="20"/>
          <w:szCs w:val="20"/>
          <w:lang w:val="pt-BR"/>
        </w:rPr>
        <w:t xml:space="preserve">internos </w:t>
      </w:r>
      <w:r w:rsidR="0088647F">
        <w:rPr>
          <w:sz w:val="20"/>
          <w:szCs w:val="20"/>
          <w:lang w:val="pt-BR"/>
        </w:rPr>
        <w:t xml:space="preserve">o dano a direitos dos quais seriam elas </w:t>
      </w:r>
      <w:r w:rsidRPr="0088647F">
        <w:rPr>
          <w:sz w:val="20"/>
          <w:szCs w:val="20"/>
          <w:lang w:val="pt-BR"/>
        </w:rPr>
        <w:t>titulares.</w:t>
      </w:r>
    </w:p>
    <w:p w14:paraId="643A3625" w14:textId="022FC19D" w:rsidR="00907E48" w:rsidRPr="0088647F" w:rsidRDefault="00907E48" w:rsidP="00907E48">
      <w:pPr>
        <w:pStyle w:val="ListParagraph"/>
        <w:numPr>
          <w:ilvl w:val="0"/>
          <w:numId w:val="59"/>
        </w:numPr>
        <w:spacing w:before="240" w:after="240"/>
        <w:ind w:left="0" w:firstLine="709"/>
        <w:jc w:val="both"/>
        <w:rPr>
          <w:sz w:val="20"/>
          <w:szCs w:val="20"/>
          <w:lang w:val="pt-BR"/>
        </w:rPr>
      </w:pPr>
      <w:r w:rsidRPr="0088647F">
        <w:rPr>
          <w:sz w:val="20"/>
          <w:szCs w:val="20"/>
          <w:lang w:val="pt-BR"/>
        </w:rPr>
        <w:t>A es</w:t>
      </w:r>
      <w:r w:rsidR="0088647F">
        <w:rPr>
          <w:sz w:val="20"/>
          <w:szCs w:val="20"/>
          <w:lang w:val="pt-BR"/>
        </w:rPr>
        <w:t>s</w:t>
      </w:r>
      <w:r w:rsidRPr="0088647F">
        <w:rPr>
          <w:sz w:val="20"/>
          <w:szCs w:val="20"/>
          <w:lang w:val="pt-BR"/>
        </w:rPr>
        <w:t xml:space="preserve">e </w:t>
      </w:r>
      <w:r w:rsidR="0088647F" w:rsidRPr="0088647F">
        <w:rPr>
          <w:sz w:val="20"/>
          <w:szCs w:val="20"/>
          <w:lang w:val="pt-BR"/>
        </w:rPr>
        <w:t>re</w:t>
      </w:r>
      <w:r w:rsidR="0088647F">
        <w:rPr>
          <w:sz w:val="20"/>
          <w:szCs w:val="20"/>
          <w:lang w:val="pt-BR"/>
        </w:rPr>
        <w:t>speito</w:t>
      </w:r>
      <w:r w:rsidRPr="0088647F">
        <w:rPr>
          <w:sz w:val="20"/>
          <w:szCs w:val="20"/>
          <w:lang w:val="pt-BR"/>
        </w:rPr>
        <w:t xml:space="preserve">, a </w:t>
      </w:r>
      <w:r w:rsidR="007C470D" w:rsidRPr="0088647F">
        <w:rPr>
          <w:sz w:val="20"/>
          <w:szCs w:val="20"/>
          <w:lang w:val="pt-BR"/>
        </w:rPr>
        <w:t>Comissão</w:t>
      </w:r>
      <w:r w:rsidR="008C6385">
        <w:rPr>
          <w:sz w:val="20"/>
          <w:szCs w:val="20"/>
          <w:lang w:val="pt-BR"/>
        </w:rPr>
        <w:t xml:space="preserve"> </w:t>
      </w:r>
      <w:r w:rsidRPr="0088647F">
        <w:rPr>
          <w:sz w:val="20"/>
          <w:szCs w:val="20"/>
          <w:lang w:val="pt-BR"/>
        </w:rPr>
        <w:t xml:space="preserve">Interamericana destaca que </w:t>
      </w:r>
      <w:r w:rsidR="0088647F">
        <w:rPr>
          <w:sz w:val="20"/>
          <w:szCs w:val="20"/>
          <w:lang w:val="pt-BR"/>
        </w:rPr>
        <w:t xml:space="preserve">o artigo </w:t>
      </w:r>
      <w:r w:rsidRPr="0088647F">
        <w:rPr>
          <w:sz w:val="20"/>
          <w:szCs w:val="20"/>
          <w:lang w:val="pt-BR"/>
        </w:rPr>
        <w:t xml:space="preserve">1.2 </w:t>
      </w:r>
      <w:r w:rsidR="00B153E7" w:rsidRPr="0088647F">
        <w:rPr>
          <w:sz w:val="20"/>
          <w:szCs w:val="20"/>
          <w:lang w:val="pt-BR"/>
        </w:rPr>
        <w:t xml:space="preserve">da </w:t>
      </w:r>
      <w:r w:rsidRPr="0088647F">
        <w:rPr>
          <w:sz w:val="20"/>
          <w:szCs w:val="20"/>
          <w:lang w:val="pt-BR"/>
        </w:rPr>
        <w:t>Conven</w:t>
      </w:r>
      <w:r w:rsidR="00B153E7" w:rsidRPr="0088647F">
        <w:rPr>
          <w:sz w:val="20"/>
          <w:szCs w:val="20"/>
          <w:lang w:val="pt-BR"/>
        </w:rPr>
        <w:t>ção</w:t>
      </w:r>
      <w:r w:rsidRPr="0088647F">
        <w:rPr>
          <w:sz w:val="20"/>
          <w:szCs w:val="20"/>
          <w:lang w:val="pt-BR"/>
        </w:rPr>
        <w:t xml:space="preserve"> Americana estab</w:t>
      </w:r>
      <w:r w:rsidR="0088647F">
        <w:rPr>
          <w:sz w:val="20"/>
          <w:szCs w:val="20"/>
          <w:lang w:val="pt-BR"/>
        </w:rPr>
        <w:t>e</w:t>
      </w:r>
      <w:r w:rsidRPr="0088647F">
        <w:rPr>
          <w:sz w:val="20"/>
          <w:szCs w:val="20"/>
          <w:lang w:val="pt-BR"/>
        </w:rPr>
        <w:t>lece claramente: “</w:t>
      </w:r>
      <w:r w:rsidRPr="0088647F">
        <w:rPr>
          <w:i/>
          <w:iCs/>
          <w:sz w:val="20"/>
          <w:szCs w:val="20"/>
          <w:lang w:val="pt-BR"/>
        </w:rPr>
        <w:t xml:space="preserve">Para os </w:t>
      </w:r>
      <w:r w:rsidR="0088647F">
        <w:rPr>
          <w:i/>
          <w:iCs/>
          <w:sz w:val="20"/>
          <w:szCs w:val="20"/>
          <w:lang w:val="pt-BR"/>
        </w:rPr>
        <w:t>efeitos d</w:t>
      </w:r>
      <w:r w:rsidRPr="0088647F">
        <w:rPr>
          <w:i/>
          <w:iCs/>
          <w:sz w:val="20"/>
          <w:szCs w:val="20"/>
          <w:lang w:val="pt-BR"/>
        </w:rPr>
        <w:t>esta Conven</w:t>
      </w:r>
      <w:r w:rsidR="00B153E7" w:rsidRPr="0088647F">
        <w:rPr>
          <w:i/>
          <w:iCs/>
          <w:sz w:val="20"/>
          <w:szCs w:val="20"/>
          <w:lang w:val="pt-BR"/>
        </w:rPr>
        <w:t>ção</w:t>
      </w:r>
      <w:r w:rsidRPr="0088647F">
        <w:rPr>
          <w:i/>
          <w:iCs/>
          <w:sz w:val="20"/>
          <w:szCs w:val="20"/>
          <w:lang w:val="pt-BR"/>
        </w:rPr>
        <w:t xml:space="preserve">, </w:t>
      </w:r>
      <w:r w:rsidR="0088647F">
        <w:rPr>
          <w:i/>
          <w:iCs/>
          <w:sz w:val="20"/>
          <w:szCs w:val="20"/>
          <w:lang w:val="pt-BR"/>
        </w:rPr>
        <w:t>pessoa é</w:t>
      </w:r>
      <w:r w:rsidRPr="0088647F">
        <w:rPr>
          <w:i/>
          <w:iCs/>
          <w:sz w:val="20"/>
          <w:szCs w:val="20"/>
          <w:lang w:val="pt-BR"/>
        </w:rPr>
        <w:t xml:space="preserve"> todo ser humano</w:t>
      </w:r>
      <w:r w:rsidRPr="0088647F">
        <w:rPr>
          <w:sz w:val="20"/>
          <w:szCs w:val="20"/>
          <w:lang w:val="pt-BR"/>
        </w:rPr>
        <w:t>”. Es</w:t>
      </w:r>
      <w:r w:rsidR="0088647F" w:rsidRPr="0088647F">
        <w:rPr>
          <w:sz w:val="20"/>
          <w:szCs w:val="20"/>
          <w:lang w:val="pt-BR"/>
        </w:rPr>
        <w:t>s</w:t>
      </w:r>
      <w:r w:rsidRPr="0088647F">
        <w:rPr>
          <w:sz w:val="20"/>
          <w:szCs w:val="20"/>
          <w:lang w:val="pt-BR"/>
        </w:rPr>
        <w:t>a disposi</w:t>
      </w:r>
      <w:r w:rsidR="00B153E7" w:rsidRPr="0088647F">
        <w:rPr>
          <w:sz w:val="20"/>
          <w:szCs w:val="20"/>
          <w:lang w:val="pt-BR"/>
        </w:rPr>
        <w:t>ção</w:t>
      </w:r>
      <w:r w:rsidRPr="0088647F">
        <w:rPr>
          <w:sz w:val="20"/>
          <w:szCs w:val="20"/>
          <w:lang w:val="pt-BR"/>
        </w:rPr>
        <w:t xml:space="preserve"> </w:t>
      </w:r>
      <w:r w:rsidR="0088647F" w:rsidRPr="0088647F">
        <w:rPr>
          <w:sz w:val="20"/>
          <w:szCs w:val="20"/>
          <w:lang w:val="pt-BR"/>
        </w:rPr>
        <w:t>é</w:t>
      </w:r>
      <w:r w:rsidRPr="0088647F">
        <w:rPr>
          <w:sz w:val="20"/>
          <w:szCs w:val="20"/>
          <w:lang w:val="pt-BR"/>
        </w:rPr>
        <w:t xml:space="preserve"> congruente </w:t>
      </w:r>
      <w:r w:rsidR="0088647F" w:rsidRPr="0088647F">
        <w:rPr>
          <w:sz w:val="20"/>
          <w:szCs w:val="20"/>
          <w:lang w:val="pt-BR"/>
        </w:rPr>
        <w:t xml:space="preserve">com </w:t>
      </w:r>
      <w:r w:rsidR="0088647F">
        <w:rPr>
          <w:sz w:val="20"/>
          <w:szCs w:val="20"/>
          <w:lang w:val="pt-BR"/>
        </w:rPr>
        <w:t xml:space="preserve">o </w:t>
      </w:r>
      <w:r w:rsidRPr="0088647F">
        <w:rPr>
          <w:sz w:val="20"/>
          <w:szCs w:val="20"/>
          <w:lang w:val="pt-BR"/>
        </w:rPr>
        <w:t xml:space="preserve">objeto </w:t>
      </w:r>
      <w:r w:rsidR="0088647F">
        <w:rPr>
          <w:sz w:val="20"/>
          <w:szCs w:val="20"/>
          <w:lang w:val="pt-BR"/>
        </w:rPr>
        <w:t xml:space="preserve">e fim </w:t>
      </w:r>
      <w:r w:rsidR="00B153E7" w:rsidRPr="0088647F">
        <w:rPr>
          <w:sz w:val="20"/>
          <w:szCs w:val="20"/>
          <w:lang w:val="pt-BR"/>
        </w:rPr>
        <w:t xml:space="preserve">da </w:t>
      </w:r>
      <w:r w:rsidRPr="0088647F">
        <w:rPr>
          <w:sz w:val="20"/>
          <w:szCs w:val="20"/>
          <w:lang w:val="pt-BR"/>
        </w:rPr>
        <w:t>Conven</w:t>
      </w:r>
      <w:r w:rsidR="00B153E7" w:rsidRPr="0088647F">
        <w:rPr>
          <w:sz w:val="20"/>
          <w:szCs w:val="20"/>
          <w:lang w:val="pt-BR"/>
        </w:rPr>
        <w:t>ção</w:t>
      </w:r>
      <w:r w:rsidRPr="0088647F">
        <w:rPr>
          <w:sz w:val="20"/>
          <w:szCs w:val="20"/>
          <w:lang w:val="pt-BR"/>
        </w:rPr>
        <w:t xml:space="preserve"> Americana definidos expre</w:t>
      </w:r>
      <w:r w:rsidR="0088647F">
        <w:rPr>
          <w:sz w:val="20"/>
          <w:szCs w:val="20"/>
          <w:lang w:val="pt-BR"/>
        </w:rPr>
        <w:t>s</w:t>
      </w:r>
      <w:r w:rsidRPr="0088647F">
        <w:rPr>
          <w:sz w:val="20"/>
          <w:szCs w:val="20"/>
          <w:lang w:val="pt-BR"/>
        </w:rPr>
        <w:t xml:space="preserve">samente </w:t>
      </w:r>
      <w:r w:rsidR="0088647F">
        <w:rPr>
          <w:sz w:val="20"/>
          <w:szCs w:val="20"/>
          <w:lang w:val="pt-BR"/>
        </w:rPr>
        <w:t>no p</w:t>
      </w:r>
      <w:r w:rsidRPr="0088647F">
        <w:rPr>
          <w:sz w:val="20"/>
          <w:szCs w:val="20"/>
          <w:lang w:val="pt-BR"/>
        </w:rPr>
        <w:t>re</w:t>
      </w:r>
      <w:r w:rsidR="0088647F">
        <w:rPr>
          <w:sz w:val="20"/>
          <w:szCs w:val="20"/>
          <w:lang w:val="pt-BR"/>
        </w:rPr>
        <w:t>â</w:t>
      </w:r>
      <w:r w:rsidRPr="0088647F">
        <w:rPr>
          <w:sz w:val="20"/>
          <w:szCs w:val="20"/>
          <w:lang w:val="pt-BR"/>
        </w:rPr>
        <w:t>mbulo d</w:t>
      </w:r>
      <w:r w:rsidR="0088647F">
        <w:rPr>
          <w:sz w:val="20"/>
          <w:szCs w:val="20"/>
          <w:lang w:val="pt-BR"/>
        </w:rPr>
        <w:t xml:space="preserve">o referido </w:t>
      </w:r>
      <w:r w:rsidRPr="0088647F">
        <w:rPr>
          <w:sz w:val="20"/>
          <w:szCs w:val="20"/>
          <w:lang w:val="pt-BR"/>
        </w:rPr>
        <w:t xml:space="preserve">tratado, </w:t>
      </w:r>
      <w:r w:rsidR="0088647F">
        <w:rPr>
          <w:sz w:val="20"/>
          <w:szCs w:val="20"/>
          <w:lang w:val="pt-BR"/>
        </w:rPr>
        <w:t xml:space="preserve">o qual se refere de </w:t>
      </w:r>
      <w:r w:rsidR="006A3667" w:rsidRPr="0088647F">
        <w:rPr>
          <w:sz w:val="20"/>
          <w:szCs w:val="20"/>
          <w:lang w:val="pt-BR"/>
        </w:rPr>
        <w:t>maneira</w:t>
      </w:r>
      <w:r w:rsidR="008C6385">
        <w:rPr>
          <w:sz w:val="20"/>
          <w:szCs w:val="20"/>
          <w:lang w:val="pt-BR"/>
        </w:rPr>
        <w:t xml:space="preserve"> </w:t>
      </w:r>
      <w:r w:rsidRPr="0088647F">
        <w:rPr>
          <w:sz w:val="20"/>
          <w:szCs w:val="20"/>
          <w:lang w:val="pt-BR"/>
        </w:rPr>
        <w:t>enfática a conce</w:t>
      </w:r>
      <w:r w:rsidR="0088647F">
        <w:rPr>
          <w:sz w:val="20"/>
          <w:szCs w:val="20"/>
          <w:lang w:val="pt-BR"/>
        </w:rPr>
        <w:t>i</w:t>
      </w:r>
      <w:r w:rsidRPr="0088647F">
        <w:rPr>
          <w:sz w:val="20"/>
          <w:szCs w:val="20"/>
          <w:lang w:val="pt-BR"/>
        </w:rPr>
        <w:t>tos como “</w:t>
      </w:r>
      <w:r w:rsidRPr="0088647F">
        <w:rPr>
          <w:i/>
          <w:iCs/>
          <w:sz w:val="20"/>
          <w:szCs w:val="20"/>
          <w:lang w:val="pt-BR"/>
        </w:rPr>
        <w:t xml:space="preserve">os </w:t>
      </w:r>
      <w:r w:rsidR="00B153E7" w:rsidRPr="0088647F">
        <w:rPr>
          <w:i/>
          <w:iCs/>
          <w:sz w:val="20"/>
          <w:szCs w:val="20"/>
          <w:lang w:val="pt-BR"/>
        </w:rPr>
        <w:t>direitos</w:t>
      </w:r>
      <w:r w:rsidR="008C6385">
        <w:rPr>
          <w:i/>
          <w:iCs/>
          <w:sz w:val="20"/>
          <w:szCs w:val="20"/>
          <w:lang w:val="pt-BR"/>
        </w:rPr>
        <w:t xml:space="preserve"> </w:t>
      </w:r>
      <w:r w:rsidRPr="0088647F">
        <w:rPr>
          <w:i/>
          <w:iCs/>
          <w:sz w:val="20"/>
          <w:szCs w:val="20"/>
          <w:lang w:val="pt-BR"/>
        </w:rPr>
        <w:t>e</w:t>
      </w:r>
      <w:r w:rsidR="0088647F">
        <w:rPr>
          <w:i/>
          <w:iCs/>
          <w:sz w:val="20"/>
          <w:szCs w:val="20"/>
          <w:lang w:val="pt-BR"/>
        </w:rPr>
        <w:t>s</w:t>
      </w:r>
      <w:r w:rsidRPr="0088647F">
        <w:rPr>
          <w:i/>
          <w:iCs/>
          <w:sz w:val="20"/>
          <w:szCs w:val="20"/>
          <w:lang w:val="pt-BR"/>
        </w:rPr>
        <w:t>senci</w:t>
      </w:r>
      <w:r w:rsidR="00B153E7" w:rsidRPr="0088647F">
        <w:rPr>
          <w:i/>
          <w:iCs/>
          <w:sz w:val="20"/>
          <w:szCs w:val="20"/>
          <w:lang w:val="pt-BR"/>
        </w:rPr>
        <w:t>ais</w:t>
      </w:r>
      <w:r w:rsidR="008C6385">
        <w:rPr>
          <w:i/>
          <w:iCs/>
          <w:sz w:val="20"/>
          <w:szCs w:val="20"/>
          <w:lang w:val="pt-BR"/>
        </w:rPr>
        <w:t xml:space="preserve"> </w:t>
      </w:r>
      <w:r w:rsidRPr="0088647F">
        <w:rPr>
          <w:i/>
          <w:iCs/>
          <w:sz w:val="20"/>
          <w:szCs w:val="20"/>
          <w:lang w:val="pt-BR"/>
        </w:rPr>
        <w:t>d</w:t>
      </w:r>
      <w:r w:rsidR="0088647F">
        <w:rPr>
          <w:i/>
          <w:iCs/>
          <w:sz w:val="20"/>
          <w:szCs w:val="20"/>
          <w:lang w:val="pt-BR"/>
        </w:rPr>
        <w:t>o homem</w:t>
      </w:r>
      <w:r w:rsidRPr="0088647F">
        <w:rPr>
          <w:sz w:val="20"/>
          <w:szCs w:val="20"/>
          <w:lang w:val="pt-BR"/>
        </w:rPr>
        <w:t>”, “</w:t>
      </w:r>
      <w:r w:rsidRPr="0088647F">
        <w:rPr>
          <w:i/>
          <w:iCs/>
          <w:sz w:val="20"/>
          <w:szCs w:val="20"/>
          <w:lang w:val="pt-BR"/>
        </w:rPr>
        <w:t xml:space="preserve">os atributos </w:t>
      </w:r>
      <w:r w:rsidR="00B153E7" w:rsidRPr="0088647F">
        <w:rPr>
          <w:i/>
          <w:iCs/>
          <w:sz w:val="20"/>
          <w:szCs w:val="20"/>
          <w:lang w:val="pt-BR"/>
        </w:rPr>
        <w:t xml:space="preserve">da </w:t>
      </w:r>
      <w:r w:rsidR="0088647F">
        <w:rPr>
          <w:i/>
          <w:iCs/>
          <w:sz w:val="20"/>
          <w:szCs w:val="20"/>
          <w:lang w:val="pt-BR"/>
        </w:rPr>
        <w:t xml:space="preserve">pessoa </w:t>
      </w:r>
      <w:r w:rsidRPr="0088647F">
        <w:rPr>
          <w:i/>
          <w:iCs/>
          <w:sz w:val="20"/>
          <w:szCs w:val="20"/>
          <w:lang w:val="pt-BR"/>
        </w:rPr>
        <w:t>humana</w:t>
      </w:r>
      <w:r w:rsidRPr="0088647F">
        <w:rPr>
          <w:sz w:val="20"/>
          <w:szCs w:val="20"/>
          <w:lang w:val="pt-BR"/>
        </w:rPr>
        <w:t xml:space="preserve">” </w:t>
      </w:r>
      <w:r w:rsidR="0088647F">
        <w:rPr>
          <w:sz w:val="20"/>
          <w:szCs w:val="20"/>
          <w:lang w:val="pt-BR"/>
        </w:rPr>
        <w:t xml:space="preserve">e o </w:t>
      </w:r>
      <w:r w:rsidRPr="0088647F">
        <w:rPr>
          <w:sz w:val="20"/>
          <w:szCs w:val="20"/>
          <w:lang w:val="pt-BR"/>
        </w:rPr>
        <w:t>“</w:t>
      </w:r>
      <w:r w:rsidRPr="0088647F">
        <w:rPr>
          <w:i/>
          <w:iCs/>
          <w:sz w:val="20"/>
          <w:szCs w:val="20"/>
          <w:lang w:val="pt-BR"/>
        </w:rPr>
        <w:t>ideal d</w:t>
      </w:r>
      <w:r w:rsidR="0088647F">
        <w:rPr>
          <w:i/>
          <w:iCs/>
          <w:sz w:val="20"/>
          <w:szCs w:val="20"/>
          <w:lang w:val="pt-BR"/>
        </w:rPr>
        <w:t>o</w:t>
      </w:r>
      <w:r w:rsidRPr="0088647F">
        <w:rPr>
          <w:i/>
          <w:iCs/>
          <w:sz w:val="20"/>
          <w:szCs w:val="20"/>
          <w:lang w:val="pt-BR"/>
        </w:rPr>
        <w:t xml:space="preserve"> ser humano</w:t>
      </w:r>
      <w:r w:rsidRPr="0088647F">
        <w:rPr>
          <w:sz w:val="20"/>
          <w:szCs w:val="20"/>
          <w:lang w:val="pt-BR"/>
        </w:rPr>
        <w:t>”</w:t>
      </w:r>
      <w:r w:rsidR="0088647F">
        <w:rPr>
          <w:sz w:val="20"/>
          <w:szCs w:val="20"/>
          <w:lang w:val="pt-BR"/>
        </w:rPr>
        <w:t xml:space="preserve">, enfoque que é coerente ao longo de todo o </w:t>
      </w:r>
      <w:r w:rsidRPr="0088647F">
        <w:rPr>
          <w:sz w:val="20"/>
          <w:szCs w:val="20"/>
          <w:lang w:val="pt-BR"/>
        </w:rPr>
        <w:t xml:space="preserve">tratado. </w:t>
      </w:r>
    </w:p>
    <w:p w14:paraId="1CBECB38" w14:textId="525F3068" w:rsidR="00695BA2" w:rsidRPr="00CB2532" w:rsidRDefault="0088647F" w:rsidP="00907E48">
      <w:pPr>
        <w:pStyle w:val="ListParagraph"/>
        <w:numPr>
          <w:ilvl w:val="0"/>
          <w:numId w:val="59"/>
        </w:numPr>
        <w:spacing w:before="240" w:after="240"/>
        <w:ind w:left="0" w:firstLine="709"/>
        <w:jc w:val="both"/>
        <w:rPr>
          <w:sz w:val="20"/>
          <w:szCs w:val="20"/>
          <w:lang w:val="pt-BR"/>
        </w:rPr>
      </w:pPr>
      <w:r w:rsidRPr="0088647F">
        <w:rPr>
          <w:sz w:val="20"/>
          <w:szCs w:val="20"/>
          <w:lang w:val="pt-BR"/>
        </w:rPr>
        <w:t>A</w:t>
      </w:r>
      <w:r w:rsidR="00907E48" w:rsidRPr="0088647F">
        <w:rPr>
          <w:sz w:val="20"/>
          <w:szCs w:val="20"/>
          <w:lang w:val="pt-BR"/>
        </w:rPr>
        <w:t xml:space="preserve"> </w:t>
      </w:r>
      <w:r w:rsidR="007C470D" w:rsidRPr="0088647F">
        <w:rPr>
          <w:sz w:val="20"/>
          <w:szCs w:val="20"/>
          <w:lang w:val="pt-BR"/>
        </w:rPr>
        <w:t>Comissão</w:t>
      </w:r>
      <w:r w:rsidR="008C6385">
        <w:rPr>
          <w:sz w:val="20"/>
          <w:szCs w:val="20"/>
          <w:lang w:val="pt-BR"/>
        </w:rPr>
        <w:t xml:space="preserve"> </w:t>
      </w:r>
      <w:r>
        <w:rPr>
          <w:sz w:val="20"/>
          <w:szCs w:val="20"/>
          <w:lang w:val="pt-BR"/>
        </w:rPr>
        <w:t xml:space="preserve">estabeleceu </w:t>
      </w:r>
      <w:r w:rsidR="00907E48" w:rsidRPr="0088647F">
        <w:rPr>
          <w:sz w:val="20"/>
          <w:szCs w:val="20"/>
          <w:lang w:val="pt-BR"/>
        </w:rPr>
        <w:t>consistentemente</w:t>
      </w:r>
      <w:r>
        <w:rPr>
          <w:sz w:val="20"/>
          <w:szCs w:val="20"/>
          <w:lang w:val="pt-BR"/>
        </w:rPr>
        <w:t xml:space="preserve">, há mais de três </w:t>
      </w:r>
      <w:r w:rsidR="00907E48" w:rsidRPr="0088647F">
        <w:rPr>
          <w:sz w:val="20"/>
          <w:szCs w:val="20"/>
          <w:lang w:val="pt-BR"/>
        </w:rPr>
        <w:t>décadas</w:t>
      </w:r>
      <w:r>
        <w:rPr>
          <w:sz w:val="20"/>
          <w:szCs w:val="20"/>
          <w:lang w:val="pt-BR"/>
        </w:rPr>
        <w:t>,</w:t>
      </w:r>
      <w:r w:rsidR="00907E48" w:rsidRPr="0088647F">
        <w:rPr>
          <w:sz w:val="20"/>
          <w:szCs w:val="20"/>
          <w:lang w:val="pt-BR"/>
        </w:rPr>
        <w:t xml:space="preserve"> precedentes sobre a inadmis</w:t>
      </w:r>
      <w:r>
        <w:rPr>
          <w:sz w:val="20"/>
          <w:szCs w:val="20"/>
          <w:lang w:val="pt-BR"/>
        </w:rPr>
        <w:t>s</w:t>
      </w:r>
      <w:r w:rsidR="00907E48" w:rsidRPr="0088647F">
        <w:rPr>
          <w:sz w:val="20"/>
          <w:szCs w:val="20"/>
          <w:lang w:val="pt-BR"/>
        </w:rPr>
        <w:t>ibilidad</w:t>
      </w:r>
      <w:r>
        <w:rPr>
          <w:sz w:val="20"/>
          <w:szCs w:val="20"/>
          <w:lang w:val="pt-BR"/>
        </w:rPr>
        <w:t>e</w:t>
      </w:r>
      <w:r w:rsidR="00907E48" w:rsidRPr="0088647F">
        <w:rPr>
          <w:sz w:val="20"/>
          <w:szCs w:val="20"/>
          <w:lang w:val="pt-BR"/>
        </w:rPr>
        <w:t xml:space="preserve"> de peti</w:t>
      </w:r>
      <w:r w:rsidR="00B153E7" w:rsidRPr="0088647F">
        <w:rPr>
          <w:sz w:val="20"/>
          <w:szCs w:val="20"/>
          <w:lang w:val="pt-BR"/>
        </w:rPr>
        <w:t>ções</w:t>
      </w:r>
      <w:r w:rsidR="00907E48" w:rsidRPr="0088647F">
        <w:rPr>
          <w:sz w:val="20"/>
          <w:szCs w:val="20"/>
          <w:lang w:val="pt-BR"/>
        </w:rPr>
        <w:t xml:space="preserve"> interp</w:t>
      </w:r>
      <w:r>
        <w:rPr>
          <w:sz w:val="20"/>
          <w:szCs w:val="20"/>
          <w:lang w:val="pt-BR"/>
        </w:rPr>
        <w:t>o</w:t>
      </w:r>
      <w:r w:rsidR="00907E48" w:rsidRPr="0088647F">
        <w:rPr>
          <w:sz w:val="20"/>
          <w:szCs w:val="20"/>
          <w:lang w:val="pt-BR"/>
        </w:rPr>
        <w:t xml:space="preserve">stas por </w:t>
      </w:r>
      <w:r w:rsidR="00736CD7" w:rsidRPr="0088647F">
        <w:rPr>
          <w:sz w:val="20"/>
          <w:szCs w:val="20"/>
          <w:lang w:val="pt-BR"/>
        </w:rPr>
        <w:t>pessoas</w:t>
      </w:r>
      <w:r w:rsidR="008C6385">
        <w:rPr>
          <w:sz w:val="20"/>
          <w:szCs w:val="20"/>
          <w:lang w:val="pt-BR"/>
        </w:rPr>
        <w:t xml:space="preserve"> </w:t>
      </w:r>
      <w:r w:rsidR="00907E48" w:rsidRPr="0088647F">
        <w:rPr>
          <w:sz w:val="20"/>
          <w:szCs w:val="20"/>
          <w:lang w:val="pt-BR"/>
        </w:rPr>
        <w:t>jurídicas empresari</w:t>
      </w:r>
      <w:r w:rsidR="00B153E7" w:rsidRPr="0088647F">
        <w:rPr>
          <w:sz w:val="20"/>
          <w:szCs w:val="20"/>
          <w:lang w:val="pt-BR"/>
        </w:rPr>
        <w:t xml:space="preserve">ais </w:t>
      </w:r>
      <w:r>
        <w:rPr>
          <w:sz w:val="20"/>
          <w:szCs w:val="20"/>
          <w:lang w:val="pt-BR"/>
        </w:rPr>
        <w:t xml:space="preserve">na </w:t>
      </w:r>
      <w:r w:rsidR="00907E48" w:rsidRPr="0088647F">
        <w:rPr>
          <w:sz w:val="20"/>
          <w:szCs w:val="20"/>
          <w:lang w:val="pt-BR"/>
        </w:rPr>
        <w:t>condi</w:t>
      </w:r>
      <w:r w:rsidR="00B153E7" w:rsidRPr="0088647F">
        <w:rPr>
          <w:sz w:val="20"/>
          <w:szCs w:val="20"/>
          <w:lang w:val="pt-BR"/>
        </w:rPr>
        <w:t>ção</w:t>
      </w:r>
      <w:r w:rsidR="00907E48" w:rsidRPr="0088647F">
        <w:rPr>
          <w:sz w:val="20"/>
          <w:szCs w:val="20"/>
          <w:lang w:val="pt-BR"/>
        </w:rPr>
        <w:t xml:space="preserve"> de vítimas diretas, o</w:t>
      </w:r>
      <w:r>
        <w:rPr>
          <w:sz w:val="20"/>
          <w:szCs w:val="20"/>
          <w:lang w:val="pt-BR"/>
        </w:rPr>
        <w:t>u</w:t>
      </w:r>
      <w:r w:rsidR="00907E48" w:rsidRPr="0088647F">
        <w:rPr>
          <w:sz w:val="20"/>
          <w:szCs w:val="20"/>
          <w:lang w:val="pt-BR"/>
        </w:rPr>
        <w:t xml:space="preserve"> onde </w:t>
      </w:r>
      <w:r>
        <w:rPr>
          <w:sz w:val="20"/>
          <w:szCs w:val="20"/>
          <w:lang w:val="pt-BR"/>
        </w:rPr>
        <w:t xml:space="preserve">o esgotamento </w:t>
      </w:r>
      <w:r w:rsidR="00891A5F" w:rsidRPr="0088647F">
        <w:rPr>
          <w:sz w:val="20"/>
          <w:szCs w:val="20"/>
          <w:lang w:val="pt-BR"/>
        </w:rPr>
        <w:t xml:space="preserve">dos </w:t>
      </w:r>
      <w:r w:rsidR="00907E48" w:rsidRPr="0088647F">
        <w:rPr>
          <w:sz w:val="20"/>
          <w:szCs w:val="20"/>
          <w:lang w:val="pt-BR"/>
        </w:rPr>
        <w:t xml:space="preserve">recursos internos </w:t>
      </w:r>
      <w:r w:rsidR="007C4753" w:rsidRPr="0088647F">
        <w:rPr>
          <w:sz w:val="20"/>
          <w:szCs w:val="20"/>
          <w:lang w:val="pt-BR"/>
        </w:rPr>
        <w:t>foi</w:t>
      </w:r>
      <w:r w:rsidR="008C6385">
        <w:rPr>
          <w:sz w:val="20"/>
          <w:szCs w:val="20"/>
          <w:lang w:val="pt-BR"/>
        </w:rPr>
        <w:t xml:space="preserve"> </w:t>
      </w:r>
      <w:r w:rsidR="00907E48" w:rsidRPr="0088647F">
        <w:rPr>
          <w:sz w:val="20"/>
          <w:szCs w:val="20"/>
          <w:lang w:val="pt-BR"/>
        </w:rPr>
        <w:t xml:space="preserve">realizado por </w:t>
      </w:r>
      <w:r>
        <w:rPr>
          <w:sz w:val="20"/>
          <w:szCs w:val="20"/>
          <w:lang w:val="pt-BR"/>
        </w:rPr>
        <w:t>e</w:t>
      </w:r>
      <w:r w:rsidR="00907E48" w:rsidRPr="0088647F">
        <w:rPr>
          <w:sz w:val="20"/>
          <w:szCs w:val="20"/>
          <w:lang w:val="pt-BR"/>
        </w:rPr>
        <w:t xml:space="preserve">stas </w:t>
      </w:r>
      <w:r>
        <w:rPr>
          <w:sz w:val="20"/>
          <w:szCs w:val="20"/>
          <w:lang w:val="pt-BR"/>
        </w:rPr>
        <w:t xml:space="preserve">e não pelas </w:t>
      </w:r>
      <w:r w:rsidR="00736CD7" w:rsidRPr="0088647F">
        <w:rPr>
          <w:sz w:val="20"/>
          <w:szCs w:val="20"/>
          <w:lang w:val="pt-BR"/>
        </w:rPr>
        <w:t>pessoas</w:t>
      </w:r>
      <w:r w:rsidR="008C6385">
        <w:rPr>
          <w:sz w:val="20"/>
          <w:szCs w:val="20"/>
          <w:lang w:val="pt-BR"/>
        </w:rPr>
        <w:t xml:space="preserve"> </w:t>
      </w:r>
      <w:r w:rsidR="00B44ED3">
        <w:rPr>
          <w:sz w:val="20"/>
          <w:szCs w:val="20"/>
          <w:lang w:val="pt-BR"/>
        </w:rPr>
        <w:t>naturais</w:t>
      </w:r>
      <w:r w:rsidR="008C6385">
        <w:rPr>
          <w:sz w:val="20"/>
          <w:szCs w:val="20"/>
          <w:lang w:val="pt-BR"/>
        </w:rPr>
        <w:t xml:space="preserve"> </w:t>
      </w:r>
      <w:r w:rsidR="00907E48" w:rsidRPr="0088647F">
        <w:rPr>
          <w:sz w:val="20"/>
          <w:szCs w:val="20"/>
          <w:lang w:val="pt-BR"/>
        </w:rPr>
        <w:t xml:space="preserve">que se </w:t>
      </w:r>
      <w:r>
        <w:rPr>
          <w:sz w:val="20"/>
          <w:szCs w:val="20"/>
          <w:lang w:val="pt-BR"/>
        </w:rPr>
        <w:t xml:space="preserve">apresentem </w:t>
      </w:r>
      <w:r w:rsidR="00907E48" w:rsidRPr="0088647F">
        <w:rPr>
          <w:sz w:val="20"/>
          <w:szCs w:val="20"/>
          <w:lang w:val="pt-BR"/>
        </w:rPr>
        <w:t xml:space="preserve">como </w:t>
      </w:r>
      <w:r w:rsidR="00891A5F" w:rsidRPr="0088647F">
        <w:rPr>
          <w:sz w:val="20"/>
          <w:szCs w:val="20"/>
          <w:lang w:val="pt-BR"/>
        </w:rPr>
        <w:t>peticionários</w:t>
      </w:r>
      <w:r w:rsidR="008C6385">
        <w:rPr>
          <w:sz w:val="20"/>
          <w:szCs w:val="20"/>
          <w:lang w:val="pt-BR"/>
        </w:rPr>
        <w:t xml:space="preserve"> </w:t>
      </w:r>
      <w:r>
        <w:rPr>
          <w:sz w:val="20"/>
          <w:szCs w:val="20"/>
          <w:lang w:val="pt-BR"/>
        </w:rPr>
        <w:t>per</w:t>
      </w:r>
      <w:r w:rsidR="00907E48" w:rsidRPr="0088647F">
        <w:rPr>
          <w:sz w:val="20"/>
          <w:szCs w:val="20"/>
          <w:lang w:val="pt-BR"/>
        </w:rPr>
        <w:t xml:space="preserve">ante a </w:t>
      </w:r>
      <w:r w:rsidR="007C470D" w:rsidRPr="0088647F">
        <w:rPr>
          <w:sz w:val="20"/>
          <w:szCs w:val="20"/>
          <w:lang w:val="pt-BR"/>
        </w:rPr>
        <w:t>Comissão</w:t>
      </w:r>
      <w:r>
        <w:rPr>
          <w:sz w:val="20"/>
          <w:szCs w:val="20"/>
          <w:lang w:val="pt-BR"/>
        </w:rPr>
        <w:t>.</w:t>
      </w:r>
      <w:r w:rsidR="00907E48" w:rsidRPr="00D64156">
        <w:rPr>
          <w:rStyle w:val="FootnoteReference"/>
          <w:sz w:val="20"/>
          <w:szCs w:val="20"/>
          <w:lang w:val="pt-BR"/>
        </w:rPr>
        <w:footnoteReference w:id="9"/>
      </w:r>
      <w:r w:rsidR="00907E48" w:rsidRPr="0088647F">
        <w:rPr>
          <w:sz w:val="20"/>
          <w:szCs w:val="20"/>
          <w:lang w:val="pt-BR"/>
        </w:rPr>
        <w:t xml:space="preserve"> U</w:t>
      </w:r>
      <w:r w:rsidRPr="0088647F">
        <w:rPr>
          <w:sz w:val="20"/>
          <w:szCs w:val="20"/>
          <w:lang w:val="pt-BR"/>
        </w:rPr>
        <w:t>m</w:t>
      </w:r>
      <w:r w:rsidR="00907E48" w:rsidRPr="0088647F">
        <w:rPr>
          <w:sz w:val="20"/>
          <w:szCs w:val="20"/>
          <w:lang w:val="pt-BR"/>
        </w:rPr>
        <w:t xml:space="preserve">a </w:t>
      </w:r>
      <w:r w:rsidR="00EC0BB7" w:rsidRPr="0088647F">
        <w:rPr>
          <w:sz w:val="20"/>
          <w:szCs w:val="20"/>
          <w:lang w:val="pt-BR"/>
        </w:rPr>
        <w:t xml:space="preserve">das </w:t>
      </w:r>
      <w:r>
        <w:rPr>
          <w:sz w:val="20"/>
          <w:szCs w:val="20"/>
          <w:lang w:val="pt-BR"/>
        </w:rPr>
        <w:t xml:space="preserve">razões para a criação </w:t>
      </w:r>
      <w:r w:rsidR="00907E48" w:rsidRPr="0088647F">
        <w:rPr>
          <w:sz w:val="20"/>
          <w:szCs w:val="20"/>
          <w:lang w:val="pt-BR"/>
        </w:rPr>
        <w:t xml:space="preserve">de </w:t>
      </w:r>
      <w:r w:rsidR="00736CD7" w:rsidRPr="0088647F">
        <w:rPr>
          <w:sz w:val="20"/>
          <w:szCs w:val="20"/>
          <w:lang w:val="pt-BR"/>
        </w:rPr>
        <w:t>pessoas</w:t>
      </w:r>
      <w:r w:rsidR="008C6385">
        <w:rPr>
          <w:sz w:val="20"/>
          <w:szCs w:val="20"/>
          <w:lang w:val="pt-BR"/>
        </w:rPr>
        <w:t xml:space="preserve"> </w:t>
      </w:r>
      <w:r w:rsidR="00907E48" w:rsidRPr="0088647F">
        <w:rPr>
          <w:sz w:val="20"/>
          <w:szCs w:val="20"/>
          <w:lang w:val="pt-BR"/>
        </w:rPr>
        <w:t xml:space="preserve">jurídicas </w:t>
      </w:r>
      <w:r>
        <w:rPr>
          <w:sz w:val="20"/>
          <w:szCs w:val="20"/>
          <w:lang w:val="pt-BR"/>
        </w:rPr>
        <w:t>é</w:t>
      </w:r>
      <w:r w:rsidR="00907E48" w:rsidRPr="0088647F">
        <w:rPr>
          <w:sz w:val="20"/>
          <w:szCs w:val="20"/>
          <w:lang w:val="pt-BR"/>
        </w:rPr>
        <w:t xml:space="preserve"> separar s</w:t>
      </w:r>
      <w:r>
        <w:rPr>
          <w:sz w:val="20"/>
          <w:szCs w:val="20"/>
          <w:lang w:val="pt-BR"/>
        </w:rPr>
        <w:t>e</w:t>
      </w:r>
      <w:r w:rsidR="00907E48" w:rsidRPr="0088647F">
        <w:rPr>
          <w:sz w:val="20"/>
          <w:szCs w:val="20"/>
          <w:lang w:val="pt-BR"/>
        </w:rPr>
        <w:t>u patrim</w:t>
      </w:r>
      <w:r>
        <w:rPr>
          <w:sz w:val="20"/>
          <w:szCs w:val="20"/>
          <w:lang w:val="pt-BR"/>
        </w:rPr>
        <w:t>ô</w:t>
      </w:r>
      <w:r w:rsidR="00907E48" w:rsidRPr="0088647F">
        <w:rPr>
          <w:sz w:val="20"/>
          <w:szCs w:val="20"/>
          <w:lang w:val="pt-BR"/>
        </w:rPr>
        <w:t>nio d</w:t>
      </w:r>
      <w:r>
        <w:rPr>
          <w:sz w:val="20"/>
          <w:szCs w:val="20"/>
          <w:lang w:val="pt-BR"/>
        </w:rPr>
        <w:t xml:space="preserve">o </w:t>
      </w:r>
      <w:r w:rsidR="00EC0BB7" w:rsidRPr="0088647F">
        <w:rPr>
          <w:sz w:val="20"/>
          <w:szCs w:val="20"/>
          <w:lang w:val="pt-BR"/>
        </w:rPr>
        <w:t xml:space="preserve">das </w:t>
      </w:r>
      <w:r w:rsidR="00736CD7" w:rsidRPr="0088647F">
        <w:rPr>
          <w:sz w:val="20"/>
          <w:szCs w:val="20"/>
          <w:lang w:val="pt-BR"/>
        </w:rPr>
        <w:t>pessoas</w:t>
      </w:r>
      <w:r w:rsidR="008C6385">
        <w:rPr>
          <w:sz w:val="20"/>
          <w:szCs w:val="20"/>
          <w:lang w:val="pt-BR"/>
        </w:rPr>
        <w:t xml:space="preserve"> </w:t>
      </w:r>
      <w:r w:rsidR="00907E48" w:rsidRPr="0088647F">
        <w:rPr>
          <w:sz w:val="20"/>
          <w:szCs w:val="20"/>
          <w:lang w:val="pt-BR"/>
        </w:rPr>
        <w:t>físicas que a</w:t>
      </w:r>
      <w:r w:rsidR="00CB2532">
        <w:rPr>
          <w:sz w:val="20"/>
          <w:szCs w:val="20"/>
          <w:lang w:val="pt-BR"/>
        </w:rPr>
        <w:t>s</w:t>
      </w:r>
      <w:r w:rsidR="00907E48" w:rsidRPr="0088647F">
        <w:rPr>
          <w:sz w:val="20"/>
          <w:szCs w:val="20"/>
          <w:lang w:val="pt-BR"/>
        </w:rPr>
        <w:t xml:space="preserve"> constitu</w:t>
      </w:r>
      <w:r w:rsidR="00CB2532">
        <w:rPr>
          <w:sz w:val="20"/>
          <w:szCs w:val="20"/>
          <w:lang w:val="pt-BR"/>
        </w:rPr>
        <w:t>em</w:t>
      </w:r>
      <w:r w:rsidR="00907E48" w:rsidRPr="0088647F">
        <w:rPr>
          <w:sz w:val="20"/>
          <w:szCs w:val="20"/>
          <w:lang w:val="pt-BR"/>
        </w:rPr>
        <w:t xml:space="preserve">. </w:t>
      </w:r>
      <w:r w:rsidR="00907E48" w:rsidRPr="00CB2532">
        <w:rPr>
          <w:sz w:val="20"/>
          <w:szCs w:val="20"/>
          <w:lang w:val="pt-BR"/>
        </w:rPr>
        <w:t>Precisamente, tal como o distingue</w:t>
      </w:r>
      <w:r w:rsidR="00CB2532" w:rsidRPr="00CB2532">
        <w:rPr>
          <w:sz w:val="20"/>
          <w:szCs w:val="20"/>
          <w:lang w:val="pt-BR"/>
        </w:rPr>
        <w:t>m</w:t>
      </w:r>
      <w:r w:rsidR="00907E48" w:rsidRPr="00CB2532">
        <w:rPr>
          <w:sz w:val="20"/>
          <w:szCs w:val="20"/>
          <w:lang w:val="pt-BR"/>
        </w:rPr>
        <w:t xml:space="preserve"> todas as legisla</w:t>
      </w:r>
      <w:r w:rsidR="00B153E7" w:rsidRPr="00CB2532">
        <w:rPr>
          <w:sz w:val="20"/>
          <w:szCs w:val="20"/>
          <w:lang w:val="pt-BR"/>
        </w:rPr>
        <w:t>ções</w:t>
      </w:r>
      <w:r w:rsidR="00907E48" w:rsidRPr="00CB2532">
        <w:rPr>
          <w:sz w:val="20"/>
          <w:szCs w:val="20"/>
          <w:lang w:val="pt-BR"/>
        </w:rPr>
        <w:t xml:space="preserve"> d</w:t>
      </w:r>
      <w:r w:rsidR="00CB2532" w:rsidRPr="00CB2532">
        <w:rPr>
          <w:sz w:val="20"/>
          <w:szCs w:val="20"/>
          <w:lang w:val="pt-BR"/>
        </w:rPr>
        <w:t>o</w:t>
      </w:r>
      <w:r w:rsidR="00CB2532">
        <w:rPr>
          <w:sz w:val="20"/>
          <w:szCs w:val="20"/>
          <w:lang w:val="pt-BR"/>
        </w:rPr>
        <w:t xml:space="preserve"> Hemisfério</w:t>
      </w:r>
      <w:r w:rsidR="00907E48" w:rsidRPr="00CB2532">
        <w:rPr>
          <w:sz w:val="20"/>
          <w:szCs w:val="20"/>
          <w:lang w:val="pt-BR"/>
        </w:rPr>
        <w:t xml:space="preserve">, </w:t>
      </w:r>
      <w:r w:rsidR="00736CD7" w:rsidRPr="00CB2532">
        <w:rPr>
          <w:sz w:val="20"/>
          <w:szCs w:val="20"/>
          <w:lang w:val="pt-BR"/>
        </w:rPr>
        <w:t>pessoas</w:t>
      </w:r>
      <w:r w:rsidR="008C6385">
        <w:rPr>
          <w:sz w:val="20"/>
          <w:szCs w:val="20"/>
          <w:lang w:val="pt-BR"/>
        </w:rPr>
        <w:t xml:space="preserve"> </w:t>
      </w:r>
      <w:r w:rsidR="00907E48" w:rsidRPr="00CB2532">
        <w:rPr>
          <w:sz w:val="20"/>
          <w:szCs w:val="20"/>
          <w:lang w:val="pt-BR"/>
        </w:rPr>
        <w:t>jurídicas s</w:t>
      </w:r>
      <w:r w:rsidR="00CB2532">
        <w:rPr>
          <w:sz w:val="20"/>
          <w:szCs w:val="20"/>
          <w:lang w:val="pt-BR"/>
        </w:rPr>
        <w:t xml:space="preserve">ão </w:t>
      </w:r>
      <w:r w:rsidR="00907E48" w:rsidRPr="00CB2532">
        <w:rPr>
          <w:sz w:val="20"/>
          <w:szCs w:val="20"/>
          <w:lang w:val="pt-BR"/>
        </w:rPr>
        <w:t xml:space="preserve">diferentes </w:t>
      </w:r>
      <w:r w:rsidR="00CB2532">
        <w:rPr>
          <w:sz w:val="20"/>
          <w:szCs w:val="20"/>
          <w:lang w:val="pt-BR"/>
        </w:rPr>
        <w:t xml:space="preserve">das </w:t>
      </w:r>
      <w:r w:rsidR="00736CD7" w:rsidRPr="00CB2532">
        <w:rPr>
          <w:sz w:val="20"/>
          <w:szCs w:val="20"/>
          <w:lang w:val="pt-BR"/>
        </w:rPr>
        <w:t>pessoas</w:t>
      </w:r>
      <w:r w:rsidR="008C6385">
        <w:rPr>
          <w:sz w:val="20"/>
          <w:szCs w:val="20"/>
          <w:lang w:val="pt-BR"/>
        </w:rPr>
        <w:t xml:space="preserve"> </w:t>
      </w:r>
      <w:r w:rsidR="00907E48" w:rsidRPr="00CB2532">
        <w:rPr>
          <w:sz w:val="20"/>
          <w:szCs w:val="20"/>
          <w:lang w:val="pt-BR"/>
        </w:rPr>
        <w:t>humanas, físicas o</w:t>
      </w:r>
      <w:r w:rsidR="00CB2532">
        <w:rPr>
          <w:sz w:val="20"/>
          <w:szCs w:val="20"/>
          <w:lang w:val="pt-BR"/>
        </w:rPr>
        <w:t>u</w:t>
      </w:r>
      <w:r w:rsidR="00907E48" w:rsidRPr="00CB2532">
        <w:rPr>
          <w:sz w:val="20"/>
          <w:szCs w:val="20"/>
          <w:lang w:val="pt-BR"/>
        </w:rPr>
        <w:t xml:space="preserve"> natur</w:t>
      </w:r>
      <w:r w:rsidR="00B153E7" w:rsidRPr="00CB2532">
        <w:rPr>
          <w:sz w:val="20"/>
          <w:szCs w:val="20"/>
          <w:lang w:val="pt-BR"/>
        </w:rPr>
        <w:t>ais</w:t>
      </w:r>
      <w:r w:rsidR="00907E48" w:rsidRPr="00CB2532">
        <w:rPr>
          <w:sz w:val="20"/>
          <w:szCs w:val="20"/>
          <w:lang w:val="pt-BR"/>
        </w:rPr>
        <w:t xml:space="preserve">; </w:t>
      </w:r>
      <w:r w:rsidR="00CB2532">
        <w:rPr>
          <w:sz w:val="20"/>
          <w:szCs w:val="20"/>
          <w:lang w:val="pt-BR"/>
        </w:rPr>
        <w:t>e</w:t>
      </w:r>
      <w:r w:rsidR="00907E48" w:rsidRPr="00CB2532">
        <w:rPr>
          <w:sz w:val="20"/>
          <w:szCs w:val="20"/>
          <w:lang w:val="pt-BR"/>
        </w:rPr>
        <w:t xml:space="preserve">, por </w:t>
      </w:r>
      <w:r w:rsidR="00CB2532">
        <w:rPr>
          <w:sz w:val="20"/>
          <w:szCs w:val="20"/>
          <w:lang w:val="pt-BR"/>
        </w:rPr>
        <w:t>conseguinte</w:t>
      </w:r>
      <w:r w:rsidR="00907E48" w:rsidRPr="00CB2532">
        <w:rPr>
          <w:sz w:val="20"/>
          <w:szCs w:val="20"/>
          <w:lang w:val="pt-BR"/>
        </w:rPr>
        <w:t xml:space="preserve">, </w:t>
      </w:r>
      <w:r w:rsidR="00CB2532">
        <w:rPr>
          <w:sz w:val="20"/>
          <w:szCs w:val="20"/>
          <w:lang w:val="pt-BR"/>
        </w:rPr>
        <w:t xml:space="preserve">o regime </w:t>
      </w:r>
      <w:r w:rsidR="00907E48" w:rsidRPr="00CB2532">
        <w:rPr>
          <w:sz w:val="20"/>
          <w:szCs w:val="20"/>
          <w:lang w:val="pt-BR"/>
        </w:rPr>
        <w:t xml:space="preserve">jurídico a que </w:t>
      </w:r>
      <w:r w:rsidR="00CB2532">
        <w:rPr>
          <w:sz w:val="20"/>
          <w:szCs w:val="20"/>
          <w:lang w:val="pt-BR"/>
        </w:rPr>
        <w:t>estão sujeit</w:t>
      </w:r>
      <w:r w:rsidR="00370328">
        <w:rPr>
          <w:sz w:val="20"/>
          <w:szCs w:val="20"/>
          <w:lang w:val="pt-BR"/>
        </w:rPr>
        <w:t>a</w:t>
      </w:r>
      <w:r w:rsidR="00CB2532">
        <w:rPr>
          <w:sz w:val="20"/>
          <w:szCs w:val="20"/>
          <w:lang w:val="pt-BR"/>
        </w:rPr>
        <w:t xml:space="preserve">s também é </w:t>
      </w:r>
      <w:r w:rsidR="00907E48" w:rsidRPr="00CB2532">
        <w:rPr>
          <w:sz w:val="20"/>
          <w:szCs w:val="20"/>
          <w:lang w:val="pt-BR"/>
        </w:rPr>
        <w:t>diferente</w:t>
      </w:r>
      <w:r w:rsidR="00CB2532">
        <w:rPr>
          <w:sz w:val="20"/>
          <w:szCs w:val="20"/>
          <w:lang w:val="pt-BR"/>
        </w:rPr>
        <w:t>.</w:t>
      </w:r>
      <w:r w:rsidR="00907E48" w:rsidRPr="00D64156">
        <w:rPr>
          <w:rStyle w:val="FootnoteReference"/>
          <w:sz w:val="20"/>
          <w:szCs w:val="20"/>
          <w:lang w:val="pt-BR"/>
        </w:rPr>
        <w:footnoteReference w:id="10"/>
      </w:r>
    </w:p>
    <w:p w14:paraId="29796F0A" w14:textId="707304AE" w:rsidR="00695BA2" w:rsidRPr="00CB2532" w:rsidRDefault="00695BA2" w:rsidP="00FF1852">
      <w:pPr>
        <w:pStyle w:val="ListParagraph"/>
        <w:numPr>
          <w:ilvl w:val="0"/>
          <w:numId w:val="59"/>
        </w:numPr>
        <w:spacing w:before="240" w:after="240"/>
        <w:ind w:left="0" w:firstLine="709"/>
        <w:jc w:val="both"/>
        <w:rPr>
          <w:sz w:val="20"/>
          <w:szCs w:val="20"/>
          <w:lang w:val="pt-BR"/>
        </w:rPr>
      </w:pPr>
      <w:r w:rsidRPr="00CB2532">
        <w:rPr>
          <w:sz w:val="20"/>
          <w:szCs w:val="20"/>
          <w:lang w:val="pt-BR"/>
        </w:rPr>
        <w:t>E</w:t>
      </w:r>
      <w:r w:rsidR="00CB2532">
        <w:rPr>
          <w:sz w:val="20"/>
          <w:szCs w:val="20"/>
          <w:lang w:val="pt-BR"/>
        </w:rPr>
        <w:t>m</w:t>
      </w:r>
      <w:r w:rsidRPr="00CB2532">
        <w:rPr>
          <w:sz w:val="20"/>
          <w:szCs w:val="20"/>
          <w:lang w:val="pt-BR"/>
        </w:rPr>
        <w:t xml:space="preserve"> aten</w:t>
      </w:r>
      <w:r w:rsidR="00B153E7" w:rsidRPr="00CB2532">
        <w:rPr>
          <w:sz w:val="20"/>
          <w:szCs w:val="20"/>
          <w:lang w:val="pt-BR"/>
        </w:rPr>
        <w:t>ção</w:t>
      </w:r>
      <w:r w:rsidRPr="00CB2532">
        <w:rPr>
          <w:sz w:val="20"/>
          <w:szCs w:val="20"/>
          <w:lang w:val="pt-BR"/>
        </w:rPr>
        <w:t xml:space="preserve"> a es</w:t>
      </w:r>
      <w:r w:rsidR="00CB2532">
        <w:rPr>
          <w:sz w:val="20"/>
          <w:szCs w:val="20"/>
          <w:lang w:val="pt-BR"/>
        </w:rPr>
        <w:t>se</w:t>
      </w:r>
      <w:r w:rsidRPr="00CB2532">
        <w:rPr>
          <w:sz w:val="20"/>
          <w:szCs w:val="20"/>
          <w:lang w:val="pt-BR"/>
        </w:rPr>
        <w:t>s crit</w:t>
      </w:r>
      <w:r w:rsidR="00CB2532">
        <w:rPr>
          <w:sz w:val="20"/>
          <w:szCs w:val="20"/>
          <w:lang w:val="pt-BR"/>
        </w:rPr>
        <w:t>é</w:t>
      </w:r>
      <w:r w:rsidRPr="00CB2532">
        <w:rPr>
          <w:sz w:val="20"/>
          <w:szCs w:val="20"/>
          <w:lang w:val="pt-BR"/>
        </w:rPr>
        <w:t xml:space="preserve">rios, </w:t>
      </w:r>
      <w:r w:rsidR="00CB2532">
        <w:rPr>
          <w:sz w:val="20"/>
          <w:szCs w:val="20"/>
          <w:lang w:val="pt-BR"/>
        </w:rPr>
        <w:t xml:space="preserve">e com base nas </w:t>
      </w:r>
      <w:r w:rsidRPr="00CB2532">
        <w:rPr>
          <w:sz w:val="20"/>
          <w:szCs w:val="20"/>
          <w:lang w:val="pt-BR"/>
        </w:rPr>
        <w:t>informa</w:t>
      </w:r>
      <w:r w:rsidR="00B153E7" w:rsidRPr="00CB2532">
        <w:rPr>
          <w:sz w:val="20"/>
          <w:szCs w:val="20"/>
          <w:lang w:val="pt-BR"/>
        </w:rPr>
        <w:t>ções</w:t>
      </w:r>
      <w:r w:rsidRPr="00CB2532">
        <w:rPr>
          <w:sz w:val="20"/>
          <w:szCs w:val="20"/>
          <w:lang w:val="pt-BR"/>
        </w:rPr>
        <w:t xml:space="preserve"> </w:t>
      </w:r>
      <w:r w:rsidR="00CB2532">
        <w:rPr>
          <w:sz w:val="20"/>
          <w:szCs w:val="20"/>
          <w:lang w:val="pt-BR"/>
        </w:rPr>
        <w:t xml:space="preserve">prestadas pelas </w:t>
      </w:r>
      <w:r w:rsidRPr="00CB2532">
        <w:rPr>
          <w:sz w:val="20"/>
          <w:szCs w:val="20"/>
          <w:lang w:val="pt-BR"/>
        </w:rPr>
        <w:t xml:space="preserve">partes, a </w:t>
      </w:r>
      <w:r w:rsidR="007C470D" w:rsidRPr="00CB2532">
        <w:rPr>
          <w:sz w:val="20"/>
          <w:szCs w:val="20"/>
          <w:lang w:val="pt-BR"/>
        </w:rPr>
        <w:t>Comissão</w:t>
      </w:r>
      <w:r w:rsidR="008C6385">
        <w:rPr>
          <w:sz w:val="20"/>
          <w:szCs w:val="20"/>
          <w:lang w:val="pt-BR"/>
        </w:rPr>
        <w:t xml:space="preserve"> </w:t>
      </w:r>
      <w:r w:rsidRPr="00CB2532">
        <w:rPr>
          <w:sz w:val="20"/>
          <w:szCs w:val="20"/>
          <w:lang w:val="pt-BR"/>
        </w:rPr>
        <w:t xml:space="preserve">Interamericana observa que </w:t>
      </w:r>
      <w:r w:rsidR="00370328">
        <w:rPr>
          <w:sz w:val="20"/>
          <w:szCs w:val="20"/>
          <w:lang w:val="pt-BR"/>
        </w:rPr>
        <w:t>n</w:t>
      </w:r>
      <w:r w:rsidR="00CB2532" w:rsidRPr="00370328">
        <w:rPr>
          <w:sz w:val="20"/>
          <w:szCs w:val="20"/>
          <w:lang w:val="pt-BR"/>
        </w:rPr>
        <w:t>os fatos</w:t>
      </w:r>
      <w:r w:rsidR="00CB2532">
        <w:rPr>
          <w:sz w:val="20"/>
          <w:szCs w:val="20"/>
          <w:lang w:val="pt-BR"/>
        </w:rPr>
        <w:t xml:space="preserve"> </w:t>
      </w:r>
      <w:r w:rsidRPr="00CB2532">
        <w:rPr>
          <w:sz w:val="20"/>
          <w:szCs w:val="20"/>
          <w:lang w:val="pt-BR"/>
        </w:rPr>
        <w:t xml:space="preserve">referentes aos </w:t>
      </w:r>
      <w:r w:rsidRPr="00CB2532">
        <w:rPr>
          <w:i/>
          <w:iCs/>
          <w:sz w:val="20"/>
          <w:szCs w:val="20"/>
          <w:lang w:val="pt-BR"/>
        </w:rPr>
        <w:t>precatórios</w:t>
      </w:r>
      <w:r w:rsidRPr="00CB2532">
        <w:rPr>
          <w:sz w:val="20"/>
          <w:szCs w:val="20"/>
          <w:lang w:val="pt-BR"/>
        </w:rPr>
        <w:t xml:space="preserve"> </w:t>
      </w:r>
      <w:r w:rsidR="00CB2532">
        <w:rPr>
          <w:sz w:val="20"/>
          <w:szCs w:val="20"/>
          <w:lang w:val="pt-BR"/>
        </w:rPr>
        <w:t xml:space="preserve">recaíram </w:t>
      </w:r>
      <w:r w:rsidRPr="00CB2532">
        <w:rPr>
          <w:sz w:val="20"/>
          <w:szCs w:val="20"/>
          <w:lang w:val="pt-BR"/>
        </w:rPr>
        <w:t xml:space="preserve">sobre </w:t>
      </w:r>
      <w:r w:rsidR="00736CD7" w:rsidRPr="00CB2532">
        <w:rPr>
          <w:sz w:val="20"/>
          <w:szCs w:val="20"/>
          <w:lang w:val="pt-BR"/>
        </w:rPr>
        <w:t>pessoas</w:t>
      </w:r>
      <w:r w:rsidR="008C6385">
        <w:rPr>
          <w:sz w:val="20"/>
          <w:szCs w:val="20"/>
          <w:lang w:val="pt-BR"/>
        </w:rPr>
        <w:t xml:space="preserve"> </w:t>
      </w:r>
      <w:r w:rsidRPr="00CB2532">
        <w:rPr>
          <w:sz w:val="20"/>
          <w:szCs w:val="20"/>
          <w:lang w:val="pt-BR"/>
        </w:rPr>
        <w:t xml:space="preserve">jurídicas, como Parque dos Alpes S/A </w:t>
      </w:r>
      <w:r w:rsidR="00CB2532">
        <w:rPr>
          <w:sz w:val="20"/>
          <w:szCs w:val="20"/>
          <w:lang w:val="pt-BR"/>
        </w:rPr>
        <w:t xml:space="preserve">e as demais </w:t>
      </w:r>
      <w:r w:rsidRPr="00CB2532">
        <w:rPr>
          <w:sz w:val="20"/>
          <w:szCs w:val="20"/>
          <w:lang w:val="pt-BR"/>
        </w:rPr>
        <w:t xml:space="preserve">empresas a </w:t>
      </w:r>
      <w:r w:rsidR="00CB2532">
        <w:rPr>
          <w:sz w:val="20"/>
          <w:szCs w:val="20"/>
          <w:lang w:val="pt-BR"/>
        </w:rPr>
        <w:t>que sucedeu</w:t>
      </w:r>
      <w:r w:rsidRPr="00CB2532">
        <w:rPr>
          <w:sz w:val="20"/>
          <w:szCs w:val="20"/>
          <w:lang w:val="pt-BR"/>
        </w:rPr>
        <w:t xml:space="preserve">. </w:t>
      </w:r>
      <w:r w:rsidR="00CB2532" w:rsidRPr="00CB2532">
        <w:rPr>
          <w:sz w:val="20"/>
          <w:szCs w:val="20"/>
          <w:lang w:val="pt-BR"/>
        </w:rPr>
        <w:t>Desse modo</w:t>
      </w:r>
      <w:r w:rsidRPr="00CB2532">
        <w:rPr>
          <w:sz w:val="20"/>
          <w:szCs w:val="20"/>
          <w:lang w:val="pt-BR"/>
        </w:rPr>
        <w:t>, a CIDH n</w:t>
      </w:r>
      <w:r w:rsidR="00CB2532" w:rsidRPr="00CB2532">
        <w:rPr>
          <w:sz w:val="20"/>
          <w:szCs w:val="20"/>
          <w:lang w:val="pt-BR"/>
        </w:rPr>
        <w:t>ã</w:t>
      </w:r>
      <w:r w:rsidRPr="00CB2532">
        <w:rPr>
          <w:sz w:val="20"/>
          <w:szCs w:val="20"/>
          <w:lang w:val="pt-BR"/>
        </w:rPr>
        <w:t xml:space="preserve">o observa que nos </w:t>
      </w:r>
      <w:r w:rsidR="00CB2532">
        <w:rPr>
          <w:sz w:val="20"/>
          <w:szCs w:val="20"/>
          <w:lang w:val="pt-BR"/>
        </w:rPr>
        <w:t xml:space="preserve">fatos </w:t>
      </w:r>
      <w:r w:rsidRPr="00CB2532">
        <w:rPr>
          <w:sz w:val="20"/>
          <w:szCs w:val="20"/>
          <w:lang w:val="pt-BR"/>
        </w:rPr>
        <w:t xml:space="preserve">os atos </w:t>
      </w:r>
      <w:r w:rsidR="00EC0BB7" w:rsidRPr="00CB2532">
        <w:rPr>
          <w:sz w:val="20"/>
          <w:szCs w:val="20"/>
          <w:lang w:val="pt-BR"/>
        </w:rPr>
        <w:t xml:space="preserve">das </w:t>
      </w:r>
      <w:r w:rsidRPr="00CB2532">
        <w:rPr>
          <w:sz w:val="20"/>
          <w:szCs w:val="20"/>
          <w:lang w:val="pt-BR"/>
        </w:rPr>
        <w:t xml:space="preserve">autoridades </w:t>
      </w:r>
      <w:r w:rsidR="00CB2532">
        <w:rPr>
          <w:sz w:val="20"/>
          <w:szCs w:val="20"/>
          <w:lang w:val="pt-BR"/>
        </w:rPr>
        <w:t xml:space="preserve">tenham </w:t>
      </w:r>
      <w:r w:rsidRPr="00CB2532">
        <w:rPr>
          <w:sz w:val="20"/>
          <w:szCs w:val="20"/>
          <w:lang w:val="pt-BR"/>
        </w:rPr>
        <w:t xml:space="preserve">recaído </w:t>
      </w:r>
      <w:r w:rsidR="00CB2532">
        <w:rPr>
          <w:sz w:val="20"/>
          <w:szCs w:val="20"/>
          <w:lang w:val="pt-BR"/>
        </w:rPr>
        <w:t xml:space="preserve">nos </w:t>
      </w:r>
      <w:r w:rsidR="00891A5F" w:rsidRPr="00CB2532">
        <w:rPr>
          <w:sz w:val="20"/>
          <w:szCs w:val="20"/>
          <w:lang w:val="pt-BR"/>
        </w:rPr>
        <w:t>peticionários</w:t>
      </w:r>
      <w:r w:rsidR="008C6385">
        <w:rPr>
          <w:sz w:val="20"/>
          <w:szCs w:val="20"/>
          <w:lang w:val="pt-BR"/>
        </w:rPr>
        <w:t xml:space="preserve"> </w:t>
      </w:r>
      <w:r w:rsidR="00CB2532">
        <w:rPr>
          <w:sz w:val="20"/>
          <w:szCs w:val="20"/>
          <w:lang w:val="pt-BR"/>
        </w:rPr>
        <w:t xml:space="preserve">enquanto </w:t>
      </w:r>
      <w:r w:rsidR="00736CD7" w:rsidRPr="00CB2532">
        <w:rPr>
          <w:sz w:val="20"/>
          <w:szCs w:val="20"/>
          <w:lang w:val="pt-BR"/>
        </w:rPr>
        <w:t>pessoas</w:t>
      </w:r>
      <w:r w:rsidR="008C6385">
        <w:rPr>
          <w:sz w:val="20"/>
          <w:szCs w:val="20"/>
          <w:lang w:val="pt-BR"/>
        </w:rPr>
        <w:t xml:space="preserve"> </w:t>
      </w:r>
      <w:r w:rsidRPr="00CB2532">
        <w:rPr>
          <w:sz w:val="20"/>
          <w:szCs w:val="20"/>
          <w:lang w:val="pt-BR"/>
        </w:rPr>
        <w:t>natur</w:t>
      </w:r>
      <w:r w:rsidR="00B153E7" w:rsidRPr="00CB2532">
        <w:rPr>
          <w:sz w:val="20"/>
          <w:szCs w:val="20"/>
          <w:lang w:val="pt-BR"/>
        </w:rPr>
        <w:t>ais</w:t>
      </w:r>
      <w:r w:rsidR="008C6385">
        <w:rPr>
          <w:sz w:val="20"/>
          <w:szCs w:val="20"/>
          <w:lang w:val="pt-BR"/>
        </w:rPr>
        <w:t xml:space="preserve"> </w:t>
      </w:r>
      <w:r w:rsidRPr="00CB2532">
        <w:rPr>
          <w:sz w:val="20"/>
          <w:szCs w:val="20"/>
          <w:lang w:val="pt-BR"/>
        </w:rPr>
        <w:t xml:space="preserve">acionistas de </w:t>
      </w:r>
      <w:r w:rsidR="00CB2532">
        <w:rPr>
          <w:sz w:val="20"/>
          <w:szCs w:val="20"/>
          <w:lang w:val="pt-BR"/>
        </w:rPr>
        <w:t xml:space="preserve">suas </w:t>
      </w:r>
      <w:r w:rsidRPr="00CB2532">
        <w:rPr>
          <w:sz w:val="20"/>
          <w:szCs w:val="20"/>
          <w:lang w:val="pt-BR"/>
        </w:rPr>
        <w:t xml:space="preserve">empresas, </w:t>
      </w:r>
      <w:r w:rsidR="00CB2532">
        <w:rPr>
          <w:sz w:val="20"/>
          <w:szCs w:val="20"/>
          <w:lang w:val="pt-BR"/>
        </w:rPr>
        <w:t>ou seja</w:t>
      </w:r>
      <w:r w:rsidRPr="00CB2532">
        <w:rPr>
          <w:sz w:val="20"/>
          <w:szCs w:val="20"/>
          <w:lang w:val="pt-BR"/>
        </w:rPr>
        <w:t xml:space="preserve">, que </w:t>
      </w:r>
      <w:r w:rsidR="00CB2532">
        <w:rPr>
          <w:sz w:val="20"/>
          <w:szCs w:val="20"/>
          <w:lang w:val="pt-BR"/>
        </w:rPr>
        <w:t xml:space="preserve">tenham sido violados seus </w:t>
      </w:r>
      <w:r w:rsidR="00B153E7" w:rsidRPr="00CB2532">
        <w:rPr>
          <w:sz w:val="20"/>
          <w:szCs w:val="20"/>
          <w:lang w:val="pt-BR"/>
        </w:rPr>
        <w:t>direitos</w:t>
      </w:r>
      <w:r w:rsidR="008C6385">
        <w:rPr>
          <w:sz w:val="20"/>
          <w:szCs w:val="20"/>
          <w:lang w:val="pt-BR"/>
        </w:rPr>
        <w:t xml:space="preserve"> </w:t>
      </w:r>
      <w:r w:rsidRPr="00CB2532">
        <w:rPr>
          <w:sz w:val="20"/>
          <w:szCs w:val="20"/>
          <w:lang w:val="pt-BR"/>
        </w:rPr>
        <w:t>individu</w:t>
      </w:r>
      <w:r w:rsidR="00B153E7" w:rsidRPr="00CB2532">
        <w:rPr>
          <w:sz w:val="20"/>
          <w:szCs w:val="20"/>
          <w:lang w:val="pt-BR"/>
        </w:rPr>
        <w:t>ais</w:t>
      </w:r>
      <w:r w:rsidR="008C6385">
        <w:rPr>
          <w:sz w:val="20"/>
          <w:szCs w:val="20"/>
          <w:lang w:val="pt-BR"/>
        </w:rPr>
        <w:t xml:space="preserve"> </w:t>
      </w:r>
      <w:r w:rsidR="00CB2532">
        <w:rPr>
          <w:sz w:val="20"/>
          <w:szCs w:val="20"/>
          <w:lang w:val="pt-BR"/>
        </w:rPr>
        <w:t xml:space="preserve">enquanto </w:t>
      </w:r>
      <w:r w:rsidRPr="00CB2532">
        <w:rPr>
          <w:sz w:val="20"/>
          <w:szCs w:val="20"/>
          <w:lang w:val="pt-BR"/>
        </w:rPr>
        <w:t>acionistas. Pr</w:t>
      </w:r>
      <w:r w:rsidR="00CB2532" w:rsidRPr="00CB2532">
        <w:rPr>
          <w:sz w:val="20"/>
          <w:szCs w:val="20"/>
          <w:lang w:val="pt-BR"/>
        </w:rPr>
        <w:t xml:space="preserve">ova disso é </w:t>
      </w:r>
      <w:r w:rsidRPr="00CB2532">
        <w:rPr>
          <w:sz w:val="20"/>
          <w:szCs w:val="20"/>
          <w:lang w:val="pt-BR"/>
        </w:rPr>
        <w:t xml:space="preserve">que </w:t>
      </w:r>
      <w:r w:rsidR="00CB2532">
        <w:rPr>
          <w:sz w:val="20"/>
          <w:szCs w:val="20"/>
          <w:lang w:val="pt-BR"/>
        </w:rPr>
        <w:t xml:space="preserve">o litígio em âmbito </w:t>
      </w:r>
      <w:r w:rsidRPr="00CB2532">
        <w:rPr>
          <w:sz w:val="20"/>
          <w:szCs w:val="20"/>
          <w:lang w:val="pt-BR"/>
        </w:rPr>
        <w:t xml:space="preserve">nacional </w:t>
      </w:r>
      <w:r w:rsidR="00CB2532">
        <w:rPr>
          <w:sz w:val="20"/>
          <w:szCs w:val="20"/>
          <w:lang w:val="pt-BR"/>
        </w:rPr>
        <w:t xml:space="preserve">ocorreu </w:t>
      </w:r>
      <w:r w:rsidRPr="00CB2532">
        <w:rPr>
          <w:sz w:val="20"/>
          <w:szCs w:val="20"/>
          <w:lang w:val="pt-BR"/>
        </w:rPr>
        <w:t xml:space="preserve">por parte </w:t>
      </w:r>
      <w:r w:rsidR="00EC0BB7" w:rsidRPr="00CB2532">
        <w:rPr>
          <w:sz w:val="20"/>
          <w:szCs w:val="20"/>
          <w:lang w:val="pt-BR"/>
        </w:rPr>
        <w:t xml:space="preserve">das </w:t>
      </w:r>
      <w:r w:rsidRPr="00CB2532">
        <w:rPr>
          <w:sz w:val="20"/>
          <w:szCs w:val="20"/>
          <w:lang w:val="pt-BR"/>
        </w:rPr>
        <w:t xml:space="preserve">empresas, </w:t>
      </w:r>
      <w:r w:rsidR="00CB2532">
        <w:rPr>
          <w:sz w:val="20"/>
          <w:szCs w:val="20"/>
          <w:lang w:val="pt-BR"/>
        </w:rPr>
        <w:t xml:space="preserve">no exercício de sua capacidade </w:t>
      </w:r>
      <w:r w:rsidRPr="00CB2532">
        <w:rPr>
          <w:sz w:val="20"/>
          <w:szCs w:val="20"/>
          <w:lang w:val="pt-BR"/>
        </w:rPr>
        <w:t xml:space="preserve">jurídica para atuar judicialmente frente </w:t>
      </w:r>
      <w:r w:rsidR="00CB2532">
        <w:rPr>
          <w:sz w:val="20"/>
          <w:szCs w:val="20"/>
          <w:lang w:val="pt-BR"/>
        </w:rPr>
        <w:t xml:space="preserve">ao </w:t>
      </w:r>
      <w:r w:rsidRPr="00CB2532">
        <w:rPr>
          <w:sz w:val="20"/>
          <w:szCs w:val="20"/>
          <w:lang w:val="pt-BR"/>
        </w:rPr>
        <w:t>Estado, e</w:t>
      </w:r>
      <w:r w:rsidR="00CB2532">
        <w:rPr>
          <w:sz w:val="20"/>
          <w:szCs w:val="20"/>
          <w:lang w:val="pt-BR"/>
        </w:rPr>
        <w:t xml:space="preserve">m busca de seus </w:t>
      </w:r>
      <w:r w:rsidR="00B153E7" w:rsidRPr="00CB2532">
        <w:rPr>
          <w:sz w:val="20"/>
          <w:szCs w:val="20"/>
          <w:lang w:val="pt-BR"/>
        </w:rPr>
        <w:t>direitos</w:t>
      </w:r>
      <w:r w:rsidR="008C6385">
        <w:rPr>
          <w:sz w:val="20"/>
          <w:szCs w:val="20"/>
          <w:lang w:val="pt-BR"/>
        </w:rPr>
        <w:t xml:space="preserve"> </w:t>
      </w:r>
      <w:r w:rsidRPr="00CB2532">
        <w:rPr>
          <w:sz w:val="20"/>
          <w:szCs w:val="20"/>
          <w:lang w:val="pt-BR"/>
        </w:rPr>
        <w:t xml:space="preserve">como </w:t>
      </w:r>
      <w:r w:rsidR="00736CD7" w:rsidRPr="00CB2532">
        <w:rPr>
          <w:sz w:val="20"/>
          <w:szCs w:val="20"/>
          <w:lang w:val="pt-BR"/>
        </w:rPr>
        <w:t>pessoas</w:t>
      </w:r>
      <w:r w:rsidR="008C6385">
        <w:rPr>
          <w:sz w:val="20"/>
          <w:szCs w:val="20"/>
          <w:lang w:val="pt-BR"/>
        </w:rPr>
        <w:t xml:space="preserve"> </w:t>
      </w:r>
      <w:r w:rsidRPr="00CB2532">
        <w:rPr>
          <w:sz w:val="20"/>
          <w:szCs w:val="20"/>
          <w:lang w:val="pt-BR"/>
        </w:rPr>
        <w:t>jurídicas de caráter mercantil</w:t>
      </w:r>
      <w:r w:rsidR="00CB2532">
        <w:rPr>
          <w:sz w:val="20"/>
          <w:szCs w:val="20"/>
          <w:lang w:val="pt-BR"/>
        </w:rPr>
        <w:t>.</w:t>
      </w:r>
      <w:r w:rsidRPr="00D64156">
        <w:rPr>
          <w:rStyle w:val="FootnoteReference"/>
          <w:sz w:val="20"/>
          <w:szCs w:val="20"/>
          <w:lang w:val="pt-BR"/>
        </w:rPr>
        <w:footnoteReference w:id="11"/>
      </w:r>
      <w:r w:rsidR="001A76C6" w:rsidRPr="00CB2532">
        <w:rPr>
          <w:sz w:val="20"/>
          <w:szCs w:val="20"/>
          <w:lang w:val="pt-BR"/>
        </w:rPr>
        <w:t xml:space="preserve"> </w:t>
      </w:r>
      <w:r w:rsidRPr="00CB2532">
        <w:rPr>
          <w:sz w:val="20"/>
          <w:szCs w:val="20"/>
          <w:lang w:val="pt-BR"/>
        </w:rPr>
        <w:t xml:space="preserve">Portanto, a </w:t>
      </w:r>
      <w:r w:rsidR="007C470D" w:rsidRPr="00CB2532">
        <w:rPr>
          <w:sz w:val="20"/>
          <w:szCs w:val="20"/>
          <w:lang w:val="pt-BR"/>
        </w:rPr>
        <w:t>Comissão</w:t>
      </w:r>
      <w:r w:rsidR="008C6385">
        <w:rPr>
          <w:sz w:val="20"/>
          <w:szCs w:val="20"/>
          <w:lang w:val="pt-BR"/>
        </w:rPr>
        <w:t xml:space="preserve"> </w:t>
      </w:r>
      <w:r w:rsidRPr="00CB2532">
        <w:rPr>
          <w:sz w:val="20"/>
          <w:szCs w:val="20"/>
          <w:lang w:val="pt-BR"/>
        </w:rPr>
        <w:t xml:space="preserve">Interamericana </w:t>
      </w:r>
      <w:r w:rsidR="00CB2532" w:rsidRPr="00CB2532">
        <w:rPr>
          <w:sz w:val="20"/>
          <w:szCs w:val="20"/>
          <w:lang w:val="pt-BR"/>
        </w:rPr>
        <w:t xml:space="preserve">conclui </w:t>
      </w:r>
      <w:r w:rsidRPr="00CB2532">
        <w:rPr>
          <w:sz w:val="20"/>
          <w:szCs w:val="20"/>
          <w:lang w:val="pt-BR"/>
        </w:rPr>
        <w:t xml:space="preserve">que carece de </w:t>
      </w:r>
      <w:r w:rsidR="00736CD7" w:rsidRPr="00CB2532">
        <w:rPr>
          <w:sz w:val="20"/>
          <w:szCs w:val="20"/>
          <w:lang w:val="pt-BR"/>
        </w:rPr>
        <w:t>competência</w:t>
      </w:r>
      <w:r w:rsidR="008C6385">
        <w:rPr>
          <w:sz w:val="20"/>
          <w:szCs w:val="20"/>
          <w:lang w:val="pt-BR"/>
        </w:rPr>
        <w:t xml:space="preserve"> </w:t>
      </w:r>
      <w:r w:rsidR="00B153E7" w:rsidRPr="00CB2532">
        <w:rPr>
          <w:sz w:val="20"/>
          <w:szCs w:val="20"/>
          <w:lang w:val="pt-BR"/>
        </w:rPr>
        <w:t>pessoal</w:t>
      </w:r>
      <w:r w:rsidR="008C6385">
        <w:rPr>
          <w:sz w:val="20"/>
          <w:szCs w:val="20"/>
          <w:lang w:val="pt-BR"/>
        </w:rPr>
        <w:t xml:space="preserve"> </w:t>
      </w:r>
      <w:r w:rsidRPr="00CB2532">
        <w:rPr>
          <w:sz w:val="20"/>
          <w:szCs w:val="20"/>
          <w:lang w:val="pt-BR"/>
        </w:rPr>
        <w:t xml:space="preserve">para </w:t>
      </w:r>
      <w:r w:rsidR="00CB2532">
        <w:rPr>
          <w:sz w:val="20"/>
          <w:szCs w:val="20"/>
          <w:lang w:val="pt-BR"/>
        </w:rPr>
        <w:t xml:space="preserve">conhecer do </w:t>
      </w:r>
      <w:r w:rsidRPr="00CB2532">
        <w:rPr>
          <w:sz w:val="20"/>
          <w:szCs w:val="20"/>
          <w:lang w:val="pt-BR"/>
        </w:rPr>
        <w:t>a</w:t>
      </w:r>
      <w:r w:rsidR="00CB2532">
        <w:rPr>
          <w:sz w:val="20"/>
          <w:szCs w:val="20"/>
          <w:lang w:val="pt-BR"/>
        </w:rPr>
        <w:t>s</w:t>
      </w:r>
      <w:r w:rsidRPr="00CB2532">
        <w:rPr>
          <w:sz w:val="20"/>
          <w:szCs w:val="20"/>
          <w:lang w:val="pt-BR"/>
        </w:rPr>
        <w:t xml:space="preserve">sunto </w:t>
      </w:r>
      <w:r w:rsidR="00891A5F" w:rsidRPr="00CB2532">
        <w:rPr>
          <w:sz w:val="20"/>
          <w:szCs w:val="20"/>
          <w:lang w:val="pt-BR"/>
        </w:rPr>
        <w:t xml:space="preserve">dos </w:t>
      </w:r>
      <w:r w:rsidRPr="00CB2532">
        <w:rPr>
          <w:i/>
          <w:iCs/>
          <w:sz w:val="20"/>
          <w:szCs w:val="20"/>
          <w:lang w:val="pt-BR"/>
        </w:rPr>
        <w:lastRenderedPageBreak/>
        <w:t>precat</w:t>
      </w:r>
      <w:r w:rsidR="0090766C" w:rsidRPr="00CB2532">
        <w:rPr>
          <w:i/>
          <w:iCs/>
          <w:sz w:val="20"/>
          <w:szCs w:val="20"/>
          <w:lang w:val="pt-BR"/>
        </w:rPr>
        <w:t>ó</w:t>
      </w:r>
      <w:r w:rsidRPr="00CB2532">
        <w:rPr>
          <w:i/>
          <w:iCs/>
          <w:sz w:val="20"/>
          <w:szCs w:val="20"/>
          <w:lang w:val="pt-BR"/>
        </w:rPr>
        <w:t>rios</w:t>
      </w:r>
      <w:r w:rsidRPr="00CB2532">
        <w:rPr>
          <w:sz w:val="20"/>
          <w:szCs w:val="20"/>
          <w:lang w:val="pt-BR"/>
        </w:rPr>
        <w:t>. Por o</w:t>
      </w:r>
      <w:r w:rsidR="00CB2532" w:rsidRPr="00CB2532">
        <w:rPr>
          <w:sz w:val="20"/>
          <w:szCs w:val="20"/>
          <w:lang w:val="pt-BR"/>
        </w:rPr>
        <w:t>u</w:t>
      </w:r>
      <w:r w:rsidRPr="00CB2532">
        <w:rPr>
          <w:sz w:val="20"/>
          <w:szCs w:val="20"/>
          <w:lang w:val="pt-BR"/>
        </w:rPr>
        <w:t>tro lado, tod</w:t>
      </w:r>
      <w:r w:rsidR="00CB2532" w:rsidRPr="00CB2532">
        <w:rPr>
          <w:sz w:val="20"/>
          <w:szCs w:val="20"/>
          <w:lang w:val="pt-BR"/>
        </w:rPr>
        <w:t>a</w:t>
      </w:r>
      <w:r w:rsidR="00CB2532">
        <w:rPr>
          <w:sz w:val="20"/>
          <w:szCs w:val="20"/>
          <w:lang w:val="pt-BR"/>
        </w:rPr>
        <w:t xml:space="preserve">s as demais alegações se referem às </w:t>
      </w:r>
      <w:r w:rsidR="00EC0BB7" w:rsidRPr="00CB2532">
        <w:rPr>
          <w:sz w:val="20"/>
          <w:szCs w:val="20"/>
          <w:lang w:val="pt-BR"/>
        </w:rPr>
        <w:t>supostas vítimas</w:t>
      </w:r>
      <w:r w:rsidR="008C6385">
        <w:rPr>
          <w:sz w:val="20"/>
          <w:szCs w:val="20"/>
          <w:lang w:val="pt-BR"/>
        </w:rPr>
        <w:t xml:space="preserve"> </w:t>
      </w:r>
      <w:r w:rsidRPr="00CB2532">
        <w:rPr>
          <w:sz w:val="20"/>
          <w:szCs w:val="20"/>
          <w:lang w:val="pt-BR"/>
        </w:rPr>
        <w:t>e</w:t>
      </w:r>
      <w:r w:rsidR="00CB2532">
        <w:rPr>
          <w:sz w:val="20"/>
          <w:szCs w:val="20"/>
          <w:lang w:val="pt-BR"/>
        </w:rPr>
        <w:t>m</w:t>
      </w:r>
      <w:r w:rsidRPr="00CB2532">
        <w:rPr>
          <w:sz w:val="20"/>
          <w:szCs w:val="20"/>
          <w:lang w:val="pt-BR"/>
        </w:rPr>
        <w:t xml:space="preserve"> carácter </w:t>
      </w:r>
      <w:r w:rsidR="00B153E7" w:rsidRPr="00CB2532">
        <w:rPr>
          <w:sz w:val="20"/>
          <w:szCs w:val="20"/>
          <w:lang w:val="pt-BR"/>
        </w:rPr>
        <w:t>pessoal</w:t>
      </w:r>
      <w:r w:rsidR="008C6385">
        <w:rPr>
          <w:sz w:val="20"/>
          <w:szCs w:val="20"/>
          <w:lang w:val="pt-BR"/>
        </w:rPr>
        <w:t xml:space="preserve"> </w:t>
      </w:r>
      <w:r w:rsidR="008A6E18">
        <w:rPr>
          <w:sz w:val="20"/>
          <w:szCs w:val="20"/>
          <w:lang w:val="pt-BR"/>
        </w:rPr>
        <w:t>e a</w:t>
      </w:r>
      <w:r w:rsidR="00CB2532">
        <w:rPr>
          <w:sz w:val="20"/>
          <w:szCs w:val="20"/>
          <w:lang w:val="pt-BR"/>
        </w:rPr>
        <w:t xml:space="preserve">s </w:t>
      </w:r>
      <w:r w:rsidRPr="00CB2532">
        <w:rPr>
          <w:sz w:val="20"/>
          <w:szCs w:val="20"/>
          <w:lang w:val="pt-BR"/>
        </w:rPr>
        <w:t>situa</w:t>
      </w:r>
      <w:r w:rsidR="00B153E7" w:rsidRPr="00CB2532">
        <w:rPr>
          <w:sz w:val="20"/>
          <w:szCs w:val="20"/>
          <w:lang w:val="pt-BR"/>
        </w:rPr>
        <w:t>ções</w:t>
      </w:r>
      <w:r w:rsidRPr="00CB2532">
        <w:rPr>
          <w:sz w:val="20"/>
          <w:szCs w:val="20"/>
          <w:lang w:val="pt-BR"/>
        </w:rPr>
        <w:t xml:space="preserve"> narradas referentes </w:t>
      </w:r>
      <w:r w:rsidR="00CB2532">
        <w:rPr>
          <w:sz w:val="20"/>
          <w:szCs w:val="20"/>
          <w:lang w:val="pt-BR"/>
        </w:rPr>
        <w:t xml:space="preserve">ao </w:t>
      </w:r>
      <w:r w:rsidR="00EC0BB7" w:rsidRPr="00CB2532">
        <w:rPr>
          <w:sz w:val="20"/>
          <w:szCs w:val="20"/>
          <w:lang w:val="pt-BR"/>
        </w:rPr>
        <w:t>processo</w:t>
      </w:r>
      <w:r w:rsidR="008C6385">
        <w:rPr>
          <w:sz w:val="20"/>
          <w:szCs w:val="20"/>
          <w:lang w:val="pt-BR"/>
        </w:rPr>
        <w:t xml:space="preserve"> </w:t>
      </w:r>
      <w:r w:rsidRPr="00CB2532">
        <w:rPr>
          <w:sz w:val="20"/>
          <w:szCs w:val="20"/>
          <w:lang w:val="pt-BR"/>
        </w:rPr>
        <w:t xml:space="preserve">penal </w:t>
      </w:r>
      <w:r w:rsidR="00CB2532">
        <w:rPr>
          <w:sz w:val="20"/>
          <w:szCs w:val="20"/>
          <w:lang w:val="pt-BR"/>
        </w:rPr>
        <w:t xml:space="preserve">e </w:t>
      </w:r>
      <w:r w:rsidRPr="00CB2532">
        <w:rPr>
          <w:sz w:val="20"/>
          <w:szCs w:val="20"/>
          <w:lang w:val="pt-BR"/>
        </w:rPr>
        <w:t>condi</w:t>
      </w:r>
      <w:r w:rsidR="00B153E7" w:rsidRPr="00CB2532">
        <w:rPr>
          <w:sz w:val="20"/>
          <w:szCs w:val="20"/>
          <w:lang w:val="pt-BR"/>
        </w:rPr>
        <w:t>ções</w:t>
      </w:r>
      <w:r w:rsidRPr="00CB2532">
        <w:rPr>
          <w:sz w:val="20"/>
          <w:szCs w:val="20"/>
          <w:lang w:val="pt-BR"/>
        </w:rPr>
        <w:t xml:space="preserve"> de deten</w:t>
      </w:r>
      <w:r w:rsidR="00B153E7" w:rsidRPr="00CB2532">
        <w:rPr>
          <w:sz w:val="20"/>
          <w:szCs w:val="20"/>
          <w:lang w:val="pt-BR"/>
        </w:rPr>
        <w:t>ção</w:t>
      </w:r>
      <w:r w:rsidRPr="00CB2532">
        <w:rPr>
          <w:sz w:val="20"/>
          <w:szCs w:val="20"/>
          <w:lang w:val="pt-BR"/>
        </w:rPr>
        <w:t xml:space="preserve"> p</w:t>
      </w:r>
      <w:r w:rsidR="008A6E18">
        <w:rPr>
          <w:sz w:val="20"/>
          <w:szCs w:val="20"/>
          <w:lang w:val="pt-BR"/>
        </w:rPr>
        <w:t xml:space="preserve">odem violar os </w:t>
      </w:r>
      <w:r w:rsidR="00B153E7" w:rsidRPr="00CB2532">
        <w:rPr>
          <w:sz w:val="20"/>
          <w:szCs w:val="20"/>
          <w:lang w:val="pt-BR"/>
        </w:rPr>
        <w:t>direitos</w:t>
      </w:r>
      <w:r w:rsidR="008C6385">
        <w:rPr>
          <w:sz w:val="20"/>
          <w:szCs w:val="20"/>
          <w:lang w:val="pt-BR"/>
        </w:rPr>
        <w:t xml:space="preserve"> </w:t>
      </w:r>
      <w:r w:rsidRPr="00CB2532">
        <w:rPr>
          <w:sz w:val="20"/>
          <w:szCs w:val="20"/>
          <w:lang w:val="pt-BR"/>
        </w:rPr>
        <w:t>humanos protegidos p</w:t>
      </w:r>
      <w:r w:rsidR="008A6E18">
        <w:rPr>
          <w:sz w:val="20"/>
          <w:szCs w:val="20"/>
          <w:lang w:val="pt-BR"/>
        </w:rPr>
        <w:t xml:space="preserve">ela </w:t>
      </w:r>
      <w:r w:rsidRPr="00CB2532">
        <w:rPr>
          <w:sz w:val="20"/>
          <w:szCs w:val="20"/>
          <w:lang w:val="pt-BR"/>
        </w:rPr>
        <w:t>Conven</w:t>
      </w:r>
      <w:r w:rsidR="00B153E7" w:rsidRPr="00CB2532">
        <w:rPr>
          <w:sz w:val="20"/>
          <w:szCs w:val="20"/>
          <w:lang w:val="pt-BR"/>
        </w:rPr>
        <w:t>ção</w:t>
      </w:r>
      <w:r w:rsidRPr="00CB2532">
        <w:rPr>
          <w:sz w:val="20"/>
          <w:szCs w:val="20"/>
          <w:lang w:val="pt-BR"/>
        </w:rPr>
        <w:t xml:space="preserve"> Americana.</w:t>
      </w:r>
    </w:p>
    <w:p w14:paraId="6B466593" w14:textId="350ABDF2" w:rsidR="00B83158" w:rsidRPr="009E5BCF" w:rsidRDefault="00B83158" w:rsidP="003E76BF">
      <w:pPr>
        <w:spacing w:before="240" w:after="240"/>
        <w:ind w:firstLine="720"/>
        <w:jc w:val="both"/>
        <w:rPr>
          <w:rFonts w:ascii="Cambria" w:hAnsi="Cambria"/>
          <w:sz w:val="20"/>
          <w:szCs w:val="20"/>
          <w:lang w:val="pt-BR"/>
        </w:rPr>
      </w:pPr>
      <w:r w:rsidRPr="00D075F4">
        <w:rPr>
          <w:rFonts w:asciiTheme="majorHAnsi" w:hAnsiTheme="majorHAnsi"/>
          <w:b/>
          <w:sz w:val="20"/>
          <w:szCs w:val="20"/>
          <w:lang w:val="pt-BR"/>
        </w:rPr>
        <w:t>VI</w:t>
      </w:r>
      <w:r w:rsidR="00907E48" w:rsidRPr="00D075F4">
        <w:rPr>
          <w:rFonts w:asciiTheme="majorHAnsi" w:hAnsiTheme="majorHAnsi"/>
          <w:b/>
          <w:sz w:val="20"/>
          <w:szCs w:val="20"/>
          <w:lang w:val="pt-BR"/>
        </w:rPr>
        <w:t>II</w:t>
      </w:r>
      <w:r w:rsidRPr="00D075F4">
        <w:rPr>
          <w:rFonts w:asciiTheme="majorHAnsi" w:hAnsiTheme="majorHAnsi"/>
          <w:b/>
          <w:sz w:val="20"/>
          <w:szCs w:val="20"/>
          <w:lang w:val="pt-BR"/>
        </w:rPr>
        <w:t xml:space="preserve">. </w:t>
      </w:r>
      <w:r w:rsidRPr="00D075F4">
        <w:rPr>
          <w:rFonts w:asciiTheme="majorHAnsi" w:hAnsiTheme="majorHAnsi"/>
          <w:b/>
          <w:sz w:val="20"/>
          <w:szCs w:val="20"/>
          <w:lang w:val="pt-BR"/>
        </w:rPr>
        <w:tab/>
      </w:r>
      <w:r w:rsidRPr="009E5BCF">
        <w:rPr>
          <w:rFonts w:asciiTheme="majorHAnsi" w:hAnsiTheme="majorHAnsi"/>
          <w:b/>
          <w:bCs/>
          <w:sz w:val="20"/>
          <w:szCs w:val="20"/>
          <w:lang w:val="pt-BR"/>
        </w:rPr>
        <w:t>ANÁLIS</w:t>
      </w:r>
      <w:r w:rsidR="009E5BCF" w:rsidRPr="009E5BCF">
        <w:rPr>
          <w:rFonts w:asciiTheme="majorHAnsi" w:hAnsiTheme="majorHAnsi"/>
          <w:b/>
          <w:bCs/>
          <w:sz w:val="20"/>
          <w:szCs w:val="20"/>
          <w:lang w:val="pt-BR"/>
        </w:rPr>
        <w:t>E</w:t>
      </w:r>
      <w:r w:rsidRPr="009E5BCF">
        <w:rPr>
          <w:rFonts w:asciiTheme="majorHAnsi" w:hAnsiTheme="majorHAnsi"/>
          <w:b/>
          <w:bCs/>
          <w:sz w:val="20"/>
          <w:szCs w:val="20"/>
          <w:lang w:val="pt-BR"/>
        </w:rPr>
        <w:t xml:space="preserve"> DE </w:t>
      </w:r>
      <w:r w:rsidR="009E5BCF" w:rsidRPr="009E5BCF">
        <w:rPr>
          <w:rFonts w:asciiTheme="majorHAnsi" w:hAnsiTheme="majorHAnsi"/>
          <w:b/>
          <w:bCs/>
          <w:sz w:val="20"/>
          <w:szCs w:val="20"/>
          <w:lang w:val="pt-BR"/>
        </w:rPr>
        <w:t>ES</w:t>
      </w:r>
      <w:r w:rsidRPr="009E5BCF">
        <w:rPr>
          <w:rFonts w:asciiTheme="majorHAnsi" w:hAnsiTheme="majorHAnsi"/>
          <w:b/>
          <w:sz w:val="20"/>
          <w:szCs w:val="20"/>
          <w:lang w:val="pt-BR"/>
        </w:rPr>
        <w:t>GOTAMENT</w:t>
      </w:r>
      <w:r w:rsidR="009E5BCF" w:rsidRPr="009E5BCF">
        <w:rPr>
          <w:rFonts w:asciiTheme="majorHAnsi" w:hAnsiTheme="majorHAnsi"/>
          <w:b/>
          <w:sz w:val="20"/>
          <w:szCs w:val="20"/>
          <w:lang w:val="pt-BR"/>
        </w:rPr>
        <w:t>O</w:t>
      </w:r>
      <w:r w:rsidRPr="009E5BCF">
        <w:rPr>
          <w:rFonts w:asciiTheme="majorHAnsi" w:hAnsiTheme="majorHAnsi"/>
          <w:b/>
          <w:sz w:val="20"/>
          <w:szCs w:val="20"/>
          <w:lang w:val="pt-BR"/>
        </w:rPr>
        <w:t xml:space="preserve"> </w:t>
      </w:r>
      <w:r w:rsidR="009E5BCF" w:rsidRPr="009E5BCF">
        <w:rPr>
          <w:rFonts w:asciiTheme="majorHAnsi" w:hAnsiTheme="majorHAnsi"/>
          <w:b/>
          <w:sz w:val="20"/>
          <w:szCs w:val="20"/>
          <w:lang w:val="pt-BR"/>
        </w:rPr>
        <w:t>D</w:t>
      </w:r>
      <w:r w:rsidRPr="009E5BCF">
        <w:rPr>
          <w:rFonts w:asciiTheme="majorHAnsi" w:hAnsiTheme="majorHAnsi"/>
          <w:b/>
          <w:sz w:val="20"/>
          <w:szCs w:val="20"/>
          <w:lang w:val="pt-BR"/>
        </w:rPr>
        <w:t xml:space="preserve">OS RECURSOS INTERNOS </w:t>
      </w:r>
      <w:r w:rsidR="009E5BCF" w:rsidRPr="009E5BCF">
        <w:rPr>
          <w:rFonts w:asciiTheme="majorHAnsi" w:hAnsiTheme="majorHAnsi"/>
          <w:b/>
          <w:sz w:val="20"/>
          <w:szCs w:val="20"/>
          <w:lang w:val="pt-BR"/>
        </w:rPr>
        <w:t>E</w:t>
      </w:r>
      <w:r w:rsidRPr="009E5BCF">
        <w:rPr>
          <w:rFonts w:asciiTheme="majorHAnsi" w:hAnsiTheme="majorHAnsi"/>
          <w:b/>
          <w:sz w:val="20"/>
          <w:szCs w:val="20"/>
          <w:lang w:val="pt-BR"/>
        </w:rPr>
        <w:t xml:space="preserve"> P</w:t>
      </w:r>
      <w:r w:rsidR="009E5BCF" w:rsidRPr="009E5BCF">
        <w:rPr>
          <w:rFonts w:asciiTheme="majorHAnsi" w:hAnsiTheme="majorHAnsi"/>
          <w:b/>
          <w:sz w:val="20"/>
          <w:szCs w:val="20"/>
          <w:lang w:val="pt-BR"/>
        </w:rPr>
        <w:t>R</w:t>
      </w:r>
      <w:r w:rsidRPr="009E5BCF">
        <w:rPr>
          <w:rFonts w:asciiTheme="majorHAnsi" w:hAnsiTheme="majorHAnsi"/>
          <w:b/>
          <w:sz w:val="20"/>
          <w:szCs w:val="20"/>
          <w:lang w:val="pt-BR"/>
        </w:rPr>
        <w:t xml:space="preserve">AZO DE </w:t>
      </w:r>
      <w:r w:rsidR="009E5BCF" w:rsidRPr="009E5BCF">
        <w:rPr>
          <w:rFonts w:asciiTheme="majorHAnsi" w:hAnsiTheme="majorHAnsi"/>
          <w:b/>
          <w:sz w:val="20"/>
          <w:szCs w:val="20"/>
          <w:lang w:val="pt-BR"/>
        </w:rPr>
        <w:t>A</w:t>
      </w:r>
      <w:r w:rsidRPr="009E5BCF">
        <w:rPr>
          <w:rFonts w:asciiTheme="majorHAnsi" w:hAnsiTheme="majorHAnsi"/>
          <w:b/>
          <w:sz w:val="20"/>
          <w:szCs w:val="20"/>
          <w:lang w:val="pt-BR"/>
        </w:rPr>
        <w:t>PRESENTA</w:t>
      </w:r>
      <w:r w:rsidR="009E5BCF">
        <w:rPr>
          <w:rFonts w:asciiTheme="majorHAnsi" w:hAnsiTheme="majorHAnsi"/>
          <w:b/>
          <w:sz w:val="20"/>
          <w:szCs w:val="20"/>
          <w:lang w:val="pt-BR"/>
        </w:rPr>
        <w:t>ÇÃO</w:t>
      </w:r>
      <w:r w:rsidRPr="009E5BCF">
        <w:rPr>
          <w:rFonts w:asciiTheme="majorHAnsi" w:eastAsia="Cambria" w:hAnsiTheme="majorHAnsi" w:cs="Cambria"/>
          <w:b/>
          <w:bCs/>
          <w:color w:val="000000"/>
          <w:sz w:val="20"/>
          <w:szCs w:val="20"/>
          <w:u w:color="000000"/>
          <w:lang w:val="pt-BR" w:eastAsia="es-ES"/>
        </w:rPr>
        <w:t xml:space="preserve"> </w:t>
      </w:r>
    </w:p>
    <w:p w14:paraId="607378CB" w14:textId="5F2A2D27" w:rsidR="00BA7FF7" w:rsidRPr="009E5BCF" w:rsidRDefault="009E5BCF" w:rsidP="00BE357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 xml:space="preserve">O </w:t>
      </w:r>
      <w:r w:rsidR="0090766C" w:rsidRPr="009E5BCF">
        <w:rPr>
          <w:sz w:val="20"/>
          <w:szCs w:val="20"/>
          <w:lang w:val="pt-BR"/>
        </w:rPr>
        <w:t xml:space="preserve">objeto </w:t>
      </w:r>
      <w:r w:rsidR="00B153E7" w:rsidRPr="009E5BCF">
        <w:rPr>
          <w:sz w:val="20"/>
          <w:szCs w:val="20"/>
          <w:lang w:val="pt-BR"/>
        </w:rPr>
        <w:t xml:space="preserve">da </w:t>
      </w:r>
      <w:r w:rsidR="0090766C" w:rsidRPr="009E5BCF">
        <w:rPr>
          <w:sz w:val="20"/>
          <w:szCs w:val="20"/>
          <w:lang w:val="pt-BR"/>
        </w:rPr>
        <w:t>peti</w:t>
      </w:r>
      <w:r w:rsidR="00B153E7" w:rsidRPr="009E5BCF">
        <w:rPr>
          <w:sz w:val="20"/>
          <w:szCs w:val="20"/>
          <w:lang w:val="pt-BR"/>
        </w:rPr>
        <w:t>ção</w:t>
      </w:r>
      <w:r w:rsidR="0090766C" w:rsidRPr="009E5BCF">
        <w:rPr>
          <w:sz w:val="20"/>
          <w:szCs w:val="20"/>
          <w:lang w:val="pt-BR"/>
        </w:rPr>
        <w:t xml:space="preserve"> inicial, </w:t>
      </w:r>
      <w:r>
        <w:rPr>
          <w:sz w:val="20"/>
          <w:szCs w:val="20"/>
          <w:lang w:val="pt-BR"/>
        </w:rPr>
        <w:t xml:space="preserve">sobre a qual a </w:t>
      </w:r>
      <w:r w:rsidR="007C470D" w:rsidRPr="009E5BCF">
        <w:rPr>
          <w:sz w:val="20"/>
          <w:szCs w:val="20"/>
          <w:lang w:val="pt-BR"/>
        </w:rPr>
        <w:t>Comissão</w:t>
      </w:r>
      <w:r w:rsidR="008C6385">
        <w:rPr>
          <w:sz w:val="20"/>
          <w:szCs w:val="20"/>
          <w:lang w:val="pt-BR"/>
        </w:rPr>
        <w:t xml:space="preserve"> </w:t>
      </w:r>
      <w:r w:rsidR="0090766C" w:rsidRPr="009E5BCF">
        <w:rPr>
          <w:sz w:val="20"/>
          <w:szCs w:val="20"/>
          <w:lang w:val="pt-BR"/>
        </w:rPr>
        <w:t xml:space="preserve">Interamericana </w:t>
      </w:r>
      <w:r>
        <w:rPr>
          <w:sz w:val="20"/>
          <w:szCs w:val="20"/>
          <w:lang w:val="pt-BR"/>
        </w:rPr>
        <w:t xml:space="preserve">tem </w:t>
      </w:r>
      <w:r w:rsidR="00736CD7" w:rsidRPr="009E5BCF">
        <w:rPr>
          <w:sz w:val="20"/>
          <w:szCs w:val="20"/>
          <w:lang w:val="pt-BR"/>
        </w:rPr>
        <w:t>competência</w:t>
      </w:r>
      <w:r w:rsidR="008C6385">
        <w:rPr>
          <w:sz w:val="20"/>
          <w:szCs w:val="20"/>
          <w:lang w:val="pt-BR"/>
        </w:rPr>
        <w:t xml:space="preserve"> </w:t>
      </w:r>
      <w:r w:rsidR="00B153E7" w:rsidRPr="009E5BCF">
        <w:rPr>
          <w:sz w:val="20"/>
          <w:szCs w:val="20"/>
          <w:lang w:val="pt-BR"/>
        </w:rPr>
        <w:t>pessoal</w:t>
      </w:r>
      <w:r w:rsidR="0090766C" w:rsidRPr="009E5BCF">
        <w:rPr>
          <w:sz w:val="20"/>
          <w:szCs w:val="20"/>
          <w:lang w:val="pt-BR"/>
        </w:rPr>
        <w:t>, conforme a Sec</w:t>
      </w:r>
      <w:r w:rsidR="00B153E7" w:rsidRPr="009E5BCF">
        <w:rPr>
          <w:sz w:val="20"/>
          <w:szCs w:val="20"/>
          <w:lang w:val="pt-BR"/>
        </w:rPr>
        <w:t>ção</w:t>
      </w:r>
      <w:r w:rsidR="0090766C" w:rsidRPr="009E5BCF">
        <w:rPr>
          <w:sz w:val="20"/>
          <w:szCs w:val="20"/>
          <w:lang w:val="pt-BR"/>
        </w:rPr>
        <w:t xml:space="preserve"> VII </w:t>
      </w:r>
      <w:r>
        <w:rPr>
          <w:sz w:val="20"/>
          <w:szCs w:val="20"/>
          <w:lang w:val="pt-BR"/>
        </w:rPr>
        <w:t>acima</w:t>
      </w:r>
      <w:r w:rsidR="0090766C" w:rsidRPr="009E5BCF">
        <w:rPr>
          <w:sz w:val="20"/>
          <w:szCs w:val="20"/>
          <w:lang w:val="pt-BR"/>
        </w:rPr>
        <w:t>, compr</w:t>
      </w:r>
      <w:r>
        <w:rPr>
          <w:sz w:val="20"/>
          <w:szCs w:val="20"/>
          <w:lang w:val="pt-BR"/>
        </w:rPr>
        <w:t>e</w:t>
      </w:r>
      <w:r w:rsidR="0090766C" w:rsidRPr="009E5BCF">
        <w:rPr>
          <w:sz w:val="20"/>
          <w:szCs w:val="20"/>
          <w:lang w:val="pt-BR"/>
        </w:rPr>
        <w:t>ende alega</w:t>
      </w:r>
      <w:r>
        <w:rPr>
          <w:sz w:val="20"/>
          <w:szCs w:val="20"/>
          <w:lang w:val="pt-BR"/>
        </w:rPr>
        <w:t xml:space="preserve">ções </w:t>
      </w:r>
      <w:r w:rsidR="0090766C" w:rsidRPr="009E5BCF">
        <w:rPr>
          <w:sz w:val="20"/>
          <w:szCs w:val="20"/>
          <w:lang w:val="pt-BR"/>
        </w:rPr>
        <w:t>de deten</w:t>
      </w:r>
      <w:r w:rsidR="00B153E7" w:rsidRPr="009E5BCF">
        <w:rPr>
          <w:sz w:val="20"/>
          <w:szCs w:val="20"/>
          <w:lang w:val="pt-BR"/>
        </w:rPr>
        <w:t>ção</w:t>
      </w:r>
      <w:r w:rsidR="0090766C" w:rsidRPr="009E5BCF">
        <w:rPr>
          <w:sz w:val="20"/>
          <w:szCs w:val="20"/>
          <w:lang w:val="pt-BR"/>
        </w:rPr>
        <w:t xml:space="preserve"> arbitr</w:t>
      </w:r>
      <w:r>
        <w:rPr>
          <w:sz w:val="20"/>
          <w:szCs w:val="20"/>
          <w:lang w:val="pt-BR"/>
        </w:rPr>
        <w:t>á</w:t>
      </w:r>
      <w:r w:rsidR="0090766C" w:rsidRPr="009E5BCF">
        <w:rPr>
          <w:sz w:val="20"/>
          <w:szCs w:val="20"/>
          <w:lang w:val="pt-BR"/>
        </w:rPr>
        <w:t>ria; falta de ace</w:t>
      </w:r>
      <w:r>
        <w:rPr>
          <w:sz w:val="20"/>
          <w:szCs w:val="20"/>
          <w:lang w:val="pt-BR"/>
        </w:rPr>
        <w:t>s</w:t>
      </w:r>
      <w:r w:rsidR="0090766C" w:rsidRPr="009E5BCF">
        <w:rPr>
          <w:sz w:val="20"/>
          <w:szCs w:val="20"/>
          <w:lang w:val="pt-BR"/>
        </w:rPr>
        <w:t>so regular a aten</w:t>
      </w:r>
      <w:r w:rsidR="00B153E7" w:rsidRPr="009E5BCF">
        <w:rPr>
          <w:sz w:val="20"/>
          <w:szCs w:val="20"/>
          <w:lang w:val="pt-BR"/>
        </w:rPr>
        <w:t>ção</w:t>
      </w:r>
      <w:r w:rsidR="0090766C" w:rsidRPr="009E5BCF">
        <w:rPr>
          <w:sz w:val="20"/>
          <w:szCs w:val="20"/>
          <w:lang w:val="pt-BR"/>
        </w:rPr>
        <w:t xml:space="preserve"> médica durante a deten</w:t>
      </w:r>
      <w:r w:rsidR="00B153E7" w:rsidRPr="009E5BCF">
        <w:rPr>
          <w:sz w:val="20"/>
          <w:szCs w:val="20"/>
          <w:lang w:val="pt-BR"/>
        </w:rPr>
        <w:t>ção</w:t>
      </w:r>
      <w:r w:rsidR="0090766C" w:rsidRPr="009E5BCF">
        <w:rPr>
          <w:sz w:val="20"/>
          <w:szCs w:val="20"/>
          <w:lang w:val="pt-BR"/>
        </w:rPr>
        <w:t>; m</w:t>
      </w:r>
      <w:r>
        <w:rPr>
          <w:sz w:val="20"/>
          <w:szCs w:val="20"/>
          <w:lang w:val="pt-BR"/>
        </w:rPr>
        <w:t xml:space="preserve">ás </w:t>
      </w:r>
      <w:r w:rsidR="0090766C" w:rsidRPr="009E5BCF">
        <w:rPr>
          <w:sz w:val="20"/>
          <w:szCs w:val="20"/>
          <w:lang w:val="pt-BR"/>
        </w:rPr>
        <w:t>condi</w:t>
      </w:r>
      <w:r w:rsidR="00B153E7" w:rsidRPr="009E5BCF">
        <w:rPr>
          <w:sz w:val="20"/>
          <w:szCs w:val="20"/>
          <w:lang w:val="pt-BR"/>
        </w:rPr>
        <w:t>ções</w:t>
      </w:r>
      <w:r w:rsidR="0090766C" w:rsidRPr="009E5BCF">
        <w:rPr>
          <w:sz w:val="20"/>
          <w:szCs w:val="20"/>
          <w:lang w:val="pt-BR"/>
        </w:rPr>
        <w:t xml:space="preserve"> </w:t>
      </w:r>
      <w:r>
        <w:rPr>
          <w:sz w:val="20"/>
          <w:szCs w:val="20"/>
          <w:lang w:val="pt-BR"/>
        </w:rPr>
        <w:t xml:space="preserve">carcerárias da Senhora </w:t>
      </w:r>
      <w:r w:rsidR="0090766C" w:rsidRPr="009E5BCF">
        <w:rPr>
          <w:sz w:val="20"/>
          <w:szCs w:val="20"/>
          <w:lang w:val="pt-BR"/>
        </w:rPr>
        <w:t xml:space="preserve">Gruenberg; </w:t>
      </w:r>
      <w:r w:rsidR="00BE3574" w:rsidRPr="009E5BCF">
        <w:rPr>
          <w:sz w:val="20"/>
          <w:szCs w:val="20"/>
          <w:lang w:val="pt-BR"/>
        </w:rPr>
        <w:t>separa</w:t>
      </w:r>
      <w:r w:rsidR="00B153E7" w:rsidRPr="009E5BCF">
        <w:rPr>
          <w:sz w:val="20"/>
          <w:szCs w:val="20"/>
          <w:lang w:val="pt-BR"/>
        </w:rPr>
        <w:t>ção</w:t>
      </w:r>
      <w:r w:rsidR="00BE3574" w:rsidRPr="009E5BCF">
        <w:rPr>
          <w:sz w:val="20"/>
          <w:szCs w:val="20"/>
          <w:lang w:val="pt-BR"/>
        </w:rPr>
        <w:t xml:space="preserve"> familiar</w:t>
      </w:r>
      <w:r w:rsidR="0090766C" w:rsidRPr="009E5BCF">
        <w:rPr>
          <w:sz w:val="20"/>
          <w:szCs w:val="20"/>
          <w:lang w:val="pt-BR"/>
        </w:rPr>
        <w:t xml:space="preserve"> durante a deten</w:t>
      </w:r>
      <w:r w:rsidR="00B153E7" w:rsidRPr="009E5BCF">
        <w:rPr>
          <w:sz w:val="20"/>
          <w:szCs w:val="20"/>
          <w:lang w:val="pt-BR"/>
        </w:rPr>
        <w:t>ção</w:t>
      </w:r>
      <w:r w:rsidR="0090766C" w:rsidRPr="009E5BCF">
        <w:rPr>
          <w:sz w:val="20"/>
          <w:szCs w:val="20"/>
          <w:lang w:val="pt-BR"/>
        </w:rPr>
        <w:t xml:space="preserve">; </w:t>
      </w:r>
      <w:r>
        <w:rPr>
          <w:sz w:val="20"/>
          <w:szCs w:val="20"/>
          <w:lang w:val="pt-BR"/>
        </w:rPr>
        <w:t>falta de comunicação temporária</w:t>
      </w:r>
      <w:r w:rsidR="00BE3574" w:rsidRPr="009E5BCF">
        <w:rPr>
          <w:sz w:val="20"/>
          <w:szCs w:val="20"/>
          <w:lang w:val="pt-BR"/>
        </w:rPr>
        <w:t xml:space="preserve"> </w:t>
      </w:r>
      <w:r w:rsidR="001A76C6" w:rsidRPr="009E5BCF">
        <w:rPr>
          <w:sz w:val="20"/>
          <w:szCs w:val="20"/>
          <w:lang w:val="pt-BR"/>
        </w:rPr>
        <w:t>e</w:t>
      </w:r>
      <w:r w:rsidR="00BE3574" w:rsidRPr="009E5BCF">
        <w:rPr>
          <w:sz w:val="20"/>
          <w:szCs w:val="20"/>
          <w:lang w:val="pt-BR"/>
        </w:rPr>
        <w:t xml:space="preserve"> impos</w:t>
      </w:r>
      <w:r>
        <w:rPr>
          <w:sz w:val="20"/>
          <w:szCs w:val="20"/>
          <w:lang w:val="pt-BR"/>
        </w:rPr>
        <w:t>s</w:t>
      </w:r>
      <w:r w:rsidR="00BE3574" w:rsidRPr="009E5BCF">
        <w:rPr>
          <w:sz w:val="20"/>
          <w:szCs w:val="20"/>
          <w:lang w:val="pt-BR"/>
        </w:rPr>
        <w:t>ibilidad</w:t>
      </w:r>
      <w:r>
        <w:rPr>
          <w:sz w:val="20"/>
          <w:szCs w:val="20"/>
          <w:lang w:val="pt-BR"/>
        </w:rPr>
        <w:t>e</w:t>
      </w:r>
      <w:r w:rsidR="00BE3574" w:rsidRPr="009E5BCF">
        <w:rPr>
          <w:sz w:val="20"/>
          <w:szCs w:val="20"/>
          <w:lang w:val="pt-BR"/>
        </w:rPr>
        <w:t xml:space="preserve"> de prática religiosa e</w:t>
      </w:r>
      <w:r>
        <w:rPr>
          <w:sz w:val="20"/>
          <w:szCs w:val="20"/>
          <w:lang w:val="pt-BR"/>
        </w:rPr>
        <w:t>m</w:t>
      </w:r>
      <w:r w:rsidR="00BE3574" w:rsidRPr="009E5BCF">
        <w:rPr>
          <w:sz w:val="20"/>
          <w:szCs w:val="20"/>
          <w:lang w:val="pt-BR"/>
        </w:rPr>
        <w:t xml:space="preserve"> rela</w:t>
      </w:r>
      <w:r w:rsidR="00B153E7" w:rsidRPr="009E5BCF">
        <w:rPr>
          <w:sz w:val="20"/>
          <w:szCs w:val="20"/>
          <w:lang w:val="pt-BR"/>
        </w:rPr>
        <w:t>ção</w:t>
      </w:r>
      <w:r w:rsidR="00BE3574" w:rsidRPr="009E5BCF">
        <w:rPr>
          <w:sz w:val="20"/>
          <w:szCs w:val="20"/>
          <w:lang w:val="pt-BR"/>
        </w:rPr>
        <w:t xml:space="preserve"> </w:t>
      </w:r>
      <w:r>
        <w:rPr>
          <w:sz w:val="20"/>
          <w:szCs w:val="20"/>
          <w:lang w:val="pt-BR"/>
        </w:rPr>
        <w:t xml:space="preserve">ao Senhor </w:t>
      </w:r>
      <w:r w:rsidR="00BE3574" w:rsidRPr="009E5BCF">
        <w:rPr>
          <w:sz w:val="20"/>
          <w:szCs w:val="20"/>
          <w:lang w:val="pt-BR"/>
        </w:rPr>
        <w:t xml:space="preserve">Gruenberg; </w:t>
      </w:r>
      <w:r w:rsidR="0090766C" w:rsidRPr="009E5BCF">
        <w:rPr>
          <w:sz w:val="20"/>
          <w:szCs w:val="20"/>
          <w:lang w:val="pt-BR"/>
        </w:rPr>
        <w:t>exposi</w:t>
      </w:r>
      <w:r w:rsidR="00B153E7" w:rsidRPr="009E5BCF">
        <w:rPr>
          <w:sz w:val="20"/>
          <w:szCs w:val="20"/>
          <w:lang w:val="pt-BR"/>
        </w:rPr>
        <w:t>ção</w:t>
      </w:r>
      <w:r w:rsidR="0090766C" w:rsidRPr="009E5BCF">
        <w:rPr>
          <w:sz w:val="20"/>
          <w:szCs w:val="20"/>
          <w:lang w:val="pt-BR"/>
        </w:rPr>
        <w:t xml:space="preserve"> </w:t>
      </w:r>
      <w:r w:rsidR="00B153E7" w:rsidRPr="009E5BCF">
        <w:rPr>
          <w:sz w:val="20"/>
          <w:szCs w:val="20"/>
          <w:lang w:val="pt-BR"/>
        </w:rPr>
        <w:t xml:space="preserve">da </w:t>
      </w:r>
      <w:r w:rsidR="0090766C" w:rsidRPr="009E5BCF">
        <w:rPr>
          <w:sz w:val="20"/>
          <w:szCs w:val="20"/>
          <w:lang w:val="pt-BR"/>
        </w:rPr>
        <w:t>intimidad</w:t>
      </w:r>
      <w:r>
        <w:rPr>
          <w:sz w:val="20"/>
          <w:szCs w:val="20"/>
          <w:lang w:val="pt-BR"/>
        </w:rPr>
        <w:t>e</w:t>
      </w:r>
      <w:r w:rsidR="0090766C" w:rsidRPr="009E5BCF">
        <w:rPr>
          <w:sz w:val="20"/>
          <w:szCs w:val="20"/>
          <w:lang w:val="pt-BR"/>
        </w:rPr>
        <w:t xml:space="preserve"> </w:t>
      </w:r>
      <w:r>
        <w:rPr>
          <w:sz w:val="20"/>
          <w:szCs w:val="20"/>
          <w:lang w:val="pt-BR"/>
        </w:rPr>
        <w:t xml:space="preserve">conjugal no </w:t>
      </w:r>
      <w:r w:rsidR="00BE3574" w:rsidRPr="009E5BCF">
        <w:rPr>
          <w:sz w:val="20"/>
          <w:szCs w:val="20"/>
          <w:lang w:val="pt-BR"/>
        </w:rPr>
        <w:t xml:space="preserve">contexto </w:t>
      </w:r>
      <w:r w:rsidR="00EC0BB7" w:rsidRPr="009E5BCF">
        <w:rPr>
          <w:sz w:val="20"/>
          <w:szCs w:val="20"/>
          <w:lang w:val="pt-BR"/>
        </w:rPr>
        <w:t xml:space="preserve">das </w:t>
      </w:r>
      <w:r w:rsidR="00BE3574" w:rsidRPr="009E5BCF">
        <w:rPr>
          <w:sz w:val="20"/>
          <w:szCs w:val="20"/>
          <w:lang w:val="pt-BR"/>
        </w:rPr>
        <w:t>investiga</w:t>
      </w:r>
      <w:r w:rsidR="00B153E7" w:rsidRPr="009E5BCF">
        <w:rPr>
          <w:sz w:val="20"/>
          <w:szCs w:val="20"/>
          <w:lang w:val="pt-BR"/>
        </w:rPr>
        <w:t>ções</w:t>
      </w:r>
      <w:r w:rsidR="00BE3574" w:rsidRPr="009E5BCF">
        <w:rPr>
          <w:sz w:val="20"/>
          <w:szCs w:val="20"/>
          <w:lang w:val="pt-BR"/>
        </w:rPr>
        <w:t xml:space="preserve"> judici</w:t>
      </w:r>
      <w:r w:rsidR="00B153E7" w:rsidRPr="009E5BCF">
        <w:rPr>
          <w:sz w:val="20"/>
          <w:szCs w:val="20"/>
          <w:lang w:val="pt-BR"/>
        </w:rPr>
        <w:t>ais</w:t>
      </w:r>
      <w:r w:rsidR="0090766C" w:rsidRPr="009E5BCF">
        <w:rPr>
          <w:sz w:val="20"/>
          <w:szCs w:val="20"/>
          <w:lang w:val="pt-BR"/>
        </w:rPr>
        <w:t xml:space="preserve">; </w:t>
      </w:r>
      <w:r>
        <w:rPr>
          <w:sz w:val="20"/>
          <w:szCs w:val="20"/>
          <w:lang w:val="pt-BR"/>
        </w:rPr>
        <w:t xml:space="preserve">divulgação </w:t>
      </w:r>
      <w:r w:rsidR="0090766C" w:rsidRPr="009E5BCF">
        <w:rPr>
          <w:sz w:val="20"/>
          <w:szCs w:val="20"/>
          <w:lang w:val="pt-BR"/>
        </w:rPr>
        <w:t xml:space="preserve">sensacionalista </w:t>
      </w:r>
      <w:r w:rsidR="00EC0BB7" w:rsidRPr="009E5BCF">
        <w:rPr>
          <w:sz w:val="20"/>
          <w:szCs w:val="20"/>
          <w:lang w:val="pt-BR"/>
        </w:rPr>
        <w:t xml:space="preserve">das </w:t>
      </w:r>
      <w:r w:rsidR="0090766C" w:rsidRPr="009E5BCF">
        <w:rPr>
          <w:sz w:val="20"/>
          <w:szCs w:val="20"/>
          <w:lang w:val="pt-BR"/>
        </w:rPr>
        <w:t>investiga</w:t>
      </w:r>
      <w:r w:rsidR="00B153E7" w:rsidRPr="009E5BCF">
        <w:rPr>
          <w:sz w:val="20"/>
          <w:szCs w:val="20"/>
          <w:lang w:val="pt-BR"/>
        </w:rPr>
        <w:t>ções</w:t>
      </w:r>
      <w:r w:rsidR="0090766C" w:rsidRPr="009E5BCF">
        <w:rPr>
          <w:sz w:val="20"/>
          <w:szCs w:val="20"/>
          <w:lang w:val="pt-BR"/>
        </w:rPr>
        <w:t xml:space="preserve"> </w:t>
      </w:r>
      <w:r>
        <w:rPr>
          <w:sz w:val="20"/>
          <w:szCs w:val="20"/>
          <w:lang w:val="pt-BR"/>
        </w:rPr>
        <w:t>e</w:t>
      </w:r>
      <w:r w:rsidR="0090766C" w:rsidRPr="009E5BCF">
        <w:rPr>
          <w:sz w:val="20"/>
          <w:szCs w:val="20"/>
          <w:lang w:val="pt-BR"/>
        </w:rPr>
        <w:t xml:space="preserve"> </w:t>
      </w:r>
      <w:r w:rsidR="00BE3574" w:rsidRPr="009E5BCF">
        <w:rPr>
          <w:sz w:val="20"/>
          <w:szCs w:val="20"/>
          <w:lang w:val="pt-BR"/>
        </w:rPr>
        <w:t>deten</w:t>
      </w:r>
      <w:r w:rsidR="00B153E7" w:rsidRPr="009E5BCF">
        <w:rPr>
          <w:sz w:val="20"/>
          <w:szCs w:val="20"/>
          <w:lang w:val="pt-BR"/>
        </w:rPr>
        <w:t>ções</w:t>
      </w:r>
      <w:r w:rsidR="0090766C" w:rsidRPr="009E5BCF">
        <w:rPr>
          <w:sz w:val="20"/>
          <w:szCs w:val="20"/>
          <w:lang w:val="pt-BR"/>
        </w:rPr>
        <w:t xml:space="preserve">; </w:t>
      </w:r>
      <w:r>
        <w:rPr>
          <w:sz w:val="20"/>
          <w:szCs w:val="20"/>
          <w:lang w:val="pt-BR"/>
        </w:rPr>
        <w:t xml:space="preserve">e a alegada invasão do </w:t>
      </w:r>
      <w:r w:rsidR="0090766C" w:rsidRPr="009E5BCF">
        <w:rPr>
          <w:sz w:val="20"/>
          <w:szCs w:val="20"/>
          <w:lang w:val="pt-BR"/>
        </w:rPr>
        <w:t>domic</w:t>
      </w:r>
      <w:r>
        <w:rPr>
          <w:sz w:val="20"/>
          <w:szCs w:val="20"/>
          <w:lang w:val="pt-BR"/>
        </w:rPr>
        <w:t>í</w:t>
      </w:r>
      <w:r w:rsidR="0090766C" w:rsidRPr="009E5BCF">
        <w:rPr>
          <w:sz w:val="20"/>
          <w:szCs w:val="20"/>
          <w:lang w:val="pt-BR"/>
        </w:rPr>
        <w:t xml:space="preserve">lio </w:t>
      </w:r>
      <w:r w:rsidR="00EC0BB7" w:rsidRPr="009E5BCF">
        <w:rPr>
          <w:sz w:val="20"/>
          <w:szCs w:val="20"/>
          <w:lang w:val="pt-BR"/>
        </w:rPr>
        <w:t>das supostas vítimas</w:t>
      </w:r>
      <w:r w:rsidR="008C6385">
        <w:rPr>
          <w:sz w:val="20"/>
          <w:szCs w:val="20"/>
          <w:lang w:val="pt-BR"/>
        </w:rPr>
        <w:t xml:space="preserve"> </w:t>
      </w:r>
      <w:r>
        <w:rPr>
          <w:sz w:val="20"/>
          <w:szCs w:val="20"/>
          <w:lang w:val="pt-BR"/>
        </w:rPr>
        <w:t xml:space="preserve">no </w:t>
      </w:r>
      <w:r w:rsidR="006A3667" w:rsidRPr="009E5BCF">
        <w:rPr>
          <w:sz w:val="20"/>
          <w:szCs w:val="20"/>
          <w:lang w:val="pt-BR"/>
        </w:rPr>
        <w:t>Uruguai</w:t>
      </w:r>
      <w:r w:rsidR="008C6385">
        <w:rPr>
          <w:sz w:val="20"/>
          <w:szCs w:val="20"/>
          <w:lang w:val="pt-BR"/>
        </w:rPr>
        <w:t xml:space="preserve"> </w:t>
      </w:r>
      <w:r w:rsidR="0090766C" w:rsidRPr="009E5BCF">
        <w:rPr>
          <w:sz w:val="20"/>
          <w:szCs w:val="20"/>
          <w:lang w:val="pt-BR"/>
        </w:rPr>
        <w:t xml:space="preserve">por </w:t>
      </w:r>
      <w:r>
        <w:rPr>
          <w:sz w:val="20"/>
          <w:szCs w:val="20"/>
          <w:lang w:val="pt-BR"/>
        </w:rPr>
        <w:t xml:space="preserve">uma operação chefiada </w:t>
      </w:r>
      <w:r w:rsidR="0090766C" w:rsidRPr="009E5BCF">
        <w:rPr>
          <w:sz w:val="20"/>
          <w:szCs w:val="20"/>
          <w:lang w:val="pt-BR"/>
        </w:rPr>
        <w:t xml:space="preserve">por autoridades </w:t>
      </w:r>
      <w:r>
        <w:rPr>
          <w:sz w:val="20"/>
          <w:szCs w:val="20"/>
          <w:lang w:val="pt-BR"/>
        </w:rPr>
        <w:t>brasileiras</w:t>
      </w:r>
      <w:r w:rsidR="0090766C" w:rsidRPr="009E5BCF">
        <w:rPr>
          <w:sz w:val="20"/>
          <w:szCs w:val="20"/>
          <w:lang w:val="pt-BR"/>
        </w:rPr>
        <w:t>.</w:t>
      </w:r>
    </w:p>
    <w:p w14:paraId="409B9624" w14:textId="0787828C" w:rsidR="000205DF" w:rsidRPr="009E5BCF" w:rsidRDefault="009E5BCF" w:rsidP="000205D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9E5BCF">
        <w:rPr>
          <w:sz w:val="20"/>
          <w:szCs w:val="20"/>
          <w:lang w:val="pt-BR"/>
        </w:rPr>
        <w:t>A</w:t>
      </w:r>
      <w:r w:rsidR="000205DF" w:rsidRPr="009E5BCF">
        <w:rPr>
          <w:sz w:val="20"/>
          <w:szCs w:val="20"/>
          <w:lang w:val="pt-BR"/>
        </w:rPr>
        <w:t xml:space="preserve"> </w:t>
      </w:r>
      <w:r w:rsidR="007C470D" w:rsidRPr="009E5BCF">
        <w:rPr>
          <w:sz w:val="20"/>
          <w:szCs w:val="20"/>
          <w:lang w:val="pt-BR"/>
        </w:rPr>
        <w:t>Comissão</w:t>
      </w:r>
      <w:r w:rsidR="008C6385">
        <w:rPr>
          <w:sz w:val="20"/>
          <w:szCs w:val="20"/>
          <w:lang w:val="pt-BR"/>
        </w:rPr>
        <w:t xml:space="preserve"> </w:t>
      </w:r>
      <w:r w:rsidR="000205DF" w:rsidRPr="009E5BCF">
        <w:rPr>
          <w:sz w:val="20"/>
          <w:szCs w:val="20"/>
          <w:lang w:val="pt-BR"/>
        </w:rPr>
        <w:t xml:space="preserve">Interamericana </w:t>
      </w:r>
      <w:r w:rsidRPr="009E5BCF">
        <w:rPr>
          <w:sz w:val="20"/>
          <w:szCs w:val="20"/>
          <w:lang w:val="pt-BR"/>
        </w:rPr>
        <w:t xml:space="preserve">lembra que o </w:t>
      </w:r>
      <w:r w:rsidR="000205DF" w:rsidRPr="009E5BCF">
        <w:rPr>
          <w:sz w:val="20"/>
          <w:szCs w:val="20"/>
          <w:lang w:val="pt-BR"/>
        </w:rPr>
        <w:t>objetivo o</w:t>
      </w:r>
      <w:r>
        <w:rPr>
          <w:sz w:val="20"/>
          <w:szCs w:val="20"/>
          <w:lang w:val="pt-BR"/>
        </w:rPr>
        <w:t>u</w:t>
      </w:r>
      <w:r w:rsidR="000205DF" w:rsidRPr="009E5BCF">
        <w:rPr>
          <w:sz w:val="20"/>
          <w:szCs w:val="20"/>
          <w:lang w:val="pt-BR"/>
        </w:rPr>
        <w:t xml:space="preserve"> fi</w:t>
      </w:r>
      <w:r>
        <w:rPr>
          <w:sz w:val="20"/>
          <w:szCs w:val="20"/>
          <w:lang w:val="pt-BR"/>
        </w:rPr>
        <w:t xml:space="preserve">m da regra do esgotamento prévio é </w:t>
      </w:r>
      <w:r w:rsidR="000205DF" w:rsidRPr="009E5BCF">
        <w:rPr>
          <w:sz w:val="20"/>
          <w:szCs w:val="20"/>
          <w:lang w:val="pt-BR"/>
        </w:rPr>
        <w:t>permitir que as autoridades nacion</w:t>
      </w:r>
      <w:r w:rsidR="00B153E7" w:rsidRPr="009E5BCF">
        <w:rPr>
          <w:sz w:val="20"/>
          <w:szCs w:val="20"/>
          <w:lang w:val="pt-BR"/>
        </w:rPr>
        <w:t>ais</w:t>
      </w:r>
      <w:r w:rsidR="008C6385">
        <w:rPr>
          <w:sz w:val="20"/>
          <w:szCs w:val="20"/>
          <w:lang w:val="pt-BR"/>
        </w:rPr>
        <w:t xml:space="preserve"> </w:t>
      </w:r>
      <w:r>
        <w:rPr>
          <w:sz w:val="20"/>
          <w:szCs w:val="20"/>
          <w:lang w:val="pt-BR"/>
        </w:rPr>
        <w:t xml:space="preserve">tomem conhecimento das supostas </w:t>
      </w:r>
      <w:r w:rsidR="000205DF" w:rsidRPr="009E5BCF">
        <w:rPr>
          <w:sz w:val="20"/>
          <w:szCs w:val="20"/>
          <w:lang w:val="pt-BR"/>
        </w:rPr>
        <w:t>viola</w:t>
      </w:r>
      <w:r w:rsidR="00B153E7" w:rsidRPr="009E5BCF">
        <w:rPr>
          <w:sz w:val="20"/>
          <w:szCs w:val="20"/>
          <w:lang w:val="pt-BR"/>
        </w:rPr>
        <w:t>ções</w:t>
      </w:r>
      <w:r w:rsidR="000205DF" w:rsidRPr="009E5BCF">
        <w:rPr>
          <w:sz w:val="20"/>
          <w:szCs w:val="20"/>
          <w:lang w:val="pt-BR"/>
        </w:rPr>
        <w:t xml:space="preserve"> de </w:t>
      </w:r>
      <w:r w:rsidR="00B153E7" w:rsidRPr="009E5BCF">
        <w:rPr>
          <w:sz w:val="20"/>
          <w:szCs w:val="20"/>
          <w:lang w:val="pt-BR"/>
        </w:rPr>
        <w:t>direitos</w:t>
      </w:r>
      <w:r w:rsidR="008C6385">
        <w:rPr>
          <w:sz w:val="20"/>
          <w:szCs w:val="20"/>
          <w:lang w:val="pt-BR"/>
        </w:rPr>
        <w:t xml:space="preserve"> </w:t>
      </w:r>
      <w:r w:rsidR="000205DF" w:rsidRPr="009E5BCF">
        <w:rPr>
          <w:sz w:val="20"/>
          <w:szCs w:val="20"/>
          <w:lang w:val="pt-BR"/>
        </w:rPr>
        <w:t>humanos denunciadas p</w:t>
      </w:r>
      <w:r>
        <w:rPr>
          <w:sz w:val="20"/>
          <w:szCs w:val="20"/>
          <w:lang w:val="pt-BR"/>
        </w:rPr>
        <w:t xml:space="preserve">ela </w:t>
      </w:r>
      <w:r w:rsidR="000205DF" w:rsidRPr="009E5BCF">
        <w:rPr>
          <w:sz w:val="20"/>
          <w:szCs w:val="20"/>
          <w:lang w:val="pt-BR"/>
        </w:rPr>
        <w:t xml:space="preserve">parte </w:t>
      </w:r>
      <w:r w:rsidR="00D64156" w:rsidRPr="009E5BCF">
        <w:rPr>
          <w:sz w:val="20"/>
          <w:szCs w:val="20"/>
          <w:lang w:val="pt-BR"/>
        </w:rPr>
        <w:t>peticionária</w:t>
      </w:r>
      <w:r w:rsidR="008C6385">
        <w:rPr>
          <w:sz w:val="20"/>
          <w:szCs w:val="20"/>
          <w:lang w:val="pt-BR"/>
        </w:rPr>
        <w:t xml:space="preserve"> </w:t>
      </w:r>
      <w:r w:rsidR="000205DF" w:rsidRPr="009E5BCF">
        <w:rPr>
          <w:sz w:val="20"/>
          <w:szCs w:val="20"/>
          <w:lang w:val="pt-BR"/>
        </w:rPr>
        <w:t>antes que se emita u</w:t>
      </w:r>
      <w:r>
        <w:rPr>
          <w:sz w:val="20"/>
          <w:szCs w:val="20"/>
          <w:lang w:val="pt-BR"/>
        </w:rPr>
        <w:t xml:space="preserve">m parecer </w:t>
      </w:r>
      <w:r w:rsidR="000205DF" w:rsidRPr="009E5BCF">
        <w:rPr>
          <w:sz w:val="20"/>
          <w:szCs w:val="20"/>
          <w:lang w:val="pt-BR"/>
        </w:rPr>
        <w:t xml:space="preserve">internacional sobre </w:t>
      </w:r>
      <w:r>
        <w:rPr>
          <w:sz w:val="20"/>
          <w:szCs w:val="20"/>
          <w:lang w:val="pt-BR"/>
        </w:rPr>
        <w:t>o</w:t>
      </w:r>
      <w:r w:rsidR="000205DF" w:rsidRPr="009E5BCF">
        <w:rPr>
          <w:sz w:val="20"/>
          <w:szCs w:val="20"/>
          <w:lang w:val="pt-BR"/>
        </w:rPr>
        <w:t xml:space="preserve"> as</w:t>
      </w:r>
      <w:r>
        <w:rPr>
          <w:sz w:val="20"/>
          <w:szCs w:val="20"/>
          <w:lang w:val="pt-BR"/>
        </w:rPr>
        <w:t>s</w:t>
      </w:r>
      <w:r w:rsidR="000205DF" w:rsidRPr="009E5BCF">
        <w:rPr>
          <w:sz w:val="20"/>
          <w:szCs w:val="20"/>
          <w:lang w:val="pt-BR"/>
        </w:rPr>
        <w:t xml:space="preserve">unto. </w:t>
      </w:r>
      <w:r w:rsidRPr="009E5BCF">
        <w:rPr>
          <w:sz w:val="20"/>
          <w:szCs w:val="20"/>
          <w:lang w:val="pt-BR"/>
        </w:rPr>
        <w:t>No</w:t>
      </w:r>
      <w:r>
        <w:rPr>
          <w:sz w:val="20"/>
          <w:szCs w:val="20"/>
          <w:lang w:val="pt-BR"/>
        </w:rPr>
        <w:t xml:space="preserve">s termos </w:t>
      </w:r>
      <w:r w:rsidR="00891A5F" w:rsidRPr="009E5BCF">
        <w:rPr>
          <w:sz w:val="20"/>
          <w:szCs w:val="20"/>
          <w:lang w:val="pt-BR"/>
        </w:rPr>
        <w:t xml:space="preserve">dos </w:t>
      </w:r>
      <w:r w:rsidR="00B153E7" w:rsidRPr="009E5BCF">
        <w:rPr>
          <w:sz w:val="20"/>
          <w:szCs w:val="20"/>
          <w:lang w:val="pt-BR"/>
        </w:rPr>
        <w:t>artigos</w:t>
      </w:r>
      <w:r w:rsidR="008C6385">
        <w:rPr>
          <w:sz w:val="20"/>
          <w:szCs w:val="20"/>
          <w:lang w:val="pt-BR"/>
        </w:rPr>
        <w:t xml:space="preserve"> </w:t>
      </w:r>
      <w:r w:rsidR="005602E2" w:rsidRPr="009E5BCF">
        <w:rPr>
          <w:sz w:val="20"/>
          <w:szCs w:val="20"/>
          <w:lang w:val="pt-BR"/>
        </w:rPr>
        <w:t xml:space="preserve">46 </w:t>
      </w:r>
      <w:r w:rsidR="00B153E7" w:rsidRPr="009E5BCF">
        <w:rPr>
          <w:sz w:val="20"/>
          <w:szCs w:val="20"/>
          <w:lang w:val="pt-BR"/>
        </w:rPr>
        <w:t xml:space="preserve">da </w:t>
      </w:r>
      <w:r w:rsidR="005602E2" w:rsidRPr="009E5BCF">
        <w:rPr>
          <w:sz w:val="20"/>
          <w:szCs w:val="20"/>
          <w:lang w:val="pt-BR"/>
        </w:rPr>
        <w:t>Conven</w:t>
      </w:r>
      <w:r w:rsidR="00B153E7" w:rsidRPr="009E5BCF">
        <w:rPr>
          <w:sz w:val="20"/>
          <w:szCs w:val="20"/>
          <w:lang w:val="pt-BR"/>
        </w:rPr>
        <w:t>ção</w:t>
      </w:r>
      <w:r w:rsidR="005602E2" w:rsidRPr="009E5BCF">
        <w:rPr>
          <w:sz w:val="20"/>
          <w:szCs w:val="20"/>
          <w:lang w:val="pt-BR"/>
        </w:rPr>
        <w:t xml:space="preserve"> Americana </w:t>
      </w:r>
      <w:r>
        <w:rPr>
          <w:sz w:val="20"/>
          <w:szCs w:val="20"/>
          <w:lang w:val="pt-BR"/>
        </w:rPr>
        <w:t>e</w:t>
      </w:r>
      <w:r w:rsidR="005602E2" w:rsidRPr="009E5BCF">
        <w:rPr>
          <w:sz w:val="20"/>
          <w:szCs w:val="20"/>
          <w:lang w:val="pt-BR"/>
        </w:rPr>
        <w:t xml:space="preserve"> 28.8 d</w:t>
      </w:r>
      <w:r>
        <w:rPr>
          <w:sz w:val="20"/>
          <w:szCs w:val="20"/>
          <w:lang w:val="pt-BR"/>
        </w:rPr>
        <w:t>o</w:t>
      </w:r>
      <w:r w:rsidR="005602E2" w:rsidRPr="009E5BCF">
        <w:rPr>
          <w:sz w:val="20"/>
          <w:szCs w:val="20"/>
          <w:lang w:val="pt-BR"/>
        </w:rPr>
        <w:t xml:space="preserve"> Reg</w:t>
      </w:r>
      <w:r>
        <w:rPr>
          <w:sz w:val="20"/>
          <w:szCs w:val="20"/>
          <w:lang w:val="pt-BR"/>
        </w:rPr>
        <w:t>u</w:t>
      </w:r>
      <w:r w:rsidR="005602E2" w:rsidRPr="009E5BCF">
        <w:rPr>
          <w:sz w:val="20"/>
          <w:szCs w:val="20"/>
          <w:lang w:val="pt-BR"/>
        </w:rPr>
        <w:t xml:space="preserve">lamento </w:t>
      </w:r>
      <w:r w:rsidR="00B153E7" w:rsidRPr="009E5BCF">
        <w:rPr>
          <w:sz w:val="20"/>
          <w:szCs w:val="20"/>
          <w:lang w:val="pt-BR"/>
        </w:rPr>
        <w:t xml:space="preserve">da </w:t>
      </w:r>
      <w:r w:rsidR="007C470D" w:rsidRPr="009E5BCF">
        <w:rPr>
          <w:sz w:val="20"/>
          <w:szCs w:val="20"/>
          <w:lang w:val="pt-BR"/>
        </w:rPr>
        <w:t>Comissão</w:t>
      </w:r>
      <w:r w:rsidR="005602E2" w:rsidRPr="009E5BCF">
        <w:rPr>
          <w:sz w:val="20"/>
          <w:szCs w:val="20"/>
          <w:lang w:val="pt-BR"/>
        </w:rPr>
        <w:t xml:space="preserve">, a parte </w:t>
      </w:r>
      <w:r w:rsidR="00D64156" w:rsidRPr="009E5BCF">
        <w:rPr>
          <w:sz w:val="20"/>
          <w:szCs w:val="20"/>
          <w:lang w:val="pt-BR"/>
        </w:rPr>
        <w:t>peticionária</w:t>
      </w:r>
      <w:r w:rsidR="008C6385">
        <w:rPr>
          <w:sz w:val="20"/>
          <w:szCs w:val="20"/>
          <w:lang w:val="pt-BR"/>
        </w:rPr>
        <w:t xml:space="preserve"> </w:t>
      </w:r>
      <w:r>
        <w:rPr>
          <w:sz w:val="20"/>
          <w:szCs w:val="20"/>
          <w:lang w:val="pt-BR"/>
        </w:rPr>
        <w:t xml:space="preserve">tem o </w:t>
      </w:r>
      <w:r w:rsidR="00B153E7" w:rsidRPr="009E5BCF">
        <w:rPr>
          <w:sz w:val="20"/>
          <w:szCs w:val="20"/>
          <w:lang w:val="pt-BR"/>
        </w:rPr>
        <w:t xml:space="preserve">dever </w:t>
      </w:r>
      <w:r w:rsidR="005602E2" w:rsidRPr="009E5BCF">
        <w:rPr>
          <w:sz w:val="20"/>
          <w:szCs w:val="20"/>
          <w:lang w:val="pt-BR"/>
        </w:rPr>
        <w:t xml:space="preserve">de </w:t>
      </w:r>
      <w:r>
        <w:rPr>
          <w:sz w:val="20"/>
          <w:szCs w:val="20"/>
          <w:lang w:val="pt-BR"/>
        </w:rPr>
        <w:t xml:space="preserve">prestar </w:t>
      </w:r>
      <w:r w:rsidR="005602E2" w:rsidRPr="009E5BCF">
        <w:rPr>
          <w:sz w:val="20"/>
          <w:szCs w:val="20"/>
          <w:lang w:val="pt-BR"/>
        </w:rPr>
        <w:t>informa</w:t>
      </w:r>
      <w:r w:rsidR="00B153E7" w:rsidRPr="009E5BCF">
        <w:rPr>
          <w:sz w:val="20"/>
          <w:szCs w:val="20"/>
          <w:lang w:val="pt-BR"/>
        </w:rPr>
        <w:t>ção</w:t>
      </w:r>
      <w:r w:rsidR="005602E2" w:rsidRPr="009E5BCF">
        <w:rPr>
          <w:sz w:val="20"/>
          <w:szCs w:val="20"/>
          <w:lang w:val="pt-BR"/>
        </w:rPr>
        <w:t xml:space="preserve"> sobre todas as </w:t>
      </w:r>
      <w:r>
        <w:rPr>
          <w:sz w:val="20"/>
          <w:szCs w:val="20"/>
          <w:lang w:val="pt-BR"/>
        </w:rPr>
        <w:t xml:space="preserve">gestões conduzidas para esgotar os </w:t>
      </w:r>
      <w:r w:rsidR="005602E2" w:rsidRPr="009E5BCF">
        <w:rPr>
          <w:sz w:val="20"/>
          <w:szCs w:val="20"/>
          <w:lang w:val="pt-BR"/>
        </w:rPr>
        <w:t xml:space="preserve">recursos </w:t>
      </w:r>
      <w:r w:rsidR="00B153E7" w:rsidRPr="009E5BCF">
        <w:rPr>
          <w:sz w:val="20"/>
          <w:szCs w:val="20"/>
          <w:lang w:val="pt-BR"/>
        </w:rPr>
        <w:t xml:space="preserve">da </w:t>
      </w:r>
      <w:r w:rsidR="005602E2" w:rsidRPr="009E5BCF">
        <w:rPr>
          <w:sz w:val="20"/>
          <w:szCs w:val="20"/>
          <w:lang w:val="pt-BR"/>
        </w:rPr>
        <w:t>jurisdi</w:t>
      </w:r>
      <w:r w:rsidR="00B153E7" w:rsidRPr="009E5BCF">
        <w:rPr>
          <w:sz w:val="20"/>
          <w:szCs w:val="20"/>
          <w:lang w:val="pt-BR"/>
        </w:rPr>
        <w:t>ção</w:t>
      </w:r>
      <w:r w:rsidR="005602E2" w:rsidRPr="009E5BCF">
        <w:rPr>
          <w:sz w:val="20"/>
          <w:szCs w:val="20"/>
          <w:lang w:val="pt-BR"/>
        </w:rPr>
        <w:t xml:space="preserve"> interna o</w:t>
      </w:r>
      <w:r>
        <w:rPr>
          <w:sz w:val="20"/>
          <w:szCs w:val="20"/>
          <w:lang w:val="pt-BR"/>
        </w:rPr>
        <w:t>u</w:t>
      </w:r>
      <w:r w:rsidR="005602E2" w:rsidRPr="009E5BCF">
        <w:rPr>
          <w:sz w:val="20"/>
          <w:szCs w:val="20"/>
          <w:lang w:val="pt-BR"/>
        </w:rPr>
        <w:t xml:space="preserve"> </w:t>
      </w:r>
      <w:r>
        <w:rPr>
          <w:sz w:val="20"/>
          <w:szCs w:val="20"/>
          <w:lang w:val="pt-BR"/>
        </w:rPr>
        <w:t>sobre a impossibilidade de fazê-lo.</w:t>
      </w:r>
      <w:r w:rsidR="000205DF" w:rsidRPr="00D64156">
        <w:rPr>
          <w:rStyle w:val="FootnoteReference"/>
          <w:sz w:val="20"/>
          <w:szCs w:val="20"/>
          <w:lang w:val="pt-BR"/>
        </w:rPr>
        <w:footnoteReference w:id="12"/>
      </w:r>
      <w:r w:rsidR="000A6A74" w:rsidRPr="009E5BCF">
        <w:rPr>
          <w:sz w:val="20"/>
          <w:szCs w:val="20"/>
          <w:lang w:val="pt-BR"/>
        </w:rPr>
        <w:t xml:space="preserve"> </w:t>
      </w:r>
    </w:p>
    <w:p w14:paraId="7C92DAC3" w14:textId="2D844CAA" w:rsidR="00CE0487" w:rsidRPr="00601745" w:rsidRDefault="00601745" w:rsidP="00E167F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601745">
        <w:rPr>
          <w:sz w:val="20"/>
          <w:szCs w:val="20"/>
          <w:lang w:val="pt-BR"/>
        </w:rPr>
        <w:t xml:space="preserve">No </w:t>
      </w:r>
      <w:r w:rsidR="000A6A74" w:rsidRPr="00601745">
        <w:rPr>
          <w:sz w:val="20"/>
          <w:szCs w:val="20"/>
          <w:lang w:val="pt-BR"/>
        </w:rPr>
        <w:t xml:space="preserve">presente caso, a parte </w:t>
      </w:r>
      <w:r w:rsidR="00D64156" w:rsidRPr="00601745">
        <w:rPr>
          <w:sz w:val="20"/>
          <w:szCs w:val="20"/>
          <w:lang w:val="pt-BR"/>
        </w:rPr>
        <w:t>peticionária</w:t>
      </w:r>
      <w:r w:rsidR="008C6385">
        <w:rPr>
          <w:sz w:val="20"/>
          <w:szCs w:val="20"/>
          <w:lang w:val="pt-BR"/>
        </w:rPr>
        <w:t xml:space="preserve"> </w:t>
      </w:r>
      <w:r w:rsidR="000A6A74" w:rsidRPr="00601745">
        <w:rPr>
          <w:sz w:val="20"/>
          <w:szCs w:val="20"/>
          <w:lang w:val="pt-BR"/>
        </w:rPr>
        <w:t>afirma que as situa</w:t>
      </w:r>
      <w:r w:rsidR="00B153E7" w:rsidRPr="00601745">
        <w:rPr>
          <w:sz w:val="20"/>
          <w:szCs w:val="20"/>
          <w:lang w:val="pt-BR"/>
        </w:rPr>
        <w:t>ções</w:t>
      </w:r>
      <w:r w:rsidR="000A6A74" w:rsidRPr="00601745">
        <w:rPr>
          <w:sz w:val="20"/>
          <w:szCs w:val="20"/>
          <w:lang w:val="pt-BR"/>
        </w:rPr>
        <w:t xml:space="preserve"> denunciadas </w:t>
      </w:r>
      <w:r>
        <w:rPr>
          <w:sz w:val="20"/>
          <w:szCs w:val="20"/>
          <w:lang w:val="pt-BR"/>
        </w:rPr>
        <w:t xml:space="preserve">foram </w:t>
      </w:r>
      <w:r w:rsidR="000A6A74" w:rsidRPr="00601745">
        <w:rPr>
          <w:sz w:val="20"/>
          <w:szCs w:val="20"/>
          <w:lang w:val="pt-BR"/>
        </w:rPr>
        <w:t xml:space="preserve">objeto de exame interno durante </w:t>
      </w:r>
      <w:r>
        <w:rPr>
          <w:sz w:val="20"/>
          <w:szCs w:val="20"/>
          <w:lang w:val="pt-BR"/>
        </w:rPr>
        <w:t xml:space="preserve">mais de trinta e cinco anos, o que </w:t>
      </w:r>
      <w:r w:rsidR="000A6A74" w:rsidRPr="00601745">
        <w:rPr>
          <w:sz w:val="20"/>
          <w:szCs w:val="20"/>
          <w:lang w:val="pt-BR"/>
        </w:rPr>
        <w:t xml:space="preserve">caracteriza </w:t>
      </w:r>
      <w:r>
        <w:rPr>
          <w:sz w:val="20"/>
          <w:szCs w:val="20"/>
          <w:lang w:val="pt-BR"/>
        </w:rPr>
        <w:t xml:space="preserve">atraso </w:t>
      </w:r>
      <w:r w:rsidR="000A6A74" w:rsidRPr="00601745">
        <w:rPr>
          <w:sz w:val="20"/>
          <w:szCs w:val="20"/>
          <w:lang w:val="pt-BR"/>
        </w:rPr>
        <w:t>injustificado.</w:t>
      </w:r>
      <w:r w:rsidR="00CA7538" w:rsidRPr="00601745">
        <w:rPr>
          <w:sz w:val="20"/>
          <w:szCs w:val="20"/>
          <w:lang w:val="pt-BR"/>
        </w:rPr>
        <w:t xml:space="preserve"> </w:t>
      </w:r>
      <w:r w:rsidRPr="00601745">
        <w:rPr>
          <w:sz w:val="20"/>
          <w:szCs w:val="20"/>
          <w:lang w:val="pt-BR"/>
        </w:rPr>
        <w:t>No entanto</w:t>
      </w:r>
      <w:r w:rsidR="00CA7538" w:rsidRPr="00601745">
        <w:rPr>
          <w:sz w:val="20"/>
          <w:szCs w:val="20"/>
          <w:lang w:val="pt-BR"/>
        </w:rPr>
        <w:t xml:space="preserve">, a </w:t>
      </w:r>
      <w:r w:rsidR="007C470D" w:rsidRPr="00601745">
        <w:rPr>
          <w:sz w:val="20"/>
          <w:szCs w:val="20"/>
          <w:lang w:val="pt-BR"/>
        </w:rPr>
        <w:t>Comissão</w:t>
      </w:r>
      <w:r w:rsidR="008C6385">
        <w:rPr>
          <w:sz w:val="20"/>
          <w:szCs w:val="20"/>
          <w:lang w:val="pt-BR"/>
        </w:rPr>
        <w:t xml:space="preserve"> </w:t>
      </w:r>
      <w:r w:rsidR="00CA7538" w:rsidRPr="00601745">
        <w:rPr>
          <w:sz w:val="20"/>
          <w:szCs w:val="20"/>
          <w:lang w:val="pt-BR"/>
        </w:rPr>
        <w:t xml:space="preserve">Interamericana </w:t>
      </w:r>
      <w:r w:rsidRPr="00601745">
        <w:rPr>
          <w:sz w:val="20"/>
          <w:szCs w:val="20"/>
          <w:lang w:val="pt-BR"/>
        </w:rPr>
        <w:t>n</w:t>
      </w:r>
      <w:r>
        <w:rPr>
          <w:sz w:val="20"/>
          <w:szCs w:val="20"/>
          <w:lang w:val="pt-BR"/>
        </w:rPr>
        <w:t xml:space="preserve">ão encontra </w:t>
      </w:r>
      <w:r w:rsidR="00CA7538" w:rsidRPr="00601745">
        <w:rPr>
          <w:sz w:val="20"/>
          <w:szCs w:val="20"/>
          <w:lang w:val="pt-BR"/>
        </w:rPr>
        <w:t>elementos que justifique</w:t>
      </w:r>
      <w:r>
        <w:rPr>
          <w:sz w:val="20"/>
          <w:szCs w:val="20"/>
          <w:lang w:val="pt-BR"/>
        </w:rPr>
        <w:t xml:space="preserve">m essa </w:t>
      </w:r>
      <w:r w:rsidR="00CA7538" w:rsidRPr="00601745">
        <w:rPr>
          <w:sz w:val="20"/>
          <w:szCs w:val="20"/>
          <w:lang w:val="pt-BR"/>
        </w:rPr>
        <w:t>afirma</w:t>
      </w:r>
      <w:r w:rsidR="00B153E7" w:rsidRPr="00601745">
        <w:rPr>
          <w:sz w:val="20"/>
          <w:szCs w:val="20"/>
          <w:lang w:val="pt-BR"/>
        </w:rPr>
        <w:t>ção</w:t>
      </w:r>
      <w:r w:rsidR="00CA7538" w:rsidRPr="00601745">
        <w:rPr>
          <w:sz w:val="20"/>
          <w:szCs w:val="20"/>
          <w:lang w:val="pt-BR"/>
        </w:rPr>
        <w:t xml:space="preserve">. </w:t>
      </w:r>
      <w:r w:rsidRPr="00601745">
        <w:rPr>
          <w:sz w:val="20"/>
          <w:szCs w:val="20"/>
          <w:lang w:val="pt-BR"/>
        </w:rPr>
        <w:t>O pe</w:t>
      </w:r>
      <w:r>
        <w:rPr>
          <w:sz w:val="20"/>
          <w:szCs w:val="20"/>
          <w:lang w:val="pt-BR"/>
        </w:rPr>
        <w:t xml:space="preserve">ríodo de mais de trinta e cinco anos se refere unicamente aos </w:t>
      </w:r>
      <w:r w:rsidR="00B153E7" w:rsidRPr="00601745">
        <w:rPr>
          <w:sz w:val="20"/>
          <w:szCs w:val="20"/>
          <w:lang w:val="pt-BR"/>
        </w:rPr>
        <w:t>direitos</w:t>
      </w:r>
      <w:r w:rsidR="008C6385">
        <w:rPr>
          <w:sz w:val="20"/>
          <w:szCs w:val="20"/>
          <w:lang w:val="pt-BR"/>
        </w:rPr>
        <w:t xml:space="preserve"> </w:t>
      </w:r>
      <w:r w:rsidR="00CA7538" w:rsidRPr="00601745">
        <w:rPr>
          <w:sz w:val="20"/>
          <w:szCs w:val="20"/>
          <w:lang w:val="pt-BR"/>
        </w:rPr>
        <w:t xml:space="preserve">de crédito discutidos </w:t>
      </w:r>
      <w:r>
        <w:rPr>
          <w:sz w:val="20"/>
          <w:szCs w:val="20"/>
          <w:lang w:val="pt-BR"/>
        </w:rPr>
        <w:t xml:space="preserve">no </w:t>
      </w:r>
      <w:r w:rsidR="00CA7538" w:rsidRPr="00601745">
        <w:rPr>
          <w:sz w:val="20"/>
          <w:szCs w:val="20"/>
          <w:lang w:val="pt-BR"/>
        </w:rPr>
        <w:t xml:space="preserve">contexto </w:t>
      </w:r>
      <w:r w:rsidR="00891A5F" w:rsidRPr="00601745">
        <w:rPr>
          <w:sz w:val="20"/>
          <w:szCs w:val="20"/>
          <w:lang w:val="pt-BR"/>
        </w:rPr>
        <w:t xml:space="preserve">dos </w:t>
      </w:r>
      <w:r w:rsidR="00CA7538" w:rsidRPr="00601745">
        <w:rPr>
          <w:i/>
          <w:iCs/>
          <w:sz w:val="20"/>
          <w:szCs w:val="20"/>
          <w:lang w:val="pt-BR"/>
        </w:rPr>
        <w:t>precatórios</w:t>
      </w:r>
      <w:r w:rsidR="00CA7538" w:rsidRPr="00601745">
        <w:rPr>
          <w:sz w:val="20"/>
          <w:szCs w:val="20"/>
          <w:lang w:val="pt-BR"/>
        </w:rPr>
        <w:t>. Es</w:t>
      </w:r>
      <w:r w:rsidRPr="00601745">
        <w:rPr>
          <w:sz w:val="20"/>
          <w:szCs w:val="20"/>
          <w:lang w:val="pt-BR"/>
        </w:rPr>
        <w:t>s</w:t>
      </w:r>
      <w:r w:rsidR="00CA7538" w:rsidRPr="00601745">
        <w:rPr>
          <w:sz w:val="20"/>
          <w:szCs w:val="20"/>
          <w:lang w:val="pt-BR"/>
        </w:rPr>
        <w:t xml:space="preserve">e tema, </w:t>
      </w:r>
      <w:r>
        <w:rPr>
          <w:sz w:val="20"/>
          <w:szCs w:val="20"/>
          <w:lang w:val="pt-BR"/>
        </w:rPr>
        <w:t>no entanto</w:t>
      </w:r>
      <w:r w:rsidR="00CA7538" w:rsidRPr="00601745">
        <w:rPr>
          <w:sz w:val="20"/>
          <w:szCs w:val="20"/>
          <w:lang w:val="pt-BR"/>
        </w:rPr>
        <w:t xml:space="preserve">, se </w:t>
      </w:r>
      <w:r>
        <w:rPr>
          <w:sz w:val="20"/>
          <w:szCs w:val="20"/>
          <w:lang w:val="pt-BR"/>
        </w:rPr>
        <w:t xml:space="preserve">encontra excluído </w:t>
      </w:r>
      <w:r w:rsidR="00B153E7" w:rsidRPr="00601745">
        <w:rPr>
          <w:sz w:val="20"/>
          <w:szCs w:val="20"/>
          <w:lang w:val="pt-BR"/>
        </w:rPr>
        <w:t xml:space="preserve">da </w:t>
      </w:r>
      <w:r w:rsidR="00CA7538" w:rsidRPr="00601745">
        <w:rPr>
          <w:sz w:val="20"/>
          <w:szCs w:val="20"/>
          <w:lang w:val="pt-BR"/>
        </w:rPr>
        <w:t>considera</w:t>
      </w:r>
      <w:r w:rsidR="00B153E7" w:rsidRPr="00601745">
        <w:rPr>
          <w:sz w:val="20"/>
          <w:szCs w:val="20"/>
          <w:lang w:val="pt-BR"/>
        </w:rPr>
        <w:t>ção</w:t>
      </w:r>
      <w:r w:rsidR="00CA7538" w:rsidRPr="00601745">
        <w:rPr>
          <w:sz w:val="20"/>
          <w:szCs w:val="20"/>
          <w:lang w:val="pt-BR"/>
        </w:rPr>
        <w:t xml:space="preserve"> </w:t>
      </w:r>
      <w:r w:rsidR="00B153E7" w:rsidRPr="00601745">
        <w:rPr>
          <w:sz w:val="20"/>
          <w:szCs w:val="20"/>
          <w:lang w:val="pt-BR"/>
        </w:rPr>
        <w:t xml:space="preserve">da </w:t>
      </w:r>
      <w:r w:rsidR="00CA7538" w:rsidRPr="00601745">
        <w:rPr>
          <w:sz w:val="20"/>
          <w:szCs w:val="20"/>
          <w:lang w:val="pt-BR"/>
        </w:rPr>
        <w:t xml:space="preserve">CIDH, </w:t>
      </w:r>
      <w:r>
        <w:rPr>
          <w:sz w:val="20"/>
          <w:szCs w:val="20"/>
          <w:lang w:val="pt-BR"/>
        </w:rPr>
        <w:t xml:space="preserve">em conformidade com a </w:t>
      </w:r>
      <w:r w:rsidR="00CA7538" w:rsidRPr="00601745">
        <w:rPr>
          <w:sz w:val="20"/>
          <w:szCs w:val="20"/>
          <w:lang w:val="pt-BR"/>
        </w:rPr>
        <w:t>Sec</w:t>
      </w:r>
      <w:r w:rsidR="00B153E7" w:rsidRPr="00601745">
        <w:rPr>
          <w:sz w:val="20"/>
          <w:szCs w:val="20"/>
          <w:lang w:val="pt-BR"/>
        </w:rPr>
        <w:t>ão</w:t>
      </w:r>
      <w:r w:rsidR="00CA7538" w:rsidRPr="00601745">
        <w:rPr>
          <w:sz w:val="20"/>
          <w:szCs w:val="20"/>
          <w:lang w:val="pt-BR"/>
        </w:rPr>
        <w:t xml:space="preserve"> VII deste </w:t>
      </w:r>
      <w:r>
        <w:rPr>
          <w:sz w:val="20"/>
          <w:szCs w:val="20"/>
          <w:lang w:val="pt-BR"/>
        </w:rPr>
        <w:t>relatório</w:t>
      </w:r>
      <w:r w:rsidR="00CA7538" w:rsidRPr="00601745">
        <w:rPr>
          <w:sz w:val="20"/>
          <w:szCs w:val="20"/>
          <w:lang w:val="pt-BR"/>
        </w:rPr>
        <w:t xml:space="preserve">. </w:t>
      </w:r>
    </w:p>
    <w:p w14:paraId="48F6DF46" w14:textId="1521CD36" w:rsidR="001A76C6" w:rsidRPr="00601745" w:rsidRDefault="00601745" w:rsidP="00071C1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Pr>
          <w:sz w:val="20"/>
          <w:szCs w:val="20"/>
          <w:lang w:val="pt-BR"/>
        </w:rPr>
        <w:t>A</w:t>
      </w:r>
      <w:r w:rsidR="00CE0487" w:rsidRPr="00D64156">
        <w:rPr>
          <w:sz w:val="20"/>
          <w:szCs w:val="20"/>
          <w:lang w:val="pt-BR"/>
        </w:rPr>
        <w:t xml:space="preserve"> </w:t>
      </w:r>
      <w:r w:rsidR="007C470D">
        <w:rPr>
          <w:sz w:val="20"/>
          <w:szCs w:val="20"/>
          <w:lang w:val="pt-BR"/>
        </w:rPr>
        <w:t>Comissão</w:t>
      </w:r>
      <w:r w:rsidR="008C6385">
        <w:rPr>
          <w:sz w:val="20"/>
          <w:szCs w:val="20"/>
          <w:lang w:val="pt-BR"/>
        </w:rPr>
        <w:t xml:space="preserve"> </w:t>
      </w:r>
      <w:r w:rsidR="00CE0487" w:rsidRPr="00D64156">
        <w:rPr>
          <w:sz w:val="20"/>
          <w:szCs w:val="20"/>
          <w:lang w:val="pt-BR"/>
        </w:rPr>
        <w:t xml:space="preserve">observa que, </w:t>
      </w:r>
      <w:r>
        <w:rPr>
          <w:sz w:val="20"/>
          <w:szCs w:val="20"/>
          <w:lang w:val="pt-BR"/>
        </w:rPr>
        <w:t xml:space="preserve">em seus </w:t>
      </w:r>
      <w:r w:rsidR="00CA7538" w:rsidRPr="00D64156">
        <w:rPr>
          <w:sz w:val="20"/>
          <w:szCs w:val="20"/>
          <w:lang w:val="pt-BR"/>
        </w:rPr>
        <w:t xml:space="preserve">escritos, a parte </w:t>
      </w:r>
      <w:r w:rsidR="00D64156" w:rsidRPr="00D64156">
        <w:rPr>
          <w:sz w:val="20"/>
          <w:szCs w:val="20"/>
          <w:lang w:val="pt-BR"/>
        </w:rPr>
        <w:t>peticionária</w:t>
      </w:r>
      <w:r w:rsidR="008C6385">
        <w:rPr>
          <w:sz w:val="20"/>
          <w:szCs w:val="20"/>
          <w:lang w:val="pt-BR"/>
        </w:rPr>
        <w:t xml:space="preserve"> </w:t>
      </w:r>
      <w:r w:rsidR="00CA7538" w:rsidRPr="00D64156">
        <w:rPr>
          <w:sz w:val="20"/>
          <w:szCs w:val="20"/>
          <w:lang w:val="pt-BR"/>
        </w:rPr>
        <w:t>n</w:t>
      </w:r>
      <w:r>
        <w:rPr>
          <w:sz w:val="20"/>
          <w:szCs w:val="20"/>
          <w:lang w:val="pt-BR"/>
        </w:rPr>
        <w:t>ã</w:t>
      </w:r>
      <w:r w:rsidR="00CA7538" w:rsidRPr="00D64156">
        <w:rPr>
          <w:sz w:val="20"/>
          <w:szCs w:val="20"/>
          <w:lang w:val="pt-BR"/>
        </w:rPr>
        <w:t xml:space="preserve">o </w:t>
      </w:r>
      <w:r>
        <w:rPr>
          <w:sz w:val="20"/>
          <w:szCs w:val="20"/>
          <w:lang w:val="pt-BR"/>
        </w:rPr>
        <w:t xml:space="preserve">esclarece </w:t>
      </w:r>
      <w:r w:rsidR="001A76C6" w:rsidRPr="00D64156">
        <w:rPr>
          <w:sz w:val="20"/>
          <w:szCs w:val="20"/>
          <w:lang w:val="pt-BR"/>
        </w:rPr>
        <w:t>suficientemente</w:t>
      </w:r>
      <w:r w:rsidR="00CA7538" w:rsidRPr="00D64156">
        <w:rPr>
          <w:sz w:val="20"/>
          <w:szCs w:val="20"/>
          <w:lang w:val="pt-BR"/>
        </w:rPr>
        <w:t xml:space="preserve"> </w:t>
      </w:r>
      <w:r>
        <w:rPr>
          <w:sz w:val="20"/>
          <w:szCs w:val="20"/>
          <w:lang w:val="pt-BR"/>
        </w:rPr>
        <w:t xml:space="preserve">quais foram os </w:t>
      </w:r>
      <w:r w:rsidR="00CA7538" w:rsidRPr="00D64156">
        <w:rPr>
          <w:sz w:val="20"/>
          <w:szCs w:val="20"/>
          <w:lang w:val="pt-BR"/>
        </w:rPr>
        <w:t xml:space="preserve">recursos internos que </w:t>
      </w:r>
      <w:r>
        <w:rPr>
          <w:sz w:val="20"/>
          <w:szCs w:val="20"/>
          <w:lang w:val="pt-BR"/>
        </w:rPr>
        <w:t xml:space="preserve">tentou esgotar, </w:t>
      </w:r>
      <w:r w:rsidR="00370328">
        <w:rPr>
          <w:sz w:val="20"/>
          <w:szCs w:val="20"/>
          <w:lang w:val="pt-BR"/>
        </w:rPr>
        <w:t>n</w:t>
      </w:r>
      <w:r>
        <w:rPr>
          <w:sz w:val="20"/>
          <w:szCs w:val="20"/>
          <w:lang w:val="pt-BR"/>
        </w:rPr>
        <w:t>em quando os teria esgotado</w:t>
      </w:r>
      <w:r w:rsidR="001A76C6" w:rsidRPr="00D64156">
        <w:rPr>
          <w:sz w:val="20"/>
          <w:szCs w:val="20"/>
          <w:lang w:val="pt-BR"/>
        </w:rPr>
        <w:t>,</w:t>
      </w:r>
      <w:r w:rsidR="00CA7538" w:rsidRPr="00D64156">
        <w:rPr>
          <w:sz w:val="20"/>
          <w:szCs w:val="20"/>
          <w:lang w:val="pt-BR"/>
        </w:rPr>
        <w:t xml:space="preserve"> </w:t>
      </w:r>
      <w:r>
        <w:rPr>
          <w:sz w:val="20"/>
          <w:szCs w:val="20"/>
          <w:lang w:val="pt-BR"/>
        </w:rPr>
        <w:t xml:space="preserve">com respeito às supostas </w:t>
      </w:r>
      <w:r w:rsidR="00CA7538" w:rsidRPr="00D64156">
        <w:rPr>
          <w:sz w:val="20"/>
          <w:szCs w:val="20"/>
          <w:lang w:val="pt-BR"/>
        </w:rPr>
        <w:t>deten</w:t>
      </w:r>
      <w:r w:rsidR="00B153E7" w:rsidRPr="00D64156">
        <w:rPr>
          <w:sz w:val="20"/>
          <w:szCs w:val="20"/>
          <w:lang w:val="pt-BR"/>
        </w:rPr>
        <w:t>ções</w:t>
      </w:r>
      <w:r w:rsidR="00CA7538" w:rsidRPr="00D64156">
        <w:rPr>
          <w:sz w:val="20"/>
          <w:szCs w:val="20"/>
          <w:lang w:val="pt-BR"/>
        </w:rPr>
        <w:t xml:space="preserve"> </w:t>
      </w:r>
      <w:r w:rsidR="00EC0BB7">
        <w:rPr>
          <w:sz w:val="20"/>
          <w:szCs w:val="20"/>
          <w:lang w:val="pt-BR"/>
        </w:rPr>
        <w:t>arbitrárias</w:t>
      </w:r>
      <w:r w:rsidR="00CA7538" w:rsidRPr="00D64156">
        <w:rPr>
          <w:sz w:val="20"/>
          <w:szCs w:val="20"/>
          <w:lang w:val="pt-BR"/>
        </w:rPr>
        <w:t>, falta de aten</w:t>
      </w:r>
      <w:r w:rsidR="00B153E7" w:rsidRPr="00D64156">
        <w:rPr>
          <w:sz w:val="20"/>
          <w:szCs w:val="20"/>
          <w:lang w:val="pt-BR"/>
        </w:rPr>
        <w:t>ção</w:t>
      </w:r>
      <w:r w:rsidR="00CA7538" w:rsidRPr="00D64156">
        <w:rPr>
          <w:sz w:val="20"/>
          <w:szCs w:val="20"/>
          <w:lang w:val="pt-BR"/>
        </w:rPr>
        <w:t xml:space="preserve"> médica durante a deten</w:t>
      </w:r>
      <w:r w:rsidR="00B153E7" w:rsidRPr="00D64156">
        <w:rPr>
          <w:sz w:val="20"/>
          <w:szCs w:val="20"/>
          <w:lang w:val="pt-BR"/>
        </w:rPr>
        <w:t>ção</w:t>
      </w:r>
      <w:r w:rsidR="00CA7538" w:rsidRPr="00D64156">
        <w:rPr>
          <w:sz w:val="20"/>
          <w:szCs w:val="20"/>
          <w:lang w:val="pt-BR"/>
        </w:rPr>
        <w:t>, m</w:t>
      </w:r>
      <w:r>
        <w:rPr>
          <w:sz w:val="20"/>
          <w:szCs w:val="20"/>
          <w:lang w:val="pt-BR"/>
        </w:rPr>
        <w:t>ás</w:t>
      </w:r>
      <w:r w:rsidR="00CA7538" w:rsidRPr="00D64156">
        <w:rPr>
          <w:sz w:val="20"/>
          <w:szCs w:val="20"/>
          <w:lang w:val="pt-BR"/>
        </w:rPr>
        <w:t xml:space="preserve"> condi</w:t>
      </w:r>
      <w:r w:rsidR="00B153E7" w:rsidRPr="00D64156">
        <w:rPr>
          <w:sz w:val="20"/>
          <w:szCs w:val="20"/>
          <w:lang w:val="pt-BR"/>
        </w:rPr>
        <w:t>ções</w:t>
      </w:r>
      <w:r w:rsidR="00CA7538" w:rsidRPr="00D64156">
        <w:rPr>
          <w:sz w:val="20"/>
          <w:szCs w:val="20"/>
          <w:lang w:val="pt-BR"/>
        </w:rPr>
        <w:t xml:space="preserve"> carce</w:t>
      </w:r>
      <w:r>
        <w:rPr>
          <w:sz w:val="20"/>
          <w:szCs w:val="20"/>
          <w:lang w:val="pt-BR"/>
        </w:rPr>
        <w:t>rá</w:t>
      </w:r>
      <w:r w:rsidR="00CA7538" w:rsidRPr="00D64156">
        <w:rPr>
          <w:sz w:val="20"/>
          <w:szCs w:val="20"/>
          <w:lang w:val="pt-BR"/>
        </w:rPr>
        <w:t>rias, separa</w:t>
      </w:r>
      <w:r w:rsidR="00B153E7" w:rsidRPr="00D64156">
        <w:rPr>
          <w:sz w:val="20"/>
          <w:szCs w:val="20"/>
          <w:lang w:val="pt-BR"/>
        </w:rPr>
        <w:t>ção</w:t>
      </w:r>
      <w:r w:rsidR="00CA7538" w:rsidRPr="00D64156">
        <w:rPr>
          <w:sz w:val="20"/>
          <w:szCs w:val="20"/>
          <w:lang w:val="pt-BR"/>
        </w:rPr>
        <w:t xml:space="preserve"> familiar, </w:t>
      </w:r>
      <w:r w:rsidR="00E07BEB">
        <w:rPr>
          <w:sz w:val="20"/>
          <w:szCs w:val="20"/>
          <w:lang w:val="pt-BR"/>
        </w:rPr>
        <w:t>falta de comunicação</w:t>
      </w:r>
      <w:r w:rsidR="00CA7538" w:rsidRPr="00D64156">
        <w:rPr>
          <w:sz w:val="20"/>
          <w:szCs w:val="20"/>
          <w:lang w:val="pt-BR"/>
        </w:rPr>
        <w:t>, impo</w:t>
      </w:r>
      <w:r>
        <w:rPr>
          <w:sz w:val="20"/>
          <w:szCs w:val="20"/>
          <w:lang w:val="pt-BR"/>
        </w:rPr>
        <w:t>s</w:t>
      </w:r>
      <w:r w:rsidR="00CA7538" w:rsidRPr="00D64156">
        <w:rPr>
          <w:sz w:val="20"/>
          <w:szCs w:val="20"/>
          <w:lang w:val="pt-BR"/>
        </w:rPr>
        <w:t>sibilidad</w:t>
      </w:r>
      <w:r>
        <w:rPr>
          <w:sz w:val="20"/>
          <w:szCs w:val="20"/>
          <w:lang w:val="pt-BR"/>
        </w:rPr>
        <w:t>e</w:t>
      </w:r>
      <w:r w:rsidR="00CA7538" w:rsidRPr="00D64156">
        <w:rPr>
          <w:sz w:val="20"/>
          <w:szCs w:val="20"/>
          <w:lang w:val="pt-BR"/>
        </w:rPr>
        <w:t xml:space="preserve"> de prática religiosa, exposi</w:t>
      </w:r>
      <w:r w:rsidR="00B153E7" w:rsidRPr="00D64156">
        <w:rPr>
          <w:sz w:val="20"/>
          <w:szCs w:val="20"/>
          <w:lang w:val="pt-BR"/>
        </w:rPr>
        <w:t>ção</w:t>
      </w:r>
      <w:r w:rsidR="00CA7538" w:rsidRPr="00D64156">
        <w:rPr>
          <w:sz w:val="20"/>
          <w:szCs w:val="20"/>
          <w:lang w:val="pt-BR"/>
        </w:rPr>
        <w:t xml:space="preserve"> </w:t>
      </w:r>
      <w:r w:rsidR="00B153E7" w:rsidRPr="00D64156">
        <w:rPr>
          <w:sz w:val="20"/>
          <w:szCs w:val="20"/>
          <w:lang w:val="pt-BR"/>
        </w:rPr>
        <w:t xml:space="preserve">da </w:t>
      </w:r>
      <w:r w:rsidR="00CA7538" w:rsidRPr="00D64156">
        <w:rPr>
          <w:sz w:val="20"/>
          <w:szCs w:val="20"/>
          <w:lang w:val="pt-BR"/>
        </w:rPr>
        <w:t>intimidad</w:t>
      </w:r>
      <w:r>
        <w:rPr>
          <w:sz w:val="20"/>
          <w:szCs w:val="20"/>
          <w:lang w:val="pt-BR"/>
        </w:rPr>
        <w:t>e</w:t>
      </w:r>
      <w:r w:rsidR="00CA7538" w:rsidRPr="00D64156">
        <w:rPr>
          <w:sz w:val="20"/>
          <w:szCs w:val="20"/>
          <w:lang w:val="pt-BR"/>
        </w:rPr>
        <w:t xml:space="preserve">, </w:t>
      </w:r>
      <w:r>
        <w:rPr>
          <w:sz w:val="20"/>
          <w:szCs w:val="20"/>
          <w:lang w:val="pt-BR"/>
        </w:rPr>
        <w:t xml:space="preserve">divulgação </w:t>
      </w:r>
      <w:r w:rsidR="00CA7538" w:rsidRPr="00D64156">
        <w:rPr>
          <w:sz w:val="20"/>
          <w:szCs w:val="20"/>
          <w:lang w:val="pt-BR"/>
        </w:rPr>
        <w:t xml:space="preserve">sensacionalista </w:t>
      </w:r>
      <w:r w:rsidR="00EC0BB7">
        <w:rPr>
          <w:sz w:val="20"/>
          <w:szCs w:val="20"/>
          <w:lang w:val="pt-BR"/>
        </w:rPr>
        <w:t xml:space="preserve">das </w:t>
      </w:r>
      <w:r w:rsidR="00CA7538" w:rsidRPr="00D64156">
        <w:rPr>
          <w:sz w:val="20"/>
          <w:szCs w:val="20"/>
          <w:lang w:val="pt-BR"/>
        </w:rPr>
        <w:t>deten</w:t>
      </w:r>
      <w:r w:rsidR="00B153E7" w:rsidRPr="00D64156">
        <w:rPr>
          <w:sz w:val="20"/>
          <w:szCs w:val="20"/>
          <w:lang w:val="pt-BR"/>
        </w:rPr>
        <w:t>ções</w:t>
      </w:r>
      <w:r w:rsidR="00CA7538" w:rsidRPr="00D64156">
        <w:rPr>
          <w:sz w:val="20"/>
          <w:szCs w:val="20"/>
          <w:lang w:val="pt-BR"/>
        </w:rPr>
        <w:t xml:space="preserve"> e </w:t>
      </w:r>
      <w:r>
        <w:rPr>
          <w:sz w:val="20"/>
          <w:szCs w:val="20"/>
          <w:lang w:val="pt-BR"/>
        </w:rPr>
        <w:t xml:space="preserve">invasão </w:t>
      </w:r>
      <w:r w:rsidR="00CA7538" w:rsidRPr="00D64156">
        <w:rPr>
          <w:sz w:val="20"/>
          <w:szCs w:val="20"/>
          <w:lang w:val="pt-BR"/>
        </w:rPr>
        <w:t>de domic</w:t>
      </w:r>
      <w:r>
        <w:rPr>
          <w:sz w:val="20"/>
          <w:szCs w:val="20"/>
          <w:lang w:val="pt-BR"/>
        </w:rPr>
        <w:t>í</w:t>
      </w:r>
      <w:r w:rsidR="00CA7538" w:rsidRPr="00D64156">
        <w:rPr>
          <w:sz w:val="20"/>
          <w:szCs w:val="20"/>
          <w:lang w:val="pt-BR"/>
        </w:rPr>
        <w:t xml:space="preserve">lio. </w:t>
      </w:r>
      <w:r w:rsidR="00CA7538" w:rsidRPr="00601745">
        <w:rPr>
          <w:sz w:val="20"/>
          <w:szCs w:val="20"/>
          <w:lang w:val="pt-BR"/>
        </w:rPr>
        <w:t>Tampo</w:t>
      </w:r>
      <w:r w:rsidRPr="00601745">
        <w:rPr>
          <w:sz w:val="20"/>
          <w:szCs w:val="20"/>
          <w:lang w:val="pt-BR"/>
        </w:rPr>
        <w:t>u</w:t>
      </w:r>
      <w:r w:rsidR="00CA7538" w:rsidRPr="00601745">
        <w:rPr>
          <w:sz w:val="20"/>
          <w:szCs w:val="20"/>
          <w:lang w:val="pt-BR"/>
        </w:rPr>
        <w:t xml:space="preserve">co </w:t>
      </w:r>
      <w:r w:rsidRPr="00601745">
        <w:rPr>
          <w:sz w:val="20"/>
          <w:szCs w:val="20"/>
          <w:lang w:val="pt-BR"/>
        </w:rPr>
        <w:t xml:space="preserve">esclarece se, e de que </w:t>
      </w:r>
      <w:r w:rsidR="006A3667" w:rsidRPr="00601745">
        <w:rPr>
          <w:sz w:val="20"/>
          <w:szCs w:val="20"/>
          <w:lang w:val="pt-BR"/>
        </w:rPr>
        <w:t>maneira</w:t>
      </w:r>
      <w:r w:rsidR="00CA7538" w:rsidRPr="00601745">
        <w:rPr>
          <w:sz w:val="20"/>
          <w:szCs w:val="20"/>
          <w:lang w:val="pt-BR"/>
        </w:rPr>
        <w:t>, as situa</w:t>
      </w:r>
      <w:r w:rsidR="00B153E7" w:rsidRPr="00601745">
        <w:rPr>
          <w:sz w:val="20"/>
          <w:szCs w:val="20"/>
          <w:lang w:val="pt-BR"/>
        </w:rPr>
        <w:t>ções</w:t>
      </w:r>
      <w:r w:rsidR="00CA7538" w:rsidRPr="00601745">
        <w:rPr>
          <w:sz w:val="20"/>
          <w:szCs w:val="20"/>
          <w:lang w:val="pt-BR"/>
        </w:rPr>
        <w:t xml:space="preserve"> </w:t>
      </w:r>
      <w:r w:rsidRPr="00601745">
        <w:rPr>
          <w:sz w:val="20"/>
          <w:szCs w:val="20"/>
          <w:lang w:val="pt-BR"/>
        </w:rPr>
        <w:t>e</w:t>
      </w:r>
      <w:r>
        <w:rPr>
          <w:sz w:val="20"/>
          <w:szCs w:val="20"/>
          <w:lang w:val="pt-BR"/>
        </w:rPr>
        <w:t>stariam incluídas em alguma das exceções à regra do prévio esgotamento</w:t>
      </w:r>
      <w:r w:rsidR="00CA7538" w:rsidRPr="00601745">
        <w:rPr>
          <w:sz w:val="20"/>
          <w:szCs w:val="20"/>
          <w:lang w:val="pt-BR"/>
        </w:rPr>
        <w:t>.</w:t>
      </w:r>
      <w:r w:rsidR="000205DF" w:rsidRPr="00601745">
        <w:rPr>
          <w:sz w:val="20"/>
          <w:szCs w:val="20"/>
          <w:lang w:val="pt-BR"/>
        </w:rPr>
        <w:t xml:space="preserve"> </w:t>
      </w:r>
      <w:r w:rsidRPr="00601745">
        <w:rPr>
          <w:sz w:val="20"/>
          <w:szCs w:val="20"/>
          <w:lang w:val="pt-BR"/>
        </w:rPr>
        <w:t>A</w:t>
      </w:r>
      <w:r w:rsidR="00717B9D" w:rsidRPr="00601745">
        <w:rPr>
          <w:sz w:val="20"/>
          <w:szCs w:val="20"/>
          <w:lang w:val="pt-BR"/>
        </w:rPr>
        <w:t xml:space="preserve"> </w:t>
      </w:r>
      <w:r w:rsidR="007C470D" w:rsidRPr="00601745">
        <w:rPr>
          <w:sz w:val="20"/>
          <w:szCs w:val="20"/>
          <w:lang w:val="pt-BR"/>
        </w:rPr>
        <w:t>Comissão</w:t>
      </w:r>
      <w:r w:rsidR="008C6385">
        <w:rPr>
          <w:sz w:val="20"/>
          <w:szCs w:val="20"/>
          <w:lang w:val="pt-BR"/>
        </w:rPr>
        <w:t xml:space="preserve"> </w:t>
      </w:r>
      <w:r w:rsidRPr="00601745">
        <w:rPr>
          <w:sz w:val="20"/>
          <w:szCs w:val="20"/>
          <w:lang w:val="pt-BR"/>
        </w:rPr>
        <w:t xml:space="preserve">lembra que, embora a </w:t>
      </w:r>
      <w:r w:rsidR="00FA5B5F" w:rsidRPr="00601745">
        <w:rPr>
          <w:sz w:val="20"/>
          <w:szCs w:val="20"/>
          <w:lang w:val="pt-BR"/>
        </w:rPr>
        <w:t>obje</w:t>
      </w:r>
      <w:r w:rsidR="00B153E7" w:rsidRPr="00601745">
        <w:rPr>
          <w:sz w:val="20"/>
          <w:szCs w:val="20"/>
          <w:lang w:val="pt-BR"/>
        </w:rPr>
        <w:t>ção</w:t>
      </w:r>
      <w:r w:rsidR="00FA5B5F" w:rsidRPr="00601745">
        <w:rPr>
          <w:sz w:val="20"/>
          <w:szCs w:val="20"/>
          <w:lang w:val="pt-BR"/>
        </w:rPr>
        <w:t xml:space="preserve"> de falta de </w:t>
      </w:r>
      <w:r w:rsidRPr="00601745">
        <w:rPr>
          <w:sz w:val="20"/>
          <w:szCs w:val="20"/>
          <w:lang w:val="pt-BR"/>
        </w:rPr>
        <w:t xml:space="preserve">esgotamento </w:t>
      </w:r>
      <w:r w:rsidR="00891A5F" w:rsidRPr="00601745">
        <w:rPr>
          <w:sz w:val="20"/>
          <w:szCs w:val="20"/>
          <w:lang w:val="pt-BR"/>
        </w:rPr>
        <w:t xml:space="preserve">dos </w:t>
      </w:r>
      <w:r w:rsidR="00FA5B5F" w:rsidRPr="00601745">
        <w:rPr>
          <w:sz w:val="20"/>
          <w:szCs w:val="20"/>
          <w:lang w:val="pt-BR"/>
        </w:rPr>
        <w:t xml:space="preserve">recursos </w:t>
      </w:r>
      <w:r w:rsidR="00315E49" w:rsidRPr="00601745">
        <w:rPr>
          <w:sz w:val="20"/>
          <w:szCs w:val="20"/>
          <w:lang w:val="pt-BR"/>
        </w:rPr>
        <w:t>internos</w:t>
      </w:r>
      <w:r w:rsidR="00FA5B5F" w:rsidRPr="00601745">
        <w:rPr>
          <w:sz w:val="20"/>
          <w:szCs w:val="20"/>
          <w:lang w:val="pt-BR"/>
        </w:rPr>
        <w:t xml:space="preserve"> correspond</w:t>
      </w:r>
      <w:r w:rsidRPr="00601745">
        <w:rPr>
          <w:sz w:val="20"/>
          <w:szCs w:val="20"/>
          <w:lang w:val="pt-BR"/>
        </w:rPr>
        <w:t>a</w:t>
      </w:r>
      <w:r w:rsidR="00FA5B5F" w:rsidRPr="00601745">
        <w:rPr>
          <w:sz w:val="20"/>
          <w:szCs w:val="20"/>
          <w:lang w:val="pt-BR"/>
        </w:rPr>
        <w:t xml:space="preserve"> a </w:t>
      </w:r>
      <w:r w:rsidR="00891A5F" w:rsidRPr="00601745">
        <w:rPr>
          <w:sz w:val="20"/>
          <w:szCs w:val="20"/>
          <w:lang w:val="pt-BR"/>
        </w:rPr>
        <w:t>uma</w:t>
      </w:r>
      <w:r w:rsidR="008C6385">
        <w:rPr>
          <w:sz w:val="20"/>
          <w:szCs w:val="20"/>
          <w:lang w:val="pt-BR"/>
        </w:rPr>
        <w:t xml:space="preserve"> </w:t>
      </w:r>
      <w:r w:rsidR="00FA5B5F" w:rsidRPr="00601745">
        <w:rPr>
          <w:sz w:val="20"/>
          <w:szCs w:val="20"/>
          <w:lang w:val="pt-BR"/>
        </w:rPr>
        <w:t>reg</w:t>
      </w:r>
      <w:r w:rsidRPr="00601745">
        <w:rPr>
          <w:sz w:val="20"/>
          <w:szCs w:val="20"/>
          <w:lang w:val="pt-BR"/>
        </w:rPr>
        <w:t>r</w:t>
      </w:r>
      <w:r w:rsidR="00FA5B5F" w:rsidRPr="00601745">
        <w:rPr>
          <w:sz w:val="20"/>
          <w:szCs w:val="20"/>
          <w:lang w:val="pt-BR"/>
        </w:rPr>
        <w:t>a que existe e</w:t>
      </w:r>
      <w:r w:rsidRPr="00601745">
        <w:rPr>
          <w:sz w:val="20"/>
          <w:szCs w:val="20"/>
          <w:lang w:val="pt-BR"/>
        </w:rPr>
        <w:t>m</w:t>
      </w:r>
      <w:r w:rsidR="00FA5B5F" w:rsidRPr="00601745">
        <w:rPr>
          <w:sz w:val="20"/>
          <w:szCs w:val="20"/>
          <w:lang w:val="pt-BR"/>
        </w:rPr>
        <w:t xml:space="preserve"> benef</w:t>
      </w:r>
      <w:r>
        <w:rPr>
          <w:sz w:val="20"/>
          <w:szCs w:val="20"/>
          <w:lang w:val="pt-BR"/>
        </w:rPr>
        <w:t>í</w:t>
      </w:r>
      <w:r w:rsidR="00FA5B5F" w:rsidRPr="00601745">
        <w:rPr>
          <w:sz w:val="20"/>
          <w:szCs w:val="20"/>
          <w:lang w:val="pt-BR"/>
        </w:rPr>
        <w:t>cio d</w:t>
      </w:r>
      <w:r>
        <w:rPr>
          <w:sz w:val="20"/>
          <w:szCs w:val="20"/>
          <w:lang w:val="pt-BR"/>
        </w:rPr>
        <w:t>o</w:t>
      </w:r>
      <w:r w:rsidR="00FA5B5F" w:rsidRPr="00601745">
        <w:rPr>
          <w:sz w:val="20"/>
          <w:szCs w:val="20"/>
          <w:lang w:val="pt-BR"/>
        </w:rPr>
        <w:t xml:space="preserve"> Estado</w:t>
      </w:r>
      <w:r w:rsidR="00D36CE6">
        <w:rPr>
          <w:sz w:val="20"/>
          <w:szCs w:val="20"/>
          <w:lang w:val="pt-BR"/>
        </w:rPr>
        <w:t>, cabendo a este</w:t>
      </w:r>
      <w:r>
        <w:rPr>
          <w:sz w:val="20"/>
          <w:szCs w:val="20"/>
          <w:lang w:val="pt-BR"/>
        </w:rPr>
        <w:t xml:space="preserve">, portanto, </w:t>
      </w:r>
      <w:r w:rsidR="0002277C">
        <w:rPr>
          <w:sz w:val="20"/>
          <w:szCs w:val="20"/>
          <w:lang w:val="pt-BR"/>
        </w:rPr>
        <w:t>invocá-la</w:t>
      </w:r>
      <w:r w:rsidR="00D30A89" w:rsidRPr="00601745">
        <w:rPr>
          <w:sz w:val="20"/>
          <w:szCs w:val="20"/>
          <w:lang w:val="pt-BR"/>
        </w:rPr>
        <w:t xml:space="preserve">, </w:t>
      </w:r>
      <w:r w:rsidR="0002277C">
        <w:rPr>
          <w:sz w:val="20"/>
          <w:szCs w:val="20"/>
          <w:lang w:val="pt-BR"/>
        </w:rPr>
        <w:t xml:space="preserve">é, em primeiro </w:t>
      </w:r>
      <w:r w:rsidR="00D30A89" w:rsidRPr="00601745">
        <w:rPr>
          <w:sz w:val="20"/>
          <w:szCs w:val="20"/>
          <w:lang w:val="pt-BR"/>
        </w:rPr>
        <w:t>lugar</w:t>
      </w:r>
      <w:r w:rsidR="0002277C">
        <w:rPr>
          <w:sz w:val="20"/>
          <w:szCs w:val="20"/>
          <w:lang w:val="pt-BR"/>
        </w:rPr>
        <w:t>,</w:t>
      </w:r>
      <w:r w:rsidR="00D30A89" w:rsidRPr="00601745">
        <w:rPr>
          <w:sz w:val="20"/>
          <w:szCs w:val="20"/>
          <w:lang w:val="pt-BR"/>
        </w:rPr>
        <w:t xml:space="preserve"> </w:t>
      </w:r>
      <w:r w:rsidR="00B153E7" w:rsidRPr="00601745">
        <w:rPr>
          <w:sz w:val="20"/>
          <w:szCs w:val="20"/>
          <w:lang w:val="pt-BR"/>
        </w:rPr>
        <w:t xml:space="preserve">dever </w:t>
      </w:r>
      <w:r w:rsidR="00D30A89" w:rsidRPr="00601745">
        <w:rPr>
          <w:sz w:val="20"/>
          <w:szCs w:val="20"/>
          <w:lang w:val="pt-BR"/>
        </w:rPr>
        <w:t>d</w:t>
      </w:r>
      <w:r w:rsidR="0002277C">
        <w:rPr>
          <w:sz w:val="20"/>
          <w:szCs w:val="20"/>
          <w:lang w:val="pt-BR"/>
        </w:rPr>
        <w:t>o</w:t>
      </w:r>
      <w:r w:rsidR="00D30A89" w:rsidRPr="00601745">
        <w:rPr>
          <w:sz w:val="20"/>
          <w:szCs w:val="20"/>
          <w:lang w:val="pt-BR"/>
        </w:rPr>
        <w:t xml:space="preserve"> peticion</w:t>
      </w:r>
      <w:r w:rsidR="0002277C">
        <w:rPr>
          <w:sz w:val="20"/>
          <w:szCs w:val="20"/>
          <w:lang w:val="pt-BR"/>
        </w:rPr>
        <w:t>á</w:t>
      </w:r>
      <w:r w:rsidR="00D30A89" w:rsidRPr="00601745">
        <w:rPr>
          <w:sz w:val="20"/>
          <w:szCs w:val="20"/>
          <w:lang w:val="pt-BR"/>
        </w:rPr>
        <w:t>rio estab</w:t>
      </w:r>
      <w:r w:rsidR="0002277C">
        <w:rPr>
          <w:sz w:val="20"/>
          <w:szCs w:val="20"/>
          <w:lang w:val="pt-BR"/>
        </w:rPr>
        <w:t>e</w:t>
      </w:r>
      <w:r w:rsidR="00D30A89" w:rsidRPr="00601745">
        <w:rPr>
          <w:sz w:val="20"/>
          <w:szCs w:val="20"/>
          <w:lang w:val="pt-BR"/>
        </w:rPr>
        <w:t>lecer que su</w:t>
      </w:r>
      <w:r w:rsidR="0002277C">
        <w:rPr>
          <w:sz w:val="20"/>
          <w:szCs w:val="20"/>
          <w:lang w:val="pt-BR"/>
        </w:rPr>
        <w:t>a</w:t>
      </w:r>
      <w:r w:rsidR="00D30A89" w:rsidRPr="00601745">
        <w:rPr>
          <w:sz w:val="20"/>
          <w:szCs w:val="20"/>
          <w:lang w:val="pt-BR"/>
        </w:rPr>
        <w:t xml:space="preserve"> peti</w:t>
      </w:r>
      <w:r w:rsidR="00B153E7" w:rsidRPr="00601745">
        <w:rPr>
          <w:sz w:val="20"/>
          <w:szCs w:val="20"/>
          <w:lang w:val="pt-BR"/>
        </w:rPr>
        <w:t>ção</w:t>
      </w:r>
      <w:r w:rsidR="00D30A89" w:rsidRPr="00601745">
        <w:rPr>
          <w:sz w:val="20"/>
          <w:szCs w:val="20"/>
          <w:lang w:val="pt-BR"/>
        </w:rPr>
        <w:t xml:space="preserve"> </w:t>
      </w:r>
      <w:r w:rsidR="0002277C">
        <w:rPr>
          <w:sz w:val="20"/>
          <w:szCs w:val="20"/>
          <w:lang w:val="pt-BR"/>
        </w:rPr>
        <w:t xml:space="preserve">atende a esse </w:t>
      </w:r>
      <w:r w:rsidR="00D30A89" w:rsidRPr="00601745">
        <w:rPr>
          <w:sz w:val="20"/>
          <w:szCs w:val="20"/>
          <w:lang w:val="pt-BR"/>
        </w:rPr>
        <w:t xml:space="preserve">requisito convencional </w:t>
      </w:r>
      <w:r w:rsidR="0002277C">
        <w:rPr>
          <w:sz w:val="20"/>
          <w:szCs w:val="20"/>
          <w:lang w:val="pt-BR"/>
        </w:rPr>
        <w:t>e regulamentar</w:t>
      </w:r>
      <w:r w:rsidR="00D30A89" w:rsidRPr="00601745">
        <w:rPr>
          <w:sz w:val="20"/>
          <w:szCs w:val="20"/>
          <w:lang w:val="pt-BR"/>
        </w:rPr>
        <w:t>.</w:t>
      </w:r>
    </w:p>
    <w:p w14:paraId="148A6AF1" w14:textId="49250F9D" w:rsidR="000A6A74" w:rsidRPr="0002277C" w:rsidRDefault="000205DF" w:rsidP="00E167F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pt-BR"/>
        </w:rPr>
      </w:pPr>
      <w:r w:rsidRPr="0002277C">
        <w:rPr>
          <w:sz w:val="20"/>
          <w:szCs w:val="20"/>
          <w:lang w:val="pt-BR"/>
        </w:rPr>
        <w:t>E</w:t>
      </w:r>
      <w:r w:rsidR="0002277C" w:rsidRPr="0002277C">
        <w:rPr>
          <w:sz w:val="20"/>
          <w:szCs w:val="20"/>
          <w:lang w:val="pt-BR"/>
        </w:rPr>
        <w:t>m</w:t>
      </w:r>
      <w:r w:rsidRPr="0002277C">
        <w:rPr>
          <w:sz w:val="20"/>
          <w:szCs w:val="20"/>
          <w:lang w:val="pt-BR"/>
        </w:rPr>
        <w:t xml:space="preserve"> virtud</w:t>
      </w:r>
      <w:r w:rsidR="0002277C" w:rsidRPr="0002277C">
        <w:rPr>
          <w:sz w:val="20"/>
          <w:szCs w:val="20"/>
          <w:lang w:val="pt-BR"/>
        </w:rPr>
        <w:t>e</w:t>
      </w:r>
      <w:r w:rsidRPr="0002277C">
        <w:rPr>
          <w:sz w:val="20"/>
          <w:szCs w:val="20"/>
          <w:lang w:val="pt-BR"/>
        </w:rPr>
        <w:t xml:space="preserve"> do </w:t>
      </w:r>
      <w:r w:rsidR="0002277C">
        <w:rPr>
          <w:sz w:val="20"/>
          <w:szCs w:val="20"/>
          <w:lang w:val="pt-BR"/>
        </w:rPr>
        <w:t>exposto</w:t>
      </w:r>
      <w:r w:rsidRPr="0002277C">
        <w:rPr>
          <w:sz w:val="20"/>
          <w:szCs w:val="20"/>
          <w:lang w:val="pt-BR"/>
        </w:rPr>
        <w:t xml:space="preserve">, a </w:t>
      </w:r>
      <w:r w:rsidR="007C470D" w:rsidRPr="0002277C">
        <w:rPr>
          <w:sz w:val="20"/>
          <w:szCs w:val="20"/>
          <w:lang w:val="pt-BR"/>
        </w:rPr>
        <w:t>Comissão</w:t>
      </w:r>
      <w:r w:rsidR="008C6385">
        <w:rPr>
          <w:sz w:val="20"/>
          <w:szCs w:val="20"/>
          <w:lang w:val="pt-BR"/>
        </w:rPr>
        <w:t xml:space="preserve"> </w:t>
      </w:r>
      <w:r w:rsidRPr="0002277C">
        <w:rPr>
          <w:sz w:val="20"/>
          <w:szCs w:val="20"/>
          <w:lang w:val="pt-BR"/>
        </w:rPr>
        <w:t xml:space="preserve">Interamericana considera que </w:t>
      </w:r>
      <w:r w:rsidR="0002277C">
        <w:rPr>
          <w:sz w:val="20"/>
          <w:szCs w:val="20"/>
          <w:lang w:val="pt-BR"/>
        </w:rPr>
        <w:t xml:space="preserve">não dispõe de </w:t>
      </w:r>
      <w:r w:rsidRPr="0002277C">
        <w:rPr>
          <w:sz w:val="20"/>
          <w:szCs w:val="20"/>
          <w:lang w:val="pt-BR"/>
        </w:rPr>
        <w:t>informa</w:t>
      </w:r>
      <w:r w:rsidR="00B153E7" w:rsidRPr="0002277C">
        <w:rPr>
          <w:sz w:val="20"/>
          <w:szCs w:val="20"/>
          <w:lang w:val="pt-BR"/>
        </w:rPr>
        <w:t>ção</w:t>
      </w:r>
      <w:r w:rsidRPr="0002277C">
        <w:rPr>
          <w:sz w:val="20"/>
          <w:szCs w:val="20"/>
          <w:lang w:val="pt-BR"/>
        </w:rPr>
        <w:t xml:space="preserve"> suficiente que l</w:t>
      </w:r>
      <w:r w:rsidR="0002277C">
        <w:rPr>
          <w:sz w:val="20"/>
          <w:szCs w:val="20"/>
          <w:lang w:val="pt-BR"/>
        </w:rPr>
        <w:t>h</w:t>
      </w:r>
      <w:r w:rsidRPr="0002277C">
        <w:rPr>
          <w:sz w:val="20"/>
          <w:szCs w:val="20"/>
          <w:lang w:val="pt-BR"/>
        </w:rPr>
        <w:t xml:space="preserve">e permita verificar </w:t>
      </w:r>
      <w:r w:rsidR="0002277C">
        <w:rPr>
          <w:sz w:val="20"/>
          <w:szCs w:val="20"/>
          <w:lang w:val="pt-BR"/>
        </w:rPr>
        <w:t xml:space="preserve">o cumprimento do </w:t>
      </w:r>
      <w:r w:rsidRPr="0002277C">
        <w:rPr>
          <w:sz w:val="20"/>
          <w:szCs w:val="20"/>
          <w:lang w:val="pt-BR"/>
        </w:rPr>
        <w:t xml:space="preserve">requisito de </w:t>
      </w:r>
      <w:r w:rsidR="0002277C">
        <w:rPr>
          <w:sz w:val="20"/>
          <w:szCs w:val="20"/>
          <w:lang w:val="pt-BR"/>
        </w:rPr>
        <w:t xml:space="preserve">esgotamento </w:t>
      </w:r>
      <w:r w:rsidR="00891A5F" w:rsidRPr="0002277C">
        <w:rPr>
          <w:sz w:val="20"/>
          <w:szCs w:val="20"/>
          <w:lang w:val="pt-BR"/>
        </w:rPr>
        <w:t xml:space="preserve">dos </w:t>
      </w:r>
      <w:r w:rsidRPr="0002277C">
        <w:rPr>
          <w:sz w:val="20"/>
          <w:szCs w:val="20"/>
          <w:lang w:val="pt-BR"/>
        </w:rPr>
        <w:t>recursos internos estab</w:t>
      </w:r>
      <w:r w:rsidR="0002277C">
        <w:rPr>
          <w:sz w:val="20"/>
          <w:szCs w:val="20"/>
          <w:lang w:val="pt-BR"/>
        </w:rPr>
        <w:t>e</w:t>
      </w:r>
      <w:r w:rsidRPr="0002277C">
        <w:rPr>
          <w:sz w:val="20"/>
          <w:szCs w:val="20"/>
          <w:lang w:val="pt-BR"/>
        </w:rPr>
        <w:t xml:space="preserve">lecido </w:t>
      </w:r>
      <w:r w:rsidR="0002277C">
        <w:rPr>
          <w:sz w:val="20"/>
          <w:szCs w:val="20"/>
          <w:lang w:val="pt-BR"/>
        </w:rPr>
        <w:t xml:space="preserve">no artigo </w:t>
      </w:r>
      <w:r w:rsidRPr="0002277C">
        <w:rPr>
          <w:sz w:val="20"/>
          <w:szCs w:val="20"/>
          <w:lang w:val="pt-BR"/>
        </w:rPr>
        <w:t xml:space="preserve">46.1.a) </w:t>
      </w:r>
      <w:r w:rsidR="00B153E7" w:rsidRPr="0002277C">
        <w:rPr>
          <w:sz w:val="20"/>
          <w:szCs w:val="20"/>
          <w:lang w:val="pt-BR"/>
        </w:rPr>
        <w:t xml:space="preserve">da </w:t>
      </w:r>
      <w:r w:rsidRPr="0002277C">
        <w:rPr>
          <w:sz w:val="20"/>
          <w:szCs w:val="20"/>
          <w:lang w:val="pt-BR"/>
        </w:rPr>
        <w:t>Conven</w:t>
      </w:r>
      <w:r w:rsidR="00B153E7" w:rsidRPr="0002277C">
        <w:rPr>
          <w:sz w:val="20"/>
          <w:szCs w:val="20"/>
          <w:lang w:val="pt-BR"/>
        </w:rPr>
        <w:t>ção</w:t>
      </w:r>
      <w:r w:rsidRPr="0002277C">
        <w:rPr>
          <w:sz w:val="20"/>
          <w:szCs w:val="20"/>
          <w:lang w:val="pt-BR"/>
        </w:rPr>
        <w:t xml:space="preserve"> Americana</w:t>
      </w:r>
      <w:r w:rsidR="0002277C">
        <w:rPr>
          <w:sz w:val="20"/>
          <w:szCs w:val="20"/>
          <w:lang w:val="pt-BR"/>
        </w:rPr>
        <w:t>.</w:t>
      </w:r>
      <w:r w:rsidR="00CE0487" w:rsidRPr="00D64156">
        <w:rPr>
          <w:rStyle w:val="FootnoteReference"/>
          <w:sz w:val="20"/>
          <w:szCs w:val="20"/>
          <w:lang w:val="pt-BR"/>
        </w:rPr>
        <w:footnoteReference w:id="13"/>
      </w:r>
    </w:p>
    <w:p w14:paraId="40DABB4D" w14:textId="6DDB1972" w:rsidR="006E3BAD" w:rsidRPr="00D64156" w:rsidRDefault="00CE0487" w:rsidP="003E76BF">
      <w:pPr>
        <w:pStyle w:val="ListParagraph"/>
        <w:spacing w:before="240" w:after="240"/>
        <w:ind w:left="0" w:firstLine="709"/>
        <w:jc w:val="both"/>
        <w:rPr>
          <w:rFonts w:asciiTheme="majorHAnsi" w:hAnsiTheme="majorHAnsi"/>
          <w:b/>
          <w:sz w:val="20"/>
          <w:szCs w:val="20"/>
          <w:lang w:val="pt-BR"/>
        </w:rPr>
      </w:pPr>
      <w:r w:rsidRPr="00D64156">
        <w:rPr>
          <w:rFonts w:asciiTheme="majorHAnsi" w:hAnsiTheme="majorHAnsi"/>
          <w:b/>
          <w:sz w:val="20"/>
          <w:szCs w:val="20"/>
          <w:lang w:val="pt-BR"/>
        </w:rPr>
        <w:t>I</w:t>
      </w:r>
      <w:r w:rsidR="00907E48" w:rsidRPr="00D64156">
        <w:rPr>
          <w:rFonts w:asciiTheme="majorHAnsi" w:hAnsiTheme="majorHAnsi"/>
          <w:b/>
          <w:sz w:val="20"/>
          <w:szCs w:val="20"/>
          <w:lang w:val="pt-BR"/>
        </w:rPr>
        <w:t>X</w:t>
      </w:r>
      <w:r w:rsidR="006E3BAD" w:rsidRPr="00D64156">
        <w:rPr>
          <w:rFonts w:asciiTheme="majorHAnsi" w:hAnsiTheme="majorHAnsi"/>
          <w:b/>
          <w:sz w:val="20"/>
          <w:szCs w:val="20"/>
          <w:lang w:val="pt-BR"/>
        </w:rPr>
        <w:t xml:space="preserve">. </w:t>
      </w:r>
      <w:r w:rsidR="006E3BAD" w:rsidRPr="00D64156">
        <w:rPr>
          <w:rFonts w:asciiTheme="majorHAnsi" w:hAnsiTheme="majorHAnsi"/>
          <w:b/>
          <w:sz w:val="20"/>
          <w:szCs w:val="20"/>
          <w:lang w:val="pt-BR"/>
        </w:rPr>
        <w:tab/>
      </w:r>
      <w:r w:rsidR="006E3BAD" w:rsidRPr="00D64156">
        <w:rPr>
          <w:rFonts w:asciiTheme="majorHAnsi" w:hAnsiTheme="majorHAnsi"/>
          <w:b/>
          <w:bCs/>
          <w:sz w:val="20"/>
          <w:szCs w:val="20"/>
          <w:lang w:val="pt-BR"/>
        </w:rPr>
        <w:t>DECIS</w:t>
      </w:r>
      <w:r w:rsidR="0002277C">
        <w:rPr>
          <w:rFonts w:asciiTheme="majorHAnsi" w:hAnsiTheme="majorHAnsi"/>
          <w:b/>
          <w:bCs/>
          <w:sz w:val="20"/>
          <w:szCs w:val="20"/>
          <w:lang w:val="pt-BR"/>
        </w:rPr>
        <w:t>ÃO</w:t>
      </w:r>
    </w:p>
    <w:p w14:paraId="776C2EB8" w14:textId="220188D4" w:rsidR="006E3BAD" w:rsidRPr="0002277C" w:rsidRDefault="006E3BAD" w:rsidP="003E76BF">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02277C">
        <w:rPr>
          <w:sz w:val="20"/>
          <w:szCs w:val="20"/>
          <w:lang w:val="pt-BR"/>
        </w:rPr>
        <w:t xml:space="preserve">Declarar </w:t>
      </w:r>
      <w:r w:rsidR="00CE0487" w:rsidRPr="0002277C">
        <w:rPr>
          <w:sz w:val="20"/>
          <w:szCs w:val="20"/>
          <w:lang w:val="pt-BR"/>
        </w:rPr>
        <w:t>in</w:t>
      </w:r>
      <w:r w:rsidRPr="0002277C">
        <w:rPr>
          <w:sz w:val="20"/>
          <w:szCs w:val="20"/>
          <w:lang w:val="pt-BR"/>
        </w:rPr>
        <w:t>admis</w:t>
      </w:r>
      <w:r w:rsidR="0002277C" w:rsidRPr="0002277C">
        <w:rPr>
          <w:sz w:val="20"/>
          <w:szCs w:val="20"/>
          <w:lang w:val="pt-BR"/>
        </w:rPr>
        <w:t xml:space="preserve">sível a </w:t>
      </w:r>
      <w:r w:rsidRPr="0002277C">
        <w:rPr>
          <w:sz w:val="20"/>
          <w:szCs w:val="20"/>
          <w:lang w:val="pt-BR"/>
        </w:rPr>
        <w:t>presente peti</w:t>
      </w:r>
      <w:r w:rsidR="00B153E7" w:rsidRPr="0002277C">
        <w:rPr>
          <w:sz w:val="20"/>
          <w:szCs w:val="20"/>
          <w:lang w:val="pt-BR"/>
        </w:rPr>
        <w:t>ção</w:t>
      </w:r>
      <w:r w:rsidR="0002277C" w:rsidRPr="0002277C">
        <w:rPr>
          <w:sz w:val="20"/>
          <w:szCs w:val="20"/>
          <w:lang w:val="pt-BR"/>
        </w:rPr>
        <w:t>.</w:t>
      </w:r>
    </w:p>
    <w:p w14:paraId="245C05A6" w14:textId="4CCA4105" w:rsidR="006E3BAD" w:rsidRDefault="006E3BAD" w:rsidP="00063CC1">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pt-BR"/>
        </w:rPr>
      </w:pPr>
      <w:r w:rsidRPr="00E07BEB">
        <w:rPr>
          <w:sz w:val="20"/>
          <w:szCs w:val="20"/>
          <w:lang w:val="pt-BR"/>
        </w:rPr>
        <w:t xml:space="preserve">Notificar as partes </w:t>
      </w:r>
      <w:r w:rsidR="0002277C" w:rsidRPr="00E07BEB">
        <w:rPr>
          <w:sz w:val="20"/>
          <w:szCs w:val="20"/>
          <w:lang w:val="pt-BR"/>
        </w:rPr>
        <w:t>d</w:t>
      </w:r>
      <w:r w:rsidRPr="00E07BEB">
        <w:rPr>
          <w:sz w:val="20"/>
          <w:szCs w:val="20"/>
          <w:lang w:val="pt-BR"/>
        </w:rPr>
        <w:t>a presente decis</w:t>
      </w:r>
      <w:r w:rsidR="0002277C" w:rsidRPr="00E07BEB">
        <w:rPr>
          <w:sz w:val="20"/>
          <w:szCs w:val="20"/>
          <w:lang w:val="pt-BR"/>
        </w:rPr>
        <w:t>ão</w:t>
      </w:r>
      <w:r w:rsidRPr="00E07BEB">
        <w:rPr>
          <w:sz w:val="20"/>
          <w:szCs w:val="20"/>
          <w:lang w:val="pt-BR"/>
        </w:rPr>
        <w:t xml:space="preserve">; </w:t>
      </w:r>
      <w:r w:rsidR="0002277C" w:rsidRPr="00E07BEB">
        <w:rPr>
          <w:sz w:val="20"/>
          <w:szCs w:val="20"/>
          <w:lang w:val="pt-BR"/>
        </w:rPr>
        <w:t>e</w:t>
      </w:r>
      <w:r w:rsidRPr="00E07BEB">
        <w:rPr>
          <w:sz w:val="20"/>
          <w:szCs w:val="20"/>
          <w:lang w:val="pt-BR"/>
        </w:rPr>
        <w:t xml:space="preserve"> publicar esta </w:t>
      </w:r>
      <w:r w:rsidR="0002277C" w:rsidRPr="00E07BEB">
        <w:rPr>
          <w:sz w:val="20"/>
          <w:szCs w:val="20"/>
          <w:lang w:val="pt-BR"/>
        </w:rPr>
        <w:t xml:space="preserve">decisão e incluí-la em seu Relatório </w:t>
      </w:r>
      <w:r w:rsidRPr="00E07BEB">
        <w:rPr>
          <w:sz w:val="20"/>
          <w:szCs w:val="20"/>
          <w:lang w:val="pt-BR"/>
        </w:rPr>
        <w:t xml:space="preserve">Anual </w:t>
      </w:r>
      <w:r w:rsidR="0002277C" w:rsidRPr="00E07BEB">
        <w:rPr>
          <w:sz w:val="20"/>
          <w:szCs w:val="20"/>
          <w:lang w:val="pt-BR"/>
        </w:rPr>
        <w:t xml:space="preserve">à Assembleia Geral </w:t>
      </w:r>
      <w:r w:rsidR="00B153E7" w:rsidRPr="00E07BEB">
        <w:rPr>
          <w:sz w:val="20"/>
          <w:szCs w:val="20"/>
          <w:lang w:val="pt-BR"/>
        </w:rPr>
        <w:t xml:space="preserve">da </w:t>
      </w:r>
      <w:r w:rsidRPr="00E07BEB">
        <w:rPr>
          <w:sz w:val="20"/>
          <w:szCs w:val="20"/>
          <w:lang w:val="pt-BR"/>
        </w:rPr>
        <w:t>Organiza</w:t>
      </w:r>
      <w:r w:rsidR="00B153E7" w:rsidRPr="00E07BEB">
        <w:rPr>
          <w:sz w:val="20"/>
          <w:szCs w:val="20"/>
          <w:lang w:val="pt-BR"/>
        </w:rPr>
        <w:t>ção</w:t>
      </w:r>
      <w:r w:rsidRPr="00E07BEB">
        <w:rPr>
          <w:sz w:val="20"/>
          <w:szCs w:val="20"/>
          <w:lang w:val="pt-BR"/>
        </w:rPr>
        <w:t xml:space="preserve"> </w:t>
      </w:r>
      <w:r w:rsidR="00891A5F" w:rsidRPr="00E07BEB">
        <w:rPr>
          <w:sz w:val="20"/>
          <w:szCs w:val="20"/>
          <w:lang w:val="pt-BR"/>
        </w:rPr>
        <w:t xml:space="preserve">dos </w:t>
      </w:r>
      <w:r w:rsidRPr="00E07BEB">
        <w:rPr>
          <w:sz w:val="20"/>
          <w:szCs w:val="20"/>
          <w:lang w:val="pt-BR"/>
        </w:rPr>
        <w:t>Estados Americanos.</w:t>
      </w:r>
    </w:p>
    <w:p w14:paraId="4953503C" w14:textId="77777777" w:rsidR="00EB7F22" w:rsidRDefault="00EB7F22" w:rsidP="00EB7F2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pt-BR"/>
        </w:rPr>
      </w:pPr>
    </w:p>
    <w:p w14:paraId="427B6469" w14:textId="788D2703" w:rsidR="00EB7F22" w:rsidRPr="00274D3E" w:rsidRDefault="00EB7F22" w:rsidP="00274D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lastRenderedPageBreak/>
        <w:tab/>
      </w:r>
      <w:r w:rsidRPr="0014757F">
        <w:rPr>
          <w:rFonts w:asciiTheme="majorHAnsi" w:hAnsiTheme="majorHAnsi"/>
          <w:sz w:val="20"/>
          <w:szCs w:val="20"/>
          <w:lang w:val="pt-BR"/>
        </w:rPr>
        <w:t xml:space="preserve">Aprovado pela Comissão Interamericana de Direitos Humanos aos </w:t>
      </w:r>
      <w:r w:rsidR="00B2227B">
        <w:rPr>
          <w:rFonts w:asciiTheme="majorHAnsi" w:hAnsiTheme="majorHAnsi"/>
          <w:sz w:val="20"/>
          <w:szCs w:val="20"/>
          <w:lang w:val="pt-BR"/>
        </w:rPr>
        <w:t>23</w:t>
      </w:r>
      <w:r w:rsidRPr="0014757F">
        <w:rPr>
          <w:rFonts w:asciiTheme="majorHAnsi" w:hAnsiTheme="majorHAnsi"/>
          <w:sz w:val="20"/>
          <w:szCs w:val="20"/>
          <w:lang w:val="pt-BR"/>
        </w:rPr>
        <w:t xml:space="preserve"> dias do mês de </w:t>
      </w:r>
      <w:r w:rsidR="00B2227B">
        <w:rPr>
          <w:rFonts w:asciiTheme="majorHAnsi" w:hAnsiTheme="majorHAnsi"/>
          <w:sz w:val="20"/>
          <w:szCs w:val="20"/>
          <w:lang w:val="pt-BR"/>
        </w:rPr>
        <w:t>setembro</w:t>
      </w:r>
      <w:r w:rsidRPr="0014757F">
        <w:rPr>
          <w:rFonts w:asciiTheme="majorHAnsi" w:hAnsiTheme="majorHAnsi"/>
          <w:sz w:val="20"/>
          <w:szCs w:val="20"/>
          <w:lang w:val="pt-BR"/>
        </w:rPr>
        <w:t xml:space="preserve"> de 202</w:t>
      </w:r>
      <w:r>
        <w:rPr>
          <w:rFonts w:asciiTheme="majorHAnsi" w:hAnsiTheme="majorHAnsi"/>
          <w:sz w:val="20"/>
          <w:szCs w:val="20"/>
          <w:lang w:val="pt-BR"/>
        </w:rPr>
        <w:t>3</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2D7620">
        <w:rPr>
          <w:rStyle w:val="normaltextrun"/>
          <w:rFonts w:ascii="Cambria" w:hAnsi="Cambria" w:cs="Segoe UI"/>
          <w:sz w:val="20"/>
          <w:szCs w:val="20"/>
          <w:lang w:val="pt-BR"/>
        </w:rPr>
        <w:t>Esmeralda</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Arosemena de Troitiño, Prime</w:t>
      </w:r>
      <w:r>
        <w:rPr>
          <w:rStyle w:val="normaltextrun"/>
          <w:rFonts w:ascii="Cambria" w:hAnsi="Cambria" w:cs="Segoe UI"/>
          <w:sz w:val="20"/>
          <w:szCs w:val="20"/>
          <w:lang w:val="pt-BR"/>
        </w:rPr>
        <w:t>i</w:t>
      </w:r>
      <w:r w:rsidRPr="002D7620">
        <w:rPr>
          <w:rStyle w:val="normaltextrun"/>
          <w:rFonts w:ascii="Cambria" w:hAnsi="Cambria" w:cs="Segoe UI"/>
          <w:sz w:val="20"/>
          <w:szCs w:val="20"/>
          <w:lang w:val="pt-BR"/>
        </w:rPr>
        <w:t>r</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Vicepresident</w:t>
      </w:r>
      <w:r>
        <w:rPr>
          <w:rStyle w:val="normaltextrun"/>
          <w:rFonts w:ascii="Cambria" w:hAnsi="Cambria" w:cs="Segoe UI"/>
          <w:sz w:val="20"/>
          <w:szCs w:val="20"/>
          <w:lang w:val="pt-BR"/>
        </w:rPr>
        <w:t>a</w:t>
      </w:r>
      <w:r w:rsidRPr="002D7620">
        <w:rPr>
          <w:rStyle w:val="normaltextrun"/>
          <w:rFonts w:ascii="Cambria" w:hAnsi="Cambria" w:cs="Segoe UI"/>
          <w:sz w:val="20"/>
          <w:szCs w:val="20"/>
          <w:lang w:val="pt-BR"/>
        </w:rPr>
        <w:t xml:space="preserve">; </w:t>
      </w:r>
      <w:r>
        <w:rPr>
          <w:rStyle w:val="normaltextrun"/>
          <w:rFonts w:ascii="Cambria" w:hAnsi="Cambria" w:cs="Segoe UI"/>
          <w:sz w:val="20"/>
          <w:szCs w:val="20"/>
          <w:lang w:val="pt-BR"/>
        </w:rPr>
        <w:t>J</w:t>
      </w:r>
      <w:r w:rsidRPr="00CE6BD4">
        <w:rPr>
          <w:rStyle w:val="normaltextrun"/>
          <w:rFonts w:ascii="Cambria" w:hAnsi="Cambria" w:cs="Segoe UI"/>
          <w:sz w:val="20"/>
          <w:szCs w:val="20"/>
          <w:lang w:val="pt-BR"/>
        </w:rPr>
        <w:t xml:space="preserve">ulissa Mantilla Falcón, </w:t>
      </w:r>
      <w:r>
        <w:rPr>
          <w:rStyle w:val="normaltextrun"/>
          <w:rFonts w:ascii="Cambria" w:hAnsi="Cambria" w:cs="Segoe UI"/>
          <w:sz w:val="20"/>
          <w:szCs w:val="20"/>
          <w:lang w:val="pt-BR"/>
        </w:rPr>
        <w:t>Stuardo Ralón Orellana</w:t>
      </w:r>
      <w:r w:rsidR="00B2227B">
        <w:rPr>
          <w:rStyle w:val="normaltextrun"/>
          <w:rFonts w:ascii="Cambria" w:hAnsi="Cambria" w:cs="Segoe UI"/>
          <w:sz w:val="20"/>
          <w:szCs w:val="20"/>
          <w:lang w:val="pt-BR"/>
        </w:rPr>
        <w:t xml:space="preserve"> e</w:t>
      </w:r>
      <w:r>
        <w:rPr>
          <w:rStyle w:val="normaltextrun"/>
          <w:rFonts w:ascii="Cambria" w:hAnsi="Cambria" w:cs="Segoe UI"/>
          <w:sz w:val="20"/>
          <w:szCs w:val="20"/>
          <w:lang w:val="pt-BR"/>
        </w:rPr>
        <w:t xml:space="preserve"> </w:t>
      </w:r>
      <w:r w:rsidRPr="002D7620">
        <w:rPr>
          <w:rStyle w:val="normaltextrun"/>
          <w:rFonts w:ascii="Cambria" w:hAnsi="Cambria" w:cs="Segoe UI"/>
          <w:sz w:val="20"/>
          <w:szCs w:val="20"/>
          <w:lang w:val="pt-BR"/>
        </w:rPr>
        <w:t>Carlos Bernal Pulido</w:t>
      </w:r>
      <w:r w:rsidRPr="0014757F">
        <w:rPr>
          <w:rFonts w:asciiTheme="majorHAnsi" w:hAnsiTheme="majorHAnsi"/>
          <w:sz w:val="20"/>
          <w:szCs w:val="20"/>
          <w:lang w:val="pt-BR"/>
        </w:rPr>
        <w:t>, membros da Comissão.</w:t>
      </w:r>
    </w:p>
    <w:p w14:paraId="2C745BEC" w14:textId="77777777" w:rsidR="00EB7F22" w:rsidRPr="00EB7F22" w:rsidRDefault="00EB7F22" w:rsidP="00EB7F2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20"/>
          <w:szCs w:val="20"/>
          <w:lang w:val="pt-BR"/>
        </w:rPr>
      </w:pPr>
    </w:p>
    <w:p w14:paraId="052DCFC8" w14:textId="062D43B2" w:rsidR="00E07BEB" w:rsidRPr="00D36CE6" w:rsidRDefault="008C6385" w:rsidP="00E07B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sz w:val="8"/>
          <w:szCs w:val="8"/>
          <w:lang w:val="pt-BR"/>
        </w:rPr>
      </w:pPr>
      <w:r w:rsidRPr="00D36CE6">
        <w:rPr>
          <w:sz w:val="8"/>
          <w:szCs w:val="8"/>
          <w:lang w:val="pt-BR"/>
        </w:rPr>
        <w:t>.</w:t>
      </w:r>
      <w:r w:rsidR="00E07BEB" w:rsidRPr="00D36CE6">
        <w:rPr>
          <w:sz w:val="8"/>
          <w:szCs w:val="8"/>
          <w:lang w:val="pt-BR"/>
        </w:rPr>
        <w:t>.</w:t>
      </w:r>
      <w:r w:rsidR="00D36CE6" w:rsidRPr="00D36CE6">
        <w:rPr>
          <w:sz w:val="8"/>
          <w:szCs w:val="8"/>
          <w:lang w:val="pt-BR"/>
        </w:rPr>
        <w:t>.</w:t>
      </w:r>
      <w:r w:rsidR="00E07BEB" w:rsidRPr="00D36CE6">
        <w:rPr>
          <w:sz w:val="8"/>
          <w:szCs w:val="8"/>
          <w:lang w:val="pt-BR"/>
        </w:rPr>
        <w:t>.</w:t>
      </w:r>
    </w:p>
    <w:sectPr w:rsidR="00E07BEB" w:rsidRPr="00D36C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AC18" w14:textId="77777777" w:rsidR="00325316" w:rsidRDefault="00325316">
      <w:r>
        <w:separator/>
      </w:r>
    </w:p>
  </w:endnote>
  <w:endnote w:type="continuationSeparator" w:id="0">
    <w:p w14:paraId="3FE8F6F9" w14:textId="77777777" w:rsidR="00325316" w:rsidRDefault="0032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B571" w14:textId="77777777" w:rsidR="00325316" w:rsidRPr="000F35ED" w:rsidRDefault="0032531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498554" w14:textId="77777777" w:rsidR="00325316" w:rsidRPr="000F35ED" w:rsidRDefault="00325316" w:rsidP="000F35ED">
      <w:pPr>
        <w:rPr>
          <w:rFonts w:asciiTheme="majorHAnsi" w:hAnsiTheme="majorHAnsi"/>
          <w:sz w:val="16"/>
          <w:szCs w:val="16"/>
        </w:rPr>
      </w:pPr>
      <w:r w:rsidRPr="000F35ED">
        <w:rPr>
          <w:rFonts w:asciiTheme="majorHAnsi" w:hAnsiTheme="majorHAnsi"/>
          <w:sz w:val="16"/>
          <w:szCs w:val="16"/>
        </w:rPr>
        <w:separator/>
      </w:r>
    </w:p>
    <w:p w14:paraId="138C9141" w14:textId="77777777" w:rsidR="00325316" w:rsidRPr="000F35ED" w:rsidRDefault="0032531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67FE85" w14:textId="77777777" w:rsidR="00325316" w:rsidRPr="000F35ED" w:rsidRDefault="0032531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7D3ED6C" w14:textId="4ADB91FB" w:rsidR="00E34E6B" w:rsidRPr="00116812" w:rsidRDefault="00E34E6B" w:rsidP="008E7EBB">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116812">
        <w:rPr>
          <w:rFonts w:ascii="Cambria" w:hAnsi="Cambria"/>
          <w:sz w:val="16"/>
          <w:szCs w:val="16"/>
          <w:lang w:val="pt-BR"/>
        </w:rPr>
        <w:t xml:space="preserve"> </w:t>
      </w:r>
      <w:r w:rsidR="00123203" w:rsidRPr="00116812">
        <w:rPr>
          <w:rFonts w:ascii="Cambria" w:hAnsi="Cambria"/>
          <w:sz w:val="16"/>
          <w:szCs w:val="16"/>
          <w:lang w:val="pt-BR"/>
        </w:rPr>
        <w:t>E</w:t>
      </w:r>
      <w:r w:rsidR="00D64156">
        <w:rPr>
          <w:rFonts w:ascii="Cambria" w:hAnsi="Cambria"/>
          <w:sz w:val="16"/>
          <w:szCs w:val="16"/>
          <w:lang w:val="pt-BR"/>
        </w:rPr>
        <w:t>m</w:t>
      </w:r>
      <w:r w:rsidR="00123203" w:rsidRPr="00116812">
        <w:rPr>
          <w:rFonts w:ascii="Cambria" w:hAnsi="Cambria"/>
          <w:sz w:val="16"/>
          <w:szCs w:val="16"/>
          <w:lang w:val="pt-BR"/>
        </w:rPr>
        <w:t xml:space="preserve"> 2 de </w:t>
      </w:r>
      <w:r w:rsidR="00D64156">
        <w:rPr>
          <w:rFonts w:ascii="Cambria" w:hAnsi="Cambria"/>
          <w:sz w:val="16"/>
          <w:szCs w:val="16"/>
          <w:lang w:val="pt-BR"/>
        </w:rPr>
        <w:t>maio</w:t>
      </w:r>
      <w:r w:rsidR="008C6385">
        <w:rPr>
          <w:rFonts w:ascii="Cambria" w:hAnsi="Cambria"/>
          <w:sz w:val="16"/>
          <w:szCs w:val="16"/>
          <w:lang w:val="pt-BR"/>
        </w:rPr>
        <w:t xml:space="preserve"> </w:t>
      </w:r>
      <w:r w:rsidR="00123203" w:rsidRPr="00116812">
        <w:rPr>
          <w:rFonts w:ascii="Cambria" w:hAnsi="Cambria"/>
          <w:sz w:val="16"/>
          <w:szCs w:val="16"/>
          <w:lang w:val="pt-BR"/>
        </w:rPr>
        <w:t xml:space="preserve">de 2017, a </w:t>
      </w:r>
      <w:r w:rsidR="00123203" w:rsidRPr="008E7EBB">
        <w:rPr>
          <w:rFonts w:ascii="Cambria" w:hAnsi="Cambria"/>
          <w:i/>
          <w:iCs/>
          <w:sz w:val="16"/>
          <w:szCs w:val="16"/>
          <w:lang w:val="pt-BR"/>
        </w:rPr>
        <w:t>Comissão de Direitos Humanos da Ordem dos Advogados do Brasil – Seção São Paulo</w:t>
      </w:r>
      <w:r w:rsidR="00123203" w:rsidRPr="00116812">
        <w:rPr>
          <w:rFonts w:ascii="Cambria" w:hAnsi="Cambria"/>
          <w:sz w:val="16"/>
          <w:szCs w:val="16"/>
          <w:lang w:val="pt-BR"/>
        </w:rPr>
        <w:t xml:space="preserve"> </w:t>
      </w:r>
      <w:r w:rsidR="00D64156">
        <w:rPr>
          <w:rFonts w:ascii="Cambria" w:hAnsi="Cambria"/>
          <w:sz w:val="16"/>
          <w:szCs w:val="16"/>
          <w:lang w:val="pt-BR"/>
        </w:rPr>
        <w:t xml:space="preserve">deixou </w:t>
      </w:r>
      <w:r w:rsidR="00123203" w:rsidRPr="00116812">
        <w:rPr>
          <w:rFonts w:ascii="Cambria" w:hAnsi="Cambria"/>
          <w:sz w:val="16"/>
          <w:szCs w:val="16"/>
          <w:lang w:val="pt-BR"/>
        </w:rPr>
        <w:t xml:space="preserve">de representar </w:t>
      </w:r>
      <w:r w:rsidR="00D64156">
        <w:rPr>
          <w:rFonts w:ascii="Cambria" w:hAnsi="Cambria"/>
          <w:sz w:val="16"/>
          <w:szCs w:val="16"/>
          <w:lang w:val="pt-BR"/>
        </w:rPr>
        <w:t>as</w:t>
      </w:r>
      <w:r w:rsidR="00123203" w:rsidRPr="00116812">
        <w:rPr>
          <w:rFonts w:ascii="Cambria" w:hAnsi="Cambria"/>
          <w:sz w:val="16"/>
          <w:szCs w:val="16"/>
          <w:lang w:val="pt-BR"/>
        </w:rPr>
        <w:t xml:space="preserve"> </w:t>
      </w:r>
      <w:r w:rsidR="00D64156">
        <w:rPr>
          <w:rFonts w:ascii="Cambria" w:hAnsi="Cambria"/>
          <w:sz w:val="16"/>
          <w:szCs w:val="16"/>
          <w:lang w:val="pt-BR"/>
        </w:rPr>
        <w:t xml:space="preserve">supostas </w:t>
      </w:r>
      <w:r w:rsidR="00123203" w:rsidRPr="00116812">
        <w:rPr>
          <w:rFonts w:ascii="Cambria" w:hAnsi="Cambria"/>
          <w:sz w:val="16"/>
          <w:szCs w:val="16"/>
          <w:lang w:val="pt-BR"/>
        </w:rPr>
        <w:t>vítimas</w:t>
      </w:r>
      <w:r w:rsidR="008E7EBB">
        <w:rPr>
          <w:rFonts w:ascii="Cambria" w:hAnsi="Cambria"/>
          <w:sz w:val="16"/>
          <w:szCs w:val="16"/>
          <w:lang w:val="pt-BR"/>
        </w:rPr>
        <w:t>.</w:t>
      </w:r>
    </w:p>
  </w:footnote>
  <w:footnote w:id="3">
    <w:p w14:paraId="773D469A" w14:textId="4DBB2A3E" w:rsidR="00123203" w:rsidRPr="00D64156" w:rsidRDefault="00123203" w:rsidP="008E7EBB">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D64156">
        <w:rPr>
          <w:rFonts w:ascii="Cambria" w:hAnsi="Cambria"/>
          <w:sz w:val="16"/>
          <w:szCs w:val="16"/>
          <w:lang w:val="pt-BR"/>
        </w:rPr>
        <w:t xml:space="preserve"> </w:t>
      </w:r>
      <w:r w:rsidR="00D64156" w:rsidRPr="00D64156">
        <w:rPr>
          <w:rFonts w:ascii="Cambria" w:hAnsi="Cambria"/>
          <w:sz w:val="16"/>
          <w:szCs w:val="16"/>
          <w:lang w:val="pt-BR"/>
        </w:rPr>
        <w:t>Doravante denominada</w:t>
      </w:r>
      <w:r w:rsidRPr="00D64156">
        <w:rPr>
          <w:rFonts w:ascii="Cambria" w:hAnsi="Cambria"/>
          <w:sz w:val="16"/>
          <w:szCs w:val="16"/>
          <w:lang w:val="pt-BR"/>
        </w:rPr>
        <w:t xml:space="preserve"> “Conven</w:t>
      </w:r>
      <w:r w:rsidR="00D64156" w:rsidRPr="00D64156">
        <w:rPr>
          <w:rFonts w:ascii="Cambria" w:hAnsi="Cambria"/>
          <w:sz w:val="16"/>
          <w:szCs w:val="16"/>
          <w:lang w:val="pt-BR"/>
        </w:rPr>
        <w:t>ção</w:t>
      </w:r>
      <w:r w:rsidRPr="00D64156">
        <w:rPr>
          <w:rFonts w:ascii="Cambria" w:hAnsi="Cambria"/>
          <w:sz w:val="16"/>
          <w:szCs w:val="16"/>
          <w:lang w:val="pt-BR"/>
        </w:rPr>
        <w:t xml:space="preserve"> Americana” o</w:t>
      </w:r>
      <w:r w:rsidR="00D64156" w:rsidRPr="00D64156">
        <w:rPr>
          <w:rFonts w:ascii="Cambria" w:hAnsi="Cambria"/>
          <w:sz w:val="16"/>
          <w:szCs w:val="16"/>
          <w:lang w:val="pt-BR"/>
        </w:rPr>
        <w:t>u</w:t>
      </w:r>
      <w:r w:rsidRPr="00D64156">
        <w:rPr>
          <w:rFonts w:ascii="Cambria" w:hAnsi="Cambria"/>
          <w:sz w:val="16"/>
          <w:szCs w:val="16"/>
          <w:lang w:val="pt-BR"/>
        </w:rPr>
        <w:t xml:space="preserve"> “Conven</w:t>
      </w:r>
      <w:r w:rsidR="00D64156" w:rsidRPr="00D64156">
        <w:rPr>
          <w:rFonts w:ascii="Cambria" w:hAnsi="Cambria"/>
          <w:sz w:val="16"/>
          <w:szCs w:val="16"/>
          <w:lang w:val="pt-BR"/>
        </w:rPr>
        <w:t>ção</w:t>
      </w:r>
      <w:r w:rsidRPr="00D64156">
        <w:rPr>
          <w:rFonts w:ascii="Cambria" w:hAnsi="Cambria"/>
          <w:sz w:val="16"/>
          <w:szCs w:val="16"/>
          <w:lang w:val="pt-BR"/>
        </w:rPr>
        <w:t>”.</w:t>
      </w:r>
    </w:p>
  </w:footnote>
  <w:footnote w:id="4">
    <w:p w14:paraId="1AFEF3B0" w14:textId="03DDF2EF" w:rsidR="008E3BFE" w:rsidRPr="00D64156" w:rsidRDefault="008E3BFE" w:rsidP="008E7EBB">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D64156">
        <w:rPr>
          <w:rFonts w:ascii="Cambria" w:hAnsi="Cambria"/>
          <w:sz w:val="16"/>
          <w:szCs w:val="16"/>
          <w:lang w:val="pt-BR"/>
        </w:rPr>
        <w:t xml:space="preserve"> </w:t>
      </w:r>
      <w:r w:rsidR="00D64156" w:rsidRPr="00D64156">
        <w:rPr>
          <w:rFonts w:ascii="Cambria" w:hAnsi="Cambria"/>
          <w:sz w:val="16"/>
          <w:szCs w:val="16"/>
          <w:lang w:val="pt-BR"/>
        </w:rPr>
        <w:t>A</w:t>
      </w:r>
      <w:r w:rsidR="00CA6CA0" w:rsidRPr="00D64156">
        <w:rPr>
          <w:rFonts w:ascii="Cambria" w:hAnsi="Cambria"/>
          <w:sz w:val="16"/>
          <w:szCs w:val="16"/>
          <w:lang w:val="pt-BR"/>
        </w:rPr>
        <w:t>s observa</w:t>
      </w:r>
      <w:r w:rsidR="00D64156" w:rsidRPr="00D64156">
        <w:rPr>
          <w:rFonts w:ascii="Cambria" w:hAnsi="Cambria"/>
          <w:sz w:val="16"/>
          <w:szCs w:val="16"/>
          <w:lang w:val="pt-BR"/>
        </w:rPr>
        <w:t xml:space="preserve">ções </w:t>
      </w:r>
      <w:r w:rsidR="00CA6CA0" w:rsidRPr="00D64156">
        <w:rPr>
          <w:rFonts w:ascii="Cambria" w:hAnsi="Cambria"/>
          <w:sz w:val="16"/>
          <w:szCs w:val="16"/>
          <w:lang w:val="pt-BR"/>
        </w:rPr>
        <w:t>de cada parte f</w:t>
      </w:r>
      <w:r w:rsidR="00D64156" w:rsidRPr="00D64156">
        <w:rPr>
          <w:rFonts w:ascii="Cambria" w:hAnsi="Cambria"/>
          <w:sz w:val="16"/>
          <w:szCs w:val="16"/>
          <w:lang w:val="pt-BR"/>
        </w:rPr>
        <w:t xml:space="preserve">oram </w:t>
      </w:r>
      <w:r w:rsidR="00CA6CA0" w:rsidRPr="00D64156">
        <w:rPr>
          <w:rFonts w:ascii="Cambria" w:hAnsi="Cambria"/>
          <w:sz w:val="16"/>
          <w:szCs w:val="16"/>
          <w:lang w:val="pt-BR"/>
        </w:rPr>
        <w:t>de</w:t>
      </w:r>
      <w:r w:rsidR="00D64156">
        <w:rPr>
          <w:rFonts w:ascii="Cambria" w:hAnsi="Cambria"/>
          <w:sz w:val="16"/>
          <w:szCs w:val="16"/>
          <w:lang w:val="pt-BR"/>
        </w:rPr>
        <w:t>v</w:t>
      </w:r>
      <w:r w:rsidR="00CA6CA0" w:rsidRPr="00D64156">
        <w:rPr>
          <w:rFonts w:ascii="Cambria" w:hAnsi="Cambria"/>
          <w:sz w:val="16"/>
          <w:szCs w:val="16"/>
          <w:lang w:val="pt-BR"/>
        </w:rPr>
        <w:t xml:space="preserve">idamente </w:t>
      </w:r>
      <w:r w:rsidR="00D64156">
        <w:rPr>
          <w:rFonts w:ascii="Cambria" w:hAnsi="Cambria"/>
          <w:sz w:val="16"/>
          <w:szCs w:val="16"/>
          <w:lang w:val="pt-BR"/>
        </w:rPr>
        <w:t xml:space="preserve">transmitidas à </w:t>
      </w:r>
      <w:r w:rsidR="00CA6CA0" w:rsidRPr="00D64156">
        <w:rPr>
          <w:rFonts w:ascii="Cambria" w:hAnsi="Cambria"/>
          <w:sz w:val="16"/>
          <w:szCs w:val="16"/>
          <w:lang w:val="pt-BR"/>
        </w:rPr>
        <w:t xml:space="preserve">contraparte. </w:t>
      </w:r>
    </w:p>
  </w:footnote>
  <w:footnote w:id="5">
    <w:p w14:paraId="297CC20B" w14:textId="43B11D66" w:rsidR="00EE0381" w:rsidRPr="005063A6" w:rsidRDefault="00EE0381" w:rsidP="00EE0381">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0081222D" w:rsidRPr="00B9799B">
        <w:rPr>
          <w:rFonts w:ascii="Cambria" w:hAnsi="Cambria"/>
          <w:sz w:val="16"/>
          <w:szCs w:val="16"/>
          <w:lang w:val="pt-BR"/>
        </w:rPr>
        <w:t xml:space="preserve"> Sobre os </w:t>
      </w:r>
      <w:r w:rsidR="0081222D" w:rsidRPr="00B9799B">
        <w:rPr>
          <w:rFonts w:ascii="Cambria" w:hAnsi="Cambria"/>
          <w:i/>
          <w:iCs/>
          <w:sz w:val="16"/>
          <w:szCs w:val="16"/>
          <w:lang w:val="pt-BR"/>
        </w:rPr>
        <w:t>precatórios</w:t>
      </w:r>
      <w:r w:rsidR="0081222D" w:rsidRPr="00B9799B">
        <w:rPr>
          <w:rFonts w:ascii="Cambria" w:hAnsi="Cambria"/>
          <w:sz w:val="16"/>
          <w:szCs w:val="16"/>
          <w:lang w:val="pt-BR"/>
        </w:rPr>
        <w:t xml:space="preserve">, </w:t>
      </w:r>
      <w:r w:rsidR="00B9799B">
        <w:rPr>
          <w:rFonts w:ascii="Cambria" w:hAnsi="Cambria"/>
          <w:sz w:val="16"/>
          <w:szCs w:val="16"/>
          <w:lang w:val="pt-BR"/>
        </w:rPr>
        <w:t>ver</w:t>
      </w:r>
      <w:r w:rsidR="00C7545D" w:rsidRPr="00B9799B">
        <w:rPr>
          <w:rFonts w:ascii="Cambria" w:hAnsi="Cambria"/>
          <w:sz w:val="16"/>
          <w:szCs w:val="16"/>
          <w:lang w:val="pt-BR"/>
        </w:rPr>
        <w:t xml:space="preserve">, </w:t>
      </w:r>
      <w:r w:rsidR="00C7545D" w:rsidRPr="00B9799B">
        <w:rPr>
          <w:rFonts w:ascii="Cambria" w:hAnsi="Cambria"/>
          <w:i/>
          <w:iCs/>
          <w:sz w:val="16"/>
          <w:szCs w:val="16"/>
          <w:lang w:val="pt-BR"/>
        </w:rPr>
        <w:t>e.g.</w:t>
      </w:r>
      <w:r w:rsidR="00C7545D" w:rsidRPr="00B9799B">
        <w:rPr>
          <w:rFonts w:ascii="Cambria" w:hAnsi="Cambria"/>
          <w:sz w:val="16"/>
          <w:szCs w:val="16"/>
          <w:lang w:val="pt-BR"/>
        </w:rPr>
        <w:t xml:space="preserve">, CIDH, </w:t>
      </w:r>
      <w:r w:rsidR="00B9799B">
        <w:rPr>
          <w:rFonts w:ascii="Cambria" w:hAnsi="Cambria"/>
          <w:sz w:val="16"/>
          <w:szCs w:val="16"/>
          <w:lang w:val="pt-BR"/>
        </w:rPr>
        <w:t xml:space="preserve">Relatório </w:t>
      </w:r>
      <w:r w:rsidR="00C7545D" w:rsidRPr="00B9799B">
        <w:rPr>
          <w:rFonts w:ascii="Cambria" w:hAnsi="Cambria"/>
          <w:sz w:val="16"/>
          <w:szCs w:val="16"/>
          <w:lang w:val="pt-BR"/>
        </w:rPr>
        <w:t>N</w:t>
      </w:r>
      <w:r w:rsidR="00C7545D" w:rsidRPr="00B9799B">
        <w:rPr>
          <w:rFonts w:ascii="Cambria" w:hAnsi="Cambria"/>
          <w:sz w:val="16"/>
          <w:szCs w:val="16"/>
          <w:vertAlign w:val="superscript"/>
          <w:lang w:val="pt-BR"/>
        </w:rPr>
        <w:t>o.</w:t>
      </w:r>
      <w:r w:rsidR="00C7545D" w:rsidRPr="00B9799B">
        <w:rPr>
          <w:rFonts w:ascii="Cambria" w:hAnsi="Cambria"/>
          <w:sz w:val="16"/>
          <w:szCs w:val="16"/>
          <w:lang w:val="pt-BR"/>
        </w:rPr>
        <w:t xml:space="preserve"> 141/22. </w:t>
      </w:r>
      <w:r w:rsidR="00C7545D" w:rsidRPr="00247E84">
        <w:rPr>
          <w:rFonts w:ascii="Cambria" w:hAnsi="Cambria"/>
          <w:sz w:val="16"/>
          <w:szCs w:val="16"/>
          <w:lang w:val="pt-BR"/>
        </w:rPr>
        <w:t>Peti</w:t>
      </w:r>
      <w:r w:rsidR="00B9799B" w:rsidRPr="00247E84">
        <w:rPr>
          <w:rFonts w:ascii="Cambria" w:hAnsi="Cambria"/>
          <w:sz w:val="16"/>
          <w:szCs w:val="16"/>
          <w:lang w:val="pt-BR"/>
        </w:rPr>
        <w:t>ção</w:t>
      </w:r>
      <w:r w:rsidR="00C7545D" w:rsidRPr="00247E84">
        <w:rPr>
          <w:rFonts w:ascii="Cambria" w:hAnsi="Cambria"/>
          <w:sz w:val="16"/>
          <w:szCs w:val="16"/>
          <w:lang w:val="pt-BR"/>
        </w:rPr>
        <w:t xml:space="preserve"> 355-12. Cleuza Boschilia. Brasil. </w:t>
      </w:r>
      <w:r w:rsidR="00C7545D" w:rsidRPr="00B9799B">
        <w:rPr>
          <w:rFonts w:ascii="Cambria" w:hAnsi="Cambria"/>
          <w:sz w:val="16"/>
          <w:szCs w:val="16"/>
          <w:lang w:val="pt-BR"/>
        </w:rPr>
        <w:t>27 de jun</w:t>
      </w:r>
      <w:r w:rsidR="00B9799B" w:rsidRPr="00B9799B">
        <w:rPr>
          <w:rFonts w:ascii="Cambria" w:hAnsi="Cambria"/>
          <w:sz w:val="16"/>
          <w:szCs w:val="16"/>
          <w:lang w:val="pt-BR"/>
        </w:rPr>
        <w:t>h</w:t>
      </w:r>
      <w:r w:rsidR="00C7545D" w:rsidRPr="00B9799B">
        <w:rPr>
          <w:rFonts w:ascii="Cambria" w:hAnsi="Cambria"/>
          <w:sz w:val="16"/>
          <w:szCs w:val="16"/>
          <w:lang w:val="pt-BR"/>
        </w:rPr>
        <w:t xml:space="preserve">o de 2022, </w:t>
      </w:r>
      <w:r w:rsidR="00B9799B" w:rsidRPr="00B9799B">
        <w:rPr>
          <w:rFonts w:ascii="Cambria" w:hAnsi="Cambria"/>
          <w:sz w:val="16"/>
          <w:szCs w:val="16"/>
          <w:lang w:val="pt-BR"/>
        </w:rPr>
        <w:t xml:space="preserve">nota de rodapé na </w:t>
      </w:r>
      <w:r w:rsidR="00C7545D" w:rsidRPr="00B9799B">
        <w:rPr>
          <w:rFonts w:ascii="Cambria" w:hAnsi="Cambria"/>
          <w:sz w:val="16"/>
          <w:szCs w:val="16"/>
          <w:lang w:val="pt-BR"/>
        </w:rPr>
        <w:t>página 3</w:t>
      </w:r>
      <w:r w:rsidR="00573EC9" w:rsidRPr="00B9799B">
        <w:rPr>
          <w:rFonts w:ascii="Cambria" w:hAnsi="Cambria"/>
          <w:sz w:val="16"/>
          <w:szCs w:val="16"/>
          <w:lang w:val="pt-BR"/>
        </w:rPr>
        <w:t>:</w:t>
      </w:r>
      <w:r w:rsidR="00C7545D" w:rsidRPr="00B9799B">
        <w:rPr>
          <w:rFonts w:ascii="Cambria" w:hAnsi="Cambria"/>
          <w:sz w:val="16"/>
          <w:szCs w:val="16"/>
          <w:lang w:val="pt-BR"/>
        </w:rPr>
        <w:t xml:space="preserve"> </w:t>
      </w:r>
      <w:r w:rsidR="0081222D" w:rsidRPr="00B9799B">
        <w:rPr>
          <w:rFonts w:ascii="Cambria" w:hAnsi="Cambria"/>
          <w:sz w:val="16"/>
          <w:szCs w:val="16"/>
          <w:lang w:val="pt-BR"/>
        </w:rPr>
        <w:t>“</w:t>
      </w:r>
      <w:r w:rsidR="00C7545D" w:rsidRPr="00B9799B">
        <w:rPr>
          <w:rFonts w:ascii="Cambria" w:hAnsi="Cambria"/>
          <w:sz w:val="16"/>
          <w:szCs w:val="16"/>
          <w:lang w:val="pt-BR"/>
        </w:rPr>
        <w:t xml:space="preserve">os precatórios </w:t>
      </w:r>
      <w:r w:rsidR="00B9799B" w:rsidRPr="00B9799B">
        <w:rPr>
          <w:rFonts w:ascii="Cambria" w:hAnsi="Cambria"/>
          <w:sz w:val="16"/>
          <w:szCs w:val="16"/>
          <w:lang w:val="pt-BR"/>
        </w:rPr>
        <w:t xml:space="preserve">são solicitações de pagamento </w:t>
      </w:r>
      <w:r w:rsidR="00C7545D" w:rsidRPr="00B9799B">
        <w:rPr>
          <w:rFonts w:ascii="Cambria" w:hAnsi="Cambria"/>
          <w:sz w:val="16"/>
          <w:szCs w:val="16"/>
          <w:lang w:val="pt-BR"/>
        </w:rPr>
        <w:t>emitidas p</w:t>
      </w:r>
      <w:r w:rsidR="00B9799B" w:rsidRPr="00B9799B">
        <w:rPr>
          <w:rFonts w:ascii="Cambria" w:hAnsi="Cambria"/>
          <w:sz w:val="16"/>
          <w:szCs w:val="16"/>
          <w:lang w:val="pt-BR"/>
        </w:rPr>
        <w:t xml:space="preserve">elo </w:t>
      </w:r>
      <w:r w:rsidR="00C7545D" w:rsidRPr="00B9799B">
        <w:rPr>
          <w:rFonts w:ascii="Cambria" w:hAnsi="Cambria"/>
          <w:sz w:val="16"/>
          <w:szCs w:val="16"/>
          <w:lang w:val="pt-BR"/>
        </w:rPr>
        <w:t>Poder Judici</w:t>
      </w:r>
      <w:r w:rsidR="00B9799B" w:rsidRPr="00B9799B">
        <w:rPr>
          <w:rFonts w:ascii="Cambria" w:hAnsi="Cambria"/>
          <w:sz w:val="16"/>
          <w:szCs w:val="16"/>
          <w:lang w:val="pt-BR"/>
        </w:rPr>
        <w:t xml:space="preserve">ário </w:t>
      </w:r>
      <w:r w:rsidR="00C7545D" w:rsidRPr="00B9799B">
        <w:rPr>
          <w:rFonts w:ascii="Cambria" w:hAnsi="Cambria"/>
          <w:sz w:val="16"/>
          <w:szCs w:val="16"/>
          <w:lang w:val="pt-BR"/>
        </w:rPr>
        <w:t>para cobrar dos munic</w:t>
      </w:r>
      <w:r w:rsidR="00B9799B">
        <w:rPr>
          <w:rFonts w:ascii="Cambria" w:hAnsi="Cambria"/>
          <w:sz w:val="16"/>
          <w:szCs w:val="16"/>
          <w:lang w:val="pt-BR"/>
        </w:rPr>
        <w:t>í</w:t>
      </w:r>
      <w:r w:rsidR="00C7545D" w:rsidRPr="00B9799B">
        <w:rPr>
          <w:rFonts w:ascii="Cambria" w:hAnsi="Cambria"/>
          <w:sz w:val="16"/>
          <w:szCs w:val="16"/>
          <w:lang w:val="pt-BR"/>
        </w:rPr>
        <w:t xml:space="preserve">pios, </w:t>
      </w:r>
      <w:r w:rsidR="00B9799B" w:rsidRPr="00B9799B">
        <w:rPr>
          <w:rFonts w:ascii="Cambria" w:hAnsi="Cambria"/>
          <w:sz w:val="16"/>
          <w:szCs w:val="16"/>
          <w:lang w:val="pt-BR"/>
        </w:rPr>
        <w:t xml:space="preserve">dos </w:t>
      </w:r>
      <w:r w:rsidR="00C7545D" w:rsidRPr="00B9799B">
        <w:rPr>
          <w:rFonts w:ascii="Cambria" w:hAnsi="Cambria"/>
          <w:sz w:val="16"/>
          <w:szCs w:val="16"/>
          <w:lang w:val="pt-BR"/>
        </w:rPr>
        <w:t>estados o</w:t>
      </w:r>
      <w:r w:rsidR="00B9799B" w:rsidRPr="00B9799B">
        <w:rPr>
          <w:rFonts w:ascii="Cambria" w:hAnsi="Cambria"/>
          <w:sz w:val="16"/>
          <w:szCs w:val="16"/>
          <w:lang w:val="pt-BR"/>
        </w:rPr>
        <w:t>u</w:t>
      </w:r>
      <w:r w:rsidR="00C7545D" w:rsidRPr="00B9799B">
        <w:rPr>
          <w:rFonts w:ascii="Cambria" w:hAnsi="Cambria"/>
          <w:sz w:val="16"/>
          <w:szCs w:val="16"/>
          <w:lang w:val="pt-BR"/>
        </w:rPr>
        <w:t xml:space="preserve"> </w:t>
      </w:r>
      <w:r w:rsidR="00B9799B" w:rsidRPr="00B9799B">
        <w:rPr>
          <w:rFonts w:ascii="Cambria" w:hAnsi="Cambria"/>
          <w:sz w:val="16"/>
          <w:szCs w:val="16"/>
          <w:lang w:val="pt-BR"/>
        </w:rPr>
        <w:t>d</w:t>
      </w:r>
      <w:r w:rsidR="00C7545D" w:rsidRPr="00B9799B">
        <w:rPr>
          <w:rFonts w:ascii="Cambria" w:hAnsi="Cambria"/>
          <w:sz w:val="16"/>
          <w:szCs w:val="16"/>
          <w:lang w:val="pt-BR"/>
        </w:rPr>
        <w:t>a Uni</w:t>
      </w:r>
      <w:r w:rsidR="00B9799B" w:rsidRPr="00B9799B">
        <w:rPr>
          <w:rFonts w:ascii="Cambria" w:hAnsi="Cambria"/>
          <w:sz w:val="16"/>
          <w:szCs w:val="16"/>
          <w:lang w:val="pt-BR"/>
        </w:rPr>
        <w:t>ão,</w:t>
      </w:r>
      <w:r w:rsidR="00C7545D" w:rsidRPr="00B9799B">
        <w:rPr>
          <w:rFonts w:ascii="Cambria" w:hAnsi="Cambria"/>
          <w:sz w:val="16"/>
          <w:szCs w:val="16"/>
          <w:lang w:val="pt-BR"/>
        </w:rPr>
        <w:t xml:space="preserve"> </w:t>
      </w:r>
      <w:r w:rsidR="00B9799B" w:rsidRPr="00B9799B">
        <w:rPr>
          <w:rFonts w:ascii="Cambria" w:hAnsi="Cambria"/>
          <w:sz w:val="16"/>
          <w:szCs w:val="16"/>
          <w:lang w:val="pt-BR"/>
        </w:rPr>
        <w:t>be</w:t>
      </w:r>
      <w:r w:rsidR="00B9799B">
        <w:rPr>
          <w:rFonts w:ascii="Cambria" w:hAnsi="Cambria"/>
          <w:sz w:val="16"/>
          <w:szCs w:val="16"/>
          <w:lang w:val="pt-BR"/>
        </w:rPr>
        <w:t xml:space="preserve">m como das autarquias, fundações e </w:t>
      </w:r>
      <w:r w:rsidR="00C7545D" w:rsidRPr="00B9799B">
        <w:rPr>
          <w:rFonts w:ascii="Cambria" w:hAnsi="Cambria"/>
          <w:sz w:val="16"/>
          <w:szCs w:val="16"/>
          <w:lang w:val="pt-BR"/>
        </w:rPr>
        <w:t xml:space="preserve">universidades, </w:t>
      </w:r>
      <w:r w:rsidR="00B9799B">
        <w:rPr>
          <w:rFonts w:ascii="Cambria" w:hAnsi="Cambria"/>
          <w:sz w:val="16"/>
          <w:szCs w:val="16"/>
          <w:lang w:val="pt-BR"/>
        </w:rPr>
        <w:t xml:space="preserve">o pagamento de quantias devidas posteriormente à sentença </w:t>
      </w:r>
      <w:r w:rsidR="00C7545D" w:rsidRPr="00B9799B">
        <w:rPr>
          <w:rFonts w:ascii="Cambria" w:hAnsi="Cambria"/>
          <w:sz w:val="16"/>
          <w:szCs w:val="16"/>
          <w:lang w:val="pt-BR"/>
        </w:rPr>
        <w:t xml:space="preserve">judicial </w:t>
      </w:r>
      <w:r w:rsidR="00B9799B">
        <w:rPr>
          <w:rFonts w:ascii="Cambria" w:hAnsi="Cambria"/>
          <w:sz w:val="16"/>
          <w:szCs w:val="16"/>
          <w:lang w:val="pt-BR"/>
        </w:rPr>
        <w:t>final</w:t>
      </w:r>
      <w:r w:rsidR="00C7545D" w:rsidRPr="00B9799B">
        <w:rPr>
          <w:rFonts w:ascii="Cambria" w:hAnsi="Cambria"/>
          <w:sz w:val="16"/>
          <w:szCs w:val="16"/>
          <w:lang w:val="pt-BR"/>
        </w:rPr>
        <w:t xml:space="preserve">. </w:t>
      </w:r>
      <w:r w:rsidR="00B9799B" w:rsidRPr="005063A6">
        <w:rPr>
          <w:rFonts w:ascii="Cambria" w:hAnsi="Cambria"/>
          <w:sz w:val="16"/>
          <w:szCs w:val="16"/>
          <w:lang w:val="pt-BR"/>
        </w:rPr>
        <w:t xml:space="preserve">O </w:t>
      </w:r>
      <w:r w:rsidR="00C7545D" w:rsidRPr="005063A6">
        <w:rPr>
          <w:rFonts w:ascii="Cambria" w:hAnsi="Cambria"/>
          <w:i/>
          <w:iCs/>
          <w:sz w:val="16"/>
          <w:szCs w:val="16"/>
          <w:lang w:val="pt-BR"/>
        </w:rPr>
        <w:t>precatório</w:t>
      </w:r>
      <w:r w:rsidR="00C7545D" w:rsidRPr="005063A6">
        <w:rPr>
          <w:rFonts w:ascii="Cambria" w:hAnsi="Cambria"/>
          <w:sz w:val="16"/>
          <w:szCs w:val="16"/>
          <w:lang w:val="pt-BR"/>
        </w:rPr>
        <w:t xml:space="preserve"> </w:t>
      </w:r>
      <w:r w:rsidR="00B9799B" w:rsidRPr="005063A6">
        <w:rPr>
          <w:rFonts w:ascii="Cambria" w:hAnsi="Cambria"/>
          <w:sz w:val="16"/>
          <w:szCs w:val="16"/>
          <w:lang w:val="pt-BR"/>
        </w:rPr>
        <w:t xml:space="preserve">é </w:t>
      </w:r>
      <w:r w:rsidR="005063A6" w:rsidRPr="005063A6">
        <w:rPr>
          <w:rFonts w:ascii="Cambria" w:hAnsi="Cambria"/>
          <w:sz w:val="16"/>
          <w:szCs w:val="16"/>
          <w:lang w:val="pt-BR"/>
        </w:rPr>
        <w:t xml:space="preserve">expedido pelo </w:t>
      </w:r>
      <w:r w:rsidR="00C7545D" w:rsidRPr="005063A6">
        <w:rPr>
          <w:rFonts w:ascii="Cambria" w:hAnsi="Cambria"/>
          <w:sz w:val="16"/>
          <w:szCs w:val="16"/>
          <w:lang w:val="pt-BR"/>
        </w:rPr>
        <w:t>presidente d</w:t>
      </w:r>
      <w:r w:rsidR="005063A6" w:rsidRPr="005063A6">
        <w:rPr>
          <w:rFonts w:ascii="Cambria" w:hAnsi="Cambria"/>
          <w:sz w:val="16"/>
          <w:szCs w:val="16"/>
          <w:lang w:val="pt-BR"/>
        </w:rPr>
        <w:t>o</w:t>
      </w:r>
      <w:r w:rsidR="00C7545D" w:rsidRPr="005063A6">
        <w:rPr>
          <w:rFonts w:ascii="Cambria" w:hAnsi="Cambria"/>
          <w:sz w:val="16"/>
          <w:szCs w:val="16"/>
          <w:lang w:val="pt-BR"/>
        </w:rPr>
        <w:t xml:space="preserve"> Tribunal </w:t>
      </w:r>
      <w:r w:rsidR="005063A6">
        <w:rPr>
          <w:rFonts w:ascii="Cambria" w:hAnsi="Cambria"/>
          <w:sz w:val="16"/>
          <w:szCs w:val="16"/>
          <w:lang w:val="pt-BR"/>
        </w:rPr>
        <w:t>em que tramitou o processo</w:t>
      </w:r>
      <w:r w:rsidR="00C7545D" w:rsidRPr="005063A6">
        <w:rPr>
          <w:rFonts w:ascii="Cambria" w:hAnsi="Cambria"/>
          <w:sz w:val="16"/>
          <w:szCs w:val="16"/>
          <w:lang w:val="pt-BR"/>
        </w:rPr>
        <w:t xml:space="preserve">, </w:t>
      </w:r>
      <w:r w:rsidR="005063A6">
        <w:rPr>
          <w:rFonts w:ascii="Cambria" w:hAnsi="Cambria"/>
          <w:sz w:val="16"/>
          <w:szCs w:val="16"/>
          <w:lang w:val="pt-BR"/>
        </w:rPr>
        <w:t>após solicitação do juiz responsável pela condenação</w:t>
      </w:r>
      <w:r w:rsidR="00C7545D" w:rsidRPr="005063A6">
        <w:rPr>
          <w:rFonts w:ascii="Cambria" w:hAnsi="Cambria"/>
          <w:sz w:val="16"/>
          <w:szCs w:val="16"/>
          <w:lang w:val="pt-BR"/>
        </w:rPr>
        <w:t>”</w:t>
      </w:r>
      <w:r w:rsidR="005063A6">
        <w:rPr>
          <w:rFonts w:ascii="Cambria" w:hAnsi="Cambria"/>
          <w:sz w:val="16"/>
          <w:szCs w:val="16"/>
          <w:lang w:val="pt-BR"/>
        </w:rPr>
        <w:t>.</w:t>
      </w:r>
    </w:p>
  </w:footnote>
  <w:footnote w:id="6">
    <w:p w14:paraId="6BEDB0A4" w14:textId="18053B48" w:rsidR="00F470FB" w:rsidRPr="005063A6" w:rsidRDefault="00F470FB" w:rsidP="00F470FB">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5063A6">
        <w:rPr>
          <w:rFonts w:ascii="Cambria" w:hAnsi="Cambria"/>
          <w:sz w:val="16"/>
          <w:szCs w:val="16"/>
          <w:lang w:val="pt-BR"/>
        </w:rPr>
        <w:t xml:space="preserve"> Aproximadamente 156 </w:t>
      </w:r>
      <w:r w:rsidR="005063A6" w:rsidRPr="005063A6">
        <w:rPr>
          <w:rFonts w:ascii="Cambria" w:hAnsi="Cambria"/>
          <w:sz w:val="16"/>
          <w:szCs w:val="16"/>
          <w:lang w:val="pt-BR"/>
        </w:rPr>
        <w:t xml:space="preserve">milhões </w:t>
      </w:r>
      <w:r w:rsidRPr="005063A6">
        <w:rPr>
          <w:rFonts w:ascii="Cambria" w:hAnsi="Cambria"/>
          <w:sz w:val="16"/>
          <w:szCs w:val="16"/>
          <w:lang w:val="pt-BR"/>
        </w:rPr>
        <w:t xml:space="preserve">de dólares </w:t>
      </w:r>
      <w:r w:rsidR="005063A6" w:rsidRPr="005063A6">
        <w:rPr>
          <w:rFonts w:ascii="Cambria" w:hAnsi="Cambria"/>
          <w:sz w:val="16"/>
          <w:szCs w:val="16"/>
          <w:lang w:val="pt-BR"/>
        </w:rPr>
        <w:t>dos Estados Unidos</w:t>
      </w:r>
      <w:r w:rsidR="005063A6">
        <w:rPr>
          <w:rFonts w:ascii="Cambria" w:hAnsi="Cambria"/>
          <w:sz w:val="16"/>
          <w:szCs w:val="16"/>
          <w:lang w:val="pt-BR"/>
        </w:rPr>
        <w:t>;</w:t>
      </w:r>
      <w:r w:rsidRPr="005063A6">
        <w:rPr>
          <w:rFonts w:ascii="Cambria" w:hAnsi="Cambria"/>
          <w:sz w:val="16"/>
          <w:szCs w:val="16"/>
          <w:lang w:val="pt-BR"/>
        </w:rPr>
        <w:t xml:space="preserve"> </w:t>
      </w:r>
      <w:r w:rsidR="005063A6" w:rsidRPr="005063A6">
        <w:rPr>
          <w:rFonts w:ascii="Cambria" w:hAnsi="Cambria"/>
          <w:sz w:val="16"/>
          <w:szCs w:val="16"/>
          <w:lang w:val="pt-BR"/>
        </w:rPr>
        <w:t>segundo a taxa</w:t>
      </w:r>
      <w:r w:rsidR="005063A6">
        <w:rPr>
          <w:rFonts w:ascii="Cambria" w:hAnsi="Cambria"/>
          <w:sz w:val="16"/>
          <w:szCs w:val="16"/>
          <w:lang w:val="pt-BR"/>
        </w:rPr>
        <w:t xml:space="preserve"> de conversão monetária </w:t>
      </w:r>
      <w:r w:rsidRPr="005063A6">
        <w:rPr>
          <w:rFonts w:ascii="Cambria" w:hAnsi="Cambria"/>
          <w:sz w:val="16"/>
          <w:szCs w:val="16"/>
          <w:lang w:val="pt-BR"/>
        </w:rPr>
        <w:t>informada p</w:t>
      </w:r>
      <w:r w:rsidR="005063A6">
        <w:rPr>
          <w:rFonts w:ascii="Cambria" w:hAnsi="Cambria"/>
          <w:sz w:val="16"/>
          <w:szCs w:val="16"/>
          <w:lang w:val="pt-BR"/>
        </w:rPr>
        <w:t xml:space="preserve">elo </w:t>
      </w:r>
      <w:r w:rsidRPr="005063A6">
        <w:rPr>
          <w:rFonts w:ascii="Cambria" w:hAnsi="Cambria"/>
          <w:sz w:val="16"/>
          <w:szCs w:val="16"/>
          <w:lang w:val="pt-BR"/>
        </w:rPr>
        <w:t>Banco Central d</w:t>
      </w:r>
      <w:r w:rsidR="005063A6">
        <w:rPr>
          <w:rFonts w:ascii="Cambria" w:hAnsi="Cambria"/>
          <w:sz w:val="16"/>
          <w:szCs w:val="16"/>
          <w:lang w:val="pt-BR"/>
        </w:rPr>
        <w:t>o</w:t>
      </w:r>
      <w:r w:rsidRPr="005063A6">
        <w:rPr>
          <w:rFonts w:ascii="Cambria" w:hAnsi="Cambria"/>
          <w:sz w:val="16"/>
          <w:szCs w:val="16"/>
          <w:lang w:val="pt-BR"/>
        </w:rPr>
        <w:t xml:space="preserve"> Brasil </w:t>
      </w:r>
      <w:r w:rsidR="005063A6">
        <w:rPr>
          <w:rFonts w:ascii="Cambria" w:hAnsi="Cambria"/>
          <w:sz w:val="16"/>
          <w:szCs w:val="16"/>
          <w:lang w:val="pt-BR"/>
        </w:rPr>
        <w:t xml:space="preserve">em </w:t>
      </w:r>
      <w:r w:rsidRPr="005063A6">
        <w:rPr>
          <w:rFonts w:ascii="Cambria" w:hAnsi="Cambria"/>
          <w:sz w:val="16"/>
          <w:szCs w:val="16"/>
          <w:lang w:val="pt-BR"/>
        </w:rPr>
        <w:t>2 de agosto de 2023, e</w:t>
      </w:r>
      <w:r w:rsidR="005063A6">
        <w:rPr>
          <w:rFonts w:ascii="Cambria" w:hAnsi="Cambria"/>
          <w:sz w:val="16"/>
          <w:szCs w:val="16"/>
          <w:lang w:val="pt-BR"/>
        </w:rPr>
        <w:t>s</w:t>
      </w:r>
      <w:r w:rsidRPr="005063A6">
        <w:rPr>
          <w:rFonts w:ascii="Cambria" w:hAnsi="Cambria"/>
          <w:sz w:val="16"/>
          <w:szCs w:val="16"/>
          <w:lang w:val="pt-BR"/>
        </w:rPr>
        <w:t xml:space="preserve">se dólar equivale a 4,80 </w:t>
      </w:r>
      <w:r w:rsidR="005063A6">
        <w:rPr>
          <w:rFonts w:ascii="Cambria" w:hAnsi="Cambria"/>
          <w:sz w:val="16"/>
          <w:szCs w:val="16"/>
          <w:lang w:val="pt-BR"/>
        </w:rPr>
        <w:t xml:space="preserve">reais </w:t>
      </w:r>
      <w:r w:rsidRPr="005063A6">
        <w:rPr>
          <w:rFonts w:ascii="Cambria" w:hAnsi="Cambria"/>
          <w:sz w:val="16"/>
          <w:szCs w:val="16"/>
          <w:lang w:val="pt-BR"/>
        </w:rPr>
        <w:t>(https://www.bcb.gov.br/).</w:t>
      </w:r>
    </w:p>
  </w:footnote>
  <w:footnote w:id="7">
    <w:p w14:paraId="0FA07B2B" w14:textId="780AA5B8" w:rsidR="007E1139" w:rsidRPr="008857CC" w:rsidRDefault="007E1139" w:rsidP="007E1139">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8857CC">
        <w:rPr>
          <w:rFonts w:ascii="Cambria" w:hAnsi="Cambria"/>
          <w:sz w:val="16"/>
          <w:szCs w:val="16"/>
          <w:lang w:val="pt-BR"/>
        </w:rPr>
        <w:t xml:space="preserve"> </w:t>
      </w:r>
      <w:r w:rsidR="00406825" w:rsidRPr="008857CC">
        <w:rPr>
          <w:rFonts w:ascii="Cambria" w:hAnsi="Cambria"/>
          <w:sz w:val="16"/>
          <w:szCs w:val="16"/>
          <w:lang w:val="pt-BR"/>
        </w:rPr>
        <w:t>S</w:t>
      </w:r>
      <w:r w:rsidRPr="008857CC">
        <w:rPr>
          <w:rFonts w:ascii="Cambria" w:hAnsi="Cambria"/>
          <w:sz w:val="16"/>
          <w:szCs w:val="16"/>
          <w:lang w:val="pt-BR"/>
        </w:rPr>
        <w:t>eg</w:t>
      </w:r>
      <w:r w:rsidR="008857CC" w:rsidRPr="008857CC">
        <w:rPr>
          <w:rFonts w:ascii="Cambria" w:hAnsi="Cambria"/>
          <w:sz w:val="16"/>
          <w:szCs w:val="16"/>
          <w:lang w:val="pt-BR"/>
        </w:rPr>
        <w:t xml:space="preserve">undo a taxa de </w:t>
      </w:r>
      <w:r w:rsidR="008857CC">
        <w:rPr>
          <w:rFonts w:ascii="Cambria" w:hAnsi="Cambria"/>
          <w:sz w:val="16"/>
          <w:szCs w:val="16"/>
          <w:lang w:val="pt-BR"/>
        </w:rPr>
        <w:t xml:space="preserve">conversão monetária </w:t>
      </w:r>
      <w:r w:rsidRPr="008857CC">
        <w:rPr>
          <w:rFonts w:ascii="Cambria" w:hAnsi="Cambria"/>
          <w:sz w:val="16"/>
          <w:szCs w:val="16"/>
          <w:lang w:val="pt-BR"/>
        </w:rPr>
        <w:t>informada p</w:t>
      </w:r>
      <w:r w:rsidR="008857CC">
        <w:rPr>
          <w:rFonts w:ascii="Cambria" w:hAnsi="Cambria"/>
          <w:sz w:val="16"/>
          <w:szCs w:val="16"/>
          <w:lang w:val="pt-BR"/>
        </w:rPr>
        <w:t xml:space="preserve">elo </w:t>
      </w:r>
      <w:r w:rsidRPr="008857CC">
        <w:rPr>
          <w:rFonts w:ascii="Cambria" w:hAnsi="Cambria"/>
          <w:sz w:val="16"/>
          <w:szCs w:val="16"/>
          <w:lang w:val="pt-BR"/>
        </w:rPr>
        <w:t>Banco Central d</w:t>
      </w:r>
      <w:r w:rsidR="008857CC">
        <w:rPr>
          <w:rFonts w:ascii="Cambria" w:hAnsi="Cambria"/>
          <w:sz w:val="16"/>
          <w:szCs w:val="16"/>
          <w:lang w:val="pt-BR"/>
        </w:rPr>
        <w:t>o</w:t>
      </w:r>
      <w:r w:rsidRPr="008857CC">
        <w:rPr>
          <w:rFonts w:ascii="Cambria" w:hAnsi="Cambria"/>
          <w:sz w:val="16"/>
          <w:szCs w:val="16"/>
          <w:lang w:val="pt-BR"/>
        </w:rPr>
        <w:t xml:space="preserve"> Brasil </w:t>
      </w:r>
      <w:r w:rsidR="008857CC">
        <w:rPr>
          <w:rFonts w:ascii="Cambria" w:hAnsi="Cambria"/>
          <w:sz w:val="16"/>
          <w:szCs w:val="16"/>
          <w:lang w:val="pt-BR"/>
        </w:rPr>
        <w:t xml:space="preserve">em </w:t>
      </w:r>
      <w:r w:rsidRPr="008857CC">
        <w:rPr>
          <w:rFonts w:ascii="Cambria" w:hAnsi="Cambria"/>
          <w:sz w:val="16"/>
          <w:szCs w:val="16"/>
          <w:lang w:val="pt-BR"/>
        </w:rPr>
        <w:t xml:space="preserve">2 de agosto de 2023, </w:t>
      </w:r>
      <w:r w:rsidR="00046367" w:rsidRPr="008857CC">
        <w:rPr>
          <w:rFonts w:ascii="Cambria" w:hAnsi="Cambria"/>
          <w:sz w:val="16"/>
          <w:szCs w:val="16"/>
          <w:lang w:val="pt-BR"/>
        </w:rPr>
        <w:t>1</w:t>
      </w:r>
      <w:r w:rsidRPr="008857CC">
        <w:rPr>
          <w:rFonts w:ascii="Cambria" w:hAnsi="Cambria"/>
          <w:sz w:val="16"/>
          <w:szCs w:val="16"/>
          <w:lang w:val="pt-BR"/>
        </w:rPr>
        <w:t xml:space="preserve"> dólar equivale a 4,80 </w:t>
      </w:r>
      <w:r w:rsidR="008857CC">
        <w:rPr>
          <w:rFonts w:ascii="Cambria" w:hAnsi="Cambria"/>
          <w:sz w:val="16"/>
          <w:szCs w:val="16"/>
          <w:lang w:val="pt-BR"/>
        </w:rPr>
        <w:t xml:space="preserve">reais </w:t>
      </w:r>
      <w:r w:rsidRPr="008857CC">
        <w:rPr>
          <w:rFonts w:ascii="Cambria" w:hAnsi="Cambria"/>
          <w:sz w:val="16"/>
          <w:szCs w:val="16"/>
          <w:lang w:val="pt-BR"/>
        </w:rPr>
        <w:t>(https://www.bcb.gov.br/).</w:t>
      </w:r>
    </w:p>
  </w:footnote>
  <w:footnote w:id="8">
    <w:p w14:paraId="24FA4810" w14:textId="5A00FE83" w:rsidR="00216B97" w:rsidRPr="00A149AB" w:rsidRDefault="00216B97" w:rsidP="008E7EBB">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A149AB">
        <w:rPr>
          <w:rFonts w:ascii="Cambria" w:hAnsi="Cambria"/>
          <w:sz w:val="16"/>
          <w:szCs w:val="16"/>
          <w:lang w:val="pt-BR"/>
        </w:rPr>
        <w:t xml:space="preserve"> CIDH, </w:t>
      </w:r>
      <w:r w:rsidR="00A149AB" w:rsidRPr="00A149AB">
        <w:rPr>
          <w:rFonts w:ascii="Cambria" w:hAnsi="Cambria"/>
          <w:sz w:val="16"/>
          <w:szCs w:val="16"/>
          <w:lang w:val="pt-BR"/>
        </w:rPr>
        <w:t>Relatório</w:t>
      </w:r>
      <w:r w:rsidRPr="00A149AB">
        <w:rPr>
          <w:rFonts w:ascii="Cambria" w:hAnsi="Cambria"/>
          <w:sz w:val="16"/>
          <w:szCs w:val="16"/>
          <w:lang w:val="pt-BR"/>
        </w:rPr>
        <w:t xml:space="preserve"> N</w:t>
      </w:r>
      <w:r w:rsidRPr="00A149AB">
        <w:rPr>
          <w:rFonts w:ascii="Cambria" w:hAnsi="Cambria"/>
          <w:sz w:val="16"/>
          <w:szCs w:val="16"/>
          <w:vertAlign w:val="superscript"/>
          <w:lang w:val="pt-BR"/>
        </w:rPr>
        <w:t>o.</w:t>
      </w:r>
      <w:r w:rsidRPr="00A149AB">
        <w:rPr>
          <w:rFonts w:ascii="Cambria" w:hAnsi="Cambria"/>
          <w:sz w:val="16"/>
          <w:szCs w:val="16"/>
          <w:lang w:val="pt-BR"/>
        </w:rPr>
        <w:t xml:space="preserve"> 113/17. Peti</w:t>
      </w:r>
      <w:r w:rsidR="00A149AB" w:rsidRPr="00A149AB">
        <w:rPr>
          <w:rFonts w:ascii="Cambria" w:hAnsi="Cambria"/>
          <w:sz w:val="16"/>
          <w:szCs w:val="16"/>
          <w:lang w:val="pt-BR"/>
        </w:rPr>
        <w:t xml:space="preserve">ção </w:t>
      </w:r>
      <w:r w:rsidRPr="00A149AB">
        <w:rPr>
          <w:rFonts w:ascii="Cambria" w:hAnsi="Cambria"/>
          <w:sz w:val="16"/>
          <w:szCs w:val="16"/>
          <w:lang w:val="pt-BR"/>
        </w:rPr>
        <w:t>1141-07. Admis</w:t>
      </w:r>
      <w:r w:rsidR="00A149AB" w:rsidRPr="00A149AB">
        <w:rPr>
          <w:rFonts w:ascii="Cambria" w:hAnsi="Cambria"/>
          <w:sz w:val="16"/>
          <w:szCs w:val="16"/>
          <w:lang w:val="pt-BR"/>
        </w:rPr>
        <w:t>s</w:t>
      </w:r>
      <w:r w:rsidRPr="00A149AB">
        <w:rPr>
          <w:rFonts w:ascii="Cambria" w:hAnsi="Cambria"/>
          <w:sz w:val="16"/>
          <w:szCs w:val="16"/>
          <w:lang w:val="pt-BR"/>
        </w:rPr>
        <w:t>ibilidad</w:t>
      </w:r>
      <w:r w:rsidR="00A149AB" w:rsidRPr="00A149AB">
        <w:rPr>
          <w:rFonts w:ascii="Cambria" w:hAnsi="Cambria"/>
          <w:sz w:val="16"/>
          <w:szCs w:val="16"/>
          <w:lang w:val="pt-BR"/>
        </w:rPr>
        <w:t>e</w:t>
      </w:r>
      <w:r w:rsidRPr="00A149AB">
        <w:rPr>
          <w:rFonts w:ascii="Cambria" w:hAnsi="Cambria"/>
          <w:sz w:val="16"/>
          <w:szCs w:val="16"/>
          <w:lang w:val="pt-BR"/>
        </w:rPr>
        <w:t xml:space="preserve">. Alfredo Manuel Martínez Meza </w:t>
      </w:r>
      <w:r w:rsidR="00A149AB" w:rsidRPr="00A149AB">
        <w:rPr>
          <w:rFonts w:ascii="Cambria" w:hAnsi="Cambria"/>
          <w:sz w:val="16"/>
          <w:szCs w:val="16"/>
          <w:lang w:val="pt-BR"/>
        </w:rPr>
        <w:t>e</w:t>
      </w:r>
      <w:r w:rsidRPr="00A149AB">
        <w:rPr>
          <w:rFonts w:ascii="Cambria" w:hAnsi="Cambria"/>
          <w:sz w:val="16"/>
          <w:szCs w:val="16"/>
          <w:lang w:val="pt-BR"/>
        </w:rPr>
        <w:t xml:space="preserve"> o</w:t>
      </w:r>
      <w:r w:rsidR="00A149AB" w:rsidRPr="00A149AB">
        <w:rPr>
          <w:rFonts w:ascii="Cambria" w:hAnsi="Cambria"/>
          <w:sz w:val="16"/>
          <w:szCs w:val="16"/>
          <w:lang w:val="pt-BR"/>
        </w:rPr>
        <w:t>u</w:t>
      </w:r>
      <w:r w:rsidRPr="00A149AB">
        <w:rPr>
          <w:rFonts w:ascii="Cambria" w:hAnsi="Cambria"/>
          <w:sz w:val="16"/>
          <w:szCs w:val="16"/>
          <w:lang w:val="pt-BR"/>
        </w:rPr>
        <w:t>tros. Col</w:t>
      </w:r>
      <w:r w:rsidR="00A149AB" w:rsidRPr="00A149AB">
        <w:rPr>
          <w:rFonts w:ascii="Cambria" w:hAnsi="Cambria"/>
          <w:sz w:val="16"/>
          <w:szCs w:val="16"/>
          <w:lang w:val="pt-BR"/>
        </w:rPr>
        <w:t>ô</w:t>
      </w:r>
      <w:r w:rsidRPr="00A149AB">
        <w:rPr>
          <w:rFonts w:ascii="Cambria" w:hAnsi="Cambria"/>
          <w:sz w:val="16"/>
          <w:szCs w:val="16"/>
          <w:lang w:val="pt-BR"/>
        </w:rPr>
        <w:t xml:space="preserve">mbia. 7 de </w:t>
      </w:r>
      <w:r w:rsidR="00A149AB" w:rsidRPr="00A149AB">
        <w:rPr>
          <w:rFonts w:ascii="Cambria" w:hAnsi="Cambria"/>
          <w:sz w:val="16"/>
          <w:szCs w:val="16"/>
          <w:lang w:val="pt-BR"/>
        </w:rPr>
        <w:t xml:space="preserve">setembro </w:t>
      </w:r>
      <w:r w:rsidRPr="00A149AB">
        <w:rPr>
          <w:rFonts w:ascii="Cambria" w:hAnsi="Cambria"/>
          <w:sz w:val="16"/>
          <w:szCs w:val="16"/>
          <w:lang w:val="pt-BR"/>
        </w:rPr>
        <w:t>de 2017</w:t>
      </w:r>
      <w:r w:rsidR="00861D65" w:rsidRPr="00A149AB">
        <w:rPr>
          <w:rFonts w:ascii="Cambria" w:hAnsi="Cambria"/>
          <w:sz w:val="16"/>
          <w:szCs w:val="16"/>
          <w:lang w:val="pt-BR"/>
        </w:rPr>
        <w:t>, p</w:t>
      </w:r>
      <w:r w:rsidR="00A149AB" w:rsidRPr="00A149AB">
        <w:rPr>
          <w:rFonts w:ascii="Cambria" w:hAnsi="Cambria"/>
          <w:sz w:val="16"/>
          <w:szCs w:val="16"/>
          <w:lang w:val="pt-BR"/>
        </w:rPr>
        <w:t>a</w:t>
      </w:r>
      <w:r w:rsidR="00861D65" w:rsidRPr="00A149AB">
        <w:rPr>
          <w:rFonts w:ascii="Cambria" w:hAnsi="Cambria"/>
          <w:sz w:val="16"/>
          <w:szCs w:val="16"/>
          <w:lang w:val="pt-BR"/>
        </w:rPr>
        <w:t>r. 3</w:t>
      </w:r>
      <w:r w:rsidRPr="00A149AB">
        <w:rPr>
          <w:rFonts w:ascii="Cambria" w:hAnsi="Cambria"/>
          <w:sz w:val="16"/>
          <w:szCs w:val="16"/>
          <w:lang w:val="pt-BR"/>
        </w:rPr>
        <w:t>.</w:t>
      </w:r>
    </w:p>
  </w:footnote>
  <w:footnote w:id="9">
    <w:p w14:paraId="7990EE29" w14:textId="081D3BC3" w:rsidR="00907E48" w:rsidRPr="008A6E18" w:rsidRDefault="00907E48" w:rsidP="00907E48">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8A6E18">
        <w:rPr>
          <w:rFonts w:ascii="Cambria" w:hAnsi="Cambria"/>
          <w:sz w:val="16"/>
          <w:szCs w:val="16"/>
          <w:lang w:val="pt-BR"/>
        </w:rPr>
        <w:t xml:space="preserve"> V</w:t>
      </w:r>
      <w:r w:rsidR="008A6E18" w:rsidRPr="008A6E18">
        <w:rPr>
          <w:rFonts w:ascii="Cambria" w:hAnsi="Cambria"/>
          <w:sz w:val="16"/>
          <w:szCs w:val="16"/>
          <w:lang w:val="pt-BR"/>
        </w:rPr>
        <w:t>er</w:t>
      </w:r>
      <w:r w:rsidRPr="008A6E18">
        <w:rPr>
          <w:rFonts w:ascii="Cambria" w:hAnsi="Cambria"/>
          <w:sz w:val="16"/>
          <w:szCs w:val="16"/>
          <w:lang w:val="pt-BR"/>
        </w:rPr>
        <w:t xml:space="preserve">, </w:t>
      </w:r>
      <w:r w:rsidRPr="008A6E18">
        <w:rPr>
          <w:rFonts w:ascii="Cambria" w:hAnsi="Cambria"/>
          <w:i/>
          <w:iCs/>
          <w:sz w:val="16"/>
          <w:szCs w:val="16"/>
          <w:lang w:val="pt-BR"/>
        </w:rPr>
        <w:t>v.g.</w:t>
      </w:r>
      <w:r w:rsidRPr="008A6E18">
        <w:rPr>
          <w:rFonts w:ascii="Cambria" w:hAnsi="Cambria"/>
          <w:sz w:val="16"/>
          <w:szCs w:val="16"/>
          <w:lang w:val="pt-BR"/>
        </w:rPr>
        <w:t xml:space="preserve">, </w:t>
      </w:r>
      <w:r w:rsidR="00695BA2" w:rsidRPr="008A6E18">
        <w:rPr>
          <w:rFonts w:ascii="Cambria" w:hAnsi="Cambria"/>
          <w:sz w:val="16"/>
          <w:szCs w:val="16"/>
          <w:lang w:val="pt-BR"/>
        </w:rPr>
        <w:t xml:space="preserve">CIDH, </w:t>
      </w:r>
      <w:r w:rsidR="008A6E18" w:rsidRPr="008A6E18">
        <w:rPr>
          <w:rFonts w:ascii="Cambria" w:hAnsi="Cambria"/>
          <w:sz w:val="16"/>
          <w:szCs w:val="16"/>
          <w:lang w:val="pt-BR"/>
        </w:rPr>
        <w:t xml:space="preserve">Relatório </w:t>
      </w:r>
      <w:r w:rsidR="00695BA2" w:rsidRPr="008A6E18">
        <w:rPr>
          <w:rFonts w:ascii="Cambria" w:hAnsi="Cambria"/>
          <w:sz w:val="16"/>
          <w:szCs w:val="16"/>
          <w:lang w:val="pt-BR"/>
        </w:rPr>
        <w:t>N</w:t>
      </w:r>
      <w:r w:rsidR="00695BA2" w:rsidRPr="008A6E18">
        <w:rPr>
          <w:rFonts w:ascii="Cambria" w:hAnsi="Cambria"/>
          <w:sz w:val="16"/>
          <w:szCs w:val="16"/>
          <w:vertAlign w:val="superscript"/>
          <w:lang w:val="pt-BR"/>
        </w:rPr>
        <w:t>o.</w:t>
      </w:r>
      <w:r w:rsidR="00695BA2" w:rsidRPr="008A6E18">
        <w:rPr>
          <w:rFonts w:ascii="Cambria" w:hAnsi="Cambria"/>
          <w:sz w:val="16"/>
          <w:szCs w:val="16"/>
          <w:lang w:val="pt-BR"/>
        </w:rPr>
        <w:t xml:space="preserve"> 62/22. </w:t>
      </w:r>
      <w:r w:rsidR="008A6E18" w:rsidRPr="008A6E18">
        <w:rPr>
          <w:rFonts w:ascii="Cambria" w:hAnsi="Cambria"/>
          <w:sz w:val="16"/>
          <w:szCs w:val="16"/>
          <w:lang w:val="pt-BR"/>
        </w:rPr>
        <w:t xml:space="preserve">Petição </w:t>
      </w:r>
      <w:r w:rsidR="00695BA2" w:rsidRPr="008A6E18">
        <w:rPr>
          <w:rFonts w:ascii="Cambria" w:hAnsi="Cambria"/>
          <w:sz w:val="16"/>
          <w:szCs w:val="16"/>
          <w:lang w:val="pt-BR"/>
        </w:rPr>
        <w:t xml:space="preserve">1096-12. </w:t>
      </w:r>
      <w:r w:rsidR="008A6E18" w:rsidRPr="008A6E18">
        <w:rPr>
          <w:rFonts w:ascii="Cambria" w:hAnsi="Cambria"/>
          <w:sz w:val="16"/>
          <w:szCs w:val="16"/>
          <w:lang w:val="pt-BR"/>
        </w:rPr>
        <w:t>Inadmissibilidade</w:t>
      </w:r>
      <w:r w:rsidR="00695BA2" w:rsidRPr="008A6E18">
        <w:rPr>
          <w:rFonts w:ascii="Cambria" w:hAnsi="Cambria"/>
          <w:sz w:val="16"/>
          <w:szCs w:val="16"/>
          <w:lang w:val="pt-BR"/>
        </w:rPr>
        <w:t xml:space="preserve">. Julio Carrizosa Mutis </w:t>
      </w:r>
      <w:r w:rsidR="008A6E18" w:rsidRPr="008A6E18">
        <w:rPr>
          <w:rFonts w:ascii="Cambria" w:hAnsi="Cambria"/>
          <w:sz w:val="16"/>
          <w:szCs w:val="16"/>
          <w:lang w:val="pt-BR"/>
        </w:rPr>
        <w:t>e</w:t>
      </w:r>
      <w:r w:rsidR="00695BA2" w:rsidRPr="008A6E18">
        <w:rPr>
          <w:rFonts w:ascii="Cambria" w:hAnsi="Cambria"/>
          <w:sz w:val="16"/>
          <w:szCs w:val="16"/>
          <w:lang w:val="pt-BR"/>
        </w:rPr>
        <w:t xml:space="preserve"> fam</w:t>
      </w:r>
      <w:r w:rsidR="008A6E18" w:rsidRPr="008A6E18">
        <w:rPr>
          <w:rFonts w:ascii="Cambria" w:hAnsi="Cambria"/>
          <w:sz w:val="16"/>
          <w:szCs w:val="16"/>
          <w:lang w:val="pt-BR"/>
        </w:rPr>
        <w:t>í</w:t>
      </w:r>
      <w:r w:rsidR="00695BA2" w:rsidRPr="008A6E18">
        <w:rPr>
          <w:rFonts w:ascii="Cambria" w:hAnsi="Cambria"/>
          <w:sz w:val="16"/>
          <w:szCs w:val="16"/>
          <w:lang w:val="pt-BR"/>
        </w:rPr>
        <w:t>lia (Corporación Grancolombiana de Ahorro y Vivienda. Col</w:t>
      </w:r>
      <w:r w:rsidR="008A6E18" w:rsidRPr="008A6E18">
        <w:rPr>
          <w:rFonts w:ascii="Cambria" w:hAnsi="Cambria"/>
          <w:sz w:val="16"/>
          <w:szCs w:val="16"/>
          <w:lang w:val="pt-BR"/>
        </w:rPr>
        <w:t>ô</w:t>
      </w:r>
      <w:r w:rsidR="00695BA2" w:rsidRPr="008A6E18">
        <w:rPr>
          <w:rFonts w:ascii="Cambria" w:hAnsi="Cambria"/>
          <w:sz w:val="16"/>
          <w:szCs w:val="16"/>
          <w:lang w:val="pt-BR"/>
        </w:rPr>
        <w:t>mbia. 7 de mar</w:t>
      </w:r>
      <w:r w:rsidR="008A6E18" w:rsidRPr="008A6E18">
        <w:rPr>
          <w:rFonts w:ascii="Cambria" w:hAnsi="Cambria"/>
          <w:sz w:val="16"/>
          <w:szCs w:val="16"/>
          <w:lang w:val="pt-BR"/>
        </w:rPr>
        <w:t>ç</w:t>
      </w:r>
      <w:r w:rsidR="00695BA2" w:rsidRPr="008A6E18">
        <w:rPr>
          <w:rFonts w:ascii="Cambria" w:hAnsi="Cambria"/>
          <w:sz w:val="16"/>
          <w:szCs w:val="16"/>
          <w:lang w:val="pt-BR"/>
        </w:rPr>
        <w:t>o de 2022, p</w:t>
      </w:r>
      <w:r w:rsidR="008A6E18" w:rsidRPr="008A6E18">
        <w:rPr>
          <w:rFonts w:ascii="Cambria" w:hAnsi="Cambria"/>
          <w:sz w:val="16"/>
          <w:szCs w:val="16"/>
          <w:lang w:val="pt-BR"/>
        </w:rPr>
        <w:t>ar</w:t>
      </w:r>
      <w:r w:rsidR="00695BA2" w:rsidRPr="008A6E18">
        <w:rPr>
          <w:rFonts w:ascii="Cambria" w:hAnsi="Cambria"/>
          <w:sz w:val="16"/>
          <w:szCs w:val="16"/>
          <w:lang w:val="pt-BR"/>
        </w:rPr>
        <w:t>á</w:t>
      </w:r>
      <w:r w:rsidR="008A6E18" w:rsidRPr="008A6E18">
        <w:rPr>
          <w:rFonts w:ascii="Cambria" w:hAnsi="Cambria"/>
          <w:sz w:val="16"/>
          <w:szCs w:val="16"/>
          <w:lang w:val="pt-BR"/>
        </w:rPr>
        <w:t>g</w:t>
      </w:r>
      <w:r w:rsidR="00695BA2" w:rsidRPr="008A6E18">
        <w:rPr>
          <w:rFonts w:ascii="Cambria" w:hAnsi="Cambria"/>
          <w:sz w:val="16"/>
          <w:szCs w:val="16"/>
          <w:lang w:val="pt-BR"/>
        </w:rPr>
        <w:t xml:space="preserve">rafo 18; </w:t>
      </w:r>
      <w:r w:rsidRPr="008A6E18">
        <w:rPr>
          <w:rFonts w:ascii="Cambria" w:hAnsi="Cambria"/>
          <w:sz w:val="16"/>
          <w:szCs w:val="16"/>
          <w:lang w:val="pt-BR"/>
        </w:rPr>
        <w:t xml:space="preserve">CIDH, Banco de Lima, </w:t>
      </w:r>
      <w:r w:rsidR="008A6E18" w:rsidRPr="008A6E18">
        <w:rPr>
          <w:rFonts w:ascii="Cambria" w:hAnsi="Cambria"/>
          <w:sz w:val="16"/>
          <w:szCs w:val="16"/>
          <w:lang w:val="pt-BR"/>
        </w:rPr>
        <w:t xml:space="preserve">Relatório </w:t>
      </w:r>
      <w:r w:rsidRPr="008A6E18">
        <w:rPr>
          <w:rFonts w:ascii="Cambria" w:hAnsi="Cambria"/>
          <w:sz w:val="16"/>
          <w:szCs w:val="16"/>
          <w:lang w:val="pt-BR"/>
        </w:rPr>
        <w:t>N° 10/91, Caso 10.169, Per</w:t>
      </w:r>
      <w:r w:rsidR="008A6E18" w:rsidRPr="008A6E18">
        <w:rPr>
          <w:rFonts w:ascii="Cambria" w:hAnsi="Cambria"/>
          <w:sz w:val="16"/>
          <w:szCs w:val="16"/>
          <w:lang w:val="pt-BR"/>
        </w:rPr>
        <w:t>u</w:t>
      </w:r>
      <w:r w:rsidRPr="008A6E18">
        <w:rPr>
          <w:rFonts w:ascii="Cambria" w:hAnsi="Cambria"/>
          <w:sz w:val="16"/>
          <w:szCs w:val="16"/>
          <w:lang w:val="pt-BR"/>
        </w:rPr>
        <w:t xml:space="preserve">, </w:t>
      </w:r>
      <w:r w:rsidR="008A6E18" w:rsidRPr="008A6E18">
        <w:rPr>
          <w:rFonts w:ascii="Cambria" w:hAnsi="Cambria"/>
          <w:sz w:val="16"/>
          <w:szCs w:val="16"/>
          <w:lang w:val="pt-BR"/>
        </w:rPr>
        <w:t xml:space="preserve">Relatório </w:t>
      </w:r>
      <w:r w:rsidRPr="008A6E18">
        <w:rPr>
          <w:rFonts w:ascii="Cambria" w:hAnsi="Cambria"/>
          <w:sz w:val="16"/>
          <w:szCs w:val="16"/>
          <w:lang w:val="pt-BR"/>
        </w:rPr>
        <w:t xml:space="preserve">Anual 1990-1991, p. 452 </w:t>
      </w:r>
      <w:r w:rsidR="008A6E18" w:rsidRPr="008A6E18">
        <w:rPr>
          <w:rFonts w:ascii="Cambria" w:hAnsi="Cambria"/>
          <w:sz w:val="16"/>
          <w:szCs w:val="16"/>
          <w:lang w:val="pt-BR"/>
        </w:rPr>
        <w:t>e</w:t>
      </w:r>
      <w:r w:rsidRPr="008A6E18">
        <w:rPr>
          <w:rFonts w:ascii="Cambria" w:hAnsi="Cambria"/>
          <w:sz w:val="16"/>
          <w:szCs w:val="16"/>
          <w:lang w:val="pt-BR"/>
        </w:rPr>
        <w:t xml:space="preserve"> s</w:t>
      </w:r>
      <w:r w:rsidR="008A6E18" w:rsidRPr="008A6E18">
        <w:rPr>
          <w:rFonts w:ascii="Cambria" w:hAnsi="Cambria"/>
          <w:sz w:val="16"/>
          <w:szCs w:val="16"/>
          <w:lang w:val="pt-BR"/>
        </w:rPr>
        <w:t>e</w:t>
      </w:r>
      <w:r w:rsidRPr="008A6E18">
        <w:rPr>
          <w:rFonts w:ascii="Cambria" w:hAnsi="Cambria"/>
          <w:sz w:val="16"/>
          <w:szCs w:val="16"/>
          <w:lang w:val="pt-BR"/>
        </w:rPr>
        <w:t xml:space="preserve">g. CIDH, Tabacalera Boquerón, </w:t>
      </w:r>
      <w:r w:rsidR="008A6E18" w:rsidRPr="008A6E18">
        <w:rPr>
          <w:rFonts w:ascii="Cambria" w:hAnsi="Cambria"/>
          <w:sz w:val="16"/>
          <w:szCs w:val="16"/>
          <w:lang w:val="pt-BR"/>
        </w:rPr>
        <w:t xml:space="preserve">Relatório </w:t>
      </w:r>
      <w:r w:rsidRPr="008A6E18">
        <w:rPr>
          <w:rFonts w:ascii="Cambria" w:hAnsi="Cambria"/>
          <w:sz w:val="16"/>
          <w:szCs w:val="16"/>
          <w:lang w:val="pt-BR"/>
        </w:rPr>
        <w:t>N° 47/97, Paragua</w:t>
      </w:r>
      <w:r w:rsidR="008A6E18" w:rsidRPr="008A6E18">
        <w:rPr>
          <w:rFonts w:ascii="Cambria" w:hAnsi="Cambria"/>
          <w:sz w:val="16"/>
          <w:szCs w:val="16"/>
          <w:lang w:val="pt-BR"/>
        </w:rPr>
        <w:t>i</w:t>
      </w:r>
      <w:r w:rsidRPr="008A6E18">
        <w:rPr>
          <w:rFonts w:ascii="Cambria" w:hAnsi="Cambria"/>
          <w:sz w:val="16"/>
          <w:szCs w:val="16"/>
          <w:lang w:val="pt-BR"/>
        </w:rPr>
        <w:t xml:space="preserve">, </w:t>
      </w:r>
      <w:r w:rsidR="008A6E18" w:rsidRPr="008A6E18">
        <w:rPr>
          <w:rFonts w:ascii="Cambria" w:hAnsi="Cambria"/>
          <w:sz w:val="16"/>
          <w:szCs w:val="16"/>
          <w:lang w:val="pt-BR"/>
        </w:rPr>
        <w:t xml:space="preserve">Relatório </w:t>
      </w:r>
      <w:r w:rsidRPr="008A6E18">
        <w:rPr>
          <w:rFonts w:ascii="Cambria" w:hAnsi="Cambria"/>
          <w:sz w:val="16"/>
          <w:szCs w:val="16"/>
          <w:lang w:val="pt-BR"/>
        </w:rPr>
        <w:t xml:space="preserve">Anual 1997, p. 229 </w:t>
      </w:r>
      <w:r w:rsidR="008A6E18" w:rsidRPr="008A6E18">
        <w:rPr>
          <w:rFonts w:ascii="Cambria" w:hAnsi="Cambria"/>
          <w:sz w:val="16"/>
          <w:szCs w:val="16"/>
          <w:lang w:val="pt-BR"/>
        </w:rPr>
        <w:t>e</w:t>
      </w:r>
      <w:r w:rsidRPr="008A6E18">
        <w:rPr>
          <w:rFonts w:ascii="Cambria" w:hAnsi="Cambria"/>
          <w:sz w:val="16"/>
          <w:szCs w:val="16"/>
          <w:lang w:val="pt-BR"/>
        </w:rPr>
        <w:t xml:space="preserve"> s</w:t>
      </w:r>
      <w:r w:rsidR="008A6E18" w:rsidRPr="008A6E18">
        <w:rPr>
          <w:rFonts w:ascii="Cambria" w:hAnsi="Cambria"/>
          <w:sz w:val="16"/>
          <w:szCs w:val="16"/>
          <w:lang w:val="pt-BR"/>
        </w:rPr>
        <w:t>e</w:t>
      </w:r>
      <w:r w:rsidRPr="008A6E18">
        <w:rPr>
          <w:rFonts w:ascii="Cambria" w:hAnsi="Cambria"/>
          <w:sz w:val="16"/>
          <w:szCs w:val="16"/>
          <w:lang w:val="pt-BR"/>
        </w:rPr>
        <w:t xml:space="preserve">g. CIDH, Mevopal, S.A., </w:t>
      </w:r>
      <w:r w:rsidR="008A6E18" w:rsidRPr="008A6E18">
        <w:rPr>
          <w:rFonts w:ascii="Cambria" w:hAnsi="Cambria"/>
          <w:sz w:val="16"/>
          <w:szCs w:val="16"/>
          <w:lang w:val="pt-BR"/>
        </w:rPr>
        <w:t xml:space="preserve">Relatório </w:t>
      </w:r>
      <w:r w:rsidRPr="008A6E18">
        <w:rPr>
          <w:rFonts w:ascii="Cambria" w:hAnsi="Cambria"/>
          <w:sz w:val="16"/>
          <w:szCs w:val="16"/>
          <w:lang w:val="pt-BR"/>
        </w:rPr>
        <w:t xml:space="preserve">N° 39/99, Argentina, </w:t>
      </w:r>
      <w:r w:rsidR="008A6E18" w:rsidRPr="008A6E18">
        <w:rPr>
          <w:rFonts w:ascii="Cambria" w:hAnsi="Cambria"/>
          <w:sz w:val="16"/>
          <w:szCs w:val="16"/>
          <w:lang w:val="pt-BR"/>
        </w:rPr>
        <w:t xml:space="preserve">Relatório </w:t>
      </w:r>
      <w:r w:rsidRPr="008A6E18">
        <w:rPr>
          <w:rFonts w:ascii="Cambria" w:hAnsi="Cambria"/>
          <w:sz w:val="16"/>
          <w:szCs w:val="16"/>
          <w:lang w:val="pt-BR"/>
        </w:rPr>
        <w:t xml:space="preserve">Anual 1999. CIDH, Bernard Merens </w:t>
      </w:r>
      <w:r w:rsidR="008A6E18" w:rsidRPr="008A6E18">
        <w:rPr>
          <w:rFonts w:ascii="Cambria" w:hAnsi="Cambria"/>
          <w:sz w:val="16"/>
          <w:szCs w:val="16"/>
          <w:lang w:val="pt-BR"/>
        </w:rPr>
        <w:t>e</w:t>
      </w:r>
      <w:r w:rsidRPr="008A6E18">
        <w:rPr>
          <w:rFonts w:ascii="Cambria" w:hAnsi="Cambria"/>
          <w:sz w:val="16"/>
          <w:szCs w:val="16"/>
          <w:lang w:val="pt-BR"/>
        </w:rPr>
        <w:t xml:space="preserve"> </w:t>
      </w:r>
      <w:r w:rsidR="008A6E18" w:rsidRPr="008A6E18">
        <w:rPr>
          <w:rFonts w:ascii="Cambria" w:hAnsi="Cambria"/>
          <w:sz w:val="16"/>
          <w:szCs w:val="16"/>
          <w:lang w:val="pt-BR"/>
        </w:rPr>
        <w:t>família</w:t>
      </w:r>
      <w:r w:rsidRPr="008A6E18">
        <w:rPr>
          <w:rFonts w:ascii="Cambria" w:hAnsi="Cambria"/>
          <w:sz w:val="16"/>
          <w:szCs w:val="16"/>
          <w:lang w:val="pt-BR"/>
        </w:rPr>
        <w:t xml:space="preserve">, </w:t>
      </w:r>
      <w:r w:rsidR="008A6E18" w:rsidRPr="008A6E18">
        <w:rPr>
          <w:rFonts w:ascii="Cambria" w:hAnsi="Cambria"/>
          <w:sz w:val="16"/>
          <w:szCs w:val="16"/>
          <w:lang w:val="pt-BR"/>
        </w:rPr>
        <w:t xml:space="preserve">Relatório </w:t>
      </w:r>
      <w:r w:rsidRPr="008A6E18">
        <w:rPr>
          <w:rFonts w:ascii="Cambria" w:hAnsi="Cambria"/>
          <w:sz w:val="16"/>
          <w:szCs w:val="16"/>
          <w:lang w:val="pt-BR"/>
        </w:rPr>
        <w:t xml:space="preserve">N° 103/99, Argentina, </w:t>
      </w:r>
      <w:r w:rsidR="008A6E18" w:rsidRPr="008A6E18">
        <w:rPr>
          <w:rFonts w:ascii="Cambria" w:hAnsi="Cambria"/>
          <w:sz w:val="16"/>
          <w:szCs w:val="16"/>
          <w:lang w:val="pt-BR"/>
        </w:rPr>
        <w:t xml:space="preserve">Relatório </w:t>
      </w:r>
      <w:r w:rsidRPr="008A6E18">
        <w:rPr>
          <w:rFonts w:ascii="Cambria" w:hAnsi="Cambria"/>
          <w:sz w:val="16"/>
          <w:szCs w:val="16"/>
          <w:lang w:val="pt-BR"/>
        </w:rPr>
        <w:t xml:space="preserve">Anual 1999. CIDH, BendeckCOHDINSA, </w:t>
      </w:r>
      <w:r w:rsidR="008A6E18" w:rsidRPr="008A6E18">
        <w:rPr>
          <w:rFonts w:ascii="Cambria" w:hAnsi="Cambria"/>
          <w:sz w:val="16"/>
          <w:szCs w:val="16"/>
          <w:lang w:val="pt-BR"/>
        </w:rPr>
        <w:t>Relatório</w:t>
      </w:r>
      <w:r w:rsidR="008C6385">
        <w:rPr>
          <w:rFonts w:ascii="Cambria" w:hAnsi="Cambria"/>
          <w:sz w:val="16"/>
          <w:szCs w:val="16"/>
          <w:lang w:val="pt-BR"/>
        </w:rPr>
        <w:t xml:space="preserve"> </w:t>
      </w:r>
      <w:r w:rsidRPr="008A6E18">
        <w:rPr>
          <w:rFonts w:ascii="Cambria" w:hAnsi="Cambria"/>
          <w:sz w:val="16"/>
          <w:szCs w:val="16"/>
          <w:lang w:val="pt-BR"/>
        </w:rPr>
        <w:t xml:space="preserve">N° 106/99, Honduras, </w:t>
      </w:r>
      <w:r w:rsidR="008A6E18" w:rsidRPr="008A6E18">
        <w:rPr>
          <w:rFonts w:ascii="Cambria" w:hAnsi="Cambria"/>
          <w:sz w:val="16"/>
          <w:szCs w:val="16"/>
          <w:lang w:val="pt-BR"/>
        </w:rPr>
        <w:t xml:space="preserve">Relatório </w:t>
      </w:r>
      <w:r w:rsidRPr="008A6E18">
        <w:rPr>
          <w:rFonts w:ascii="Cambria" w:hAnsi="Cambria"/>
          <w:sz w:val="16"/>
          <w:szCs w:val="16"/>
          <w:lang w:val="pt-BR"/>
        </w:rPr>
        <w:t>Anual 1999.</w:t>
      </w:r>
    </w:p>
  </w:footnote>
  <w:footnote w:id="10">
    <w:p w14:paraId="5157B583" w14:textId="085B8668" w:rsidR="00907E48" w:rsidRPr="008A6E18" w:rsidRDefault="00907E48" w:rsidP="00907E48">
      <w:pPr>
        <w:pStyle w:val="FootnoteText"/>
        <w:ind w:firstLine="709"/>
        <w:jc w:val="both"/>
        <w:rPr>
          <w:rFonts w:ascii="Cambria" w:hAnsi="Cambria"/>
          <w:sz w:val="16"/>
          <w:szCs w:val="16"/>
          <w:lang w:val="pt-BR"/>
        </w:rPr>
      </w:pPr>
      <w:r w:rsidRPr="008A6E18">
        <w:rPr>
          <w:rStyle w:val="FootnoteReference"/>
          <w:rFonts w:ascii="Cambria" w:hAnsi="Cambria"/>
          <w:sz w:val="16"/>
          <w:szCs w:val="16"/>
          <w:lang w:val="pt-BR"/>
        </w:rPr>
        <w:footnoteRef/>
      </w:r>
      <w:r w:rsidRPr="008A6E18">
        <w:rPr>
          <w:rFonts w:ascii="Cambria" w:hAnsi="Cambria"/>
          <w:sz w:val="16"/>
          <w:szCs w:val="16"/>
          <w:lang w:val="pt-BR"/>
        </w:rPr>
        <w:t xml:space="preserve"> V</w:t>
      </w:r>
      <w:r w:rsidR="008A6E18" w:rsidRPr="008A6E18">
        <w:rPr>
          <w:rFonts w:ascii="Cambria" w:hAnsi="Cambria"/>
          <w:sz w:val="16"/>
          <w:szCs w:val="16"/>
          <w:lang w:val="pt-BR"/>
        </w:rPr>
        <w:t>er</w:t>
      </w:r>
      <w:r w:rsidRPr="008A6E18">
        <w:rPr>
          <w:rFonts w:ascii="Cambria" w:hAnsi="Cambria"/>
          <w:sz w:val="16"/>
          <w:szCs w:val="16"/>
          <w:lang w:val="pt-BR"/>
        </w:rPr>
        <w:t xml:space="preserve">, </w:t>
      </w:r>
      <w:r w:rsidRPr="008A6E18">
        <w:rPr>
          <w:rFonts w:ascii="Cambria" w:hAnsi="Cambria"/>
          <w:i/>
          <w:iCs/>
          <w:sz w:val="16"/>
          <w:szCs w:val="16"/>
          <w:lang w:val="pt-BR"/>
        </w:rPr>
        <w:t>v.g.</w:t>
      </w:r>
      <w:r w:rsidRPr="008A6E18">
        <w:rPr>
          <w:rFonts w:ascii="Cambria" w:hAnsi="Cambria"/>
          <w:sz w:val="16"/>
          <w:szCs w:val="16"/>
          <w:lang w:val="pt-BR"/>
        </w:rPr>
        <w:t xml:space="preserve">, </w:t>
      </w:r>
      <w:r w:rsidR="00695BA2" w:rsidRPr="008A6E18">
        <w:rPr>
          <w:rFonts w:ascii="Cambria" w:hAnsi="Cambria"/>
          <w:sz w:val="16"/>
          <w:szCs w:val="16"/>
          <w:lang w:val="pt-BR"/>
        </w:rPr>
        <w:t xml:space="preserve">CIDH, </w:t>
      </w:r>
      <w:r w:rsidR="008A6E18" w:rsidRPr="008A6E18">
        <w:rPr>
          <w:rFonts w:ascii="Cambria" w:hAnsi="Cambria"/>
          <w:sz w:val="16"/>
          <w:szCs w:val="16"/>
          <w:lang w:val="pt-BR"/>
        </w:rPr>
        <w:t xml:space="preserve">Relatório </w:t>
      </w:r>
      <w:r w:rsidR="00695BA2" w:rsidRPr="008A6E18">
        <w:rPr>
          <w:rFonts w:ascii="Cambria" w:hAnsi="Cambria"/>
          <w:sz w:val="16"/>
          <w:szCs w:val="16"/>
          <w:lang w:val="pt-BR"/>
        </w:rPr>
        <w:t>N</w:t>
      </w:r>
      <w:r w:rsidR="00695BA2" w:rsidRPr="008A6E18">
        <w:rPr>
          <w:rFonts w:ascii="Cambria" w:hAnsi="Cambria"/>
          <w:sz w:val="16"/>
          <w:szCs w:val="16"/>
          <w:vertAlign w:val="superscript"/>
          <w:lang w:val="pt-BR"/>
        </w:rPr>
        <w:t>o.</w:t>
      </w:r>
      <w:r w:rsidR="00695BA2" w:rsidRPr="008A6E18">
        <w:rPr>
          <w:rFonts w:ascii="Cambria" w:hAnsi="Cambria"/>
          <w:sz w:val="16"/>
          <w:szCs w:val="16"/>
          <w:lang w:val="pt-BR"/>
        </w:rPr>
        <w:t xml:space="preserve"> 62/22. </w:t>
      </w:r>
      <w:r w:rsidR="008A6E18" w:rsidRPr="008A6E18">
        <w:rPr>
          <w:rFonts w:ascii="Cambria" w:hAnsi="Cambria"/>
          <w:sz w:val="16"/>
          <w:szCs w:val="16"/>
          <w:lang w:val="pt-BR"/>
        </w:rPr>
        <w:t>Petição</w:t>
      </w:r>
      <w:r w:rsidR="008C6385">
        <w:rPr>
          <w:rFonts w:ascii="Cambria" w:hAnsi="Cambria"/>
          <w:sz w:val="16"/>
          <w:szCs w:val="16"/>
          <w:lang w:val="pt-BR"/>
        </w:rPr>
        <w:t xml:space="preserve"> </w:t>
      </w:r>
      <w:r w:rsidR="00695BA2" w:rsidRPr="008A6E18">
        <w:rPr>
          <w:rFonts w:ascii="Cambria" w:hAnsi="Cambria"/>
          <w:sz w:val="16"/>
          <w:szCs w:val="16"/>
          <w:lang w:val="pt-BR"/>
        </w:rPr>
        <w:t xml:space="preserve">1096-12. </w:t>
      </w:r>
      <w:r w:rsidR="008A6E18" w:rsidRPr="008A6E18">
        <w:rPr>
          <w:rFonts w:ascii="Cambria" w:hAnsi="Cambria"/>
          <w:sz w:val="16"/>
          <w:szCs w:val="16"/>
          <w:lang w:val="pt-BR"/>
        </w:rPr>
        <w:t>Inadmissibilidade</w:t>
      </w:r>
      <w:r w:rsidR="00695BA2" w:rsidRPr="008A6E18">
        <w:rPr>
          <w:rFonts w:ascii="Cambria" w:hAnsi="Cambria"/>
          <w:sz w:val="16"/>
          <w:szCs w:val="16"/>
          <w:lang w:val="pt-BR"/>
        </w:rPr>
        <w:t xml:space="preserve">. Julio Carrizosa Mutis </w:t>
      </w:r>
      <w:r w:rsidR="008A6E18" w:rsidRPr="008A6E18">
        <w:rPr>
          <w:rFonts w:ascii="Cambria" w:hAnsi="Cambria"/>
          <w:sz w:val="16"/>
          <w:szCs w:val="16"/>
          <w:lang w:val="pt-BR"/>
        </w:rPr>
        <w:t>e</w:t>
      </w:r>
      <w:r w:rsidR="00695BA2" w:rsidRPr="008A6E18">
        <w:rPr>
          <w:rFonts w:ascii="Cambria" w:hAnsi="Cambria"/>
          <w:sz w:val="16"/>
          <w:szCs w:val="16"/>
          <w:lang w:val="pt-BR"/>
        </w:rPr>
        <w:t xml:space="preserve"> fam</w:t>
      </w:r>
      <w:r w:rsidR="008A6E18" w:rsidRPr="008A6E18">
        <w:rPr>
          <w:rFonts w:ascii="Cambria" w:hAnsi="Cambria"/>
          <w:sz w:val="16"/>
          <w:szCs w:val="16"/>
          <w:lang w:val="pt-BR"/>
        </w:rPr>
        <w:t>í</w:t>
      </w:r>
      <w:r w:rsidR="00695BA2" w:rsidRPr="008A6E18">
        <w:rPr>
          <w:rFonts w:ascii="Cambria" w:hAnsi="Cambria"/>
          <w:sz w:val="16"/>
          <w:szCs w:val="16"/>
          <w:lang w:val="pt-BR"/>
        </w:rPr>
        <w:t>lia (Corporación Grancolombiana de Ahorro y Vivienda. Col</w:t>
      </w:r>
      <w:r w:rsidR="00B44ED3">
        <w:rPr>
          <w:rFonts w:ascii="Cambria" w:hAnsi="Cambria"/>
          <w:sz w:val="16"/>
          <w:szCs w:val="16"/>
          <w:lang w:val="pt-BR"/>
        </w:rPr>
        <w:t>ô</w:t>
      </w:r>
      <w:r w:rsidR="00695BA2" w:rsidRPr="008A6E18">
        <w:rPr>
          <w:rFonts w:ascii="Cambria" w:hAnsi="Cambria"/>
          <w:sz w:val="16"/>
          <w:szCs w:val="16"/>
          <w:lang w:val="pt-BR"/>
        </w:rPr>
        <w:t>mbia. 7 de mar</w:t>
      </w:r>
      <w:r w:rsidR="008A6E18" w:rsidRPr="008A6E18">
        <w:rPr>
          <w:rFonts w:ascii="Cambria" w:hAnsi="Cambria"/>
          <w:sz w:val="16"/>
          <w:szCs w:val="16"/>
          <w:lang w:val="pt-BR"/>
        </w:rPr>
        <w:t>ç</w:t>
      </w:r>
      <w:r w:rsidR="00695BA2" w:rsidRPr="008A6E18">
        <w:rPr>
          <w:rFonts w:ascii="Cambria" w:hAnsi="Cambria"/>
          <w:sz w:val="16"/>
          <w:szCs w:val="16"/>
          <w:lang w:val="pt-BR"/>
        </w:rPr>
        <w:t>o de 2022, p</w:t>
      </w:r>
      <w:r w:rsidR="008A6E18" w:rsidRPr="008A6E18">
        <w:rPr>
          <w:rFonts w:ascii="Cambria" w:hAnsi="Cambria"/>
          <w:sz w:val="16"/>
          <w:szCs w:val="16"/>
          <w:lang w:val="pt-BR"/>
        </w:rPr>
        <w:t>ar</w:t>
      </w:r>
      <w:r w:rsidR="00695BA2" w:rsidRPr="008A6E18">
        <w:rPr>
          <w:rFonts w:ascii="Cambria" w:hAnsi="Cambria"/>
          <w:sz w:val="16"/>
          <w:szCs w:val="16"/>
          <w:lang w:val="pt-BR"/>
        </w:rPr>
        <w:t>á</w:t>
      </w:r>
      <w:r w:rsidR="008A6E18" w:rsidRPr="008A6E18">
        <w:rPr>
          <w:rFonts w:ascii="Cambria" w:hAnsi="Cambria"/>
          <w:sz w:val="16"/>
          <w:szCs w:val="16"/>
          <w:lang w:val="pt-BR"/>
        </w:rPr>
        <w:t>g</w:t>
      </w:r>
      <w:r w:rsidR="00695BA2" w:rsidRPr="008A6E18">
        <w:rPr>
          <w:rFonts w:ascii="Cambria" w:hAnsi="Cambria"/>
          <w:sz w:val="16"/>
          <w:szCs w:val="16"/>
          <w:lang w:val="pt-BR"/>
        </w:rPr>
        <w:t xml:space="preserve">rafo 18; </w:t>
      </w:r>
      <w:r w:rsidRPr="008A6E18">
        <w:rPr>
          <w:rFonts w:ascii="Cambria" w:hAnsi="Cambria"/>
          <w:sz w:val="16"/>
          <w:szCs w:val="16"/>
          <w:lang w:val="pt-BR"/>
        </w:rPr>
        <w:t xml:space="preserve">CIDH, </w:t>
      </w:r>
      <w:r w:rsidR="008A6E18" w:rsidRPr="008A6E18">
        <w:rPr>
          <w:rFonts w:ascii="Cambria" w:hAnsi="Cambria"/>
          <w:sz w:val="16"/>
          <w:szCs w:val="16"/>
          <w:lang w:val="pt-BR"/>
        </w:rPr>
        <w:t xml:space="preserve">Relatório </w:t>
      </w:r>
      <w:r w:rsidRPr="008A6E18">
        <w:rPr>
          <w:rFonts w:ascii="Cambria" w:hAnsi="Cambria"/>
          <w:sz w:val="16"/>
          <w:szCs w:val="16"/>
          <w:lang w:val="pt-BR"/>
        </w:rPr>
        <w:t>Nº 40/05 (</w:t>
      </w:r>
      <w:r w:rsidR="008A6E18" w:rsidRPr="008A6E18">
        <w:rPr>
          <w:rFonts w:ascii="Cambria" w:hAnsi="Cambria"/>
          <w:sz w:val="16"/>
          <w:szCs w:val="16"/>
          <w:lang w:val="pt-BR"/>
        </w:rPr>
        <w:t>Inadmissibilidade</w:t>
      </w:r>
      <w:r w:rsidRPr="008A6E18">
        <w:rPr>
          <w:rFonts w:ascii="Cambria" w:hAnsi="Cambria"/>
          <w:sz w:val="16"/>
          <w:szCs w:val="16"/>
          <w:lang w:val="pt-BR"/>
        </w:rPr>
        <w:t xml:space="preserve">), </w:t>
      </w:r>
      <w:r w:rsidR="008A6E18" w:rsidRPr="008A6E18">
        <w:rPr>
          <w:rFonts w:ascii="Cambria" w:hAnsi="Cambria"/>
          <w:sz w:val="16"/>
          <w:szCs w:val="16"/>
          <w:lang w:val="pt-BR"/>
        </w:rPr>
        <w:t>Petição</w:t>
      </w:r>
      <w:r w:rsidR="008C6385">
        <w:rPr>
          <w:rFonts w:ascii="Cambria" w:hAnsi="Cambria"/>
          <w:sz w:val="16"/>
          <w:szCs w:val="16"/>
          <w:lang w:val="pt-BR"/>
        </w:rPr>
        <w:t xml:space="preserve"> </w:t>
      </w:r>
      <w:r w:rsidRPr="008A6E18">
        <w:rPr>
          <w:rFonts w:ascii="Cambria" w:hAnsi="Cambria"/>
          <w:sz w:val="16"/>
          <w:szCs w:val="16"/>
          <w:lang w:val="pt-BR"/>
        </w:rPr>
        <w:t>12.139, José Luis Forzanni Ballardo, Per</w:t>
      </w:r>
      <w:r w:rsidR="008A6E18" w:rsidRPr="008A6E18">
        <w:rPr>
          <w:rFonts w:ascii="Cambria" w:hAnsi="Cambria"/>
          <w:sz w:val="16"/>
          <w:szCs w:val="16"/>
          <w:lang w:val="pt-BR"/>
        </w:rPr>
        <w:t>u</w:t>
      </w:r>
      <w:r w:rsidRPr="008A6E18">
        <w:rPr>
          <w:rFonts w:ascii="Cambria" w:hAnsi="Cambria"/>
          <w:sz w:val="16"/>
          <w:szCs w:val="16"/>
          <w:lang w:val="pt-BR"/>
        </w:rPr>
        <w:t>, 9 de mar</w:t>
      </w:r>
      <w:r w:rsidR="008A6E18" w:rsidRPr="008A6E18">
        <w:rPr>
          <w:rFonts w:ascii="Cambria" w:hAnsi="Cambria"/>
          <w:sz w:val="16"/>
          <w:szCs w:val="16"/>
          <w:lang w:val="pt-BR"/>
        </w:rPr>
        <w:t>ç</w:t>
      </w:r>
      <w:r w:rsidRPr="008A6E18">
        <w:rPr>
          <w:rFonts w:ascii="Cambria" w:hAnsi="Cambria"/>
          <w:sz w:val="16"/>
          <w:szCs w:val="16"/>
          <w:lang w:val="pt-BR"/>
        </w:rPr>
        <w:t xml:space="preserve">o de 2005, </w:t>
      </w:r>
      <w:r w:rsidR="00695BA2" w:rsidRPr="008A6E18">
        <w:rPr>
          <w:rFonts w:ascii="Cambria" w:hAnsi="Cambria"/>
          <w:sz w:val="16"/>
          <w:szCs w:val="16"/>
          <w:lang w:val="pt-BR"/>
        </w:rPr>
        <w:t>p</w:t>
      </w:r>
      <w:r w:rsidR="008A6E18" w:rsidRPr="008A6E18">
        <w:rPr>
          <w:rFonts w:ascii="Cambria" w:hAnsi="Cambria"/>
          <w:sz w:val="16"/>
          <w:szCs w:val="16"/>
          <w:lang w:val="pt-BR"/>
        </w:rPr>
        <w:t>ar</w:t>
      </w:r>
      <w:r w:rsidR="00695BA2" w:rsidRPr="008A6E18">
        <w:rPr>
          <w:rFonts w:ascii="Cambria" w:hAnsi="Cambria"/>
          <w:sz w:val="16"/>
          <w:szCs w:val="16"/>
          <w:lang w:val="pt-BR"/>
        </w:rPr>
        <w:t>á</w:t>
      </w:r>
      <w:r w:rsidR="008A6E18" w:rsidRPr="008A6E18">
        <w:rPr>
          <w:rFonts w:ascii="Cambria" w:hAnsi="Cambria"/>
          <w:sz w:val="16"/>
          <w:szCs w:val="16"/>
          <w:lang w:val="pt-BR"/>
        </w:rPr>
        <w:t>g</w:t>
      </w:r>
      <w:r w:rsidR="00695BA2" w:rsidRPr="008A6E18">
        <w:rPr>
          <w:rFonts w:ascii="Cambria" w:hAnsi="Cambria"/>
          <w:sz w:val="16"/>
          <w:szCs w:val="16"/>
          <w:lang w:val="pt-BR"/>
        </w:rPr>
        <w:t>rafos</w:t>
      </w:r>
      <w:r w:rsidRPr="008A6E18">
        <w:rPr>
          <w:rFonts w:ascii="Cambria" w:hAnsi="Cambria"/>
          <w:sz w:val="16"/>
          <w:szCs w:val="16"/>
          <w:lang w:val="pt-BR"/>
        </w:rPr>
        <w:t xml:space="preserve"> 35 </w:t>
      </w:r>
      <w:r w:rsidR="008A6E18" w:rsidRPr="008A6E18">
        <w:rPr>
          <w:rFonts w:ascii="Cambria" w:hAnsi="Cambria"/>
          <w:sz w:val="16"/>
          <w:szCs w:val="16"/>
          <w:lang w:val="pt-BR"/>
        </w:rPr>
        <w:t>e</w:t>
      </w:r>
      <w:r w:rsidRPr="008A6E18">
        <w:rPr>
          <w:rFonts w:ascii="Cambria" w:hAnsi="Cambria"/>
          <w:sz w:val="16"/>
          <w:szCs w:val="16"/>
          <w:lang w:val="pt-BR"/>
        </w:rPr>
        <w:t xml:space="preserve"> 40. A es</w:t>
      </w:r>
      <w:r w:rsidR="008A6E18" w:rsidRPr="008A6E18">
        <w:rPr>
          <w:rFonts w:ascii="Cambria" w:hAnsi="Cambria"/>
          <w:sz w:val="16"/>
          <w:szCs w:val="16"/>
          <w:lang w:val="pt-BR"/>
        </w:rPr>
        <w:t>s</w:t>
      </w:r>
      <w:r w:rsidRPr="008A6E18">
        <w:rPr>
          <w:rFonts w:ascii="Cambria" w:hAnsi="Cambria"/>
          <w:sz w:val="16"/>
          <w:szCs w:val="16"/>
          <w:lang w:val="pt-BR"/>
        </w:rPr>
        <w:t>e respe</w:t>
      </w:r>
      <w:r w:rsidR="008A6E18" w:rsidRPr="008A6E18">
        <w:rPr>
          <w:rFonts w:ascii="Cambria" w:hAnsi="Cambria"/>
          <w:sz w:val="16"/>
          <w:szCs w:val="16"/>
          <w:lang w:val="pt-BR"/>
        </w:rPr>
        <w:t>i</w:t>
      </w:r>
      <w:r w:rsidRPr="008A6E18">
        <w:rPr>
          <w:rFonts w:ascii="Cambria" w:hAnsi="Cambria"/>
          <w:sz w:val="16"/>
          <w:szCs w:val="16"/>
          <w:lang w:val="pt-BR"/>
        </w:rPr>
        <w:t>to, v</w:t>
      </w:r>
      <w:r w:rsidR="008A6E18" w:rsidRPr="008A6E18">
        <w:rPr>
          <w:rFonts w:ascii="Cambria" w:hAnsi="Cambria"/>
          <w:sz w:val="16"/>
          <w:szCs w:val="16"/>
          <w:lang w:val="pt-BR"/>
        </w:rPr>
        <w:t>er, além disso</w:t>
      </w:r>
      <w:r w:rsidRPr="008A6E18">
        <w:rPr>
          <w:rFonts w:ascii="Cambria" w:hAnsi="Cambria"/>
          <w:sz w:val="16"/>
          <w:szCs w:val="16"/>
          <w:lang w:val="pt-BR"/>
        </w:rPr>
        <w:t xml:space="preserve">: CIDH, </w:t>
      </w:r>
      <w:r w:rsidR="008A6E18" w:rsidRPr="008A6E18">
        <w:rPr>
          <w:rFonts w:ascii="Cambria" w:hAnsi="Cambria"/>
          <w:sz w:val="16"/>
          <w:szCs w:val="16"/>
          <w:lang w:val="pt-BR"/>
        </w:rPr>
        <w:t xml:space="preserve">Relatório </w:t>
      </w:r>
      <w:r w:rsidRPr="008A6E18">
        <w:rPr>
          <w:rFonts w:ascii="Cambria" w:hAnsi="Cambria"/>
          <w:sz w:val="16"/>
          <w:szCs w:val="16"/>
          <w:lang w:val="pt-BR"/>
        </w:rPr>
        <w:t>Nº 83/05 (</w:t>
      </w:r>
      <w:r w:rsidR="008A6E18" w:rsidRPr="008A6E18">
        <w:rPr>
          <w:rFonts w:ascii="Cambria" w:hAnsi="Cambria"/>
          <w:sz w:val="16"/>
          <w:szCs w:val="16"/>
          <w:lang w:val="pt-BR"/>
        </w:rPr>
        <w:t>Inadmissibilidade</w:t>
      </w:r>
      <w:r w:rsidRPr="008A6E18">
        <w:rPr>
          <w:rFonts w:ascii="Cambria" w:hAnsi="Cambria"/>
          <w:sz w:val="16"/>
          <w:szCs w:val="16"/>
          <w:lang w:val="pt-BR"/>
        </w:rPr>
        <w:t xml:space="preserve">), </w:t>
      </w:r>
      <w:r w:rsidR="008A6E18" w:rsidRPr="008A6E18">
        <w:rPr>
          <w:rFonts w:ascii="Cambria" w:hAnsi="Cambria"/>
          <w:sz w:val="16"/>
          <w:szCs w:val="16"/>
          <w:lang w:val="pt-BR"/>
        </w:rPr>
        <w:t>Petição</w:t>
      </w:r>
      <w:r w:rsidR="008C6385">
        <w:rPr>
          <w:rFonts w:ascii="Cambria" w:hAnsi="Cambria"/>
          <w:sz w:val="16"/>
          <w:szCs w:val="16"/>
          <w:lang w:val="pt-BR"/>
        </w:rPr>
        <w:t xml:space="preserve"> </w:t>
      </w:r>
      <w:r w:rsidRPr="008A6E18">
        <w:rPr>
          <w:rFonts w:ascii="Cambria" w:hAnsi="Cambria"/>
          <w:sz w:val="16"/>
          <w:szCs w:val="16"/>
          <w:lang w:val="pt-BR"/>
        </w:rPr>
        <w:t xml:space="preserve">644/00, Carlos Alberto López Urquía, Honduras, 24 de </w:t>
      </w:r>
      <w:r w:rsidR="008A6E18" w:rsidRPr="008A6E18">
        <w:rPr>
          <w:rFonts w:ascii="Cambria" w:hAnsi="Cambria"/>
          <w:sz w:val="16"/>
          <w:szCs w:val="16"/>
          <w:lang w:val="pt-BR"/>
        </w:rPr>
        <w:t xml:space="preserve">outubro </w:t>
      </w:r>
      <w:r w:rsidRPr="008A6E18">
        <w:rPr>
          <w:rFonts w:ascii="Cambria" w:hAnsi="Cambria"/>
          <w:sz w:val="16"/>
          <w:szCs w:val="16"/>
          <w:lang w:val="pt-BR"/>
        </w:rPr>
        <w:t>de 2005, p</w:t>
      </w:r>
      <w:r w:rsidR="008A6E18" w:rsidRPr="008A6E18">
        <w:rPr>
          <w:rFonts w:ascii="Cambria" w:hAnsi="Cambria"/>
          <w:sz w:val="16"/>
          <w:szCs w:val="16"/>
          <w:lang w:val="pt-BR"/>
        </w:rPr>
        <w:t>ar</w:t>
      </w:r>
      <w:r w:rsidRPr="008A6E18">
        <w:rPr>
          <w:rFonts w:ascii="Cambria" w:hAnsi="Cambria"/>
          <w:sz w:val="16"/>
          <w:szCs w:val="16"/>
          <w:lang w:val="pt-BR"/>
        </w:rPr>
        <w:t>á</w:t>
      </w:r>
      <w:r w:rsidR="008A6E18" w:rsidRPr="008A6E18">
        <w:rPr>
          <w:rFonts w:ascii="Cambria" w:hAnsi="Cambria"/>
          <w:sz w:val="16"/>
          <w:szCs w:val="16"/>
          <w:lang w:val="pt-BR"/>
        </w:rPr>
        <w:t>g</w:t>
      </w:r>
      <w:r w:rsidRPr="008A6E18">
        <w:rPr>
          <w:rFonts w:ascii="Cambria" w:hAnsi="Cambria"/>
          <w:sz w:val="16"/>
          <w:szCs w:val="16"/>
          <w:lang w:val="pt-BR"/>
        </w:rPr>
        <w:t>r</w:t>
      </w:r>
      <w:r w:rsidR="00695BA2" w:rsidRPr="008A6E18">
        <w:rPr>
          <w:rFonts w:ascii="Cambria" w:hAnsi="Cambria"/>
          <w:sz w:val="16"/>
          <w:szCs w:val="16"/>
          <w:lang w:val="pt-BR"/>
        </w:rPr>
        <w:t>afo</w:t>
      </w:r>
      <w:r w:rsidRPr="008A6E18">
        <w:rPr>
          <w:rFonts w:ascii="Cambria" w:hAnsi="Cambria"/>
          <w:sz w:val="16"/>
          <w:szCs w:val="16"/>
          <w:lang w:val="pt-BR"/>
        </w:rPr>
        <w:t xml:space="preserve"> 42; </w:t>
      </w:r>
      <w:r w:rsidR="008A6E18" w:rsidRPr="008A6E18">
        <w:rPr>
          <w:rFonts w:ascii="Cambria" w:hAnsi="Cambria"/>
          <w:sz w:val="16"/>
          <w:szCs w:val="16"/>
          <w:lang w:val="pt-BR"/>
        </w:rPr>
        <w:t>e</w:t>
      </w:r>
      <w:r w:rsidRPr="008A6E18">
        <w:rPr>
          <w:rFonts w:ascii="Cambria" w:hAnsi="Cambria"/>
          <w:sz w:val="16"/>
          <w:szCs w:val="16"/>
          <w:lang w:val="pt-BR"/>
        </w:rPr>
        <w:t xml:space="preserve"> CIDH, </w:t>
      </w:r>
      <w:r w:rsidR="008A6E18" w:rsidRPr="008A6E18">
        <w:rPr>
          <w:rFonts w:ascii="Cambria" w:hAnsi="Cambria"/>
          <w:sz w:val="16"/>
          <w:szCs w:val="16"/>
          <w:lang w:val="pt-BR"/>
        </w:rPr>
        <w:t xml:space="preserve">Relatório </w:t>
      </w:r>
      <w:r w:rsidRPr="008A6E18">
        <w:rPr>
          <w:rFonts w:ascii="Cambria" w:hAnsi="Cambria"/>
          <w:sz w:val="16"/>
          <w:szCs w:val="16"/>
          <w:lang w:val="pt-BR"/>
        </w:rPr>
        <w:t>Nº 122/10 (Admis</w:t>
      </w:r>
      <w:r w:rsidR="008A6E18" w:rsidRPr="008A6E18">
        <w:rPr>
          <w:rFonts w:ascii="Cambria" w:hAnsi="Cambria"/>
          <w:sz w:val="16"/>
          <w:szCs w:val="16"/>
          <w:lang w:val="pt-BR"/>
        </w:rPr>
        <w:t>s</w:t>
      </w:r>
      <w:r w:rsidRPr="008A6E18">
        <w:rPr>
          <w:rFonts w:ascii="Cambria" w:hAnsi="Cambria"/>
          <w:sz w:val="16"/>
          <w:szCs w:val="16"/>
          <w:lang w:val="pt-BR"/>
        </w:rPr>
        <w:t>ibilidad</w:t>
      </w:r>
      <w:r w:rsidR="008A6E18" w:rsidRPr="008A6E18">
        <w:rPr>
          <w:rFonts w:ascii="Cambria" w:hAnsi="Cambria"/>
          <w:sz w:val="16"/>
          <w:szCs w:val="16"/>
          <w:lang w:val="pt-BR"/>
        </w:rPr>
        <w:t>e</w:t>
      </w:r>
      <w:r w:rsidRPr="008A6E18">
        <w:rPr>
          <w:rFonts w:ascii="Cambria" w:hAnsi="Cambria"/>
          <w:sz w:val="16"/>
          <w:szCs w:val="16"/>
          <w:lang w:val="pt-BR"/>
        </w:rPr>
        <w:t xml:space="preserve">), </w:t>
      </w:r>
      <w:r w:rsidR="008A6E18" w:rsidRPr="008A6E18">
        <w:rPr>
          <w:rFonts w:ascii="Cambria" w:hAnsi="Cambria"/>
          <w:sz w:val="16"/>
          <w:szCs w:val="16"/>
          <w:lang w:val="pt-BR"/>
        </w:rPr>
        <w:t>Petição</w:t>
      </w:r>
      <w:r w:rsidR="008C6385">
        <w:rPr>
          <w:rFonts w:ascii="Cambria" w:hAnsi="Cambria"/>
          <w:sz w:val="16"/>
          <w:szCs w:val="16"/>
          <w:lang w:val="pt-BR"/>
        </w:rPr>
        <w:t xml:space="preserve"> </w:t>
      </w:r>
      <w:r w:rsidRPr="008A6E18">
        <w:rPr>
          <w:rFonts w:ascii="Cambria" w:hAnsi="Cambria"/>
          <w:sz w:val="16"/>
          <w:szCs w:val="16"/>
          <w:lang w:val="pt-BR"/>
        </w:rPr>
        <w:t xml:space="preserve">475-00, Carlos Arturo Betancourt Estrada </w:t>
      </w:r>
      <w:r w:rsidR="008A6E18" w:rsidRPr="008A6E18">
        <w:rPr>
          <w:rFonts w:ascii="Cambria" w:hAnsi="Cambria"/>
          <w:sz w:val="16"/>
          <w:szCs w:val="16"/>
          <w:lang w:val="pt-BR"/>
        </w:rPr>
        <w:t>e</w:t>
      </w:r>
      <w:r w:rsidRPr="008A6E18">
        <w:rPr>
          <w:rFonts w:ascii="Cambria" w:hAnsi="Cambria"/>
          <w:sz w:val="16"/>
          <w:szCs w:val="16"/>
          <w:lang w:val="pt-BR"/>
        </w:rPr>
        <w:t xml:space="preserve"> o</w:t>
      </w:r>
      <w:r w:rsidR="008A6E18" w:rsidRPr="008A6E18">
        <w:rPr>
          <w:rFonts w:ascii="Cambria" w:hAnsi="Cambria"/>
          <w:sz w:val="16"/>
          <w:szCs w:val="16"/>
          <w:lang w:val="pt-BR"/>
        </w:rPr>
        <w:t>u</w:t>
      </w:r>
      <w:r w:rsidRPr="008A6E18">
        <w:rPr>
          <w:rFonts w:ascii="Cambria" w:hAnsi="Cambria"/>
          <w:sz w:val="16"/>
          <w:szCs w:val="16"/>
          <w:lang w:val="pt-BR"/>
        </w:rPr>
        <w:t>tros, Col</w:t>
      </w:r>
      <w:r w:rsidR="008A6E18" w:rsidRPr="008A6E18">
        <w:rPr>
          <w:rFonts w:ascii="Cambria" w:hAnsi="Cambria"/>
          <w:sz w:val="16"/>
          <w:szCs w:val="16"/>
          <w:lang w:val="pt-BR"/>
        </w:rPr>
        <w:t>ô</w:t>
      </w:r>
      <w:r w:rsidRPr="008A6E18">
        <w:rPr>
          <w:rFonts w:ascii="Cambria" w:hAnsi="Cambria"/>
          <w:sz w:val="16"/>
          <w:szCs w:val="16"/>
          <w:lang w:val="pt-BR"/>
        </w:rPr>
        <w:t xml:space="preserve">mbia, 23 de </w:t>
      </w:r>
      <w:r w:rsidR="008A6E18" w:rsidRPr="008A6E18">
        <w:rPr>
          <w:rFonts w:ascii="Cambria" w:hAnsi="Cambria"/>
          <w:sz w:val="16"/>
          <w:szCs w:val="16"/>
          <w:lang w:val="pt-BR"/>
        </w:rPr>
        <w:t xml:space="preserve">outubro </w:t>
      </w:r>
      <w:r w:rsidRPr="008A6E18">
        <w:rPr>
          <w:rFonts w:ascii="Cambria" w:hAnsi="Cambria"/>
          <w:sz w:val="16"/>
          <w:szCs w:val="16"/>
          <w:lang w:val="pt-BR"/>
        </w:rPr>
        <w:t>de 2010, p</w:t>
      </w:r>
      <w:r w:rsidR="008A6E18" w:rsidRPr="008A6E18">
        <w:rPr>
          <w:rFonts w:ascii="Cambria" w:hAnsi="Cambria"/>
          <w:sz w:val="16"/>
          <w:szCs w:val="16"/>
          <w:lang w:val="pt-BR"/>
        </w:rPr>
        <w:t>ar</w:t>
      </w:r>
      <w:r w:rsidRPr="008A6E18">
        <w:rPr>
          <w:rFonts w:ascii="Cambria" w:hAnsi="Cambria"/>
          <w:sz w:val="16"/>
          <w:szCs w:val="16"/>
          <w:lang w:val="pt-BR"/>
        </w:rPr>
        <w:t>á</w:t>
      </w:r>
      <w:r w:rsidR="008A6E18" w:rsidRPr="008A6E18">
        <w:rPr>
          <w:rFonts w:ascii="Cambria" w:hAnsi="Cambria"/>
          <w:sz w:val="16"/>
          <w:szCs w:val="16"/>
          <w:lang w:val="pt-BR"/>
        </w:rPr>
        <w:t>g</w:t>
      </w:r>
      <w:r w:rsidRPr="008A6E18">
        <w:rPr>
          <w:rFonts w:ascii="Cambria" w:hAnsi="Cambria"/>
          <w:sz w:val="16"/>
          <w:szCs w:val="16"/>
          <w:lang w:val="pt-BR"/>
        </w:rPr>
        <w:t>r</w:t>
      </w:r>
      <w:r w:rsidR="00695BA2" w:rsidRPr="008A6E18">
        <w:rPr>
          <w:rFonts w:ascii="Cambria" w:hAnsi="Cambria"/>
          <w:sz w:val="16"/>
          <w:szCs w:val="16"/>
          <w:lang w:val="pt-BR"/>
        </w:rPr>
        <w:t>afo</w:t>
      </w:r>
      <w:r w:rsidRPr="008A6E18">
        <w:rPr>
          <w:rFonts w:ascii="Cambria" w:hAnsi="Cambria"/>
          <w:sz w:val="16"/>
          <w:szCs w:val="16"/>
          <w:lang w:val="pt-BR"/>
        </w:rPr>
        <w:t xml:space="preserve"> 29.</w:t>
      </w:r>
    </w:p>
  </w:footnote>
  <w:footnote w:id="11">
    <w:p w14:paraId="1F86C15A" w14:textId="41AFFFA7" w:rsidR="00695BA2" w:rsidRPr="008A6E18" w:rsidRDefault="00695BA2" w:rsidP="00695BA2">
      <w:pPr>
        <w:pStyle w:val="FootnoteText"/>
        <w:ind w:firstLine="709"/>
        <w:jc w:val="both"/>
        <w:rPr>
          <w:rFonts w:ascii="Cambria" w:hAnsi="Cambria"/>
          <w:sz w:val="16"/>
          <w:szCs w:val="16"/>
          <w:lang w:val="pt-BR"/>
        </w:rPr>
      </w:pPr>
      <w:r w:rsidRPr="008A6E18">
        <w:rPr>
          <w:rStyle w:val="FootnoteReference"/>
          <w:rFonts w:ascii="Cambria" w:hAnsi="Cambria"/>
          <w:sz w:val="16"/>
          <w:szCs w:val="16"/>
          <w:lang w:val="pt-BR"/>
        </w:rPr>
        <w:footnoteRef/>
      </w:r>
      <w:r w:rsidRPr="008A6E18">
        <w:rPr>
          <w:rFonts w:ascii="Cambria" w:hAnsi="Cambria"/>
          <w:sz w:val="16"/>
          <w:szCs w:val="16"/>
          <w:lang w:val="pt-BR"/>
        </w:rPr>
        <w:t xml:space="preserve"> Similarmente, CIDH, </w:t>
      </w:r>
      <w:r w:rsidR="008A6E18" w:rsidRPr="008A6E18">
        <w:rPr>
          <w:rFonts w:ascii="Cambria" w:hAnsi="Cambria"/>
          <w:sz w:val="16"/>
          <w:szCs w:val="16"/>
          <w:lang w:val="pt-BR"/>
        </w:rPr>
        <w:t>Relatório</w:t>
      </w:r>
      <w:r w:rsidRPr="008A6E18">
        <w:rPr>
          <w:rFonts w:ascii="Cambria" w:hAnsi="Cambria"/>
          <w:sz w:val="16"/>
          <w:szCs w:val="16"/>
          <w:lang w:val="pt-BR"/>
        </w:rPr>
        <w:t xml:space="preserve"> N</w:t>
      </w:r>
      <w:r w:rsidRPr="008A6E18">
        <w:rPr>
          <w:rFonts w:ascii="Cambria" w:hAnsi="Cambria"/>
          <w:sz w:val="16"/>
          <w:szCs w:val="16"/>
          <w:vertAlign w:val="superscript"/>
          <w:lang w:val="pt-BR"/>
        </w:rPr>
        <w:t>o.</w:t>
      </w:r>
      <w:r w:rsidRPr="008A6E18">
        <w:rPr>
          <w:rFonts w:ascii="Cambria" w:hAnsi="Cambria"/>
          <w:sz w:val="16"/>
          <w:szCs w:val="16"/>
          <w:lang w:val="pt-BR"/>
        </w:rPr>
        <w:t xml:space="preserve"> 62/22. </w:t>
      </w:r>
      <w:r w:rsidR="008A6E18" w:rsidRPr="008A6E18">
        <w:rPr>
          <w:rFonts w:ascii="Cambria" w:hAnsi="Cambria"/>
          <w:sz w:val="16"/>
          <w:szCs w:val="16"/>
          <w:lang w:val="pt-BR"/>
        </w:rPr>
        <w:t>Petição</w:t>
      </w:r>
      <w:r w:rsidR="008C6385">
        <w:rPr>
          <w:rFonts w:ascii="Cambria" w:hAnsi="Cambria"/>
          <w:sz w:val="16"/>
          <w:szCs w:val="16"/>
          <w:lang w:val="pt-BR"/>
        </w:rPr>
        <w:t xml:space="preserve"> </w:t>
      </w:r>
      <w:r w:rsidRPr="008A6E18">
        <w:rPr>
          <w:rFonts w:ascii="Cambria" w:hAnsi="Cambria"/>
          <w:sz w:val="16"/>
          <w:szCs w:val="16"/>
          <w:lang w:val="pt-BR"/>
        </w:rPr>
        <w:t xml:space="preserve">1096-12. </w:t>
      </w:r>
      <w:r w:rsidR="008A6E18" w:rsidRPr="002E6840">
        <w:rPr>
          <w:rFonts w:ascii="Cambria" w:hAnsi="Cambria"/>
          <w:sz w:val="16"/>
          <w:szCs w:val="16"/>
          <w:lang w:val="es-419"/>
        </w:rPr>
        <w:t>Inadmissibilidade</w:t>
      </w:r>
      <w:r w:rsidRPr="00D075F4">
        <w:rPr>
          <w:rFonts w:ascii="Cambria" w:hAnsi="Cambria"/>
          <w:sz w:val="16"/>
          <w:szCs w:val="16"/>
          <w:lang w:val="es-419"/>
        </w:rPr>
        <w:t xml:space="preserve">. Julio Carrizosa Mutis </w:t>
      </w:r>
      <w:r w:rsidR="008A6E18" w:rsidRPr="00D075F4">
        <w:rPr>
          <w:rFonts w:ascii="Cambria" w:hAnsi="Cambria"/>
          <w:sz w:val="16"/>
          <w:szCs w:val="16"/>
          <w:lang w:val="es-419"/>
        </w:rPr>
        <w:t>e</w:t>
      </w:r>
      <w:r w:rsidRPr="00D075F4">
        <w:rPr>
          <w:rFonts w:ascii="Cambria" w:hAnsi="Cambria"/>
          <w:sz w:val="16"/>
          <w:szCs w:val="16"/>
          <w:lang w:val="es-419"/>
        </w:rPr>
        <w:t xml:space="preserve"> </w:t>
      </w:r>
      <w:r w:rsidR="008A6E18" w:rsidRPr="00D075F4">
        <w:rPr>
          <w:rFonts w:ascii="Cambria" w:hAnsi="Cambria"/>
          <w:sz w:val="16"/>
          <w:szCs w:val="16"/>
          <w:lang w:val="es-419"/>
        </w:rPr>
        <w:t xml:space="preserve">familia </w:t>
      </w:r>
      <w:r w:rsidRPr="00D075F4">
        <w:rPr>
          <w:rFonts w:ascii="Cambria" w:hAnsi="Cambria"/>
          <w:sz w:val="16"/>
          <w:szCs w:val="16"/>
          <w:lang w:val="es-419"/>
        </w:rPr>
        <w:t xml:space="preserve">(Corporación Grancolombiana de Ahorro y Vivienda. </w:t>
      </w:r>
      <w:r w:rsidRPr="008A6E18">
        <w:rPr>
          <w:rFonts w:ascii="Cambria" w:hAnsi="Cambria"/>
          <w:sz w:val="16"/>
          <w:szCs w:val="16"/>
          <w:lang w:val="pt-BR"/>
        </w:rPr>
        <w:t>Col</w:t>
      </w:r>
      <w:r w:rsidR="008A6E18" w:rsidRPr="008A6E18">
        <w:rPr>
          <w:rFonts w:ascii="Cambria" w:hAnsi="Cambria"/>
          <w:sz w:val="16"/>
          <w:szCs w:val="16"/>
          <w:lang w:val="pt-BR"/>
        </w:rPr>
        <w:t>ô</w:t>
      </w:r>
      <w:r w:rsidRPr="008A6E18">
        <w:rPr>
          <w:rFonts w:ascii="Cambria" w:hAnsi="Cambria"/>
          <w:sz w:val="16"/>
          <w:szCs w:val="16"/>
          <w:lang w:val="pt-BR"/>
        </w:rPr>
        <w:t>mbia. 7 de mar</w:t>
      </w:r>
      <w:r w:rsidR="008A6E18" w:rsidRPr="008A6E18">
        <w:rPr>
          <w:rFonts w:ascii="Cambria" w:hAnsi="Cambria"/>
          <w:sz w:val="16"/>
          <w:szCs w:val="16"/>
          <w:lang w:val="pt-BR"/>
        </w:rPr>
        <w:t>ç</w:t>
      </w:r>
      <w:r w:rsidRPr="008A6E18">
        <w:rPr>
          <w:rFonts w:ascii="Cambria" w:hAnsi="Cambria"/>
          <w:sz w:val="16"/>
          <w:szCs w:val="16"/>
          <w:lang w:val="pt-BR"/>
        </w:rPr>
        <w:t>o de 2022, p</w:t>
      </w:r>
      <w:r w:rsidR="008A6E18" w:rsidRPr="008A6E18">
        <w:rPr>
          <w:rFonts w:ascii="Cambria" w:hAnsi="Cambria"/>
          <w:sz w:val="16"/>
          <w:szCs w:val="16"/>
          <w:lang w:val="pt-BR"/>
        </w:rPr>
        <w:t>ar</w:t>
      </w:r>
      <w:r w:rsidRPr="008A6E18">
        <w:rPr>
          <w:rFonts w:ascii="Cambria" w:hAnsi="Cambria"/>
          <w:sz w:val="16"/>
          <w:szCs w:val="16"/>
          <w:lang w:val="pt-BR"/>
        </w:rPr>
        <w:t>á</w:t>
      </w:r>
      <w:r w:rsidR="008A6E18" w:rsidRPr="008A6E18">
        <w:rPr>
          <w:rFonts w:ascii="Cambria" w:hAnsi="Cambria"/>
          <w:sz w:val="16"/>
          <w:szCs w:val="16"/>
          <w:lang w:val="pt-BR"/>
        </w:rPr>
        <w:t>g</w:t>
      </w:r>
      <w:r w:rsidRPr="008A6E18">
        <w:rPr>
          <w:rFonts w:ascii="Cambria" w:hAnsi="Cambria"/>
          <w:sz w:val="16"/>
          <w:szCs w:val="16"/>
          <w:lang w:val="pt-BR"/>
        </w:rPr>
        <w:t>rafo 19.</w:t>
      </w:r>
    </w:p>
  </w:footnote>
  <w:footnote w:id="12">
    <w:p w14:paraId="1D8878C2" w14:textId="576A485E" w:rsidR="000205DF" w:rsidRPr="0002277C" w:rsidRDefault="000205DF" w:rsidP="00CE0487">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D075F4">
        <w:rPr>
          <w:rFonts w:ascii="Cambria" w:hAnsi="Cambria"/>
          <w:sz w:val="16"/>
          <w:szCs w:val="16"/>
          <w:lang w:val="pt-BR"/>
        </w:rPr>
        <w:t xml:space="preserve"> </w:t>
      </w:r>
      <w:r w:rsidR="00CE0487" w:rsidRPr="00D075F4">
        <w:rPr>
          <w:rFonts w:ascii="Cambria" w:hAnsi="Cambria"/>
          <w:sz w:val="16"/>
          <w:szCs w:val="16"/>
          <w:lang w:val="pt-BR"/>
        </w:rPr>
        <w:t xml:space="preserve">CIDH, </w:t>
      </w:r>
      <w:r w:rsidR="0002277C" w:rsidRPr="00D075F4">
        <w:rPr>
          <w:rFonts w:ascii="Cambria" w:hAnsi="Cambria"/>
          <w:sz w:val="16"/>
          <w:szCs w:val="16"/>
          <w:lang w:val="pt-BR"/>
        </w:rPr>
        <w:t>Relatório</w:t>
      </w:r>
      <w:r w:rsidR="00CE0487" w:rsidRPr="00D075F4">
        <w:rPr>
          <w:rFonts w:ascii="Cambria" w:hAnsi="Cambria"/>
          <w:sz w:val="16"/>
          <w:szCs w:val="16"/>
          <w:lang w:val="pt-BR"/>
        </w:rPr>
        <w:t xml:space="preserve"> N</w:t>
      </w:r>
      <w:r w:rsidR="00CE0487" w:rsidRPr="00D075F4">
        <w:rPr>
          <w:rFonts w:ascii="Cambria" w:hAnsi="Cambria"/>
          <w:sz w:val="16"/>
          <w:szCs w:val="16"/>
          <w:vertAlign w:val="superscript"/>
          <w:lang w:val="pt-BR"/>
        </w:rPr>
        <w:t>o.</w:t>
      </w:r>
      <w:r w:rsidR="00CE0487" w:rsidRPr="00D075F4">
        <w:rPr>
          <w:rFonts w:ascii="Cambria" w:hAnsi="Cambria"/>
          <w:sz w:val="16"/>
          <w:szCs w:val="16"/>
          <w:lang w:val="pt-BR"/>
        </w:rPr>
        <w:t xml:space="preserve"> 371/22. </w:t>
      </w:r>
      <w:r w:rsidR="008A6E18" w:rsidRPr="00D075F4">
        <w:rPr>
          <w:rFonts w:ascii="Cambria" w:hAnsi="Cambria"/>
          <w:sz w:val="16"/>
          <w:szCs w:val="16"/>
          <w:lang w:val="pt-BR"/>
        </w:rPr>
        <w:t>Petição</w:t>
      </w:r>
      <w:r w:rsidR="008C6385">
        <w:rPr>
          <w:rFonts w:ascii="Cambria" w:hAnsi="Cambria"/>
          <w:sz w:val="16"/>
          <w:szCs w:val="16"/>
          <w:lang w:val="pt-BR"/>
        </w:rPr>
        <w:t xml:space="preserve"> </w:t>
      </w:r>
      <w:r w:rsidR="00CE0487" w:rsidRPr="00D075F4">
        <w:rPr>
          <w:rFonts w:ascii="Cambria" w:hAnsi="Cambria"/>
          <w:sz w:val="16"/>
          <w:szCs w:val="16"/>
          <w:lang w:val="pt-BR"/>
        </w:rPr>
        <w:t xml:space="preserve">1957-15. Celso Jacques da Rocha. Brasil. </w:t>
      </w:r>
      <w:r w:rsidR="00CE0487" w:rsidRPr="0002277C">
        <w:rPr>
          <w:rFonts w:ascii="Cambria" w:hAnsi="Cambria"/>
          <w:sz w:val="16"/>
          <w:szCs w:val="16"/>
          <w:lang w:val="pt-BR"/>
        </w:rPr>
        <w:t xml:space="preserve">19 de </w:t>
      </w:r>
      <w:r w:rsidR="0002277C" w:rsidRPr="0002277C">
        <w:rPr>
          <w:rFonts w:ascii="Cambria" w:hAnsi="Cambria"/>
          <w:sz w:val="16"/>
          <w:szCs w:val="16"/>
          <w:lang w:val="pt-BR"/>
        </w:rPr>
        <w:t xml:space="preserve">dezembro </w:t>
      </w:r>
      <w:r w:rsidR="00CE0487" w:rsidRPr="0002277C">
        <w:rPr>
          <w:rFonts w:ascii="Cambria" w:hAnsi="Cambria"/>
          <w:sz w:val="16"/>
          <w:szCs w:val="16"/>
          <w:lang w:val="pt-BR"/>
        </w:rPr>
        <w:t>de 2022, p</w:t>
      </w:r>
      <w:r w:rsidR="0002277C" w:rsidRPr="0002277C">
        <w:rPr>
          <w:rFonts w:ascii="Cambria" w:hAnsi="Cambria"/>
          <w:sz w:val="16"/>
          <w:szCs w:val="16"/>
          <w:lang w:val="pt-BR"/>
        </w:rPr>
        <w:t>ar</w:t>
      </w:r>
      <w:r w:rsidR="00CE0487" w:rsidRPr="0002277C">
        <w:rPr>
          <w:rFonts w:ascii="Cambria" w:hAnsi="Cambria"/>
          <w:sz w:val="16"/>
          <w:szCs w:val="16"/>
          <w:lang w:val="pt-BR"/>
        </w:rPr>
        <w:t>á</w:t>
      </w:r>
      <w:r w:rsidR="0002277C" w:rsidRPr="0002277C">
        <w:rPr>
          <w:rFonts w:ascii="Cambria" w:hAnsi="Cambria"/>
          <w:sz w:val="16"/>
          <w:szCs w:val="16"/>
          <w:lang w:val="pt-BR"/>
        </w:rPr>
        <w:t>g</w:t>
      </w:r>
      <w:r w:rsidR="00CE0487" w:rsidRPr="0002277C">
        <w:rPr>
          <w:rFonts w:ascii="Cambria" w:hAnsi="Cambria"/>
          <w:sz w:val="16"/>
          <w:szCs w:val="16"/>
          <w:lang w:val="pt-BR"/>
        </w:rPr>
        <w:t>rafo 20.</w:t>
      </w:r>
    </w:p>
  </w:footnote>
  <w:footnote w:id="13">
    <w:p w14:paraId="434D7850" w14:textId="6BB39130" w:rsidR="00CE0487" w:rsidRPr="00CE0487" w:rsidRDefault="00CE0487" w:rsidP="00CE0487">
      <w:pPr>
        <w:pStyle w:val="FootnoteText"/>
        <w:ind w:firstLine="709"/>
        <w:jc w:val="both"/>
        <w:rPr>
          <w:rFonts w:ascii="Cambria" w:hAnsi="Cambria"/>
          <w:sz w:val="16"/>
          <w:szCs w:val="16"/>
          <w:lang w:val="pt-BR"/>
        </w:rPr>
      </w:pPr>
      <w:r w:rsidRPr="00116812">
        <w:rPr>
          <w:rStyle w:val="FootnoteReference"/>
          <w:rFonts w:ascii="Cambria" w:hAnsi="Cambria"/>
          <w:sz w:val="16"/>
          <w:szCs w:val="16"/>
        </w:rPr>
        <w:footnoteRef/>
      </w:r>
      <w:r w:rsidRPr="0002277C">
        <w:rPr>
          <w:rFonts w:ascii="Cambria" w:hAnsi="Cambria"/>
          <w:sz w:val="16"/>
          <w:szCs w:val="16"/>
          <w:lang w:val="pt-BR"/>
        </w:rPr>
        <w:t xml:space="preserve"> </w:t>
      </w:r>
      <w:r w:rsidR="00D239C8">
        <w:rPr>
          <w:rFonts w:ascii="Cambria" w:hAnsi="Cambria"/>
          <w:sz w:val="16"/>
          <w:szCs w:val="16"/>
          <w:lang w:val="pt-BR"/>
        </w:rPr>
        <w:t>Similarmente</w:t>
      </w:r>
      <w:r w:rsidRPr="0002277C">
        <w:rPr>
          <w:rFonts w:ascii="Cambria" w:hAnsi="Cambria"/>
          <w:sz w:val="16"/>
          <w:szCs w:val="16"/>
          <w:lang w:val="pt-BR"/>
        </w:rPr>
        <w:t xml:space="preserve">: CIDH, </w:t>
      </w:r>
      <w:r w:rsidR="0002277C">
        <w:rPr>
          <w:rFonts w:ascii="Cambria" w:hAnsi="Cambria"/>
          <w:sz w:val="16"/>
          <w:szCs w:val="16"/>
          <w:lang w:val="pt-BR"/>
        </w:rPr>
        <w:t xml:space="preserve">Relatório </w:t>
      </w:r>
      <w:r w:rsidRPr="0002277C">
        <w:rPr>
          <w:rFonts w:ascii="Cambria" w:hAnsi="Cambria"/>
          <w:sz w:val="16"/>
          <w:szCs w:val="16"/>
          <w:lang w:val="pt-BR"/>
        </w:rPr>
        <w:t>N</w:t>
      </w:r>
      <w:r w:rsidRPr="0002277C">
        <w:rPr>
          <w:rFonts w:ascii="Cambria" w:hAnsi="Cambria"/>
          <w:sz w:val="16"/>
          <w:szCs w:val="16"/>
          <w:vertAlign w:val="superscript"/>
          <w:lang w:val="pt-BR"/>
        </w:rPr>
        <w:t>o.</w:t>
      </w:r>
      <w:r w:rsidRPr="0002277C">
        <w:rPr>
          <w:rFonts w:ascii="Cambria" w:hAnsi="Cambria"/>
          <w:sz w:val="16"/>
          <w:szCs w:val="16"/>
          <w:lang w:val="pt-BR"/>
        </w:rPr>
        <w:t xml:space="preserve"> 371/22. </w:t>
      </w:r>
      <w:r w:rsidR="008A6E18">
        <w:rPr>
          <w:rFonts w:ascii="Cambria" w:hAnsi="Cambria"/>
          <w:sz w:val="16"/>
          <w:szCs w:val="16"/>
          <w:lang w:val="pt-BR"/>
        </w:rPr>
        <w:t>Petição</w:t>
      </w:r>
      <w:r w:rsidR="008C6385">
        <w:rPr>
          <w:rFonts w:ascii="Cambria" w:hAnsi="Cambria"/>
          <w:sz w:val="16"/>
          <w:szCs w:val="16"/>
          <w:lang w:val="pt-BR"/>
        </w:rPr>
        <w:t xml:space="preserve"> </w:t>
      </w:r>
      <w:r w:rsidRPr="00CE0487">
        <w:rPr>
          <w:rFonts w:ascii="Cambria" w:hAnsi="Cambria"/>
          <w:sz w:val="16"/>
          <w:szCs w:val="16"/>
          <w:lang w:val="pt-BR"/>
        </w:rPr>
        <w:t xml:space="preserve">1957-15. Celso Jacques da Rocha. Brasil. 19 de </w:t>
      </w:r>
      <w:r w:rsidR="0002277C">
        <w:rPr>
          <w:rFonts w:ascii="Cambria" w:hAnsi="Cambria"/>
          <w:sz w:val="16"/>
          <w:szCs w:val="16"/>
          <w:lang w:val="pt-BR"/>
        </w:rPr>
        <w:t xml:space="preserve">dezembro </w:t>
      </w:r>
      <w:r w:rsidRPr="00CE0487">
        <w:rPr>
          <w:rFonts w:ascii="Cambria" w:hAnsi="Cambria"/>
          <w:sz w:val="16"/>
          <w:szCs w:val="16"/>
          <w:lang w:val="pt-BR"/>
        </w:rPr>
        <w:t>de 2022</w:t>
      </w:r>
      <w:r>
        <w:rPr>
          <w:rFonts w:ascii="Cambria" w:hAnsi="Cambria"/>
          <w:sz w:val="16"/>
          <w:szCs w:val="16"/>
          <w:lang w:val="pt-BR"/>
        </w:rPr>
        <w:t>, p</w:t>
      </w:r>
      <w:r w:rsidR="0002277C">
        <w:rPr>
          <w:rFonts w:ascii="Cambria" w:hAnsi="Cambria"/>
          <w:sz w:val="16"/>
          <w:szCs w:val="16"/>
          <w:lang w:val="pt-BR"/>
        </w:rPr>
        <w:t>ar</w:t>
      </w:r>
      <w:r>
        <w:rPr>
          <w:rFonts w:ascii="Cambria" w:hAnsi="Cambria"/>
          <w:sz w:val="16"/>
          <w:szCs w:val="16"/>
          <w:lang w:val="pt-BR"/>
        </w:rPr>
        <w:t>á</w:t>
      </w:r>
      <w:r w:rsidR="0002277C">
        <w:rPr>
          <w:rFonts w:ascii="Cambria" w:hAnsi="Cambria"/>
          <w:sz w:val="16"/>
          <w:szCs w:val="16"/>
          <w:lang w:val="pt-BR"/>
        </w:rPr>
        <w:t>g</w:t>
      </w:r>
      <w:r>
        <w:rPr>
          <w:rFonts w:ascii="Cambria" w:hAnsi="Cambria"/>
          <w:sz w:val="16"/>
          <w:szCs w:val="16"/>
          <w:lang w:val="pt-BR"/>
        </w:rPr>
        <w:t>rafo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0E71167B" w:rsidR="00A50FCF" w:rsidRDefault="00ED5B0B" w:rsidP="00A50FCF">
    <w:pPr>
      <w:pStyle w:val="Header"/>
      <w:tabs>
        <w:tab w:val="clear" w:pos="4320"/>
        <w:tab w:val="clear" w:pos="8640"/>
      </w:tabs>
      <w:jc w:val="center"/>
      <w:rPr>
        <w:sz w:val="22"/>
        <w:szCs w:val="22"/>
      </w:rPr>
    </w:pPr>
    <w:r>
      <w:rPr>
        <w:noProof/>
        <w:sz w:val="22"/>
        <w:szCs w:val="22"/>
      </w:rPr>
      <w:drawing>
        <wp:inline distT="0" distB="0" distL="0" distR="0" wp14:anchorId="23781ED0" wp14:editId="5242D8E5">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24BB2C52" w14:textId="77777777" w:rsidR="00040C3A" w:rsidRPr="00EC7D62" w:rsidRDefault="00E36CE4"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E23"/>
    <w:rsid w:val="000177A9"/>
    <w:rsid w:val="0001788C"/>
    <w:rsid w:val="000205DF"/>
    <w:rsid w:val="000213C6"/>
    <w:rsid w:val="0002277C"/>
    <w:rsid w:val="000337EF"/>
    <w:rsid w:val="00040C3A"/>
    <w:rsid w:val="000419AD"/>
    <w:rsid w:val="000433C9"/>
    <w:rsid w:val="000444E7"/>
    <w:rsid w:val="00046367"/>
    <w:rsid w:val="00065548"/>
    <w:rsid w:val="00071174"/>
    <w:rsid w:val="000716C5"/>
    <w:rsid w:val="0007364B"/>
    <w:rsid w:val="00075E23"/>
    <w:rsid w:val="00075FC4"/>
    <w:rsid w:val="0009344A"/>
    <w:rsid w:val="000970F4"/>
    <w:rsid w:val="000A392E"/>
    <w:rsid w:val="000A575F"/>
    <w:rsid w:val="000A6A74"/>
    <w:rsid w:val="000B1A6A"/>
    <w:rsid w:val="000B66F4"/>
    <w:rsid w:val="000B7730"/>
    <w:rsid w:val="000C0C9A"/>
    <w:rsid w:val="000D05CB"/>
    <w:rsid w:val="000D10DB"/>
    <w:rsid w:val="000D69FD"/>
    <w:rsid w:val="000E09D8"/>
    <w:rsid w:val="000E5EB5"/>
    <w:rsid w:val="000F35ED"/>
    <w:rsid w:val="000F5FBD"/>
    <w:rsid w:val="00104358"/>
    <w:rsid w:val="00104667"/>
    <w:rsid w:val="0010550C"/>
    <w:rsid w:val="00107131"/>
    <w:rsid w:val="0010736F"/>
    <w:rsid w:val="00112061"/>
    <w:rsid w:val="00113F73"/>
    <w:rsid w:val="00116812"/>
    <w:rsid w:val="00121CC2"/>
    <w:rsid w:val="00123203"/>
    <w:rsid w:val="00126179"/>
    <w:rsid w:val="00131425"/>
    <w:rsid w:val="00133EE5"/>
    <w:rsid w:val="00134301"/>
    <w:rsid w:val="001422FA"/>
    <w:rsid w:val="001473A9"/>
    <w:rsid w:val="00165562"/>
    <w:rsid w:val="00167A34"/>
    <w:rsid w:val="00173185"/>
    <w:rsid w:val="001864B1"/>
    <w:rsid w:val="001A520D"/>
    <w:rsid w:val="001A76C6"/>
    <w:rsid w:val="001A7870"/>
    <w:rsid w:val="001A7D7B"/>
    <w:rsid w:val="001B3A00"/>
    <w:rsid w:val="001C1B41"/>
    <w:rsid w:val="001C5567"/>
    <w:rsid w:val="001C7583"/>
    <w:rsid w:val="001D21C7"/>
    <w:rsid w:val="001D4AB9"/>
    <w:rsid w:val="001D65EF"/>
    <w:rsid w:val="001E15E7"/>
    <w:rsid w:val="001E49E7"/>
    <w:rsid w:val="001E6AFB"/>
    <w:rsid w:val="001F7201"/>
    <w:rsid w:val="00201B69"/>
    <w:rsid w:val="00216B97"/>
    <w:rsid w:val="00223A29"/>
    <w:rsid w:val="002250A3"/>
    <w:rsid w:val="00234F71"/>
    <w:rsid w:val="00235217"/>
    <w:rsid w:val="00236C69"/>
    <w:rsid w:val="00237C68"/>
    <w:rsid w:val="0024026E"/>
    <w:rsid w:val="00246D1F"/>
    <w:rsid w:val="00247403"/>
    <w:rsid w:val="00247542"/>
    <w:rsid w:val="00247E84"/>
    <w:rsid w:val="00250136"/>
    <w:rsid w:val="00266B61"/>
    <w:rsid w:val="0026712A"/>
    <w:rsid w:val="00267CB6"/>
    <w:rsid w:val="002704DB"/>
    <w:rsid w:val="00274D3E"/>
    <w:rsid w:val="00277A7A"/>
    <w:rsid w:val="00280B37"/>
    <w:rsid w:val="002A0AAE"/>
    <w:rsid w:val="002A21E7"/>
    <w:rsid w:val="002A5820"/>
    <w:rsid w:val="002B1533"/>
    <w:rsid w:val="002B51C3"/>
    <w:rsid w:val="002D2B26"/>
    <w:rsid w:val="002D5CFE"/>
    <w:rsid w:val="002D7EA2"/>
    <w:rsid w:val="002E187C"/>
    <w:rsid w:val="002E1DE3"/>
    <w:rsid w:val="002E6120"/>
    <w:rsid w:val="002E63D5"/>
    <w:rsid w:val="002E6840"/>
    <w:rsid w:val="002F3F8C"/>
    <w:rsid w:val="00302733"/>
    <w:rsid w:val="00305835"/>
    <w:rsid w:val="00306F33"/>
    <w:rsid w:val="003071D7"/>
    <w:rsid w:val="00307FD5"/>
    <w:rsid w:val="00311BCB"/>
    <w:rsid w:val="00314078"/>
    <w:rsid w:val="0031535D"/>
    <w:rsid w:val="00315CB8"/>
    <w:rsid w:val="00315E49"/>
    <w:rsid w:val="003214B9"/>
    <w:rsid w:val="003239B8"/>
    <w:rsid w:val="00324DFF"/>
    <w:rsid w:val="00325316"/>
    <w:rsid w:val="00327E39"/>
    <w:rsid w:val="003302AD"/>
    <w:rsid w:val="0033169F"/>
    <w:rsid w:val="00331828"/>
    <w:rsid w:val="0034239A"/>
    <w:rsid w:val="003440AF"/>
    <w:rsid w:val="00344977"/>
    <w:rsid w:val="003459D0"/>
    <w:rsid w:val="00346202"/>
    <w:rsid w:val="00346C95"/>
    <w:rsid w:val="00346ED7"/>
    <w:rsid w:val="003511D9"/>
    <w:rsid w:val="003557A0"/>
    <w:rsid w:val="00356185"/>
    <w:rsid w:val="00360380"/>
    <w:rsid w:val="00362515"/>
    <w:rsid w:val="00370328"/>
    <w:rsid w:val="00371018"/>
    <w:rsid w:val="0037519E"/>
    <w:rsid w:val="00380267"/>
    <w:rsid w:val="00380295"/>
    <w:rsid w:val="00382D26"/>
    <w:rsid w:val="00383C6E"/>
    <w:rsid w:val="00386CF0"/>
    <w:rsid w:val="003951BD"/>
    <w:rsid w:val="003B0A77"/>
    <w:rsid w:val="003B3A0B"/>
    <w:rsid w:val="003B70FB"/>
    <w:rsid w:val="003C676B"/>
    <w:rsid w:val="003D3181"/>
    <w:rsid w:val="003D3BC2"/>
    <w:rsid w:val="003D67A9"/>
    <w:rsid w:val="003E51E9"/>
    <w:rsid w:val="003E6CA1"/>
    <w:rsid w:val="003E76BF"/>
    <w:rsid w:val="003F41EF"/>
    <w:rsid w:val="003F5154"/>
    <w:rsid w:val="00403BA9"/>
    <w:rsid w:val="00405F9C"/>
    <w:rsid w:val="004065A8"/>
    <w:rsid w:val="00406825"/>
    <w:rsid w:val="004120E7"/>
    <w:rsid w:val="004165C2"/>
    <w:rsid w:val="004205D0"/>
    <w:rsid w:val="004211B3"/>
    <w:rsid w:val="004241A0"/>
    <w:rsid w:val="00427B38"/>
    <w:rsid w:val="00441ECB"/>
    <w:rsid w:val="00445193"/>
    <w:rsid w:val="004503E1"/>
    <w:rsid w:val="00453026"/>
    <w:rsid w:val="00455AAF"/>
    <w:rsid w:val="00462C1B"/>
    <w:rsid w:val="00467B7E"/>
    <w:rsid w:val="00473BB4"/>
    <w:rsid w:val="00477592"/>
    <w:rsid w:val="00486F1C"/>
    <w:rsid w:val="0049331B"/>
    <w:rsid w:val="0049419D"/>
    <w:rsid w:val="004A057B"/>
    <w:rsid w:val="004A6A54"/>
    <w:rsid w:val="004B421C"/>
    <w:rsid w:val="004C20D2"/>
    <w:rsid w:val="004C2312"/>
    <w:rsid w:val="004C4B62"/>
    <w:rsid w:val="004C54C9"/>
    <w:rsid w:val="004D4ABA"/>
    <w:rsid w:val="004D5FE2"/>
    <w:rsid w:val="004D6025"/>
    <w:rsid w:val="004D7D64"/>
    <w:rsid w:val="004E013A"/>
    <w:rsid w:val="004E2649"/>
    <w:rsid w:val="004E2862"/>
    <w:rsid w:val="004E5879"/>
    <w:rsid w:val="004F11BC"/>
    <w:rsid w:val="004F1840"/>
    <w:rsid w:val="004F1B17"/>
    <w:rsid w:val="004F626F"/>
    <w:rsid w:val="00501399"/>
    <w:rsid w:val="005023EE"/>
    <w:rsid w:val="005047ED"/>
    <w:rsid w:val="0050633D"/>
    <w:rsid w:val="005063A6"/>
    <w:rsid w:val="00507BC4"/>
    <w:rsid w:val="005128E4"/>
    <w:rsid w:val="00513340"/>
    <w:rsid w:val="005133DB"/>
    <w:rsid w:val="00514504"/>
    <w:rsid w:val="00520DE4"/>
    <w:rsid w:val="00521E1F"/>
    <w:rsid w:val="00524546"/>
    <w:rsid w:val="00525560"/>
    <w:rsid w:val="00530DC1"/>
    <w:rsid w:val="00544C49"/>
    <w:rsid w:val="00550749"/>
    <w:rsid w:val="005516A1"/>
    <w:rsid w:val="005559EF"/>
    <w:rsid w:val="005602E2"/>
    <w:rsid w:val="005627DD"/>
    <w:rsid w:val="00563557"/>
    <w:rsid w:val="00565484"/>
    <w:rsid w:val="00573EC9"/>
    <w:rsid w:val="0057402A"/>
    <w:rsid w:val="00576763"/>
    <w:rsid w:val="005771D0"/>
    <w:rsid w:val="00580375"/>
    <w:rsid w:val="00584B6F"/>
    <w:rsid w:val="00584D04"/>
    <w:rsid w:val="0059191A"/>
    <w:rsid w:val="005921FF"/>
    <w:rsid w:val="00592837"/>
    <w:rsid w:val="005949E2"/>
    <w:rsid w:val="00596A5A"/>
    <w:rsid w:val="005A24ED"/>
    <w:rsid w:val="005A6D0E"/>
    <w:rsid w:val="005B039F"/>
    <w:rsid w:val="005B109A"/>
    <w:rsid w:val="005B52B0"/>
    <w:rsid w:val="005B6806"/>
    <w:rsid w:val="005C0B4B"/>
    <w:rsid w:val="005C4225"/>
    <w:rsid w:val="005C6DFB"/>
    <w:rsid w:val="005D3D5B"/>
    <w:rsid w:val="005F0DAD"/>
    <w:rsid w:val="005F0F33"/>
    <w:rsid w:val="005F44DD"/>
    <w:rsid w:val="00600DEB"/>
    <w:rsid w:val="00601745"/>
    <w:rsid w:val="006157CE"/>
    <w:rsid w:val="00627562"/>
    <w:rsid w:val="00627C9F"/>
    <w:rsid w:val="006311E9"/>
    <w:rsid w:val="00632354"/>
    <w:rsid w:val="00635421"/>
    <w:rsid w:val="00635B94"/>
    <w:rsid w:val="00642810"/>
    <w:rsid w:val="00643428"/>
    <w:rsid w:val="00652333"/>
    <w:rsid w:val="00652DC1"/>
    <w:rsid w:val="00662A84"/>
    <w:rsid w:val="006644D8"/>
    <w:rsid w:val="006671BB"/>
    <w:rsid w:val="0068009E"/>
    <w:rsid w:val="00692219"/>
    <w:rsid w:val="00692FD2"/>
    <w:rsid w:val="00693EB9"/>
    <w:rsid w:val="00695BA2"/>
    <w:rsid w:val="006A17D2"/>
    <w:rsid w:val="006A3667"/>
    <w:rsid w:val="006A73E6"/>
    <w:rsid w:val="006B2D5C"/>
    <w:rsid w:val="006C0ECF"/>
    <w:rsid w:val="006C4EB1"/>
    <w:rsid w:val="006D010A"/>
    <w:rsid w:val="006E0166"/>
    <w:rsid w:val="006E2FFB"/>
    <w:rsid w:val="006E3BAD"/>
    <w:rsid w:val="006E63B8"/>
    <w:rsid w:val="006E64EB"/>
    <w:rsid w:val="006E7B34"/>
    <w:rsid w:val="006F1918"/>
    <w:rsid w:val="0070697F"/>
    <w:rsid w:val="007103C4"/>
    <w:rsid w:val="00710BF7"/>
    <w:rsid w:val="00712A2A"/>
    <w:rsid w:val="00715051"/>
    <w:rsid w:val="00715A52"/>
    <w:rsid w:val="00717B9D"/>
    <w:rsid w:val="0072199C"/>
    <w:rsid w:val="00722C9F"/>
    <w:rsid w:val="00723817"/>
    <w:rsid w:val="00724D18"/>
    <w:rsid w:val="007253B8"/>
    <w:rsid w:val="0073352D"/>
    <w:rsid w:val="00736CD7"/>
    <w:rsid w:val="0073741F"/>
    <w:rsid w:val="0074182F"/>
    <w:rsid w:val="00742FFD"/>
    <w:rsid w:val="00746572"/>
    <w:rsid w:val="007502C3"/>
    <w:rsid w:val="007576DB"/>
    <w:rsid w:val="00763B5C"/>
    <w:rsid w:val="0076643F"/>
    <w:rsid w:val="00772C30"/>
    <w:rsid w:val="00773AEF"/>
    <w:rsid w:val="00777F63"/>
    <w:rsid w:val="007912F5"/>
    <w:rsid w:val="0079182E"/>
    <w:rsid w:val="00793F1C"/>
    <w:rsid w:val="007A0BAB"/>
    <w:rsid w:val="007A2848"/>
    <w:rsid w:val="007A5817"/>
    <w:rsid w:val="007B05C4"/>
    <w:rsid w:val="007B23C5"/>
    <w:rsid w:val="007B4A20"/>
    <w:rsid w:val="007B60E9"/>
    <w:rsid w:val="007B6595"/>
    <w:rsid w:val="007B6CC3"/>
    <w:rsid w:val="007B76D3"/>
    <w:rsid w:val="007B7D80"/>
    <w:rsid w:val="007C0D75"/>
    <w:rsid w:val="007C3334"/>
    <w:rsid w:val="007C470D"/>
    <w:rsid w:val="007C4753"/>
    <w:rsid w:val="007C6179"/>
    <w:rsid w:val="007D2B98"/>
    <w:rsid w:val="007E1139"/>
    <w:rsid w:val="007E21BC"/>
    <w:rsid w:val="007E6888"/>
    <w:rsid w:val="007E7C82"/>
    <w:rsid w:val="007F27FA"/>
    <w:rsid w:val="007F2AA1"/>
    <w:rsid w:val="007F588D"/>
    <w:rsid w:val="00803F1C"/>
    <w:rsid w:val="0080600E"/>
    <w:rsid w:val="0081222D"/>
    <w:rsid w:val="00814688"/>
    <w:rsid w:val="00817612"/>
    <w:rsid w:val="008267B6"/>
    <w:rsid w:val="00827EAA"/>
    <w:rsid w:val="008317B2"/>
    <w:rsid w:val="008338A4"/>
    <w:rsid w:val="00834D49"/>
    <w:rsid w:val="00837C45"/>
    <w:rsid w:val="00841CD0"/>
    <w:rsid w:val="00843224"/>
    <w:rsid w:val="0084449F"/>
    <w:rsid w:val="00844730"/>
    <w:rsid w:val="008457C2"/>
    <w:rsid w:val="00847126"/>
    <w:rsid w:val="00847D8A"/>
    <w:rsid w:val="00853C82"/>
    <w:rsid w:val="00857A82"/>
    <w:rsid w:val="008616BE"/>
    <w:rsid w:val="00861D65"/>
    <w:rsid w:val="00872CBE"/>
    <w:rsid w:val="00873836"/>
    <w:rsid w:val="00885737"/>
    <w:rsid w:val="008857CC"/>
    <w:rsid w:val="0088647F"/>
    <w:rsid w:val="00890650"/>
    <w:rsid w:val="00891A5F"/>
    <w:rsid w:val="008944DC"/>
    <w:rsid w:val="00895F48"/>
    <w:rsid w:val="00897E12"/>
    <w:rsid w:val="008A6E18"/>
    <w:rsid w:val="008A7E0F"/>
    <w:rsid w:val="008B12F5"/>
    <w:rsid w:val="008B5735"/>
    <w:rsid w:val="008C5E2D"/>
    <w:rsid w:val="008C6385"/>
    <w:rsid w:val="008D5FD1"/>
    <w:rsid w:val="008D768D"/>
    <w:rsid w:val="008E0A64"/>
    <w:rsid w:val="008E2546"/>
    <w:rsid w:val="008E3759"/>
    <w:rsid w:val="008E3BFE"/>
    <w:rsid w:val="008E497F"/>
    <w:rsid w:val="008E7EBB"/>
    <w:rsid w:val="008F0BA2"/>
    <w:rsid w:val="008F1912"/>
    <w:rsid w:val="008F507D"/>
    <w:rsid w:val="0090270B"/>
    <w:rsid w:val="009041DC"/>
    <w:rsid w:val="0090766C"/>
    <w:rsid w:val="00907E48"/>
    <w:rsid w:val="00917B5A"/>
    <w:rsid w:val="00920A58"/>
    <w:rsid w:val="00920A8C"/>
    <w:rsid w:val="00922651"/>
    <w:rsid w:val="00931F72"/>
    <w:rsid w:val="00934A2C"/>
    <w:rsid w:val="00941FE3"/>
    <w:rsid w:val="009579EB"/>
    <w:rsid w:val="00957C0E"/>
    <w:rsid w:val="009616C9"/>
    <w:rsid w:val="0096706E"/>
    <w:rsid w:val="00974312"/>
    <w:rsid w:val="00974491"/>
    <w:rsid w:val="00974B1B"/>
    <w:rsid w:val="00975C4E"/>
    <w:rsid w:val="00981FBA"/>
    <w:rsid w:val="00982364"/>
    <w:rsid w:val="00983F9D"/>
    <w:rsid w:val="009933A6"/>
    <w:rsid w:val="00997BC5"/>
    <w:rsid w:val="009A28AD"/>
    <w:rsid w:val="009A3F8A"/>
    <w:rsid w:val="009A4F41"/>
    <w:rsid w:val="009B381B"/>
    <w:rsid w:val="009D1753"/>
    <w:rsid w:val="009D2D7C"/>
    <w:rsid w:val="009D7611"/>
    <w:rsid w:val="009E0B61"/>
    <w:rsid w:val="009E2F30"/>
    <w:rsid w:val="009E53DE"/>
    <w:rsid w:val="009E5BCF"/>
    <w:rsid w:val="009E6012"/>
    <w:rsid w:val="009E7F46"/>
    <w:rsid w:val="00A004BB"/>
    <w:rsid w:val="00A11212"/>
    <w:rsid w:val="00A11E44"/>
    <w:rsid w:val="00A13543"/>
    <w:rsid w:val="00A149AB"/>
    <w:rsid w:val="00A14ECB"/>
    <w:rsid w:val="00A16FC8"/>
    <w:rsid w:val="00A21C0E"/>
    <w:rsid w:val="00A2573A"/>
    <w:rsid w:val="00A30100"/>
    <w:rsid w:val="00A316F8"/>
    <w:rsid w:val="00A328B3"/>
    <w:rsid w:val="00A34797"/>
    <w:rsid w:val="00A45A96"/>
    <w:rsid w:val="00A50FCF"/>
    <w:rsid w:val="00A528D1"/>
    <w:rsid w:val="00A54533"/>
    <w:rsid w:val="00A610CD"/>
    <w:rsid w:val="00A63196"/>
    <w:rsid w:val="00A651B9"/>
    <w:rsid w:val="00A758AA"/>
    <w:rsid w:val="00A84FD3"/>
    <w:rsid w:val="00AA09A2"/>
    <w:rsid w:val="00AA0C1A"/>
    <w:rsid w:val="00AA7996"/>
    <w:rsid w:val="00AB3141"/>
    <w:rsid w:val="00AC19CB"/>
    <w:rsid w:val="00AE5488"/>
    <w:rsid w:val="00AE6F91"/>
    <w:rsid w:val="00AF0434"/>
    <w:rsid w:val="00AF1AF9"/>
    <w:rsid w:val="00AF5571"/>
    <w:rsid w:val="00B0247A"/>
    <w:rsid w:val="00B07341"/>
    <w:rsid w:val="00B148A4"/>
    <w:rsid w:val="00B153E7"/>
    <w:rsid w:val="00B20C80"/>
    <w:rsid w:val="00B2227B"/>
    <w:rsid w:val="00B30539"/>
    <w:rsid w:val="00B314DB"/>
    <w:rsid w:val="00B361F2"/>
    <w:rsid w:val="00B3718B"/>
    <w:rsid w:val="00B3745F"/>
    <w:rsid w:val="00B44ED3"/>
    <w:rsid w:val="00B4632A"/>
    <w:rsid w:val="00B517D9"/>
    <w:rsid w:val="00B51CC4"/>
    <w:rsid w:val="00B52FF9"/>
    <w:rsid w:val="00B530F1"/>
    <w:rsid w:val="00B83158"/>
    <w:rsid w:val="00B8614D"/>
    <w:rsid w:val="00B924C4"/>
    <w:rsid w:val="00B93D7F"/>
    <w:rsid w:val="00B9799B"/>
    <w:rsid w:val="00BA2401"/>
    <w:rsid w:val="00BA276C"/>
    <w:rsid w:val="00BA27E4"/>
    <w:rsid w:val="00BA7FF7"/>
    <w:rsid w:val="00BB019D"/>
    <w:rsid w:val="00BB306F"/>
    <w:rsid w:val="00BB6B26"/>
    <w:rsid w:val="00BC6F07"/>
    <w:rsid w:val="00BD0FF5"/>
    <w:rsid w:val="00BD4B89"/>
    <w:rsid w:val="00BD5922"/>
    <w:rsid w:val="00BD7CEF"/>
    <w:rsid w:val="00BE3574"/>
    <w:rsid w:val="00BE609A"/>
    <w:rsid w:val="00BE6A53"/>
    <w:rsid w:val="00BF02CB"/>
    <w:rsid w:val="00BF4929"/>
    <w:rsid w:val="00BF6E78"/>
    <w:rsid w:val="00BF6FD8"/>
    <w:rsid w:val="00C03680"/>
    <w:rsid w:val="00C054DF"/>
    <w:rsid w:val="00C158DE"/>
    <w:rsid w:val="00C17796"/>
    <w:rsid w:val="00C21762"/>
    <w:rsid w:val="00C21FEF"/>
    <w:rsid w:val="00C23BA4"/>
    <w:rsid w:val="00C24543"/>
    <w:rsid w:val="00C256A2"/>
    <w:rsid w:val="00C25ADB"/>
    <w:rsid w:val="00C313E0"/>
    <w:rsid w:val="00C41B97"/>
    <w:rsid w:val="00C43094"/>
    <w:rsid w:val="00C44218"/>
    <w:rsid w:val="00C51515"/>
    <w:rsid w:val="00C5660B"/>
    <w:rsid w:val="00C56831"/>
    <w:rsid w:val="00C6294A"/>
    <w:rsid w:val="00C6501C"/>
    <w:rsid w:val="00C66B72"/>
    <w:rsid w:val="00C721DB"/>
    <w:rsid w:val="00C7545D"/>
    <w:rsid w:val="00C87AC4"/>
    <w:rsid w:val="00C9124E"/>
    <w:rsid w:val="00C9567A"/>
    <w:rsid w:val="00CA6517"/>
    <w:rsid w:val="00CA6CA0"/>
    <w:rsid w:val="00CA7538"/>
    <w:rsid w:val="00CB137C"/>
    <w:rsid w:val="00CB212D"/>
    <w:rsid w:val="00CB2532"/>
    <w:rsid w:val="00CB2660"/>
    <w:rsid w:val="00CB3748"/>
    <w:rsid w:val="00CC5E90"/>
    <w:rsid w:val="00CC775F"/>
    <w:rsid w:val="00CC7F32"/>
    <w:rsid w:val="00CD046C"/>
    <w:rsid w:val="00CE0487"/>
    <w:rsid w:val="00CE076C"/>
    <w:rsid w:val="00CE206C"/>
    <w:rsid w:val="00CE255C"/>
    <w:rsid w:val="00CE5199"/>
    <w:rsid w:val="00CE5A0E"/>
    <w:rsid w:val="00CE63AA"/>
    <w:rsid w:val="00CE66D5"/>
    <w:rsid w:val="00CF637A"/>
    <w:rsid w:val="00CF7CB1"/>
    <w:rsid w:val="00D059DE"/>
    <w:rsid w:val="00D05ABD"/>
    <w:rsid w:val="00D075F4"/>
    <w:rsid w:val="00D13FCE"/>
    <w:rsid w:val="00D239C8"/>
    <w:rsid w:val="00D306D1"/>
    <w:rsid w:val="00D30800"/>
    <w:rsid w:val="00D30A89"/>
    <w:rsid w:val="00D335F4"/>
    <w:rsid w:val="00D34786"/>
    <w:rsid w:val="00D36CE6"/>
    <w:rsid w:val="00D37BFC"/>
    <w:rsid w:val="00D4202E"/>
    <w:rsid w:val="00D471A2"/>
    <w:rsid w:val="00D47A8E"/>
    <w:rsid w:val="00D52D14"/>
    <w:rsid w:val="00D60E7A"/>
    <w:rsid w:val="00D64156"/>
    <w:rsid w:val="00D712D3"/>
    <w:rsid w:val="00D71422"/>
    <w:rsid w:val="00D72DC6"/>
    <w:rsid w:val="00D7558D"/>
    <w:rsid w:val="00D76D5F"/>
    <w:rsid w:val="00D779B7"/>
    <w:rsid w:val="00D81D92"/>
    <w:rsid w:val="00D876F9"/>
    <w:rsid w:val="00D92F63"/>
    <w:rsid w:val="00DA5B75"/>
    <w:rsid w:val="00DA7B5F"/>
    <w:rsid w:val="00DC11E7"/>
    <w:rsid w:val="00DC2409"/>
    <w:rsid w:val="00DC24E3"/>
    <w:rsid w:val="00DC7023"/>
    <w:rsid w:val="00DC753B"/>
    <w:rsid w:val="00DC769A"/>
    <w:rsid w:val="00DD3D86"/>
    <w:rsid w:val="00DD4AD2"/>
    <w:rsid w:val="00DE0A58"/>
    <w:rsid w:val="00DE1C84"/>
    <w:rsid w:val="00DE2862"/>
    <w:rsid w:val="00DE290F"/>
    <w:rsid w:val="00DF1EC4"/>
    <w:rsid w:val="00E02CCA"/>
    <w:rsid w:val="00E0340B"/>
    <w:rsid w:val="00E04A90"/>
    <w:rsid w:val="00E0551F"/>
    <w:rsid w:val="00E07189"/>
    <w:rsid w:val="00E07BEB"/>
    <w:rsid w:val="00E12EC4"/>
    <w:rsid w:val="00E219C7"/>
    <w:rsid w:val="00E2321A"/>
    <w:rsid w:val="00E25C8F"/>
    <w:rsid w:val="00E34E6B"/>
    <w:rsid w:val="00E36CE4"/>
    <w:rsid w:val="00E40E47"/>
    <w:rsid w:val="00E4118C"/>
    <w:rsid w:val="00E43157"/>
    <w:rsid w:val="00E461CE"/>
    <w:rsid w:val="00E47B9C"/>
    <w:rsid w:val="00E504C6"/>
    <w:rsid w:val="00E573E4"/>
    <w:rsid w:val="00E5784D"/>
    <w:rsid w:val="00E64C3D"/>
    <w:rsid w:val="00E720CA"/>
    <w:rsid w:val="00E80E53"/>
    <w:rsid w:val="00E81AFB"/>
    <w:rsid w:val="00E84EB5"/>
    <w:rsid w:val="00E85662"/>
    <w:rsid w:val="00E8789F"/>
    <w:rsid w:val="00E8795E"/>
    <w:rsid w:val="00E97B71"/>
    <w:rsid w:val="00EA3D34"/>
    <w:rsid w:val="00EB454D"/>
    <w:rsid w:val="00EB77C7"/>
    <w:rsid w:val="00EB7F22"/>
    <w:rsid w:val="00EC0BB7"/>
    <w:rsid w:val="00EC1A95"/>
    <w:rsid w:val="00EC7FB3"/>
    <w:rsid w:val="00ED549D"/>
    <w:rsid w:val="00ED5B0B"/>
    <w:rsid w:val="00ED5E10"/>
    <w:rsid w:val="00ED6484"/>
    <w:rsid w:val="00ED76BE"/>
    <w:rsid w:val="00EE00E9"/>
    <w:rsid w:val="00EE0381"/>
    <w:rsid w:val="00EE36C0"/>
    <w:rsid w:val="00EE47E5"/>
    <w:rsid w:val="00EF1AAA"/>
    <w:rsid w:val="00EF5915"/>
    <w:rsid w:val="00EF619B"/>
    <w:rsid w:val="00F00B55"/>
    <w:rsid w:val="00F02249"/>
    <w:rsid w:val="00F02AD1"/>
    <w:rsid w:val="00F049A2"/>
    <w:rsid w:val="00F17870"/>
    <w:rsid w:val="00F253CC"/>
    <w:rsid w:val="00F37106"/>
    <w:rsid w:val="00F44E25"/>
    <w:rsid w:val="00F470FB"/>
    <w:rsid w:val="00F519CF"/>
    <w:rsid w:val="00F56BA5"/>
    <w:rsid w:val="00F60C89"/>
    <w:rsid w:val="00F60E22"/>
    <w:rsid w:val="00F77C3C"/>
    <w:rsid w:val="00F80D59"/>
    <w:rsid w:val="00F81395"/>
    <w:rsid w:val="00F81BB8"/>
    <w:rsid w:val="00F8227D"/>
    <w:rsid w:val="00F825A3"/>
    <w:rsid w:val="00F90C64"/>
    <w:rsid w:val="00F917D1"/>
    <w:rsid w:val="00F9653B"/>
    <w:rsid w:val="00F968DE"/>
    <w:rsid w:val="00FA1C6C"/>
    <w:rsid w:val="00FA5B5F"/>
    <w:rsid w:val="00FB08B6"/>
    <w:rsid w:val="00FB62CF"/>
    <w:rsid w:val="00FC6219"/>
    <w:rsid w:val="00FD3C3B"/>
    <w:rsid w:val="00FE07DD"/>
    <w:rsid w:val="00FE4F30"/>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9579EB"/>
    <w:rPr>
      <w:sz w:val="16"/>
      <w:szCs w:val="16"/>
    </w:rPr>
  </w:style>
  <w:style w:type="paragraph" w:styleId="CommentText">
    <w:name w:val="annotation text"/>
    <w:basedOn w:val="Normal"/>
    <w:link w:val="CommentTextChar"/>
    <w:uiPriority w:val="99"/>
    <w:unhideWhenUsed/>
    <w:rsid w:val="009579EB"/>
    <w:rPr>
      <w:sz w:val="20"/>
      <w:szCs w:val="20"/>
    </w:rPr>
  </w:style>
  <w:style w:type="character" w:customStyle="1" w:styleId="CommentTextChar">
    <w:name w:val="Comment Text Char"/>
    <w:basedOn w:val="DefaultParagraphFont"/>
    <w:link w:val="CommentText"/>
    <w:uiPriority w:val="99"/>
    <w:rsid w:val="009579EB"/>
    <w:rPr>
      <w:lang w:val="en-US" w:eastAsia="en-US"/>
    </w:rPr>
  </w:style>
  <w:style w:type="paragraph" w:styleId="CommentSubject">
    <w:name w:val="annotation subject"/>
    <w:basedOn w:val="CommentText"/>
    <w:next w:val="CommentText"/>
    <w:link w:val="CommentSubjectChar"/>
    <w:uiPriority w:val="99"/>
    <w:semiHidden/>
    <w:unhideWhenUsed/>
    <w:rsid w:val="009579EB"/>
    <w:rPr>
      <w:b/>
      <w:bCs/>
    </w:rPr>
  </w:style>
  <w:style w:type="character" w:customStyle="1" w:styleId="CommentSubjectChar">
    <w:name w:val="Comment Subject Char"/>
    <w:basedOn w:val="CommentTextChar"/>
    <w:link w:val="CommentSubject"/>
    <w:uiPriority w:val="99"/>
    <w:semiHidden/>
    <w:rsid w:val="009579EB"/>
    <w:rPr>
      <w:b/>
      <w:bCs/>
      <w:lang w:val="en-US" w:eastAsia="en-US"/>
    </w:rPr>
  </w:style>
  <w:style w:type="character" w:styleId="PlaceholderText">
    <w:name w:val="Placeholder Text"/>
    <w:basedOn w:val="DefaultParagraphFont"/>
    <w:uiPriority w:val="99"/>
    <w:semiHidden/>
    <w:rsid w:val="00B153E7"/>
    <w:rPr>
      <w:color w:val="808080"/>
    </w:rPr>
  </w:style>
  <w:style w:type="character" w:customStyle="1" w:styleId="normaltextrun">
    <w:name w:val="normaltextrun"/>
    <w:basedOn w:val="DefaultParagraphFont"/>
    <w:rsid w:val="00EB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9732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1658105">
      <w:bodyDiv w:val="1"/>
      <w:marLeft w:val="0"/>
      <w:marRight w:val="0"/>
      <w:marTop w:val="0"/>
      <w:marBottom w:val="0"/>
      <w:divBdr>
        <w:top w:val="none" w:sz="0" w:space="0" w:color="auto"/>
        <w:left w:val="none" w:sz="0" w:space="0" w:color="auto"/>
        <w:bottom w:val="none" w:sz="0" w:space="0" w:color="auto"/>
        <w:right w:val="none" w:sz="0" w:space="0" w:color="auto"/>
      </w:divBdr>
    </w:div>
    <w:div w:id="168154647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9537584">
      <w:bodyDiv w:val="1"/>
      <w:marLeft w:val="0"/>
      <w:marRight w:val="0"/>
      <w:marTop w:val="0"/>
      <w:marBottom w:val="0"/>
      <w:divBdr>
        <w:top w:val="none" w:sz="0" w:space="0" w:color="auto"/>
        <w:left w:val="none" w:sz="0" w:space="0" w:color="auto"/>
        <w:bottom w:val="none" w:sz="0" w:space="0" w:color="auto"/>
        <w:right w:val="none" w:sz="0" w:space="0" w:color="auto"/>
      </w:divBdr>
    </w:div>
    <w:div w:id="211388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925EB"/>
    <w:rsid w:val="00200821"/>
    <w:rsid w:val="0025245B"/>
    <w:rsid w:val="002A3923"/>
    <w:rsid w:val="002A48B5"/>
    <w:rsid w:val="002F6A04"/>
    <w:rsid w:val="00394049"/>
    <w:rsid w:val="003B0C71"/>
    <w:rsid w:val="004B5BBB"/>
    <w:rsid w:val="004F2DF8"/>
    <w:rsid w:val="00503DB2"/>
    <w:rsid w:val="00517E2A"/>
    <w:rsid w:val="00541C03"/>
    <w:rsid w:val="005975DF"/>
    <w:rsid w:val="005A5658"/>
    <w:rsid w:val="006A3682"/>
    <w:rsid w:val="006D12AA"/>
    <w:rsid w:val="006F24A1"/>
    <w:rsid w:val="00747C25"/>
    <w:rsid w:val="00800926"/>
    <w:rsid w:val="00875B8A"/>
    <w:rsid w:val="008E5251"/>
    <w:rsid w:val="00956A78"/>
    <w:rsid w:val="009A261B"/>
    <w:rsid w:val="009F445E"/>
    <w:rsid w:val="00AA2E17"/>
    <w:rsid w:val="00AC15A4"/>
    <w:rsid w:val="00B0336C"/>
    <w:rsid w:val="00C71D26"/>
    <w:rsid w:val="00CA4D00"/>
    <w:rsid w:val="00D241E9"/>
    <w:rsid w:val="00D66084"/>
    <w:rsid w:val="00D7750D"/>
    <w:rsid w:val="00E803F7"/>
    <w:rsid w:val="00EB104D"/>
    <w:rsid w:val="00F00D2F"/>
    <w:rsid w:val="00F128DF"/>
    <w:rsid w:val="00F556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3877</Words>
  <Characters>22105</Characters>
  <Application>Microsoft Office Word</Application>
  <DocSecurity>0</DocSecurity>
  <Lines>184</Lines>
  <Paragraphs>51</Paragraphs>
  <ScaleCrop>false</ScaleCrop>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2024-01-02T20:42:00Z</dcterms:created>
  <dcterms:modified xsi:type="dcterms:W3CDTF">2024-01-02T20:43:00Z</dcterms:modified>
</cp:coreProperties>
</file>