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D249" w14:textId="77777777" w:rsidR="00606BFA" w:rsidRPr="00E81C43" w:rsidRDefault="00606BFA">
      <w:pPr>
        <w:spacing w:after="0" w:line="240" w:lineRule="auto"/>
        <w:jc w:val="right"/>
        <w:rPr>
          <w:rFonts w:ascii="Cambria" w:hAnsi="Cambria" w:cs="Calibri"/>
          <w:color w:val="000000"/>
          <w:sz w:val="20"/>
          <w:lang w:val="pt-BR"/>
        </w:rPr>
      </w:pPr>
    </w:p>
    <w:p w14:paraId="28ED25AB" w14:textId="77777777" w:rsidR="00606BFA" w:rsidRPr="00E81C43" w:rsidRDefault="00606BFA">
      <w:pPr>
        <w:spacing w:after="0" w:line="240" w:lineRule="auto"/>
        <w:jc w:val="right"/>
        <w:rPr>
          <w:rFonts w:ascii="Cambria" w:hAnsi="Cambria" w:cs="Calibri"/>
          <w:color w:val="000000"/>
          <w:sz w:val="20"/>
          <w:lang w:val="pt-BR"/>
        </w:rPr>
      </w:pPr>
    </w:p>
    <w:p w14:paraId="2CCAE139" w14:textId="77777777" w:rsidR="00606BFA" w:rsidRPr="00E81C43" w:rsidRDefault="00606BFA">
      <w:pPr>
        <w:spacing w:after="0" w:line="240" w:lineRule="auto"/>
        <w:jc w:val="right"/>
        <w:rPr>
          <w:rFonts w:ascii="Cambria" w:hAnsi="Cambria" w:cs="Calibri"/>
          <w:color w:val="000000"/>
          <w:sz w:val="20"/>
          <w:lang w:val="pt-BR"/>
        </w:rPr>
      </w:pPr>
    </w:p>
    <w:p w14:paraId="7E2F01D9" w14:textId="77777777" w:rsidR="00606BFA" w:rsidRPr="00E81C43" w:rsidRDefault="00F2331B">
      <w:pPr>
        <w:pStyle w:val="P68B1DB1-Normal1"/>
        <w:spacing w:after="0" w:line="240" w:lineRule="auto"/>
        <w:jc w:val="right"/>
        <w:rPr>
          <w:lang w:val="pt-BR"/>
        </w:rPr>
      </w:pPr>
      <w:r w:rsidRPr="00E81C43">
        <w:rPr>
          <w:lang w:val="pt-BR"/>
        </w:rPr>
        <w:t>5 de janeiro de 2022</w:t>
      </w:r>
    </w:p>
    <w:p w14:paraId="6C66E03C" w14:textId="77777777" w:rsidR="00606BFA" w:rsidRPr="00E81C43" w:rsidRDefault="00606BFA">
      <w:pPr>
        <w:spacing w:after="0" w:line="240" w:lineRule="auto"/>
        <w:jc w:val="right"/>
        <w:rPr>
          <w:rFonts w:ascii="Cambria" w:hAnsi="Cambria" w:cs="Calibri"/>
          <w:color w:val="000000"/>
          <w:sz w:val="20"/>
          <w:lang w:val="pt-BR"/>
        </w:rPr>
      </w:pPr>
    </w:p>
    <w:p w14:paraId="41B5481F" w14:textId="77777777" w:rsidR="00606BFA" w:rsidRPr="00E81C43" w:rsidRDefault="00606BFA">
      <w:pPr>
        <w:spacing w:after="0" w:line="240" w:lineRule="auto"/>
        <w:jc w:val="right"/>
        <w:rPr>
          <w:rFonts w:ascii="Cambria" w:hAnsi="Cambria" w:cs="Calibri"/>
          <w:color w:val="000000"/>
          <w:sz w:val="20"/>
          <w:lang w:val="pt-BR"/>
        </w:rPr>
      </w:pPr>
    </w:p>
    <w:p w14:paraId="629C9D82" w14:textId="34D44B88" w:rsidR="00606BFA" w:rsidRPr="00E81C43" w:rsidRDefault="00F2331B">
      <w:pPr>
        <w:pStyle w:val="P68B1DB1-Normal2"/>
        <w:spacing w:after="0" w:line="240" w:lineRule="auto"/>
        <w:jc w:val="both"/>
        <w:rPr>
          <w:lang w:val="pt-BR"/>
        </w:rPr>
      </w:pPr>
      <w:r w:rsidRPr="00E81C43">
        <w:rPr>
          <w:lang w:val="pt-BR"/>
        </w:rPr>
        <w:t>REF.:</w:t>
      </w:r>
      <w:bookmarkStart w:id="0" w:name="Peticion_n"/>
      <w:bookmarkEnd w:id="0"/>
      <w:r w:rsidR="00E81C43">
        <w:rPr>
          <w:lang w:val="pt-BR"/>
        </w:rPr>
        <w:tab/>
      </w:r>
      <w:r w:rsidRPr="00E81C43">
        <w:rPr>
          <w:lang w:val="pt-BR"/>
        </w:rPr>
        <w:t>Caso nº 12.569</w:t>
      </w:r>
    </w:p>
    <w:p w14:paraId="2D5372AC" w14:textId="77777777" w:rsidR="00606BFA" w:rsidRPr="00E81C43" w:rsidRDefault="00F2331B">
      <w:pPr>
        <w:pStyle w:val="P68B1DB1-Normal2"/>
        <w:tabs>
          <w:tab w:val="left" w:pos="7165"/>
        </w:tabs>
        <w:spacing w:after="0" w:line="240" w:lineRule="auto"/>
        <w:ind w:firstLine="720"/>
        <w:jc w:val="both"/>
        <w:rPr>
          <w:lang w:val="pt-BR"/>
        </w:rPr>
      </w:pPr>
      <w:r w:rsidRPr="00E81C43">
        <w:rPr>
          <w:lang w:val="pt-BR"/>
        </w:rPr>
        <w:t xml:space="preserve">Comunidades Quilombolas de Alcântara </w:t>
      </w:r>
    </w:p>
    <w:p w14:paraId="75630048" w14:textId="77777777" w:rsidR="00606BFA" w:rsidRPr="00E81C43" w:rsidRDefault="00F2331B">
      <w:pPr>
        <w:pStyle w:val="P68B1DB1-Normal2"/>
        <w:tabs>
          <w:tab w:val="left" w:pos="7165"/>
        </w:tabs>
        <w:spacing w:after="0" w:line="240" w:lineRule="auto"/>
        <w:ind w:firstLine="720"/>
        <w:jc w:val="both"/>
        <w:rPr>
          <w:lang w:val="pt-BR"/>
        </w:rPr>
      </w:pPr>
      <w:r w:rsidRPr="00E81C43">
        <w:rPr>
          <w:lang w:val="pt-BR"/>
        </w:rPr>
        <w:t>Brasil</w:t>
      </w:r>
    </w:p>
    <w:p w14:paraId="720EB527" w14:textId="77777777" w:rsidR="00606BFA" w:rsidRPr="00E81C43" w:rsidRDefault="00606BFA">
      <w:pPr>
        <w:tabs>
          <w:tab w:val="left" w:pos="7165"/>
        </w:tabs>
        <w:spacing w:after="0" w:line="240" w:lineRule="auto"/>
        <w:ind w:firstLine="720"/>
        <w:jc w:val="both"/>
        <w:rPr>
          <w:rFonts w:ascii="Cambria" w:hAnsi="Cambria" w:cs="Calibri"/>
          <w:b/>
          <w:color w:val="000000"/>
          <w:sz w:val="20"/>
          <w:lang w:val="pt-BR"/>
        </w:rPr>
      </w:pPr>
    </w:p>
    <w:p w14:paraId="394881B2" w14:textId="77777777" w:rsidR="00606BFA" w:rsidRPr="00E81C43" w:rsidRDefault="00606BFA">
      <w:pPr>
        <w:tabs>
          <w:tab w:val="left" w:pos="7165"/>
        </w:tabs>
        <w:spacing w:after="0" w:line="240" w:lineRule="auto"/>
        <w:ind w:firstLine="720"/>
        <w:jc w:val="both"/>
        <w:rPr>
          <w:rFonts w:ascii="Cambria" w:hAnsi="Cambria" w:cs="Calibri"/>
          <w:b/>
          <w:color w:val="000000"/>
          <w:sz w:val="20"/>
          <w:lang w:val="pt-BR"/>
        </w:rPr>
      </w:pPr>
    </w:p>
    <w:p w14:paraId="2DA44C20" w14:textId="77777777" w:rsidR="00606BFA" w:rsidRPr="00E81C43" w:rsidRDefault="00F2331B">
      <w:pPr>
        <w:pStyle w:val="P68B1DB1-Normal1"/>
        <w:spacing w:after="0" w:line="240" w:lineRule="auto"/>
        <w:jc w:val="both"/>
        <w:rPr>
          <w:lang w:val="pt-BR"/>
        </w:rPr>
      </w:pPr>
      <w:r w:rsidRPr="00E81C43">
        <w:rPr>
          <w:lang w:val="pt-BR"/>
        </w:rPr>
        <w:t>Sr. Secretário:</w:t>
      </w:r>
    </w:p>
    <w:p w14:paraId="130945E3" w14:textId="77777777" w:rsidR="00606BFA" w:rsidRPr="00E81C43" w:rsidRDefault="00606BFA">
      <w:pPr>
        <w:spacing w:after="0" w:line="240" w:lineRule="auto"/>
        <w:jc w:val="both"/>
        <w:rPr>
          <w:rFonts w:ascii="Cambria" w:hAnsi="Cambria" w:cs="Calibri"/>
          <w:color w:val="000000"/>
          <w:sz w:val="20"/>
          <w:lang w:val="pt-BR"/>
        </w:rPr>
      </w:pPr>
    </w:p>
    <w:p w14:paraId="65CADC45" w14:textId="4F6276B9" w:rsidR="00606BFA" w:rsidRPr="00E81C43" w:rsidRDefault="00E81C43">
      <w:pPr>
        <w:pStyle w:val="parrafos"/>
        <w:tabs>
          <w:tab w:val="left" w:pos="360"/>
        </w:tabs>
        <w:rPr>
          <w:lang w:val="pt-BR"/>
        </w:rPr>
      </w:pPr>
      <w:r>
        <w:rPr>
          <w:rFonts w:cs="Calibri"/>
          <w:lang w:val="pt-BR"/>
        </w:rPr>
        <w:tab/>
      </w:r>
      <w:r w:rsidR="00F2331B" w:rsidRPr="00E81C43">
        <w:rPr>
          <w:rFonts w:cs="Calibri"/>
          <w:lang w:val="pt-BR"/>
        </w:rPr>
        <w:t xml:space="preserve">Tenho o prazer de me dirigir ao senhor, em nome da Comissão Interamericana de Direitos Humanos, a fim de submeter à jurisdição da Ilustre Corte Interamericana de Direitos Humanos, o Caso </w:t>
      </w:r>
      <w:bookmarkStart w:id="1" w:name="Peticion_n1"/>
      <w:bookmarkEnd w:id="1"/>
      <w:r w:rsidR="00F2331B" w:rsidRPr="00E81C43">
        <w:rPr>
          <w:rFonts w:cs="Calibri"/>
          <w:lang w:val="pt-BR"/>
        </w:rPr>
        <w:t xml:space="preserve">12.569 – </w:t>
      </w:r>
      <w:r w:rsidR="00F2331B" w:rsidRPr="00E81C43">
        <w:rPr>
          <w:lang w:val="pt-BR"/>
        </w:rPr>
        <w:t>Comunidades Quilombolas de Alcântara</w:t>
      </w:r>
      <w:r w:rsidR="00F2331B" w:rsidRPr="00E81C43">
        <w:rPr>
          <w:rFonts w:cs="Calibri"/>
          <w:lang w:val="pt-BR"/>
        </w:rPr>
        <w:t xml:space="preserve">, da República Federativa do Brasil (doravante “Estado do Brasil”, “Estado Brasileiro” ou “Brasil”). O caso diz respeito à </w:t>
      </w:r>
      <w:r w:rsidR="00F2331B" w:rsidRPr="00E81C43">
        <w:rPr>
          <w:lang w:val="pt-BR"/>
        </w:rPr>
        <w:t xml:space="preserve">responsabilidade internacional do Brasil por afetar o patrimônio coletivo de 152 comunidades Quilombolas de Alcântara, em razão da falta de emissão de títulos de propriedade de suas terras, da instalação de uma base aeroespacial sem a devida consulta e consentimento prévio, da desapropriação de suas terras e territórios e da falta de recursos judiciais para remediar tal situação. </w:t>
      </w:r>
    </w:p>
    <w:p w14:paraId="327135DC" w14:textId="77777777" w:rsidR="00606BFA" w:rsidRPr="00E81C43" w:rsidRDefault="00606BFA">
      <w:pPr>
        <w:pStyle w:val="parrafos"/>
        <w:tabs>
          <w:tab w:val="left" w:pos="360"/>
        </w:tabs>
        <w:rPr>
          <w:lang w:val="pt-BR"/>
        </w:rPr>
      </w:pPr>
    </w:p>
    <w:p w14:paraId="3C2BF6E3" w14:textId="0F717AA4" w:rsidR="00606BFA" w:rsidRPr="00E81C43" w:rsidRDefault="00E81C43">
      <w:pPr>
        <w:pStyle w:val="parrafos"/>
        <w:tabs>
          <w:tab w:val="left" w:pos="360"/>
        </w:tabs>
        <w:rPr>
          <w:lang w:val="pt-BR"/>
        </w:rPr>
      </w:pPr>
      <w:r>
        <w:rPr>
          <w:lang w:val="pt-BR"/>
        </w:rPr>
        <w:tab/>
      </w:r>
      <w:r w:rsidR="00F2331B" w:rsidRPr="00E81C43">
        <w:rPr>
          <w:lang w:val="pt-BR"/>
        </w:rPr>
        <w:t>As comunidades quilombolas são comunidades tradicionais que possuem cultura, formas de comunicação e regras internas próprias. São 152 comunidades quilombolas localizadas no município de Alcântara, a 22 quilômetros da cidade de São Luís, capital do estado do Maranhão, na região nordeste do Brasil. A maioria dos habitantes de Alcântara são descendentes de indígenas e africanos escravizados desde o século XVII. As comunidades que reivindicam as terras e territórios tradicionais de aproximadamente 85.537 hectares formam uma unidade composta por uma rede de aldeias baseada na interdependência e reciprocidade.</w:t>
      </w:r>
    </w:p>
    <w:p w14:paraId="7DAB449E" w14:textId="77777777" w:rsidR="00606BFA" w:rsidRPr="00E81C43" w:rsidRDefault="00606BFA">
      <w:pPr>
        <w:pStyle w:val="parrafos"/>
        <w:tabs>
          <w:tab w:val="left" w:pos="360"/>
        </w:tabs>
        <w:rPr>
          <w:lang w:val="pt-BR"/>
        </w:rPr>
      </w:pPr>
    </w:p>
    <w:p w14:paraId="2E745FA7" w14:textId="0F7A9A7B" w:rsidR="00606BFA" w:rsidRPr="00E81C43" w:rsidRDefault="00E81C43">
      <w:pPr>
        <w:pStyle w:val="parrafos"/>
        <w:tabs>
          <w:tab w:val="left" w:pos="360"/>
        </w:tabs>
        <w:rPr>
          <w:lang w:val="pt-BR"/>
        </w:rPr>
      </w:pPr>
      <w:r>
        <w:rPr>
          <w:lang w:val="pt-BR"/>
        </w:rPr>
        <w:tab/>
      </w:r>
      <w:r w:rsidR="00F2331B" w:rsidRPr="00E81C43">
        <w:rPr>
          <w:lang w:val="pt-BR"/>
        </w:rPr>
        <w:t>Em 12 de setembro de 1980, por meio do Decreto nº. 7.820, foi declarada a "utilidade pública" de uma área de 52.000 hectares em parte do território habitado por 32 comunidades quilombolas; o Estado brasileiro expropriou tais hectares e deu início à criação do Centro de Lançamento de Alcântara (CLA), cujo objetivo era desenvolver um programa espacial nacional. Essas comunidades quilombolas foram reassentadas em sete agrovilas. Antes do reassentamento, o Estado não lhes concedeu títulos de propriedade de suas terras e territórios. Após a instalação do CLA, o Estado adotou uma série de decisões visando sua expansão, consolidação e desenvolvimento, inclusive firmando diversos acordos comerciais com terceiros Estados.</w:t>
      </w:r>
    </w:p>
    <w:p w14:paraId="4186660E" w14:textId="77777777" w:rsidR="00606BFA" w:rsidRPr="00E81C43" w:rsidRDefault="00606BFA">
      <w:pPr>
        <w:pStyle w:val="parrafos"/>
        <w:tabs>
          <w:tab w:val="left" w:pos="360"/>
        </w:tabs>
        <w:rPr>
          <w:lang w:val="pt-BR"/>
        </w:rPr>
      </w:pPr>
    </w:p>
    <w:p w14:paraId="5C05FF80" w14:textId="6D851D4C" w:rsidR="00606BFA" w:rsidRPr="00E81C43" w:rsidRDefault="00E81C43">
      <w:pPr>
        <w:pStyle w:val="CommentText"/>
        <w:tabs>
          <w:tab w:val="left" w:pos="360"/>
          <w:tab w:val="left" w:pos="450"/>
        </w:tabs>
        <w:spacing w:after="0" w:line="240" w:lineRule="auto"/>
        <w:jc w:val="both"/>
        <w:rPr>
          <w:rFonts w:ascii="Cambria" w:eastAsia="Arial Unicode MS" w:hAnsi="Cambria"/>
          <w:bdr w:val="nil"/>
          <w:lang w:val="pt-BR"/>
        </w:rPr>
      </w:pPr>
      <w:r>
        <w:rPr>
          <w:rFonts w:ascii="Cambria" w:hAnsi="Cambria"/>
          <w:lang w:val="pt-BR"/>
        </w:rPr>
        <w:tab/>
      </w:r>
      <w:r w:rsidR="00F2331B" w:rsidRPr="00E81C43">
        <w:rPr>
          <w:rFonts w:ascii="Cambria" w:hAnsi="Cambria"/>
          <w:lang w:val="pt-BR"/>
        </w:rPr>
        <w:t xml:space="preserve">Em seu Relatório de Mérito, a Comissão observou, em primeiro lugar, </w:t>
      </w:r>
      <w:r w:rsidR="00F2331B" w:rsidRPr="00E81C43">
        <w:rPr>
          <w:rFonts w:ascii="Cambria" w:eastAsia="Arial Unicode MS" w:hAnsi="Cambria"/>
          <w:bdr w:val="nil"/>
          <w:lang w:val="pt-BR"/>
        </w:rPr>
        <w:t xml:space="preserve">que, com a instalação do CLA na década de </w:t>
      </w:r>
      <w:r w:rsidR="00F2331B" w:rsidRPr="00E81C43">
        <w:rPr>
          <w:rFonts w:ascii="Cambria" w:hAnsi="Cambria"/>
          <w:lang w:val="pt-BR"/>
        </w:rPr>
        <w:t>19</w:t>
      </w:r>
      <w:r w:rsidR="00F2331B" w:rsidRPr="00E81C43">
        <w:rPr>
          <w:rFonts w:ascii="Cambria" w:eastAsia="Arial Unicode MS" w:hAnsi="Cambria"/>
          <w:bdr w:val="nil"/>
          <w:lang w:val="pt-BR"/>
        </w:rPr>
        <w:t xml:space="preserve">80, 32 comunidades quilombolas foram despejadas, enquanto o restante das comunidades continuaria em seus territórios tradicionais.  Portanto, em seu Relatório, a Comissão analisou a responsabilidade internacional do Estado em relação às comunidades não reassentadas e às comunidades reassentadas. </w:t>
      </w:r>
    </w:p>
    <w:p w14:paraId="6D27B839" w14:textId="77777777" w:rsidR="00606BFA" w:rsidRPr="00E81C43" w:rsidRDefault="00606BFA">
      <w:pPr>
        <w:tabs>
          <w:tab w:val="left" w:pos="360"/>
          <w:tab w:val="left" w:pos="450"/>
        </w:tabs>
        <w:spacing w:after="0" w:line="240" w:lineRule="auto"/>
        <w:jc w:val="both"/>
        <w:rPr>
          <w:rFonts w:ascii="Cambria" w:eastAsia="Arial Unicode MS" w:hAnsi="Cambria"/>
          <w:sz w:val="20"/>
          <w:bdr w:val="nil"/>
          <w:lang w:val="pt-BR"/>
        </w:rPr>
      </w:pPr>
    </w:p>
    <w:p w14:paraId="27D36409" w14:textId="77777777" w:rsidR="00606BFA" w:rsidRPr="00E81C43" w:rsidRDefault="00606BFA">
      <w:pPr>
        <w:tabs>
          <w:tab w:val="left" w:pos="360"/>
          <w:tab w:val="left" w:pos="450"/>
        </w:tabs>
        <w:spacing w:after="0" w:line="240" w:lineRule="auto"/>
        <w:jc w:val="both"/>
        <w:rPr>
          <w:rFonts w:ascii="Cambria" w:eastAsia="Arial Unicode MS" w:hAnsi="Cambria"/>
          <w:sz w:val="20"/>
          <w:bdr w:val="nil"/>
          <w:lang w:val="pt-BR"/>
        </w:rPr>
      </w:pPr>
    </w:p>
    <w:p w14:paraId="73B17486" w14:textId="77777777" w:rsidR="00606BFA" w:rsidRPr="00E81C43" w:rsidRDefault="00606BFA">
      <w:pPr>
        <w:tabs>
          <w:tab w:val="left" w:pos="360"/>
          <w:tab w:val="left" w:pos="450"/>
        </w:tabs>
        <w:spacing w:after="0" w:line="240" w:lineRule="auto"/>
        <w:jc w:val="both"/>
        <w:rPr>
          <w:rFonts w:ascii="Cambria" w:eastAsia="Arial Unicode MS" w:hAnsi="Cambria"/>
          <w:sz w:val="20"/>
          <w:bdr w:val="nil"/>
          <w:lang w:val="pt-BR"/>
        </w:rPr>
      </w:pPr>
    </w:p>
    <w:p w14:paraId="79D02EEA" w14:textId="77777777" w:rsidR="00606BFA" w:rsidRPr="00E81C43" w:rsidRDefault="00606BFA">
      <w:pPr>
        <w:tabs>
          <w:tab w:val="left" w:pos="360"/>
          <w:tab w:val="left" w:pos="450"/>
        </w:tabs>
        <w:spacing w:after="0" w:line="240" w:lineRule="auto"/>
        <w:jc w:val="both"/>
        <w:rPr>
          <w:rFonts w:ascii="Cambria" w:eastAsia="Arial Unicode MS" w:hAnsi="Cambria"/>
          <w:sz w:val="20"/>
          <w:bdr w:val="nil"/>
          <w:lang w:val="pt-BR"/>
        </w:rPr>
      </w:pPr>
    </w:p>
    <w:p w14:paraId="42A4B920" w14:textId="77777777" w:rsidR="00606BFA" w:rsidRPr="00E81C43" w:rsidRDefault="00F2331B">
      <w:pPr>
        <w:pStyle w:val="P68B1DB1-Normal1"/>
        <w:spacing w:after="0" w:line="240" w:lineRule="auto"/>
        <w:jc w:val="both"/>
        <w:rPr>
          <w:lang w:val="pt-BR"/>
        </w:rPr>
      </w:pPr>
      <w:r w:rsidRPr="00E81C43">
        <w:rPr>
          <w:lang w:val="pt-BR"/>
        </w:rPr>
        <w:t>Senhor</w:t>
      </w:r>
    </w:p>
    <w:p w14:paraId="445ECCAD" w14:textId="77777777" w:rsidR="00606BFA" w:rsidRPr="00E81C43" w:rsidRDefault="00F2331B">
      <w:pPr>
        <w:pStyle w:val="P68B1DB1-Normal1"/>
        <w:spacing w:after="0" w:line="240" w:lineRule="auto"/>
        <w:jc w:val="both"/>
        <w:rPr>
          <w:lang w:val="pt-BR"/>
        </w:rPr>
      </w:pPr>
      <w:r w:rsidRPr="00E81C43">
        <w:rPr>
          <w:lang w:val="pt-BR"/>
        </w:rPr>
        <w:t>Pablo Saavedra-Alessandri</w:t>
      </w:r>
    </w:p>
    <w:p w14:paraId="03DEF0B4" w14:textId="77777777" w:rsidR="00606BFA" w:rsidRPr="00E81C43" w:rsidRDefault="00F2331B">
      <w:pPr>
        <w:pStyle w:val="P68B1DB1-Normal1"/>
        <w:spacing w:after="0" w:line="240" w:lineRule="auto"/>
        <w:jc w:val="both"/>
        <w:rPr>
          <w:lang w:val="pt-BR"/>
        </w:rPr>
      </w:pPr>
      <w:r w:rsidRPr="00E81C43">
        <w:rPr>
          <w:lang w:val="pt-BR"/>
        </w:rPr>
        <w:t>Secretário</w:t>
      </w:r>
    </w:p>
    <w:p w14:paraId="1AC4D36E" w14:textId="77777777" w:rsidR="00606BFA" w:rsidRPr="00E81C43" w:rsidRDefault="00F2331B">
      <w:pPr>
        <w:pStyle w:val="P68B1DB1-Normal1"/>
        <w:spacing w:after="0" w:line="240" w:lineRule="auto"/>
        <w:jc w:val="both"/>
        <w:rPr>
          <w:lang w:val="pt-BR"/>
        </w:rPr>
      </w:pPr>
      <w:r w:rsidRPr="00E81C43">
        <w:rPr>
          <w:lang w:val="pt-BR"/>
        </w:rPr>
        <w:t>Corte Interamericana de Direitos Humanos</w:t>
      </w:r>
    </w:p>
    <w:p w14:paraId="0BEFD29E" w14:textId="1271D5B4" w:rsidR="00606BFA" w:rsidRPr="00E81C43" w:rsidRDefault="00F2331B">
      <w:pPr>
        <w:pStyle w:val="P68B1DB1-Normal1"/>
        <w:tabs>
          <w:tab w:val="left" w:pos="720"/>
          <w:tab w:val="left" w:pos="1440"/>
        </w:tabs>
        <w:spacing w:after="0" w:line="240" w:lineRule="auto"/>
        <w:jc w:val="both"/>
        <w:rPr>
          <w:lang w:val="pt-BR"/>
        </w:rPr>
      </w:pPr>
      <w:r w:rsidRPr="00E81C43">
        <w:rPr>
          <w:lang w:val="pt-BR"/>
        </w:rPr>
        <w:t>San José, Costa Rica</w:t>
      </w:r>
    </w:p>
    <w:p w14:paraId="3420277E" w14:textId="5097E317" w:rsidR="00E81C43" w:rsidRPr="00E81C43" w:rsidRDefault="00E81C43">
      <w:pPr>
        <w:pStyle w:val="P68B1DB1-Normal1"/>
        <w:tabs>
          <w:tab w:val="left" w:pos="720"/>
          <w:tab w:val="left" w:pos="1440"/>
        </w:tabs>
        <w:spacing w:after="0" w:line="240" w:lineRule="auto"/>
        <w:jc w:val="both"/>
        <w:rPr>
          <w:lang w:val="pt-BR"/>
        </w:rPr>
      </w:pPr>
    </w:p>
    <w:p w14:paraId="6DEFCCC8" w14:textId="23901649" w:rsidR="00E81C43" w:rsidRPr="00E81C43" w:rsidRDefault="00E81C43">
      <w:pPr>
        <w:pStyle w:val="P68B1DB1-Normal1"/>
        <w:tabs>
          <w:tab w:val="left" w:pos="720"/>
          <w:tab w:val="left" w:pos="1440"/>
        </w:tabs>
        <w:spacing w:after="0" w:line="240" w:lineRule="auto"/>
        <w:jc w:val="both"/>
        <w:rPr>
          <w:lang w:val="pt-BR"/>
        </w:rPr>
      </w:pPr>
    </w:p>
    <w:p w14:paraId="69B3AB49" w14:textId="77777777" w:rsidR="00E81C43" w:rsidRPr="00E81C43" w:rsidRDefault="00E81C43">
      <w:pPr>
        <w:pStyle w:val="P68B1DB1-Normal1"/>
        <w:tabs>
          <w:tab w:val="left" w:pos="720"/>
          <w:tab w:val="left" w:pos="1440"/>
        </w:tabs>
        <w:spacing w:after="0" w:line="240" w:lineRule="auto"/>
        <w:jc w:val="both"/>
        <w:rPr>
          <w:lang w:val="pt-BR"/>
        </w:rPr>
      </w:pPr>
    </w:p>
    <w:p w14:paraId="0A6FBEF5" w14:textId="77777777" w:rsidR="00606BFA" w:rsidRPr="00E81C43" w:rsidRDefault="00606BFA">
      <w:pPr>
        <w:tabs>
          <w:tab w:val="left" w:pos="360"/>
          <w:tab w:val="left" w:pos="450"/>
        </w:tabs>
        <w:spacing w:after="0" w:line="240" w:lineRule="auto"/>
        <w:jc w:val="both"/>
        <w:rPr>
          <w:rFonts w:ascii="Cambria" w:eastAsia="Arial Unicode MS" w:hAnsi="Cambria"/>
          <w:sz w:val="20"/>
          <w:bdr w:val="nil"/>
          <w:lang w:val="pt-BR"/>
        </w:rPr>
      </w:pPr>
    </w:p>
    <w:p w14:paraId="7BFD8262" w14:textId="2CBEF546" w:rsidR="00606BFA" w:rsidRPr="00E81C43" w:rsidRDefault="00E81C43">
      <w:pPr>
        <w:pStyle w:val="CommentText"/>
        <w:tabs>
          <w:tab w:val="left" w:pos="360"/>
          <w:tab w:val="left" w:pos="450"/>
        </w:tabs>
        <w:spacing w:after="0" w:line="240" w:lineRule="auto"/>
        <w:jc w:val="both"/>
        <w:rPr>
          <w:rFonts w:ascii="Cambria" w:hAnsi="Cambria"/>
          <w:lang w:val="pt-BR"/>
        </w:rPr>
      </w:pPr>
      <w:r w:rsidRPr="00E81C43">
        <w:rPr>
          <w:rFonts w:ascii="Cambria" w:eastAsia="Arial Unicode MS" w:hAnsi="Cambria"/>
          <w:bdr w:val="nil"/>
          <w:lang w:val="pt-BR"/>
        </w:rPr>
        <w:lastRenderedPageBreak/>
        <w:tab/>
      </w:r>
      <w:r w:rsidR="00F2331B" w:rsidRPr="00E81C43">
        <w:rPr>
          <w:rFonts w:ascii="Cambria" w:eastAsia="Arial Unicode MS" w:hAnsi="Cambria"/>
          <w:bdr w:val="nil"/>
          <w:lang w:val="pt-BR"/>
        </w:rPr>
        <w:t xml:space="preserve">Em relação às comunidades não reassentadas, </w:t>
      </w:r>
      <w:r w:rsidR="00F2331B" w:rsidRPr="00E81C43">
        <w:rPr>
          <w:rFonts w:ascii="Cambria" w:hAnsi="Cambria"/>
          <w:lang w:val="pt-BR"/>
        </w:rPr>
        <w:t xml:space="preserve">a CIDH observou que não há contestação de que até o momento elas não possuem títulos coletivos de propriedade sobre suas terras e territórios tradicionais, apesar das medidas tomadas pelas comunidades. </w:t>
      </w:r>
      <w:r w:rsidR="00F2331B" w:rsidRPr="00E81C43">
        <w:rPr>
          <w:rFonts w:ascii="Cambria" w:eastAsia="Arial Unicode MS" w:hAnsi="Cambria"/>
          <w:bdr w:val="nil"/>
          <w:lang w:val="pt-BR"/>
        </w:rPr>
        <w:t xml:space="preserve">A CIDH evidenciou a existência de múltiplas omissões no processamento das solicitações feitas pelas comunidades, como inatividade processual sem qualquer tipo de justificativa por longos períodos. O </w:t>
      </w:r>
      <w:r w:rsidR="00F2331B" w:rsidRPr="00E81C43">
        <w:rPr>
          <w:rFonts w:ascii="Cambria" w:hAnsi="Cambria"/>
          <w:lang w:val="pt-BR"/>
        </w:rPr>
        <w:t>Comissão</w:t>
      </w:r>
      <w:r w:rsidR="00F2331B" w:rsidRPr="00E81C43">
        <w:rPr>
          <w:rFonts w:ascii="Cambria" w:eastAsia="Arial Unicode MS" w:hAnsi="Cambria"/>
          <w:bdr w:val="nil"/>
          <w:lang w:val="pt-BR"/>
        </w:rPr>
        <w:t xml:space="preserve"> </w:t>
      </w:r>
      <w:r w:rsidR="00F2331B" w:rsidRPr="00E81C43">
        <w:rPr>
          <w:rFonts w:ascii="Cambria" w:hAnsi="Cambria"/>
          <w:lang w:val="pt-BR"/>
        </w:rPr>
        <w:t>concluiu</w:t>
      </w:r>
      <w:r w:rsidR="00F2331B" w:rsidRPr="00E81C43">
        <w:rPr>
          <w:rFonts w:ascii="Cambria" w:eastAsia="Arial Unicode MS" w:hAnsi="Cambria"/>
          <w:bdr w:val="nil"/>
          <w:lang w:val="pt-BR"/>
        </w:rPr>
        <w:t xml:space="preserve"> que a falta de títulos de propriedade do território das comunidades quilombolas não reassentadas </w:t>
      </w:r>
      <w:r w:rsidR="00F2331B" w:rsidRPr="00E81C43">
        <w:rPr>
          <w:rFonts w:ascii="Cambria" w:hAnsi="Cambria"/>
          <w:lang w:val="pt-BR"/>
        </w:rPr>
        <w:t xml:space="preserve">é contrária à obrigação de reconhecer a propriedade coletiva e também viola o artigo 68 das disposições transitórias da Constituição de 1998, que reconhece expressamente que o Estado deveria “emitir os respectivos títulos”. Além disso, a Comissão considerou que a falta de títulos impediu que as comunidades quilombolas pudessem usar e usufruir pacificamente de suas terras. </w:t>
      </w:r>
    </w:p>
    <w:p w14:paraId="477FF172" w14:textId="77777777" w:rsidR="00606BFA" w:rsidRPr="00E81C43" w:rsidRDefault="00606BFA">
      <w:pPr>
        <w:tabs>
          <w:tab w:val="left" w:pos="360"/>
          <w:tab w:val="left" w:pos="450"/>
        </w:tabs>
        <w:spacing w:after="0" w:line="240" w:lineRule="auto"/>
        <w:jc w:val="both"/>
        <w:rPr>
          <w:rFonts w:ascii="Cambria" w:hAnsi="Cambria"/>
          <w:sz w:val="20"/>
          <w:lang w:val="pt-BR"/>
        </w:rPr>
      </w:pPr>
    </w:p>
    <w:p w14:paraId="125E8865" w14:textId="26C1EACA" w:rsidR="00606BFA" w:rsidRPr="00E81C43" w:rsidRDefault="00E81C43">
      <w:pPr>
        <w:pStyle w:val="CommentText"/>
        <w:tabs>
          <w:tab w:val="left" w:pos="360"/>
          <w:tab w:val="left" w:pos="450"/>
        </w:tabs>
        <w:spacing w:after="0" w:line="240" w:lineRule="auto"/>
        <w:jc w:val="both"/>
        <w:rPr>
          <w:rFonts w:ascii="Cambria" w:eastAsia="Times New Roman" w:hAnsi="Cambria"/>
          <w:lang w:val="pt-BR"/>
        </w:rPr>
      </w:pPr>
      <w:r>
        <w:rPr>
          <w:rFonts w:ascii="Cambria" w:hAnsi="Cambria"/>
          <w:lang w:val="pt-BR"/>
        </w:rPr>
        <w:tab/>
      </w:r>
      <w:r w:rsidR="00F2331B" w:rsidRPr="00E81C43">
        <w:rPr>
          <w:rFonts w:ascii="Cambria" w:hAnsi="Cambria"/>
          <w:lang w:val="pt-BR"/>
        </w:rPr>
        <w:t xml:space="preserve">Em relação às </w:t>
      </w:r>
      <w:r w:rsidR="00F2331B" w:rsidRPr="00E81C43">
        <w:rPr>
          <w:rFonts w:ascii="Cambria" w:eastAsia="Arial Unicode MS" w:hAnsi="Cambria"/>
          <w:bdr w:val="nil"/>
          <w:lang w:val="pt-BR"/>
        </w:rPr>
        <w:t>comunidades deslocadas para agrovilas, a Comissão observou que o Estado reconheceu que, dos 62.000 hectares do CLA, apenas uma fração estava sendo utilizada para seu funcionamento. Por outro lado, a Comissão observou que essas comunidades não possuíam título de propriedade antes da desapropriação na década de 1980. Com base nisso e levando em consideração que o processo de reassentamento não cumpriu com os</w:t>
      </w:r>
      <w:r w:rsidR="00F2331B" w:rsidRPr="00E81C43">
        <w:rPr>
          <w:rFonts w:ascii="Cambria" w:eastAsia="Times New Roman" w:hAnsi="Cambria"/>
          <w:lang w:val="pt-BR"/>
        </w:rPr>
        <w:t xml:space="preserve"> parâmetros exigidos pelo direito internacional, a Comissão observou que, em princípio, o direito de reclamar não teria expirado, pelo menos com relação à parte do território que foi originalmente desapropriada para o CLA e em relação à qual sua devolução não seria materialmente impossível. </w:t>
      </w:r>
    </w:p>
    <w:p w14:paraId="4FA34655" w14:textId="77777777" w:rsidR="00606BFA" w:rsidRPr="00E81C43" w:rsidRDefault="00606BFA">
      <w:pPr>
        <w:tabs>
          <w:tab w:val="left" w:pos="360"/>
          <w:tab w:val="left" w:pos="450"/>
        </w:tabs>
        <w:spacing w:after="0" w:line="240" w:lineRule="auto"/>
        <w:jc w:val="both"/>
        <w:rPr>
          <w:rFonts w:ascii="Cambria" w:hAnsi="Cambria"/>
          <w:sz w:val="20"/>
          <w:lang w:val="pt-BR"/>
        </w:rPr>
      </w:pPr>
    </w:p>
    <w:p w14:paraId="19FD5D4B"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lang w:val="pt-BR"/>
        </w:rPr>
        <w:t>Por outro lado, a CIDH analisou as obrigações do Estado do Brasil com relação à propriedade tradicional das comunidades quilombolas, primeiro, em relação à realocação das comunidades como resultado da construção do CLA em Alcântara e, segundo, após a criação do CLA nas etapas correspondentes à sua consolidação e desenvolvimento até o presente.</w:t>
      </w:r>
    </w:p>
    <w:p w14:paraId="58A484CB" w14:textId="77777777" w:rsidR="00E81C43" w:rsidRDefault="00E81C43" w:rsidP="00E81C43">
      <w:pPr>
        <w:pStyle w:val="P68B1DB1-Normal3"/>
        <w:tabs>
          <w:tab w:val="left" w:pos="360"/>
          <w:tab w:val="left" w:pos="450"/>
        </w:tabs>
        <w:spacing w:after="0" w:line="240" w:lineRule="auto"/>
        <w:jc w:val="both"/>
        <w:rPr>
          <w:lang w:val="pt-BR"/>
        </w:rPr>
      </w:pPr>
    </w:p>
    <w:p w14:paraId="15DE308B" w14:textId="3A873C48" w:rsidR="00606BFA" w:rsidRP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lang w:val="pt-BR"/>
        </w:rPr>
        <w:t>Em relação à construção do CLA e ao reassentamento de 32 comunidades quilombolas em sete agrovilas, a CIDH avaliou se o impacto à propriedade foi proporcional à utilidade pública do projeto. A CIDH concluiu que o Estado descumpriu suas obrigações internacionais, uma vez que: i) não garantiu que as restrições ao direito de propriedade por razões de utilidade pública respeitassem o direito à propriedade ancestral das comunidades, garantindo o direito de consulta com o fim de obter seu consentimento; ii) não realizou estudos ambientais e sociais adequados; iii) gerou um processo de reassentamento com graves deficiências, sem que a entrega de terras alternativas fosse adequada; e iv) não concedeu compensação integral, como permitir que as comunidades participem dos benefícios do projeto.</w:t>
      </w:r>
    </w:p>
    <w:p w14:paraId="07F91007" w14:textId="77777777" w:rsidR="00606BFA" w:rsidRPr="00E81C43" w:rsidRDefault="00606BFA">
      <w:pPr>
        <w:spacing w:after="0" w:line="240" w:lineRule="auto"/>
        <w:jc w:val="both"/>
        <w:rPr>
          <w:rFonts w:ascii="Cambria" w:eastAsia="Times New Roman" w:hAnsi="Cambria"/>
          <w:sz w:val="20"/>
          <w:lang w:val="pt-BR"/>
        </w:rPr>
      </w:pPr>
    </w:p>
    <w:p w14:paraId="78E8939D" w14:textId="71207C81" w:rsidR="00606BFA" w:rsidRPr="00E81C43" w:rsidRDefault="00E81C43">
      <w:pPr>
        <w:pStyle w:val="P68B1DB1-Normal3"/>
        <w:tabs>
          <w:tab w:val="left" w:pos="360"/>
          <w:tab w:val="left" w:pos="450"/>
        </w:tabs>
        <w:spacing w:after="0" w:line="240" w:lineRule="auto"/>
        <w:jc w:val="both"/>
        <w:rPr>
          <w:lang w:val="pt-BR"/>
        </w:rPr>
      </w:pPr>
      <w:r>
        <w:rPr>
          <w:lang w:val="pt-BR"/>
        </w:rPr>
        <w:tab/>
      </w:r>
      <w:r w:rsidR="00F2331B" w:rsidRPr="00E81C43">
        <w:rPr>
          <w:lang w:val="pt-BR"/>
        </w:rPr>
        <w:t xml:space="preserve">Quanto à responsabilidade do Estado após a criação do CLA, a Comissão observou que o Estado adotou uma série de decisões relacionadas à expansão, consolidação e desenvolvimento do CLA e celebrou vários acordos com terceiros Estados, decisões estas que foram tomadas sem consultar as comunidades. A fim de identificar se o Estado tinha o dever de consultá-las, a Comissão considerou necessário verificar se tais ações eram suscetíveis de afetar seus direitos e interesses, pelo que se exigiu que o Estado realizasse os estudos pertinentes com a participação das próprias comunidades e, caso aplicável, uma consulta prévia com vista à obtenção do consentimento livre, prévio e informado. </w:t>
      </w:r>
    </w:p>
    <w:p w14:paraId="0D73DB49" w14:textId="77777777" w:rsidR="00606BFA" w:rsidRPr="00E81C43" w:rsidRDefault="00606BFA">
      <w:pPr>
        <w:tabs>
          <w:tab w:val="left" w:pos="360"/>
          <w:tab w:val="left" w:pos="450"/>
        </w:tabs>
        <w:spacing w:after="0" w:line="240" w:lineRule="auto"/>
        <w:jc w:val="both"/>
        <w:rPr>
          <w:rFonts w:ascii="Cambria" w:hAnsi="Cambria"/>
          <w:sz w:val="20"/>
          <w:lang w:val="pt-BR"/>
        </w:rPr>
      </w:pPr>
    </w:p>
    <w:p w14:paraId="30B02CB4" w14:textId="31723F65" w:rsidR="00606BFA" w:rsidRPr="00E81C43" w:rsidRDefault="00E81C43">
      <w:pPr>
        <w:pStyle w:val="P68B1DB1-Normal3"/>
        <w:tabs>
          <w:tab w:val="left" w:pos="360"/>
          <w:tab w:val="left" w:pos="720"/>
        </w:tabs>
        <w:spacing w:after="0" w:line="240" w:lineRule="auto"/>
        <w:jc w:val="both"/>
        <w:rPr>
          <w:lang w:val="pt-BR"/>
        </w:rPr>
      </w:pPr>
      <w:r>
        <w:rPr>
          <w:lang w:val="pt-BR"/>
        </w:rPr>
        <w:tab/>
      </w:r>
      <w:r w:rsidR="00F2331B" w:rsidRPr="00E81C43">
        <w:rPr>
          <w:lang w:val="pt-BR"/>
        </w:rPr>
        <w:t>A esse respeito, a Comissão observou que o Estado não indicou ter realizado uma consulta sobre o Decreto de 8 de agosto de 1991, que expropriou 62.000 hectares para a criação, ampliação e funcionamento do CLA, nem qualquer estudo com o objetivo de identificar a proporcionalidade e o impacto que tal expansão teria sobre os direitos das comunidades quilombolas que seriam afetadas. Também foi alertado que o Programa de Desenvolvimento Espacial</w:t>
      </w:r>
      <w:r w:rsidR="00F2331B" w:rsidRPr="00E81C43">
        <w:rPr>
          <w:b/>
          <w:lang w:val="pt-BR"/>
        </w:rPr>
        <w:t xml:space="preserve">  </w:t>
      </w:r>
      <w:r w:rsidR="00F2331B" w:rsidRPr="00E81C43">
        <w:rPr>
          <w:lang w:val="pt-BR"/>
        </w:rPr>
        <w:t xml:space="preserve"> brasileiro provavelmente utilizaria espaço adicional no território tradicionalmente ocupado pelas comunidades, o que geraria a necessidade de realocação a novas comunidades. A este respeito, a Comissão considerou que a finalidade lucrativa ou comercial, e a realização de atividades como o turismo espacial, podem necessariamente ter impacto não só no uso do solo, mas também na sua eventual transformação ou ampliação do CLA. Por isso, concluiu que a identificação dos impactos e sua incidência sobre os interesses ou direitos das comunidades deveria ter sido realizada com a participação das comunidades e não determinada unilateralmente pelo Estado. </w:t>
      </w:r>
    </w:p>
    <w:p w14:paraId="71AFBD2B" w14:textId="77777777" w:rsidR="00606BFA" w:rsidRPr="00E81C43" w:rsidRDefault="00606BFA">
      <w:pPr>
        <w:tabs>
          <w:tab w:val="left" w:pos="360"/>
          <w:tab w:val="left" w:pos="450"/>
        </w:tabs>
        <w:spacing w:after="0" w:line="240" w:lineRule="auto"/>
        <w:jc w:val="both"/>
        <w:rPr>
          <w:rFonts w:ascii="Cambria" w:hAnsi="Cambria"/>
          <w:sz w:val="20"/>
          <w:lang w:val="pt-BR"/>
        </w:rPr>
      </w:pPr>
    </w:p>
    <w:p w14:paraId="7DF91B45" w14:textId="06F6DDA9" w:rsidR="00606BFA" w:rsidRPr="00E81C43" w:rsidRDefault="00E81C43">
      <w:pPr>
        <w:pStyle w:val="P68B1DB1-Normal3"/>
        <w:tabs>
          <w:tab w:val="left" w:pos="360"/>
          <w:tab w:val="left" w:pos="450"/>
        </w:tabs>
        <w:spacing w:after="0" w:line="240" w:lineRule="auto"/>
        <w:jc w:val="both"/>
        <w:rPr>
          <w:lang w:val="pt-BR"/>
        </w:rPr>
      </w:pPr>
      <w:r>
        <w:rPr>
          <w:lang w:val="pt-BR"/>
        </w:rPr>
        <w:tab/>
      </w:r>
      <w:r w:rsidR="00F2331B" w:rsidRPr="00E81C43">
        <w:rPr>
          <w:lang w:val="pt-BR"/>
        </w:rPr>
        <w:t>Por outro lado, a Comissão observou que os acordos com terceiros Estados não estão isentos de cumprir as obrigações internacionais do Estado em matéria de direitos humanos. A Comissão indicou que, no âmbito das atividades realizadas em um dos acordos, os interesses e direitos das comunidades foram afetados, pelo que deveria ter sido realizado um estudo de impacto ambiental e cultural e uma consulta prévia para obter o consentimento das comunidades, o que não foi feito. A Comissão também destacou que outro dos acordos está inserido em uma estratégia mais ampla ligada a fins comerciais cuja implementação afetaria uma parcela maior do território tradicional e a realocação de algumas comunidades.</w:t>
      </w:r>
    </w:p>
    <w:p w14:paraId="5898219F" w14:textId="77777777" w:rsidR="00606BFA" w:rsidRPr="00E81C43" w:rsidRDefault="00606BFA">
      <w:pPr>
        <w:tabs>
          <w:tab w:val="left" w:pos="360"/>
          <w:tab w:val="left" w:pos="450"/>
        </w:tabs>
        <w:spacing w:after="0" w:line="240" w:lineRule="auto"/>
        <w:jc w:val="both"/>
        <w:rPr>
          <w:rFonts w:ascii="Cambria" w:hAnsi="Cambria"/>
          <w:sz w:val="20"/>
          <w:lang w:val="pt-BR"/>
        </w:rPr>
      </w:pPr>
    </w:p>
    <w:p w14:paraId="5F4EBED4" w14:textId="47A25950" w:rsidR="00606BFA" w:rsidRPr="00E81C43" w:rsidRDefault="00E81C43">
      <w:pPr>
        <w:pStyle w:val="P68B1DB1-Normal3"/>
        <w:tabs>
          <w:tab w:val="left" w:pos="360"/>
          <w:tab w:val="left" w:pos="450"/>
        </w:tabs>
        <w:spacing w:after="0" w:line="240" w:lineRule="auto"/>
        <w:jc w:val="both"/>
        <w:rPr>
          <w:lang w:val="pt-BR"/>
        </w:rPr>
      </w:pPr>
      <w:r>
        <w:rPr>
          <w:lang w:val="pt-BR"/>
        </w:rPr>
        <w:tab/>
      </w:r>
      <w:r w:rsidR="00F2331B" w:rsidRPr="00E81C43">
        <w:rPr>
          <w:lang w:val="pt-BR"/>
        </w:rPr>
        <w:t>Da mesma forma, a Comissão considerou que as condições, restrições e proibições impostas pelo Estado em relação ao reassentamento das comunidades quilombolas são contrárias às suas obrigações relacionadas com os direitos à liberdade de associação, proteção da família e circulação e residência. A CIDH destacou que esses efeitos continuam até hoje.</w:t>
      </w:r>
    </w:p>
    <w:p w14:paraId="6AFBC4B2" w14:textId="77777777" w:rsidR="00606BFA" w:rsidRPr="00E81C43" w:rsidRDefault="00606BFA">
      <w:pPr>
        <w:tabs>
          <w:tab w:val="left" w:pos="360"/>
          <w:tab w:val="left" w:pos="450"/>
        </w:tabs>
        <w:spacing w:after="0" w:line="240" w:lineRule="auto"/>
        <w:jc w:val="both"/>
        <w:rPr>
          <w:rFonts w:ascii="Cambria" w:hAnsi="Cambria"/>
          <w:sz w:val="20"/>
          <w:lang w:val="pt-BR"/>
        </w:rPr>
      </w:pPr>
    </w:p>
    <w:p w14:paraId="57B5E044" w14:textId="3A491F64" w:rsidR="00606BFA" w:rsidRPr="00E81C43" w:rsidRDefault="00E81C43">
      <w:pPr>
        <w:pStyle w:val="P68B1DB1-Normal3"/>
        <w:tabs>
          <w:tab w:val="left" w:pos="360"/>
          <w:tab w:val="left" w:pos="450"/>
          <w:tab w:val="left" w:pos="720"/>
        </w:tabs>
        <w:spacing w:after="0" w:line="240" w:lineRule="auto"/>
        <w:jc w:val="both"/>
        <w:rPr>
          <w:lang w:val="pt-BR"/>
        </w:rPr>
      </w:pPr>
      <w:r>
        <w:rPr>
          <w:lang w:val="pt-BR"/>
        </w:rPr>
        <w:tab/>
      </w:r>
      <w:r w:rsidR="00F2331B" w:rsidRPr="00E81C43">
        <w:rPr>
          <w:lang w:val="pt-BR"/>
        </w:rPr>
        <w:t xml:space="preserve">Por outro lado, a Comissão observou que a construção e ampliação do CLA, incluindo as operações das empresas envolvidas com a autorização do Estado, gerou impacto não apenas nas comunidades reassentadas, mas em todas as comunidades quilombolas de Alcântara. As comunidades se baseiam em um sistema de troca de bens e recursos que permite seu desenvolvimento e sobrevivência. Com base nisso, a CIDH analisou se esse impacto violou os direitos econômicos, sociais, culturais e ambientais das comunidades. </w:t>
      </w:r>
    </w:p>
    <w:p w14:paraId="7769776D" w14:textId="77777777" w:rsidR="00606BFA" w:rsidRPr="00E81C43" w:rsidRDefault="00606BFA">
      <w:pPr>
        <w:tabs>
          <w:tab w:val="left" w:pos="360"/>
          <w:tab w:val="left" w:pos="450"/>
        </w:tabs>
        <w:spacing w:after="0" w:line="240" w:lineRule="auto"/>
        <w:jc w:val="both"/>
        <w:rPr>
          <w:rFonts w:ascii="Cambria" w:hAnsi="Cambria"/>
          <w:sz w:val="20"/>
          <w:lang w:val="pt-BR"/>
        </w:rPr>
      </w:pPr>
    </w:p>
    <w:p w14:paraId="241791ED" w14:textId="22460430" w:rsidR="00606BFA" w:rsidRPr="00E81C43" w:rsidRDefault="00E81C43">
      <w:pPr>
        <w:pStyle w:val="P68B1DB1-Normal3"/>
        <w:tabs>
          <w:tab w:val="left" w:pos="360"/>
          <w:tab w:val="left" w:pos="450"/>
        </w:tabs>
        <w:spacing w:after="0" w:line="240" w:lineRule="auto"/>
        <w:jc w:val="both"/>
        <w:rPr>
          <w:rFonts w:eastAsia="Batang" w:cs="Arial"/>
          <w:lang w:val="pt-BR"/>
        </w:rPr>
      </w:pPr>
      <w:r>
        <w:rPr>
          <w:lang w:val="pt-BR"/>
        </w:rPr>
        <w:tab/>
      </w:r>
      <w:r w:rsidR="00F2331B" w:rsidRPr="00E81C43">
        <w:rPr>
          <w:lang w:val="pt-BR"/>
        </w:rPr>
        <w:t xml:space="preserve">Nesse sentido, a CIDH considerou comprovado que a criação e expansão do CLA gerou um grave impacto no modo de vida das comunidades quilombolas em relação às suas terras e territórios. Em primeiro lugar, reiterou que até o momento o Estado não concedeu títulos de propriedade às comunidades. Em segundo lugar, referiu-se à situação das comunidades reassentadas, que não têm acesso a habitação digna e têm enfrentado várias restrições e proibições devido à escassez e má qualidade das terras alternativas. A CIDH observou que isso afetou a agricultura e o cultivo de alimentos essenciais para a sobrevivência das comunidades, além das restrições de acesso a certos lugares, incluindo o mar, que afetaram outras atividades básicas e fontes de alimentos, como a caça e a pesca. Além disso, a Comissão tomou nota das informações sobre a escassez de água nos terrenos alternativos e sobre a degradação do meio ambiente causada pela construção e ampliação do CLA, que resultou no desmatamento. A Comissão também destacou o vínculo especial das comunidades quilombolas com o território e seus recursos naturais e considerou que a criação e posterior expansão do CLA em parte do território reivindicado pelas comunidades, bem como as restrições e proibições impostas, geraram uma situação que os impede de ter livre acesso às suas terras e lugares sagrados, afetando suas tradições e sua sobrevivência cultural e espiritual. </w:t>
      </w:r>
    </w:p>
    <w:p w14:paraId="3745F85B" w14:textId="77777777" w:rsidR="00606BFA" w:rsidRPr="00E81C43" w:rsidRDefault="00606BFA">
      <w:pPr>
        <w:tabs>
          <w:tab w:val="left" w:pos="360"/>
          <w:tab w:val="left" w:pos="450"/>
        </w:tabs>
        <w:spacing w:after="0" w:line="240" w:lineRule="auto"/>
        <w:jc w:val="both"/>
        <w:rPr>
          <w:rFonts w:ascii="Cambria" w:eastAsia="Batang" w:hAnsi="Cambria" w:cs="Arial"/>
          <w:sz w:val="20"/>
          <w:lang w:val="pt-BR"/>
        </w:rPr>
      </w:pPr>
    </w:p>
    <w:p w14:paraId="12558AEF" w14:textId="731B7C80" w:rsidR="00606BFA" w:rsidRPr="00E81C43" w:rsidRDefault="00E81C43">
      <w:pPr>
        <w:pStyle w:val="CommentText"/>
        <w:tabs>
          <w:tab w:val="left" w:pos="360"/>
          <w:tab w:val="left" w:pos="450"/>
        </w:tabs>
        <w:spacing w:after="0" w:line="240" w:lineRule="auto"/>
        <w:jc w:val="both"/>
        <w:rPr>
          <w:rFonts w:ascii="Cambria" w:eastAsia="Batang" w:hAnsi="Cambria"/>
          <w:lang w:val="pt-BR"/>
        </w:rPr>
      </w:pPr>
      <w:r>
        <w:rPr>
          <w:rFonts w:ascii="Cambria" w:hAnsi="Cambria"/>
          <w:lang w:val="pt-BR"/>
        </w:rPr>
        <w:tab/>
      </w:r>
      <w:r w:rsidR="00F2331B" w:rsidRPr="00E81C43">
        <w:rPr>
          <w:rFonts w:ascii="Cambria" w:hAnsi="Cambria"/>
          <w:lang w:val="pt-BR"/>
        </w:rPr>
        <w:t>Da mesma forma, a Comissão tomou nota da existência de um contexto geral de discriminação, de falta de proteção das terras e territórios reivindicados e da falta de acesso à justiça nas ações judiciais apresentadas pelas comunidades, situação que coincide com informações conhecidas pela CIDH e diversos organismos internacionais. A esse respeito, considerou que as violações de direitos humanos ocorridas neste caso não ocorreram isoladamente, mas no contexto de uma situação de abandono histórico, discriminação sistemática, indiferença e falta de presença por parte do Estado, que teve pleno conhecimento do problema que vem afetando as comunidades quilombolas</w:t>
      </w:r>
      <w:r w:rsidR="00F2331B" w:rsidRPr="00E81C43">
        <w:rPr>
          <w:rFonts w:ascii="Cambria" w:eastAsia="Batang" w:hAnsi="Cambria"/>
          <w:i/>
          <w:lang w:val="pt-BR"/>
        </w:rPr>
        <w:t xml:space="preserve">. </w:t>
      </w:r>
      <w:r w:rsidR="00F2331B" w:rsidRPr="00E81C43">
        <w:rPr>
          <w:rFonts w:ascii="Cambria" w:hAnsi="Cambria"/>
          <w:lang w:val="pt-BR"/>
        </w:rPr>
        <w:t>Nesse sentido, a CIDH destacou a existência de múltiplos fatores de vulnerabilidade vinculados ao fato de essas comunidades pertencerem a um povo afrodescendente, historicamente excluído e em situação de extrema pobreza.</w:t>
      </w:r>
    </w:p>
    <w:p w14:paraId="76BFBE6D" w14:textId="77777777" w:rsidR="00606BFA" w:rsidRPr="00E81C43" w:rsidRDefault="00606BFA">
      <w:pPr>
        <w:tabs>
          <w:tab w:val="left" w:pos="360"/>
          <w:tab w:val="left" w:pos="450"/>
        </w:tabs>
        <w:spacing w:after="0" w:line="240" w:lineRule="auto"/>
        <w:jc w:val="both"/>
        <w:rPr>
          <w:rFonts w:ascii="Cambria" w:eastAsia="Batang" w:hAnsi="Cambria"/>
          <w:sz w:val="20"/>
          <w:lang w:val="pt-BR"/>
        </w:rPr>
      </w:pPr>
    </w:p>
    <w:p w14:paraId="34F94001" w14:textId="00843D41" w:rsidR="00606BFA" w:rsidRPr="00E81C43" w:rsidRDefault="00E81C43">
      <w:pPr>
        <w:pStyle w:val="P68B1DB1-Normal3"/>
        <w:tabs>
          <w:tab w:val="left" w:pos="360"/>
          <w:tab w:val="left" w:pos="450"/>
        </w:tabs>
        <w:spacing w:after="0" w:line="240" w:lineRule="auto"/>
        <w:jc w:val="both"/>
        <w:rPr>
          <w:lang w:val="pt-BR"/>
        </w:rPr>
      </w:pPr>
      <w:r>
        <w:rPr>
          <w:lang w:val="pt-BR"/>
        </w:rPr>
        <w:tab/>
      </w:r>
      <w:r w:rsidR="00F2331B" w:rsidRPr="00E81C43">
        <w:rPr>
          <w:lang w:val="pt-BR"/>
        </w:rPr>
        <w:t xml:space="preserve">Por outro lado, a Comissão tomou nota da alegação do peticionário sobre a inexistência de um recurso adequado e eficaz contra a decisão de instalar um projeto e posterior reassentamento de povos indígenas ou tribais com base no critério de "utilidade pública". A esse respeito, a CIDH observou que o Estado não apresentou informações que comprovem qual recurso seria adequado e eficaz contra a referida reclamação na década de 1980. A Comissão destacou que a ação civil pública para a concessão de títulos de propriedade às comunidades está pendente há quase vinte anos, o que é um prazo desproporcional e o Estado não apresentou informações que justifiquem tal atraso. Também observou que a ação civil pública e as dezenas de ações judiciais de desapropriação em razão da criação e ampliação do CLA também não foram resolvidas em quase vinte anos. Além disso, a Comissão observou que as comunidades reassentadas também denunciaram a falta ou o valor inadequado das indenizações recebidas, processos que ainda estão em andamento. A CIDH concluiu que essas ações exemplificam a demora injustificada, a falta de diligência e o desinteresse das autoridades estatais em garantir os direitos das comunidades quilombolas. </w:t>
      </w:r>
    </w:p>
    <w:p w14:paraId="59192920" w14:textId="77777777" w:rsidR="00606BFA" w:rsidRPr="00E81C43" w:rsidRDefault="00606BFA">
      <w:pPr>
        <w:tabs>
          <w:tab w:val="left" w:pos="360"/>
          <w:tab w:val="left" w:pos="450"/>
        </w:tabs>
        <w:spacing w:after="0" w:line="240" w:lineRule="auto"/>
        <w:jc w:val="both"/>
        <w:rPr>
          <w:rFonts w:ascii="Cambria" w:hAnsi="Cambria"/>
          <w:sz w:val="20"/>
          <w:lang w:val="pt-BR"/>
        </w:rPr>
      </w:pPr>
    </w:p>
    <w:p w14:paraId="354B8465" w14:textId="6C2E98BD" w:rsidR="00606BFA" w:rsidRPr="00E81C43" w:rsidRDefault="00E81C43">
      <w:pPr>
        <w:pStyle w:val="P68B1DB1-Normal3"/>
        <w:tabs>
          <w:tab w:val="left" w:pos="360"/>
          <w:tab w:val="left" w:pos="450"/>
        </w:tabs>
        <w:spacing w:after="0" w:line="240" w:lineRule="auto"/>
        <w:jc w:val="both"/>
        <w:rPr>
          <w:lang w:val="pt-BR"/>
        </w:rPr>
      </w:pPr>
      <w:r>
        <w:rPr>
          <w:lang w:val="pt-BR"/>
        </w:rPr>
        <w:tab/>
      </w:r>
      <w:r w:rsidR="00F2331B" w:rsidRPr="00E81C43">
        <w:rPr>
          <w:lang w:val="pt-BR"/>
        </w:rPr>
        <w:t>Por último, a Comissão considerou que os efeitos das ações e omissões do Estado em relação ao patrimônio coletivo das comunidades e o reassentamento de algumas delas afetaram a integridade mental e moral de seus membros.</w:t>
      </w:r>
    </w:p>
    <w:p w14:paraId="2D22F361" w14:textId="77777777" w:rsidR="00606BFA" w:rsidRPr="00E81C43" w:rsidRDefault="00606BFA">
      <w:pPr>
        <w:tabs>
          <w:tab w:val="left" w:pos="360"/>
          <w:tab w:val="left" w:pos="450"/>
        </w:tabs>
        <w:spacing w:after="0" w:line="240" w:lineRule="auto"/>
        <w:jc w:val="both"/>
        <w:rPr>
          <w:rFonts w:ascii="Cambria" w:hAnsi="Cambria"/>
          <w:sz w:val="20"/>
          <w:lang w:val="pt-BR"/>
        </w:rPr>
      </w:pPr>
    </w:p>
    <w:p w14:paraId="784F8450"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lang w:val="pt-BR"/>
        </w:rPr>
        <w:t xml:space="preserve">Com base nessas determinações, a Comissão concluiu que o Estado é responsável pela violação dos direitos estabelecidos nos artigos 5 (integridade pessoal), 8 (garantias judiciais), 13 (liberdade de expressão), 16 (liberdade de associação), 17 (proteção da família), 21 (propriedade), 23 (direitos políticos), 24 (igualdade perante a lei), 25 (proteção judicial) e 26 (direitos econômicos, sociais e culturais) da Convenção Americana, em relação aos seus artigos 1.1 e 2. Da mesma forma, concluiu que o Estado é responsável pela violação dos direitos consagrados nos artigos I, II, IV, VI, VIII, XIII, XIV, XVIII, XX, XXII e XXIII da Declaração Americana dos Direitos e Deveres do Homem. </w:t>
      </w:r>
    </w:p>
    <w:p w14:paraId="4CF24E2D" w14:textId="77777777" w:rsidR="00E81C43" w:rsidRDefault="00E81C43" w:rsidP="00E81C43">
      <w:pPr>
        <w:pStyle w:val="P68B1DB1-Normal3"/>
        <w:tabs>
          <w:tab w:val="left" w:pos="360"/>
          <w:tab w:val="left" w:pos="450"/>
        </w:tabs>
        <w:spacing w:after="0" w:line="240" w:lineRule="auto"/>
        <w:jc w:val="both"/>
        <w:rPr>
          <w:lang w:val="pt-BR"/>
        </w:rPr>
      </w:pPr>
    </w:p>
    <w:p w14:paraId="2B4DFEDF"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color w:val="000000"/>
          <w:lang w:val="pt-BR"/>
        </w:rPr>
        <w:t>O Estado do Brasil ratificou a Convenção Americana sobre Direitos Humanos em 25 de setembro de 1992 e aceitou a competência contenciosa da Corte Interamericana em 10 de dezembro de 1998.</w:t>
      </w:r>
      <w:r w:rsidR="00F2331B" w:rsidRPr="00E81C43">
        <w:rPr>
          <w:lang w:val="pt-BR"/>
        </w:rPr>
        <w:t xml:space="preserve"> </w:t>
      </w:r>
    </w:p>
    <w:p w14:paraId="6D2D5D84" w14:textId="77777777" w:rsidR="00E81C43" w:rsidRDefault="00E81C43" w:rsidP="00E81C43">
      <w:pPr>
        <w:pStyle w:val="P68B1DB1-Normal3"/>
        <w:tabs>
          <w:tab w:val="left" w:pos="360"/>
          <w:tab w:val="left" w:pos="450"/>
        </w:tabs>
        <w:spacing w:after="0" w:line="240" w:lineRule="auto"/>
        <w:jc w:val="both"/>
        <w:rPr>
          <w:lang w:val="pt-BR"/>
        </w:rPr>
      </w:pPr>
    </w:p>
    <w:p w14:paraId="303FB663"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lang w:val="pt-BR"/>
        </w:rPr>
        <w:t>A Comissão designou a Comissária Julissa Mantilla Falcón e a Secretária Executiva Tania Reneaum Panszi como suas delegadas. Da mesma forma, nomeou Marisol Blanchard Vera, Secretária Executiva Adjunta, Jorge Meza Flores e Erick Acuña Pereda, especialistas da Secretaria Executiva da CIDH, que atuarão como assessores e assessores jurídicos.</w:t>
      </w:r>
    </w:p>
    <w:p w14:paraId="42A42B85" w14:textId="77777777" w:rsidR="00E81C43" w:rsidRDefault="00E81C43" w:rsidP="00E81C43">
      <w:pPr>
        <w:pStyle w:val="P68B1DB1-Normal3"/>
        <w:tabs>
          <w:tab w:val="left" w:pos="360"/>
          <w:tab w:val="left" w:pos="450"/>
        </w:tabs>
        <w:spacing w:after="0" w:line="240" w:lineRule="auto"/>
        <w:jc w:val="both"/>
        <w:rPr>
          <w:lang w:val="pt-BR"/>
        </w:rPr>
      </w:pPr>
    </w:p>
    <w:p w14:paraId="3E270852"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lang w:val="pt-BR"/>
        </w:rPr>
        <w:t xml:space="preserve">Em conformidade com o artigo 35 do Regulamento da Corte Interamericana, a Comissão anexa uma cópia do Relatório de Mérito n. 189/20 elaborado em conformidade com o artigo 50 da Convenção, bem como uma cópia de todo o expediente perante a Comissão Interamericana (Anexo I) e os anexos utilizados na elaboração do Relatório de Mérito No. 189/20 (Anexos). </w:t>
      </w:r>
    </w:p>
    <w:p w14:paraId="45FFDA66" w14:textId="77777777" w:rsidR="00E81C43" w:rsidRDefault="00E81C43" w:rsidP="00E81C43">
      <w:pPr>
        <w:pStyle w:val="P68B1DB1-Normal3"/>
        <w:tabs>
          <w:tab w:val="left" w:pos="360"/>
          <w:tab w:val="left" w:pos="450"/>
        </w:tabs>
        <w:spacing w:after="0" w:line="240" w:lineRule="auto"/>
        <w:jc w:val="both"/>
        <w:rPr>
          <w:lang w:val="pt-BR"/>
        </w:rPr>
      </w:pPr>
    </w:p>
    <w:p w14:paraId="24B96968"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color w:val="000000"/>
          <w:lang w:val="pt-BR"/>
        </w:rPr>
        <w:t xml:space="preserve">O referido Relatório de Mérito foi notificado ao Estado em 5 de janeiro de 2021, concedendo-lhe o prazo de dois meses para informar sobre o cumprimento das recomendações. Depois que a CIDH concedeu três prorrogações, em 21 de dezembro de 2021, o Estado solicitou uma quarta prorrogação. Ao avaliar o referido pedido, a Comissão observou que, um ano após a notificação do Relatório de Mérito, nenhuma das recomendações foi cumprida e, de acordo com as informações disponíveis, não há previsão de que possam ser cumpridas </w:t>
      </w:r>
      <w:r w:rsidRPr="00E81C43">
        <w:rPr>
          <w:color w:val="000000"/>
          <w:lang w:val="pt-BR"/>
        </w:rPr>
        <w:t>em breve</w:t>
      </w:r>
      <w:r w:rsidR="00F2331B" w:rsidRPr="00E81C43">
        <w:rPr>
          <w:color w:val="000000"/>
          <w:lang w:val="pt-BR"/>
        </w:rPr>
        <w:t>. Com base nisso, levando em conta a necessidade de obter justiça e reparação para as vítimas, bem como a vontade expressa pela parte peticionária, a Comissão decidiu submeter o caso à jurisdição da Corte Interamericana.</w:t>
      </w:r>
      <w:r w:rsidR="00F2331B" w:rsidRPr="00E81C43">
        <w:rPr>
          <w:lang w:val="pt-BR"/>
        </w:rPr>
        <w:t xml:space="preserve"> </w:t>
      </w:r>
    </w:p>
    <w:p w14:paraId="3A1FDF8D" w14:textId="77777777" w:rsidR="00E81C43" w:rsidRDefault="00E81C43" w:rsidP="00E81C43">
      <w:pPr>
        <w:pStyle w:val="P68B1DB1-Normal3"/>
        <w:tabs>
          <w:tab w:val="left" w:pos="360"/>
          <w:tab w:val="left" w:pos="450"/>
        </w:tabs>
        <w:spacing w:after="0" w:line="240" w:lineRule="auto"/>
        <w:jc w:val="both"/>
        <w:rPr>
          <w:lang w:val="pt-BR"/>
        </w:rPr>
      </w:pPr>
    </w:p>
    <w:p w14:paraId="55F0D0E9"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lang w:val="pt-BR"/>
        </w:rPr>
        <w:t xml:space="preserve">Especificamente, a Comissão submete ao Ilustre Tribunal as ações e omissões estatais que ocorreram ou continuaram a ocorrer após </w:t>
      </w:r>
      <w:r w:rsidR="00F2331B" w:rsidRPr="00E81C43">
        <w:rPr>
          <w:rFonts w:cs="Calibri"/>
          <w:color w:val="000000"/>
          <w:lang w:val="pt-BR"/>
        </w:rPr>
        <w:t>10 de dezembro de 1998</w:t>
      </w:r>
      <w:r w:rsidR="00F2331B" w:rsidRPr="00E81C43">
        <w:rPr>
          <w:lang w:val="pt-BR"/>
        </w:rPr>
        <w:t xml:space="preserve">, data de aceitação da competência contenciosa do Tribunal pelo Estado do Brasil. </w:t>
      </w:r>
    </w:p>
    <w:p w14:paraId="061DEBC2" w14:textId="77777777" w:rsidR="00E81C43" w:rsidRDefault="00E81C43" w:rsidP="00E81C43">
      <w:pPr>
        <w:pStyle w:val="P68B1DB1-Normal3"/>
        <w:tabs>
          <w:tab w:val="left" w:pos="360"/>
          <w:tab w:val="left" w:pos="450"/>
        </w:tabs>
        <w:spacing w:after="0" w:line="240" w:lineRule="auto"/>
        <w:jc w:val="both"/>
        <w:rPr>
          <w:lang w:val="pt-BR"/>
        </w:rPr>
      </w:pPr>
    </w:p>
    <w:p w14:paraId="31337F8E" w14:textId="77777777" w:rsidR="00E81C43" w:rsidRDefault="00E81C43" w:rsidP="00E81C43">
      <w:pPr>
        <w:pStyle w:val="P68B1DB1-Normal3"/>
        <w:tabs>
          <w:tab w:val="left" w:pos="360"/>
          <w:tab w:val="left" w:pos="450"/>
        </w:tabs>
        <w:spacing w:after="0" w:line="240" w:lineRule="auto"/>
        <w:jc w:val="both"/>
        <w:rPr>
          <w:lang w:val="pt-BR"/>
        </w:rPr>
      </w:pPr>
      <w:r>
        <w:rPr>
          <w:lang w:val="pt-BR"/>
        </w:rPr>
        <w:tab/>
      </w:r>
      <w:r w:rsidR="00F2331B" w:rsidRPr="00E81C43">
        <w:rPr>
          <w:color w:val="000000"/>
          <w:lang w:val="pt-BR"/>
        </w:rPr>
        <w:t xml:space="preserve">Nesse sentido, a Comissão solicita ao Ilustre Tribunal que conclua e declare que o Estado do Brasil é responsável pela violação dos artigos </w:t>
      </w:r>
      <w:r w:rsidR="00F2331B" w:rsidRPr="00E81C43">
        <w:rPr>
          <w:lang w:val="pt-BR"/>
        </w:rPr>
        <w:t>5 (integridade pessoal), 8 (garantias judiciais), 13 (liberdade de expressão), 16 (liberdade de associação), 17 (proteção da família), 21 (propriedade), 23 (direitos políticos), 24 (igualdade perante a lei), 25 (proteção judicial) e 26 (direitos econômicos, sociais e culturais) da Convenção Americana, em relação aos artigos 1.1 e 2 da Convenção Americana.</w:t>
      </w:r>
    </w:p>
    <w:p w14:paraId="6F1C3573" w14:textId="77777777" w:rsidR="00E81C43" w:rsidRDefault="00E81C43" w:rsidP="00E81C43">
      <w:pPr>
        <w:pStyle w:val="P68B1DB1-Normal3"/>
        <w:tabs>
          <w:tab w:val="left" w:pos="360"/>
          <w:tab w:val="left" w:pos="450"/>
        </w:tabs>
        <w:spacing w:after="0" w:line="240" w:lineRule="auto"/>
        <w:jc w:val="both"/>
        <w:rPr>
          <w:lang w:val="pt-BR"/>
        </w:rPr>
      </w:pPr>
    </w:p>
    <w:p w14:paraId="743BEAF1" w14:textId="283B5C8A" w:rsidR="00606BFA" w:rsidRPr="00E81C43" w:rsidRDefault="00E81C43" w:rsidP="00E81C43">
      <w:pPr>
        <w:pStyle w:val="P68B1DB1-Normal3"/>
        <w:tabs>
          <w:tab w:val="left" w:pos="360"/>
          <w:tab w:val="left" w:pos="450"/>
        </w:tabs>
        <w:spacing w:after="0" w:line="240" w:lineRule="auto"/>
        <w:jc w:val="both"/>
        <w:rPr>
          <w:lang w:val="pt-BR"/>
        </w:rPr>
      </w:pPr>
      <w:r>
        <w:rPr>
          <w:lang w:val="pt-BR"/>
        </w:rPr>
        <w:tab/>
      </w:r>
      <w:r>
        <w:rPr>
          <w:rFonts w:cs="Calibri"/>
          <w:lang w:val="pt-BR"/>
        </w:rPr>
        <w:t>Consequentemente</w:t>
      </w:r>
      <w:r w:rsidR="00F2331B" w:rsidRPr="00E81C43">
        <w:rPr>
          <w:rFonts w:cs="Calibri"/>
          <w:lang w:val="pt-BR"/>
        </w:rPr>
        <w:t>, a Comissão solicita à Corte Interamericana que estabeleça as seguintes medidas de reparação:</w:t>
      </w:r>
    </w:p>
    <w:p w14:paraId="39B11CFB" w14:textId="77777777" w:rsidR="00606BFA" w:rsidRPr="00E81C43" w:rsidRDefault="00606BF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jc w:val="both"/>
        <w:rPr>
          <w:rFonts w:cs="Calibri"/>
          <w:sz w:val="20"/>
          <w:lang w:val="pt-BR"/>
        </w:rPr>
      </w:pPr>
    </w:p>
    <w:p w14:paraId="5AB1A5B8" w14:textId="77777777" w:rsidR="00606BFA" w:rsidRPr="00E81C43" w:rsidRDefault="00F2331B">
      <w:pPr>
        <w:pStyle w:val="P68B1DB1-Normal3"/>
        <w:numPr>
          <w:ilvl w:val="3"/>
          <w:numId w:val="19"/>
        </w:numPr>
        <w:tabs>
          <w:tab w:val="clear" w:pos="3240"/>
          <w:tab w:val="left" w:pos="360"/>
          <w:tab w:val="num" w:pos="720"/>
          <w:tab w:val="left" w:pos="1080"/>
        </w:tabs>
        <w:autoSpaceDE w:val="0"/>
        <w:autoSpaceDN w:val="0"/>
        <w:adjustRightInd w:val="0"/>
        <w:spacing w:after="0" w:line="240" w:lineRule="auto"/>
        <w:ind w:left="720" w:right="630" w:firstLine="0"/>
        <w:jc w:val="both"/>
        <w:rPr>
          <w:rFonts w:cs="Arial"/>
          <w:lang w:val="pt-BR"/>
        </w:rPr>
      </w:pPr>
      <w:r w:rsidRPr="00E81C43">
        <w:rPr>
          <w:lang w:val="pt-BR"/>
        </w:rPr>
        <w:t xml:space="preserve">Adotar o quanto antes todas as medidas necessárias para a completa delimitação, demarcação e titulação do território ancestral das comunidades quilombolas de Alcântara, garantindo sua posse segura de acordo com os limites reconhecidos. O Estado deve zelar para que essas medidas sejam conducentes à garantia efetiva da posse e uso coletivo do território, bem como a autodeterminação dos membros dessas comunidades, e seu direito de viver pacificamente seu modo de vida tradicional, sem restrições de acesso e livre trânsito ao seu território, incluindo o acesso ao mar. Isso de acordo com sua identidade cultural, estrutura social, sistema econômico, costumes, crenças e tradições distintas. </w:t>
      </w:r>
    </w:p>
    <w:p w14:paraId="6C2F6A32" w14:textId="77777777" w:rsidR="00606BFA" w:rsidRPr="00E81C43" w:rsidRDefault="00606BFA">
      <w:pPr>
        <w:tabs>
          <w:tab w:val="left" w:pos="360"/>
          <w:tab w:val="num" w:pos="720"/>
          <w:tab w:val="left" w:pos="1080"/>
        </w:tabs>
        <w:autoSpaceDE w:val="0"/>
        <w:autoSpaceDN w:val="0"/>
        <w:adjustRightInd w:val="0"/>
        <w:spacing w:after="0" w:line="240" w:lineRule="auto"/>
        <w:ind w:left="720" w:right="630"/>
        <w:jc w:val="both"/>
        <w:rPr>
          <w:rFonts w:ascii="Cambria" w:hAnsi="Cambria" w:cs="Arial"/>
          <w:sz w:val="20"/>
          <w:lang w:val="pt-BR"/>
        </w:rPr>
      </w:pPr>
    </w:p>
    <w:p w14:paraId="7209DEA5" w14:textId="51BA7C48" w:rsidR="00606BFA" w:rsidRPr="00E81C43" w:rsidRDefault="00F2331B">
      <w:pPr>
        <w:pStyle w:val="P68B1DB1-Normal3"/>
        <w:numPr>
          <w:ilvl w:val="3"/>
          <w:numId w:val="19"/>
        </w:numPr>
        <w:tabs>
          <w:tab w:val="clear" w:pos="3240"/>
          <w:tab w:val="left" w:pos="360"/>
          <w:tab w:val="num" w:pos="720"/>
          <w:tab w:val="left" w:pos="1080"/>
          <w:tab w:val="num" w:pos="1440"/>
        </w:tabs>
        <w:autoSpaceDE w:val="0"/>
        <w:autoSpaceDN w:val="0"/>
        <w:adjustRightInd w:val="0"/>
        <w:spacing w:after="0" w:line="240" w:lineRule="auto"/>
        <w:ind w:left="720" w:right="630" w:firstLine="0"/>
        <w:jc w:val="both"/>
        <w:rPr>
          <w:rFonts w:cs="Arial"/>
          <w:lang w:val="pt-BR"/>
        </w:rPr>
      </w:pPr>
      <w:r w:rsidRPr="00E81C43">
        <w:rPr>
          <w:lang w:val="pt-BR"/>
        </w:rPr>
        <w:t xml:space="preserve">Adotar o quanto antes todas as medidas necessárias para que as terras alternativas atualmente ocupadas pelas comunidades quilombolas reassentadas garantam a autodeterminação dos membros dessas comunidades e seu direito de viver pacificamente seu modo de vida tradicional, de acordo com sua cultura identitária, estrutura social, sistema econômico, costumes, crenças e tradições distintas. Isso implica, entre outros, a ampliação da extensão e melhoria da qualidade das terras alternativas e o levantamento das restrições e proibições relacionadas à moradia, trânsito livre e uso da terra e atividades de subsistência. </w:t>
      </w:r>
    </w:p>
    <w:p w14:paraId="7FAF6217" w14:textId="77777777" w:rsidR="00606BFA" w:rsidRPr="00E81C43" w:rsidRDefault="00606BFA">
      <w:pPr>
        <w:tabs>
          <w:tab w:val="left" w:pos="360"/>
          <w:tab w:val="num" w:pos="720"/>
          <w:tab w:val="left" w:pos="1080"/>
          <w:tab w:val="num" w:pos="1440"/>
          <w:tab w:val="num" w:pos="3240"/>
        </w:tabs>
        <w:autoSpaceDE w:val="0"/>
        <w:autoSpaceDN w:val="0"/>
        <w:adjustRightInd w:val="0"/>
        <w:spacing w:after="0" w:line="240" w:lineRule="auto"/>
        <w:ind w:left="720" w:right="630"/>
        <w:jc w:val="both"/>
        <w:rPr>
          <w:rFonts w:ascii="Cambria" w:hAnsi="Cambria" w:cs="Arial"/>
          <w:sz w:val="20"/>
          <w:lang w:val="pt-BR"/>
        </w:rPr>
      </w:pPr>
    </w:p>
    <w:p w14:paraId="0652F9D4" w14:textId="77777777" w:rsidR="00606BFA" w:rsidRPr="00E81C43" w:rsidRDefault="00F2331B">
      <w:pPr>
        <w:pStyle w:val="P68B1DB1-Normal6"/>
        <w:numPr>
          <w:ilvl w:val="3"/>
          <w:numId w:val="19"/>
        </w:numPr>
        <w:tabs>
          <w:tab w:val="clear" w:pos="3240"/>
          <w:tab w:val="left" w:pos="360"/>
          <w:tab w:val="num" w:pos="720"/>
          <w:tab w:val="left" w:pos="1080"/>
          <w:tab w:val="num" w:pos="1440"/>
        </w:tabs>
        <w:autoSpaceDE w:val="0"/>
        <w:autoSpaceDN w:val="0"/>
        <w:adjustRightInd w:val="0"/>
        <w:spacing w:after="0" w:line="240" w:lineRule="auto"/>
        <w:ind w:left="720" w:right="630" w:firstLine="0"/>
        <w:jc w:val="both"/>
        <w:rPr>
          <w:lang w:val="pt-BR"/>
        </w:rPr>
      </w:pPr>
      <w:r w:rsidRPr="00E81C43">
        <w:rPr>
          <w:lang w:val="pt-BR"/>
        </w:rPr>
        <w:t xml:space="preserve">Explorar, no âmbito de um procedimento de consulta prévia, livre e informada com as referidas comunidades, a titulação completa e efetiva regularização de terras alternativas e/ou, se pertinente, a possibilidade de retorno às suas terras e territórios tradicionais compatíveis com a ocupação e utilização do Centro de Lançamento de Alcântara nos termos indicados no relatório. </w:t>
      </w:r>
    </w:p>
    <w:p w14:paraId="3846FC07" w14:textId="77777777" w:rsidR="00606BFA" w:rsidRPr="00E81C43" w:rsidRDefault="00606BFA">
      <w:pPr>
        <w:tabs>
          <w:tab w:val="left" w:pos="360"/>
          <w:tab w:val="num" w:pos="720"/>
          <w:tab w:val="left" w:pos="1080"/>
          <w:tab w:val="num" w:pos="1440"/>
        </w:tabs>
        <w:autoSpaceDE w:val="0"/>
        <w:autoSpaceDN w:val="0"/>
        <w:adjustRightInd w:val="0"/>
        <w:spacing w:after="0" w:line="240" w:lineRule="auto"/>
        <w:ind w:left="720" w:right="630"/>
        <w:jc w:val="both"/>
        <w:rPr>
          <w:rFonts w:ascii="Cambria" w:hAnsi="Cambria" w:cs="Arial"/>
          <w:sz w:val="20"/>
          <w:lang w:val="pt-BR"/>
        </w:rPr>
      </w:pPr>
    </w:p>
    <w:p w14:paraId="163F735C" w14:textId="77777777" w:rsidR="00606BFA" w:rsidRPr="00E81C43" w:rsidRDefault="00F2331B">
      <w:pPr>
        <w:pStyle w:val="P68B1DB1-Normal6"/>
        <w:numPr>
          <w:ilvl w:val="3"/>
          <w:numId w:val="19"/>
        </w:numPr>
        <w:tabs>
          <w:tab w:val="clear" w:pos="3240"/>
          <w:tab w:val="left" w:pos="360"/>
          <w:tab w:val="num" w:pos="720"/>
          <w:tab w:val="left" w:pos="1080"/>
          <w:tab w:val="num" w:pos="1440"/>
        </w:tabs>
        <w:autoSpaceDE w:val="0"/>
        <w:autoSpaceDN w:val="0"/>
        <w:adjustRightInd w:val="0"/>
        <w:spacing w:after="0" w:line="240" w:lineRule="auto"/>
        <w:ind w:left="720" w:right="630" w:firstLine="0"/>
        <w:jc w:val="both"/>
        <w:rPr>
          <w:lang w:val="pt-BR"/>
        </w:rPr>
      </w:pPr>
      <w:r w:rsidRPr="00E81C43">
        <w:rPr>
          <w:lang w:val="pt-BR"/>
        </w:rPr>
        <w:t>Criar um fundo de desenvolvimento comunitário que inclua um plano para o exercício dos direitos à alimentação, água, meio ambiente saudável e moradia em consulta e coordenação com as comunidades quilombolas identificadas neste caso.</w:t>
      </w:r>
    </w:p>
    <w:p w14:paraId="1B394998" w14:textId="77777777" w:rsidR="00606BFA" w:rsidRPr="00E81C43" w:rsidRDefault="00606BFA">
      <w:pPr>
        <w:tabs>
          <w:tab w:val="left" w:pos="360"/>
          <w:tab w:val="num" w:pos="720"/>
          <w:tab w:val="left" w:pos="1080"/>
          <w:tab w:val="num" w:pos="1440"/>
          <w:tab w:val="num" w:pos="3240"/>
        </w:tabs>
        <w:autoSpaceDE w:val="0"/>
        <w:autoSpaceDN w:val="0"/>
        <w:adjustRightInd w:val="0"/>
        <w:spacing w:after="0" w:line="240" w:lineRule="auto"/>
        <w:ind w:left="720" w:right="630"/>
        <w:jc w:val="both"/>
        <w:rPr>
          <w:rFonts w:ascii="Cambria" w:hAnsi="Cambria" w:cs="Arial"/>
          <w:sz w:val="20"/>
          <w:lang w:val="pt-BR"/>
        </w:rPr>
      </w:pPr>
    </w:p>
    <w:p w14:paraId="7FC91665" w14:textId="77777777" w:rsidR="00606BFA" w:rsidRPr="00E81C43" w:rsidRDefault="00F2331B">
      <w:pPr>
        <w:pStyle w:val="P68B1DB1-Normal3"/>
        <w:numPr>
          <w:ilvl w:val="3"/>
          <w:numId w:val="19"/>
        </w:numPr>
        <w:tabs>
          <w:tab w:val="clear" w:pos="3240"/>
          <w:tab w:val="left" w:pos="360"/>
          <w:tab w:val="num" w:pos="720"/>
          <w:tab w:val="left" w:pos="1080"/>
          <w:tab w:val="num" w:pos="1440"/>
        </w:tabs>
        <w:autoSpaceDE w:val="0"/>
        <w:autoSpaceDN w:val="0"/>
        <w:adjustRightInd w:val="0"/>
        <w:spacing w:after="0" w:line="240" w:lineRule="auto"/>
        <w:ind w:left="720" w:right="630" w:firstLine="0"/>
        <w:jc w:val="both"/>
        <w:rPr>
          <w:rFonts w:cs="Arial"/>
          <w:lang w:val="pt-BR"/>
        </w:rPr>
      </w:pPr>
      <w:r w:rsidRPr="00E81C43">
        <w:rPr>
          <w:lang w:val="pt-BR"/>
        </w:rPr>
        <w:t xml:space="preserve">Indenizar integralmente, tanto por danos materiais como imateriais, as consequências das violações declaradas no relatório de mérito, concedendo medidas de satisfação, restituição, garantias de não repetição e indenizações, incorporando uma abordagem intercultural. Em particular, considerar os danos causados às comunidades pela falta de titulação de seu território ancestral, bem como os danos causados pelo reassentamento. </w:t>
      </w:r>
    </w:p>
    <w:p w14:paraId="606D1A26" w14:textId="77777777" w:rsidR="00606BFA" w:rsidRPr="00E81C43" w:rsidRDefault="00606BFA">
      <w:pPr>
        <w:tabs>
          <w:tab w:val="left" w:pos="360"/>
          <w:tab w:val="num" w:pos="720"/>
          <w:tab w:val="left" w:pos="1080"/>
          <w:tab w:val="num" w:pos="1440"/>
        </w:tabs>
        <w:autoSpaceDE w:val="0"/>
        <w:autoSpaceDN w:val="0"/>
        <w:adjustRightInd w:val="0"/>
        <w:spacing w:after="0" w:line="240" w:lineRule="auto"/>
        <w:ind w:left="720" w:right="630"/>
        <w:jc w:val="both"/>
        <w:rPr>
          <w:rFonts w:ascii="Cambria" w:hAnsi="Cambria" w:cs="Arial"/>
          <w:sz w:val="20"/>
          <w:lang w:val="pt-BR"/>
        </w:rPr>
      </w:pPr>
    </w:p>
    <w:p w14:paraId="54910E94" w14:textId="77777777" w:rsidR="00606BFA" w:rsidRPr="00E81C43" w:rsidRDefault="00F2331B">
      <w:pPr>
        <w:pStyle w:val="P68B1DB1-Normal3"/>
        <w:numPr>
          <w:ilvl w:val="3"/>
          <w:numId w:val="19"/>
        </w:numPr>
        <w:tabs>
          <w:tab w:val="clear" w:pos="3240"/>
          <w:tab w:val="left" w:pos="360"/>
          <w:tab w:val="num" w:pos="720"/>
          <w:tab w:val="left" w:pos="1080"/>
          <w:tab w:val="num" w:pos="1440"/>
        </w:tabs>
        <w:autoSpaceDE w:val="0"/>
        <w:autoSpaceDN w:val="0"/>
        <w:adjustRightInd w:val="0"/>
        <w:spacing w:after="0" w:line="240" w:lineRule="auto"/>
        <w:ind w:left="720" w:right="630" w:firstLine="0"/>
        <w:jc w:val="both"/>
        <w:rPr>
          <w:rFonts w:cs="Arial"/>
          <w:lang w:val="pt-BR"/>
        </w:rPr>
      </w:pPr>
      <w:r w:rsidRPr="00E81C43">
        <w:rPr>
          <w:lang w:val="pt-BR"/>
        </w:rPr>
        <w:t>Assegurar que qualquer medida legislativa ou administrativa, ou projeto, inclusive aqueles relacionados a projetos de desenvolvimento, concessões e/ou atividades empresariais, que possam afetar direitos ou interesses das comunidades quilombolas de Alcântara, não tenha início ou continue a ser executado até que cumpra com os padrões interamericanos sobre consulta e consentimento prévio, livre e informado.</w:t>
      </w:r>
    </w:p>
    <w:p w14:paraId="5BE91762" w14:textId="77777777" w:rsidR="00606BFA" w:rsidRPr="00E81C43" w:rsidRDefault="00606BFA">
      <w:pPr>
        <w:tabs>
          <w:tab w:val="left" w:pos="360"/>
          <w:tab w:val="num" w:pos="720"/>
          <w:tab w:val="left" w:pos="1080"/>
          <w:tab w:val="num" w:pos="1440"/>
        </w:tabs>
        <w:autoSpaceDE w:val="0"/>
        <w:autoSpaceDN w:val="0"/>
        <w:adjustRightInd w:val="0"/>
        <w:spacing w:after="0" w:line="240" w:lineRule="auto"/>
        <w:ind w:left="720" w:right="630"/>
        <w:jc w:val="both"/>
        <w:rPr>
          <w:rFonts w:ascii="Cambria" w:hAnsi="Cambria" w:cs="Arial"/>
          <w:sz w:val="20"/>
          <w:lang w:val="pt-BR"/>
        </w:rPr>
      </w:pPr>
    </w:p>
    <w:p w14:paraId="1832FFB8" w14:textId="77777777" w:rsidR="00606BFA" w:rsidRPr="00E81C43" w:rsidRDefault="00F2331B">
      <w:pPr>
        <w:pStyle w:val="P68B1DB1-Normal6"/>
        <w:numPr>
          <w:ilvl w:val="3"/>
          <w:numId w:val="19"/>
        </w:numPr>
        <w:tabs>
          <w:tab w:val="clear" w:pos="3240"/>
          <w:tab w:val="left" w:pos="360"/>
          <w:tab w:val="num" w:pos="720"/>
          <w:tab w:val="left" w:pos="1080"/>
          <w:tab w:val="num" w:pos="1440"/>
        </w:tabs>
        <w:autoSpaceDE w:val="0"/>
        <w:autoSpaceDN w:val="0"/>
        <w:adjustRightInd w:val="0"/>
        <w:spacing w:after="0" w:line="240" w:lineRule="auto"/>
        <w:ind w:left="720" w:right="630" w:firstLine="0"/>
        <w:jc w:val="both"/>
        <w:rPr>
          <w:lang w:val="pt-BR"/>
        </w:rPr>
      </w:pPr>
      <w:r w:rsidRPr="00E81C43">
        <w:rPr>
          <w:lang w:val="pt-BR"/>
        </w:rPr>
        <w:t xml:space="preserve">Garantir que os recursos judiciais ou administrativos pendentes interpostos pelas comunidades quilombolas ou seus representantes sejam resolvidos de forma rápida e eficaz, realizando um controle de convencionalidade de acordo com as obrigações internacionais do Estado brasileiro decorrentes da Convenção Americana. </w:t>
      </w:r>
    </w:p>
    <w:p w14:paraId="7788E5A5" w14:textId="77777777" w:rsidR="00606BFA" w:rsidRPr="00E81C43" w:rsidRDefault="00606BFA">
      <w:pPr>
        <w:tabs>
          <w:tab w:val="left" w:pos="360"/>
          <w:tab w:val="num" w:pos="720"/>
          <w:tab w:val="left" w:pos="1080"/>
          <w:tab w:val="num" w:pos="1440"/>
        </w:tabs>
        <w:autoSpaceDE w:val="0"/>
        <w:autoSpaceDN w:val="0"/>
        <w:adjustRightInd w:val="0"/>
        <w:spacing w:after="0" w:line="240" w:lineRule="auto"/>
        <w:ind w:left="720" w:right="630"/>
        <w:jc w:val="both"/>
        <w:rPr>
          <w:rFonts w:ascii="Cambria" w:hAnsi="Cambria" w:cs="Arial"/>
          <w:sz w:val="20"/>
          <w:lang w:val="pt-BR"/>
        </w:rPr>
      </w:pPr>
    </w:p>
    <w:p w14:paraId="59DEE6CC" w14:textId="77777777" w:rsidR="00606BFA" w:rsidRPr="00E81C43" w:rsidRDefault="00F2331B">
      <w:pPr>
        <w:pStyle w:val="P68B1DB1-Normal3"/>
        <w:numPr>
          <w:ilvl w:val="3"/>
          <w:numId w:val="19"/>
        </w:numPr>
        <w:tabs>
          <w:tab w:val="left" w:pos="360"/>
          <w:tab w:val="num" w:pos="720"/>
          <w:tab w:val="left" w:pos="1080"/>
          <w:tab w:val="left" w:pos="1440"/>
        </w:tabs>
        <w:autoSpaceDE w:val="0"/>
        <w:autoSpaceDN w:val="0"/>
        <w:adjustRightInd w:val="0"/>
        <w:spacing w:after="0" w:line="240" w:lineRule="auto"/>
        <w:ind w:left="720" w:right="630" w:firstLine="0"/>
        <w:jc w:val="both"/>
        <w:rPr>
          <w:lang w:val="pt-BR"/>
        </w:rPr>
      </w:pPr>
      <w:r w:rsidRPr="00E81C43">
        <w:rPr>
          <w:lang w:val="pt-BR"/>
        </w:rPr>
        <w:t>Adotar as medidas legislativas, administrativas ou outras necessárias para evitar eventos semelhantes no futuro; em particular para garantir:</w:t>
      </w:r>
    </w:p>
    <w:p w14:paraId="574903B0" w14:textId="77777777" w:rsidR="00606BFA" w:rsidRPr="00E81C43" w:rsidRDefault="00606BFA">
      <w:pPr>
        <w:pStyle w:val="ListParagraph"/>
        <w:ind w:left="0"/>
        <w:rPr>
          <w:rFonts w:eastAsia="Calibri"/>
          <w:sz w:val="20"/>
          <w:bdr w:val="none" w:sz="0" w:space="0" w:color="auto"/>
          <w:lang w:val="pt-BR"/>
        </w:rPr>
      </w:pPr>
    </w:p>
    <w:p w14:paraId="271F6023" w14:textId="77777777" w:rsidR="00606BFA" w:rsidRPr="00E81C43" w:rsidRDefault="00F2331B">
      <w:pPr>
        <w:pStyle w:val="P68B1DB1-Normal6"/>
        <w:numPr>
          <w:ilvl w:val="0"/>
          <w:numId w:val="20"/>
        </w:numPr>
        <w:tabs>
          <w:tab w:val="left" w:pos="360"/>
          <w:tab w:val="left" w:pos="1080"/>
          <w:tab w:val="left" w:pos="1440"/>
          <w:tab w:val="num" w:pos="3240"/>
        </w:tabs>
        <w:autoSpaceDE w:val="0"/>
        <w:autoSpaceDN w:val="0"/>
        <w:adjustRightInd w:val="0"/>
        <w:spacing w:after="0" w:line="240" w:lineRule="auto"/>
        <w:ind w:right="720" w:firstLine="0"/>
        <w:jc w:val="both"/>
        <w:rPr>
          <w:lang w:val="pt-BR"/>
        </w:rPr>
      </w:pPr>
      <w:r w:rsidRPr="00E81C43">
        <w:rPr>
          <w:lang w:val="pt-BR"/>
        </w:rPr>
        <w:t xml:space="preserve">mecanismos rápidos e eficazes que garantam o direito dos povos indígenas e afrodescendentes tribais de reivindicar seus territórios ancestrais e exercer pacificamente sua propriedade coletiva, por meio da titulação, demarcação, delimitação, saneamento e posse segura. </w:t>
      </w:r>
    </w:p>
    <w:p w14:paraId="79B7F973" w14:textId="77777777" w:rsidR="00606BFA" w:rsidRPr="00E81C43" w:rsidRDefault="00F2331B">
      <w:pPr>
        <w:pStyle w:val="P68B1DB1-Normal3"/>
        <w:numPr>
          <w:ilvl w:val="0"/>
          <w:numId w:val="20"/>
        </w:numPr>
        <w:tabs>
          <w:tab w:val="left" w:pos="360"/>
          <w:tab w:val="left" w:pos="1080"/>
          <w:tab w:val="left" w:pos="1440"/>
          <w:tab w:val="num" w:pos="3240"/>
        </w:tabs>
        <w:autoSpaceDE w:val="0"/>
        <w:autoSpaceDN w:val="0"/>
        <w:adjustRightInd w:val="0"/>
        <w:spacing w:after="0" w:line="240" w:lineRule="auto"/>
        <w:ind w:right="720" w:firstLine="0"/>
        <w:jc w:val="both"/>
        <w:rPr>
          <w:rFonts w:cs="Arial"/>
          <w:lang w:val="pt-BR"/>
        </w:rPr>
      </w:pPr>
      <w:r w:rsidRPr="00E81C43">
        <w:rPr>
          <w:lang w:val="pt-BR"/>
        </w:rPr>
        <w:t>mecanismos que garantam a consulta e, quando apropriado, obter seu consentimento livre, prévio e informado, com a devida participação dos povos indígenas e tribais por meio de autoridades representativas, levando em conta a Convenção 169, a jurisprudência do sistema interamericano de direitos humanos e outras normas internacionais sobre o assunto.</w:t>
      </w:r>
    </w:p>
    <w:p w14:paraId="21E9AFB5" w14:textId="77777777" w:rsidR="00606BFA" w:rsidRPr="00E81C43" w:rsidRDefault="00F2331B">
      <w:pPr>
        <w:pStyle w:val="P68B1DB1-Normal3"/>
        <w:numPr>
          <w:ilvl w:val="0"/>
          <w:numId w:val="20"/>
        </w:numPr>
        <w:tabs>
          <w:tab w:val="left" w:pos="360"/>
          <w:tab w:val="left" w:pos="1080"/>
          <w:tab w:val="left" w:pos="1440"/>
          <w:tab w:val="num" w:pos="3240"/>
        </w:tabs>
        <w:autoSpaceDE w:val="0"/>
        <w:autoSpaceDN w:val="0"/>
        <w:adjustRightInd w:val="0"/>
        <w:spacing w:after="0" w:line="240" w:lineRule="auto"/>
        <w:ind w:right="720" w:firstLine="0"/>
        <w:jc w:val="both"/>
        <w:rPr>
          <w:rFonts w:cs="Arial"/>
          <w:lang w:val="pt-BR"/>
        </w:rPr>
      </w:pPr>
      <w:r w:rsidRPr="00E81C43">
        <w:rPr>
          <w:lang w:val="pt-BR"/>
        </w:rPr>
        <w:t>mecanismos que garantam a realização de estudos prévios de impacto ambiental, social e cultural, realizados por entidades independentes e imparciais, que avaliem os possíveis danos ou afetações que possam ser causados por projetos de investimento nos setores de turismo, mineração, energia, agricultura, desenvolvimento urbano, construção, entre outros - nos territórios coletivos dos povos indígenas e comunidades tribais afrodescendentes; garantir a participação efetiva dessas comunidades nos estudos prévios à concessão das licenças ambientais para a execução das referidas atividades.</w:t>
      </w:r>
    </w:p>
    <w:p w14:paraId="1D068135" w14:textId="77777777" w:rsidR="00606BFA" w:rsidRPr="00E81C43" w:rsidRDefault="00F2331B">
      <w:pPr>
        <w:pStyle w:val="P68B1DB1-Normal3"/>
        <w:numPr>
          <w:ilvl w:val="0"/>
          <w:numId w:val="20"/>
        </w:numPr>
        <w:tabs>
          <w:tab w:val="left" w:pos="360"/>
          <w:tab w:val="left" w:pos="1080"/>
          <w:tab w:val="left" w:pos="1440"/>
          <w:tab w:val="num" w:pos="3240"/>
        </w:tabs>
        <w:autoSpaceDE w:val="0"/>
        <w:autoSpaceDN w:val="0"/>
        <w:adjustRightInd w:val="0"/>
        <w:spacing w:after="0" w:line="240" w:lineRule="auto"/>
        <w:ind w:right="720" w:firstLine="0"/>
        <w:jc w:val="both"/>
        <w:rPr>
          <w:rFonts w:cs="Arial"/>
          <w:lang w:val="pt-BR"/>
        </w:rPr>
      </w:pPr>
      <w:r w:rsidRPr="00E81C43">
        <w:rPr>
          <w:lang w:val="pt-BR"/>
        </w:rPr>
        <w:t xml:space="preserve">recursos adequados, eficazes e culturalmente apropriados, que permitam uma análise abrangente das reivindicações dos povos indígenas e afrodescendentes tribais relacionadas à reivindicação de seus territórios ancestrais em relação a projetos de desenvolvimento, concessões e/ou atividades empresariais. </w:t>
      </w:r>
    </w:p>
    <w:p w14:paraId="1D97888D" w14:textId="77777777" w:rsidR="00606BFA" w:rsidRPr="00E81C43" w:rsidRDefault="00606BFA">
      <w:pPr>
        <w:spacing w:after="0" w:line="240" w:lineRule="auto"/>
        <w:jc w:val="both"/>
        <w:rPr>
          <w:rFonts w:ascii="Cambria" w:eastAsia="Times New Roman" w:hAnsi="Cambria" w:cs="Calibri"/>
          <w:sz w:val="20"/>
          <w:lang w:val="pt-BR"/>
        </w:rPr>
      </w:pPr>
    </w:p>
    <w:p w14:paraId="328F1995" w14:textId="77777777" w:rsidR="00E81C43" w:rsidRDefault="00E81C43" w:rsidP="00E81C43">
      <w:pPr>
        <w:pStyle w:val="P68B1DB1-Normal3"/>
        <w:tabs>
          <w:tab w:val="left" w:pos="360"/>
          <w:tab w:val="left" w:pos="720"/>
          <w:tab w:val="left" w:pos="1080"/>
        </w:tabs>
        <w:autoSpaceDE w:val="0"/>
        <w:autoSpaceDN w:val="0"/>
        <w:adjustRightInd w:val="0"/>
        <w:spacing w:after="0" w:line="240" w:lineRule="auto"/>
        <w:jc w:val="both"/>
        <w:rPr>
          <w:lang w:val="pt-BR"/>
        </w:rPr>
      </w:pPr>
      <w:r>
        <w:rPr>
          <w:lang w:val="pt-BR"/>
        </w:rPr>
        <w:tab/>
      </w:r>
      <w:r w:rsidR="00F2331B" w:rsidRPr="00E81C43">
        <w:rPr>
          <w:lang w:val="pt-BR"/>
        </w:rPr>
        <w:t xml:space="preserve">Além da necessidade de obter justiça e reparação pelo descumprimento das recomendações do Relatório de Mérito, a Comissão considera que o caso suscita questões de ordem pública interamericana. Isto permitirá que o Ilustre Tribunal continue desenvolvendo sua jurisprudência sobre o direito das comunidades indígenas e tribais à propriedade coletiva de seus territórios ancestrais, bem como sua interdependência com outros direitos fundamentais. Em particular, no que diz respeito à delimitação, demarcação e titulação completa dos territórios ancestrais, à posse e uso dos mesmos de forma coletiva, bem como à autodeterminação dos membros das comunidades. Da mesma forma, o presente caso permitirá continuar aprofundando as normas interamericanas em matéria de consulta e consentimento prévio, livre e informado nos casos de projetos de desenvolvimento, concessões e/ou atividades empresariais que possam afetar os direitos ou interesses das comunidades indígenas ou tribais, inclusive no contexto de acordos ou convenções com outros Estados. Por outro lado, o presente caso oferece a oportunidade de consolidar as normas interamericanas relacionadas com o dever especial de proteção que os Estados têm em relação a suas próprias ações e práticas ou de terceiros que, com sua tolerância ou aquiescência, mantêm ou favorecem situações discriminatórias em detrimento de povos indígenas ou tribais que sofrem desigualdades estruturais ou foram historicamente excluídos. </w:t>
      </w:r>
    </w:p>
    <w:p w14:paraId="2CCAA909" w14:textId="77777777" w:rsidR="00E81C43" w:rsidRDefault="00E81C43" w:rsidP="00E81C43">
      <w:pPr>
        <w:pStyle w:val="P68B1DB1-Normal3"/>
        <w:tabs>
          <w:tab w:val="left" w:pos="360"/>
          <w:tab w:val="left" w:pos="720"/>
          <w:tab w:val="left" w:pos="1080"/>
        </w:tabs>
        <w:autoSpaceDE w:val="0"/>
        <w:autoSpaceDN w:val="0"/>
        <w:adjustRightInd w:val="0"/>
        <w:spacing w:after="0" w:line="240" w:lineRule="auto"/>
        <w:jc w:val="both"/>
        <w:rPr>
          <w:lang w:val="pt-BR"/>
        </w:rPr>
      </w:pPr>
    </w:p>
    <w:p w14:paraId="24BE5EB5" w14:textId="75C397E1" w:rsidR="00606BFA" w:rsidRPr="00E81C43" w:rsidRDefault="00E81C43" w:rsidP="00E81C43">
      <w:pPr>
        <w:pStyle w:val="P68B1DB1-Normal3"/>
        <w:tabs>
          <w:tab w:val="left" w:pos="360"/>
          <w:tab w:val="left" w:pos="720"/>
          <w:tab w:val="left" w:pos="1080"/>
        </w:tabs>
        <w:autoSpaceDE w:val="0"/>
        <w:autoSpaceDN w:val="0"/>
        <w:adjustRightInd w:val="0"/>
        <w:spacing w:after="0" w:line="240" w:lineRule="auto"/>
        <w:jc w:val="both"/>
        <w:rPr>
          <w:rFonts w:eastAsia="Times New Roman"/>
          <w:lang w:val="pt-BR"/>
        </w:rPr>
      </w:pPr>
      <w:r>
        <w:rPr>
          <w:lang w:val="pt-BR"/>
        </w:rPr>
        <w:tab/>
      </w:r>
      <w:r w:rsidR="00F2331B" w:rsidRPr="00E81C43">
        <w:rPr>
          <w:lang w:val="pt-BR"/>
        </w:rPr>
        <w:t xml:space="preserve">Dado que essas questões afetam significativamente a ordem pública interamericana, de acordo com o artigo 35.1 f) do Regulamento da Corte Interamericana, a Comissão oferece a seguinte declaração pericial: </w:t>
      </w:r>
    </w:p>
    <w:p w14:paraId="364403F2" w14:textId="77777777" w:rsidR="00606BFA" w:rsidRPr="00E81C43" w:rsidRDefault="00606BFA">
      <w:pPr>
        <w:spacing w:after="0" w:line="240" w:lineRule="auto"/>
        <w:ind w:firstLine="720"/>
        <w:jc w:val="both"/>
        <w:rPr>
          <w:rFonts w:ascii="Cambria" w:hAnsi="Cambria" w:cs="Calibri"/>
          <w:color w:val="000000"/>
          <w:sz w:val="20"/>
          <w:lang w:val="pt-BR"/>
        </w:rPr>
      </w:pPr>
    </w:p>
    <w:p w14:paraId="7504F3FA" w14:textId="77777777" w:rsidR="00E81C43" w:rsidRDefault="00E81C43"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r>
        <w:rPr>
          <w:rFonts w:ascii="Cambria" w:hAnsi="Cambria" w:cs="Calibri"/>
          <w:b/>
          <w:lang w:val="pt-BR"/>
        </w:rPr>
        <w:tab/>
      </w:r>
      <w:r w:rsidR="00F2331B" w:rsidRPr="00E81C43">
        <w:rPr>
          <w:rFonts w:ascii="Cambria" w:hAnsi="Cambria" w:cs="Calibri"/>
          <w:b/>
          <w:lang w:val="pt-BR"/>
        </w:rPr>
        <w:t>O(a) perito(a), cujo nome será informado em breve</w:t>
      </w:r>
      <w:r w:rsidR="00F2331B" w:rsidRPr="00E81C43">
        <w:rPr>
          <w:rFonts w:ascii="Cambria" w:hAnsi="Cambria"/>
          <w:lang w:val="pt-BR"/>
        </w:rPr>
        <w:t xml:space="preserve">, declarará as obrigações dos Estados em relação ao direito das comunidades indígenas e tribais à propriedade coletiva de seus territórios ancestrais, incluindo sua interdependência com outros direitos, como os direitos econômicos, sociais, culturais e ambientais. Entre outros aspectos, o(a) perito(a) prestará depoimento sobre as medidas que os Estados devem adotar para garantir a propriedade coletiva das terras e territórios desses povos, bem como realizar uma consulta e, quando for o caso, obter o consentimento livre, prévio e informado consentimento dos povos indígenas e tribais, no âmbito da execução de projetos de desenvolvimento, concessões e/ou atividades empresariais, inclusive no âmbito da execução de acordos ou convenções com outros Estados. Da mesma forma, o(a) perito(a)a se referirá às obrigações internacionais dos Estados em relação ao acesso à justiça para que os povos indígenas e tribais reivindiquem seus territórios ancestrais e exerçam pacificamente sua propriedade coletiva em face de projetos, concessões e/ou atividades de desenvolvimento. em seus territórios ancestrais. </w:t>
      </w:r>
      <w:r w:rsidR="00F2331B" w:rsidRPr="00E81C43">
        <w:rPr>
          <w:rFonts w:ascii="Cambria" w:hAnsi="Cambria" w:cs="Calibri"/>
          <w:color w:val="000000"/>
          <w:lang w:val="pt-BR"/>
        </w:rPr>
        <w:t>Na medida do pertinente, o(a) perito(a) se referirá a outros sistemas internacionais de proteção dos direitos humanos e direito comparado. Para exemplificar o desenvolvimento de sua perícia, o(a) perito(a) pode referir-se aos fatos do caso.</w:t>
      </w:r>
    </w:p>
    <w:p w14:paraId="5098AF71" w14:textId="21B5CA7F" w:rsidR="00E81C43" w:rsidRDefault="00E81C43"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56263F2E" w14:textId="1452A7C6"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41FB0529" w14:textId="5601D281"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1EF58C30" w14:textId="4D0FC170"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707CC1C6" w14:textId="7D22ABD5"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36270197" w14:textId="1174D766"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4A7819DA" w14:textId="7C84AA11"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087D4145" w14:textId="77777777" w:rsidR="00CD6175" w:rsidRDefault="00CD6175"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Calibri"/>
          <w:color w:val="000000"/>
          <w:lang w:val="pt-BR"/>
        </w:rPr>
      </w:pPr>
    </w:p>
    <w:p w14:paraId="6BDA6573" w14:textId="77777777" w:rsidR="00E81C43" w:rsidRDefault="00E81C43" w:rsidP="00E81C43">
      <w:pPr>
        <w:pStyle w:val="CommentText"/>
        <w:tabs>
          <w:tab w:val="left" w:pos="360"/>
          <w:tab w:val="left" w:pos="720"/>
          <w:tab w:val="left" w:pos="1080"/>
        </w:tabs>
        <w:autoSpaceDE w:val="0"/>
        <w:autoSpaceDN w:val="0"/>
        <w:adjustRightInd w:val="0"/>
        <w:spacing w:after="0" w:line="240" w:lineRule="auto"/>
        <w:jc w:val="both"/>
        <w:rPr>
          <w:lang w:val="pt-BR"/>
        </w:rPr>
      </w:pPr>
      <w:r>
        <w:rPr>
          <w:rFonts w:ascii="Cambria" w:hAnsi="Cambria" w:cs="Calibri"/>
          <w:color w:val="000000"/>
          <w:lang w:val="pt-BR"/>
        </w:rPr>
        <w:tab/>
      </w:r>
      <w:r w:rsidR="00F2331B" w:rsidRPr="00E81C43">
        <w:rPr>
          <w:lang w:val="pt-BR"/>
        </w:rPr>
        <w:t xml:space="preserve">O currículo do(a) perito(a) proposto(a) constará dos anexos do Laudo de Mérito nº. 189/20. </w:t>
      </w:r>
    </w:p>
    <w:p w14:paraId="32E40597" w14:textId="77777777" w:rsidR="00E81C43" w:rsidRDefault="00E81C43" w:rsidP="00E81C43">
      <w:pPr>
        <w:pStyle w:val="CommentText"/>
        <w:tabs>
          <w:tab w:val="left" w:pos="360"/>
          <w:tab w:val="left" w:pos="720"/>
          <w:tab w:val="left" w:pos="1080"/>
        </w:tabs>
        <w:autoSpaceDE w:val="0"/>
        <w:autoSpaceDN w:val="0"/>
        <w:adjustRightInd w:val="0"/>
        <w:spacing w:after="0" w:line="240" w:lineRule="auto"/>
        <w:jc w:val="both"/>
        <w:rPr>
          <w:lang w:val="pt-BR"/>
        </w:rPr>
      </w:pPr>
    </w:p>
    <w:p w14:paraId="578A643F" w14:textId="70B74C37" w:rsidR="00606BFA" w:rsidRPr="00E81C43" w:rsidRDefault="00E81C43" w:rsidP="00E81C43">
      <w:pPr>
        <w:pStyle w:val="CommentText"/>
        <w:tabs>
          <w:tab w:val="left" w:pos="360"/>
          <w:tab w:val="left" w:pos="720"/>
          <w:tab w:val="left" w:pos="1080"/>
        </w:tabs>
        <w:autoSpaceDE w:val="0"/>
        <w:autoSpaceDN w:val="0"/>
        <w:adjustRightInd w:val="0"/>
        <w:spacing w:after="0" w:line="240" w:lineRule="auto"/>
        <w:jc w:val="both"/>
        <w:rPr>
          <w:rFonts w:ascii="Cambria" w:hAnsi="Cambria" w:cs="Arial"/>
          <w:lang w:val="pt-BR"/>
        </w:rPr>
      </w:pPr>
      <w:r>
        <w:rPr>
          <w:lang w:val="pt-BR"/>
        </w:rPr>
        <w:tab/>
      </w:r>
      <w:r w:rsidR="00F2331B" w:rsidRPr="00E81C43">
        <w:rPr>
          <w:lang w:val="pt-BR"/>
        </w:rPr>
        <w:t>A Comissão informa ao Ilustre Tribunal as seguintes informações de quem atua como peticionário no processo perante a CIDH de acordo com as informações mais recentes:</w:t>
      </w:r>
    </w:p>
    <w:p w14:paraId="7334A518" w14:textId="77777777" w:rsidR="00606BFA" w:rsidRPr="00E81C43" w:rsidRDefault="00606BFA">
      <w:pPr>
        <w:spacing w:after="0" w:line="240" w:lineRule="auto"/>
        <w:jc w:val="both"/>
        <w:rPr>
          <w:rFonts w:ascii="Cambria" w:hAnsi="Cambria" w:cs="Calibri"/>
          <w:color w:val="000000"/>
          <w:sz w:val="20"/>
          <w:lang w:val="pt-BR"/>
        </w:rPr>
      </w:pPr>
    </w:p>
    <w:p w14:paraId="45AE6C40" w14:textId="77777777" w:rsidR="00606BFA" w:rsidRPr="00E81C43" w:rsidRDefault="00F2331B">
      <w:pPr>
        <w:pStyle w:val="P68B1DB1-Normal4"/>
        <w:tabs>
          <w:tab w:val="left" w:pos="1455"/>
        </w:tabs>
        <w:spacing w:after="0" w:line="240" w:lineRule="auto"/>
        <w:jc w:val="center"/>
        <w:rPr>
          <w:lang w:val="pt-BR"/>
        </w:rPr>
      </w:pPr>
      <w:r w:rsidRPr="00E81C43">
        <w:rPr>
          <w:lang w:val="pt-BR"/>
        </w:rPr>
        <w:t>Justiça Global</w:t>
      </w:r>
    </w:p>
    <w:p w14:paraId="4F7BA7B2" w14:textId="4600289B" w:rsidR="00606BFA" w:rsidRPr="00CD0CE8" w:rsidRDefault="00CD0CE8">
      <w:pPr>
        <w:spacing w:after="0" w:line="240" w:lineRule="auto"/>
        <w:jc w:val="center"/>
        <w:rPr>
          <w:rFonts w:ascii="Cambria" w:hAnsi="Cambria" w:cs="Calibri"/>
          <w:sz w:val="20"/>
          <w:highlight w:val="black"/>
          <w:lang w:val="pt-BR"/>
        </w:rPr>
      </w:pPr>
      <w:r w:rsidRPr="00CD0CE8">
        <w:rPr>
          <w:rFonts w:ascii="Cambria" w:hAnsi="Cambria" w:cs="Calibri"/>
          <w:sz w:val="20"/>
          <w:highlight w:val="black"/>
          <w:lang w:val="pt-BR"/>
        </w:rPr>
        <w:t>XXXXXXXXXXXXXXXXXXXXXXX</w:t>
      </w:r>
    </w:p>
    <w:p w14:paraId="55DD2656" w14:textId="77777777" w:rsidR="00606BFA" w:rsidRPr="00E81C43" w:rsidRDefault="00606BFA">
      <w:pPr>
        <w:spacing w:after="0" w:line="240" w:lineRule="auto"/>
        <w:jc w:val="center"/>
        <w:rPr>
          <w:rFonts w:ascii="Cambria" w:hAnsi="Cambria" w:cs="Calibri"/>
          <w:sz w:val="20"/>
          <w:lang w:val="pt-BR"/>
        </w:rPr>
      </w:pPr>
    </w:p>
    <w:p w14:paraId="2014A6CF" w14:textId="77777777" w:rsidR="00606BFA" w:rsidRPr="00E81C43" w:rsidRDefault="00F2331B">
      <w:pPr>
        <w:pStyle w:val="P68B1DB1-Normal4"/>
        <w:spacing w:after="0" w:line="240" w:lineRule="auto"/>
        <w:jc w:val="center"/>
        <w:rPr>
          <w:lang w:val="pt-BR"/>
        </w:rPr>
      </w:pPr>
      <w:r w:rsidRPr="00E81C43">
        <w:rPr>
          <w:lang w:val="pt-BR"/>
        </w:rPr>
        <w:t>Sociedade Maranhense de Direitos Humanos</w:t>
      </w:r>
    </w:p>
    <w:p w14:paraId="53500673" w14:textId="3FE9972A" w:rsidR="00606BFA" w:rsidRPr="00CD0CE8" w:rsidRDefault="00CD0CE8">
      <w:pPr>
        <w:spacing w:after="0" w:line="240" w:lineRule="auto"/>
        <w:jc w:val="center"/>
        <w:rPr>
          <w:rFonts w:ascii="Cambria" w:hAnsi="Cambria" w:cs="Calibri"/>
          <w:sz w:val="20"/>
          <w:highlight w:val="black"/>
          <w:lang w:val="pt-BR"/>
        </w:rPr>
      </w:pPr>
      <w:r w:rsidRPr="00CD0CE8">
        <w:rPr>
          <w:rFonts w:ascii="Cambria" w:hAnsi="Cambria" w:cs="Calibri"/>
          <w:sz w:val="20"/>
          <w:highlight w:val="black"/>
          <w:lang w:val="pt-BR"/>
        </w:rPr>
        <w:t>XXXXXXXXXXXXXXXXXX</w:t>
      </w:r>
    </w:p>
    <w:p w14:paraId="40144CE8" w14:textId="77777777" w:rsidR="00606BFA" w:rsidRPr="00E81C43" w:rsidRDefault="00606BFA">
      <w:pPr>
        <w:spacing w:after="0" w:line="240" w:lineRule="auto"/>
        <w:jc w:val="center"/>
        <w:rPr>
          <w:rFonts w:ascii="Cambria" w:hAnsi="Cambria"/>
          <w:sz w:val="20"/>
          <w:lang w:val="pt-BR"/>
        </w:rPr>
      </w:pPr>
    </w:p>
    <w:p w14:paraId="65D74608" w14:textId="77777777" w:rsidR="00606BFA" w:rsidRPr="00E81C43" w:rsidRDefault="00F2331B">
      <w:pPr>
        <w:pStyle w:val="P68B1DB1-Normal4"/>
        <w:tabs>
          <w:tab w:val="left" w:pos="1455"/>
        </w:tabs>
        <w:spacing w:after="0" w:line="240" w:lineRule="auto"/>
        <w:jc w:val="center"/>
        <w:rPr>
          <w:lang w:val="pt-BR"/>
        </w:rPr>
      </w:pPr>
      <w:r w:rsidRPr="00E81C43">
        <w:rPr>
          <w:lang w:val="pt-BR"/>
        </w:rPr>
        <w:t>Defensoria Pública da União</w:t>
      </w:r>
    </w:p>
    <w:p w14:paraId="0EA69460" w14:textId="1334DE77" w:rsidR="00606BFA" w:rsidRPr="00CD0CE8" w:rsidRDefault="00CD0CE8">
      <w:pPr>
        <w:spacing w:after="0" w:line="240" w:lineRule="auto"/>
        <w:jc w:val="center"/>
        <w:rPr>
          <w:rFonts w:ascii="Cambria" w:hAnsi="Cambria" w:cs="Calibri"/>
          <w:sz w:val="20"/>
          <w:highlight w:val="black"/>
          <w:lang w:val="pt-BR"/>
        </w:rPr>
      </w:pPr>
      <w:r w:rsidRPr="00CD0CE8">
        <w:rPr>
          <w:rFonts w:ascii="Cambria" w:hAnsi="Cambria" w:cs="Calibri"/>
          <w:sz w:val="20"/>
          <w:highlight w:val="black"/>
          <w:lang w:val="pt-BR"/>
        </w:rPr>
        <w:t>XXXXXXXXXXXXXXXXXXXXXXXXX</w:t>
      </w:r>
    </w:p>
    <w:p w14:paraId="2796D6D5" w14:textId="77777777" w:rsidR="00606BFA" w:rsidRPr="00E81C43" w:rsidRDefault="00606BFA">
      <w:pPr>
        <w:spacing w:after="0" w:line="240" w:lineRule="auto"/>
        <w:jc w:val="center"/>
        <w:rPr>
          <w:rFonts w:ascii="Cambria" w:hAnsi="Cambria" w:cs="Calibri"/>
          <w:color w:val="000000"/>
          <w:sz w:val="20"/>
          <w:lang w:val="pt-BR"/>
        </w:rPr>
      </w:pPr>
    </w:p>
    <w:p w14:paraId="60BC6672" w14:textId="548E35C7" w:rsidR="00606BFA" w:rsidRPr="00E81C43" w:rsidRDefault="00E81C43" w:rsidP="00E81C43">
      <w:pPr>
        <w:pStyle w:val="CommentText"/>
        <w:tabs>
          <w:tab w:val="left" w:pos="360"/>
          <w:tab w:val="left" w:pos="720"/>
          <w:tab w:val="left" w:pos="1080"/>
        </w:tabs>
        <w:autoSpaceDE w:val="0"/>
        <w:autoSpaceDN w:val="0"/>
        <w:adjustRightInd w:val="0"/>
        <w:spacing w:after="0" w:line="240" w:lineRule="auto"/>
        <w:jc w:val="both"/>
        <w:rPr>
          <w:lang w:val="pt-BR"/>
        </w:rPr>
      </w:pPr>
      <w:r>
        <w:rPr>
          <w:lang w:val="pt-BR"/>
        </w:rPr>
        <w:tab/>
      </w:r>
      <w:r w:rsidR="00F2331B" w:rsidRPr="00E81C43">
        <w:rPr>
          <w:lang w:val="pt-BR"/>
        </w:rPr>
        <w:t>Transmito-lhe meus sinceros cumprimentos,</w:t>
      </w:r>
    </w:p>
    <w:p w14:paraId="36B2FEAD" w14:textId="138D88CF" w:rsidR="00606BFA" w:rsidRPr="00E81C43" w:rsidRDefault="00606BFA">
      <w:pPr>
        <w:pStyle w:val="P68B1DB1-Normal7"/>
        <w:spacing w:after="0" w:line="240" w:lineRule="auto"/>
        <w:jc w:val="center"/>
        <w:rPr>
          <w:rFonts w:ascii="Cambria" w:hAnsi="Cambria"/>
          <w:sz w:val="20"/>
          <w:lang w:val="pt-BR"/>
        </w:rPr>
      </w:pPr>
    </w:p>
    <w:p w14:paraId="0BE115D5" w14:textId="77777777" w:rsidR="00606BFA" w:rsidRPr="00E81C43" w:rsidRDefault="00F2331B">
      <w:pPr>
        <w:pStyle w:val="P68B1DB1-Normal4"/>
        <w:tabs>
          <w:tab w:val="left" w:pos="-720"/>
        </w:tabs>
        <w:spacing w:after="0" w:line="240" w:lineRule="auto"/>
        <w:jc w:val="center"/>
        <w:rPr>
          <w:lang w:val="pt-BR"/>
        </w:rPr>
      </w:pPr>
      <w:r w:rsidRPr="00E81C43">
        <w:rPr>
          <w:lang w:val="pt-BR"/>
        </w:rPr>
        <w:t>Marisol Blanchard</w:t>
      </w:r>
    </w:p>
    <w:p w14:paraId="550F3DD5" w14:textId="77777777" w:rsidR="00606BFA" w:rsidRPr="00E81C43" w:rsidRDefault="00F2331B">
      <w:pPr>
        <w:pStyle w:val="P68B1DB1-Normal4"/>
        <w:tabs>
          <w:tab w:val="left" w:pos="-720"/>
          <w:tab w:val="left" w:pos="5760"/>
        </w:tabs>
        <w:spacing w:after="0" w:line="240" w:lineRule="auto"/>
        <w:jc w:val="center"/>
        <w:rPr>
          <w:lang w:val="pt-BR"/>
        </w:rPr>
      </w:pPr>
      <w:r w:rsidRPr="00E81C43">
        <w:rPr>
          <w:lang w:val="pt-BR"/>
        </w:rPr>
        <w:t>Secretária Executiva Adjunta</w:t>
      </w:r>
    </w:p>
    <w:p w14:paraId="44C3E9B9" w14:textId="77777777" w:rsidR="00606BFA" w:rsidRPr="00E81C43" w:rsidRDefault="00606BFA">
      <w:pPr>
        <w:spacing w:after="0" w:line="240" w:lineRule="auto"/>
        <w:jc w:val="both"/>
        <w:rPr>
          <w:rFonts w:ascii="Cambria" w:hAnsi="Cambria" w:cs="Calibri"/>
          <w:color w:val="000000"/>
          <w:sz w:val="20"/>
          <w:lang w:val="pt-BR"/>
        </w:rPr>
      </w:pPr>
      <w:bookmarkStart w:id="2" w:name="ministro"/>
      <w:bookmarkEnd w:id="2"/>
    </w:p>
    <w:p w14:paraId="2AEA33C7" w14:textId="77777777" w:rsidR="00606BFA" w:rsidRPr="00E81C43" w:rsidRDefault="00606BFA">
      <w:pPr>
        <w:spacing w:after="0" w:line="240" w:lineRule="auto"/>
        <w:jc w:val="both"/>
        <w:rPr>
          <w:rFonts w:ascii="Cambria" w:hAnsi="Cambria" w:cs="Calibri"/>
          <w:color w:val="000000"/>
          <w:sz w:val="20"/>
          <w:lang w:val="pt-BR"/>
        </w:rPr>
      </w:pPr>
    </w:p>
    <w:p w14:paraId="75D11D66" w14:textId="77777777" w:rsidR="00606BFA" w:rsidRPr="00E81C43" w:rsidRDefault="00F2331B">
      <w:pPr>
        <w:pStyle w:val="P68B1DB1-Normal1"/>
        <w:spacing w:after="0" w:line="240" w:lineRule="auto"/>
        <w:jc w:val="both"/>
        <w:rPr>
          <w:lang w:val="pt-BR"/>
        </w:rPr>
      </w:pPr>
      <w:r w:rsidRPr="00E81C43">
        <w:rPr>
          <w:lang w:val="pt-BR"/>
        </w:rPr>
        <w:t>Anexo</w:t>
      </w:r>
    </w:p>
    <w:sectPr w:rsidR="00606BFA" w:rsidRPr="00E81C43">
      <w:headerReference w:type="default" r:id="rId12"/>
      <w:footerReference w:type="default" r:id="rId13"/>
      <w:headerReference w:type="first" r:id="rId14"/>
      <w:footerReference w:type="first" r:id="rId15"/>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2093" w14:textId="77777777" w:rsidR="001F2FE7" w:rsidRDefault="001F2FE7">
      <w:pPr>
        <w:spacing w:after="0" w:line="240" w:lineRule="auto"/>
      </w:pPr>
      <w:r>
        <w:separator/>
      </w:r>
    </w:p>
  </w:endnote>
  <w:endnote w:type="continuationSeparator" w:id="0">
    <w:p w14:paraId="138108C6" w14:textId="77777777" w:rsidR="001F2FE7" w:rsidRDefault="001F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472" w14:textId="77777777" w:rsidR="00606BFA" w:rsidRDefault="00F2331B">
    <w:pPr>
      <w:pStyle w:val="P68B1DB1-Footer8"/>
      <w:jc w:val="center"/>
    </w:pPr>
    <w:r>
      <w:fldChar w:fldCharType="begin"/>
    </w:r>
    <w:r>
      <w:instrText xml:space="preserve"> PAGE   \* MERGEFORMAT </w:instrText>
    </w:r>
    <w:r>
      <w:fldChar w:fldCharType="separate"/>
    </w:r>
    <w:r>
      <w:t>4</w:t>
    </w:r>
    <w:r>
      <w:fldChar w:fldCharType="end"/>
    </w:r>
  </w:p>
  <w:p w14:paraId="77C52C03" w14:textId="77777777" w:rsidR="00606BFA" w:rsidRDefault="00F2331B">
    <w:pPr>
      <w:pStyle w:val="Footer"/>
      <w:spacing w:line="360" w:lineRule="auto"/>
    </w:pPr>
    <w:r>
      <w:t>_____________________________________________________________________________________</w:t>
    </w:r>
  </w:p>
  <w:p w14:paraId="62366001" w14:textId="258982FD" w:rsidR="00606BFA" w:rsidRDefault="00F2331B">
    <w:pPr>
      <w:pStyle w:val="Footer"/>
      <w:jc w:val="center"/>
    </w:pPr>
    <w:r>
      <w:rPr>
        <w:noProof/>
      </w:rPr>
      <w:drawing>
        <wp:inline distT="0" distB="0" distL="0" distR="0" wp14:anchorId="400DE7F1" wp14:editId="6E35EB1C">
          <wp:extent cx="5114925" cy="314325"/>
          <wp:effectExtent l="0" t="0" r="0" b="0"/>
          <wp:docPr id="6"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7E5" w14:textId="77777777" w:rsidR="00606BFA" w:rsidRDefault="00F2331B">
    <w:pPr>
      <w:pStyle w:val="Footer"/>
      <w:spacing w:line="360" w:lineRule="auto"/>
    </w:pPr>
    <w:r>
      <w:t>_____________________________________________________________________________________</w:t>
    </w:r>
  </w:p>
  <w:p w14:paraId="4764F9F8" w14:textId="74A7A2D1" w:rsidR="00606BFA" w:rsidRDefault="00F2331B">
    <w:pPr>
      <w:pStyle w:val="Footer"/>
      <w:jc w:val="center"/>
    </w:pPr>
    <w:r>
      <w:rPr>
        <w:noProof/>
      </w:rPr>
      <w:drawing>
        <wp:inline distT="0" distB="0" distL="0" distR="0" wp14:anchorId="569E6A69" wp14:editId="42E5602E">
          <wp:extent cx="5114925" cy="314325"/>
          <wp:effectExtent l="0" t="0" r="0" b="0"/>
          <wp:docPr id="4"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206A" w14:textId="77777777" w:rsidR="001F2FE7" w:rsidRDefault="001F2FE7">
      <w:pPr>
        <w:spacing w:after="0" w:line="240" w:lineRule="auto"/>
      </w:pPr>
      <w:r>
        <w:separator/>
      </w:r>
    </w:p>
  </w:footnote>
  <w:footnote w:type="continuationSeparator" w:id="0">
    <w:p w14:paraId="605CA7D9" w14:textId="77777777" w:rsidR="001F2FE7" w:rsidRDefault="001F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9A90" w14:textId="0DA8BFAE" w:rsidR="00606BFA" w:rsidRDefault="00F2331B">
    <w:pPr>
      <w:pStyle w:val="Header"/>
      <w:jc w:val="center"/>
    </w:pPr>
    <w:r>
      <w:rPr>
        <w:noProof/>
      </w:rPr>
      <w:drawing>
        <wp:inline distT="0" distB="0" distL="0" distR="0" wp14:anchorId="16651CC8" wp14:editId="05CC676F">
          <wp:extent cx="22860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33350"/>
                  </a:xfrm>
                  <a:prstGeom prst="rect">
                    <a:avLst/>
                  </a:prstGeom>
                  <a:noFill/>
                  <a:ln>
                    <a:noFill/>
                  </a:ln>
                </pic:spPr>
              </pic:pic>
            </a:graphicData>
          </a:graphic>
        </wp:inline>
      </w:drawing>
    </w:r>
  </w:p>
  <w:p w14:paraId="500F62EC" w14:textId="77777777" w:rsidR="00606BFA" w:rsidRDefault="00F2331B">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CBF0" w14:textId="37AB7B00" w:rsidR="00606BFA" w:rsidRDefault="00F2331B">
    <w:pPr>
      <w:pStyle w:val="Header"/>
    </w:pPr>
    <w:r>
      <w:rPr>
        <w:noProof/>
      </w:rPr>
      <w:drawing>
        <wp:anchor distT="0" distB="0" distL="114300" distR="114300" simplePos="0" relativeHeight="251658240" behindDoc="1" locked="0" layoutInCell="1" allowOverlap="1" wp14:anchorId="795A5354" wp14:editId="4C645490">
          <wp:simplePos x="0" y="0"/>
          <wp:positionH relativeFrom="margin">
            <wp:posOffset>3600451</wp:posOffset>
          </wp:positionH>
          <wp:positionV relativeFrom="margin">
            <wp:posOffset>-459761</wp:posOffset>
          </wp:positionV>
          <wp:extent cx="2190750" cy="562631"/>
          <wp:effectExtent l="0" t="0" r="0" b="8890"/>
          <wp:wrapNone/>
          <wp:docPr id="8" name="Picture 8"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8082" cy="5645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B805E6" wp14:editId="0FE9AB8D">
          <wp:extent cx="2343150" cy="457200"/>
          <wp:effectExtent l="0" t="0" r="0" b="0"/>
          <wp:docPr id="2"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57200"/>
                  </a:xfrm>
                  <a:prstGeom prst="rect">
                    <a:avLst/>
                  </a:prstGeom>
                  <a:noFill/>
                  <a:ln>
                    <a:noFill/>
                  </a:ln>
                </pic:spPr>
              </pic:pic>
            </a:graphicData>
          </a:graphic>
        </wp:inline>
      </w:drawing>
    </w:r>
    <w:r>
      <w:tab/>
    </w:r>
    <w:r>
      <w:tab/>
    </w:r>
  </w:p>
  <w:p w14:paraId="54778097" w14:textId="33E3727A" w:rsidR="00606BFA" w:rsidRDefault="00CD0CE8">
    <w:pPr>
      <w:pStyle w:val="Header"/>
    </w:pPr>
    <w:r>
      <w:rPr>
        <w:noProof/>
      </w:rPr>
      <w:pict w14:anchorId="6D76291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A1"/>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D56AC9"/>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7553490"/>
    <w:multiLevelType w:val="hybridMultilevel"/>
    <w:tmpl w:val="98C2F8A2"/>
    <w:lvl w:ilvl="0" w:tplc="F788C15C">
      <w:start w:val="20"/>
      <w:numFmt w:val="decimal"/>
      <w:lvlText w:val="%1."/>
      <w:lvlJc w:val="left"/>
      <w:pPr>
        <w:ind w:left="720" w:hanging="360"/>
      </w:pPr>
      <w:rPr>
        <w:rFonts w:ascii="Cambria" w:hAnsi="Cambria"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C67FFA"/>
    <w:multiLevelType w:val="hybridMultilevel"/>
    <w:tmpl w:val="3B324E06"/>
    <w:lvl w:ilvl="0" w:tplc="5D921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C6A"/>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8B6462"/>
    <w:multiLevelType w:val="hybridMultilevel"/>
    <w:tmpl w:val="610EC480"/>
    <w:lvl w:ilvl="0" w:tplc="ED0447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B48A7"/>
    <w:multiLevelType w:val="hybridMultilevel"/>
    <w:tmpl w:val="8F2605F0"/>
    <w:lvl w:ilvl="0" w:tplc="8B2C8F78">
      <w:start w:val="1"/>
      <w:numFmt w:val="decimal"/>
      <w:lvlText w:val="%1."/>
      <w:lvlJc w:val="left"/>
      <w:pPr>
        <w:ind w:left="720" w:hanging="360"/>
      </w:pPr>
      <w:rPr>
        <w:rFonts w:eastAsia="Cambria" w:cs="Cambr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1D90"/>
    <w:multiLevelType w:val="hybridMultilevel"/>
    <w:tmpl w:val="88B899B8"/>
    <w:lvl w:ilvl="0" w:tplc="C7EC2450">
      <w:start w:val="1"/>
      <w:numFmt w:val="decimal"/>
      <w:lvlText w:val="%1."/>
      <w:lvlJc w:val="left"/>
      <w:pPr>
        <w:tabs>
          <w:tab w:val="num" w:pos="1080"/>
        </w:tabs>
        <w:ind w:left="1080" w:hanging="360"/>
      </w:pPr>
      <w:rPr>
        <w:rFonts w:ascii="Cambria" w:hAnsi="Cambria" w:cs="Times New Roman" w:hint="default"/>
        <w:b w:val="0"/>
        <w:i w:val="0"/>
        <w:sz w:val="20"/>
        <w:szCs w:val="20"/>
        <w:lang w:val="es-CO"/>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B44B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401A6212"/>
    <w:multiLevelType w:val="hybridMultilevel"/>
    <w:tmpl w:val="0E28989A"/>
    <w:lvl w:ilvl="0" w:tplc="9A5C2456">
      <w:start w:val="20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91082E"/>
    <w:multiLevelType w:val="hybridMultilevel"/>
    <w:tmpl w:val="F2DC6340"/>
    <w:lvl w:ilvl="0" w:tplc="0B726994">
      <w:start w:val="1"/>
      <w:numFmt w:val="decimal"/>
      <w:lvlText w:val="%1."/>
      <w:lvlJc w:val="left"/>
      <w:pPr>
        <w:ind w:left="360" w:hanging="360"/>
      </w:pPr>
      <w:rPr>
        <w:rFonts w:ascii="Cambria" w:hAnsi="Cambria" w:hint="default"/>
        <w:b w:val="0"/>
        <w:i w:val="0"/>
        <w:color w:val="000000"/>
        <w:sz w:val="20"/>
        <w:lang w:val="es-CO"/>
      </w:rPr>
    </w:lvl>
    <w:lvl w:ilvl="1" w:tplc="240A0019" w:tentative="1">
      <w:start w:val="1"/>
      <w:numFmt w:val="lowerLetter"/>
      <w:lvlText w:val="%2."/>
      <w:lvlJc w:val="left"/>
      <w:pPr>
        <w:ind w:left="-450" w:hanging="360"/>
      </w:pPr>
    </w:lvl>
    <w:lvl w:ilvl="2" w:tplc="240A001B" w:tentative="1">
      <w:start w:val="1"/>
      <w:numFmt w:val="lowerRoman"/>
      <w:lvlText w:val="%3."/>
      <w:lvlJc w:val="right"/>
      <w:pPr>
        <w:ind w:left="270" w:hanging="180"/>
      </w:pPr>
    </w:lvl>
    <w:lvl w:ilvl="3" w:tplc="240A000F" w:tentative="1">
      <w:start w:val="1"/>
      <w:numFmt w:val="decimal"/>
      <w:lvlText w:val="%4."/>
      <w:lvlJc w:val="left"/>
      <w:pPr>
        <w:ind w:left="990" w:hanging="360"/>
      </w:pPr>
    </w:lvl>
    <w:lvl w:ilvl="4" w:tplc="240A0019" w:tentative="1">
      <w:start w:val="1"/>
      <w:numFmt w:val="lowerLetter"/>
      <w:lvlText w:val="%5."/>
      <w:lvlJc w:val="left"/>
      <w:pPr>
        <w:ind w:left="1710" w:hanging="360"/>
      </w:pPr>
    </w:lvl>
    <w:lvl w:ilvl="5" w:tplc="240A001B" w:tentative="1">
      <w:start w:val="1"/>
      <w:numFmt w:val="lowerRoman"/>
      <w:lvlText w:val="%6."/>
      <w:lvlJc w:val="right"/>
      <w:pPr>
        <w:ind w:left="2430" w:hanging="180"/>
      </w:pPr>
    </w:lvl>
    <w:lvl w:ilvl="6" w:tplc="240A000F" w:tentative="1">
      <w:start w:val="1"/>
      <w:numFmt w:val="decimal"/>
      <w:lvlText w:val="%7."/>
      <w:lvlJc w:val="left"/>
      <w:pPr>
        <w:ind w:left="3150" w:hanging="360"/>
      </w:pPr>
    </w:lvl>
    <w:lvl w:ilvl="7" w:tplc="240A0019" w:tentative="1">
      <w:start w:val="1"/>
      <w:numFmt w:val="lowerLetter"/>
      <w:lvlText w:val="%8."/>
      <w:lvlJc w:val="left"/>
      <w:pPr>
        <w:ind w:left="3870" w:hanging="360"/>
      </w:pPr>
    </w:lvl>
    <w:lvl w:ilvl="8" w:tplc="240A001B" w:tentative="1">
      <w:start w:val="1"/>
      <w:numFmt w:val="lowerRoman"/>
      <w:lvlText w:val="%9."/>
      <w:lvlJc w:val="right"/>
      <w:pPr>
        <w:ind w:left="4590" w:hanging="180"/>
      </w:pPr>
    </w:lvl>
  </w:abstractNum>
  <w:abstractNum w:abstractNumId="11" w15:restartNumberingAfterBreak="0">
    <w:nsid w:val="4DFA3B18"/>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7D4B9D"/>
    <w:multiLevelType w:val="hybridMultilevel"/>
    <w:tmpl w:val="88A6D808"/>
    <w:lvl w:ilvl="0" w:tplc="2C38E732">
      <w:start w:val="1"/>
      <w:numFmt w:val="decimal"/>
      <w:lvlText w:val="%1."/>
      <w:lvlJc w:val="left"/>
      <w:pPr>
        <w:ind w:left="990" w:hanging="360"/>
      </w:pPr>
      <w:rPr>
        <w:rFonts w:ascii="Cambria" w:hAnsi="Cambria" w:hint="default"/>
        <w:b w:val="0"/>
        <w:color w:val="auto"/>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B64019"/>
    <w:multiLevelType w:val="hybridMultilevel"/>
    <w:tmpl w:val="3B324E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4460CA"/>
    <w:multiLevelType w:val="hybridMultilevel"/>
    <w:tmpl w:val="07B85AD8"/>
    <w:lvl w:ilvl="0" w:tplc="67D6E770">
      <w:start w:val="1"/>
      <w:numFmt w:val="decimal"/>
      <w:lvlText w:val="%1."/>
      <w:lvlJc w:val="left"/>
      <w:pPr>
        <w:tabs>
          <w:tab w:val="num" w:pos="720"/>
        </w:tabs>
        <w:ind w:left="720" w:hanging="360"/>
      </w:pPr>
      <w:rPr>
        <w:rFonts w:cs="Calibr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E15765F"/>
    <w:multiLevelType w:val="hybridMultilevel"/>
    <w:tmpl w:val="E1984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B81A8D"/>
    <w:multiLevelType w:val="hybridMultilevel"/>
    <w:tmpl w:val="79AE9E34"/>
    <w:lvl w:ilvl="0" w:tplc="F7A2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3A10CB"/>
    <w:multiLevelType w:val="multilevel"/>
    <w:tmpl w:val="8196F056"/>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7AFB3831"/>
    <w:multiLevelType w:val="hybridMultilevel"/>
    <w:tmpl w:val="1474E3CC"/>
    <w:lvl w:ilvl="0" w:tplc="5D1A316A">
      <w:start w:val="2"/>
      <w:numFmt w:val="upperLetter"/>
      <w:lvlText w:val="%1."/>
      <w:lvlJc w:val="left"/>
      <w:pPr>
        <w:tabs>
          <w:tab w:val="num" w:pos="1440"/>
        </w:tabs>
        <w:ind w:left="1440" w:hanging="720"/>
      </w:pPr>
    </w:lvl>
    <w:lvl w:ilvl="1" w:tplc="BD42056E">
      <w:start w:val="1"/>
      <w:numFmt w:val="decimal"/>
      <w:lvlText w:val="%2."/>
      <w:lvlJc w:val="left"/>
      <w:pPr>
        <w:tabs>
          <w:tab w:val="num" w:pos="1200"/>
        </w:tabs>
        <w:ind w:left="12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5"/>
  </w:num>
  <w:num w:numId="6">
    <w:abstractNumId w:val="9"/>
  </w:num>
  <w:num w:numId="7">
    <w:abstractNumId w:val="7"/>
  </w:num>
  <w:num w:numId="8">
    <w:abstractNumId w:val="2"/>
  </w:num>
  <w:num w:numId="9">
    <w:abstractNumId w:val="10"/>
  </w:num>
  <w:num w:numId="10">
    <w:abstractNumId w:val="13"/>
  </w:num>
  <w:num w:numId="11">
    <w:abstractNumId w:val="14"/>
  </w:num>
  <w:num w:numId="12">
    <w:abstractNumId w:val="15"/>
  </w:num>
  <w:num w:numId="13">
    <w:abstractNumId w:val="16"/>
  </w:num>
  <w:num w:numId="14">
    <w:abstractNumId w:val="1"/>
  </w:num>
  <w:num w:numId="15">
    <w:abstractNumId w:val="0"/>
  </w:num>
  <w:num w:numId="16">
    <w:abstractNumId w:val="20"/>
  </w:num>
  <w:num w:numId="17">
    <w:abstractNumId w:val="6"/>
  </w:num>
  <w:num w:numId="18">
    <w:abstractNumId w:val="21"/>
  </w:num>
  <w:num w:numId="19">
    <w:abstractNumId w:val="8"/>
  </w:num>
  <w:num w:numId="20">
    <w:abstractNumId w:val="3"/>
  </w:num>
  <w:num w:numId="21">
    <w:abstractNumId w:val="11"/>
  </w:num>
  <w:num w:numId="22">
    <w:abstractNumId w:val="22"/>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06"/>
    <w:rsid w:val="000007A2"/>
    <w:rsid w:val="00001F0D"/>
    <w:rsid w:val="00003368"/>
    <w:rsid w:val="00005ED3"/>
    <w:rsid w:val="00007A84"/>
    <w:rsid w:val="000144C7"/>
    <w:rsid w:val="00015E4D"/>
    <w:rsid w:val="00017E7A"/>
    <w:rsid w:val="00024CE0"/>
    <w:rsid w:val="00026F24"/>
    <w:rsid w:val="000278FE"/>
    <w:rsid w:val="00031B92"/>
    <w:rsid w:val="00031EB1"/>
    <w:rsid w:val="0003443F"/>
    <w:rsid w:val="000369D1"/>
    <w:rsid w:val="00036FC7"/>
    <w:rsid w:val="00037C7F"/>
    <w:rsid w:val="00047385"/>
    <w:rsid w:val="000508F7"/>
    <w:rsid w:val="00060423"/>
    <w:rsid w:val="000634A3"/>
    <w:rsid w:val="000751DF"/>
    <w:rsid w:val="00076DBF"/>
    <w:rsid w:val="00077DE5"/>
    <w:rsid w:val="00077FF7"/>
    <w:rsid w:val="00080794"/>
    <w:rsid w:val="00084078"/>
    <w:rsid w:val="00085FA1"/>
    <w:rsid w:val="0009673A"/>
    <w:rsid w:val="000A2C28"/>
    <w:rsid w:val="000A45AD"/>
    <w:rsid w:val="000A4754"/>
    <w:rsid w:val="000A4B14"/>
    <w:rsid w:val="000B1138"/>
    <w:rsid w:val="000B3053"/>
    <w:rsid w:val="000C140C"/>
    <w:rsid w:val="000C5BFC"/>
    <w:rsid w:val="000D003A"/>
    <w:rsid w:val="000D164E"/>
    <w:rsid w:val="000D2623"/>
    <w:rsid w:val="000D26A9"/>
    <w:rsid w:val="000D4633"/>
    <w:rsid w:val="000D4AE6"/>
    <w:rsid w:val="000E0F2F"/>
    <w:rsid w:val="000E1DB2"/>
    <w:rsid w:val="000E2431"/>
    <w:rsid w:val="000F23FB"/>
    <w:rsid w:val="000F291B"/>
    <w:rsid w:val="000F3EE0"/>
    <w:rsid w:val="00101C8B"/>
    <w:rsid w:val="00107B94"/>
    <w:rsid w:val="001217D9"/>
    <w:rsid w:val="00131B3B"/>
    <w:rsid w:val="00134CFC"/>
    <w:rsid w:val="00140652"/>
    <w:rsid w:val="00141387"/>
    <w:rsid w:val="00143EB4"/>
    <w:rsid w:val="0014432C"/>
    <w:rsid w:val="00144F4B"/>
    <w:rsid w:val="00146EE3"/>
    <w:rsid w:val="0014730B"/>
    <w:rsid w:val="0015496C"/>
    <w:rsid w:val="00157476"/>
    <w:rsid w:val="00160008"/>
    <w:rsid w:val="00162CE1"/>
    <w:rsid w:val="001648FF"/>
    <w:rsid w:val="00170E12"/>
    <w:rsid w:val="00176C72"/>
    <w:rsid w:val="001770EE"/>
    <w:rsid w:val="00186B8D"/>
    <w:rsid w:val="001904F6"/>
    <w:rsid w:val="001942E2"/>
    <w:rsid w:val="00195334"/>
    <w:rsid w:val="00196D6F"/>
    <w:rsid w:val="001A09CF"/>
    <w:rsid w:val="001A7EDF"/>
    <w:rsid w:val="001B08B2"/>
    <w:rsid w:val="001B08F9"/>
    <w:rsid w:val="001B2E69"/>
    <w:rsid w:val="001B528C"/>
    <w:rsid w:val="001C2AED"/>
    <w:rsid w:val="001D0C4D"/>
    <w:rsid w:val="001D5161"/>
    <w:rsid w:val="001E5256"/>
    <w:rsid w:val="001E59D8"/>
    <w:rsid w:val="001F2B4C"/>
    <w:rsid w:val="001F2FE7"/>
    <w:rsid w:val="00206412"/>
    <w:rsid w:val="0021546C"/>
    <w:rsid w:val="002201A4"/>
    <w:rsid w:val="002219A9"/>
    <w:rsid w:val="00225DD5"/>
    <w:rsid w:val="00226BCD"/>
    <w:rsid w:val="00234AC6"/>
    <w:rsid w:val="00237ECE"/>
    <w:rsid w:val="002426D8"/>
    <w:rsid w:val="00245F50"/>
    <w:rsid w:val="00251748"/>
    <w:rsid w:val="002534CD"/>
    <w:rsid w:val="0025590D"/>
    <w:rsid w:val="002568CD"/>
    <w:rsid w:val="0027604A"/>
    <w:rsid w:val="00277FD1"/>
    <w:rsid w:val="00281CD1"/>
    <w:rsid w:val="002873B7"/>
    <w:rsid w:val="00290F8D"/>
    <w:rsid w:val="00292E9E"/>
    <w:rsid w:val="002944EF"/>
    <w:rsid w:val="00294F21"/>
    <w:rsid w:val="0029733E"/>
    <w:rsid w:val="002A19E1"/>
    <w:rsid w:val="002B2614"/>
    <w:rsid w:val="002B424E"/>
    <w:rsid w:val="002B64DC"/>
    <w:rsid w:val="002C0015"/>
    <w:rsid w:val="002C5B6A"/>
    <w:rsid w:val="002D2985"/>
    <w:rsid w:val="002D7AFD"/>
    <w:rsid w:val="002E334C"/>
    <w:rsid w:val="002E48D6"/>
    <w:rsid w:val="002E57B6"/>
    <w:rsid w:val="002E628E"/>
    <w:rsid w:val="002E780D"/>
    <w:rsid w:val="002F2D52"/>
    <w:rsid w:val="002F321B"/>
    <w:rsid w:val="002F6526"/>
    <w:rsid w:val="00304B8E"/>
    <w:rsid w:val="00304DFD"/>
    <w:rsid w:val="0030700B"/>
    <w:rsid w:val="00310894"/>
    <w:rsid w:val="00312151"/>
    <w:rsid w:val="00313F26"/>
    <w:rsid w:val="003145A0"/>
    <w:rsid w:val="00316C30"/>
    <w:rsid w:val="00316E75"/>
    <w:rsid w:val="003254D3"/>
    <w:rsid w:val="00325553"/>
    <w:rsid w:val="00331129"/>
    <w:rsid w:val="00332AD4"/>
    <w:rsid w:val="00333497"/>
    <w:rsid w:val="0033372D"/>
    <w:rsid w:val="00336D34"/>
    <w:rsid w:val="003406ED"/>
    <w:rsid w:val="00343EDF"/>
    <w:rsid w:val="0035292C"/>
    <w:rsid w:val="00362BCC"/>
    <w:rsid w:val="00363DA9"/>
    <w:rsid w:val="0036640D"/>
    <w:rsid w:val="00373D3D"/>
    <w:rsid w:val="00374F28"/>
    <w:rsid w:val="00377262"/>
    <w:rsid w:val="0038187F"/>
    <w:rsid w:val="00381945"/>
    <w:rsid w:val="00387266"/>
    <w:rsid w:val="00387D83"/>
    <w:rsid w:val="003904CF"/>
    <w:rsid w:val="0039057E"/>
    <w:rsid w:val="0039064A"/>
    <w:rsid w:val="003908E6"/>
    <w:rsid w:val="00395D59"/>
    <w:rsid w:val="003968A2"/>
    <w:rsid w:val="003A1B8E"/>
    <w:rsid w:val="003A4EFF"/>
    <w:rsid w:val="003A6DEC"/>
    <w:rsid w:val="003A71C5"/>
    <w:rsid w:val="003A7B52"/>
    <w:rsid w:val="003B012D"/>
    <w:rsid w:val="003D1860"/>
    <w:rsid w:val="003D1984"/>
    <w:rsid w:val="003D207A"/>
    <w:rsid w:val="003D3F6E"/>
    <w:rsid w:val="003D405E"/>
    <w:rsid w:val="003D4DD9"/>
    <w:rsid w:val="003E14A3"/>
    <w:rsid w:val="003E294D"/>
    <w:rsid w:val="003F1B9C"/>
    <w:rsid w:val="003F73F9"/>
    <w:rsid w:val="003F7DE5"/>
    <w:rsid w:val="0040282E"/>
    <w:rsid w:val="00403967"/>
    <w:rsid w:val="004051B3"/>
    <w:rsid w:val="00405528"/>
    <w:rsid w:val="00407877"/>
    <w:rsid w:val="004103EC"/>
    <w:rsid w:val="00415488"/>
    <w:rsid w:val="004173F3"/>
    <w:rsid w:val="0042403B"/>
    <w:rsid w:val="004311FF"/>
    <w:rsid w:val="00444121"/>
    <w:rsid w:val="00452270"/>
    <w:rsid w:val="00454722"/>
    <w:rsid w:val="00454DBC"/>
    <w:rsid w:val="00456DAA"/>
    <w:rsid w:val="00462FA9"/>
    <w:rsid w:val="004649F4"/>
    <w:rsid w:val="004675E9"/>
    <w:rsid w:val="00475AF1"/>
    <w:rsid w:val="00475C19"/>
    <w:rsid w:val="0047698B"/>
    <w:rsid w:val="00477FD0"/>
    <w:rsid w:val="004825F5"/>
    <w:rsid w:val="004872B9"/>
    <w:rsid w:val="00491AB8"/>
    <w:rsid w:val="00495F11"/>
    <w:rsid w:val="00496C45"/>
    <w:rsid w:val="004A2758"/>
    <w:rsid w:val="004B7C0C"/>
    <w:rsid w:val="004C11AF"/>
    <w:rsid w:val="004C29AB"/>
    <w:rsid w:val="004C5616"/>
    <w:rsid w:val="004C69A2"/>
    <w:rsid w:val="004C7F32"/>
    <w:rsid w:val="004D15E1"/>
    <w:rsid w:val="004D7DF0"/>
    <w:rsid w:val="004D7F1C"/>
    <w:rsid w:val="004E0C4F"/>
    <w:rsid w:val="004E0F5A"/>
    <w:rsid w:val="004E6A6C"/>
    <w:rsid w:val="004E754D"/>
    <w:rsid w:val="004F13CD"/>
    <w:rsid w:val="004F3366"/>
    <w:rsid w:val="004F475F"/>
    <w:rsid w:val="004F47B4"/>
    <w:rsid w:val="004F4E7F"/>
    <w:rsid w:val="004F651D"/>
    <w:rsid w:val="004F7F8F"/>
    <w:rsid w:val="00501326"/>
    <w:rsid w:val="00506DE4"/>
    <w:rsid w:val="00517525"/>
    <w:rsid w:val="005246CC"/>
    <w:rsid w:val="00525B16"/>
    <w:rsid w:val="005266C2"/>
    <w:rsid w:val="00526C8F"/>
    <w:rsid w:val="00530164"/>
    <w:rsid w:val="005306F3"/>
    <w:rsid w:val="005319E3"/>
    <w:rsid w:val="005334BE"/>
    <w:rsid w:val="00534EA6"/>
    <w:rsid w:val="00535890"/>
    <w:rsid w:val="00536BD1"/>
    <w:rsid w:val="005374B4"/>
    <w:rsid w:val="005376D9"/>
    <w:rsid w:val="00541067"/>
    <w:rsid w:val="00550822"/>
    <w:rsid w:val="00551DD6"/>
    <w:rsid w:val="005570AA"/>
    <w:rsid w:val="00557B7E"/>
    <w:rsid w:val="00560F49"/>
    <w:rsid w:val="00563E22"/>
    <w:rsid w:val="00563EFC"/>
    <w:rsid w:val="00564608"/>
    <w:rsid w:val="005668C4"/>
    <w:rsid w:val="0057349A"/>
    <w:rsid w:val="0057354D"/>
    <w:rsid w:val="00580385"/>
    <w:rsid w:val="005813B7"/>
    <w:rsid w:val="005853C6"/>
    <w:rsid w:val="0059345A"/>
    <w:rsid w:val="00594E8A"/>
    <w:rsid w:val="005A4E07"/>
    <w:rsid w:val="005A621F"/>
    <w:rsid w:val="005A7321"/>
    <w:rsid w:val="005B1895"/>
    <w:rsid w:val="005B4F61"/>
    <w:rsid w:val="005B6610"/>
    <w:rsid w:val="005C33B5"/>
    <w:rsid w:val="005C5C37"/>
    <w:rsid w:val="005C7C22"/>
    <w:rsid w:val="005C7F13"/>
    <w:rsid w:val="005D2B11"/>
    <w:rsid w:val="005D656C"/>
    <w:rsid w:val="005E0E8D"/>
    <w:rsid w:val="005E1FA3"/>
    <w:rsid w:val="005E7AE9"/>
    <w:rsid w:val="005F109F"/>
    <w:rsid w:val="005F3FF9"/>
    <w:rsid w:val="005F4C36"/>
    <w:rsid w:val="0060155C"/>
    <w:rsid w:val="006027D4"/>
    <w:rsid w:val="006037BB"/>
    <w:rsid w:val="0060615D"/>
    <w:rsid w:val="00606BFA"/>
    <w:rsid w:val="00607CA5"/>
    <w:rsid w:val="00612A1C"/>
    <w:rsid w:val="0062369E"/>
    <w:rsid w:val="006238C4"/>
    <w:rsid w:val="00624914"/>
    <w:rsid w:val="006252E5"/>
    <w:rsid w:val="006253E4"/>
    <w:rsid w:val="00625C17"/>
    <w:rsid w:val="006344F2"/>
    <w:rsid w:val="00641E26"/>
    <w:rsid w:val="006432E5"/>
    <w:rsid w:val="00644EC3"/>
    <w:rsid w:val="0065299A"/>
    <w:rsid w:val="0065576D"/>
    <w:rsid w:val="00655B70"/>
    <w:rsid w:val="00661062"/>
    <w:rsid w:val="006634BE"/>
    <w:rsid w:val="00667D8A"/>
    <w:rsid w:val="00670828"/>
    <w:rsid w:val="00676FB5"/>
    <w:rsid w:val="00681D50"/>
    <w:rsid w:val="00683D65"/>
    <w:rsid w:val="00691A97"/>
    <w:rsid w:val="00692D1B"/>
    <w:rsid w:val="00693CBB"/>
    <w:rsid w:val="00694376"/>
    <w:rsid w:val="006943A7"/>
    <w:rsid w:val="006A0DDA"/>
    <w:rsid w:val="006A2353"/>
    <w:rsid w:val="006A729F"/>
    <w:rsid w:val="006B05F6"/>
    <w:rsid w:val="006C3E16"/>
    <w:rsid w:val="006C7939"/>
    <w:rsid w:val="006D45B0"/>
    <w:rsid w:val="006D7806"/>
    <w:rsid w:val="006D7A02"/>
    <w:rsid w:val="006E0044"/>
    <w:rsid w:val="006E284F"/>
    <w:rsid w:val="006E5C0B"/>
    <w:rsid w:val="006F2B7A"/>
    <w:rsid w:val="006F46B8"/>
    <w:rsid w:val="006F4B0C"/>
    <w:rsid w:val="006F5300"/>
    <w:rsid w:val="006F539D"/>
    <w:rsid w:val="00707281"/>
    <w:rsid w:val="00730B2B"/>
    <w:rsid w:val="007366E9"/>
    <w:rsid w:val="007401E2"/>
    <w:rsid w:val="00743959"/>
    <w:rsid w:val="0074602A"/>
    <w:rsid w:val="00746A42"/>
    <w:rsid w:val="00750687"/>
    <w:rsid w:val="00750D4A"/>
    <w:rsid w:val="0075115D"/>
    <w:rsid w:val="007603AB"/>
    <w:rsid w:val="00760449"/>
    <w:rsid w:val="007650AF"/>
    <w:rsid w:val="00770267"/>
    <w:rsid w:val="00775598"/>
    <w:rsid w:val="00777515"/>
    <w:rsid w:val="00782AEB"/>
    <w:rsid w:val="00791A94"/>
    <w:rsid w:val="007940B2"/>
    <w:rsid w:val="0079510B"/>
    <w:rsid w:val="00795EEE"/>
    <w:rsid w:val="00796DD9"/>
    <w:rsid w:val="007977BB"/>
    <w:rsid w:val="007A0931"/>
    <w:rsid w:val="007A20BB"/>
    <w:rsid w:val="007B22B5"/>
    <w:rsid w:val="007B7696"/>
    <w:rsid w:val="007C15AB"/>
    <w:rsid w:val="007C322A"/>
    <w:rsid w:val="007C42F0"/>
    <w:rsid w:val="007D220F"/>
    <w:rsid w:val="007E011B"/>
    <w:rsid w:val="007E29F3"/>
    <w:rsid w:val="007E3EF7"/>
    <w:rsid w:val="007E4D91"/>
    <w:rsid w:val="007F73FB"/>
    <w:rsid w:val="00800BC4"/>
    <w:rsid w:val="00807642"/>
    <w:rsid w:val="00810A4E"/>
    <w:rsid w:val="00820606"/>
    <w:rsid w:val="0082191F"/>
    <w:rsid w:val="00837A17"/>
    <w:rsid w:val="0084002E"/>
    <w:rsid w:val="0084069E"/>
    <w:rsid w:val="00841031"/>
    <w:rsid w:val="008441A2"/>
    <w:rsid w:val="00847BDC"/>
    <w:rsid w:val="008616CE"/>
    <w:rsid w:val="00862AD4"/>
    <w:rsid w:val="00863302"/>
    <w:rsid w:val="0086452F"/>
    <w:rsid w:val="00864E93"/>
    <w:rsid w:val="008733FD"/>
    <w:rsid w:val="0088196F"/>
    <w:rsid w:val="008819C0"/>
    <w:rsid w:val="00883259"/>
    <w:rsid w:val="00883E7F"/>
    <w:rsid w:val="00893093"/>
    <w:rsid w:val="00893594"/>
    <w:rsid w:val="008A11E8"/>
    <w:rsid w:val="008A143D"/>
    <w:rsid w:val="008A15CF"/>
    <w:rsid w:val="008A1F21"/>
    <w:rsid w:val="008A422D"/>
    <w:rsid w:val="008A58BB"/>
    <w:rsid w:val="008A6113"/>
    <w:rsid w:val="008B3A73"/>
    <w:rsid w:val="008C0E95"/>
    <w:rsid w:val="008C0ECE"/>
    <w:rsid w:val="008C2458"/>
    <w:rsid w:val="008C7EBA"/>
    <w:rsid w:val="008D0065"/>
    <w:rsid w:val="008D07A3"/>
    <w:rsid w:val="008D2479"/>
    <w:rsid w:val="008D5226"/>
    <w:rsid w:val="008D53E2"/>
    <w:rsid w:val="008D72C2"/>
    <w:rsid w:val="008E006A"/>
    <w:rsid w:val="008E135E"/>
    <w:rsid w:val="008E30DF"/>
    <w:rsid w:val="008E3768"/>
    <w:rsid w:val="008E6BD7"/>
    <w:rsid w:val="008F34BF"/>
    <w:rsid w:val="008F542A"/>
    <w:rsid w:val="008F7152"/>
    <w:rsid w:val="008F7250"/>
    <w:rsid w:val="009025D4"/>
    <w:rsid w:val="00906ADA"/>
    <w:rsid w:val="0090766E"/>
    <w:rsid w:val="00910C01"/>
    <w:rsid w:val="00913034"/>
    <w:rsid w:val="00914042"/>
    <w:rsid w:val="009164ED"/>
    <w:rsid w:val="0092092D"/>
    <w:rsid w:val="0092777F"/>
    <w:rsid w:val="00932AD3"/>
    <w:rsid w:val="0093318E"/>
    <w:rsid w:val="00934E7C"/>
    <w:rsid w:val="00942177"/>
    <w:rsid w:val="00944E4E"/>
    <w:rsid w:val="009518C1"/>
    <w:rsid w:val="00955270"/>
    <w:rsid w:val="0095543E"/>
    <w:rsid w:val="00961B44"/>
    <w:rsid w:val="00964241"/>
    <w:rsid w:val="00967A6F"/>
    <w:rsid w:val="00970BC7"/>
    <w:rsid w:val="0097437A"/>
    <w:rsid w:val="00977A5C"/>
    <w:rsid w:val="0099038C"/>
    <w:rsid w:val="00990F1C"/>
    <w:rsid w:val="009914FA"/>
    <w:rsid w:val="00992286"/>
    <w:rsid w:val="009A0971"/>
    <w:rsid w:val="009A0E8E"/>
    <w:rsid w:val="009A22FA"/>
    <w:rsid w:val="009A6627"/>
    <w:rsid w:val="009B104E"/>
    <w:rsid w:val="009B333D"/>
    <w:rsid w:val="009C1EB7"/>
    <w:rsid w:val="009C1FBE"/>
    <w:rsid w:val="009D5542"/>
    <w:rsid w:val="009D79F1"/>
    <w:rsid w:val="009E0F35"/>
    <w:rsid w:val="009E23BD"/>
    <w:rsid w:val="009E2CC2"/>
    <w:rsid w:val="009E2EBC"/>
    <w:rsid w:val="009E3BC0"/>
    <w:rsid w:val="009E433A"/>
    <w:rsid w:val="009F3818"/>
    <w:rsid w:val="009F4C73"/>
    <w:rsid w:val="009F4F6A"/>
    <w:rsid w:val="009F77AA"/>
    <w:rsid w:val="00A03F38"/>
    <w:rsid w:val="00A0467E"/>
    <w:rsid w:val="00A0617D"/>
    <w:rsid w:val="00A06FAC"/>
    <w:rsid w:val="00A07134"/>
    <w:rsid w:val="00A15067"/>
    <w:rsid w:val="00A15A9A"/>
    <w:rsid w:val="00A15E26"/>
    <w:rsid w:val="00A2631B"/>
    <w:rsid w:val="00A27809"/>
    <w:rsid w:val="00A32EC6"/>
    <w:rsid w:val="00A4186A"/>
    <w:rsid w:val="00A430B1"/>
    <w:rsid w:val="00A44D63"/>
    <w:rsid w:val="00A500E8"/>
    <w:rsid w:val="00A532CA"/>
    <w:rsid w:val="00A5484E"/>
    <w:rsid w:val="00A54EEB"/>
    <w:rsid w:val="00A613FC"/>
    <w:rsid w:val="00A65452"/>
    <w:rsid w:val="00A71A4E"/>
    <w:rsid w:val="00A7442D"/>
    <w:rsid w:val="00A77918"/>
    <w:rsid w:val="00A77AEB"/>
    <w:rsid w:val="00A827A2"/>
    <w:rsid w:val="00A92321"/>
    <w:rsid w:val="00A92438"/>
    <w:rsid w:val="00A925FF"/>
    <w:rsid w:val="00AA3678"/>
    <w:rsid w:val="00AA484F"/>
    <w:rsid w:val="00AB1902"/>
    <w:rsid w:val="00AB1A5D"/>
    <w:rsid w:val="00AB70F2"/>
    <w:rsid w:val="00AC14C0"/>
    <w:rsid w:val="00AC3B8F"/>
    <w:rsid w:val="00AC3F36"/>
    <w:rsid w:val="00AC403E"/>
    <w:rsid w:val="00AC4FC1"/>
    <w:rsid w:val="00AD01AD"/>
    <w:rsid w:val="00AD4608"/>
    <w:rsid w:val="00AD5F3D"/>
    <w:rsid w:val="00AD6936"/>
    <w:rsid w:val="00AD730C"/>
    <w:rsid w:val="00AE10C6"/>
    <w:rsid w:val="00AE17BE"/>
    <w:rsid w:val="00AE314D"/>
    <w:rsid w:val="00AE5935"/>
    <w:rsid w:val="00AF2B73"/>
    <w:rsid w:val="00AF4B54"/>
    <w:rsid w:val="00AF5BCC"/>
    <w:rsid w:val="00B012C4"/>
    <w:rsid w:val="00B037A3"/>
    <w:rsid w:val="00B03DD7"/>
    <w:rsid w:val="00B05FFF"/>
    <w:rsid w:val="00B10A06"/>
    <w:rsid w:val="00B2111B"/>
    <w:rsid w:val="00B22B4B"/>
    <w:rsid w:val="00B24A53"/>
    <w:rsid w:val="00B256AE"/>
    <w:rsid w:val="00B30C05"/>
    <w:rsid w:val="00B327A6"/>
    <w:rsid w:val="00B40417"/>
    <w:rsid w:val="00B40764"/>
    <w:rsid w:val="00B4147B"/>
    <w:rsid w:val="00B44AD6"/>
    <w:rsid w:val="00B45B3C"/>
    <w:rsid w:val="00B51775"/>
    <w:rsid w:val="00B51F92"/>
    <w:rsid w:val="00B53058"/>
    <w:rsid w:val="00B5663C"/>
    <w:rsid w:val="00B569ED"/>
    <w:rsid w:val="00B62511"/>
    <w:rsid w:val="00B65C95"/>
    <w:rsid w:val="00B67019"/>
    <w:rsid w:val="00B67CD0"/>
    <w:rsid w:val="00B70AF6"/>
    <w:rsid w:val="00B70B7C"/>
    <w:rsid w:val="00B7660C"/>
    <w:rsid w:val="00B8038E"/>
    <w:rsid w:val="00B82394"/>
    <w:rsid w:val="00B83DB0"/>
    <w:rsid w:val="00B91905"/>
    <w:rsid w:val="00B955FB"/>
    <w:rsid w:val="00B96B34"/>
    <w:rsid w:val="00BA557D"/>
    <w:rsid w:val="00BB0160"/>
    <w:rsid w:val="00BB136A"/>
    <w:rsid w:val="00BB2038"/>
    <w:rsid w:val="00BB3111"/>
    <w:rsid w:val="00BB4AB9"/>
    <w:rsid w:val="00BB4FA3"/>
    <w:rsid w:val="00BB720B"/>
    <w:rsid w:val="00BC038B"/>
    <w:rsid w:val="00BC3E3A"/>
    <w:rsid w:val="00BD2575"/>
    <w:rsid w:val="00BD4454"/>
    <w:rsid w:val="00BD53CE"/>
    <w:rsid w:val="00BD560B"/>
    <w:rsid w:val="00BE1894"/>
    <w:rsid w:val="00BE21C5"/>
    <w:rsid w:val="00BE50F8"/>
    <w:rsid w:val="00BE5F73"/>
    <w:rsid w:val="00BF207A"/>
    <w:rsid w:val="00BF3C98"/>
    <w:rsid w:val="00C07EDA"/>
    <w:rsid w:val="00C162EB"/>
    <w:rsid w:val="00C17404"/>
    <w:rsid w:val="00C22A45"/>
    <w:rsid w:val="00C22D7B"/>
    <w:rsid w:val="00C23A3B"/>
    <w:rsid w:val="00C23EC0"/>
    <w:rsid w:val="00C24FF7"/>
    <w:rsid w:val="00C250DE"/>
    <w:rsid w:val="00C2673B"/>
    <w:rsid w:val="00C32E72"/>
    <w:rsid w:val="00C35350"/>
    <w:rsid w:val="00C40437"/>
    <w:rsid w:val="00C427E5"/>
    <w:rsid w:val="00C44075"/>
    <w:rsid w:val="00C44C0E"/>
    <w:rsid w:val="00C459F8"/>
    <w:rsid w:val="00C524EE"/>
    <w:rsid w:val="00C52A3C"/>
    <w:rsid w:val="00C5331A"/>
    <w:rsid w:val="00C55C5B"/>
    <w:rsid w:val="00C615C6"/>
    <w:rsid w:val="00C7236D"/>
    <w:rsid w:val="00C75CD5"/>
    <w:rsid w:val="00C76180"/>
    <w:rsid w:val="00C82F29"/>
    <w:rsid w:val="00C86746"/>
    <w:rsid w:val="00C872C8"/>
    <w:rsid w:val="00CB0139"/>
    <w:rsid w:val="00CC6C41"/>
    <w:rsid w:val="00CD0CE8"/>
    <w:rsid w:val="00CD442C"/>
    <w:rsid w:val="00CD6175"/>
    <w:rsid w:val="00CE18E3"/>
    <w:rsid w:val="00CE18ED"/>
    <w:rsid w:val="00CE33E8"/>
    <w:rsid w:val="00CE4B72"/>
    <w:rsid w:val="00CE60A3"/>
    <w:rsid w:val="00CF1DB7"/>
    <w:rsid w:val="00CF2DCE"/>
    <w:rsid w:val="00CF68B8"/>
    <w:rsid w:val="00CF7490"/>
    <w:rsid w:val="00D04F89"/>
    <w:rsid w:val="00D154D3"/>
    <w:rsid w:val="00D15E8D"/>
    <w:rsid w:val="00D17F20"/>
    <w:rsid w:val="00D210E4"/>
    <w:rsid w:val="00D30790"/>
    <w:rsid w:val="00D358CC"/>
    <w:rsid w:val="00D379A8"/>
    <w:rsid w:val="00D40531"/>
    <w:rsid w:val="00D41A92"/>
    <w:rsid w:val="00D41DD9"/>
    <w:rsid w:val="00D41F28"/>
    <w:rsid w:val="00D456E1"/>
    <w:rsid w:val="00D458E2"/>
    <w:rsid w:val="00D507B2"/>
    <w:rsid w:val="00D50C53"/>
    <w:rsid w:val="00D526D7"/>
    <w:rsid w:val="00D52C05"/>
    <w:rsid w:val="00D54583"/>
    <w:rsid w:val="00D55740"/>
    <w:rsid w:val="00D618E7"/>
    <w:rsid w:val="00D61BA6"/>
    <w:rsid w:val="00D61F59"/>
    <w:rsid w:val="00D639F7"/>
    <w:rsid w:val="00D66EC6"/>
    <w:rsid w:val="00D73B7B"/>
    <w:rsid w:val="00D765A1"/>
    <w:rsid w:val="00D7730D"/>
    <w:rsid w:val="00D77E91"/>
    <w:rsid w:val="00D805B3"/>
    <w:rsid w:val="00D8302A"/>
    <w:rsid w:val="00D8378B"/>
    <w:rsid w:val="00D83ABC"/>
    <w:rsid w:val="00D86D55"/>
    <w:rsid w:val="00D902D7"/>
    <w:rsid w:val="00D90C91"/>
    <w:rsid w:val="00D96806"/>
    <w:rsid w:val="00DA1B96"/>
    <w:rsid w:val="00DB03F6"/>
    <w:rsid w:val="00DB1C5B"/>
    <w:rsid w:val="00DB4BCD"/>
    <w:rsid w:val="00DB5116"/>
    <w:rsid w:val="00DB56E1"/>
    <w:rsid w:val="00DB5E85"/>
    <w:rsid w:val="00DB7E8A"/>
    <w:rsid w:val="00DB7F43"/>
    <w:rsid w:val="00DC692D"/>
    <w:rsid w:val="00DD3DD5"/>
    <w:rsid w:val="00DD466A"/>
    <w:rsid w:val="00DD5378"/>
    <w:rsid w:val="00DE0E68"/>
    <w:rsid w:val="00DE2CA0"/>
    <w:rsid w:val="00DE7134"/>
    <w:rsid w:val="00DF15E0"/>
    <w:rsid w:val="00DF3621"/>
    <w:rsid w:val="00DF3B7F"/>
    <w:rsid w:val="00DF46F3"/>
    <w:rsid w:val="00DF4A93"/>
    <w:rsid w:val="00DF7DE3"/>
    <w:rsid w:val="00E03877"/>
    <w:rsid w:val="00E073FA"/>
    <w:rsid w:val="00E0780E"/>
    <w:rsid w:val="00E12B66"/>
    <w:rsid w:val="00E156C7"/>
    <w:rsid w:val="00E16ED1"/>
    <w:rsid w:val="00E17733"/>
    <w:rsid w:val="00E21E08"/>
    <w:rsid w:val="00E25B3F"/>
    <w:rsid w:val="00E26906"/>
    <w:rsid w:val="00E26CD9"/>
    <w:rsid w:val="00E31CFC"/>
    <w:rsid w:val="00E35D60"/>
    <w:rsid w:val="00E405C0"/>
    <w:rsid w:val="00E41D66"/>
    <w:rsid w:val="00E42E3B"/>
    <w:rsid w:val="00E46EB2"/>
    <w:rsid w:val="00E5346E"/>
    <w:rsid w:val="00E54A1A"/>
    <w:rsid w:val="00E5536A"/>
    <w:rsid w:val="00E567C0"/>
    <w:rsid w:val="00E6263B"/>
    <w:rsid w:val="00E6441F"/>
    <w:rsid w:val="00E67F09"/>
    <w:rsid w:val="00E7198B"/>
    <w:rsid w:val="00E71A41"/>
    <w:rsid w:val="00E81C43"/>
    <w:rsid w:val="00E828A3"/>
    <w:rsid w:val="00E83947"/>
    <w:rsid w:val="00E84BFB"/>
    <w:rsid w:val="00E85BE8"/>
    <w:rsid w:val="00E85ECE"/>
    <w:rsid w:val="00E939BD"/>
    <w:rsid w:val="00EA0AB4"/>
    <w:rsid w:val="00EB07E0"/>
    <w:rsid w:val="00EB76F5"/>
    <w:rsid w:val="00EC468B"/>
    <w:rsid w:val="00EC655F"/>
    <w:rsid w:val="00ED09B8"/>
    <w:rsid w:val="00ED588B"/>
    <w:rsid w:val="00ED764A"/>
    <w:rsid w:val="00ED7C32"/>
    <w:rsid w:val="00EE2E5E"/>
    <w:rsid w:val="00EE5095"/>
    <w:rsid w:val="00EF2CA7"/>
    <w:rsid w:val="00EF3DD1"/>
    <w:rsid w:val="00EF64D1"/>
    <w:rsid w:val="00F0191D"/>
    <w:rsid w:val="00F01BC8"/>
    <w:rsid w:val="00F04656"/>
    <w:rsid w:val="00F07EE5"/>
    <w:rsid w:val="00F11C02"/>
    <w:rsid w:val="00F14854"/>
    <w:rsid w:val="00F221C0"/>
    <w:rsid w:val="00F2331B"/>
    <w:rsid w:val="00F242FD"/>
    <w:rsid w:val="00F25856"/>
    <w:rsid w:val="00F353B3"/>
    <w:rsid w:val="00F35BB1"/>
    <w:rsid w:val="00F4501D"/>
    <w:rsid w:val="00F467D0"/>
    <w:rsid w:val="00F47068"/>
    <w:rsid w:val="00F47777"/>
    <w:rsid w:val="00F5130E"/>
    <w:rsid w:val="00F51BAF"/>
    <w:rsid w:val="00F52C72"/>
    <w:rsid w:val="00F5749D"/>
    <w:rsid w:val="00F616AB"/>
    <w:rsid w:val="00F63811"/>
    <w:rsid w:val="00F67366"/>
    <w:rsid w:val="00F70939"/>
    <w:rsid w:val="00F73473"/>
    <w:rsid w:val="00F74C09"/>
    <w:rsid w:val="00F759EB"/>
    <w:rsid w:val="00F75B73"/>
    <w:rsid w:val="00F75F83"/>
    <w:rsid w:val="00F808A9"/>
    <w:rsid w:val="00F827AC"/>
    <w:rsid w:val="00F84A74"/>
    <w:rsid w:val="00F84B4C"/>
    <w:rsid w:val="00F86E94"/>
    <w:rsid w:val="00F8734F"/>
    <w:rsid w:val="00F969DE"/>
    <w:rsid w:val="00FA5645"/>
    <w:rsid w:val="00FA576A"/>
    <w:rsid w:val="00FA6C97"/>
    <w:rsid w:val="00FB0B22"/>
    <w:rsid w:val="00FB0B99"/>
    <w:rsid w:val="00FB23F4"/>
    <w:rsid w:val="00FC0A74"/>
    <w:rsid w:val="00FC162D"/>
    <w:rsid w:val="00FC221D"/>
    <w:rsid w:val="00FC32E3"/>
    <w:rsid w:val="00FC4FC9"/>
    <w:rsid w:val="00FD0015"/>
    <w:rsid w:val="00FD1150"/>
    <w:rsid w:val="00FD4907"/>
    <w:rsid w:val="00FD64D1"/>
    <w:rsid w:val="00FD7341"/>
    <w:rsid w:val="00FE57DC"/>
    <w:rsid w:val="00FF1491"/>
    <w:rsid w:val="00FF2DAA"/>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705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DE"/>
    <w:pPr>
      <w:spacing w:after="200" w:line="276" w:lineRule="auto"/>
    </w:pPr>
    <w:rPr>
      <w:rFonts w:ascii="Calibri" w:eastAsia="Calibri" w:hAnsi="Calibri"/>
      <w:sz w:val="22"/>
    </w:rPr>
  </w:style>
  <w:style w:type="paragraph" w:styleId="Heading1">
    <w:name w:val="heading 1"/>
    <w:basedOn w:val="Normal"/>
    <w:next w:val="Normal"/>
    <w:link w:val="Heading1Char"/>
    <w:uiPriority w:val="9"/>
    <w:qFormat/>
    <w:rsid w:val="00E26CD9"/>
    <w:pPr>
      <w:keepNext/>
      <w:spacing w:before="240" w:after="60"/>
      <w:outlineLvl w:val="0"/>
    </w:pPr>
    <w:rPr>
      <w:rFonts w:ascii="Calibri Light" w:eastAsia="Times New Roman" w:hAnsi="Calibri Light"/>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A53DE"/>
    <w:pPr>
      <w:tabs>
        <w:tab w:val="center" w:pos="4680"/>
        <w:tab w:val="right" w:pos="9360"/>
      </w:tabs>
      <w:spacing w:after="0" w:line="240" w:lineRule="auto"/>
    </w:pPr>
  </w:style>
  <w:style w:type="paragraph" w:styleId="Footer">
    <w:name w:val="footer"/>
    <w:basedOn w:val="Normal"/>
    <w:unhideWhenUsed/>
    <w:rsid w:val="005A53DE"/>
    <w:pPr>
      <w:tabs>
        <w:tab w:val="center" w:pos="4680"/>
        <w:tab w:val="right" w:pos="9360"/>
      </w:tabs>
      <w:spacing w:after="0" w:line="240" w:lineRule="auto"/>
    </w:pPr>
  </w:style>
  <w:style w:type="paragraph" w:customStyle="1" w:styleId="Default">
    <w:name w:val="Default"/>
    <w:rsid w:val="005A53DE"/>
    <w:pPr>
      <w:autoSpaceDE w:val="0"/>
      <w:autoSpaceDN w:val="0"/>
      <w:adjustRightInd w:val="0"/>
    </w:pPr>
    <w:rPr>
      <w:rFonts w:ascii="Arial" w:hAnsi="Arial" w:cs="Arial"/>
      <w:color w:val="000000"/>
      <w:sz w:val="24"/>
    </w:rPr>
  </w:style>
  <w:style w:type="character" w:styleId="Hyperlink">
    <w:name w:val="Hyperlink"/>
    <w:rsid w:val="005A53DE"/>
    <w:rPr>
      <w:color w:val="0000FF"/>
      <w:u w:val="single"/>
    </w:rPr>
  </w:style>
  <w:style w:type="paragraph" w:styleId="BodyText">
    <w:name w:val="Body Text"/>
    <w:basedOn w:val="Normal"/>
    <w:semiHidden/>
    <w:unhideWhenUsed/>
    <w:rsid w:val="005A53DE"/>
    <w:pPr>
      <w:spacing w:after="120"/>
    </w:pPr>
  </w:style>
  <w:style w:type="paragraph" w:styleId="BalloonText">
    <w:name w:val="Balloon Text"/>
    <w:basedOn w:val="Normal"/>
    <w:link w:val="BalloonTextChar"/>
    <w:uiPriority w:val="99"/>
    <w:semiHidden/>
    <w:unhideWhenUsed/>
    <w:rsid w:val="0060615D"/>
    <w:pPr>
      <w:spacing w:after="0" w:line="240" w:lineRule="auto"/>
    </w:pPr>
    <w:rPr>
      <w:rFonts w:ascii="Tahoma" w:hAnsi="Tahoma" w:cs="Tahoma"/>
      <w:sz w:val="16"/>
    </w:rPr>
  </w:style>
  <w:style w:type="character" w:customStyle="1" w:styleId="BalloonTextChar">
    <w:name w:val="Balloon Text Char"/>
    <w:link w:val="BalloonText"/>
    <w:uiPriority w:val="99"/>
    <w:semiHidden/>
    <w:rsid w:val="0060615D"/>
    <w:rPr>
      <w:rFonts w:ascii="Tahoma" w:eastAsia="Calibri" w:hAnsi="Tahoma" w:cs="Tahoma"/>
      <w:sz w:val="16"/>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
    <w:link w:val="ListParagraphChar"/>
    <w:uiPriority w:val="99"/>
    <w:qFormat/>
    <w:rsid w:val="00B24A53"/>
    <w:pPr>
      <w:pBdr>
        <w:top w:val="nil"/>
        <w:left w:val="nil"/>
        <w:bottom w:val="nil"/>
        <w:right w:val="nil"/>
        <w:between w:val="nil"/>
        <w:bar w:val="nil"/>
      </w:pBdr>
      <w:ind w:left="720"/>
    </w:pPr>
    <w:rPr>
      <w:rFonts w:ascii="Cambria" w:eastAsia="Cambria" w:hAnsi="Cambria" w:cs="Cambria"/>
      <w:color w:val="000000"/>
      <w:sz w:val="24"/>
      <w:u w:color="000000"/>
      <w:bdr w:val="nil"/>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locked/>
    <w:rsid w:val="00B24A53"/>
    <w:rPr>
      <w:rFonts w:ascii="Cambria" w:eastAsia="Cambria" w:hAnsi="Cambria" w:cs="Cambria"/>
      <w:color w:val="000000"/>
      <w:sz w:val="24"/>
      <w:u w:color="000000"/>
      <w:bdr w:val="nil"/>
    </w:rPr>
  </w:style>
  <w:style w:type="character" w:styleId="CommentReference">
    <w:name w:val="annotation reference"/>
    <w:uiPriority w:val="99"/>
    <w:semiHidden/>
    <w:unhideWhenUsed/>
    <w:rsid w:val="00DF7DE3"/>
    <w:rPr>
      <w:sz w:val="16"/>
    </w:rPr>
  </w:style>
  <w:style w:type="paragraph" w:styleId="CommentText">
    <w:name w:val="annotation text"/>
    <w:basedOn w:val="Normal"/>
    <w:link w:val="CommentTextChar"/>
    <w:uiPriority w:val="99"/>
    <w:unhideWhenUsed/>
    <w:rsid w:val="00DF7DE3"/>
    <w:rPr>
      <w:sz w:val="20"/>
    </w:rPr>
  </w:style>
  <w:style w:type="character" w:customStyle="1" w:styleId="CommentTextChar">
    <w:name w:val="Comment Text Char"/>
    <w:link w:val="CommentText"/>
    <w:uiPriority w:val="99"/>
    <w:rsid w:val="00DF7DE3"/>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DF7DE3"/>
    <w:rPr>
      <w:b/>
    </w:rPr>
  </w:style>
  <w:style w:type="character" w:customStyle="1" w:styleId="CommentSubjectChar">
    <w:name w:val="Comment Subject Char"/>
    <w:link w:val="CommentSubject"/>
    <w:uiPriority w:val="99"/>
    <w:semiHidden/>
    <w:rsid w:val="00DF7DE3"/>
    <w:rPr>
      <w:rFonts w:ascii="Calibri" w:eastAsia="Calibri" w:hAnsi="Calibri"/>
      <w:b/>
    </w:rPr>
  </w:style>
  <w:style w:type="paragraph" w:styleId="NormalWeb">
    <w:name w:val="Normal (Web)"/>
    <w:basedOn w:val="Normal"/>
    <w:uiPriority w:val="99"/>
    <w:semiHidden/>
    <w:unhideWhenUsed/>
    <w:rsid w:val="004C11AF"/>
    <w:pPr>
      <w:spacing w:before="100" w:beforeAutospacing="1" w:after="100" w:afterAutospacing="1" w:line="240" w:lineRule="auto"/>
    </w:pPr>
    <w:rPr>
      <w:rFonts w:ascii="Times New Roman" w:hAnsi="Times New Roman"/>
      <w:sz w:val="24"/>
    </w:rPr>
  </w:style>
  <w:style w:type="paragraph" w:styleId="BodyTextIndent">
    <w:name w:val="Body Text Indent"/>
    <w:basedOn w:val="Normal"/>
    <w:link w:val="BodyTextIndentChar"/>
    <w:uiPriority w:val="99"/>
    <w:unhideWhenUsed/>
    <w:rsid w:val="00A54EEB"/>
    <w:pPr>
      <w:spacing w:after="120"/>
      <w:ind w:left="360"/>
    </w:pPr>
  </w:style>
  <w:style w:type="character" w:customStyle="1" w:styleId="BodyTextIndentChar">
    <w:name w:val="Body Text Indent Char"/>
    <w:link w:val="BodyTextIndent"/>
    <w:uiPriority w:val="99"/>
    <w:rsid w:val="00A54EEB"/>
    <w:rPr>
      <w:rFonts w:ascii="Calibri" w:eastAsia="Calibri" w:hAnsi="Calibri"/>
      <w:sz w:val="22"/>
    </w:rPr>
  </w:style>
  <w:style w:type="paragraph" w:customStyle="1" w:styleId="parrafos">
    <w:name w:val="parrafos"/>
    <w:basedOn w:val="Normal"/>
    <w:link w:val="parrafosChar"/>
    <w:qFormat/>
    <w:rsid w:val="00E26CD9"/>
    <w:pPr>
      <w:spacing w:after="0" w:line="240" w:lineRule="auto"/>
      <w:jc w:val="both"/>
    </w:pPr>
    <w:rPr>
      <w:rFonts w:ascii="Cambria" w:eastAsia="Arial Unicode MS" w:hAnsi="Cambria"/>
      <w:color w:val="000000"/>
      <w:sz w:val="20"/>
      <w:bdr w:val="nil"/>
    </w:rPr>
  </w:style>
  <w:style w:type="character" w:customStyle="1" w:styleId="parrafosChar">
    <w:name w:val="parrafos Char"/>
    <w:link w:val="parrafos"/>
    <w:rsid w:val="00E26CD9"/>
    <w:rPr>
      <w:rFonts w:ascii="Cambria" w:eastAsia="Arial Unicode MS" w:hAnsi="Cambria"/>
      <w:color w:val="000000"/>
      <w:bdr w:val="nil"/>
    </w:rPr>
  </w:style>
  <w:style w:type="character" w:customStyle="1" w:styleId="Heading1Char">
    <w:name w:val="Heading 1 Char"/>
    <w:link w:val="Heading1"/>
    <w:uiPriority w:val="9"/>
    <w:rsid w:val="00E26CD9"/>
    <w:rPr>
      <w:rFonts w:ascii="Calibri Light" w:eastAsia="Times New Roman" w:hAnsi="Calibri Light" w:cs="Times New Roman"/>
      <w:b/>
      <w:kern w:val="32"/>
      <w:sz w:val="32"/>
    </w:rPr>
  </w:style>
  <w:style w:type="paragraph" w:styleId="TOCHeading">
    <w:name w:val="TOC Heading"/>
    <w:basedOn w:val="Heading1"/>
    <w:next w:val="Normal"/>
    <w:uiPriority w:val="39"/>
    <w:unhideWhenUsed/>
    <w:qFormat/>
    <w:rsid w:val="00E26CD9"/>
    <w:pPr>
      <w:keepLines/>
      <w:spacing w:before="480" w:after="0"/>
      <w:outlineLvl w:val="9"/>
    </w:pPr>
    <w:rPr>
      <w:rFonts w:ascii="Cambria" w:eastAsia="MS Gothic" w:hAnsi="Cambria"/>
      <w:color w:val="365F91"/>
      <w:kern w:val="0"/>
      <w:sz w:val="28"/>
    </w:rPr>
  </w:style>
  <w:style w:type="character" w:styleId="Strong">
    <w:name w:val="Strong"/>
    <w:uiPriority w:val="22"/>
    <w:qFormat/>
    <w:rsid w:val="00036FC7"/>
    <w:rPr>
      <w:b/>
    </w:rPr>
  </w:style>
  <w:style w:type="character" w:customStyle="1" w:styleId="HeaderChar">
    <w:name w:val="Header Char"/>
    <w:aliases w:val="encabezado Char"/>
    <w:link w:val="Header"/>
    <w:rsid w:val="00475C19"/>
    <w:rPr>
      <w:rFonts w:ascii="Calibri" w:eastAsia="Calibri" w:hAnsi="Calibri"/>
      <w:sz w:val="22"/>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sid w:val="00290F8D"/>
    <w:pPr>
      <w:pBdr>
        <w:top w:val="nil"/>
        <w:left w:val="nil"/>
        <w:bottom w:val="nil"/>
        <w:right w:val="nil"/>
        <w:between w:val="nil"/>
        <w:bar w:val="nil"/>
      </w:pBdr>
    </w:pPr>
    <w:rPr>
      <w:rFonts w:ascii="Cambria" w:eastAsia="Calibri" w:hAnsi="Cambria" w:cs="Calibri"/>
      <w:color w:val="000000"/>
      <w:sz w:val="16"/>
      <w:u w:color="000000"/>
      <w:bdr w:val="ni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qFormat/>
    <w:rsid w:val="00290F8D"/>
    <w:rPr>
      <w:rFonts w:ascii="Cambria" w:eastAsia="Calibri" w:hAnsi="Cambria" w:cs="Calibri"/>
      <w:color w:val="000000"/>
      <w:sz w:val="16"/>
      <w:u w:color="000000"/>
      <w:bdr w:val="nil"/>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nhideWhenUsed/>
    <w:qFormat/>
    <w:rsid w:val="00290F8D"/>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290F8D"/>
    <w:pPr>
      <w:spacing w:after="160" w:line="240" w:lineRule="exact"/>
    </w:pPr>
    <w:rPr>
      <w:rFonts w:ascii="Times New Roman" w:eastAsia="Times New Roman" w:hAnsi="Times New Roman"/>
      <w:sz w:val="20"/>
      <w:vertAlign w:val="superscript"/>
    </w:rPr>
  </w:style>
  <w:style w:type="numbering" w:customStyle="1" w:styleId="Estiloimportado1">
    <w:name w:val="Estilo importado 1"/>
    <w:rsid w:val="00ED7C32"/>
  </w:style>
  <w:style w:type="paragraph" w:styleId="BodyText3">
    <w:name w:val="Body Text 3"/>
    <w:basedOn w:val="Normal"/>
    <w:link w:val="BodyText3Char"/>
    <w:uiPriority w:val="99"/>
    <w:unhideWhenUsed/>
    <w:rsid w:val="00AD01AD"/>
    <w:pPr>
      <w:pBdr>
        <w:top w:val="nil"/>
        <w:left w:val="nil"/>
        <w:bottom w:val="nil"/>
        <w:right w:val="nil"/>
        <w:between w:val="nil"/>
        <w:bar w:val="nil"/>
      </w:pBdr>
      <w:spacing w:after="120" w:line="240" w:lineRule="auto"/>
    </w:pPr>
    <w:rPr>
      <w:rFonts w:ascii="Cambria" w:eastAsia="Arial Unicode MS" w:hAnsi="Cambria"/>
      <w:sz w:val="16"/>
      <w:bdr w:val="nil"/>
    </w:rPr>
  </w:style>
  <w:style w:type="character" w:customStyle="1" w:styleId="BodyText3Char">
    <w:name w:val="Body Text 3 Char"/>
    <w:link w:val="BodyText3"/>
    <w:uiPriority w:val="99"/>
    <w:rsid w:val="00AD01AD"/>
    <w:rPr>
      <w:rFonts w:ascii="Cambria" w:eastAsia="Arial Unicode MS" w:hAnsi="Cambria"/>
      <w:sz w:val="16"/>
      <w:bdr w:val="nil"/>
    </w:rPr>
  </w:style>
  <w:style w:type="character" w:customStyle="1" w:styleId="cf01">
    <w:name w:val="cf01"/>
    <w:rsid w:val="00BC3E3A"/>
    <w:rPr>
      <w:rFonts w:ascii="Segoe UI" w:hAnsi="Segoe UI" w:cs="Segoe UI" w:hint="default"/>
      <w:sz w:val="18"/>
    </w:rPr>
  </w:style>
  <w:style w:type="paragraph" w:customStyle="1" w:styleId="P68B1DB1-Normal1">
    <w:name w:val="P68B1DB1-Normal1"/>
    <w:basedOn w:val="Normal"/>
    <w:rPr>
      <w:rFonts w:ascii="Cambria" w:hAnsi="Cambria" w:cs="Calibri"/>
      <w:color w:val="000000"/>
      <w:sz w:val="20"/>
    </w:rPr>
  </w:style>
  <w:style w:type="paragraph" w:customStyle="1" w:styleId="P68B1DB1-Normal2">
    <w:name w:val="P68B1DB1-Normal2"/>
    <w:basedOn w:val="Normal"/>
    <w:rPr>
      <w:rFonts w:ascii="Cambria" w:hAnsi="Cambria" w:cs="Calibri"/>
      <w:b/>
      <w:color w:val="000000"/>
      <w:sz w:val="20"/>
    </w:rPr>
  </w:style>
  <w:style w:type="paragraph" w:customStyle="1" w:styleId="P68B1DB1-Normal3">
    <w:name w:val="P68B1DB1-Normal3"/>
    <w:basedOn w:val="Normal"/>
    <w:rPr>
      <w:rFonts w:ascii="Cambria" w:hAnsi="Cambria"/>
      <w:sz w:val="20"/>
    </w:rPr>
  </w:style>
  <w:style w:type="paragraph" w:customStyle="1" w:styleId="P68B1DB1-Normal4">
    <w:name w:val="P68B1DB1-Normal4"/>
    <w:basedOn w:val="Normal"/>
    <w:rPr>
      <w:rFonts w:ascii="Cambria" w:hAnsi="Cambria" w:cs="Calibri"/>
      <w:sz w:val="20"/>
    </w:rPr>
  </w:style>
  <w:style w:type="paragraph" w:customStyle="1" w:styleId="P68B1DB1-ListParagraph5">
    <w:name w:val="P68B1DB1-ListParagraph5"/>
    <w:basedOn w:val="ListParagraph"/>
    <w:rPr>
      <w:sz w:val="20"/>
    </w:rPr>
  </w:style>
  <w:style w:type="paragraph" w:customStyle="1" w:styleId="P68B1DB1-Normal6">
    <w:name w:val="P68B1DB1-Normal6"/>
    <w:basedOn w:val="Normal"/>
    <w:rPr>
      <w:rFonts w:ascii="Cambria" w:hAnsi="Cambria" w:cs="Arial"/>
      <w:sz w:val="20"/>
    </w:rPr>
  </w:style>
  <w:style w:type="paragraph" w:customStyle="1" w:styleId="P68B1DB1-Normal7">
    <w:name w:val="P68B1DB1-Normal7"/>
    <w:basedOn w:val="Normal"/>
    <w:rPr>
      <w:rFonts w:cs="Calibri"/>
    </w:rPr>
  </w:style>
  <w:style w:type="paragraph" w:customStyle="1" w:styleId="P68B1DB1-Footer8">
    <w:name w:val="P68B1DB1-Footer8"/>
    <w:basedOn w:val="Foote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8618">
      <w:bodyDiv w:val="1"/>
      <w:marLeft w:val="0"/>
      <w:marRight w:val="0"/>
      <w:marTop w:val="0"/>
      <w:marBottom w:val="0"/>
      <w:divBdr>
        <w:top w:val="none" w:sz="0" w:space="0" w:color="auto"/>
        <w:left w:val="none" w:sz="0" w:space="0" w:color="auto"/>
        <w:bottom w:val="none" w:sz="0" w:space="0" w:color="auto"/>
        <w:right w:val="none" w:sz="0" w:space="0" w:color="auto"/>
      </w:divBdr>
    </w:div>
    <w:div w:id="843789377">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1132360507">
      <w:bodyDiv w:val="1"/>
      <w:marLeft w:val="0"/>
      <w:marRight w:val="0"/>
      <w:marTop w:val="0"/>
      <w:marBottom w:val="0"/>
      <w:divBdr>
        <w:top w:val="none" w:sz="0" w:space="0" w:color="auto"/>
        <w:left w:val="none" w:sz="0" w:space="0" w:color="auto"/>
        <w:bottom w:val="none" w:sz="0" w:space="0" w:color="auto"/>
        <w:right w:val="none" w:sz="0" w:space="0" w:color="auto"/>
      </w:divBdr>
    </w:div>
    <w:div w:id="1427967323">
      <w:bodyDiv w:val="1"/>
      <w:marLeft w:val="0"/>
      <w:marRight w:val="0"/>
      <w:marTop w:val="0"/>
      <w:marBottom w:val="0"/>
      <w:divBdr>
        <w:top w:val="none" w:sz="0" w:space="0" w:color="auto"/>
        <w:left w:val="none" w:sz="0" w:space="0" w:color="auto"/>
        <w:bottom w:val="none" w:sz="0" w:space="0" w:color="auto"/>
        <w:right w:val="none" w:sz="0" w:space="0" w:color="auto"/>
      </w:divBdr>
    </w:div>
    <w:div w:id="1474252416">
      <w:bodyDiv w:val="1"/>
      <w:marLeft w:val="0"/>
      <w:marRight w:val="0"/>
      <w:marTop w:val="0"/>
      <w:marBottom w:val="0"/>
      <w:divBdr>
        <w:top w:val="none" w:sz="0" w:space="0" w:color="auto"/>
        <w:left w:val="none" w:sz="0" w:space="0" w:color="auto"/>
        <w:bottom w:val="none" w:sz="0" w:space="0" w:color="auto"/>
        <w:right w:val="none" w:sz="0" w:space="0" w:color="auto"/>
      </w:divBdr>
    </w:div>
    <w:div w:id="1529416678">
      <w:bodyDiv w:val="1"/>
      <w:marLeft w:val="0"/>
      <w:marRight w:val="0"/>
      <w:marTop w:val="0"/>
      <w:marBottom w:val="0"/>
      <w:divBdr>
        <w:top w:val="none" w:sz="0" w:space="0" w:color="auto"/>
        <w:left w:val="none" w:sz="0" w:space="0" w:color="auto"/>
        <w:bottom w:val="none" w:sz="0" w:space="0" w:color="auto"/>
        <w:right w:val="none" w:sz="0" w:space="0" w:color="auto"/>
      </w:divBdr>
    </w:div>
    <w:div w:id="1991326211">
      <w:bodyDiv w:val="1"/>
      <w:marLeft w:val="0"/>
      <w:marRight w:val="0"/>
      <w:marTop w:val="0"/>
      <w:marBottom w:val="0"/>
      <w:divBdr>
        <w:top w:val="none" w:sz="0" w:space="0" w:color="auto"/>
        <w:left w:val="none" w:sz="0" w:space="0" w:color="auto"/>
        <w:bottom w:val="none" w:sz="0" w:space="0" w:color="auto"/>
        <w:right w:val="none" w:sz="0" w:space="0" w:color="auto"/>
      </w:divBdr>
    </w:div>
    <w:div w:id="20862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56DD9-B40C-4CDF-84F1-F66E7EA9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43C2-EC81-4542-BFB6-EA67E50BF5BF}">
  <ds:schemaRefs>
    <ds:schemaRef ds:uri="http://schemas.microsoft.com/office/2006/metadata/longProperties"/>
  </ds:schemaRefs>
</ds:datastoreItem>
</file>

<file path=customXml/itemProps3.xml><?xml version="1.0" encoding="utf-8"?>
<ds:datastoreItem xmlns:ds="http://schemas.openxmlformats.org/officeDocument/2006/customXml" ds:itemID="{3A073186-B4A1-4E04-B76F-FB13B4357C09}">
  <ds:schemaRefs>
    <ds:schemaRef ds:uri="http://schemas.openxmlformats.org/officeDocument/2006/bibliography"/>
  </ds:schemaRefs>
</ds:datastoreItem>
</file>

<file path=customXml/itemProps4.xml><?xml version="1.0" encoding="utf-8"?>
<ds:datastoreItem xmlns:ds="http://schemas.openxmlformats.org/officeDocument/2006/customXml" ds:itemID="{76106A48-04BC-45C5-B030-98F5F08D0827}">
  <ds:schemaRefs>
    <ds:schemaRef ds:uri="http://schemas.microsoft.com/sharepoint/v3/contenttype/forms"/>
  </ds:schemaRefs>
</ds:datastoreItem>
</file>

<file path=customXml/itemProps5.xml><?xml version="1.0" encoding="utf-8"?>
<ds:datastoreItem xmlns:ds="http://schemas.openxmlformats.org/officeDocument/2006/customXml" ds:itemID="{90414C36-F5E5-4FD8-9048-12B14AC27C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20534</Characters>
  <Application>Microsoft Office Word</Application>
  <DocSecurity>0</DocSecurity>
  <Lines>171</Lines>
  <Paragraphs>48</Paragraphs>
  <ScaleCrop>false</ScaleCrop>
  <Company/>
  <LinksUpToDate>false</LinksUpToDate>
  <CharactersWithSpaces>24088</CharactersWithSpaces>
  <SharedDoc>false</SharedDoc>
  <HLinks>
    <vt:vector size="18" baseType="variant">
      <vt:variant>
        <vt:i4>3604509</vt:i4>
      </vt:variant>
      <vt:variant>
        <vt:i4>6</vt:i4>
      </vt:variant>
      <vt:variant>
        <vt:i4>0</vt:i4>
      </vt:variant>
      <vt:variant>
        <vt:i4>5</vt:i4>
      </vt:variant>
      <vt:variant>
        <vt:lpwstr>mailto:gabinete.dndh@dpu.gov.br</vt:lpwstr>
      </vt:variant>
      <vt:variant>
        <vt:lpwstr/>
      </vt:variant>
      <vt:variant>
        <vt:i4>4128836</vt:i4>
      </vt:variant>
      <vt:variant>
        <vt:i4>3</vt:i4>
      </vt:variant>
      <vt:variant>
        <vt:i4>0</vt:i4>
      </vt:variant>
      <vt:variant>
        <vt:i4>5</vt:i4>
      </vt:variant>
      <vt:variant>
        <vt:lpwstr>mailto:smdh@terra.com.br</vt:lpwstr>
      </vt:variant>
      <vt:variant>
        <vt:lpwstr/>
      </vt:variant>
      <vt:variant>
        <vt:i4>3473483</vt:i4>
      </vt:variant>
      <vt:variant>
        <vt:i4>0</vt:i4>
      </vt:variant>
      <vt:variant>
        <vt:i4>0</vt:i4>
      </vt:variant>
      <vt:variant>
        <vt:i4>5</vt:i4>
      </vt:variant>
      <vt:variant>
        <vt:lpwstr>mailto:juridico@global.org.br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2022-03-04T22:33:00Z</dcterms:created>
  <dcterms:modified xsi:type="dcterms:W3CDTF">2022-03-04T22:34:00Z</dcterms:modified>
</cp:coreProperties>
</file>