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D9FB0" w14:textId="77777777" w:rsidR="00D70EA9" w:rsidRPr="00CD1C3C" w:rsidRDefault="000E24C6" w:rsidP="00532EA6">
      <w:pPr>
        <w:spacing w:after="0" w:line="240" w:lineRule="auto"/>
        <w:jc w:val="center"/>
        <w:rPr>
          <w:rFonts w:ascii="Cambria" w:hAnsi="Cambria" w:cs="Calibri"/>
          <w:b/>
          <w:bCs/>
          <w:sz w:val="20"/>
          <w:szCs w:val="20"/>
          <w:lang w:val="en-US"/>
        </w:rPr>
      </w:pPr>
      <w:r w:rsidRPr="00CD1C3C">
        <w:rPr>
          <w:rFonts w:ascii="Cambria" w:hAnsi="Cambria"/>
          <w:b/>
          <w:bCs/>
          <w:sz w:val="20"/>
          <w:szCs w:val="20"/>
          <w:lang w:val="en-US"/>
        </w:rPr>
        <w:t>FOLLOW-UP FACTSHEET OF REPORT No</w:t>
      </w:r>
      <w:r w:rsidR="005E04D6" w:rsidRPr="00CD1C3C">
        <w:rPr>
          <w:rFonts w:ascii="Cambria" w:hAnsi="Cambria"/>
          <w:b/>
          <w:sz w:val="20"/>
          <w:szCs w:val="20"/>
          <w:lang w:val="en-US"/>
        </w:rPr>
        <w:t xml:space="preserve">. </w:t>
      </w:r>
      <w:r w:rsidR="00A94CEC" w:rsidRPr="00CD1C3C">
        <w:rPr>
          <w:rFonts w:ascii="Cambria" w:hAnsi="Cambria" w:cs="Calibri"/>
          <w:b/>
          <w:bCs/>
          <w:sz w:val="20"/>
          <w:szCs w:val="20"/>
          <w:lang w:val="en-US"/>
        </w:rPr>
        <w:t>62/02</w:t>
      </w:r>
    </w:p>
    <w:p w14:paraId="32B407F1" w14:textId="77777777" w:rsidR="00D70EA9" w:rsidRPr="00CD1C3C" w:rsidRDefault="004A352F" w:rsidP="004172BD">
      <w:pPr>
        <w:spacing w:after="0" w:line="240" w:lineRule="auto"/>
        <w:jc w:val="center"/>
        <w:rPr>
          <w:rFonts w:ascii="Cambria" w:hAnsi="Cambria"/>
          <w:b/>
          <w:sz w:val="20"/>
          <w:szCs w:val="20"/>
          <w:lang w:val="en-US"/>
        </w:rPr>
      </w:pPr>
      <w:r w:rsidRPr="00CD1C3C">
        <w:rPr>
          <w:rFonts w:ascii="Cambria" w:hAnsi="Cambria"/>
          <w:b/>
          <w:sz w:val="20"/>
          <w:szCs w:val="20"/>
          <w:lang w:val="en-US"/>
        </w:rPr>
        <w:t>CASE 12</w:t>
      </w:r>
      <w:r w:rsidR="005E04D6" w:rsidRPr="00CD1C3C">
        <w:rPr>
          <w:rFonts w:ascii="Cambria" w:hAnsi="Cambria"/>
          <w:b/>
          <w:sz w:val="20"/>
          <w:szCs w:val="20"/>
          <w:lang w:val="en-US"/>
        </w:rPr>
        <w:t>.</w:t>
      </w:r>
      <w:r w:rsidR="00A94CEC" w:rsidRPr="00CD1C3C">
        <w:rPr>
          <w:rFonts w:ascii="Cambria" w:hAnsi="Cambria"/>
          <w:b/>
          <w:sz w:val="20"/>
          <w:szCs w:val="20"/>
          <w:lang w:val="en-US"/>
        </w:rPr>
        <w:t>285</w:t>
      </w:r>
    </w:p>
    <w:p w14:paraId="3FA17CB2" w14:textId="77777777" w:rsidR="00D70EA9" w:rsidRPr="00CD1C3C" w:rsidRDefault="00A94CEC" w:rsidP="004172BD">
      <w:pPr>
        <w:spacing w:after="0" w:line="240" w:lineRule="auto"/>
        <w:jc w:val="center"/>
        <w:rPr>
          <w:rFonts w:ascii="Cambria" w:hAnsi="Cambria"/>
          <w:b/>
          <w:sz w:val="20"/>
          <w:szCs w:val="20"/>
          <w:lang w:val="en-US"/>
        </w:rPr>
      </w:pPr>
      <w:r w:rsidRPr="00CD1C3C">
        <w:rPr>
          <w:rFonts w:ascii="Cambria" w:hAnsi="Cambria"/>
          <w:b/>
          <w:sz w:val="20"/>
          <w:szCs w:val="20"/>
          <w:lang w:val="en-US"/>
        </w:rPr>
        <w:t>MICHAEL DOMINGUES</w:t>
      </w:r>
    </w:p>
    <w:p w14:paraId="313991D4" w14:textId="77777777" w:rsidR="00D70EA9" w:rsidRPr="00CD1C3C" w:rsidRDefault="00D70EA9" w:rsidP="004172BD">
      <w:pPr>
        <w:spacing w:after="0" w:line="240" w:lineRule="auto"/>
        <w:jc w:val="center"/>
        <w:rPr>
          <w:rFonts w:ascii="Cambria" w:hAnsi="Cambria"/>
          <w:b/>
          <w:sz w:val="20"/>
          <w:szCs w:val="20"/>
          <w:lang w:val="en-US"/>
        </w:rPr>
      </w:pPr>
      <w:r w:rsidRPr="00CD1C3C">
        <w:rPr>
          <w:rFonts w:ascii="Cambria" w:hAnsi="Cambria"/>
          <w:b/>
          <w:sz w:val="20"/>
          <w:szCs w:val="20"/>
          <w:lang w:val="en-US"/>
        </w:rPr>
        <w:t>(</w:t>
      </w:r>
      <w:r w:rsidR="00A94CEC" w:rsidRPr="00CD1C3C">
        <w:rPr>
          <w:rFonts w:ascii="Cambria" w:hAnsi="Cambria"/>
          <w:b/>
          <w:sz w:val="20"/>
          <w:szCs w:val="20"/>
          <w:lang w:val="en-US"/>
        </w:rPr>
        <w:t>United States</w:t>
      </w:r>
      <w:r w:rsidRPr="00CD1C3C">
        <w:rPr>
          <w:rFonts w:ascii="Cambria" w:hAnsi="Cambria"/>
          <w:b/>
          <w:sz w:val="20"/>
          <w:szCs w:val="20"/>
          <w:lang w:val="en-US"/>
        </w:rPr>
        <w:t>)</w:t>
      </w:r>
    </w:p>
    <w:p w14:paraId="089C51B4" w14:textId="77777777" w:rsidR="000E24C6" w:rsidRPr="00CD1C3C" w:rsidRDefault="000E24C6" w:rsidP="000E24C6">
      <w:pPr>
        <w:spacing w:after="0" w:line="240" w:lineRule="auto"/>
        <w:ind w:left="1440"/>
        <w:rPr>
          <w:rFonts w:ascii="Cambria" w:hAnsi="Cambria" w:cs="Calibri Light"/>
          <w:sz w:val="20"/>
          <w:szCs w:val="20"/>
          <w:lang w:val="en-US"/>
        </w:rPr>
      </w:pPr>
    </w:p>
    <w:p w14:paraId="6FF71824" w14:textId="77777777" w:rsidR="00D70EA9" w:rsidRPr="00CD1C3C" w:rsidRDefault="00B30310" w:rsidP="00BD2642">
      <w:pPr>
        <w:numPr>
          <w:ilvl w:val="0"/>
          <w:numId w:val="1"/>
        </w:numPr>
        <w:spacing w:after="0" w:line="240" w:lineRule="auto"/>
        <w:ind w:left="1440"/>
        <w:rPr>
          <w:rFonts w:ascii="Cambria" w:hAnsi="Cambria" w:cs="Calibri Light"/>
          <w:b/>
          <w:sz w:val="20"/>
          <w:szCs w:val="20"/>
          <w:lang w:val="en-US"/>
        </w:rPr>
      </w:pPr>
      <w:r w:rsidRPr="00CD1C3C">
        <w:rPr>
          <w:rFonts w:ascii="Cambria" w:hAnsi="Cambria" w:cs="Calibri Light"/>
          <w:b/>
          <w:sz w:val="20"/>
          <w:szCs w:val="20"/>
          <w:lang w:val="en-US"/>
        </w:rPr>
        <w:t>Summary of case</w:t>
      </w:r>
    </w:p>
    <w:p w14:paraId="75660E4B" w14:textId="77777777" w:rsidR="00D70EA9" w:rsidRPr="00CD1C3C" w:rsidRDefault="00D70EA9" w:rsidP="00D70EA9">
      <w:pPr>
        <w:spacing w:after="0" w:line="240" w:lineRule="auto"/>
        <w:ind w:left="1080"/>
        <w:rPr>
          <w:rFonts w:ascii="Cambria" w:hAnsi="Cambria" w:cs="Calibri Light"/>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576"/>
      </w:tblGrid>
      <w:tr w:rsidR="00D70EA9" w:rsidRPr="002C2D53" w14:paraId="34E0DC52" w14:textId="77777777" w:rsidTr="00CB3AFA">
        <w:tc>
          <w:tcPr>
            <w:tcW w:w="9576" w:type="dxa"/>
            <w:shd w:val="clear" w:color="auto" w:fill="F2F2F2"/>
          </w:tcPr>
          <w:p w14:paraId="673F3EC4" w14:textId="77777777" w:rsidR="00D70EA9" w:rsidRPr="00CD1C3C" w:rsidRDefault="00C16D39" w:rsidP="00C16D39">
            <w:pPr>
              <w:spacing w:before="120" w:after="0" w:line="240" w:lineRule="auto"/>
              <w:jc w:val="both"/>
              <w:rPr>
                <w:rFonts w:ascii="Cambria" w:hAnsi="Cambria"/>
                <w:sz w:val="20"/>
                <w:szCs w:val="20"/>
                <w:lang w:val="en-US"/>
              </w:rPr>
            </w:pPr>
            <w:r w:rsidRPr="00CD1C3C">
              <w:rPr>
                <w:rFonts w:ascii="Cambria" w:hAnsi="Cambria"/>
                <w:b/>
                <w:sz w:val="20"/>
                <w:szCs w:val="20"/>
                <w:lang w:val="en-US"/>
              </w:rPr>
              <w:t>Victim</w:t>
            </w:r>
            <w:r w:rsidR="00D70EA9" w:rsidRPr="00CD1C3C">
              <w:rPr>
                <w:rFonts w:ascii="Cambria" w:hAnsi="Cambria"/>
                <w:b/>
                <w:sz w:val="20"/>
                <w:szCs w:val="20"/>
                <w:lang w:val="en-US"/>
              </w:rPr>
              <w:t xml:space="preserve"> (s):</w:t>
            </w:r>
            <w:r w:rsidR="00D70EA9" w:rsidRPr="00CD1C3C">
              <w:rPr>
                <w:rFonts w:ascii="Cambria" w:hAnsi="Cambria"/>
                <w:sz w:val="20"/>
                <w:szCs w:val="20"/>
                <w:lang w:val="en-US"/>
              </w:rPr>
              <w:t xml:space="preserve"> </w:t>
            </w:r>
            <w:r w:rsidR="00B951C5" w:rsidRPr="00CD1C3C">
              <w:rPr>
                <w:rFonts w:ascii="Cambria" w:hAnsi="Cambria"/>
                <w:sz w:val="20"/>
                <w:szCs w:val="20"/>
                <w:lang w:val="en-US"/>
              </w:rPr>
              <w:t xml:space="preserve">Michael </w:t>
            </w:r>
            <w:proofErr w:type="spellStart"/>
            <w:r w:rsidR="00B951C5" w:rsidRPr="00CD1C3C">
              <w:rPr>
                <w:rFonts w:ascii="Cambria" w:hAnsi="Cambria"/>
                <w:sz w:val="20"/>
                <w:szCs w:val="20"/>
                <w:lang w:val="en-US"/>
              </w:rPr>
              <w:t>Domingues</w:t>
            </w:r>
            <w:proofErr w:type="spellEnd"/>
          </w:p>
          <w:p w14:paraId="0057D839" w14:textId="6DE48FC8" w:rsidR="00AA50F9" w:rsidRPr="00CD1C3C" w:rsidRDefault="00C16D39" w:rsidP="00AA50F9">
            <w:pPr>
              <w:spacing w:after="0" w:line="240" w:lineRule="auto"/>
              <w:jc w:val="both"/>
              <w:rPr>
                <w:rFonts w:ascii="Cambria" w:hAnsi="Cambria"/>
                <w:sz w:val="20"/>
                <w:szCs w:val="20"/>
                <w:lang w:val="en-US"/>
              </w:rPr>
            </w:pPr>
            <w:r w:rsidRPr="00CD1C3C">
              <w:rPr>
                <w:rFonts w:ascii="Cambria" w:hAnsi="Cambria"/>
                <w:b/>
                <w:sz w:val="20"/>
                <w:szCs w:val="20"/>
                <w:lang w:val="en-US"/>
              </w:rPr>
              <w:t>Petitioner</w:t>
            </w:r>
            <w:r w:rsidR="00D70EA9" w:rsidRPr="00CD1C3C">
              <w:rPr>
                <w:rFonts w:ascii="Cambria" w:hAnsi="Cambria"/>
                <w:b/>
                <w:sz w:val="20"/>
                <w:szCs w:val="20"/>
                <w:lang w:val="en-US"/>
              </w:rPr>
              <w:t xml:space="preserve"> (s):</w:t>
            </w:r>
            <w:r w:rsidR="00D70EA9" w:rsidRPr="00CD1C3C">
              <w:rPr>
                <w:rFonts w:ascii="Cambria" w:hAnsi="Cambria"/>
                <w:sz w:val="20"/>
                <w:szCs w:val="20"/>
                <w:lang w:val="en-US"/>
              </w:rPr>
              <w:t xml:space="preserve"> </w:t>
            </w:r>
            <w:r w:rsidR="00E6569E" w:rsidRPr="00CD1C3C">
              <w:rPr>
                <w:rFonts w:ascii="Cambria" w:hAnsi="Cambria"/>
                <w:sz w:val="20"/>
                <w:szCs w:val="20"/>
                <w:lang w:val="en-US"/>
              </w:rPr>
              <w:t>Philip J. Kohn</w:t>
            </w:r>
            <w:r w:rsidR="00401ECA" w:rsidRPr="00CD1C3C">
              <w:rPr>
                <w:rFonts w:ascii="Cambria" w:hAnsi="Cambria"/>
                <w:sz w:val="20"/>
                <w:szCs w:val="20"/>
                <w:lang w:val="en-US"/>
              </w:rPr>
              <w:t xml:space="preserve"> and </w:t>
            </w:r>
            <w:r w:rsidR="00E6569E" w:rsidRPr="00CD1C3C">
              <w:rPr>
                <w:rFonts w:ascii="Cambria" w:hAnsi="Cambria"/>
                <w:sz w:val="20"/>
                <w:szCs w:val="20"/>
                <w:lang w:val="en-US"/>
              </w:rPr>
              <w:t xml:space="preserve">William A. </w:t>
            </w:r>
            <w:proofErr w:type="spellStart"/>
            <w:r w:rsidR="00E6569E" w:rsidRPr="00CD1C3C">
              <w:rPr>
                <w:rFonts w:ascii="Cambria" w:hAnsi="Cambria"/>
                <w:sz w:val="20"/>
                <w:szCs w:val="20"/>
                <w:lang w:val="en-US"/>
              </w:rPr>
              <w:t>Courson</w:t>
            </w:r>
            <w:proofErr w:type="spellEnd"/>
            <w:r w:rsidR="00401ECA" w:rsidRPr="00CD1C3C">
              <w:rPr>
                <w:rFonts w:ascii="Cambria" w:hAnsi="Cambria"/>
                <w:sz w:val="20"/>
                <w:szCs w:val="20"/>
                <w:lang w:val="en-US"/>
              </w:rPr>
              <w:t xml:space="preserve"> (Clark County Nevada Office of the Public Defender)</w:t>
            </w:r>
            <w:r w:rsidR="00E6569E" w:rsidRPr="00CD1C3C">
              <w:rPr>
                <w:rFonts w:ascii="Cambria" w:hAnsi="Cambria"/>
                <w:sz w:val="20"/>
                <w:szCs w:val="20"/>
                <w:lang w:val="en-US"/>
              </w:rPr>
              <w:t xml:space="preserve"> </w:t>
            </w:r>
          </w:p>
          <w:p w14:paraId="450EAF37" w14:textId="77777777" w:rsidR="00D70EA9" w:rsidRPr="00CD1C3C" w:rsidRDefault="00C16D39" w:rsidP="00C16D39">
            <w:pPr>
              <w:spacing w:after="0" w:line="240" w:lineRule="auto"/>
              <w:jc w:val="both"/>
              <w:rPr>
                <w:rFonts w:ascii="Cambria" w:hAnsi="Cambria"/>
                <w:sz w:val="20"/>
                <w:szCs w:val="20"/>
                <w:lang w:val="en-US"/>
              </w:rPr>
            </w:pPr>
            <w:r w:rsidRPr="00CD1C3C">
              <w:rPr>
                <w:rFonts w:ascii="Cambria" w:hAnsi="Cambria"/>
                <w:b/>
                <w:sz w:val="20"/>
                <w:szCs w:val="20"/>
                <w:lang w:val="en-US"/>
              </w:rPr>
              <w:t>State</w:t>
            </w:r>
            <w:r w:rsidR="00D70EA9" w:rsidRPr="00CD1C3C">
              <w:rPr>
                <w:rFonts w:ascii="Cambria" w:hAnsi="Cambria"/>
                <w:b/>
                <w:sz w:val="20"/>
                <w:szCs w:val="20"/>
                <w:lang w:val="en-US"/>
              </w:rPr>
              <w:t>:</w:t>
            </w:r>
            <w:r w:rsidR="00D70EA9" w:rsidRPr="00CD1C3C">
              <w:rPr>
                <w:rFonts w:ascii="Cambria" w:hAnsi="Cambria"/>
                <w:sz w:val="20"/>
                <w:szCs w:val="20"/>
                <w:lang w:val="en-US"/>
              </w:rPr>
              <w:t xml:space="preserve"> </w:t>
            </w:r>
            <w:r w:rsidR="00B951C5" w:rsidRPr="00CD1C3C">
              <w:rPr>
                <w:rFonts w:ascii="Cambria" w:hAnsi="Cambria"/>
                <w:sz w:val="20"/>
                <w:szCs w:val="20"/>
                <w:lang w:val="en-US"/>
              </w:rPr>
              <w:t>United States</w:t>
            </w:r>
          </w:p>
          <w:p w14:paraId="5F64A6C6" w14:textId="77777777" w:rsidR="00D70EA9" w:rsidRPr="00CD1C3C" w:rsidRDefault="00C16D39" w:rsidP="00C16D39">
            <w:pPr>
              <w:spacing w:after="0" w:line="240" w:lineRule="auto"/>
              <w:jc w:val="both"/>
              <w:rPr>
                <w:rFonts w:ascii="Cambria" w:hAnsi="Cambria"/>
                <w:sz w:val="20"/>
                <w:szCs w:val="20"/>
                <w:lang w:val="en-US"/>
              </w:rPr>
            </w:pPr>
            <w:r w:rsidRPr="00CD1C3C">
              <w:rPr>
                <w:rFonts w:ascii="Cambria" w:hAnsi="Cambria"/>
                <w:b/>
                <w:sz w:val="20"/>
                <w:szCs w:val="20"/>
                <w:lang w:val="en-US"/>
              </w:rPr>
              <w:t>Merits Report No</w:t>
            </w:r>
            <w:r w:rsidR="00D70EA9" w:rsidRPr="00CD1C3C">
              <w:rPr>
                <w:rFonts w:ascii="Cambria" w:hAnsi="Cambria"/>
                <w:b/>
                <w:sz w:val="20"/>
                <w:szCs w:val="20"/>
                <w:lang w:val="en-US"/>
              </w:rPr>
              <w:t xml:space="preserve">.: </w:t>
            </w:r>
            <w:hyperlink r:id="rId8" w:history="1">
              <w:r w:rsidR="003E149C" w:rsidRPr="00CD1C3C">
                <w:rPr>
                  <w:rStyle w:val="Hyperlink"/>
                  <w:rFonts w:ascii="Cambria" w:hAnsi="Cambria"/>
                  <w:color w:val="auto"/>
                  <w:sz w:val="20"/>
                  <w:szCs w:val="20"/>
                  <w:lang w:val="en-US"/>
                </w:rPr>
                <w:t>62/02</w:t>
              </w:r>
            </w:hyperlink>
            <w:r w:rsidR="003E149C" w:rsidRPr="00CD1C3C">
              <w:rPr>
                <w:rFonts w:ascii="Cambria" w:hAnsi="Cambria"/>
                <w:sz w:val="20"/>
                <w:szCs w:val="20"/>
                <w:lang w:val="en-US"/>
              </w:rPr>
              <w:t>, published on October 22, 2002</w:t>
            </w:r>
          </w:p>
          <w:p w14:paraId="335EE155" w14:textId="77777777" w:rsidR="00D70EA9" w:rsidRPr="00CD1C3C" w:rsidRDefault="00C16D39" w:rsidP="00C16D39">
            <w:pPr>
              <w:spacing w:after="0" w:line="240" w:lineRule="auto"/>
              <w:jc w:val="both"/>
              <w:rPr>
                <w:rFonts w:ascii="Cambria" w:hAnsi="Cambria"/>
                <w:sz w:val="20"/>
                <w:szCs w:val="20"/>
                <w:lang w:val="en-US"/>
              </w:rPr>
            </w:pPr>
            <w:r w:rsidRPr="00CD1C3C">
              <w:rPr>
                <w:rFonts w:ascii="Cambria" w:hAnsi="Cambria"/>
                <w:b/>
                <w:sz w:val="20"/>
                <w:szCs w:val="20"/>
                <w:lang w:val="en-US"/>
              </w:rPr>
              <w:t>Admissibility Report</w:t>
            </w:r>
            <w:r w:rsidR="00D70EA9" w:rsidRPr="00CD1C3C">
              <w:rPr>
                <w:rFonts w:ascii="Cambria" w:hAnsi="Cambria"/>
                <w:b/>
                <w:sz w:val="20"/>
                <w:szCs w:val="20"/>
                <w:lang w:val="en-US"/>
              </w:rPr>
              <w:t>:</w:t>
            </w:r>
            <w:r w:rsidR="00D70EA9" w:rsidRPr="00CD1C3C">
              <w:rPr>
                <w:rFonts w:ascii="Cambria" w:hAnsi="Cambria"/>
                <w:sz w:val="20"/>
                <w:szCs w:val="20"/>
                <w:lang w:val="en-US"/>
              </w:rPr>
              <w:t xml:space="preserve"> </w:t>
            </w:r>
            <w:r w:rsidR="00AC18E3" w:rsidRPr="00CD1C3C">
              <w:rPr>
                <w:rFonts w:ascii="Cambria" w:hAnsi="Cambria"/>
                <w:sz w:val="20"/>
                <w:szCs w:val="20"/>
                <w:lang w:val="en-US"/>
              </w:rPr>
              <w:t>Analyzed</w:t>
            </w:r>
            <w:r w:rsidR="003E149C" w:rsidRPr="00CD1C3C">
              <w:rPr>
                <w:rFonts w:ascii="Cambria" w:hAnsi="Cambria"/>
                <w:sz w:val="20"/>
                <w:szCs w:val="20"/>
                <w:lang w:val="en-US"/>
              </w:rPr>
              <w:t xml:space="preserve"> with Merits Report 62/02</w:t>
            </w:r>
          </w:p>
          <w:p w14:paraId="59F746D4" w14:textId="77777777" w:rsidR="001551A8" w:rsidRPr="00CD1C3C" w:rsidRDefault="00EF14E5" w:rsidP="00C16D39">
            <w:pPr>
              <w:spacing w:after="0" w:line="240" w:lineRule="auto"/>
              <w:jc w:val="both"/>
              <w:rPr>
                <w:rFonts w:ascii="Cambria" w:hAnsi="Cambria"/>
                <w:sz w:val="20"/>
                <w:szCs w:val="20"/>
                <w:lang w:val="en-US"/>
              </w:rPr>
            </w:pPr>
            <w:r w:rsidRPr="00CD1C3C">
              <w:rPr>
                <w:rFonts w:ascii="Cambria" w:hAnsi="Cambria"/>
                <w:b/>
                <w:sz w:val="20"/>
                <w:szCs w:val="20"/>
                <w:lang w:val="en-US"/>
              </w:rPr>
              <w:t>Precautionary Measure</w:t>
            </w:r>
            <w:r w:rsidR="00E4419F" w:rsidRPr="00CD1C3C">
              <w:rPr>
                <w:rFonts w:ascii="Cambria" w:hAnsi="Cambria"/>
                <w:b/>
                <w:sz w:val="20"/>
                <w:szCs w:val="20"/>
                <w:lang w:val="en-US"/>
              </w:rPr>
              <w:t>s</w:t>
            </w:r>
            <w:r w:rsidR="00D70EA9" w:rsidRPr="00CD1C3C">
              <w:rPr>
                <w:rFonts w:ascii="Cambria" w:hAnsi="Cambria"/>
                <w:b/>
                <w:sz w:val="20"/>
                <w:szCs w:val="20"/>
                <w:lang w:val="en-US"/>
              </w:rPr>
              <w:t xml:space="preserve">: </w:t>
            </w:r>
            <w:hyperlink r:id="rId9" w:history="1">
              <w:r w:rsidR="00AC18E3" w:rsidRPr="00CD1C3C">
                <w:rPr>
                  <w:rStyle w:val="Hyperlink"/>
                  <w:rFonts w:ascii="Cambria" w:hAnsi="Cambria"/>
                  <w:color w:val="auto"/>
                  <w:sz w:val="20"/>
                  <w:szCs w:val="20"/>
                  <w:lang w:val="en-US"/>
                </w:rPr>
                <w:t xml:space="preserve">Granted </w:t>
              </w:r>
              <w:r w:rsidR="003E149C" w:rsidRPr="00CD1C3C">
                <w:rPr>
                  <w:rStyle w:val="Hyperlink"/>
                  <w:rFonts w:ascii="Cambria" w:hAnsi="Cambria"/>
                  <w:color w:val="auto"/>
                  <w:sz w:val="20"/>
                  <w:szCs w:val="20"/>
                  <w:lang w:val="en-US"/>
                </w:rPr>
                <w:t>on May 30, 2000</w:t>
              </w:r>
            </w:hyperlink>
            <w:r w:rsidR="003E149C" w:rsidRPr="00CD1C3C">
              <w:rPr>
                <w:rFonts w:ascii="Cambria" w:hAnsi="Cambria"/>
                <w:sz w:val="20"/>
                <w:szCs w:val="20"/>
                <w:lang w:val="en-US"/>
              </w:rPr>
              <w:t xml:space="preserve"> </w:t>
            </w:r>
          </w:p>
          <w:p w14:paraId="7E6521C2" w14:textId="615E57A7" w:rsidR="00D64F50" w:rsidRPr="00CD1C3C" w:rsidRDefault="00C16D39" w:rsidP="001523D5">
            <w:pPr>
              <w:spacing w:after="120" w:line="240" w:lineRule="auto"/>
              <w:jc w:val="both"/>
              <w:rPr>
                <w:rFonts w:ascii="Cambria" w:hAnsi="Cambria"/>
                <w:strike/>
                <w:sz w:val="20"/>
                <w:szCs w:val="20"/>
                <w:lang w:val="en-US"/>
              </w:rPr>
            </w:pPr>
            <w:r w:rsidRPr="00CD1C3C">
              <w:rPr>
                <w:rFonts w:ascii="Cambria" w:hAnsi="Cambria"/>
                <w:b/>
                <w:sz w:val="20"/>
                <w:szCs w:val="20"/>
                <w:lang w:val="en-US"/>
              </w:rPr>
              <w:t>Themes</w:t>
            </w:r>
            <w:r w:rsidR="00536593" w:rsidRPr="00CD1C3C">
              <w:rPr>
                <w:rFonts w:ascii="Cambria" w:hAnsi="Cambria"/>
                <w:b/>
                <w:sz w:val="20"/>
                <w:szCs w:val="20"/>
                <w:lang w:val="en-US"/>
              </w:rPr>
              <w:t xml:space="preserve">: </w:t>
            </w:r>
            <w:r w:rsidR="00CF47FB" w:rsidRPr="00CD1C3C">
              <w:rPr>
                <w:rFonts w:ascii="Cambria" w:hAnsi="Cambria"/>
                <w:sz w:val="20"/>
                <w:szCs w:val="20"/>
                <w:lang w:val="en-US"/>
              </w:rPr>
              <w:t xml:space="preserve">Access to justice / </w:t>
            </w:r>
            <w:r w:rsidR="009358C0" w:rsidRPr="00CD1C3C">
              <w:rPr>
                <w:rFonts w:ascii="Cambria" w:hAnsi="Cambria"/>
                <w:sz w:val="20"/>
                <w:szCs w:val="20"/>
                <w:lang w:val="en-US"/>
              </w:rPr>
              <w:t xml:space="preserve">Child offenders / Children and Adolescents / </w:t>
            </w:r>
            <w:r w:rsidR="00CF47FB" w:rsidRPr="00CD1C3C">
              <w:rPr>
                <w:rFonts w:ascii="Cambria" w:hAnsi="Cambria"/>
                <w:sz w:val="20"/>
                <w:szCs w:val="20"/>
                <w:lang w:val="en-US"/>
              </w:rPr>
              <w:t>Death penalty</w:t>
            </w:r>
            <w:r w:rsidR="00FA51BD" w:rsidRPr="00CD1C3C">
              <w:rPr>
                <w:rFonts w:ascii="Cambria" w:hAnsi="Cambria"/>
                <w:sz w:val="20"/>
                <w:szCs w:val="20"/>
                <w:lang w:val="en-US"/>
              </w:rPr>
              <w:t xml:space="preserve"> </w:t>
            </w:r>
            <w:r w:rsidR="009358C0" w:rsidRPr="00CD1C3C">
              <w:rPr>
                <w:rFonts w:ascii="Cambria" w:hAnsi="Cambria"/>
                <w:sz w:val="20"/>
                <w:szCs w:val="20"/>
                <w:lang w:val="en-US"/>
              </w:rPr>
              <w:t xml:space="preserve">/ </w:t>
            </w:r>
            <w:r w:rsidR="006719A8" w:rsidRPr="00CD1C3C">
              <w:rPr>
                <w:rFonts w:ascii="Cambria" w:hAnsi="Cambria"/>
                <w:sz w:val="20"/>
                <w:szCs w:val="20"/>
                <w:lang w:val="en-US"/>
              </w:rPr>
              <w:t xml:space="preserve">Juvenile justice / </w:t>
            </w:r>
            <w:r w:rsidR="009358C0" w:rsidRPr="00CD1C3C">
              <w:rPr>
                <w:rFonts w:ascii="Cambria" w:hAnsi="Cambria"/>
                <w:sz w:val="20"/>
                <w:szCs w:val="20"/>
                <w:lang w:val="en-US"/>
              </w:rPr>
              <w:t xml:space="preserve">Life </w:t>
            </w:r>
            <w:r w:rsidR="006719A8" w:rsidRPr="00CD1C3C">
              <w:rPr>
                <w:rFonts w:ascii="Cambria" w:hAnsi="Cambria"/>
                <w:sz w:val="20"/>
                <w:szCs w:val="20"/>
                <w:lang w:val="en-US"/>
              </w:rPr>
              <w:t>/ Persons deprived of their liberty</w:t>
            </w:r>
            <w:r w:rsidR="002C2D53">
              <w:rPr>
                <w:rFonts w:ascii="Cambria" w:hAnsi="Cambria"/>
                <w:sz w:val="20"/>
                <w:szCs w:val="20"/>
                <w:lang w:val="en-US"/>
              </w:rPr>
              <w:t xml:space="preserve"> / Youth</w:t>
            </w:r>
          </w:p>
          <w:p w14:paraId="08CCFB27" w14:textId="43B3B1DF" w:rsidR="009358C0" w:rsidRPr="00CD1C3C" w:rsidRDefault="00C16D39" w:rsidP="000A0A36">
            <w:pPr>
              <w:spacing w:after="120" w:line="240" w:lineRule="auto"/>
              <w:jc w:val="both"/>
              <w:rPr>
                <w:rFonts w:ascii="Cambria" w:hAnsi="Cambria"/>
                <w:sz w:val="20"/>
                <w:szCs w:val="20"/>
                <w:lang w:val="en-US"/>
              </w:rPr>
            </w:pPr>
            <w:r w:rsidRPr="00CD1C3C">
              <w:rPr>
                <w:rFonts w:ascii="Cambria" w:hAnsi="Cambria"/>
                <w:b/>
                <w:sz w:val="20"/>
                <w:szCs w:val="20"/>
                <w:lang w:val="en-US"/>
              </w:rPr>
              <w:t>Facts</w:t>
            </w:r>
            <w:r w:rsidR="00D70EA9" w:rsidRPr="00CD1C3C">
              <w:rPr>
                <w:rFonts w:ascii="Cambria" w:hAnsi="Cambria"/>
                <w:b/>
                <w:sz w:val="20"/>
                <w:szCs w:val="20"/>
                <w:lang w:val="en-US"/>
              </w:rPr>
              <w:t xml:space="preserve">: </w:t>
            </w:r>
            <w:r w:rsidR="009358C0" w:rsidRPr="00CD1C3C">
              <w:rPr>
                <w:rFonts w:ascii="Cambria" w:hAnsi="Cambria"/>
                <w:sz w:val="20"/>
                <w:szCs w:val="20"/>
                <w:lang w:val="en-US"/>
              </w:rPr>
              <w:t xml:space="preserve">This case refers to Michael </w:t>
            </w:r>
            <w:proofErr w:type="spellStart"/>
            <w:r w:rsidR="009358C0" w:rsidRPr="00CD1C3C">
              <w:rPr>
                <w:rFonts w:ascii="Cambria" w:hAnsi="Cambria"/>
                <w:sz w:val="20"/>
                <w:szCs w:val="20"/>
                <w:lang w:val="en-US"/>
              </w:rPr>
              <w:t>Domingues</w:t>
            </w:r>
            <w:proofErr w:type="spellEnd"/>
            <w:r w:rsidR="009358C0" w:rsidRPr="00CD1C3C">
              <w:rPr>
                <w:rFonts w:ascii="Cambria" w:hAnsi="Cambria"/>
                <w:sz w:val="20"/>
                <w:szCs w:val="20"/>
                <w:lang w:val="en-US"/>
              </w:rPr>
              <w:t xml:space="preserve"> who </w:t>
            </w:r>
            <w:proofErr w:type="gramStart"/>
            <w:r w:rsidR="009358C0" w:rsidRPr="00CD1C3C">
              <w:rPr>
                <w:rFonts w:ascii="Cambria" w:hAnsi="Cambria"/>
                <w:sz w:val="20"/>
                <w:szCs w:val="20"/>
                <w:lang w:val="en-US"/>
              </w:rPr>
              <w:t>was sentenced</w:t>
            </w:r>
            <w:proofErr w:type="gramEnd"/>
            <w:r w:rsidR="009358C0" w:rsidRPr="00CD1C3C">
              <w:rPr>
                <w:rFonts w:ascii="Cambria" w:hAnsi="Cambria"/>
                <w:sz w:val="20"/>
                <w:szCs w:val="20"/>
                <w:lang w:val="en-US"/>
              </w:rPr>
              <w:t xml:space="preserve"> to death</w:t>
            </w:r>
            <w:r w:rsidR="00D32C7F" w:rsidRPr="00CD1C3C">
              <w:rPr>
                <w:rFonts w:ascii="Cambria" w:hAnsi="Cambria"/>
                <w:sz w:val="20"/>
                <w:szCs w:val="20"/>
                <w:lang w:val="en-US"/>
              </w:rPr>
              <w:t xml:space="preserve"> </w:t>
            </w:r>
            <w:r w:rsidR="009358C0" w:rsidRPr="00CD1C3C">
              <w:rPr>
                <w:rFonts w:ascii="Cambria" w:hAnsi="Cambria"/>
                <w:sz w:val="20"/>
                <w:szCs w:val="20"/>
                <w:lang w:val="en-US"/>
              </w:rPr>
              <w:t xml:space="preserve">in the state of Nevada in 1993 for crimes that </w:t>
            </w:r>
            <w:r w:rsidR="00EA4AE8" w:rsidRPr="00CD1C3C">
              <w:rPr>
                <w:rFonts w:ascii="Cambria" w:hAnsi="Cambria"/>
                <w:sz w:val="20"/>
                <w:szCs w:val="20"/>
                <w:lang w:val="en-US"/>
              </w:rPr>
              <w:t>he committed</w:t>
            </w:r>
            <w:r w:rsidR="009358C0" w:rsidRPr="00CD1C3C">
              <w:rPr>
                <w:rFonts w:ascii="Cambria" w:hAnsi="Cambria"/>
                <w:sz w:val="20"/>
                <w:szCs w:val="20"/>
                <w:lang w:val="en-US"/>
              </w:rPr>
              <w:t xml:space="preserve"> when he was 16 years old.</w:t>
            </w:r>
          </w:p>
          <w:p w14:paraId="0F191E56" w14:textId="77777777" w:rsidR="004765F5" w:rsidRPr="00CD1C3C" w:rsidRDefault="00C16D39" w:rsidP="00FE41CD">
            <w:pPr>
              <w:spacing w:after="120" w:line="240" w:lineRule="auto"/>
              <w:jc w:val="both"/>
              <w:rPr>
                <w:rFonts w:ascii="Cambria" w:hAnsi="Cambria"/>
                <w:sz w:val="20"/>
                <w:szCs w:val="20"/>
                <w:lang w:val="en-US"/>
              </w:rPr>
            </w:pPr>
            <w:r w:rsidRPr="00CD1C3C">
              <w:rPr>
                <w:rFonts w:ascii="Cambria" w:hAnsi="Cambria"/>
                <w:b/>
                <w:sz w:val="20"/>
                <w:szCs w:val="20"/>
                <w:lang w:val="en-US"/>
              </w:rPr>
              <w:t>Rights violated</w:t>
            </w:r>
            <w:r w:rsidR="00D70EA9" w:rsidRPr="00CD1C3C">
              <w:rPr>
                <w:rFonts w:ascii="Cambria" w:hAnsi="Cambria"/>
                <w:b/>
                <w:sz w:val="20"/>
                <w:szCs w:val="20"/>
                <w:lang w:val="en-US"/>
              </w:rPr>
              <w:t>:</w:t>
            </w:r>
            <w:r w:rsidR="00F97F45" w:rsidRPr="00CD1C3C">
              <w:rPr>
                <w:rFonts w:ascii="Cambria" w:hAnsi="Cambria"/>
                <w:sz w:val="20"/>
                <w:szCs w:val="20"/>
                <w:lang w:val="en-US"/>
              </w:rPr>
              <w:t xml:space="preserve"> </w:t>
            </w:r>
            <w:r w:rsidR="003E53A9" w:rsidRPr="00CD1C3C">
              <w:rPr>
                <w:rFonts w:ascii="Cambria" w:hAnsi="Cambria"/>
                <w:sz w:val="20"/>
                <w:szCs w:val="20"/>
                <w:lang w:val="en-US"/>
              </w:rPr>
              <w:t xml:space="preserve">The Commission concluded that the State had acted contrary to an international norm of </w:t>
            </w:r>
            <w:r w:rsidR="003E53A9" w:rsidRPr="00CD1C3C">
              <w:rPr>
                <w:rFonts w:ascii="Cambria" w:hAnsi="Cambria"/>
                <w:i/>
                <w:sz w:val="20"/>
                <w:szCs w:val="20"/>
                <w:lang w:val="en-US"/>
              </w:rPr>
              <w:t xml:space="preserve">jus </w:t>
            </w:r>
            <w:proofErr w:type="spellStart"/>
            <w:r w:rsidR="003E53A9" w:rsidRPr="00CD1C3C">
              <w:rPr>
                <w:rFonts w:ascii="Cambria" w:hAnsi="Cambria"/>
                <w:i/>
                <w:sz w:val="20"/>
                <w:szCs w:val="20"/>
                <w:lang w:val="en-US"/>
              </w:rPr>
              <w:t>cogens</w:t>
            </w:r>
            <w:proofErr w:type="spellEnd"/>
            <w:r w:rsidR="003E53A9" w:rsidRPr="00CD1C3C">
              <w:rPr>
                <w:rFonts w:ascii="Cambria" w:hAnsi="Cambria"/>
                <w:i/>
                <w:sz w:val="20"/>
                <w:szCs w:val="20"/>
                <w:lang w:val="en-US"/>
              </w:rPr>
              <w:t xml:space="preserve"> </w:t>
            </w:r>
            <w:r w:rsidR="003E53A9" w:rsidRPr="00CD1C3C">
              <w:rPr>
                <w:rFonts w:ascii="Cambria" w:hAnsi="Cambria"/>
                <w:sz w:val="20"/>
                <w:szCs w:val="20"/>
                <w:lang w:val="en-US"/>
              </w:rPr>
              <w:t xml:space="preserve">as reflected in Article I of the America Declaration by sentencing Michael </w:t>
            </w:r>
            <w:proofErr w:type="spellStart"/>
            <w:r w:rsidR="003E53A9" w:rsidRPr="00CD1C3C">
              <w:rPr>
                <w:rFonts w:ascii="Cambria" w:hAnsi="Cambria"/>
                <w:sz w:val="20"/>
                <w:szCs w:val="20"/>
                <w:lang w:val="en-US"/>
              </w:rPr>
              <w:t>Domingues</w:t>
            </w:r>
            <w:proofErr w:type="spellEnd"/>
            <w:r w:rsidR="003E53A9" w:rsidRPr="00CD1C3C">
              <w:rPr>
                <w:rFonts w:ascii="Cambria" w:hAnsi="Cambria"/>
                <w:sz w:val="20"/>
                <w:szCs w:val="20"/>
                <w:lang w:val="en-US"/>
              </w:rPr>
              <w:t xml:space="preserve"> to the death penalty for crimes that he committed when he was 16 years of age. Consequently, should the State execute Mr. </w:t>
            </w:r>
            <w:proofErr w:type="spellStart"/>
            <w:r w:rsidR="003E53A9" w:rsidRPr="00CD1C3C">
              <w:rPr>
                <w:rFonts w:ascii="Cambria" w:hAnsi="Cambria"/>
                <w:sz w:val="20"/>
                <w:szCs w:val="20"/>
                <w:lang w:val="en-US"/>
              </w:rPr>
              <w:t>Domingues</w:t>
            </w:r>
            <w:proofErr w:type="spellEnd"/>
            <w:r w:rsidR="003E53A9" w:rsidRPr="00CD1C3C">
              <w:rPr>
                <w:rFonts w:ascii="Cambria" w:hAnsi="Cambria"/>
                <w:sz w:val="20"/>
                <w:szCs w:val="20"/>
                <w:lang w:val="en-US"/>
              </w:rPr>
              <w:t xml:space="preserve"> pursuant to this sentence, it </w:t>
            </w:r>
            <w:r w:rsidR="00FE41CD" w:rsidRPr="00CD1C3C">
              <w:rPr>
                <w:rFonts w:ascii="Cambria" w:hAnsi="Cambria"/>
                <w:sz w:val="20"/>
                <w:szCs w:val="20"/>
                <w:lang w:val="en-US"/>
              </w:rPr>
              <w:t>would</w:t>
            </w:r>
            <w:r w:rsidR="003E53A9" w:rsidRPr="00CD1C3C">
              <w:rPr>
                <w:rFonts w:ascii="Cambria" w:hAnsi="Cambria"/>
                <w:sz w:val="20"/>
                <w:szCs w:val="20"/>
                <w:lang w:val="en-US"/>
              </w:rPr>
              <w:t xml:space="preserve"> be responsible for a grave and irreparable violation of Mr. </w:t>
            </w:r>
            <w:proofErr w:type="spellStart"/>
            <w:r w:rsidR="003E53A9" w:rsidRPr="00CD1C3C">
              <w:rPr>
                <w:rFonts w:ascii="Cambria" w:hAnsi="Cambria"/>
                <w:sz w:val="20"/>
                <w:szCs w:val="20"/>
                <w:lang w:val="en-US"/>
              </w:rPr>
              <w:t>Domingues</w:t>
            </w:r>
            <w:proofErr w:type="spellEnd"/>
            <w:r w:rsidR="003E53A9" w:rsidRPr="00CD1C3C">
              <w:rPr>
                <w:rFonts w:ascii="Cambria" w:hAnsi="Cambria"/>
                <w:sz w:val="20"/>
                <w:szCs w:val="20"/>
                <w:lang w:val="en-US"/>
              </w:rPr>
              <w:t>’ right to life under Article I of the American Declaration.</w:t>
            </w:r>
          </w:p>
          <w:p w14:paraId="3ACBBB65" w14:textId="5D30BFC4" w:rsidR="00D76EF7" w:rsidRPr="00CD1C3C" w:rsidRDefault="00D76EF7" w:rsidP="00854A47">
            <w:pPr>
              <w:spacing w:after="0" w:line="240" w:lineRule="auto"/>
              <w:jc w:val="both"/>
              <w:rPr>
                <w:rFonts w:ascii="Cambria" w:hAnsi="Cambria"/>
                <w:sz w:val="20"/>
                <w:szCs w:val="20"/>
                <w:lang w:val="en-US"/>
              </w:rPr>
            </w:pPr>
            <w:r w:rsidRPr="00CD1C3C">
              <w:rPr>
                <w:rFonts w:ascii="Cambria" w:hAnsi="Cambria"/>
                <w:b/>
                <w:sz w:val="20"/>
                <w:szCs w:val="20"/>
                <w:lang w:val="en-US"/>
              </w:rPr>
              <w:t>Level of compliance of the case:</w:t>
            </w:r>
            <w:r w:rsidRPr="00CD1C3C">
              <w:rPr>
                <w:rFonts w:ascii="Cambria" w:hAnsi="Cambria"/>
                <w:sz w:val="20"/>
                <w:szCs w:val="20"/>
                <w:lang w:val="en-US"/>
              </w:rPr>
              <w:t xml:space="preserve"> Total compliance (</w:t>
            </w:r>
            <w:hyperlink r:id="rId10" w:history="1">
              <w:r w:rsidRPr="00CD1C3C">
                <w:rPr>
                  <w:rStyle w:val="Hyperlink"/>
                  <w:rFonts w:ascii="Cambria" w:hAnsi="Cambria"/>
                  <w:color w:val="auto"/>
                  <w:sz w:val="20"/>
                  <w:szCs w:val="20"/>
                  <w:lang w:val="en-US"/>
                </w:rPr>
                <w:t>2005 Annual Report</w:t>
              </w:r>
            </w:hyperlink>
            <w:r w:rsidRPr="00CD1C3C">
              <w:rPr>
                <w:rFonts w:ascii="Cambria" w:hAnsi="Cambria"/>
                <w:sz w:val="20"/>
                <w:szCs w:val="20"/>
                <w:lang w:val="en-US"/>
              </w:rPr>
              <w:t>)</w:t>
            </w:r>
          </w:p>
        </w:tc>
      </w:tr>
    </w:tbl>
    <w:p w14:paraId="31710C55" w14:textId="77777777" w:rsidR="001551A8" w:rsidRPr="00CD1C3C" w:rsidRDefault="001551A8" w:rsidP="000C1FC1">
      <w:pPr>
        <w:spacing w:after="0" w:line="240" w:lineRule="auto"/>
        <w:jc w:val="both"/>
        <w:rPr>
          <w:rFonts w:ascii="Cambria" w:hAnsi="Cambria" w:cs="Calibri Light"/>
          <w:sz w:val="20"/>
          <w:szCs w:val="20"/>
          <w:lang w:val="en-US"/>
        </w:rPr>
      </w:pPr>
    </w:p>
    <w:p w14:paraId="58F2EAD9" w14:textId="77777777" w:rsidR="000C1FC1" w:rsidRPr="00CD1C3C" w:rsidRDefault="000C1FC1" w:rsidP="004172BD">
      <w:pPr>
        <w:pStyle w:val="ListParagraph"/>
        <w:numPr>
          <w:ilvl w:val="0"/>
          <w:numId w:val="1"/>
        </w:numPr>
        <w:spacing w:after="0" w:line="240" w:lineRule="auto"/>
        <w:ind w:left="1440"/>
        <w:jc w:val="both"/>
        <w:rPr>
          <w:rFonts w:ascii="Cambria" w:hAnsi="Cambria" w:cs="Calibri Light"/>
          <w:b/>
          <w:sz w:val="20"/>
          <w:szCs w:val="20"/>
        </w:rPr>
      </w:pPr>
      <w:r w:rsidRPr="00CD1C3C">
        <w:rPr>
          <w:rFonts w:ascii="Cambria" w:hAnsi="Cambria" w:cs="Calibri Light"/>
          <w:b/>
          <w:sz w:val="20"/>
          <w:szCs w:val="20"/>
        </w:rPr>
        <w:t xml:space="preserve">Recommendations </w:t>
      </w:r>
    </w:p>
    <w:p w14:paraId="7A287C17" w14:textId="77777777" w:rsidR="000C1FC1" w:rsidRPr="00CD1C3C" w:rsidRDefault="000C1FC1" w:rsidP="000C1FC1">
      <w:pPr>
        <w:spacing w:after="0" w:line="240" w:lineRule="auto"/>
        <w:ind w:left="1440" w:hanging="720"/>
        <w:jc w:val="both"/>
        <w:rPr>
          <w:rFonts w:ascii="Cambria" w:hAnsi="Cambria" w:cs="Calibri Light"/>
          <w:sz w:val="20"/>
          <w:szCs w:val="20"/>
          <w:lang w:val="en-U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890"/>
      </w:tblGrid>
      <w:tr w:rsidR="000C1FC1" w:rsidRPr="00CD1C3C" w14:paraId="395C293F" w14:textId="77777777" w:rsidTr="008E21EB">
        <w:tc>
          <w:tcPr>
            <w:tcW w:w="7650" w:type="dxa"/>
            <w:shd w:val="clear" w:color="auto" w:fill="auto"/>
            <w:vAlign w:val="center"/>
          </w:tcPr>
          <w:p w14:paraId="7E2D88D2" w14:textId="77777777" w:rsidR="000C1FC1" w:rsidRPr="00CD1C3C" w:rsidRDefault="000C1FC1" w:rsidP="00B37EAD">
            <w:pPr>
              <w:spacing w:after="0" w:line="240" w:lineRule="auto"/>
              <w:jc w:val="center"/>
              <w:rPr>
                <w:rFonts w:ascii="Cambria" w:hAnsi="Cambria" w:cs="Calibri Light"/>
                <w:b/>
                <w:sz w:val="18"/>
                <w:szCs w:val="18"/>
                <w:lang w:val="en-US"/>
              </w:rPr>
            </w:pPr>
            <w:r w:rsidRPr="00CD1C3C">
              <w:rPr>
                <w:rFonts w:ascii="Cambria" w:hAnsi="Cambria" w:cs="Calibri Light"/>
                <w:b/>
                <w:sz w:val="18"/>
                <w:szCs w:val="18"/>
                <w:lang w:val="en-US"/>
              </w:rPr>
              <w:t>Recommendations</w:t>
            </w:r>
          </w:p>
        </w:tc>
        <w:tc>
          <w:tcPr>
            <w:tcW w:w="1890" w:type="dxa"/>
            <w:shd w:val="clear" w:color="auto" w:fill="auto"/>
            <w:vAlign w:val="center"/>
          </w:tcPr>
          <w:p w14:paraId="33E6D3E8" w14:textId="286D6C18" w:rsidR="000C1FC1" w:rsidRPr="00CD1C3C" w:rsidRDefault="000C1FC1" w:rsidP="00F4771A">
            <w:pPr>
              <w:spacing w:after="0" w:line="240" w:lineRule="auto"/>
              <w:jc w:val="center"/>
              <w:rPr>
                <w:rFonts w:ascii="Cambria" w:hAnsi="Cambria" w:cs="Calibri Light"/>
                <w:b/>
                <w:sz w:val="18"/>
                <w:szCs w:val="18"/>
                <w:lang w:val="en-US"/>
              </w:rPr>
            </w:pPr>
            <w:r w:rsidRPr="00CD1C3C">
              <w:rPr>
                <w:rFonts w:ascii="Cambria" w:hAnsi="Cambria" w:cs="Calibri Light"/>
                <w:b/>
                <w:sz w:val="18"/>
                <w:szCs w:val="18"/>
                <w:lang w:val="en-US"/>
              </w:rPr>
              <w:t xml:space="preserve">State of compliance </w:t>
            </w:r>
          </w:p>
        </w:tc>
      </w:tr>
      <w:tr w:rsidR="000C1FC1" w:rsidRPr="00CD1C3C" w14:paraId="2CA341C7" w14:textId="77777777" w:rsidTr="008E21EB">
        <w:tc>
          <w:tcPr>
            <w:tcW w:w="7650" w:type="dxa"/>
            <w:shd w:val="clear" w:color="auto" w:fill="auto"/>
          </w:tcPr>
          <w:p w14:paraId="1FA7380C" w14:textId="77777777" w:rsidR="000C1FC1" w:rsidRPr="00CD1C3C" w:rsidRDefault="000C1FC1" w:rsidP="00B37EAD">
            <w:pPr>
              <w:spacing w:after="0" w:line="240" w:lineRule="auto"/>
              <w:jc w:val="both"/>
              <w:rPr>
                <w:rFonts w:ascii="Cambria" w:hAnsi="Cambria" w:cs="Calibri Light"/>
                <w:sz w:val="18"/>
                <w:szCs w:val="18"/>
                <w:lang w:val="en-US"/>
              </w:rPr>
            </w:pPr>
            <w:r w:rsidRPr="00CD1C3C">
              <w:rPr>
                <w:rFonts w:ascii="Cambria" w:hAnsi="Cambria" w:cs="Calibri Light"/>
                <w:sz w:val="18"/>
                <w:szCs w:val="18"/>
                <w:lang w:val="en-US"/>
              </w:rPr>
              <w:t xml:space="preserve">1. </w:t>
            </w:r>
            <w:r w:rsidRPr="00CD1C3C">
              <w:rPr>
                <w:rFonts w:ascii="Cambria" w:hAnsi="Cambria"/>
                <w:sz w:val="18"/>
                <w:szCs w:val="18"/>
                <w:lang w:val="en-US"/>
              </w:rPr>
              <w:t xml:space="preserve">Provide Michael </w:t>
            </w:r>
            <w:proofErr w:type="spellStart"/>
            <w:r w:rsidRPr="00CD1C3C">
              <w:rPr>
                <w:rFonts w:ascii="Cambria" w:hAnsi="Cambria"/>
                <w:sz w:val="18"/>
                <w:szCs w:val="18"/>
                <w:lang w:val="en-US"/>
              </w:rPr>
              <w:t>Domingues</w:t>
            </w:r>
            <w:proofErr w:type="spellEnd"/>
            <w:r w:rsidRPr="00CD1C3C">
              <w:rPr>
                <w:rFonts w:ascii="Cambria" w:hAnsi="Cambria"/>
                <w:sz w:val="18"/>
                <w:szCs w:val="18"/>
                <w:lang w:val="en-US"/>
              </w:rPr>
              <w:t xml:space="preserve"> with an effective remedy, which includes commutation of sentence.</w:t>
            </w:r>
          </w:p>
        </w:tc>
        <w:tc>
          <w:tcPr>
            <w:tcW w:w="1890" w:type="dxa"/>
            <w:shd w:val="clear" w:color="auto" w:fill="auto"/>
            <w:vAlign w:val="center"/>
          </w:tcPr>
          <w:p w14:paraId="6D1DD5E2" w14:textId="46321BCF" w:rsidR="000C1FC1" w:rsidRPr="00CD1C3C" w:rsidRDefault="004636F5" w:rsidP="00C9684C">
            <w:pPr>
              <w:spacing w:after="0" w:line="240" w:lineRule="auto"/>
              <w:jc w:val="center"/>
              <w:rPr>
                <w:rFonts w:ascii="Cambria" w:hAnsi="Cambria"/>
                <w:sz w:val="18"/>
                <w:szCs w:val="18"/>
                <w:lang w:val="en-US"/>
              </w:rPr>
            </w:pPr>
            <w:r w:rsidRPr="00CD1C3C">
              <w:rPr>
                <w:rFonts w:ascii="Cambria" w:hAnsi="Cambria" w:cs="Calibri"/>
                <w:sz w:val="18"/>
                <w:szCs w:val="18"/>
                <w:lang w:val="en-US"/>
              </w:rPr>
              <w:t>Total c</w:t>
            </w:r>
            <w:r w:rsidR="000C1FC1" w:rsidRPr="00CD1C3C">
              <w:rPr>
                <w:rFonts w:ascii="Cambria" w:hAnsi="Cambria" w:cs="Calibri"/>
                <w:sz w:val="18"/>
                <w:szCs w:val="18"/>
                <w:lang w:val="en-US"/>
              </w:rPr>
              <w:t>ompliance</w:t>
            </w:r>
            <w:r w:rsidR="00B85EA2">
              <w:rPr>
                <w:rStyle w:val="FootnoteReference"/>
                <w:rFonts w:ascii="Cambria" w:hAnsi="Cambria" w:cs="Calibri"/>
                <w:sz w:val="18"/>
                <w:szCs w:val="18"/>
                <w:lang w:val="en-US"/>
              </w:rPr>
              <w:footnoteReference w:id="1"/>
            </w:r>
          </w:p>
        </w:tc>
      </w:tr>
      <w:tr w:rsidR="000C1FC1" w:rsidRPr="00CD1C3C" w14:paraId="00F2BED2" w14:textId="77777777" w:rsidTr="008E21EB">
        <w:tc>
          <w:tcPr>
            <w:tcW w:w="7650" w:type="dxa"/>
            <w:shd w:val="clear" w:color="auto" w:fill="auto"/>
          </w:tcPr>
          <w:p w14:paraId="0E1F40BE" w14:textId="77777777" w:rsidR="000C1FC1" w:rsidRPr="00CD1C3C" w:rsidRDefault="000C1FC1" w:rsidP="00B37EAD">
            <w:pPr>
              <w:spacing w:after="0" w:line="240" w:lineRule="auto"/>
              <w:jc w:val="both"/>
              <w:rPr>
                <w:rFonts w:ascii="Cambria" w:hAnsi="Cambria"/>
                <w:sz w:val="18"/>
                <w:szCs w:val="18"/>
                <w:lang w:val="en-US"/>
              </w:rPr>
            </w:pPr>
            <w:r w:rsidRPr="00CD1C3C">
              <w:rPr>
                <w:rFonts w:ascii="Cambria" w:hAnsi="Cambria"/>
                <w:sz w:val="18"/>
                <w:szCs w:val="18"/>
                <w:lang w:val="en-US"/>
              </w:rPr>
              <w:t xml:space="preserve">2. Review its laws, procedures and practices to ensure that capital punishment </w:t>
            </w:r>
            <w:proofErr w:type="gramStart"/>
            <w:r w:rsidRPr="00CD1C3C">
              <w:rPr>
                <w:rFonts w:ascii="Cambria" w:hAnsi="Cambria"/>
                <w:sz w:val="18"/>
                <w:szCs w:val="18"/>
                <w:lang w:val="en-US"/>
              </w:rPr>
              <w:t>is not imposed</w:t>
            </w:r>
            <w:proofErr w:type="gramEnd"/>
            <w:r w:rsidRPr="00CD1C3C">
              <w:rPr>
                <w:rFonts w:ascii="Cambria" w:hAnsi="Cambria"/>
                <w:sz w:val="18"/>
                <w:szCs w:val="18"/>
                <w:lang w:val="en-US"/>
              </w:rPr>
              <w:t xml:space="preserve"> upon persons who, at the time their crime was committed, were under 18 years of age.</w:t>
            </w:r>
          </w:p>
        </w:tc>
        <w:tc>
          <w:tcPr>
            <w:tcW w:w="1890" w:type="dxa"/>
            <w:shd w:val="clear" w:color="auto" w:fill="auto"/>
            <w:vAlign w:val="center"/>
          </w:tcPr>
          <w:p w14:paraId="60037D82" w14:textId="2C9D0849" w:rsidR="000C1FC1" w:rsidRPr="00CD1C3C" w:rsidRDefault="004636F5" w:rsidP="00C9684C">
            <w:pPr>
              <w:spacing w:after="0" w:line="240" w:lineRule="auto"/>
              <w:jc w:val="center"/>
              <w:rPr>
                <w:rFonts w:ascii="Cambria" w:hAnsi="Cambria"/>
                <w:sz w:val="18"/>
                <w:szCs w:val="18"/>
                <w:lang w:val="en-US"/>
              </w:rPr>
            </w:pPr>
            <w:r w:rsidRPr="00CD1C3C">
              <w:rPr>
                <w:rFonts w:ascii="Cambria" w:hAnsi="Cambria" w:cs="Calibri"/>
                <w:sz w:val="18"/>
                <w:szCs w:val="18"/>
                <w:lang w:val="en-US"/>
              </w:rPr>
              <w:t>Total c</w:t>
            </w:r>
            <w:r w:rsidR="000C1FC1" w:rsidRPr="00CD1C3C">
              <w:rPr>
                <w:rFonts w:ascii="Cambria" w:hAnsi="Cambria" w:cs="Calibri"/>
                <w:sz w:val="18"/>
                <w:szCs w:val="18"/>
                <w:lang w:val="en-US"/>
              </w:rPr>
              <w:t>ompliance</w:t>
            </w:r>
            <w:r w:rsidR="00B85EA2">
              <w:rPr>
                <w:rStyle w:val="FootnoteReference"/>
                <w:rFonts w:ascii="Cambria" w:hAnsi="Cambria" w:cs="Calibri"/>
                <w:sz w:val="18"/>
                <w:szCs w:val="18"/>
                <w:lang w:val="en-US"/>
              </w:rPr>
              <w:footnoteReference w:id="2"/>
            </w:r>
          </w:p>
        </w:tc>
      </w:tr>
    </w:tbl>
    <w:p w14:paraId="7B8F228D" w14:textId="77777777" w:rsidR="00C1633A" w:rsidRPr="00CD1C3C" w:rsidRDefault="00C1633A" w:rsidP="001551A8">
      <w:pPr>
        <w:pStyle w:val="ListParagraph"/>
        <w:spacing w:after="0" w:line="240" w:lineRule="auto"/>
        <w:ind w:left="1440"/>
        <w:jc w:val="both"/>
        <w:rPr>
          <w:rFonts w:ascii="Cambria" w:hAnsi="Cambria" w:cs="Calibri Light"/>
          <w:sz w:val="20"/>
          <w:szCs w:val="20"/>
        </w:rPr>
      </w:pPr>
    </w:p>
    <w:p w14:paraId="3D2D7821" w14:textId="77777777" w:rsidR="00D70EA9" w:rsidRPr="00CD1C3C" w:rsidRDefault="00BD2642" w:rsidP="004172BD">
      <w:pPr>
        <w:pStyle w:val="ListParagraph"/>
        <w:numPr>
          <w:ilvl w:val="0"/>
          <w:numId w:val="1"/>
        </w:numPr>
        <w:spacing w:after="0" w:line="240" w:lineRule="auto"/>
        <w:ind w:left="1440"/>
        <w:jc w:val="both"/>
        <w:rPr>
          <w:rFonts w:ascii="Cambria" w:hAnsi="Cambria" w:cs="Calibri Light"/>
          <w:b/>
          <w:sz w:val="20"/>
          <w:szCs w:val="20"/>
        </w:rPr>
      </w:pPr>
      <w:r w:rsidRPr="00CD1C3C">
        <w:rPr>
          <w:rFonts w:ascii="Cambria" w:hAnsi="Cambria"/>
          <w:b/>
          <w:sz w:val="20"/>
          <w:szCs w:val="20"/>
        </w:rPr>
        <w:t>Procedural Activity</w:t>
      </w:r>
    </w:p>
    <w:p w14:paraId="14666794" w14:textId="77777777" w:rsidR="00447159" w:rsidRPr="00CD1C3C" w:rsidRDefault="00447159" w:rsidP="00120B37">
      <w:pPr>
        <w:pStyle w:val="ListParagraph"/>
        <w:spacing w:after="0" w:line="240" w:lineRule="auto"/>
        <w:rPr>
          <w:rFonts w:ascii="Cambria" w:hAnsi="Cambria" w:cs="Calibri Light"/>
          <w:color w:val="7030A0"/>
          <w:sz w:val="20"/>
          <w:szCs w:val="20"/>
        </w:rPr>
      </w:pPr>
    </w:p>
    <w:p w14:paraId="69D678FE" w14:textId="5EEE68CB" w:rsidR="00F4771A" w:rsidRPr="00CD1C3C" w:rsidRDefault="00BF4C7E" w:rsidP="00DE3E9F">
      <w:pPr>
        <w:numPr>
          <w:ilvl w:val="0"/>
          <w:numId w:val="3"/>
        </w:numPr>
        <w:spacing w:after="0" w:line="240" w:lineRule="auto"/>
        <w:ind w:left="0" w:firstLine="720"/>
        <w:jc w:val="both"/>
        <w:rPr>
          <w:rFonts w:ascii="Cambria" w:hAnsi="Cambria" w:cs="Calibri Light"/>
          <w:sz w:val="20"/>
          <w:szCs w:val="20"/>
          <w:lang w:val="en-US"/>
        </w:rPr>
      </w:pPr>
      <w:r w:rsidRPr="00CD1C3C">
        <w:rPr>
          <w:rFonts w:ascii="Cambria" w:hAnsi="Cambria" w:cs="Calibri Light"/>
          <w:sz w:val="20"/>
          <w:szCs w:val="20"/>
          <w:lang w:val="en-US"/>
        </w:rPr>
        <w:t>The CIDH requested updated information on compliance from the</w:t>
      </w:r>
      <w:r w:rsidR="00F4771A" w:rsidRPr="00CD1C3C">
        <w:rPr>
          <w:rFonts w:ascii="Cambria" w:hAnsi="Cambria" w:cs="Calibri Light"/>
          <w:sz w:val="20"/>
          <w:szCs w:val="20"/>
          <w:lang w:val="en-US"/>
        </w:rPr>
        <w:t xml:space="preserve"> parties in 2003, 2004 and 2005.</w:t>
      </w:r>
      <w:r w:rsidRPr="00CD1C3C">
        <w:rPr>
          <w:rFonts w:ascii="Cambria" w:hAnsi="Cambria" w:cs="Calibri Light"/>
          <w:sz w:val="20"/>
          <w:szCs w:val="20"/>
          <w:lang w:val="en-US"/>
        </w:rPr>
        <w:t xml:space="preserve"> </w:t>
      </w:r>
      <w:r w:rsidR="00F4771A" w:rsidRPr="00CD1C3C">
        <w:rPr>
          <w:rFonts w:ascii="Cambria" w:hAnsi="Cambria" w:cs="Calibri Light"/>
          <w:sz w:val="20"/>
          <w:szCs w:val="20"/>
          <w:lang w:val="en-US"/>
        </w:rPr>
        <w:t>T</w:t>
      </w:r>
      <w:r w:rsidRPr="00CD1C3C">
        <w:rPr>
          <w:rFonts w:ascii="Cambria" w:hAnsi="Cambria" w:cs="Calibri Light"/>
          <w:sz w:val="20"/>
          <w:szCs w:val="20"/>
          <w:lang w:val="en-US"/>
        </w:rPr>
        <w:t xml:space="preserve">he State presented said information on </w:t>
      </w:r>
      <w:r w:rsidR="00194BFD" w:rsidRPr="00CD1C3C">
        <w:rPr>
          <w:rFonts w:ascii="Cambria" w:hAnsi="Cambria" w:cs="Calibri Light"/>
          <w:sz w:val="20"/>
          <w:szCs w:val="20"/>
          <w:lang w:val="en-US"/>
        </w:rPr>
        <w:t>December 6, 2003, December 19, 2003 and December 29, 2005</w:t>
      </w:r>
      <w:r w:rsidR="00447159" w:rsidRPr="00CD1C3C">
        <w:rPr>
          <w:rFonts w:ascii="Cambria" w:hAnsi="Cambria" w:cs="Calibri Light"/>
          <w:sz w:val="20"/>
          <w:szCs w:val="20"/>
          <w:lang w:val="en-US"/>
        </w:rPr>
        <w:t>.</w:t>
      </w:r>
      <w:r w:rsidR="00194BFD" w:rsidRPr="00CD1C3C">
        <w:rPr>
          <w:rFonts w:ascii="Cambria" w:hAnsi="Cambria" w:cs="Calibri Light"/>
          <w:sz w:val="20"/>
          <w:szCs w:val="20"/>
          <w:lang w:val="en-US"/>
        </w:rPr>
        <w:t xml:space="preserve"> </w:t>
      </w:r>
    </w:p>
    <w:p w14:paraId="05760B1F" w14:textId="77777777" w:rsidR="00F4771A" w:rsidRPr="00CD1C3C" w:rsidRDefault="00F4771A" w:rsidP="00DE3E9F">
      <w:pPr>
        <w:spacing w:after="0" w:line="240" w:lineRule="auto"/>
        <w:ind w:left="720"/>
        <w:jc w:val="both"/>
        <w:rPr>
          <w:rFonts w:ascii="Cambria" w:hAnsi="Cambria" w:cs="Calibri Light"/>
          <w:sz w:val="20"/>
          <w:szCs w:val="20"/>
          <w:lang w:val="en-US"/>
        </w:rPr>
      </w:pPr>
    </w:p>
    <w:p w14:paraId="37A04739" w14:textId="63EC90A6" w:rsidR="00447159" w:rsidRPr="00CD1C3C" w:rsidRDefault="00194BFD" w:rsidP="00DE3E9F">
      <w:pPr>
        <w:numPr>
          <w:ilvl w:val="0"/>
          <w:numId w:val="3"/>
        </w:numPr>
        <w:spacing w:after="0" w:line="240" w:lineRule="auto"/>
        <w:ind w:left="0" w:firstLine="720"/>
        <w:jc w:val="both"/>
        <w:rPr>
          <w:rFonts w:ascii="Cambria" w:hAnsi="Cambria" w:cs="Calibri Light"/>
          <w:sz w:val="20"/>
          <w:szCs w:val="20"/>
          <w:lang w:val="en-US"/>
        </w:rPr>
      </w:pPr>
      <w:r w:rsidRPr="00CD1C3C">
        <w:rPr>
          <w:rFonts w:ascii="Cambria" w:hAnsi="Cambria" w:cs="Calibri Light"/>
          <w:sz w:val="20"/>
          <w:szCs w:val="20"/>
          <w:lang w:val="en-US"/>
        </w:rPr>
        <w:t>The petitioners presented the information requested by the Commission on December 17, 2003, December 1, 2004 and December 20, 2005.</w:t>
      </w:r>
    </w:p>
    <w:p w14:paraId="4A096E62" w14:textId="77777777" w:rsidR="00DE3E9F" w:rsidRPr="00CD1C3C" w:rsidRDefault="00DE3E9F" w:rsidP="00DE3E9F">
      <w:pPr>
        <w:pStyle w:val="ListParagraph"/>
        <w:spacing w:after="0" w:line="240" w:lineRule="auto"/>
        <w:rPr>
          <w:rFonts w:ascii="Cambria" w:hAnsi="Cambria" w:cs="Calibri Light"/>
          <w:sz w:val="20"/>
          <w:szCs w:val="20"/>
        </w:rPr>
      </w:pPr>
    </w:p>
    <w:p w14:paraId="2FB190B6" w14:textId="4D28DB39" w:rsidR="00DE3E9F" w:rsidRPr="00CD1C3C" w:rsidRDefault="00DE3E9F" w:rsidP="00DE3E9F">
      <w:pPr>
        <w:numPr>
          <w:ilvl w:val="0"/>
          <w:numId w:val="3"/>
        </w:numPr>
        <w:spacing w:after="0" w:line="240" w:lineRule="auto"/>
        <w:ind w:left="0" w:firstLine="720"/>
        <w:jc w:val="both"/>
        <w:rPr>
          <w:rFonts w:ascii="Cambria" w:hAnsi="Cambria" w:cs="Calibri Light"/>
          <w:sz w:val="20"/>
          <w:szCs w:val="20"/>
          <w:lang w:val="en-US"/>
        </w:rPr>
      </w:pPr>
      <w:r w:rsidRPr="00CD1C3C">
        <w:rPr>
          <w:rFonts w:ascii="Cambria" w:hAnsi="Cambria" w:cs="Calibri Light"/>
          <w:sz w:val="20"/>
          <w:szCs w:val="20"/>
          <w:lang w:val="en-US"/>
        </w:rPr>
        <w:t xml:space="preserve">The case was in the follow-up of recommendations stage for 3 years. </w:t>
      </w:r>
    </w:p>
    <w:p w14:paraId="1AD920DD" w14:textId="77777777" w:rsidR="00D70EA9" w:rsidRPr="00CD1C3C" w:rsidRDefault="00D70EA9" w:rsidP="00D70EA9">
      <w:pPr>
        <w:spacing w:after="0" w:line="240" w:lineRule="auto"/>
        <w:rPr>
          <w:rFonts w:ascii="Cambria" w:hAnsi="Cambria"/>
          <w:color w:val="7030A0"/>
          <w:sz w:val="20"/>
          <w:szCs w:val="20"/>
          <w:lang w:val="en-US"/>
        </w:rPr>
      </w:pPr>
    </w:p>
    <w:p w14:paraId="16CE78E2" w14:textId="77777777" w:rsidR="00BD2642" w:rsidRPr="00CD1C3C" w:rsidRDefault="00BD2642" w:rsidP="004172BD">
      <w:pPr>
        <w:numPr>
          <w:ilvl w:val="0"/>
          <w:numId w:val="1"/>
        </w:numPr>
        <w:spacing w:after="0" w:line="240" w:lineRule="auto"/>
        <w:ind w:left="1440"/>
        <w:contextualSpacing/>
        <w:jc w:val="both"/>
        <w:rPr>
          <w:rFonts w:ascii="Cambria" w:hAnsi="Cambria" w:cs="Calibri Light"/>
          <w:b/>
          <w:sz w:val="20"/>
          <w:szCs w:val="20"/>
          <w:lang w:val="en-US"/>
        </w:rPr>
      </w:pPr>
      <w:r w:rsidRPr="00CD1C3C">
        <w:rPr>
          <w:rFonts w:ascii="Cambria" w:hAnsi="Cambria" w:cs="Calibri Light"/>
          <w:b/>
          <w:sz w:val="20"/>
          <w:szCs w:val="20"/>
          <w:lang w:val="en-US"/>
        </w:rPr>
        <w:t>Level of compliance of the case</w:t>
      </w:r>
    </w:p>
    <w:p w14:paraId="0A002B3B" w14:textId="77777777" w:rsidR="008B5BD7" w:rsidRPr="00CD1C3C" w:rsidRDefault="008B5BD7" w:rsidP="008B5BD7">
      <w:pPr>
        <w:spacing w:after="0" w:line="240" w:lineRule="auto"/>
        <w:jc w:val="both"/>
        <w:rPr>
          <w:rFonts w:ascii="Cambria" w:hAnsi="Cambria" w:cs="Calibri Light"/>
          <w:sz w:val="20"/>
          <w:szCs w:val="20"/>
          <w:lang w:val="en-US"/>
        </w:rPr>
      </w:pPr>
    </w:p>
    <w:p w14:paraId="43872198" w14:textId="77777777" w:rsidR="00E41D90" w:rsidRPr="00CD1C3C" w:rsidRDefault="00067F70" w:rsidP="005C6E66">
      <w:pPr>
        <w:numPr>
          <w:ilvl w:val="0"/>
          <w:numId w:val="3"/>
        </w:numPr>
        <w:spacing w:after="0" w:line="240" w:lineRule="auto"/>
        <w:ind w:left="0" w:firstLine="720"/>
        <w:jc w:val="both"/>
        <w:rPr>
          <w:rFonts w:ascii="Cambria" w:hAnsi="Cambria"/>
          <w:sz w:val="20"/>
          <w:szCs w:val="20"/>
          <w:lang w:val="en-US"/>
        </w:rPr>
      </w:pPr>
      <w:r w:rsidRPr="00CD1C3C">
        <w:rPr>
          <w:rFonts w:ascii="Cambria" w:hAnsi="Cambria" w:cs="Calibri Light"/>
          <w:sz w:val="20"/>
          <w:szCs w:val="20"/>
          <w:lang w:val="en-US"/>
        </w:rPr>
        <w:lastRenderedPageBreak/>
        <w:t xml:space="preserve">The Commission declared the total compliance of the </w:t>
      </w:r>
      <w:r w:rsidR="00136069" w:rsidRPr="00CD1C3C">
        <w:rPr>
          <w:rFonts w:ascii="Cambria" w:hAnsi="Cambria" w:cs="Calibri Light"/>
          <w:sz w:val="20"/>
          <w:szCs w:val="20"/>
          <w:lang w:val="en-US"/>
        </w:rPr>
        <w:t xml:space="preserve">case and </w:t>
      </w:r>
      <w:r w:rsidR="00E41D90" w:rsidRPr="00CD1C3C">
        <w:rPr>
          <w:rFonts w:ascii="Cambria" w:hAnsi="Cambria" w:cs="Calibri Light"/>
          <w:sz w:val="20"/>
          <w:szCs w:val="20"/>
          <w:lang w:val="en-US"/>
        </w:rPr>
        <w:t>ceased its monitoring of compliance with the recommend</w:t>
      </w:r>
      <w:r w:rsidR="00D45858" w:rsidRPr="00CD1C3C">
        <w:rPr>
          <w:rFonts w:ascii="Cambria" w:hAnsi="Cambria" w:cs="Calibri Light"/>
          <w:sz w:val="20"/>
          <w:szCs w:val="20"/>
          <w:lang w:val="en-US"/>
        </w:rPr>
        <w:t>ation</w:t>
      </w:r>
      <w:r w:rsidR="00136069" w:rsidRPr="00CD1C3C">
        <w:rPr>
          <w:rFonts w:ascii="Cambria" w:hAnsi="Cambria" w:cs="Calibri Light"/>
          <w:sz w:val="20"/>
          <w:szCs w:val="20"/>
          <w:lang w:val="en-US"/>
        </w:rPr>
        <w:t>s</w:t>
      </w:r>
      <w:r w:rsidR="00D45858" w:rsidRPr="00CD1C3C">
        <w:rPr>
          <w:rFonts w:ascii="Cambria" w:hAnsi="Cambria" w:cs="Calibri Light"/>
          <w:sz w:val="20"/>
          <w:szCs w:val="20"/>
          <w:lang w:val="en-US"/>
        </w:rPr>
        <w:t xml:space="preserve"> issued in Merits Report </w:t>
      </w:r>
      <w:r w:rsidR="00136069" w:rsidRPr="00CD1C3C">
        <w:rPr>
          <w:rFonts w:ascii="Cambria" w:hAnsi="Cambria" w:cs="Calibri Light"/>
          <w:sz w:val="20"/>
          <w:szCs w:val="20"/>
          <w:lang w:val="en-US"/>
        </w:rPr>
        <w:t xml:space="preserve">No. </w:t>
      </w:r>
      <w:r w:rsidR="00D45858" w:rsidRPr="00CD1C3C">
        <w:rPr>
          <w:rFonts w:ascii="Cambria" w:hAnsi="Cambria" w:cs="Calibri Light"/>
          <w:sz w:val="20"/>
          <w:szCs w:val="20"/>
          <w:lang w:val="en-US"/>
        </w:rPr>
        <w:t>62/02</w:t>
      </w:r>
      <w:r w:rsidR="00E41D90" w:rsidRPr="00CD1C3C">
        <w:rPr>
          <w:rFonts w:ascii="Cambria" w:hAnsi="Cambria" w:cs="Calibri Light"/>
          <w:sz w:val="20"/>
          <w:szCs w:val="20"/>
          <w:lang w:val="en-US"/>
        </w:rPr>
        <w:t xml:space="preserve"> in the </w:t>
      </w:r>
      <w:r w:rsidR="00136069" w:rsidRPr="00CD1C3C">
        <w:rPr>
          <w:rFonts w:ascii="Cambria" w:hAnsi="Cambria" w:cs="Calibri Light"/>
          <w:sz w:val="20"/>
          <w:szCs w:val="20"/>
          <w:lang w:val="en-US"/>
        </w:rPr>
        <w:t xml:space="preserve">2005 </w:t>
      </w:r>
      <w:r w:rsidR="00E41D90" w:rsidRPr="00CD1C3C">
        <w:rPr>
          <w:rFonts w:ascii="Cambria" w:hAnsi="Cambria" w:cs="Calibri Light"/>
          <w:sz w:val="20"/>
          <w:szCs w:val="20"/>
          <w:lang w:val="en-US"/>
        </w:rPr>
        <w:t>Annual Report.</w:t>
      </w:r>
      <w:r w:rsidR="00E41D90" w:rsidRPr="00CD1C3C">
        <w:rPr>
          <w:rStyle w:val="FootnoteReference"/>
          <w:rFonts w:ascii="Cambria" w:hAnsi="Cambria" w:cs="Calibri Light"/>
          <w:sz w:val="20"/>
          <w:szCs w:val="20"/>
          <w:lang w:val="en-US"/>
        </w:rPr>
        <w:footnoteReference w:id="3"/>
      </w:r>
    </w:p>
    <w:p w14:paraId="32208FAC" w14:textId="77777777" w:rsidR="002377B1" w:rsidRPr="00CD1C3C" w:rsidRDefault="002377B1" w:rsidP="002377B1">
      <w:pPr>
        <w:spacing w:after="0" w:line="240" w:lineRule="auto"/>
        <w:ind w:left="720"/>
        <w:jc w:val="both"/>
        <w:rPr>
          <w:rFonts w:ascii="Cambria" w:hAnsi="Cambria"/>
          <w:color w:val="7030A0"/>
          <w:sz w:val="20"/>
          <w:szCs w:val="20"/>
          <w:lang w:val="en-US"/>
        </w:rPr>
      </w:pPr>
    </w:p>
    <w:p w14:paraId="26348FF4" w14:textId="77777777" w:rsidR="00D70EA9" w:rsidRPr="00CD1C3C" w:rsidRDefault="00BD2642" w:rsidP="004172BD">
      <w:pPr>
        <w:numPr>
          <w:ilvl w:val="0"/>
          <w:numId w:val="1"/>
        </w:numPr>
        <w:spacing w:after="0" w:line="240" w:lineRule="auto"/>
        <w:ind w:left="1440"/>
        <w:contextualSpacing/>
        <w:jc w:val="both"/>
        <w:rPr>
          <w:rFonts w:ascii="Cambria" w:hAnsi="Cambria" w:cs="Calibri Light"/>
          <w:b/>
          <w:sz w:val="20"/>
          <w:szCs w:val="20"/>
          <w:lang w:val="en-US"/>
        </w:rPr>
      </w:pPr>
      <w:r w:rsidRPr="00CD1C3C">
        <w:rPr>
          <w:rFonts w:ascii="Cambria" w:hAnsi="Cambria" w:cs="Calibri Light"/>
          <w:b/>
          <w:sz w:val="20"/>
          <w:szCs w:val="20"/>
          <w:lang w:val="en-US"/>
        </w:rPr>
        <w:t>Individual and structural results of the case</w:t>
      </w:r>
      <w:r w:rsidR="00D70EA9" w:rsidRPr="00CD1C3C">
        <w:rPr>
          <w:rFonts w:ascii="Cambria" w:hAnsi="Cambria" w:cs="Calibri Light"/>
          <w:b/>
          <w:sz w:val="20"/>
          <w:szCs w:val="20"/>
          <w:lang w:val="en-US"/>
        </w:rPr>
        <w:t xml:space="preserve"> </w:t>
      </w:r>
    </w:p>
    <w:p w14:paraId="49834EA5" w14:textId="77777777" w:rsidR="00BD2642" w:rsidRPr="00CD1C3C" w:rsidRDefault="00BD2642" w:rsidP="00BD2642">
      <w:pPr>
        <w:spacing w:after="0" w:line="240" w:lineRule="auto"/>
        <w:contextualSpacing/>
        <w:jc w:val="both"/>
        <w:rPr>
          <w:rFonts w:ascii="Cambria" w:hAnsi="Cambria" w:cs="Calibri Light"/>
          <w:b/>
          <w:color w:val="7030A0"/>
          <w:sz w:val="20"/>
          <w:szCs w:val="20"/>
          <w:lang w:val="en-US"/>
        </w:rPr>
      </w:pPr>
    </w:p>
    <w:p w14:paraId="4D6CE2F6" w14:textId="77777777" w:rsidR="00BD2642" w:rsidRPr="00CD1C3C" w:rsidRDefault="00BD2642" w:rsidP="00BD2642">
      <w:pPr>
        <w:numPr>
          <w:ilvl w:val="0"/>
          <w:numId w:val="13"/>
        </w:numPr>
        <w:spacing w:after="0" w:line="240" w:lineRule="auto"/>
        <w:jc w:val="both"/>
        <w:rPr>
          <w:rFonts w:ascii="Cambria" w:hAnsi="Cambria" w:cs="Calibri Light"/>
          <w:sz w:val="20"/>
          <w:szCs w:val="20"/>
          <w:lang w:val="en-US"/>
        </w:rPr>
      </w:pPr>
      <w:r w:rsidRPr="00CD1C3C">
        <w:rPr>
          <w:rFonts w:ascii="Cambria" w:hAnsi="Cambria" w:cs="Calibri Light"/>
          <w:sz w:val="20"/>
          <w:szCs w:val="20"/>
          <w:lang w:val="en-US"/>
        </w:rPr>
        <w:t>This section highlights the individual and structural results of the case, as informed by the parties.</w:t>
      </w:r>
    </w:p>
    <w:p w14:paraId="654BDB18" w14:textId="77777777" w:rsidR="00D70EA9" w:rsidRPr="00CD1C3C" w:rsidRDefault="00D70EA9" w:rsidP="00D70EA9">
      <w:pPr>
        <w:spacing w:after="0" w:line="240" w:lineRule="auto"/>
        <w:jc w:val="both"/>
        <w:rPr>
          <w:rFonts w:ascii="Cambria" w:hAnsi="Cambria" w:cs="Calibri Light"/>
          <w:b/>
          <w:sz w:val="20"/>
          <w:szCs w:val="20"/>
          <w:lang w:val="en-US"/>
        </w:rPr>
      </w:pPr>
    </w:p>
    <w:p w14:paraId="2A211EDB" w14:textId="77777777" w:rsidR="00BD2642" w:rsidRPr="00CD1C3C" w:rsidRDefault="00BD2642" w:rsidP="00BD2642">
      <w:pPr>
        <w:numPr>
          <w:ilvl w:val="0"/>
          <w:numId w:val="2"/>
        </w:numPr>
        <w:spacing w:after="0" w:line="240" w:lineRule="auto"/>
        <w:ind w:left="1440" w:hanging="720"/>
        <w:contextualSpacing/>
        <w:jc w:val="both"/>
        <w:rPr>
          <w:rFonts w:ascii="Cambria" w:hAnsi="Cambria" w:cs="Calibri Light"/>
          <w:b/>
          <w:sz w:val="20"/>
          <w:szCs w:val="20"/>
          <w:lang w:val="en-US"/>
        </w:rPr>
      </w:pPr>
      <w:r w:rsidRPr="00CD1C3C">
        <w:rPr>
          <w:rFonts w:ascii="Cambria" w:hAnsi="Cambria" w:cs="Calibri Light"/>
          <w:b/>
          <w:sz w:val="20"/>
          <w:szCs w:val="20"/>
          <w:lang w:val="en-US"/>
        </w:rPr>
        <w:t>Individual results of the case</w:t>
      </w:r>
    </w:p>
    <w:p w14:paraId="53A98A0E" w14:textId="77777777" w:rsidR="00D70EA9" w:rsidRPr="00CD1C3C" w:rsidRDefault="00D70EA9" w:rsidP="00D70EA9">
      <w:pPr>
        <w:spacing w:after="0" w:line="240" w:lineRule="auto"/>
        <w:jc w:val="both"/>
        <w:rPr>
          <w:rFonts w:ascii="Cambria" w:hAnsi="Cambria" w:cs="Calibri Light"/>
          <w:sz w:val="20"/>
          <w:szCs w:val="20"/>
          <w:lang w:val="en-US"/>
        </w:rPr>
      </w:pPr>
    </w:p>
    <w:p w14:paraId="2A221467" w14:textId="77777777" w:rsidR="00642976" w:rsidRPr="00CD1C3C" w:rsidRDefault="00642976" w:rsidP="00BD2642">
      <w:pPr>
        <w:spacing w:after="0" w:line="240" w:lineRule="auto"/>
        <w:jc w:val="both"/>
        <w:rPr>
          <w:rFonts w:ascii="Cambria" w:hAnsi="Cambria"/>
          <w:i/>
          <w:sz w:val="20"/>
          <w:szCs w:val="20"/>
          <w:lang w:val="en-US"/>
        </w:rPr>
      </w:pPr>
      <w:r w:rsidRPr="00CD1C3C">
        <w:rPr>
          <w:rFonts w:ascii="Cambria" w:hAnsi="Cambria"/>
          <w:i/>
          <w:sz w:val="20"/>
          <w:szCs w:val="20"/>
          <w:lang w:val="en-US"/>
        </w:rPr>
        <w:t>Restoration of the infringed right measures</w:t>
      </w:r>
    </w:p>
    <w:p w14:paraId="78757AAC" w14:textId="77777777" w:rsidR="00545563" w:rsidRPr="00CD1C3C" w:rsidRDefault="00D12CF8" w:rsidP="00545563">
      <w:pPr>
        <w:pStyle w:val="ListParagraph"/>
        <w:numPr>
          <w:ilvl w:val="0"/>
          <w:numId w:val="16"/>
        </w:numPr>
        <w:spacing w:after="0" w:line="240" w:lineRule="auto"/>
        <w:jc w:val="both"/>
        <w:rPr>
          <w:rFonts w:ascii="Cambria" w:hAnsi="Cambria"/>
          <w:sz w:val="20"/>
          <w:szCs w:val="20"/>
        </w:rPr>
      </w:pPr>
      <w:proofErr w:type="gramStart"/>
      <w:r w:rsidRPr="00CD1C3C">
        <w:rPr>
          <w:rFonts w:ascii="Cambria" w:hAnsi="Cambria"/>
          <w:sz w:val="20"/>
          <w:szCs w:val="20"/>
        </w:rPr>
        <w:t>As a result</w:t>
      </w:r>
      <w:proofErr w:type="gramEnd"/>
      <w:r w:rsidRPr="00CD1C3C">
        <w:rPr>
          <w:rFonts w:ascii="Cambria" w:hAnsi="Cambria"/>
          <w:sz w:val="20"/>
          <w:szCs w:val="20"/>
        </w:rPr>
        <w:t xml:space="preserve"> of the Supreme Court of the United States</w:t>
      </w:r>
      <w:r w:rsidR="00CE2F12" w:rsidRPr="00CD1C3C">
        <w:rPr>
          <w:rFonts w:ascii="Cambria" w:hAnsi="Cambria"/>
          <w:sz w:val="20"/>
          <w:szCs w:val="20"/>
        </w:rPr>
        <w:t>’</w:t>
      </w:r>
      <w:r w:rsidRPr="00CD1C3C">
        <w:rPr>
          <w:rFonts w:ascii="Cambria" w:hAnsi="Cambria"/>
          <w:sz w:val="20"/>
          <w:szCs w:val="20"/>
        </w:rPr>
        <w:t xml:space="preserve"> decision in </w:t>
      </w:r>
      <w:r w:rsidRPr="00CD1C3C">
        <w:rPr>
          <w:rFonts w:ascii="Cambria" w:hAnsi="Cambria"/>
          <w:i/>
          <w:color w:val="000000"/>
          <w:sz w:val="20"/>
          <w:szCs w:val="20"/>
        </w:rPr>
        <w:t>Roper v. Simmons</w:t>
      </w:r>
      <w:r w:rsidRPr="00CD1C3C">
        <w:rPr>
          <w:rFonts w:ascii="Cambria" w:hAnsi="Cambria"/>
          <w:color w:val="000000"/>
          <w:sz w:val="20"/>
          <w:szCs w:val="20"/>
        </w:rPr>
        <w:t xml:space="preserve">, issued on March 2, 2005, </w:t>
      </w:r>
      <w:r w:rsidR="004E3057" w:rsidRPr="00CD1C3C">
        <w:rPr>
          <w:rFonts w:ascii="Cambria" w:hAnsi="Cambria"/>
          <w:sz w:val="20"/>
          <w:szCs w:val="20"/>
        </w:rPr>
        <w:t xml:space="preserve">the death sentence </w:t>
      </w:r>
      <w:r w:rsidRPr="00CD1C3C">
        <w:rPr>
          <w:rFonts w:ascii="Cambria" w:hAnsi="Cambria"/>
          <w:sz w:val="20"/>
          <w:szCs w:val="20"/>
        </w:rPr>
        <w:t xml:space="preserve">previously imposed </w:t>
      </w:r>
      <w:r w:rsidR="004E3057" w:rsidRPr="00CD1C3C">
        <w:rPr>
          <w:rFonts w:ascii="Cambria" w:hAnsi="Cambria"/>
          <w:sz w:val="20"/>
          <w:szCs w:val="20"/>
        </w:rPr>
        <w:t xml:space="preserve">against Michael </w:t>
      </w:r>
      <w:proofErr w:type="spellStart"/>
      <w:r w:rsidR="004E3057" w:rsidRPr="00CD1C3C">
        <w:rPr>
          <w:rFonts w:ascii="Cambria" w:hAnsi="Cambria"/>
          <w:sz w:val="20"/>
          <w:szCs w:val="20"/>
        </w:rPr>
        <w:t>Domingues</w:t>
      </w:r>
      <w:proofErr w:type="spellEnd"/>
      <w:r w:rsidR="004E3057" w:rsidRPr="00CD1C3C">
        <w:rPr>
          <w:rFonts w:ascii="Cambria" w:hAnsi="Cambria"/>
          <w:sz w:val="20"/>
          <w:szCs w:val="20"/>
        </w:rPr>
        <w:t xml:space="preserve"> was commuted to </w:t>
      </w:r>
      <w:r w:rsidRPr="00CD1C3C">
        <w:rPr>
          <w:rFonts w:ascii="Cambria" w:hAnsi="Cambria"/>
          <w:sz w:val="20"/>
          <w:szCs w:val="20"/>
        </w:rPr>
        <w:t xml:space="preserve">a sentence of </w:t>
      </w:r>
      <w:r w:rsidR="004E3057" w:rsidRPr="00CD1C3C">
        <w:rPr>
          <w:rFonts w:ascii="Cambria" w:hAnsi="Cambria"/>
          <w:sz w:val="20"/>
          <w:szCs w:val="20"/>
        </w:rPr>
        <w:t xml:space="preserve">life </w:t>
      </w:r>
      <w:r w:rsidRPr="00CD1C3C">
        <w:rPr>
          <w:rFonts w:ascii="Cambria" w:hAnsi="Cambria"/>
          <w:sz w:val="20"/>
          <w:szCs w:val="20"/>
        </w:rPr>
        <w:t xml:space="preserve">imprisonment </w:t>
      </w:r>
      <w:r w:rsidR="004E3057" w:rsidRPr="00CD1C3C">
        <w:rPr>
          <w:rFonts w:ascii="Cambria" w:hAnsi="Cambria"/>
          <w:sz w:val="20"/>
          <w:szCs w:val="20"/>
        </w:rPr>
        <w:t>without the possibility of parole</w:t>
      </w:r>
      <w:r w:rsidR="00B70690" w:rsidRPr="00CD1C3C">
        <w:rPr>
          <w:rFonts w:ascii="Cambria" w:hAnsi="Cambria"/>
          <w:sz w:val="20"/>
          <w:szCs w:val="20"/>
        </w:rPr>
        <w:t xml:space="preserve">. </w:t>
      </w:r>
    </w:p>
    <w:p w14:paraId="4DF00EB9" w14:textId="77777777" w:rsidR="00486EDF" w:rsidRPr="00CD1C3C" w:rsidRDefault="00486EDF" w:rsidP="002D5153">
      <w:pPr>
        <w:spacing w:after="0" w:line="240" w:lineRule="auto"/>
        <w:jc w:val="both"/>
        <w:rPr>
          <w:rFonts w:ascii="Cambria" w:hAnsi="Cambria" w:cs="Calibri Light"/>
          <w:sz w:val="20"/>
          <w:szCs w:val="20"/>
          <w:lang w:val="en-US"/>
        </w:rPr>
      </w:pPr>
    </w:p>
    <w:p w14:paraId="0D719AF7" w14:textId="77777777" w:rsidR="00BD2642" w:rsidRPr="00CD1C3C" w:rsidRDefault="00545563" w:rsidP="00545563">
      <w:pPr>
        <w:numPr>
          <w:ilvl w:val="0"/>
          <w:numId w:val="2"/>
        </w:numPr>
        <w:spacing w:after="0" w:line="240" w:lineRule="auto"/>
        <w:ind w:left="1080"/>
        <w:contextualSpacing/>
        <w:jc w:val="both"/>
        <w:rPr>
          <w:rFonts w:ascii="Cambria" w:hAnsi="Cambria" w:cs="Calibri Light"/>
          <w:b/>
          <w:sz w:val="20"/>
          <w:szCs w:val="20"/>
          <w:lang w:val="en-US"/>
        </w:rPr>
      </w:pPr>
      <w:r w:rsidRPr="00CD1C3C">
        <w:rPr>
          <w:rFonts w:ascii="Cambria" w:hAnsi="Cambria" w:cs="Calibri Light"/>
          <w:b/>
          <w:sz w:val="20"/>
          <w:szCs w:val="20"/>
          <w:lang w:val="en-US"/>
        </w:rPr>
        <w:t xml:space="preserve">      </w:t>
      </w:r>
      <w:r w:rsidR="00BD2642" w:rsidRPr="00CD1C3C">
        <w:rPr>
          <w:rFonts w:ascii="Cambria" w:hAnsi="Cambria" w:cs="Calibri Light"/>
          <w:b/>
          <w:sz w:val="20"/>
          <w:szCs w:val="20"/>
          <w:lang w:val="en-US"/>
        </w:rPr>
        <w:t xml:space="preserve">Structural </w:t>
      </w:r>
      <w:r w:rsidR="000D2C99" w:rsidRPr="00CD1C3C">
        <w:rPr>
          <w:rFonts w:ascii="Cambria" w:hAnsi="Cambria" w:cs="Calibri Light"/>
          <w:b/>
          <w:sz w:val="20"/>
          <w:szCs w:val="20"/>
          <w:lang w:val="en-US"/>
        </w:rPr>
        <w:t>results</w:t>
      </w:r>
      <w:r w:rsidR="00BD2642" w:rsidRPr="00CD1C3C">
        <w:rPr>
          <w:rFonts w:ascii="Cambria" w:hAnsi="Cambria" w:cs="Calibri Light"/>
          <w:b/>
          <w:sz w:val="20"/>
          <w:szCs w:val="20"/>
          <w:lang w:val="en-US"/>
        </w:rPr>
        <w:t xml:space="preserve"> of the case</w:t>
      </w:r>
    </w:p>
    <w:p w14:paraId="5A529B58" w14:textId="77777777" w:rsidR="00F733F6" w:rsidRPr="00CD1C3C" w:rsidRDefault="00F733F6" w:rsidP="00423BAA">
      <w:pPr>
        <w:spacing w:after="0" w:line="240" w:lineRule="auto"/>
        <w:contextualSpacing/>
        <w:jc w:val="both"/>
        <w:rPr>
          <w:rFonts w:ascii="Cambria" w:hAnsi="Cambria"/>
          <w:sz w:val="20"/>
          <w:szCs w:val="20"/>
          <w:lang w:val="en-US"/>
        </w:rPr>
      </w:pPr>
    </w:p>
    <w:p w14:paraId="2E1E5FDA" w14:textId="4E079C9B" w:rsidR="00CE2F12" w:rsidRPr="00CD1C3C" w:rsidRDefault="00167B6E" w:rsidP="00CE2F12">
      <w:pPr>
        <w:spacing w:after="0" w:line="240" w:lineRule="auto"/>
        <w:jc w:val="both"/>
        <w:rPr>
          <w:rFonts w:ascii="Cambria" w:hAnsi="Cambria"/>
          <w:i/>
          <w:sz w:val="20"/>
          <w:szCs w:val="20"/>
          <w:lang w:val="en-US"/>
        </w:rPr>
      </w:pPr>
      <w:r w:rsidRPr="00CD1C3C">
        <w:rPr>
          <w:rFonts w:ascii="Cambria" w:hAnsi="Cambria"/>
          <w:i/>
          <w:sz w:val="20"/>
          <w:szCs w:val="20"/>
          <w:lang w:val="en-US"/>
        </w:rPr>
        <w:t>Legislation/Regulations</w:t>
      </w:r>
    </w:p>
    <w:p w14:paraId="5E5002B7" w14:textId="77777777" w:rsidR="00466ECE" w:rsidRPr="00CD1C3C" w:rsidRDefault="00466ECE" w:rsidP="00466ECE">
      <w:pPr>
        <w:pStyle w:val="ListParagraph"/>
        <w:numPr>
          <w:ilvl w:val="0"/>
          <w:numId w:val="18"/>
        </w:numPr>
        <w:spacing w:after="0" w:line="240" w:lineRule="auto"/>
        <w:jc w:val="both"/>
        <w:rPr>
          <w:rFonts w:ascii="Cambria" w:hAnsi="Cambria"/>
          <w:sz w:val="20"/>
          <w:szCs w:val="20"/>
        </w:rPr>
      </w:pPr>
      <w:r w:rsidRPr="00CD1C3C">
        <w:rPr>
          <w:rFonts w:ascii="Cambria" w:hAnsi="Cambria"/>
          <w:sz w:val="20"/>
          <w:szCs w:val="20"/>
        </w:rPr>
        <w:t xml:space="preserve">On March 1, 2005, the </w:t>
      </w:r>
      <w:r w:rsidRPr="00CD1C3C">
        <w:rPr>
          <w:rFonts w:ascii="Cambria" w:hAnsi="Cambria"/>
          <w:color w:val="000000"/>
          <w:sz w:val="20"/>
          <w:szCs w:val="20"/>
        </w:rPr>
        <w:t xml:space="preserve">Supreme Court of the United States held in </w:t>
      </w:r>
      <w:r w:rsidRPr="00CD1C3C">
        <w:rPr>
          <w:rFonts w:ascii="Cambria" w:hAnsi="Cambria"/>
          <w:i/>
          <w:color w:val="000000"/>
          <w:sz w:val="20"/>
          <w:szCs w:val="20"/>
        </w:rPr>
        <w:t>Roper v. Simmons</w:t>
      </w:r>
      <w:r w:rsidR="00CC2054" w:rsidRPr="00CD1C3C">
        <w:rPr>
          <w:rStyle w:val="FootnoteReference"/>
          <w:rFonts w:ascii="Cambria" w:hAnsi="Cambria"/>
          <w:color w:val="000000"/>
          <w:sz w:val="20"/>
          <w:szCs w:val="20"/>
        </w:rPr>
        <w:footnoteReference w:id="4"/>
      </w:r>
      <w:r w:rsidRPr="00CD1C3C">
        <w:rPr>
          <w:rFonts w:ascii="Cambria" w:hAnsi="Cambria"/>
          <w:color w:val="000000"/>
          <w:sz w:val="20"/>
          <w:szCs w:val="20"/>
        </w:rPr>
        <w:t xml:space="preserve"> that </w:t>
      </w:r>
      <w:r w:rsidRPr="00CD1C3C">
        <w:rPr>
          <w:rFonts w:ascii="Cambria" w:hAnsi="Cambria"/>
          <w:sz w:val="20"/>
          <w:szCs w:val="20"/>
        </w:rPr>
        <w:t>the Eighth and Fourteenth Amendments to the Constitution of the United States prohibit the imposition of the</w:t>
      </w:r>
      <w:r w:rsidRPr="00CD1C3C">
        <w:rPr>
          <w:rFonts w:ascii="Cambria" w:hAnsi="Cambria"/>
          <w:i/>
          <w:sz w:val="20"/>
          <w:szCs w:val="20"/>
        </w:rPr>
        <w:t xml:space="preserve"> </w:t>
      </w:r>
      <w:r w:rsidRPr="00CD1C3C">
        <w:rPr>
          <w:rFonts w:ascii="Cambria" w:hAnsi="Cambria"/>
          <w:sz w:val="20"/>
          <w:szCs w:val="20"/>
        </w:rPr>
        <w:t xml:space="preserve">death penalty on persons who were under the age of 18 at the time the crimes for which they </w:t>
      </w:r>
      <w:proofErr w:type="gramStart"/>
      <w:r w:rsidRPr="00CD1C3C">
        <w:rPr>
          <w:rFonts w:ascii="Cambria" w:hAnsi="Cambria"/>
          <w:sz w:val="20"/>
          <w:szCs w:val="20"/>
        </w:rPr>
        <w:t>were sentenced</w:t>
      </w:r>
      <w:proofErr w:type="gramEnd"/>
      <w:r w:rsidRPr="00CD1C3C">
        <w:rPr>
          <w:rFonts w:ascii="Cambria" w:hAnsi="Cambria"/>
          <w:sz w:val="20"/>
          <w:szCs w:val="20"/>
        </w:rPr>
        <w:t xml:space="preserve"> were committed. </w:t>
      </w:r>
    </w:p>
    <w:p w14:paraId="3E84FC20" w14:textId="77777777" w:rsidR="004E3057" w:rsidRPr="00CD1C3C" w:rsidRDefault="004E3057" w:rsidP="00466ECE">
      <w:pPr>
        <w:pStyle w:val="ListParagraph"/>
        <w:spacing w:after="0" w:line="240" w:lineRule="auto"/>
        <w:jc w:val="both"/>
        <w:rPr>
          <w:rFonts w:ascii="Cambria" w:hAnsi="Cambria"/>
          <w:b/>
          <w:sz w:val="20"/>
          <w:szCs w:val="20"/>
        </w:rPr>
      </w:pPr>
    </w:p>
    <w:sectPr w:rsidR="004E3057" w:rsidRPr="00CD1C3C" w:rsidSect="00156256">
      <w:headerReference w:type="default" r:id="rId11"/>
      <w:footerReference w:type="default" r:id="rId12"/>
      <w:headerReference w:type="first" r:id="rId13"/>
      <w:pgSz w:w="12240" w:h="15840" w:code="1"/>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2CA1F" w14:textId="77777777" w:rsidR="009D2231" w:rsidRDefault="009D2231" w:rsidP="00D70EA9">
      <w:pPr>
        <w:spacing w:after="0" w:line="240" w:lineRule="auto"/>
      </w:pPr>
      <w:r>
        <w:separator/>
      </w:r>
    </w:p>
  </w:endnote>
  <w:endnote w:type="continuationSeparator" w:id="0">
    <w:p w14:paraId="56608B0C" w14:textId="77777777" w:rsidR="009D2231" w:rsidRDefault="009D2231" w:rsidP="00D70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C3B0F" w14:textId="7E809101" w:rsidR="00B15841" w:rsidRPr="0028191C" w:rsidRDefault="009C6AF2" w:rsidP="0028191C">
    <w:pPr>
      <w:pStyle w:val="Footer"/>
      <w:spacing w:after="0" w:line="240" w:lineRule="auto"/>
      <w:jc w:val="center"/>
      <w:rPr>
        <w:sz w:val="16"/>
        <w:szCs w:val="16"/>
      </w:rPr>
    </w:pPr>
    <w:r w:rsidRPr="0028191C">
      <w:rPr>
        <w:sz w:val="16"/>
        <w:szCs w:val="16"/>
      </w:rPr>
      <w:fldChar w:fldCharType="begin"/>
    </w:r>
    <w:r w:rsidRPr="0028191C">
      <w:rPr>
        <w:sz w:val="16"/>
        <w:szCs w:val="16"/>
      </w:rPr>
      <w:instrText xml:space="preserve"> PAGE   \* MERGEFORMAT </w:instrText>
    </w:r>
    <w:r w:rsidRPr="0028191C">
      <w:rPr>
        <w:sz w:val="16"/>
        <w:szCs w:val="16"/>
      </w:rPr>
      <w:fldChar w:fldCharType="separate"/>
    </w:r>
    <w:r w:rsidR="00B85EA2">
      <w:rPr>
        <w:noProof/>
        <w:sz w:val="16"/>
        <w:szCs w:val="16"/>
      </w:rPr>
      <w:t>2</w:t>
    </w:r>
    <w:r w:rsidRPr="0028191C">
      <w:rPr>
        <w:noProof/>
        <w:sz w:val="16"/>
        <w:szCs w:val="16"/>
      </w:rPr>
      <w:fldChar w:fldCharType="end"/>
    </w:r>
  </w:p>
  <w:p w14:paraId="61525017" w14:textId="77777777" w:rsidR="00B15841" w:rsidRDefault="00B85EA2" w:rsidP="00A2459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2A79A" w14:textId="77777777" w:rsidR="009D2231" w:rsidRDefault="009D2231" w:rsidP="00D70EA9">
      <w:pPr>
        <w:spacing w:after="0" w:line="240" w:lineRule="auto"/>
      </w:pPr>
      <w:r>
        <w:separator/>
      </w:r>
    </w:p>
  </w:footnote>
  <w:footnote w:type="continuationSeparator" w:id="0">
    <w:p w14:paraId="2E24E351" w14:textId="77777777" w:rsidR="009D2231" w:rsidRDefault="009D2231" w:rsidP="00D70EA9">
      <w:pPr>
        <w:spacing w:after="0" w:line="240" w:lineRule="auto"/>
      </w:pPr>
      <w:r>
        <w:continuationSeparator/>
      </w:r>
    </w:p>
  </w:footnote>
  <w:footnote w:id="1">
    <w:p w14:paraId="0B61A400" w14:textId="6ED29E95" w:rsidR="00B85EA2" w:rsidRDefault="00B85EA2" w:rsidP="00B85EA2">
      <w:pPr>
        <w:pStyle w:val="FootnoteText"/>
        <w:spacing w:after="120"/>
        <w:ind w:firstLine="720"/>
      </w:pPr>
      <w:r w:rsidRPr="00B85EA2">
        <w:rPr>
          <w:rStyle w:val="FootnoteReference"/>
          <w:rFonts w:ascii="Cambria" w:hAnsi="Cambria"/>
          <w:sz w:val="16"/>
          <w:szCs w:val="16"/>
        </w:rPr>
        <w:footnoteRef/>
      </w:r>
      <w:r>
        <w:t xml:space="preserve"> </w:t>
      </w:r>
      <w:r w:rsidRPr="00C23BDC">
        <w:rPr>
          <w:rFonts w:ascii="Cambria" w:hAnsi="Cambria"/>
          <w:sz w:val="16"/>
          <w:szCs w:val="16"/>
        </w:rPr>
        <w:t xml:space="preserve">IACHR, Annual Report 2005, </w:t>
      </w:r>
      <w:hyperlink r:id="rId1" w:history="1">
        <w:r w:rsidRPr="00C23BDC">
          <w:rPr>
            <w:rStyle w:val="Hyperlink"/>
            <w:rFonts w:ascii="Cambria" w:hAnsi="Cambria"/>
            <w:color w:val="auto"/>
            <w:sz w:val="16"/>
            <w:szCs w:val="16"/>
          </w:rPr>
          <w:t>Chapter III, Section D: Status of compliance with the recommendations of the IACHR</w:t>
        </w:r>
      </w:hyperlink>
      <w:r w:rsidRPr="00C23BDC">
        <w:rPr>
          <w:rFonts w:ascii="Cambria" w:hAnsi="Cambria"/>
          <w:sz w:val="16"/>
          <w:szCs w:val="16"/>
        </w:rPr>
        <w:t>, para. 33</w:t>
      </w:r>
      <w:r>
        <w:rPr>
          <w:rFonts w:ascii="Cambria" w:hAnsi="Cambria"/>
          <w:sz w:val="16"/>
          <w:szCs w:val="16"/>
        </w:rPr>
        <w:t>8</w:t>
      </w:r>
      <w:r w:rsidRPr="00B85EA2">
        <w:rPr>
          <w:rFonts w:ascii="Cambria" w:hAnsi="Cambria"/>
          <w:sz w:val="16"/>
          <w:szCs w:val="16"/>
        </w:rPr>
        <w:t xml:space="preserve"> - 33</w:t>
      </w:r>
      <w:r w:rsidRPr="00C23BDC">
        <w:rPr>
          <w:rFonts w:ascii="Cambria" w:hAnsi="Cambria"/>
          <w:sz w:val="16"/>
          <w:szCs w:val="16"/>
        </w:rPr>
        <w:t>9.</w:t>
      </w:r>
    </w:p>
  </w:footnote>
  <w:footnote w:id="2">
    <w:p w14:paraId="1F5393A4" w14:textId="211AA98D" w:rsidR="00B85EA2" w:rsidRDefault="00B85EA2" w:rsidP="00B85EA2">
      <w:pPr>
        <w:pStyle w:val="FootnoteText"/>
        <w:spacing w:after="120"/>
        <w:ind w:firstLine="720"/>
      </w:pPr>
      <w:bookmarkStart w:id="0" w:name="_GoBack"/>
      <w:r w:rsidRPr="00B85EA2">
        <w:rPr>
          <w:rStyle w:val="FootnoteReference"/>
          <w:rFonts w:ascii="Cambria" w:hAnsi="Cambria"/>
          <w:sz w:val="16"/>
          <w:szCs w:val="16"/>
        </w:rPr>
        <w:footnoteRef/>
      </w:r>
      <w:r w:rsidRPr="00B85EA2">
        <w:rPr>
          <w:rFonts w:ascii="Cambria" w:hAnsi="Cambria"/>
          <w:sz w:val="16"/>
          <w:szCs w:val="16"/>
        </w:rPr>
        <w:t xml:space="preserve"> </w:t>
      </w:r>
      <w:bookmarkEnd w:id="0"/>
      <w:r w:rsidRPr="00C23BDC">
        <w:rPr>
          <w:rFonts w:ascii="Cambria" w:hAnsi="Cambria"/>
          <w:sz w:val="16"/>
          <w:szCs w:val="16"/>
        </w:rPr>
        <w:t xml:space="preserve">IACHR, Annual Report 2005, </w:t>
      </w:r>
      <w:hyperlink r:id="rId2" w:history="1">
        <w:r w:rsidRPr="00C23BDC">
          <w:rPr>
            <w:rStyle w:val="Hyperlink"/>
            <w:rFonts w:ascii="Cambria" w:hAnsi="Cambria"/>
            <w:color w:val="auto"/>
            <w:sz w:val="16"/>
            <w:szCs w:val="16"/>
          </w:rPr>
          <w:t>Chapter III, Section D: Status of compliance with the recommendations of the IACHR</w:t>
        </w:r>
      </w:hyperlink>
      <w:r w:rsidRPr="00C23BDC">
        <w:rPr>
          <w:rFonts w:ascii="Cambria" w:hAnsi="Cambria"/>
          <w:sz w:val="16"/>
          <w:szCs w:val="16"/>
        </w:rPr>
        <w:t>, para. 33</w:t>
      </w:r>
      <w:r>
        <w:rPr>
          <w:rFonts w:ascii="Cambria" w:hAnsi="Cambria"/>
          <w:sz w:val="16"/>
          <w:szCs w:val="16"/>
        </w:rPr>
        <w:t>8</w:t>
      </w:r>
      <w:r>
        <w:rPr>
          <w:rFonts w:ascii="Cambria" w:hAnsi="Cambria"/>
          <w:sz w:val="16"/>
          <w:szCs w:val="16"/>
          <w:lang w:val="es-CO"/>
        </w:rPr>
        <w:t xml:space="preserve"> - 33</w:t>
      </w:r>
      <w:r w:rsidRPr="00C23BDC">
        <w:rPr>
          <w:rFonts w:ascii="Cambria" w:hAnsi="Cambria"/>
          <w:sz w:val="16"/>
          <w:szCs w:val="16"/>
        </w:rPr>
        <w:t>9.</w:t>
      </w:r>
    </w:p>
  </w:footnote>
  <w:footnote w:id="3">
    <w:p w14:paraId="30C9B289" w14:textId="00459332" w:rsidR="00E41D90" w:rsidRPr="00423BAA" w:rsidRDefault="00E41D90" w:rsidP="00423BAA">
      <w:pPr>
        <w:pStyle w:val="FootnoteText"/>
        <w:spacing w:after="120"/>
        <w:ind w:firstLine="720"/>
        <w:jc w:val="both"/>
        <w:rPr>
          <w:rFonts w:ascii="Cambria" w:hAnsi="Cambria"/>
          <w:sz w:val="16"/>
          <w:szCs w:val="16"/>
        </w:rPr>
      </w:pPr>
      <w:r w:rsidRPr="00C23BDC">
        <w:rPr>
          <w:rStyle w:val="FootnoteReference"/>
          <w:rFonts w:ascii="Cambria" w:hAnsi="Cambria"/>
          <w:sz w:val="16"/>
          <w:szCs w:val="16"/>
        </w:rPr>
        <w:footnoteRef/>
      </w:r>
      <w:r w:rsidRPr="00C23BDC">
        <w:rPr>
          <w:rFonts w:ascii="Cambria" w:hAnsi="Cambria"/>
          <w:sz w:val="16"/>
          <w:szCs w:val="16"/>
        </w:rPr>
        <w:t xml:space="preserve"> </w:t>
      </w:r>
      <w:r w:rsidR="004E3057" w:rsidRPr="00C23BDC">
        <w:rPr>
          <w:rFonts w:ascii="Cambria" w:hAnsi="Cambria"/>
          <w:sz w:val="16"/>
          <w:szCs w:val="16"/>
        </w:rPr>
        <w:t xml:space="preserve">IACHR, Annual Report 2005, </w:t>
      </w:r>
      <w:hyperlink r:id="rId3" w:history="1">
        <w:r w:rsidR="004E3057" w:rsidRPr="00C23BDC">
          <w:rPr>
            <w:rStyle w:val="Hyperlink"/>
            <w:rFonts w:ascii="Cambria" w:hAnsi="Cambria"/>
            <w:color w:val="auto"/>
            <w:sz w:val="16"/>
            <w:szCs w:val="16"/>
          </w:rPr>
          <w:t>Chapter III, Section D: Status of compliance with the recom</w:t>
        </w:r>
        <w:r w:rsidR="004E3057" w:rsidRPr="00C23BDC">
          <w:rPr>
            <w:rStyle w:val="Hyperlink"/>
            <w:rFonts w:ascii="Cambria" w:hAnsi="Cambria"/>
            <w:color w:val="auto"/>
            <w:sz w:val="16"/>
            <w:szCs w:val="16"/>
          </w:rPr>
          <w:t>m</w:t>
        </w:r>
        <w:r w:rsidR="004E3057" w:rsidRPr="00C23BDC">
          <w:rPr>
            <w:rStyle w:val="Hyperlink"/>
            <w:rFonts w:ascii="Cambria" w:hAnsi="Cambria"/>
            <w:color w:val="auto"/>
            <w:sz w:val="16"/>
            <w:szCs w:val="16"/>
          </w:rPr>
          <w:t>endations of the IACHR</w:t>
        </w:r>
      </w:hyperlink>
      <w:r w:rsidR="004E3057" w:rsidRPr="00C23BDC">
        <w:rPr>
          <w:rFonts w:ascii="Cambria" w:hAnsi="Cambria"/>
          <w:sz w:val="16"/>
          <w:szCs w:val="16"/>
        </w:rPr>
        <w:t>, para. 33</w:t>
      </w:r>
      <w:r w:rsidR="00B85EA2">
        <w:rPr>
          <w:rFonts w:ascii="Cambria" w:hAnsi="Cambria"/>
          <w:sz w:val="16"/>
          <w:szCs w:val="16"/>
        </w:rPr>
        <w:t>8</w:t>
      </w:r>
      <w:r w:rsidR="00B85EA2">
        <w:rPr>
          <w:rFonts w:ascii="Cambria" w:hAnsi="Cambria"/>
          <w:sz w:val="16"/>
          <w:szCs w:val="16"/>
          <w:lang w:val="es-CO"/>
        </w:rPr>
        <w:t xml:space="preserve"> - 33</w:t>
      </w:r>
      <w:r w:rsidR="004E3057" w:rsidRPr="00C23BDC">
        <w:rPr>
          <w:rFonts w:ascii="Cambria" w:hAnsi="Cambria"/>
          <w:sz w:val="16"/>
          <w:szCs w:val="16"/>
        </w:rPr>
        <w:t>9.</w:t>
      </w:r>
    </w:p>
  </w:footnote>
  <w:footnote w:id="4">
    <w:p w14:paraId="44D2F68E" w14:textId="77777777" w:rsidR="00CC2054" w:rsidRPr="00CC2054" w:rsidRDefault="00CC2054" w:rsidP="00CC2054">
      <w:pPr>
        <w:pStyle w:val="FootnoteText"/>
        <w:spacing w:after="120"/>
        <w:ind w:firstLine="720"/>
        <w:jc w:val="both"/>
        <w:rPr>
          <w:rFonts w:ascii="Cambria" w:hAnsi="Cambria"/>
          <w:sz w:val="16"/>
          <w:szCs w:val="16"/>
        </w:rPr>
      </w:pPr>
      <w:r w:rsidRPr="00CC2054">
        <w:rPr>
          <w:rStyle w:val="FootnoteReference"/>
          <w:rFonts w:ascii="Cambria" w:hAnsi="Cambria"/>
          <w:sz w:val="16"/>
          <w:szCs w:val="16"/>
        </w:rPr>
        <w:footnoteRef/>
      </w:r>
      <w:r w:rsidRPr="00CC2054">
        <w:rPr>
          <w:rFonts w:ascii="Cambria" w:hAnsi="Cambria"/>
          <w:sz w:val="16"/>
          <w:szCs w:val="16"/>
        </w:rPr>
        <w:t xml:space="preserve"> Supreme Court of the United States, </w:t>
      </w:r>
      <w:hyperlink r:id="rId4" w:history="1">
        <w:r w:rsidRPr="00CC2054">
          <w:rPr>
            <w:rStyle w:val="Hyperlink"/>
            <w:rFonts w:ascii="Cambria" w:hAnsi="Cambria"/>
            <w:color w:val="auto"/>
            <w:sz w:val="16"/>
            <w:szCs w:val="16"/>
          </w:rPr>
          <w:t>Roper v. Simmons</w:t>
        </w:r>
      </w:hyperlink>
      <w:r w:rsidRPr="00CC2054">
        <w:rPr>
          <w:rFonts w:ascii="Cambria" w:hAnsi="Cambria"/>
          <w:sz w:val="16"/>
          <w:szCs w:val="16"/>
        </w:rPr>
        <w:t xml:space="preserve">, 543 U.S. 551 (2005) (United States).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8F3AB" w14:textId="77777777" w:rsidR="00B15841" w:rsidRDefault="00312E9E" w:rsidP="00A2459E">
    <w:pPr>
      <w:pStyle w:val="Header"/>
    </w:pPr>
    <w:r>
      <w:rPr>
        <w:noProof/>
        <w:lang w:val="en-US"/>
      </w:rPr>
      <w:drawing>
        <wp:anchor distT="0" distB="0" distL="114300" distR="114300" simplePos="0" relativeHeight="251665408" behindDoc="0" locked="0" layoutInCell="1" allowOverlap="1" wp14:anchorId="6B4583A1" wp14:editId="64D79526">
          <wp:simplePos x="0" y="0"/>
          <wp:positionH relativeFrom="margin">
            <wp:align>center</wp:align>
          </wp:positionH>
          <wp:positionV relativeFrom="paragraph">
            <wp:posOffset>277805</wp:posOffset>
          </wp:positionV>
          <wp:extent cx="2275205" cy="116840"/>
          <wp:effectExtent l="0" t="0" r="0" b="0"/>
          <wp:wrapNone/>
          <wp:docPr id="6" name="Picture 6"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5205" cy="116840"/>
                  </a:xfrm>
                  <a:prstGeom prst="rect">
                    <a:avLst/>
                  </a:prstGeom>
                  <a:noFill/>
                  <a:ln>
                    <a:noFill/>
                  </a:ln>
                </pic:spPr>
              </pic:pic>
            </a:graphicData>
          </a:graphic>
          <wp14:sizeRelH relativeFrom="page">
            <wp14:pctWidth>0</wp14:pctWidth>
          </wp14:sizeRelH>
          <wp14:sizeRelV relativeFrom="page">
            <wp14:pctHeight>0</wp14:pctHeight>
          </wp14:sizeRelV>
        </wp:anchor>
      </w:drawing>
    </w:r>
    <w:r w:rsidR="009C6AF2">
      <w:tab/>
    </w:r>
  </w:p>
  <w:p w14:paraId="1D18DE69" w14:textId="77777777" w:rsidR="00B15841" w:rsidRDefault="00B85EA2" w:rsidP="00A2459E">
    <w:pPr>
      <w:pStyle w:val="Header"/>
    </w:pPr>
    <w:r>
      <w:pict w14:anchorId="3D81AEBE">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BF96A" w14:textId="31902343" w:rsidR="00401ECA" w:rsidRDefault="00401ECA" w:rsidP="00401ECA">
    <w:pPr>
      <w:pStyle w:val="Header"/>
    </w:pPr>
    <w:r>
      <w:rPr>
        <w:noProof/>
        <w:lang w:val="en-US"/>
      </w:rPr>
      <w:drawing>
        <wp:anchor distT="0" distB="0" distL="114300" distR="114300" simplePos="0" relativeHeight="251667456" behindDoc="1" locked="0" layoutInCell="1" allowOverlap="1" wp14:anchorId="705BB0CA" wp14:editId="5D5218D9">
          <wp:simplePos x="0" y="0"/>
          <wp:positionH relativeFrom="column">
            <wp:posOffset>0</wp:posOffset>
          </wp:positionH>
          <wp:positionV relativeFrom="paragraph">
            <wp:posOffset>-28575</wp:posOffset>
          </wp:positionV>
          <wp:extent cx="2381250" cy="459105"/>
          <wp:effectExtent l="0" t="0" r="0" b="0"/>
          <wp:wrapThrough wrapText="bothSides">
            <wp:wrapPolygon edited="0">
              <wp:start x="0" y="0"/>
              <wp:lineTo x="0" y="20614"/>
              <wp:lineTo x="21427" y="20614"/>
              <wp:lineTo x="21427" y="0"/>
              <wp:lineTo x="0" y="0"/>
            </wp:wrapPolygon>
          </wp:wrapThrough>
          <wp:docPr id="4" name="Picture 4"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4591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8480" behindDoc="1" locked="0" layoutInCell="1" allowOverlap="1" wp14:anchorId="089A160B" wp14:editId="55D65959">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283" y="0"/>
              <wp:lineTo x="0" y="3298"/>
              <wp:lineTo x="0" y="17313"/>
              <wp:lineTo x="1283" y="20611"/>
              <wp:lineTo x="4063" y="20611"/>
              <wp:lineTo x="21386" y="18137"/>
              <wp:lineTo x="21386" y="4122"/>
              <wp:lineTo x="4063" y="0"/>
              <wp:lineTo x="1283" y="0"/>
            </wp:wrapPolygon>
          </wp:wrapThrough>
          <wp:docPr id="3" name="Picture 3"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AS_Seal_ENG_Principal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01A5806F" w14:textId="77777777" w:rsidR="00401ECA" w:rsidRPr="00AD02AF" w:rsidRDefault="00401ECA" w:rsidP="00401ECA">
    <w:pPr>
      <w:pStyle w:val="Header"/>
      <w:spacing w:after="0" w:line="240" w:lineRule="auto"/>
      <w:rPr>
        <w:sz w:val="10"/>
        <w:szCs w:val="10"/>
      </w:rPr>
    </w:pPr>
  </w:p>
  <w:p w14:paraId="12863FDF" w14:textId="77777777" w:rsidR="00401ECA" w:rsidRDefault="00B85EA2" w:rsidP="00401ECA">
    <w:pPr>
      <w:pStyle w:val="Header"/>
    </w:pPr>
    <w:r>
      <w:pict w14:anchorId="1A4C63C3">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C3E11"/>
    <w:multiLevelType w:val="hybridMultilevel"/>
    <w:tmpl w:val="938AB30C"/>
    <w:lvl w:ilvl="0" w:tplc="511E6C8C">
      <w:start w:val="1"/>
      <w:numFmt w:val="decimal"/>
      <w:lvlText w:val="%1."/>
      <w:lvlJc w:val="left"/>
      <w:pPr>
        <w:ind w:left="900" w:hanging="360"/>
      </w:pPr>
      <w:rPr>
        <w:rFonts w:asciiTheme="minorHAnsi" w:hAnsiTheme="minorHAnsi" w:hint="default"/>
        <w:sz w:val="20"/>
        <w:szCs w:val="2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255F586B"/>
    <w:multiLevelType w:val="hybridMultilevel"/>
    <w:tmpl w:val="66E4BE94"/>
    <w:lvl w:ilvl="0" w:tplc="CAF017FC">
      <w:start w:val="1"/>
      <w:numFmt w:val="decimal"/>
      <w:lvlText w:val="%1."/>
      <w:lvlJc w:val="left"/>
      <w:pPr>
        <w:ind w:left="117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E60B5"/>
    <w:multiLevelType w:val="hybridMultilevel"/>
    <w:tmpl w:val="1C9857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B3D75D5"/>
    <w:multiLevelType w:val="hybridMultilevel"/>
    <w:tmpl w:val="7CD8E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87E74"/>
    <w:multiLevelType w:val="hybridMultilevel"/>
    <w:tmpl w:val="D834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474955"/>
    <w:multiLevelType w:val="hybridMultilevel"/>
    <w:tmpl w:val="337C975E"/>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354333"/>
    <w:multiLevelType w:val="hybridMultilevel"/>
    <w:tmpl w:val="ED6E4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530D6A"/>
    <w:multiLevelType w:val="hybridMultilevel"/>
    <w:tmpl w:val="7D90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0A07D1"/>
    <w:multiLevelType w:val="hybridMultilevel"/>
    <w:tmpl w:val="337C975E"/>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575E59"/>
    <w:multiLevelType w:val="hybridMultilevel"/>
    <w:tmpl w:val="B0401F8E"/>
    <w:lvl w:ilvl="0" w:tplc="015EC7AE">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4B7C6B"/>
    <w:multiLevelType w:val="hybridMultilevel"/>
    <w:tmpl w:val="24DEC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A0B6A2B"/>
    <w:multiLevelType w:val="hybridMultilevel"/>
    <w:tmpl w:val="A76087D8"/>
    <w:lvl w:ilvl="0" w:tplc="6BF056EA">
      <w:start w:val="1"/>
      <w:numFmt w:val="decimal"/>
      <w:lvlText w:val="%1."/>
      <w:lvlJc w:val="left"/>
      <w:pPr>
        <w:ind w:left="0" w:firstLine="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CB5259C"/>
    <w:multiLevelType w:val="hybridMultilevel"/>
    <w:tmpl w:val="B52627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2A62BA2"/>
    <w:multiLevelType w:val="hybridMultilevel"/>
    <w:tmpl w:val="4FE6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94624A"/>
    <w:multiLevelType w:val="hybridMultilevel"/>
    <w:tmpl w:val="49C2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10"/>
  </w:num>
  <w:num w:numId="5">
    <w:abstractNumId w:val="4"/>
  </w:num>
  <w:num w:numId="6">
    <w:abstractNumId w:val="13"/>
  </w:num>
  <w:num w:numId="7">
    <w:abstractNumId w:val="0"/>
  </w:num>
  <w:num w:numId="8">
    <w:abstractNumId w:val="2"/>
  </w:num>
  <w:num w:numId="9">
    <w:abstractNumId w:val="12"/>
  </w:num>
  <w:num w:numId="10">
    <w:abstractNumId w:val="10"/>
  </w:num>
  <w:num w:numId="11">
    <w:abstractNumId w:val="9"/>
  </w:num>
  <w:num w:numId="12">
    <w:abstractNumId w:val="6"/>
  </w:num>
  <w:num w:numId="13">
    <w:abstractNumId w:val="1"/>
    <w:lvlOverride w:ilvl="0">
      <w:lvl w:ilvl="0" w:tplc="CAF017FC">
        <w:start w:val="1"/>
        <w:numFmt w:val="decimal"/>
        <w:lvlText w:val="%1."/>
        <w:lvlJc w:val="left"/>
        <w:pPr>
          <w:ind w:left="0" w:firstLine="72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4">
    <w:abstractNumId w:val="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hyphenationZone w:val="425"/>
  <w:characterSpacingControl w:val="doNotCompress"/>
  <w:hdrShapeDefaults>
    <o:shapedefaults v:ext="edit" spidmax="2253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EA9"/>
    <w:rsid w:val="0002212E"/>
    <w:rsid w:val="00027554"/>
    <w:rsid w:val="00031C03"/>
    <w:rsid w:val="00034E03"/>
    <w:rsid w:val="00050E02"/>
    <w:rsid w:val="00067E71"/>
    <w:rsid w:val="00067F70"/>
    <w:rsid w:val="00090042"/>
    <w:rsid w:val="000960E0"/>
    <w:rsid w:val="000A0A36"/>
    <w:rsid w:val="000A30C8"/>
    <w:rsid w:val="000C1B1C"/>
    <w:rsid w:val="000C1FC1"/>
    <w:rsid w:val="000C7237"/>
    <w:rsid w:val="000D23FC"/>
    <w:rsid w:val="000D2C99"/>
    <w:rsid w:val="000D6A4D"/>
    <w:rsid w:val="000E1520"/>
    <w:rsid w:val="000E24C6"/>
    <w:rsid w:val="000F05D9"/>
    <w:rsid w:val="001136FD"/>
    <w:rsid w:val="00120B37"/>
    <w:rsid w:val="00136069"/>
    <w:rsid w:val="00137AA9"/>
    <w:rsid w:val="001523D5"/>
    <w:rsid w:val="001551A8"/>
    <w:rsid w:val="00166A0F"/>
    <w:rsid w:val="00167B6E"/>
    <w:rsid w:val="001850CD"/>
    <w:rsid w:val="001924E0"/>
    <w:rsid w:val="00194BFD"/>
    <w:rsid w:val="001A058A"/>
    <w:rsid w:val="001B3D97"/>
    <w:rsid w:val="00200CF2"/>
    <w:rsid w:val="002377B1"/>
    <w:rsid w:val="002922DE"/>
    <w:rsid w:val="0029500C"/>
    <w:rsid w:val="0029757C"/>
    <w:rsid w:val="002A711F"/>
    <w:rsid w:val="002B2581"/>
    <w:rsid w:val="002C1D97"/>
    <w:rsid w:val="002C2D53"/>
    <w:rsid w:val="002C4198"/>
    <w:rsid w:val="002D5153"/>
    <w:rsid w:val="002E54C6"/>
    <w:rsid w:val="002F5D6B"/>
    <w:rsid w:val="00312E9E"/>
    <w:rsid w:val="00334907"/>
    <w:rsid w:val="00336CDA"/>
    <w:rsid w:val="003A06A3"/>
    <w:rsid w:val="003B2F71"/>
    <w:rsid w:val="003E149C"/>
    <w:rsid w:val="003E53A9"/>
    <w:rsid w:val="003E58D7"/>
    <w:rsid w:val="00401ECA"/>
    <w:rsid w:val="004172BD"/>
    <w:rsid w:val="00421F0D"/>
    <w:rsid w:val="00423BAA"/>
    <w:rsid w:val="00435ABF"/>
    <w:rsid w:val="00447159"/>
    <w:rsid w:val="0046024C"/>
    <w:rsid w:val="004636F5"/>
    <w:rsid w:val="00466ECE"/>
    <w:rsid w:val="00475F1E"/>
    <w:rsid w:val="004765F5"/>
    <w:rsid w:val="00486EDF"/>
    <w:rsid w:val="004A352F"/>
    <w:rsid w:val="004A7C8E"/>
    <w:rsid w:val="004C377A"/>
    <w:rsid w:val="004D3F10"/>
    <w:rsid w:val="004E3057"/>
    <w:rsid w:val="004F125E"/>
    <w:rsid w:val="004F2906"/>
    <w:rsid w:val="00503E93"/>
    <w:rsid w:val="00532EA6"/>
    <w:rsid w:val="00536593"/>
    <w:rsid w:val="0054348D"/>
    <w:rsid w:val="00545563"/>
    <w:rsid w:val="00550841"/>
    <w:rsid w:val="0056224B"/>
    <w:rsid w:val="005C2923"/>
    <w:rsid w:val="005C3941"/>
    <w:rsid w:val="005C6E66"/>
    <w:rsid w:val="005D4047"/>
    <w:rsid w:val="005E04D6"/>
    <w:rsid w:val="005F3C98"/>
    <w:rsid w:val="00611ECD"/>
    <w:rsid w:val="00642976"/>
    <w:rsid w:val="006719A8"/>
    <w:rsid w:val="006A20A9"/>
    <w:rsid w:val="007015EF"/>
    <w:rsid w:val="007A6375"/>
    <w:rsid w:val="007B7DA0"/>
    <w:rsid w:val="00804A63"/>
    <w:rsid w:val="00854A47"/>
    <w:rsid w:val="00897D0E"/>
    <w:rsid w:val="008A0CD6"/>
    <w:rsid w:val="008A63E0"/>
    <w:rsid w:val="008A7495"/>
    <w:rsid w:val="008B5880"/>
    <w:rsid w:val="008B5BD7"/>
    <w:rsid w:val="008D5638"/>
    <w:rsid w:val="008E21EB"/>
    <w:rsid w:val="008E6D09"/>
    <w:rsid w:val="008F4BDE"/>
    <w:rsid w:val="0091365A"/>
    <w:rsid w:val="0092660C"/>
    <w:rsid w:val="00934680"/>
    <w:rsid w:val="009358C0"/>
    <w:rsid w:val="009438B7"/>
    <w:rsid w:val="009640FC"/>
    <w:rsid w:val="009831DA"/>
    <w:rsid w:val="009A6722"/>
    <w:rsid w:val="009C6AF2"/>
    <w:rsid w:val="009C74EE"/>
    <w:rsid w:val="009D1493"/>
    <w:rsid w:val="009D2231"/>
    <w:rsid w:val="009E7502"/>
    <w:rsid w:val="00A10285"/>
    <w:rsid w:val="00A11849"/>
    <w:rsid w:val="00A1347B"/>
    <w:rsid w:val="00A5757C"/>
    <w:rsid w:val="00A728E1"/>
    <w:rsid w:val="00A94CEC"/>
    <w:rsid w:val="00AA50F9"/>
    <w:rsid w:val="00AA681F"/>
    <w:rsid w:val="00AC126A"/>
    <w:rsid w:val="00AC18E3"/>
    <w:rsid w:val="00AD02AF"/>
    <w:rsid w:val="00AE515A"/>
    <w:rsid w:val="00AE68AF"/>
    <w:rsid w:val="00B30310"/>
    <w:rsid w:val="00B4099F"/>
    <w:rsid w:val="00B70690"/>
    <w:rsid w:val="00B85EA2"/>
    <w:rsid w:val="00B871EA"/>
    <w:rsid w:val="00B91FBB"/>
    <w:rsid w:val="00B951C5"/>
    <w:rsid w:val="00BA17EC"/>
    <w:rsid w:val="00BD2642"/>
    <w:rsid w:val="00BD3898"/>
    <w:rsid w:val="00BD3BD3"/>
    <w:rsid w:val="00BE01C5"/>
    <w:rsid w:val="00BE4EFC"/>
    <w:rsid w:val="00BF4C7E"/>
    <w:rsid w:val="00BF62B4"/>
    <w:rsid w:val="00C01E29"/>
    <w:rsid w:val="00C1633A"/>
    <w:rsid w:val="00C16D39"/>
    <w:rsid w:val="00C23BDC"/>
    <w:rsid w:val="00C27CCC"/>
    <w:rsid w:val="00C9355B"/>
    <w:rsid w:val="00C93CB2"/>
    <w:rsid w:val="00C9684C"/>
    <w:rsid w:val="00CC2054"/>
    <w:rsid w:val="00CD1C3C"/>
    <w:rsid w:val="00CE2F12"/>
    <w:rsid w:val="00CF2D66"/>
    <w:rsid w:val="00CF47FB"/>
    <w:rsid w:val="00D12CF8"/>
    <w:rsid w:val="00D15A49"/>
    <w:rsid w:val="00D32C7F"/>
    <w:rsid w:val="00D45858"/>
    <w:rsid w:val="00D51F18"/>
    <w:rsid w:val="00D64F50"/>
    <w:rsid w:val="00D70EA9"/>
    <w:rsid w:val="00D76EF7"/>
    <w:rsid w:val="00D8442E"/>
    <w:rsid w:val="00D92F83"/>
    <w:rsid w:val="00D92FFD"/>
    <w:rsid w:val="00DA04BC"/>
    <w:rsid w:val="00DA4FAE"/>
    <w:rsid w:val="00DE0BDE"/>
    <w:rsid w:val="00DE3E9F"/>
    <w:rsid w:val="00E41D90"/>
    <w:rsid w:val="00E4419F"/>
    <w:rsid w:val="00E57E52"/>
    <w:rsid w:val="00E6569E"/>
    <w:rsid w:val="00EA4AE8"/>
    <w:rsid w:val="00EB2FBA"/>
    <w:rsid w:val="00EB70CE"/>
    <w:rsid w:val="00ED2B02"/>
    <w:rsid w:val="00ED752E"/>
    <w:rsid w:val="00EF14E5"/>
    <w:rsid w:val="00F4771A"/>
    <w:rsid w:val="00F5584F"/>
    <w:rsid w:val="00F64787"/>
    <w:rsid w:val="00F733F6"/>
    <w:rsid w:val="00F85BE5"/>
    <w:rsid w:val="00F97F45"/>
    <w:rsid w:val="00FA51BD"/>
    <w:rsid w:val="00FD29A3"/>
    <w:rsid w:val="00FE1C87"/>
    <w:rsid w:val="00FE41CD"/>
    <w:rsid w:val="00FF04EF"/>
    <w:rsid w:val="00FF20C4"/>
    <w:rsid w:val="00FF2C41"/>
    <w:rsid w:val="00FF4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1"/>
    <o:shapelayout v:ext="edit">
      <o:idmap v:ext="edit" data="1"/>
    </o:shapelayout>
  </w:shapeDefaults>
  <w:decimalSymbol w:val="."/>
  <w:listSeparator w:val=","/>
  <w14:docId w14:val="190CD3B8"/>
  <w15:docId w15:val="{9FC77D38-6D7D-4141-9541-6FD113CF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EA9"/>
    <w:pPr>
      <w:spacing w:after="200" w:line="276" w:lineRule="auto"/>
    </w:pPr>
    <w:rPr>
      <w:rFonts w:ascii="Calibri" w:eastAsia="Calibri" w:hAnsi="Calibri" w:cs="Times New Roman"/>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D70EA9"/>
    <w:pPr>
      <w:spacing w:after="0" w:line="240" w:lineRule="auto"/>
    </w:pPr>
    <w:rPr>
      <w:rFonts w:ascii="Times New Roman" w:hAnsi="Times New Roman"/>
      <w:sz w:val="20"/>
      <w:szCs w:val="20"/>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D70EA9"/>
    <w:rPr>
      <w:rFonts w:ascii="Times New Roman" w:eastAsia="Calibri" w:hAnsi="Times New Roman" w:cs="Times New Roman"/>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iPriority w:val="99"/>
    <w:unhideWhenUsed/>
    <w:qFormat/>
    <w:rsid w:val="00D70EA9"/>
    <w:rPr>
      <w:vertAlign w:val="superscript"/>
    </w:rPr>
  </w:style>
  <w:style w:type="paragraph" w:customStyle="1" w:styleId="Appelnotedebasde">
    <w:name w:val="Appel note de bas de..."/>
    <w:basedOn w:val="Normal"/>
    <w:link w:val="FootnoteReference"/>
    <w:rsid w:val="00D70EA9"/>
    <w:pPr>
      <w:spacing w:after="160" w:line="240" w:lineRule="exact"/>
    </w:pPr>
    <w:rPr>
      <w:rFonts w:asciiTheme="minorHAnsi" w:eastAsiaTheme="minorHAnsi" w:hAnsiTheme="minorHAnsi" w:cstheme="minorBidi"/>
      <w:vertAlign w:val="superscript"/>
      <w:lang w:val="en-US"/>
    </w:rPr>
  </w:style>
  <w:style w:type="character" w:styleId="Hyperlink">
    <w:name w:val="Hyperlink"/>
    <w:uiPriority w:val="99"/>
    <w:unhideWhenUsed/>
    <w:rsid w:val="00D70EA9"/>
    <w:rPr>
      <w:color w:val="0000FF"/>
      <w:u w:val="single"/>
    </w:rPr>
  </w:style>
  <w:style w:type="paragraph" w:styleId="Header">
    <w:name w:val="header"/>
    <w:basedOn w:val="Normal"/>
    <w:link w:val="HeaderChar"/>
    <w:uiPriority w:val="99"/>
    <w:unhideWhenUsed/>
    <w:rsid w:val="00D70EA9"/>
    <w:pPr>
      <w:tabs>
        <w:tab w:val="center" w:pos="4513"/>
        <w:tab w:val="right" w:pos="9026"/>
      </w:tabs>
    </w:pPr>
  </w:style>
  <w:style w:type="character" w:customStyle="1" w:styleId="HeaderChar">
    <w:name w:val="Header Char"/>
    <w:basedOn w:val="DefaultParagraphFont"/>
    <w:link w:val="Header"/>
    <w:uiPriority w:val="99"/>
    <w:rsid w:val="00D70EA9"/>
    <w:rPr>
      <w:rFonts w:ascii="Calibri" w:eastAsia="Calibri" w:hAnsi="Calibri" w:cs="Times New Roman"/>
      <w:lang w:val="pt-BR"/>
    </w:rPr>
  </w:style>
  <w:style w:type="paragraph" w:styleId="Footer">
    <w:name w:val="footer"/>
    <w:basedOn w:val="Normal"/>
    <w:link w:val="FooterChar"/>
    <w:uiPriority w:val="99"/>
    <w:unhideWhenUsed/>
    <w:rsid w:val="00D70EA9"/>
    <w:pPr>
      <w:tabs>
        <w:tab w:val="center" w:pos="4513"/>
        <w:tab w:val="right" w:pos="9026"/>
      </w:tabs>
    </w:pPr>
  </w:style>
  <w:style w:type="character" w:customStyle="1" w:styleId="FooterChar">
    <w:name w:val="Footer Char"/>
    <w:basedOn w:val="DefaultParagraphFont"/>
    <w:link w:val="Footer"/>
    <w:uiPriority w:val="99"/>
    <w:rsid w:val="00D70EA9"/>
    <w:rPr>
      <w:rFonts w:ascii="Calibri" w:eastAsia="Calibri" w:hAnsi="Calibri" w:cs="Times New Roman"/>
      <w:lang w:val="pt-BR"/>
    </w:rPr>
  </w:style>
  <w:style w:type="character" w:styleId="FollowedHyperlink">
    <w:name w:val="FollowedHyperlink"/>
    <w:basedOn w:val="DefaultParagraphFont"/>
    <w:uiPriority w:val="99"/>
    <w:semiHidden/>
    <w:unhideWhenUsed/>
    <w:rsid w:val="00C16D39"/>
    <w:rPr>
      <w:color w:val="954F72" w:themeColor="followedHyperlink"/>
      <w:u w:val="single"/>
    </w:rPr>
  </w:style>
  <w:style w:type="paragraph" w:styleId="ListParagraph">
    <w:name w:val="List Paragraph"/>
    <w:aliases w:val="Párrafo de lista1,List Paragraph1,Colorful List - Accent 11,List Paragraph11"/>
    <w:basedOn w:val="Normal"/>
    <w:link w:val="ListParagraphChar"/>
    <w:uiPriority w:val="34"/>
    <w:qFormat/>
    <w:rsid w:val="00C16D39"/>
    <w:pPr>
      <w:spacing w:after="160" w:line="259" w:lineRule="auto"/>
      <w:ind w:left="720"/>
      <w:contextualSpacing/>
    </w:pPr>
    <w:rPr>
      <w:rFonts w:asciiTheme="minorHAnsi" w:eastAsiaTheme="minorHAnsi" w:hAnsiTheme="minorHAnsi" w:cstheme="minorBidi"/>
      <w:lang w:val="en-US"/>
    </w:r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336CDA"/>
  </w:style>
  <w:style w:type="character" w:styleId="CommentReference">
    <w:name w:val="annotation reference"/>
    <w:basedOn w:val="DefaultParagraphFont"/>
    <w:uiPriority w:val="99"/>
    <w:semiHidden/>
    <w:unhideWhenUsed/>
    <w:rsid w:val="005C2923"/>
    <w:rPr>
      <w:sz w:val="16"/>
      <w:szCs w:val="16"/>
    </w:rPr>
  </w:style>
  <w:style w:type="paragraph" w:styleId="CommentText">
    <w:name w:val="annotation text"/>
    <w:basedOn w:val="Normal"/>
    <w:link w:val="CommentTextChar"/>
    <w:uiPriority w:val="99"/>
    <w:semiHidden/>
    <w:unhideWhenUsed/>
    <w:rsid w:val="005C2923"/>
    <w:pPr>
      <w:spacing w:line="240" w:lineRule="auto"/>
    </w:pPr>
    <w:rPr>
      <w:sz w:val="20"/>
      <w:szCs w:val="20"/>
    </w:rPr>
  </w:style>
  <w:style w:type="character" w:customStyle="1" w:styleId="CommentTextChar">
    <w:name w:val="Comment Text Char"/>
    <w:basedOn w:val="DefaultParagraphFont"/>
    <w:link w:val="CommentText"/>
    <w:uiPriority w:val="99"/>
    <w:semiHidden/>
    <w:rsid w:val="005C2923"/>
    <w:rPr>
      <w:rFonts w:ascii="Calibri" w:eastAsia="Calibri" w:hAnsi="Calibri" w:cs="Times New Roman"/>
      <w:sz w:val="20"/>
      <w:szCs w:val="20"/>
      <w:lang w:val="pt-BR"/>
    </w:rPr>
  </w:style>
  <w:style w:type="paragraph" w:styleId="CommentSubject">
    <w:name w:val="annotation subject"/>
    <w:basedOn w:val="CommentText"/>
    <w:next w:val="CommentText"/>
    <w:link w:val="CommentSubjectChar"/>
    <w:uiPriority w:val="99"/>
    <w:semiHidden/>
    <w:unhideWhenUsed/>
    <w:rsid w:val="005C2923"/>
    <w:rPr>
      <w:b/>
      <w:bCs/>
    </w:rPr>
  </w:style>
  <w:style w:type="character" w:customStyle="1" w:styleId="CommentSubjectChar">
    <w:name w:val="Comment Subject Char"/>
    <w:basedOn w:val="CommentTextChar"/>
    <w:link w:val="CommentSubject"/>
    <w:uiPriority w:val="99"/>
    <w:semiHidden/>
    <w:rsid w:val="005C2923"/>
    <w:rPr>
      <w:rFonts w:ascii="Calibri" w:eastAsia="Calibri" w:hAnsi="Calibri" w:cs="Times New Roman"/>
      <w:b/>
      <w:bCs/>
      <w:sz w:val="20"/>
      <w:szCs w:val="20"/>
      <w:lang w:val="pt-BR"/>
    </w:rPr>
  </w:style>
  <w:style w:type="paragraph" w:styleId="BalloonText">
    <w:name w:val="Balloon Text"/>
    <w:basedOn w:val="Normal"/>
    <w:link w:val="BalloonTextChar"/>
    <w:uiPriority w:val="99"/>
    <w:semiHidden/>
    <w:unhideWhenUsed/>
    <w:rsid w:val="005C2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923"/>
    <w:rPr>
      <w:rFonts w:ascii="Tahoma" w:eastAsia="Calibri" w:hAnsi="Tahoma" w:cs="Tahoma"/>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2387">
      <w:bodyDiv w:val="1"/>
      <w:marLeft w:val="0"/>
      <w:marRight w:val="0"/>
      <w:marTop w:val="0"/>
      <w:marBottom w:val="0"/>
      <w:divBdr>
        <w:top w:val="none" w:sz="0" w:space="0" w:color="auto"/>
        <w:left w:val="none" w:sz="0" w:space="0" w:color="auto"/>
        <w:bottom w:val="none" w:sz="0" w:space="0" w:color="auto"/>
        <w:right w:val="none" w:sz="0" w:space="0" w:color="auto"/>
      </w:divBdr>
    </w:div>
    <w:div w:id="584803665">
      <w:bodyDiv w:val="1"/>
      <w:marLeft w:val="0"/>
      <w:marRight w:val="0"/>
      <w:marTop w:val="0"/>
      <w:marBottom w:val="0"/>
      <w:divBdr>
        <w:top w:val="none" w:sz="0" w:space="0" w:color="auto"/>
        <w:left w:val="none" w:sz="0" w:space="0" w:color="auto"/>
        <w:bottom w:val="none" w:sz="0" w:space="0" w:color="auto"/>
        <w:right w:val="none" w:sz="0" w:space="0" w:color="auto"/>
      </w:divBdr>
    </w:div>
    <w:div w:id="160858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dh.org/annualrep/2002eng/USA.12285.ht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dh.org/annualrep/2005eng/chap.3f.htm" TargetMode="External"/><Relationship Id="rId4" Type="http://schemas.openxmlformats.org/officeDocument/2006/relationships/settings" Target="settings.xml"/><Relationship Id="rId9" Type="http://schemas.openxmlformats.org/officeDocument/2006/relationships/hyperlink" Target="http://www.cidh.org/medidas/2000.eng.ht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idh.org/annualrep/2005eng/chap.3f.htm" TargetMode="External"/><Relationship Id="rId2" Type="http://schemas.openxmlformats.org/officeDocument/2006/relationships/hyperlink" Target="http://www.cidh.org/annualrep/2005eng/chap.3f.htm" TargetMode="External"/><Relationship Id="rId1" Type="http://schemas.openxmlformats.org/officeDocument/2006/relationships/hyperlink" Target="http://www.cidh.org/annualrep/2005eng/chap.3f.htm" TargetMode="External"/><Relationship Id="rId4" Type="http://schemas.openxmlformats.org/officeDocument/2006/relationships/hyperlink" Target="https://supreme.justia.com/cases/federal/us/543/5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B1A4C-60F2-4C5B-B96B-A1F88606F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 Intern 17 (Gourier, Madeleine)</dc:creator>
  <cp:lastModifiedBy>CIDH Becario 16 (Paez, Catalina)</cp:lastModifiedBy>
  <cp:revision>215</cp:revision>
  <dcterms:created xsi:type="dcterms:W3CDTF">2019-03-20T19:40:00Z</dcterms:created>
  <dcterms:modified xsi:type="dcterms:W3CDTF">2019-07-30T19:31:00Z</dcterms:modified>
</cp:coreProperties>
</file>