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868FC">
                              <w:rPr>
                                <w:rFonts w:asciiTheme="majorHAnsi" w:hAnsiTheme="majorHAnsi" w:cs="Arial"/>
                                <w:b/>
                                <w:bCs/>
                                <w:color w:val="0D0D0D" w:themeColor="text1" w:themeTint="F2"/>
                                <w:sz w:val="36"/>
                                <w:szCs w:val="40"/>
                              </w:rPr>
                              <w:t>25</w:t>
                            </w:r>
                            <w:r w:rsidRPr="004B7EB6">
                              <w:rPr>
                                <w:rFonts w:asciiTheme="majorHAnsi" w:hAnsiTheme="majorHAnsi" w:cs="Arial"/>
                                <w:b/>
                                <w:bCs/>
                                <w:color w:val="0D0D0D" w:themeColor="text1" w:themeTint="F2"/>
                                <w:sz w:val="36"/>
                                <w:szCs w:val="40"/>
                              </w:rPr>
                              <w:t>/14</w:t>
                            </w:r>
                          </w:p>
                          <w:p w:rsidR="00322450" w:rsidRPr="00F868FC" w:rsidRDefault="00322450" w:rsidP="004B7EB6">
                            <w:pPr>
                              <w:spacing w:line="276" w:lineRule="auto"/>
                              <w:rPr>
                                <w:rFonts w:asciiTheme="majorHAnsi" w:hAnsiTheme="majorHAnsi" w:cs="Arial"/>
                                <w:b/>
                                <w:bCs/>
                                <w:color w:val="0D0D0D" w:themeColor="text1" w:themeTint="F2"/>
                                <w:sz w:val="36"/>
                                <w:szCs w:val="40"/>
                                <w:lang w:val="es-ES"/>
                              </w:rPr>
                            </w:pPr>
                            <w:r w:rsidRPr="00F868FC">
                              <w:rPr>
                                <w:rFonts w:asciiTheme="majorHAnsi" w:hAnsiTheme="majorHAnsi" w:cs="Arial"/>
                                <w:b/>
                                <w:bCs/>
                                <w:color w:val="0D0D0D" w:themeColor="text1" w:themeTint="F2"/>
                                <w:sz w:val="36"/>
                                <w:szCs w:val="40"/>
                                <w:lang w:val="es-ES"/>
                              </w:rPr>
                              <w:t xml:space="preserve">CASE </w:t>
                            </w:r>
                            <w:r w:rsidR="00F868FC" w:rsidRPr="00F868FC">
                              <w:rPr>
                                <w:rFonts w:asciiTheme="majorHAnsi" w:hAnsiTheme="majorHAnsi" w:cs="Arial"/>
                                <w:b/>
                                <w:bCs/>
                                <w:color w:val="0D0D0D" w:themeColor="text1" w:themeTint="F2"/>
                                <w:sz w:val="36"/>
                                <w:szCs w:val="40"/>
                                <w:lang w:val="es-ES"/>
                              </w:rPr>
                              <w:t>12.016</w:t>
                            </w:r>
                          </w:p>
                          <w:p w:rsidR="00322450" w:rsidRPr="00F868FC" w:rsidRDefault="00322450" w:rsidP="004B7EB6">
                            <w:pPr>
                              <w:spacing w:line="276" w:lineRule="auto"/>
                              <w:rPr>
                                <w:rFonts w:asciiTheme="majorHAnsi" w:hAnsiTheme="majorHAnsi" w:cs="Arial"/>
                                <w:color w:val="0D0D0D" w:themeColor="text1" w:themeTint="F2"/>
                                <w:szCs w:val="28"/>
                                <w:lang w:val="es-ES"/>
                              </w:rPr>
                            </w:pPr>
                            <w:r w:rsidRPr="00F868FC">
                              <w:rPr>
                                <w:rFonts w:asciiTheme="majorHAnsi" w:hAnsiTheme="majorHAnsi" w:cs="Arial"/>
                                <w:color w:val="0D0D0D" w:themeColor="text1" w:themeTint="F2"/>
                                <w:szCs w:val="28"/>
                                <w:lang w:val="es-ES"/>
                              </w:rPr>
                              <w:t>ARCHIVE</w:t>
                            </w:r>
                          </w:p>
                          <w:p w:rsidR="00450A4A" w:rsidRPr="00F868FC" w:rsidRDefault="00450A4A" w:rsidP="004B7EB6">
                            <w:pPr>
                              <w:spacing w:line="276" w:lineRule="auto"/>
                              <w:rPr>
                                <w:rFonts w:asciiTheme="majorHAnsi" w:hAnsiTheme="majorHAnsi" w:cs="Arial"/>
                                <w:color w:val="0D0D0D" w:themeColor="text1" w:themeTint="F2"/>
                                <w:szCs w:val="28"/>
                                <w:lang w:val="es-ES"/>
                              </w:rPr>
                            </w:pPr>
                          </w:p>
                          <w:p w:rsidR="00322450" w:rsidRPr="00F868FC" w:rsidRDefault="00F868FC" w:rsidP="004B7EB6">
                            <w:pPr>
                              <w:spacing w:line="276" w:lineRule="auto"/>
                              <w:rPr>
                                <w:rFonts w:asciiTheme="majorHAnsi" w:hAnsiTheme="majorHAnsi" w:cs="Arial"/>
                                <w:caps/>
                                <w:color w:val="0D0D0D" w:themeColor="text1" w:themeTint="F2"/>
                                <w:szCs w:val="28"/>
                                <w:lang w:val="es-ES_tradnl"/>
                              </w:rPr>
                            </w:pPr>
                            <w:r w:rsidRPr="00F868FC">
                              <w:rPr>
                                <w:rFonts w:asciiTheme="majorHAnsi" w:hAnsiTheme="majorHAnsi" w:cs="Arial"/>
                                <w:caps/>
                                <w:szCs w:val="28"/>
                                <w:lang w:val="es-ES"/>
                              </w:rPr>
                              <w:t>César Eugenio Jaramillo Gutiérrez</w:t>
                            </w:r>
                          </w:p>
                          <w:p w:rsidR="005B52B0" w:rsidRPr="00F868FC" w:rsidRDefault="00F868FC" w:rsidP="004B7EB6">
                            <w:pPr>
                              <w:spacing w:line="276" w:lineRule="auto"/>
                              <w:rPr>
                                <w:rFonts w:asciiTheme="majorHAnsi" w:hAnsiTheme="majorHAnsi"/>
                                <w:caps/>
                                <w:color w:val="0D0D0D" w:themeColor="text1" w:themeTint="F2"/>
                                <w:szCs w:val="28"/>
                                <w:lang w:val="es-ES_tradnl"/>
                              </w:rPr>
                            </w:pPr>
                            <w:r w:rsidRPr="00F868FC">
                              <w:rPr>
                                <w:rFonts w:asciiTheme="majorHAnsi" w:hAnsiTheme="majorHAnsi" w:cs="Arial"/>
                                <w:caps/>
                                <w:color w:val="0D0D0D" w:themeColor="text1" w:themeTint="F2"/>
                                <w:szCs w:val="28"/>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868FC">
                        <w:rPr>
                          <w:rFonts w:asciiTheme="majorHAnsi" w:hAnsiTheme="majorHAnsi" w:cs="Arial"/>
                          <w:b/>
                          <w:bCs/>
                          <w:color w:val="0D0D0D" w:themeColor="text1" w:themeTint="F2"/>
                          <w:sz w:val="36"/>
                          <w:szCs w:val="40"/>
                        </w:rPr>
                        <w:t>25</w:t>
                      </w:r>
                      <w:r w:rsidRPr="004B7EB6">
                        <w:rPr>
                          <w:rFonts w:asciiTheme="majorHAnsi" w:hAnsiTheme="majorHAnsi" w:cs="Arial"/>
                          <w:b/>
                          <w:bCs/>
                          <w:color w:val="0D0D0D" w:themeColor="text1" w:themeTint="F2"/>
                          <w:sz w:val="36"/>
                          <w:szCs w:val="40"/>
                        </w:rPr>
                        <w:t>/14</w:t>
                      </w:r>
                    </w:p>
                    <w:p w:rsidR="00322450" w:rsidRPr="00F868FC" w:rsidRDefault="00322450" w:rsidP="004B7EB6">
                      <w:pPr>
                        <w:spacing w:line="276" w:lineRule="auto"/>
                        <w:rPr>
                          <w:rFonts w:asciiTheme="majorHAnsi" w:hAnsiTheme="majorHAnsi" w:cs="Arial"/>
                          <w:b/>
                          <w:bCs/>
                          <w:color w:val="0D0D0D" w:themeColor="text1" w:themeTint="F2"/>
                          <w:sz w:val="36"/>
                          <w:szCs w:val="40"/>
                          <w:lang w:val="es-ES"/>
                        </w:rPr>
                      </w:pPr>
                      <w:r w:rsidRPr="00F868FC">
                        <w:rPr>
                          <w:rFonts w:asciiTheme="majorHAnsi" w:hAnsiTheme="majorHAnsi" w:cs="Arial"/>
                          <w:b/>
                          <w:bCs/>
                          <w:color w:val="0D0D0D" w:themeColor="text1" w:themeTint="F2"/>
                          <w:sz w:val="36"/>
                          <w:szCs w:val="40"/>
                          <w:lang w:val="es-ES"/>
                        </w:rPr>
                        <w:t xml:space="preserve">CASE </w:t>
                      </w:r>
                      <w:r w:rsidR="00F868FC" w:rsidRPr="00F868FC">
                        <w:rPr>
                          <w:rFonts w:asciiTheme="majorHAnsi" w:hAnsiTheme="majorHAnsi" w:cs="Arial"/>
                          <w:b/>
                          <w:bCs/>
                          <w:color w:val="0D0D0D" w:themeColor="text1" w:themeTint="F2"/>
                          <w:sz w:val="36"/>
                          <w:szCs w:val="40"/>
                          <w:lang w:val="es-ES"/>
                        </w:rPr>
                        <w:t>12.016</w:t>
                      </w:r>
                    </w:p>
                    <w:p w:rsidR="00322450" w:rsidRPr="00F868FC" w:rsidRDefault="00322450" w:rsidP="004B7EB6">
                      <w:pPr>
                        <w:spacing w:line="276" w:lineRule="auto"/>
                        <w:rPr>
                          <w:rFonts w:asciiTheme="majorHAnsi" w:hAnsiTheme="majorHAnsi" w:cs="Arial"/>
                          <w:color w:val="0D0D0D" w:themeColor="text1" w:themeTint="F2"/>
                          <w:szCs w:val="28"/>
                          <w:lang w:val="es-ES"/>
                        </w:rPr>
                      </w:pPr>
                      <w:r w:rsidRPr="00F868FC">
                        <w:rPr>
                          <w:rFonts w:asciiTheme="majorHAnsi" w:hAnsiTheme="majorHAnsi" w:cs="Arial"/>
                          <w:color w:val="0D0D0D" w:themeColor="text1" w:themeTint="F2"/>
                          <w:szCs w:val="28"/>
                          <w:lang w:val="es-ES"/>
                        </w:rPr>
                        <w:t>ARCHIVE</w:t>
                      </w:r>
                    </w:p>
                    <w:p w:rsidR="00450A4A" w:rsidRPr="00F868FC" w:rsidRDefault="00450A4A" w:rsidP="004B7EB6">
                      <w:pPr>
                        <w:spacing w:line="276" w:lineRule="auto"/>
                        <w:rPr>
                          <w:rFonts w:asciiTheme="majorHAnsi" w:hAnsiTheme="majorHAnsi" w:cs="Arial"/>
                          <w:color w:val="0D0D0D" w:themeColor="text1" w:themeTint="F2"/>
                          <w:szCs w:val="28"/>
                          <w:lang w:val="es-ES"/>
                        </w:rPr>
                      </w:pPr>
                    </w:p>
                    <w:p w:rsidR="00322450" w:rsidRPr="00F868FC" w:rsidRDefault="00F868FC" w:rsidP="004B7EB6">
                      <w:pPr>
                        <w:spacing w:line="276" w:lineRule="auto"/>
                        <w:rPr>
                          <w:rFonts w:asciiTheme="majorHAnsi" w:hAnsiTheme="majorHAnsi" w:cs="Arial"/>
                          <w:caps/>
                          <w:color w:val="0D0D0D" w:themeColor="text1" w:themeTint="F2"/>
                          <w:szCs w:val="28"/>
                          <w:lang w:val="es-ES_tradnl"/>
                        </w:rPr>
                      </w:pPr>
                      <w:r w:rsidRPr="00F868FC">
                        <w:rPr>
                          <w:rFonts w:asciiTheme="majorHAnsi" w:hAnsiTheme="majorHAnsi" w:cs="Arial"/>
                          <w:caps/>
                          <w:szCs w:val="28"/>
                          <w:lang w:val="es-ES"/>
                        </w:rPr>
                        <w:t>César Eugenio Jaramillo Gutiérrez</w:t>
                      </w:r>
                    </w:p>
                    <w:p w:rsidR="005B52B0" w:rsidRPr="00F868FC" w:rsidRDefault="00F868FC" w:rsidP="004B7EB6">
                      <w:pPr>
                        <w:spacing w:line="276" w:lineRule="auto"/>
                        <w:rPr>
                          <w:rFonts w:asciiTheme="majorHAnsi" w:hAnsiTheme="majorHAnsi"/>
                          <w:caps/>
                          <w:color w:val="0D0D0D" w:themeColor="text1" w:themeTint="F2"/>
                          <w:szCs w:val="28"/>
                          <w:lang w:val="es-ES_tradnl"/>
                        </w:rPr>
                      </w:pPr>
                      <w:r w:rsidRPr="00F868FC">
                        <w:rPr>
                          <w:rFonts w:asciiTheme="majorHAnsi" w:hAnsiTheme="majorHAnsi" w:cs="Arial"/>
                          <w:caps/>
                          <w:color w:val="0D0D0D" w:themeColor="text1" w:themeTint="F2"/>
                          <w:szCs w:val="28"/>
                          <w:lang w:val="es-ES_tradnl"/>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868FC">
                              <w:rPr>
                                <w:rFonts w:asciiTheme="minorHAnsi" w:hAnsiTheme="minorHAnsi"/>
                                <w:color w:val="FFFFFF" w:themeColor="background1"/>
                                <w:sz w:val="22"/>
                                <w:lang w:val="pt-BR"/>
                              </w:rPr>
                              <w:t>29</w:t>
                            </w:r>
                          </w:p>
                          <w:p w:rsidR="00627C9F" w:rsidRPr="004B7EB6" w:rsidRDefault="00070F3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F868FC">
                              <w:rPr>
                                <w:rFonts w:asciiTheme="minorHAnsi" w:hAnsiTheme="minorHAnsi"/>
                                <w:color w:val="FFFFFF" w:themeColor="background1"/>
                                <w:sz w:val="22"/>
                              </w:rPr>
                              <w:t xml:space="preserve"> 4,</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868F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868FC">
                        <w:rPr>
                          <w:rFonts w:asciiTheme="minorHAnsi" w:hAnsiTheme="minorHAnsi"/>
                          <w:color w:val="FFFFFF" w:themeColor="background1"/>
                          <w:sz w:val="22"/>
                          <w:lang w:val="pt-BR"/>
                        </w:rPr>
                        <w:t>29</w:t>
                      </w:r>
                    </w:p>
                    <w:p w:rsidR="00627C9F" w:rsidRPr="004B7EB6" w:rsidRDefault="00070F3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F868FC">
                        <w:rPr>
                          <w:rFonts w:asciiTheme="minorHAnsi" w:hAnsiTheme="minorHAnsi"/>
                          <w:color w:val="FFFFFF" w:themeColor="background1"/>
                          <w:sz w:val="22"/>
                        </w:rPr>
                        <w:t xml:space="preserve"> 4,</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868FC">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F868FC">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F868FC">
                              <w:rPr>
                                <w:rFonts w:asciiTheme="majorHAnsi" w:hAnsiTheme="majorHAnsi"/>
                                <w:color w:val="0D0D0D" w:themeColor="text1" w:themeTint="F2"/>
                                <w:sz w:val="18"/>
                                <w:szCs w:val="20"/>
                              </w:rPr>
                              <w:t>1980</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F868FC">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r w:rsidR="00F868FC">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F868FC">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F868FC">
                        <w:rPr>
                          <w:rFonts w:asciiTheme="majorHAnsi" w:hAnsiTheme="majorHAnsi"/>
                          <w:color w:val="0D0D0D" w:themeColor="text1" w:themeTint="F2"/>
                          <w:sz w:val="18"/>
                          <w:szCs w:val="20"/>
                        </w:rPr>
                        <w:t>1980</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F868FC">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r w:rsidR="00F868FC">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F868FC"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868FC">
                              <w:rPr>
                                <w:rFonts w:asciiTheme="majorHAnsi" w:hAnsiTheme="majorHAnsi"/>
                                <w:color w:val="595959" w:themeColor="text1" w:themeTint="A6"/>
                                <w:sz w:val="18"/>
                              </w:rPr>
                              <w:t>25/14,</w:t>
                            </w:r>
                            <w:r w:rsidRPr="003C32BC">
                              <w:rPr>
                                <w:rFonts w:asciiTheme="majorHAnsi" w:hAnsiTheme="majorHAnsi"/>
                                <w:color w:val="595959" w:themeColor="text1" w:themeTint="A6"/>
                                <w:sz w:val="18"/>
                              </w:rPr>
                              <w:t xml:space="preserve"> Case </w:t>
                            </w:r>
                            <w:r w:rsidR="00F868FC">
                              <w:rPr>
                                <w:rFonts w:asciiTheme="majorHAnsi" w:hAnsiTheme="majorHAnsi"/>
                                <w:color w:val="595959" w:themeColor="text1" w:themeTint="A6"/>
                                <w:sz w:val="18"/>
                              </w:rPr>
                              <w:t xml:space="preserve">12.016, </w:t>
                            </w:r>
                            <w:r w:rsidRPr="003C32BC">
                              <w:rPr>
                                <w:rFonts w:asciiTheme="majorHAnsi" w:hAnsiTheme="majorHAnsi"/>
                                <w:color w:val="595959" w:themeColor="text1" w:themeTint="A6"/>
                                <w:sz w:val="18"/>
                              </w:rPr>
                              <w:t xml:space="preserve">Archive. </w:t>
                            </w:r>
                            <w:r w:rsidR="00F868FC" w:rsidRPr="00F868FC">
                              <w:rPr>
                                <w:rFonts w:asciiTheme="majorHAnsi" w:hAnsiTheme="majorHAnsi"/>
                                <w:color w:val="595959" w:themeColor="text1" w:themeTint="A6"/>
                                <w:sz w:val="18"/>
                                <w:lang w:val="es-ES"/>
                              </w:rPr>
                              <w:t>César Eugenio Jaramillo Gutiérrez</w:t>
                            </w:r>
                            <w:r w:rsidRPr="00F868FC">
                              <w:rPr>
                                <w:rFonts w:asciiTheme="majorHAnsi" w:hAnsiTheme="majorHAnsi"/>
                                <w:color w:val="595959" w:themeColor="text1" w:themeTint="A6"/>
                                <w:sz w:val="18"/>
                                <w:lang w:val="es-ES"/>
                              </w:rPr>
                              <w:t xml:space="preserve">. </w:t>
                            </w:r>
                            <w:r w:rsidR="00F868FC" w:rsidRPr="00F868FC">
                              <w:rPr>
                                <w:rFonts w:asciiTheme="majorHAnsi" w:hAnsiTheme="majorHAnsi"/>
                                <w:color w:val="595959" w:themeColor="text1" w:themeTint="A6"/>
                                <w:sz w:val="18"/>
                                <w:lang w:val="es-ES"/>
                              </w:rPr>
                              <w:t xml:space="preserve">Ecuador. </w:t>
                            </w:r>
                            <w:proofErr w:type="spellStart"/>
                            <w:r w:rsidR="00F868FC" w:rsidRPr="00F868FC">
                              <w:rPr>
                                <w:rFonts w:asciiTheme="majorHAnsi" w:hAnsiTheme="majorHAnsi"/>
                                <w:color w:val="595959" w:themeColor="text1" w:themeTint="A6"/>
                                <w:sz w:val="18"/>
                                <w:lang w:val="es-ES"/>
                              </w:rPr>
                              <w:t>April</w:t>
                            </w:r>
                            <w:proofErr w:type="spellEnd"/>
                            <w:r w:rsidR="00F868FC" w:rsidRPr="00F868FC">
                              <w:rPr>
                                <w:rFonts w:asciiTheme="majorHAnsi" w:hAnsiTheme="majorHAnsi"/>
                                <w:color w:val="595959" w:themeColor="text1" w:themeTint="A6"/>
                                <w:sz w:val="18"/>
                                <w:lang w:val="es-ES"/>
                              </w:rPr>
                              <w:t xml:space="preserve"> 4,2014</w:t>
                            </w:r>
                            <w:r w:rsidRPr="00F868FC">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F868FC"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868FC">
                        <w:rPr>
                          <w:rFonts w:asciiTheme="majorHAnsi" w:hAnsiTheme="majorHAnsi"/>
                          <w:color w:val="595959" w:themeColor="text1" w:themeTint="A6"/>
                          <w:sz w:val="18"/>
                        </w:rPr>
                        <w:t>25/14,</w:t>
                      </w:r>
                      <w:r w:rsidRPr="003C32BC">
                        <w:rPr>
                          <w:rFonts w:asciiTheme="majorHAnsi" w:hAnsiTheme="majorHAnsi"/>
                          <w:color w:val="595959" w:themeColor="text1" w:themeTint="A6"/>
                          <w:sz w:val="18"/>
                        </w:rPr>
                        <w:t xml:space="preserve"> Case </w:t>
                      </w:r>
                      <w:r w:rsidR="00F868FC">
                        <w:rPr>
                          <w:rFonts w:asciiTheme="majorHAnsi" w:hAnsiTheme="majorHAnsi"/>
                          <w:color w:val="595959" w:themeColor="text1" w:themeTint="A6"/>
                          <w:sz w:val="18"/>
                        </w:rPr>
                        <w:t xml:space="preserve">12.016, </w:t>
                      </w:r>
                      <w:r w:rsidRPr="003C32BC">
                        <w:rPr>
                          <w:rFonts w:asciiTheme="majorHAnsi" w:hAnsiTheme="majorHAnsi"/>
                          <w:color w:val="595959" w:themeColor="text1" w:themeTint="A6"/>
                          <w:sz w:val="18"/>
                        </w:rPr>
                        <w:t xml:space="preserve">Archive. </w:t>
                      </w:r>
                      <w:r w:rsidR="00F868FC" w:rsidRPr="00F868FC">
                        <w:rPr>
                          <w:rFonts w:asciiTheme="majorHAnsi" w:hAnsiTheme="majorHAnsi"/>
                          <w:color w:val="595959" w:themeColor="text1" w:themeTint="A6"/>
                          <w:sz w:val="18"/>
                          <w:lang w:val="es-ES"/>
                        </w:rPr>
                        <w:t>César Eugenio Jaramillo Gutiérrez</w:t>
                      </w:r>
                      <w:r w:rsidRPr="00F868FC">
                        <w:rPr>
                          <w:rFonts w:asciiTheme="majorHAnsi" w:hAnsiTheme="majorHAnsi"/>
                          <w:color w:val="595959" w:themeColor="text1" w:themeTint="A6"/>
                          <w:sz w:val="18"/>
                          <w:lang w:val="es-ES"/>
                        </w:rPr>
                        <w:t xml:space="preserve">. </w:t>
                      </w:r>
                      <w:r w:rsidR="00F868FC" w:rsidRPr="00F868FC">
                        <w:rPr>
                          <w:rFonts w:asciiTheme="majorHAnsi" w:hAnsiTheme="majorHAnsi"/>
                          <w:color w:val="595959" w:themeColor="text1" w:themeTint="A6"/>
                          <w:sz w:val="18"/>
                          <w:lang w:val="es-ES"/>
                        </w:rPr>
                        <w:t xml:space="preserve">Ecuador. </w:t>
                      </w:r>
                      <w:proofErr w:type="spellStart"/>
                      <w:r w:rsidR="00F868FC" w:rsidRPr="00F868FC">
                        <w:rPr>
                          <w:rFonts w:asciiTheme="majorHAnsi" w:hAnsiTheme="majorHAnsi"/>
                          <w:color w:val="595959" w:themeColor="text1" w:themeTint="A6"/>
                          <w:sz w:val="18"/>
                          <w:lang w:val="es-ES"/>
                        </w:rPr>
                        <w:t>April</w:t>
                      </w:r>
                      <w:proofErr w:type="spellEnd"/>
                      <w:r w:rsidR="00F868FC" w:rsidRPr="00F868FC">
                        <w:rPr>
                          <w:rFonts w:asciiTheme="majorHAnsi" w:hAnsiTheme="majorHAnsi"/>
                          <w:color w:val="595959" w:themeColor="text1" w:themeTint="A6"/>
                          <w:sz w:val="18"/>
                          <w:lang w:val="es-ES"/>
                        </w:rPr>
                        <w:t xml:space="preserve"> 4,2014</w:t>
                      </w:r>
                      <w:r w:rsidRPr="00F868FC">
                        <w:rPr>
                          <w:rFonts w:asciiTheme="majorHAnsi" w:hAnsiTheme="majorHAnsi"/>
                          <w:color w:val="595959" w:themeColor="text1" w:themeTint="A6"/>
                          <w:sz w:val="18"/>
                          <w:lang w:val="es-ES"/>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lastRenderedPageBreak/>
        <w:t xml:space="preserve">REPORT No. </w:t>
      </w:r>
      <w:r w:rsidR="0081771B">
        <w:rPr>
          <w:rFonts w:asciiTheme="majorHAnsi" w:hAnsiTheme="majorHAnsi"/>
          <w:b/>
          <w:sz w:val="18"/>
          <w:szCs w:val="18"/>
        </w:rPr>
        <w:t>25</w:t>
      </w:r>
      <w:r w:rsidRPr="00FC3EB4">
        <w:rPr>
          <w:rFonts w:asciiTheme="majorHAnsi" w:hAnsiTheme="majorHAnsi"/>
          <w:b/>
          <w:sz w:val="18"/>
          <w:szCs w:val="18"/>
        </w:rPr>
        <w:t>/14</w:t>
      </w: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CASE </w:t>
      </w:r>
      <w:r w:rsidR="0081771B">
        <w:rPr>
          <w:rFonts w:asciiTheme="majorHAnsi" w:hAnsiTheme="majorHAnsi"/>
          <w:b/>
          <w:sz w:val="18"/>
          <w:szCs w:val="18"/>
        </w:rPr>
        <w:t>12.016</w:t>
      </w:r>
    </w:p>
    <w:p w:rsidR="007A2F70" w:rsidRPr="00FC3EB4" w:rsidRDefault="007A2F70" w:rsidP="00145EDC">
      <w:pPr>
        <w:tabs>
          <w:tab w:val="center" w:pos="5400"/>
        </w:tabs>
        <w:suppressAutoHyphens/>
        <w:spacing w:line="276" w:lineRule="auto"/>
        <w:jc w:val="center"/>
        <w:rPr>
          <w:rFonts w:asciiTheme="majorHAnsi" w:hAnsiTheme="majorHAnsi"/>
          <w:sz w:val="18"/>
          <w:szCs w:val="18"/>
        </w:rPr>
      </w:pPr>
      <w:r w:rsidRPr="00FC3EB4">
        <w:rPr>
          <w:rFonts w:asciiTheme="majorHAnsi" w:hAnsiTheme="majorHAnsi"/>
          <w:sz w:val="18"/>
          <w:szCs w:val="18"/>
        </w:rPr>
        <w:t>ARCHIVE</w:t>
      </w:r>
    </w:p>
    <w:p w:rsidR="0081771B" w:rsidRPr="0081771B" w:rsidRDefault="0081771B" w:rsidP="0081771B">
      <w:pPr>
        <w:tabs>
          <w:tab w:val="center" w:pos="5400"/>
        </w:tabs>
        <w:suppressAutoHyphens/>
        <w:spacing w:line="276" w:lineRule="auto"/>
        <w:jc w:val="center"/>
        <w:rPr>
          <w:rFonts w:asciiTheme="majorHAnsi" w:hAnsiTheme="majorHAnsi"/>
          <w:sz w:val="18"/>
          <w:szCs w:val="18"/>
        </w:rPr>
      </w:pPr>
      <w:r w:rsidRPr="0081771B">
        <w:rPr>
          <w:rFonts w:asciiTheme="majorHAnsi" w:hAnsiTheme="majorHAnsi"/>
          <w:sz w:val="18"/>
          <w:szCs w:val="18"/>
        </w:rPr>
        <w:t>CÉSAR EUGENIO JARAMILLO GUTIÉRREZ</w:t>
      </w:r>
    </w:p>
    <w:p w:rsidR="007A2F70" w:rsidRPr="00FC3EB4" w:rsidRDefault="0081771B" w:rsidP="0081771B">
      <w:pPr>
        <w:tabs>
          <w:tab w:val="center" w:pos="5400"/>
        </w:tabs>
        <w:suppressAutoHyphens/>
        <w:spacing w:line="276" w:lineRule="auto"/>
        <w:jc w:val="center"/>
        <w:rPr>
          <w:rFonts w:asciiTheme="majorHAnsi" w:hAnsiTheme="majorHAnsi"/>
          <w:sz w:val="18"/>
          <w:szCs w:val="18"/>
        </w:rPr>
      </w:pPr>
      <w:r w:rsidRPr="0081771B">
        <w:rPr>
          <w:rFonts w:asciiTheme="majorHAnsi" w:hAnsiTheme="majorHAnsi"/>
          <w:sz w:val="18"/>
          <w:szCs w:val="18"/>
        </w:rPr>
        <w:t>ECUADOR</w:t>
      </w:r>
      <w:r w:rsidR="003414AC">
        <w:rPr>
          <w:rFonts w:asciiTheme="majorHAnsi" w:hAnsiTheme="majorHAnsi"/>
          <w:sz w:val="18"/>
          <w:szCs w:val="18"/>
        </w:rPr>
        <w:br/>
      </w:r>
      <w:r w:rsidRPr="0081771B">
        <w:rPr>
          <w:rFonts w:asciiTheme="majorHAnsi" w:hAnsiTheme="majorHAnsi"/>
          <w:caps/>
          <w:sz w:val="18"/>
          <w:szCs w:val="18"/>
        </w:rPr>
        <w:t>April 4, 2014</w:t>
      </w:r>
    </w:p>
    <w:p w:rsidR="0081771B" w:rsidRDefault="0081771B" w:rsidP="0081771B">
      <w:pPr>
        <w:tabs>
          <w:tab w:val="left" w:pos="3420"/>
          <w:tab w:val="left" w:pos="3600"/>
        </w:tabs>
        <w:jc w:val="both"/>
        <w:rPr>
          <w:rFonts w:asciiTheme="majorHAnsi" w:hAnsiTheme="majorHAnsi" w:cs="Arial"/>
          <w:b/>
          <w:bCs/>
          <w:sz w:val="22"/>
          <w:szCs w:val="22"/>
        </w:rPr>
      </w:pPr>
    </w:p>
    <w:p w:rsidR="0081771B" w:rsidRDefault="0081771B" w:rsidP="0081771B">
      <w:pPr>
        <w:tabs>
          <w:tab w:val="left" w:pos="3420"/>
          <w:tab w:val="left" w:pos="3600"/>
        </w:tabs>
        <w:jc w:val="both"/>
        <w:rPr>
          <w:rFonts w:asciiTheme="majorHAnsi" w:hAnsiTheme="majorHAnsi" w:cs="Arial"/>
          <w:b/>
          <w:bCs/>
          <w:sz w:val="22"/>
          <w:szCs w:val="22"/>
        </w:rPr>
      </w:pPr>
    </w:p>
    <w:p w:rsidR="0081771B" w:rsidRDefault="0081771B" w:rsidP="0081771B">
      <w:pPr>
        <w:tabs>
          <w:tab w:val="left" w:pos="3420"/>
          <w:tab w:val="left" w:pos="3600"/>
        </w:tabs>
        <w:jc w:val="both"/>
        <w:rPr>
          <w:rFonts w:asciiTheme="majorHAnsi" w:hAnsiTheme="majorHAnsi" w:cs="Arial"/>
          <w:b/>
          <w:bCs/>
          <w:sz w:val="22"/>
          <w:szCs w:val="22"/>
        </w:rPr>
      </w:pPr>
    </w:p>
    <w:p w:rsidR="0081771B" w:rsidRPr="0081771B" w:rsidRDefault="0081771B" w:rsidP="0081771B">
      <w:pPr>
        <w:tabs>
          <w:tab w:val="left" w:pos="3420"/>
          <w:tab w:val="left" w:pos="3600"/>
        </w:tabs>
        <w:jc w:val="both"/>
        <w:rPr>
          <w:rFonts w:asciiTheme="majorHAnsi" w:hAnsiTheme="majorHAnsi" w:cs="Arial"/>
          <w:sz w:val="22"/>
          <w:szCs w:val="22"/>
          <w:lang w:val="es-ES"/>
        </w:rPr>
      </w:pPr>
      <w:r w:rsidRPr="0081771B">
        <w:rPr>
          <w:rFonts w:asciiTheme="majorHAnsi" w:hAnsiTheme="majorHAnsi" w:cs="Arial"/>
          <w:b/>
          <w:bCs/>
          <w:sz w:val="22"/>
          <w:szCs w:val="22"/>
          <w:lang w:val="es-ES"/>
        </w:rPr>
        <w:t>ALLEGED VICTIM:</w:t>
      </w:r>
      <w:r w:rsidRPr="0081771B">
        <w:rPr>
          <w:rFonts w:asciiTheme="majorHAnsi" w:hAnsiTheme="majorHAnsi" w:cs="Arial"/>
          <w:b/>
          <w:bCs/>
          <w:sz w:val="22"/>
          <w:szCs w:val="22"/>
          <w:lang w:val="es-ES"/>
        </w:rPr>
        <w:tab/>
      </w:r>
      <w:r w:rsidRPr="0081771B">
        <w:rPr>
          <w:rFonts w:asciiTheme="majorHAnsi" w:hAnsiTheme="majorHAnsi" w:cs="Arial"/>
          <w:sz w:val="22"/>
          <w:szCs w:val="22"/>
          <w:lang w:val="es-ES"/>
        </w:rPr>
        <w:t xml:space="preserve">César Eugenio Jaramillo Gutiérrez </w:t>
      </w:r>
    </w:p>
    <w:p w:rsidR="0081771B" w:rsidRPr="0081771B" w:rsidRDefault="0081771B" w:rsidP="0081771B">
      <w:pPr>
        <w:jc w:val="both"/>
        <w:rPr>
          <w:rFonts w:asciiTheme="majorHAnsi" w:hAnsiTheme="majorHAnsi" w:cs="Arial"/>
          <w:sz w:val="22"/>
          <w:szCs w:val="22"/>
          <w:lang w:val="es-ES"/>
        </w:rPr>
      </w:pPr>
    </w:p>
    <w:p w:rsidR="0081771B" w:rsidRPr="0081771B" w:rsidRDefault="0081771B" w:rsidP="0081771B">
      <w:pPr>
        <w:ind w:left="3420" w:hanging="3420"/>
        <w:jc w:val="both"/>
        <w:rPr>
          <w:rFonts w:asciiTheme="majorHAnsi" w:hAnsiTheme="majorHAnsi" w:cs="Arial"/>
          <w:sz w:val="22"/>
          <w:szCs w:val="22"/>
        </w:rPr>
      </w:pPr>
      <w:r w:rsidRPr="0081771B">
        <w:rPr>
          <w:rFonts w:asciiTheme="majorHAnsi" w:hAnsiTheme="majorHAnsi" w:cs="Arial"/>
          <w:b/>
          <w:bCs/>
          <w:sz w:val="22"/>
          <w:szCs w:val="22"/>
        </w:rPr>
        <w:t>PETITIONERS:</w:t>
      </w:r>
      <w:r w:rsidRPr="0081771B">
        <w:rPr>
          <w:rFonts w:asciiTheme="majorHAnsi" w:hAnsiTheme="majorHAnsi" w:cs="Arial"/>
          <w:b/>
          <w:bCs/>
          <w:sz w:val="22"/>
          <w:szCs w:val="22"/>
        </w:rPr>
        <w:tab/>
      </w:r>
      <w:r w:rsidRPr="0081771B">
        <w:rPr>
          <w:rFonts w:asciiTheme="majorHAnsi" w:hAnsiTheme="majorHAnsi" w:cs="Arial"/>
          <w:sz w:val="22"/>
          <w:szCs w:val="22"/>
        </w:rPr>
        <w:t xml:space="preserve">César Eugenio Jaramillo Gutiérrez and </w:t>
      </w:r>
      <w:r w:rsidRPr="0081771B">
        <w:rPr>
          <w:rFonts w:asciiTheme="majorHAnsi" w:hAnsiTheme="majorHAnsi" w:cs="Arial"/>
          <w:bCs/>
          <w:sz w:val="22"/>
          <w:szCs w:val="22"/>
        </w:rPr>
        <w:t xml:space="preserve">José Leonardo </w:t>
      </w:r>
      <w:proofErr w:type="spellStart"/>
      <w:r w:rsidRPr="0081771B">
        <w:rPr>
          <w:rFonts w:asciiTheme="majorHAnsi" w:hAnsiTheme="majorHAnsi" w:cs="Arial"/>
          <w:bCs/>
          <w:sz w:val="22"/>
          <w:szCs w:val="22"/>
        </w:rPr>
        <w:t>Obando</w:t>
      </w:r>
      <w:proofErr w:type="spellEnd"/>
      <w:r w:rsidRPr="0081771B">
        <w:rPr>
          <w:rFonts w:asciiTheme="majorHAnsi" w:hAnsiTheme="majorHAnsi" w:cs="Arial"/>
          <w:bCs/>
          <w:sz w:val="22"/>
          <w:szCs w:val="22"/>
        </w:rPr>
        <w:t xml:space="preserve"> </w:t>
      </w:r>
      <w:proofErr w:type="spellStart"/>
      <w:r w:rsidRPr="0081771B">
        <w:rPr>
          <w:rFonts w:asciiTheme="majorHAnsi" w:hAnsiTheme="majorHAnsi" w:cs="Arial"/>
          <w:bCs/>
          <w:sz w:val="22"/>
          <w:szCs w:val="22"/>
        </w:rPr>
        <w:t>Laaz</w:t>
      </w:r>
      <w:proofErr w:type="spellEnd"/>
    </w:p>
    <w:p w:rsidR="0081771B" w:rsidRPr="0081771B" w:rsidRDefault="0081771B" w:rsidP="0081771B">
      <w:pPr>
        <w:ind w:left="3420" w:hanging="3420"/>
        <w:jc w:val="both"/>
        <w:rPr>
          <w:rFonts w:asciiTheme="majorHAnsi" w:hAnsiTheme="majorHAnsi" w:cs="Arial"/>
          <w:sz w:val="22"/>
          <w:szCs w:val="22"/>
        </w:rPr>
      </w:pPr>
    </w:p>
    <w:p w:rsidR="0081771B" w:rsidRPr="0081771B" w:rsidRDefault="0081771B" w:rsidP="0081771B">
      <w:pPr>
        <w:tabs>
          <w:tab w:val="left" w:pos="3420"/>
        </w:tabs>
        <w:ind w:left="3420" w:hanging="3420"/>
        <w:jc w:val="both"/>
        <w:rPr>
          <w:rFonts w:asciiTheme="majorHAnsi" w:hAnsiTheme="majorHAnsi" w:cs="Arial"/>
          <w:sz w:val="22"/>
          <w:szCs w:val="22"/>
        </w:rPr>
      </w:pPr>
      <w:r w:rsidRPr="0081771B">
        <w:rPr>
          <w:rFonts w:asciiTheme="majorHAnsi" w:hAnsiTheme="majorHAnsi" w:cs="Arial"/>
          <w:b/>
          <w:bCs/>
          <w:sz w:val="22"/>
          <w:szCs w:val="22"/>
        </w:rPr>
        <w:t>ALLEGED VIOLATIONS:</w:t>
      </w:r>
      <w:r w:rsidRPr="0081771B">
        <w:rPr>
          <w:rFonts w:asciiTheme="majorHAnsi" w:hAnsiTheme="majorHAnsi" w:cs="Arial"/>
          <w:b/>
          <w:bCs/>
          <w:sz w:val="22"/>
          <w:szCs w:val="22"/>
        </w:rPr>
        <w:tab/>
      </w:r>
      <w:r w:rsidRPr="0081771B">
        <w:rPr>
          <w:rFonts w:asciiTheme="majorHAnsi" w:hAnsiTheme="majorHAnsi" w:cs="Arial"/>
          <w:sz w:val="22"/>
          <w:szCs w:val="22"/>
        </w:rPr>
        <w:t>Articles 2, 7, 8 and 25 of the American Convention on Human Rights</w:t>
      </w:r>
    </w:p>
    <w:p w:rsidR="0081771B" w:rsidRPr="0081771B" w:rsidRDefault="0081771B" w:rsidP="0081771B">
      <w:pPr>
        <w:tabs>
          <w:tab w:val="left" w:pos="3420"/>
        </w:tabs>
        <w:ind w:left="3420" w:hanging="3420"/>
        <w:jc w:val="both"/>
        <w:rPr>
          <w:rFonts w:asciiTheme="majorHAnsi" w:hAnsiTheme="majorHAnsi" w:cs="Arial"/>
          <w:sz w:val="22"/>
          <w:szCs w:val="22"/>
        </w:rPr>
      </w:pPr>
    </w:p>
    <w:p w:rsidR="0081771B" w:rsidRPr="0081771B" w:rsidRDefault="0081771B" w:rsidP="0081771B">
      <w:pPr>
        <w:ind w:left="3420" w:hanging="3420"/>
        <w:jc w:val="both"/>
        <w:rPr>
          <w:rFonts w:asciiTheme="majorHAnsi" w:hAnsiTheme="majorHAnsi" w:cs="Arial"/>
          <w:sz w:val="22"/>
          <w:szCs w:val="22"/>
        </w:rPr>
      </w:pPr>
      <w:r w:rsidRPr="0081771B">
        <w:rPr>
          <w:rFonts w:asciiTheme="majorHAnsi" w:hAnsiTheme="majorHAnsi" w:cs="Arial"/>
          <w:b/>
          <w:bCs/>
          <w:sz w:val="22"/>
          <w:szCs w:val="22"/>
        </w:rPr>
        <w:t>DATE PETITION FILED:</w:t>
      </w:r>
      <w:r w:rsidRPr="0081771B">
        <w:rPr>
          <w:rFonts w:asciiTheme="majorHAnsi" w:hAnsiTheme="majorHAnsi" w:cs="Arial"/>
          <w:b/>
          <w:bCs/>
          <w:sz w:val="22"/>
          <w:szCs w:val="22"/>
        </w:rPr>
        <w:tab/>
      </w:r>
      <w:r w:rsidRPr="0081771B">
        <w:rPr>
          <w:rFonts w:asciiTheme="majorHAnsi" w:hAnsiTheme="majorHAnsi" w:cs="Arial"/>
          <w:bCs/>
          <w:sz w:val="22"/>
          <w:szCs w:val="22"/>
        </w:rPr>
        <w:t>May 12,</w:t>
      </w:r>
      <w:r w:rsidRPr="0081771B">
        <w:rPr>
          <w:rFonts w:asciiTheme="majorHAnsi" w:hAnsiTheme="majorHAnsi" w:cs="Arial"/>
          <w:sz w:val="22"/>
          <w:szCs w:val="22"/>
        </w:rPr>
        <w:t xml:space="preserve"> 1998</w:t>
      </w:r>
    </w:p>
    <w:p w:rsidR="0081771B" w:rsidRPr="0081771B" w:rsidRDefault="0081771B" w:rsidP="0081771B">
      <w:pPr>
        <w:jc w:val="both"/>
        <w:rPr>
          <w:rFonts w:asciiTheme="majorHAnsi" w:hAnsiTheme="majorHAnsi" w:cs="Arial"/>
          <w:sz w:val="22"/>
          <w:szCs w:val="22"/>
        </w:rPr>
      </w:pPr>
      <w:bookmarkStart w:id="0" w:name="_GoBack"/>
      <w:bookmarkEnd w:id="0"/>
    </w:p>
    <w:p w:rsidR="0081771B" w:rsidRPr="0081771B" w:rsidRDefault="0081771B" w:rsidP="0081771B">
      <w:pPr>
        <w:pStyle w:val="Heading2"/>
        <w:tabs>
          <w:tab w:val="left" w:pos="720"/>
        </w:tabs>
        <w:spacing w:before="0"/>
        <w:ind w:left="720"/>
        <w:rPr>
          <w:sz w:val="22"/>
          <w:szCs w:val="22"/>
        </w:rPr>
      </w:pPr>
      <w:r w:rsidRPr="0081771B">
        <w:rPr>
          <w:sz w:val="22"/>
          <w:szCs w:val="22"/>
        </w:rPr>
        <w:t>I.</w:t>
      </w:r>
      <w:r w:rsidRPr="0081771B">
        <w:rPr>
          <w:sz w:val="22"/>
          <w:szCs w:val="22"/>
        </w:rPr>
        <w:tab/>
        <w:t>POSITION OF THE PETITIONERS</w:t>
      </w:r>
    </w:p>
    <w:p w:rsidR="0081771B" w:rsidRPr="0081771B" w:rsidRDefault="0081771B" w:rsidP="0081771B">
      <w:pPr>
        <w:rPr>
          <w:rFonts w:asciiTheme="majorHAnsi" w:hAnsiTheme="majorHAnsi"/>
          <w:sz w:val="22"/>
          <w:szCs w:val="22"/>
        </w:rPr>
      </w:pPr>
      <w:r w:rsidRPr="0081771B">
        <w:rPr>
          <w:rFonts w:asciiTheme="majorHAnsi" w:hAnsiTheme="majorHAnsi"/>
          <w:sz w:val="22"/>
          <w:szCs w:val="22"/>
        </w:rPr>
        <w:t xml:space="preserve">  </w:t>
      </w:r>
    </w:p>
    <w:p w:rsidR="0081771B" w:rsidRPr="0081771B" w:rsidRDefault="0081771B" w:rsidP="0081771B">
      <w:pPr>
        <w:pStyle w:val="EndnoteText"/>
        <w:numPr>
          <w:ilvl w:val="0"/>
          <w:numId w:val="105"/>
        </w:numPr>
        <w:tabs>
          <w:tab w:val="clear" w:pos="1410"/>
          <w:tab w:val="left" w:pos="0"/>
        </w:tabs>
        <w:spacing w:before="0" w:beforeAutospacing="0" w:after="0" w:afterAutospacing="0"/>
        <w:ind w:left="0" w:firstLine="705"/>
        <w:jc w:val="both"/>
        <w:rPr>
          <w:rFonts w:asciiTheme="majorHAnsi" w:hAnsiTheme="majorHAnsi"/>
          <w:sz w:val="22"/>
          <w:szCs w:val="22"/>
          <w:lang w:val="en-US"/>
        </w:rPr>
      </w:pPr>
      <w:r w:rsidRPr="0081771B">
        <w:rPr>
          <w:rFonts w:asciiTheme="majorHAnsi" w:hAnsiTheme="majorHAnsi"/>
          <w:sz w:val="22"/>
          <w:szCs w:val="22"/>
          <w:lang w:val="en-US"/>
        </w:rPr>
        <w:t xml:space="preserve">On May 12, 1998, the Inter-American Commission on Human Rights (hereinafter “the Commission” or “the IACHR”) received a complaint filed by </w:t>
      </w:r>
      <w:r w:rsidRPr="0081771B">
        <w:rPr>
          <w:rFonts w:asciiTheme="majorHAnsi" w:hAnsiTheme="majorHAnsi" w:cs="Arial"/>
          <w:sz w:val="22"/>
          <w:szCs w:val="22"/>
          <w:lang w:val="en-US"/>
        </w:rPr>
        <w:t xml:space="preserve">César Eugenio Jaramillo Gutiérrez and </w:t>
      </w:r>
      <w:r w:rsidRPr="0081771B">
        <w:rPr>
          <w:rFonts w:asciiTheme="majorHAnsi" w:hAnsiTheme="majorHAnsi" w:cs="Arial"/>
          <w:bCs/>
          <w:sz w:val="22"/>
          <w:szCs w:val="22"/>
          <w:lang w:val="en-US"/>
        </w:rPr>
        <w:t xml:space="preserve">José Leonardo </w:t>
      </w:r>
      <w:proofErr w:type="spellStart"/>
      <w:r w:rsidRPr="0081771B">
        <w:rPr>
          <w:rFonts w:asciiTheme="majorHAnsi" w:hAnsiTheme="majorHAnsi" w:cs="Arial"/>
          <w:bCs/>
          <w:sz w:val="22"/>
          <w:szCs w:val="22"/>
          <w:lang w:val="en-US"/>
        </w:rPr>
        <w:t>Obando</w:t>
      </w:r>
      <w:proofErr w:type="spellEnd"/>
      <w:r w:rsidRPr="0081771B">
        <w:rPr>
          <w:rFonts w:asciiTheme="majorHAnsi" w:hAnsiTheme="majorHAnsi" w:cs="Arial"/>
          <w:bCs/>
          <w:sz w:val="22"/>
          <w:szCs w:val="22"/>
          <w:lang w:val="en-US"/>
        </w:rPr>
        <w:t xml:space="preserve"> </w:t>
      </w:r>
      <w:proofErr w:type="spellStart"/>
      <w:r w:rsidRPr="0081771B">
        <w:rPr>
          <w:rFonts w:asciiTheme="majorHAnsi" w:hAnsiTheme="majorHAnsi" w:cs="Arial"/>
          <w:bCs/>
          <w:sz w:val="22"/>
          <w:szCs w:val="22"/>
          <w:lang w:val="en-US"/>
        </w:rPr>
        <w:t>Laaz</w:t>
      </w:r>
      <w:proofErr w:type="spellEnd"/>
      <w:r w:rsidRPr="0081771B">
        <w:rPr>
          <w:rFonts w:asciiTheme="majorHAnsi" w:hAnsiTheme="majorHAnsi"/>
          <w:sz w:val="22"/>
          <w:szCs w:val="22"/>
          <w:lang w:val="en-US"/>
        </w:rPr>
        <w:t xml:space="preserve"> (hereinafter “the petitioners”) for </w:t>
      </w:r>
      <w:r w:rsidRPr="0081771B">
        <w:rPr>
          <w:rFonts w:asciiTheme="majorHAnsi" w:hAnsiTheme="majorHAnsi" w:cs="Arial"/>
          <w:sz w:val="22"/>
          <w:szCs w:val="22"/>
          <w:lang w:val="en-US"/>
        </w:rPr>
        <w:t>César Eugenio Jaramillo Gutiérrez</w:t>
      </w:r>
      <w:r w:rsidRPr="0081771B">
        <w:rPr>
          <w:rFonts w:asciiTheme="majorHAnsi" w:hAnsiTheme="majorHAnsi"/>
          <w:sz w:val="22"/>
          <w:szCs w:val="22"/>
          <w:lang w:val="en-US"/>
        </w:rPr>
        <w:t xml:space="preserve"> (hereinafter “the alleged victim”) alleging that the Republic of Ecuador (hereinafter “the State” or “Ecuador”) had incurred in international responsibility regarding criminal proceedings filed against it.</w:t>
      </w:r>
    </w:p>
    <w:p w:rsidR="0081771B" w:rsidRPr="0081771B" w:rsidRDefault="0081771B" w:rsidP="0081771B">
      <w:pPr>
        <w:pStyle w:val="EndnoteText"/>
        <w:tabs>
          <w:tab w:val="left" w:pos="0"/>
        </w:tabs>
        <w:spacing w:before="0" w:beforeAutospacing="0" w:after="0" w:afterAutospacing="0"/>
        <w:jc w:val="both"/>
        <w:rPr>
          <w:rFonts w:asciiTheme="majorHAnsi" w:hAnsiTheme="majorHAnsi"/>
          <w:sz w:val="22"/>
          <w:szCs w:val="22"/>
          <w:highlight w:val="yellow"/>
          <w:lang w:val="en-US"/>
        </w:rPr>
      </w:pPr>
    </w:p>
    <w:p w:rsidR="0081771B" w:rsidRPr="0081771B" w:rsidRDefault="0081771B" w:rsidP="0081771B">
      <w:pPr>
        <w:pStyle w:val="EndnoteText"/>
        <w:numPr>
          <w:ilvl w:val="0"/>
          <w:numId w:val="105"/>
        </w:numPr>
        <w:tabs>
          <w:tab w:val="clear" w:pos="1410"/>
          <w:tab w:val="num" w:pos="0"/>
        </w:tabs>
        <w:spacing w:before="0" w:beforeAutospacing="0" w:after="0" w:afterAutospacing="0"/>
        <w:ind w:left="0" w:firstLine="705"/>
        <w:jc w:val="both"/>
        <w:rPr>
          <w:rFonts w:asciiTheme="majorHAnsi" w:hAnsiTheme="majorHAnsi"/>
          <w:sz w:val="22"/>
          <w:szCs w:val="22"/>
          <w:lang w:val="en-US"/>
        </w:rPr>
      </w:pPr>
      <w:r w:rsidRPr="0081771B">
        <w:rPr>
          <w:rFonts w:asciiTheme="majorHAnsi" w:hAnsiTheme="majorHAnsi"/>
          <w:sz w:val="22"/>
          <w:szCs w:val="22"/>
          <w:lang w:val="en-US"/>
        </w:rPr>
        <w:t>According to the petitioners, on April 22, 1996, César Eugenio Jaramillo Gutiérrez, a Colombian national, had been illegally detained when armed Ecuadorian policemen searched his home without an arrest or search warrant.  Afterwards, he was not allowed to see an attorney or his next of kin, he remained five days locked in a small room where he had been subject to psychological torture and physical restraints and his statement was taken outside due process of law without the presence of his attorney.</w:t>
      </w:r>
    </w:p>
    <w:p w:rsidR="0081771B" w:rsidRPr="0081771B" w:rsidRDefault="0081771B" w:rsidP="0081771B">
      <w:pPr>
        <w:pStyle w:val="EndnoteText"/>
        <w:spacing w:before="0" w:beforeAutospacing="0" w:after="0" w:afterAutospacing="0"/>
        <w:jc w:val="both"/>
        <w:rPr>
          <w:rFonts w:asciiTheme="majorHAnsi" w:hAnsiTheme="majorHAnsi"/>
          <w:sz w:val="22"/>
          <w:szCs w:val="22"/>
          <w:highlight w:val="yellow"/>
          <w:lang w:val="en-US"/>
        </w:rPr>
      </w:pPr>
    </w:p>
    <w:p w:rsidR="0081771B" w:rsidRPr="0081771B" w:rsidRDefault="0081771B" w:rsidP="0081771B">
      <w:pPr>
        <w:pStyle w:val="EndnoteText"/>
        <w:numPr>
          <w:ilvl w:val="0"/>
          <w:numId w:val="105"/>
        </w:numPr>
        <w:tabs>
          <w:tab w:val="clear" w:pos="1410"/>
          <w:tab w:val="num" w:pos="0"/>
        </w:tabs>
        <w:spacing w:before="0" w:beforeAutospacing="0" w:after="0" w:afterAutospacing="0"/>
        <w:ind w:left="0" w:firstLine="705"/>
        <w:jc w:val="both"/>
        <w:rPr>
          <w:rFonts w:asciiTheme="majorHAnsi" w:hAnsiTheme="majorHAnsi"/>
          <w:sz w:val="22"/>
          <w:szCs w:val="22"/>
          <w:lang w:val="en-US"/>
        </w:rPr>
      </w:pPr>
      <w:r w:rsidRPr="0081771B">
        <w:rPr>
          <w:rFonts w:asciiTheme="majorHAnsi" w:hAnsiTheme="majorHAnsi"/>
          <w:sz w:val="22"/>
          <w:szCs w:val="22"/>
          <w:lang w:val="en-US"/>
        </w:rPr>
        <w:t xml:space="preserve">They alleged that, although there was no evidence substantiating his criminal responsibility, his preventive detention had been ordered and afterwards charges brought in accordance with an article of the Law on Narcotic and Psychotropic Substances that had been declared unconstitutional.  They added that the alleged victim had been discriminated against because of his nationality and convicted to eight years imprisonment.  Once he was released, the alleged victim wanted to file a complaint against the responsible authorities, which had been impossible because of </w:t>
      </w:r>
      <w:smartTag w:uri="urn:schemas-microsoft-com:office:smarttags" w:element="country-region">
        <w:smartTag w:uri="urn:schemas-microsoft-com:office:smarttags" w:element="place">
          <w:r w:rsidRPr="0081771B">
            <w:rPr>
              <w:rFonts w:asciiTheme="majorHAnsi" w:hAnsiTheme="majorHAnsi"/>
              <w:sz w:val="22"/>
              <w:szCs w:val="22"/>
              <w:lang w:val="en-US"/>
            </w:rPr>
            <w:t>Ecuador</w:t>
          </w:r>
        </w:smartTag>
      </w:smartTag>
      <w:r w:rsidRPr="0081771B">
        <w:rPr>
          <w:rFonts w:asciiTheme="majorHAnsi" w:hAnsiTheme="majorHAnsi"/>
          <w:sz w:val="22"/>
          <w:szCs w:val="22"/>
          <w:lang w:val="en-US"/>
        </w:rPr>
        <w:t xml:space="preserve">’s migratory laws, which required him to leave the country. </w:t>
      </w:r>
    </w:p>
    <w:p w:rsidR="0081771B" w:rsidRPr="0081771B" w:rsidRDefault="0081771B" w:rsidP="0081771B">
      <w:pPr>
        <w:pStyle w:val="EndnoteText"/>
        <w:spacing w:before="0" w:beforeAutospacing="0" w:after="0" w:afterAutospacing="0"/>
        <w:jc w:val="both"/>
        <w:rPr>
          <w:rFonts w:asciiTheme="majorHAnsi" w:hAnsiTheme="majorHAnsi"/>
          <w:sz w:val="22"/>
          <w:szCs w:val="22"/>
          <w:highlight w:val="yellow"/>
          <w:lang w:val="en-US"/>
        </w:rPr>
      </w:pPr>
    </w:p>
    <w:p w:rsidR="0081771B" w:rsidRPr="0081771B" w:rsidRDefault="0081771B" w:rsidP="0081771B">
      <w:pPr>
        <w:pStyle w:val="Heading2"/>
        <w:tabs>
          <w:tab w:val="left" w:pos="720"/>
        </w:tabs>
        <w:spacing w:before="0"/>
        <w:ind w:left="720"/>
        <w:rPr>
          <w:sz w:val="22"/>
          <w:szCs w:val="22"/>
        </w:rPr>
      </w:pPr>
      <w:r w:rsidRPr="0081771B">
        <w:rPr>
          <w:sz w:val="22"/>
          <w:szCs w:val="22"/>
        </w:rPr>
        <w:t>II.</w:t>
      </w:r>
      <w:r w:rsidRPr="0081771B">
        <w:rPr>
          <w:sz w:val="22"/>
          <w:szCs w:val="22"/>
        </w:rPr>
        <w:tab/>
        <w:t>POSITION OF THE STATE</w:t>
      </w:r>
    </w:p>
    <w:p w:rsidR="0081771B" w:rsidRPr="0081771B" w:rsidRDefault="0081771B" w:rsidP="0081771B">
      <w:pPr>
        <w:pStyle w:val="BodyTextIndent3"/>
        <w:spacing w:after="0"/>
        <w:rPr>
          <w:rFonts w:asciiTheme="majorHAnsi" w:hAnsiTheme="majorHAnsi"/>
          <w:sz w:val="22"/>
          <w:szCs w:val="22"/>
        </w:rPr>
      </w:pPr>
    </w:p>
    <w:p w:rsidR="0081771B" w:rsidRPr="0081771B" w:rsidRDefault="0081771B" w:rsidP="0081771B">
      <w:pPr>
        <w:pStyle w:val="BodyTextIndent3"/>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spacing w:after="0"/>
        <w:ind w:left="0" w:firstLine="705"/>
        <w:jc w:val="both"/>
        <w:rPr>
          <w:rFonts w:asciiTheme="majorHAnsi" w:hAnsiTheme="majorHAnsi"/>
          <w:sz w:val="22"/>
          <w:szCs w:val="22"/>
        </w:rPr>
      </w:pPr>
      <w:r w:rsidRPr="0081771B">
        <w:rPr>
          <w:rFonts w:asciiTheme="majorHAnsi" w:hAnsiTheme="majorHAnsi" w:cs="Arial"/>
          <w:sz w:val="22"/>
          <w:szCs w:val="22"/>
        </w:rPr>
        <w:t>The State argued that the proceedings and court conviction against the alleged victim had been carried out guaranteeing due process of law and requested the Commission to declare the case inadmissible and to archive it.</w:t>
      </w:r>
    </w:p>
    <w:p w:rsidR="0081771B" w:rsidRPr="0081771B" w:rsidRDefault="0081771B" w:rsidP="0081771B">
      <w:pPr>
        <w:pStyle w:val="BodyTextIndent3"/>
        <w:spacing w:after="0"/>
        <w:jc w:val="both"/>
        <w:rPr>
          <w:rFonts w:asciiTheme="majorHAnsi" w:hAnsiTheme="majorHAnsi"/>
          <w:sz w:val="22"/>
          <w:szCs w:val="22"/>
          <w:highlight w:val="yellow"/>
        </w:rPr>
      </w:pPr>
    </w:p>
    <w:p w:rsidR="0081771B" w:rsidRPr="0081771B" w:rsidRDefault="0081771B" w:rsidP="0081771B">
      <w:pPr>
        <w:pStyle w:val="BodyTextIndent3"/>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160"/>
        </w:tabs>
        <w:spacing w:after="0"/>
        <w:rPr>
          <w:rFonts w:asciiTheme="majorHAnsi" w:hAnsiTheme="majorHAnsi"/>
          <w:b/>
          <w:sz w:val="22"/>
          <w:szCs w:val="22"/>
        </w:rPr>
      </w:pPr>
      <w:r w:rsidRPr="0081771B">
        <w:rPr>
          <w:rFonts w:asciiTheme="majorHAnsi" w:hAnsiTheme="majorHAnsi"/>
          <w:b/>
          <w:sz w:val="22"/>
          <w:szCs w:val="22"/>
        </w:rPr>
        <w:br w:type="page"/>
      </w:r>
      <w:r w:rsidRPr="0081771B">
        <w:rPr>
          <w:rFonts w:asciiTheme="majorHAnsi" w:hAnsiTheme="majorHAnsi"/>
          <w:b/>
          <w:sz w:val="22"/>
          <w:szCs w:val="22"/>
        </w:rPr>
        <w:lastRenderedPageBreak/>
        <w:t>PROCEEDINGS WITH THE IACHR</w:t>
      </w:r>
    </w:p>
    <w:p w:rsidR="0081771B" w:rsidRPr="0081771B" w:rsidRDefault="0081771B" w:rsidP="0081771B">
      <w:pPr>
        <w:pStyle w:val="BodyTextIndent3"/>
        <w:tabs>
          <w:tab w:val="left" w:pos="720"/>
          <w:tab w:val="left" w:pos="1440"/>
          <w:tab w:val="left" w:pos="2160"/>
        </w:tabs>
        <w:spacing w:after="0"/>
        <w:ind w:left="708"/>
        <w:rPr>
          <w:rFonts w:asciiTheme="majorHAnsi" w:hAnsiTheme="majorHAnsi"/>
          <w:b/>
          <w:sz w:val="22"/>
          <w:szCs w:val="22"/>
          <w:highlight w:val="yellow"/>
        </w:rPr>
      </w:pPr>
    </w:p>
    <w:p w:rsidR="0081771B" w:rsidRPr="0081771B" w:rsidRDefault="0081771B" w:rsidP="0081771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ind w:left="0" w:firstLine="705"/>
        <w:jc w:val="both"/>
        <w:rPr>
          <w:rFonts w:asciiTheme="majorHAnsi" w:hAnsiTheme="majorHAnsi" w:cs="Arial"/>
          <w:sz w:val="22"/>
          <w:szCs w:val="22"/>
        </w:rPr>
      </w:pPr>
      <w:r w:rsidRPr="0081771B">
        <w:rPr>
          <w:rFonts w:asciiTheme="majorHAnsi" w:hAnsiTheme="majorHAnsi"/>
          <w:sz w:val="22"/>
          <w:szCs w:val="22"/>
        </w:rPr>
        <w:t>On May 12, 1998, the Commission received an initial petition filed by the petitioners, which was forwarded to the State for its observations.  On June 4 and 29, July 23, August 24, September 18, and December 3, 1998; April 5, August 23, and December 7, 1999; January 28, February 22, and August 1, 2000; May 24 and June 13, 2001, the IACHR received information from the petitioners.  These communications were duly forwarded and, on October 6, 1999 and on January 10 and November 20, 2000, the IACHR received observations from the State</w:t>
      </w:r>
      <w:r w:rsidRPr="0081771B">
        <w:rPr>
          <w:rFonts w:asciiTheme="majorHAnsi" w:hAnsiTheme="majorHAnsi" w:cs="Arial"/>
          <w:sz w:val="22"/>
          <w:szCs w:val="22"/>
        </w:rPr>
        <w:t xml:space="preserve">. </w:t>
      </w:r>
    </w:p>
    <w:p w:rsidR="0081771B" w:rsidRPr="0081771B" w:rsidRDefault="0081771B" w:rsidP="0081771B">
      <w:pPr>
        <w:pStyle w:val="ListParagraph"/>
        <w:rPr>
          <w:rFonts w:asciiTheme="majorHAnsi" w:hAnsiTheme="majorHAnsi" w:cs="Arial"/>
          <w:sz w:val="22"/>
          <w:szCs w:val="22"/>
        </w:rPr>
      </w:pPr>
    </w:p>
    <w:p w:rsidR="0081771B" w:rsidRPr="0081771B" w:rsidRDefault="0081771B" w:rsidP="0081771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ind w:left="0" w:firstLine="705"/>
        <w:jc w:val="both"/>
        <w:rPr>
          <w:rFonts w:asciiTheme="majorHAnsi" w:hAnsiTheme="majorHAnsi" w:cs="Arial"/>
          <w:sz w:val="22"/>
          <w:szCs w:val="22"/>
        </w:rPr>
      </w:pPr>
      <w:r w:rsidRPr="0081771B">
        <w:rPr>
          <w:rFonts w:asciiTheme="majorHAnsi" w:hAnsiTheme="majorHAnsi"/>
          <w:sz w:val="22"/>
          <w:szCs w:val="22"/>
        </w:rPr>
        <w:t>On August 24, 2005, the IACHR informed the parties that, in observance of Article 37.3 of its Rules of Procedure, it had decided to open a case with number 12.016 and had postponed addressing its admissibility until a discussion had been held and a decision taken about its merits.  In view of this, it requested additional observations on the merits of the case, with a two-month time-limit to respond, in line with Article 38(1) of its Rules of Procedure.</w:t>
      </w:r>
    </w:p>
    <w:p w:rsidR="0081771B" w:rsidRPr="0081771B" w:rsidRDefault="0081771B" w:rsidP="0081771B">
      <w:pPr>
        <w:jc w:val="both"/>
        <w:rPr>
          <w:rFonts w:asciiTheme="majorHAnsi" w:hAnsiTheme="majorHAnsi" w:cs="Arial"/>
          <w:sz w:val="22"/>
          <w:szCs w:val="22"/>
        </w:rPr>
      </w:pPr>
    </w:p>
    <w:p w:rsidR="0081771B" w:rsidRPr="0081771B" w:rsidRDefault="0081771B" w:rsidP="0081771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ind w:left="0" w:firstLine="705"/>
        <w:jc w:val="both"/>
        <w:rPr>
          <w:rFonts w:asciiTheme="majorHAnsi" w:hAnsiTheme="majorHAnsi" w:cs="Arial"/>
          <w:sz w:val="22"/>
          <w:szCs w:val="22"/>
        </w:rPr>
      </w:pPr>
      <w:r w:rsidRPr="0081771B">
        <w:rPr>
          <w:rFonts w:asciiTheme="majorHAnsi" w:hAnsiTheme="majorHAnsi" w:cs="Arial"/>
          <w:sz w:val="22"/>
          <w:szCs w:val="22"/>
        </w:rPr>
        <w:t xml:space="preserve">As it did not receive the additional observations on the merits or additional information from the petitioners, on December </w:t>
      </w:r>
      <w:r w:rsidRPr="0081771B">
        <w:rPr>
          <w:rFonts w:asciiTheme="majorHAnsi" w:hAnsiTheme="majorHAnsi"/>
          <w:sz w:val="22"/>
          <w:szCs w:val="22"/>
        </w:rPr>
        <w:t>3, 2007, July 22, 2009 and August 26, 2011, the Commission reiterated its request and indicated that, if it did not receive said information within one month, the Commission could proceed to archive the case.  To date, the IACHR has not received any observations from the petitioners on the merits of the case</w:t>
      </w:r>
      <w:r w:rsidRPr="0081771B">
        <w:rPr>
          <w:rFonts w:asciiTheme="majorHAnsi" w:hAnsiTheme="majorHAnsi" w:cs="Arial"/>
          <w:sz w:val="22"/>
          <w:szCs w:val="22"/>
        </w:rPr>
        <w:t>.</w:t>
      </w:r>
    </w:p>
    <w:p w:rsidR="0081771B" w:rsidRPr="0081771B" w:rsidRDefault="0081771B" w:rsidP="0081771B">
      <w:pPr>
        <w:jc w:val="both"/>
        <w:rPr>
          <w:rFonts w:asciiTheme="majorHAnsi" w:hAnsiTheme="majorHAnsi" w:cs="Arial"/>
          <w:sz w:val="22"/>
          <w:szCs w:val="22"/>
          <w:highlight w:val="yellow"/>
        </w:rPr>
      </w:pPr>
    </w:p>
    <w:p w:rsidR="0081771B" w:rsidRPr="0081771B" w:rsidRDefault="0081771B" w:rsidP="0081771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b/>
          <w:sz w:val="22"/>
          <w:szCs w:val="22"/>
        </w:rPr>
      </w:pPr>
      <w:r w:rsidRPr="0081771B">
        <w:rPr>
          <w:rFonts w:asciiTheme="majorHAnsi" w:hAnsiTheme="majorHAnsi" w:cs="Arial"/>
          <w:b/>
          <w:sz w:val="22"/>
          <w:szCs w:val="22"/>
        </w:rPr>
        <w:t>GROUNDS FOR THE DECISION TO ARCHIVE</w:t>
      </w:r>
    </w:p>
    <w:p w:rsidR="0081771B" w:rsidRPr="0081771B" w:rsidRDefault="0081771B" w:rsidP="0081771B">
      <w:pPr>
        <w:pStyle w:val="BodyText"/>
        <w:spacing w:after="0"/>
        <w:jc w:val="both"/>
        <w:rPr>
          <w:rFonts w:asciiTheme="majorHAnsi" w:hAnsiTheme="majorHAnsi"/>
          <w:sz w:val="22"/>
          <w:szCs w:val="22"/>
        </w:rPr>
      </w:pPr>
      <w:r w:rsidRPr="0081771B">
        <w:rPr>
          <w:rFonts w:asciiTheme="majorHAnsi" w:hAnsiTheme="majorHAnsi" w:cs="Arial"/>
          <w:sz w:val="22"/>
          <w:szCs w:val="22"/>
        </w:rPr>
        <w:tab/>
      </w:r>
    </w:p>
    <w:p w:rsidR="0081771B" w:rsidRPr="0081771B" w:rsidRDefault="0081771B" w:rsidP="0081771B">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spacing w:after="0"/>
        <w:ind w:left="0" w:firstLine="705"/>
        <w:jc w:val="both"/>
        <w:rPr>
          <w:rFonts w:asciiTheme="majorHAnsi" w:hAnsiTheme="majorHAnsi" w:cs="Arial"/>
          <w:sz w:val="22"/>
          <w:szCs w:val="22"/>
        </w:rPr>
      </w:pPr>
      <w:r w:rsidRPr="0081771B">
        <w:rPr>
          <w:rFonts w:asciiTheme="majorHAnsi" w:hAnsiTheme="majorHAnsi"/>
          <w:sz w:val="22"/>
          <w:szCs w:val="22"/>
        </w:rPr>
        <w:t>Both Article 48.1.b of the American Convention and Article 42 of the Rules of Procedure of the Inter-American Commission establish that, in the processing of a petition, after information is received or the time-limit stipulated for receiving it has elapsed without receiving it, the IACHR shall check to see if there are or continue to be grounds for the petition or communication and, if there are none or they do not persist, it shall order the case file to be archived.  Likewise, Article 42(1</w:t>
      </w:r>
      <w:proofErr w:type="gramStart"/>
      <w:r w:rsidRPr="0081771B">
        <w:rPr>
          <w:rFonts w:asciiTheme="majorHAnsi" w:hAnsiTheme="majorHAnsi"/>
          <w:sz w:val="22"/>
          <w:szCs w:val="22"/>
        </w:rPr>
        <w:t>)(</w:t>
      </w:r>
      <w:proofErr w:type="gramEnd"/>
      <w:r w:rsidRPr="0081771B">
        <w:rPr>
          <w:rFonts w:asciiTheme="majorHAnsi" w:hAnsiTheme="majorHAnsi"/>
          <w:sz w:val="22"/>
          <w:szCs w:val="22"/>
        </w:rPr>
        <w:t>b) of the Rules of Procedure of the IACHR establishes that, at any time during the proceedings, the Inter-American Commission can archive the case file if it does not have the information needed to reach a decision about the case.</w:t>
      </w:r>
    </w:p>
    <w:p w:rsidR="0081771B" w:rsidRPr="0081771B" w:rsidRDefault="0081771B" w:rsidP="0081771B">
      <w:pPr>
        <w:pStyle w:val="BodyText"/>
        <w:spacing w:after="0"/>
        <w:jc w:val="both"/>
        <w:rPr>
          <w:rFonts w:asciiTheme="majorHAnsi" w:hAnsiTheme="majorHAnsi" w:cs="Arial"/>
          <w:sz w:val="22"/>
          <w:szCs w:val="22"/>
        </w:rPr>
      </w:pPr>
    </w:p>
    <w:p w:rsidR="0081771B" w:rsidRPr="0081771B" w:rsidRDefault="0081771B" w:rsidP="0081771B">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spacing w:after="0"/>
        <w:ind w:left="0" w:firstLine="705"/>
        <w:jc w:val="both"/>
        <w:rPr>
          <w:rFonts w:asciiTheme="majorHAnsi" w:hAnsiTheme="majorHAnsi" w:cs="Arial"/>
          <w:sz w:val="22"/>
          <w:szCs w:val="22"/>
        </w:rPr>
      </w:pPr>
      <w:r w:rsidRPr="0081771B">
        <w:rPr>
          <w:rFonts w:asciiTheme="majorHAnsi" w:hAnsiTheme="majorHAnsi"/>
          <w:sz w:val="22"/>
          <w:szCs w:val="22"/>
        </w:rPr>
        <w:t>In the present proceedings, the petitioners did not respond to the IACHR’s request for information sent on December 3, 2007, July 22, 2009 and August 26, 2011</w:t>
      </w:r>
      <w:r w:rsidRPr="0081771B">
        <w:rPr>
          <w:rFonts w:asciiTheme="majorHAnsi" w:hAnsiTheme="majorHAnsi" w:cs="Arial"/>
          <w:sz w:val="22"/>
          <w:szCs w:val="22"/>
        </w:rPr>
        <w:t xml:space="preserve">. Under these circumstance, it is not possible to make any progress in reviewing the case or determining whether or not there continue to be reasons substantiating the initial petition; therefore, in accordance with Article 48.1.b of the American Convention, as well as Article 42 of the Rules of Procedure of the IACHR, it has been decided to archive the present petition. </w:t>
      </w:r>
    </w:p>
    <w:p w:rsidR="0081771B" w:rsidRPr="0081771B" w:rsidRDefault="0081771B" w:rsidP="0081771B">
      <w:pPr>
        <w:pStyle w:val="BodyText"/>
        <w:spacing w:after="0"/>
        <w:jc w:val="both"/>
        <w:rPr>
          <w:rFonts w:asciiTheme="majorHAnsi" w:hAnsiTheme="majorHAnsi"/>
          <w:sz w:val="22"/>
          <w:szCs w:val="22"/>
        </w:rPr>
      </w:pPr>
    </w:p>
    <w:p w:rsidR="0081771B" w:rsidRPr="0081771B" w:rsidRDefault="0081771B" w:rsidP="0081771B">
      <w:pPr>
        <w:suppressAutoHyphens/>
        <w:ind w:firstLine="720"/>
        <w:jc w:val="both"/>
        <w:rPr>
          <w:rFonts w:asciiTheme="majorHAnsi" w:hAnsiTheme="majorHAnsi"/>
          <w:spacing w:val="-2"/>
          <w:sz w:val="22"/>
          <w:szCs w:val="22"/>
        </w:rPr>
      </w:pPr>
      <w:r w:rsidRPr="0081771B">
        <w:rPr>
          <w:rFonts w:asciiTheme="majorHAnsi" w:hAnsiTheme="majorHAnsi"/>
          <w:spacing w:val="-2"/>
          <w:sz w:val="22"/>
          <w:szCs w:val="22"/>
        </w:rPr>
        <w:t xml:space="preserve">Done and signed in the city of </w:t>
      </w:r>
      <w:smartTag w:uri="urn:schemas-microsoft-com:office:smarttags" w:element="place">
        <w:smartTag w:uri="urn:schemas-microsoft-com:office:smarttags" w:element="City">
          <w:r w:rsidRPr="0081771B">
            <w:rPr>
              <w:rFonts w:asciiTheme="majorHAnsi" w:hAnsiTheme="majorHAnsi"/>
              <w:spacing w:val="-2"/>
              <w:sz w:val="22"/>
              <w:szCs w:val="22"/>
            </w:rPr>
            <w:t>Washington</w:t>
          </w:r>
        </w:smartTag>
      </w:smartTag>
      <w:r w:rsidRPr="0081771B">
        <w:rPr>
          <w:rFonts w:asciiTheme="majorHAnsi" w:hAnsiTheme="majorHAnsi"/>
          <w:spacing w:val="-2"/>
          <w:sz w:val="22"/>
          <w:szCs w:val="22"/>
        </w:rPr>
        <w:t>, D.C., on the 4</w:t>
      </w:r>
      <w:r w:rsidRPr="0081771B">
        <w:rPr>
          <w:rFonts w:asciiTheme="majorHAnsi" w:hAnsiTheme="majorHAnsi"/>
          <w:spacing w:val="-2"/>
          <w:sz w:val="22"/>
          <w:szCs w:val="22"/>
          <w:vertAlign w:val="superscript"/>
        </w:rPr>
        <w:t>th</w:t>
      </w:r>
      <w:r w:rsidRPr="0081771B">
        <w:rPr>
          <w:rFonts w:asciiTheme="majorHAnsi" w:hAnsiTheme="majorHAnsi"/>
          <w:spacing w:val="-2"/>
          <w:sz w:val="22"/>
          <w:szCs w:val="22"/>
        </w:rPr>
        <w:t xml:space="preserve"> day of the month of April, 2014. (Signed):  </w:t>
      </w:r>
      <w:r w:rsidRPr="0081771B">
        <w:rPr>
          <w:rFonts w:asciiTheme="majorHAnsi" w:hAnsiTheme="majorHAnsi" w:cs="Arial"/>
          <w:noProof/>
          <w:spacing w:val="-2"/>
          <w:sz w:val="22"/>
          <w:szCs w:val="22"/>
        </w:rPr>
        <w:t>Tracy Robinson</w:t>
      </w:r>
      <w:r w:rsidRPr="0081771B">
        <w:rPr>
          <w:rFonts w:asciiTheme="majorHAnsi" w:hAnsiTheme="majorHAnsi"/>
          <w:spacing w:val="-2"/>
          <w:sz w:val="22"/>
          <w:szCs w:val="22"/>
        </w:rPr>
        <w:t>,</w:t>
      </w:r>
      <w:r w:rsidRPr="0081771B">
        <w:rPr>
          <w:rFonts w:asciiTheme="majorHAnsi" w:hAnsiTheme="majorHAnsi"/>
          <w:sz w:val="22"/>
          <w:szCs w:val="22"/>
        </w:rPr>
        <w:t xml:space="preserve"> President; Rose-Marie Belle Antoine, </w:t>
      </w:r>
      <w:r w:rsidRPr="0081771B">
        <w:rPr>
          <w:rFonts w:asciiTheme="majorHAnsi" w:hAnsiTheme="majorHAnsi"/>
          <w:spacing w:val="-2"/>
          <w:sz w:val="22"/>
          <w:szCs w:val="22"/>
        </w:rPr>
        <w:t xml:space="preserve">First Vice President; </w:t>
      </w:r>
      <w:r w:rsidRPr="0081771B">
        <w:rPr>
          <w:rFonts w:asciiTheme="majorHAnsi" w:hAnsiTheme="majorHAnsi" w:cs="Arial"/>
          <w:noProof/>
          <w:spacing w:val="-2"/>
          <w:sz w:val="22"/>
          <w:szCs w:val="22"/>
        </w:rPr>
        <w:t xml:space="preserve">Felipe González, </w:t>
      </w:r>
      <w:r w:rsidRPr="0081771B">
        <w:rPr>
          <w:rFonts w:asciiTheme="majorHAnsi" w:hAnsiTheme="majorHAnsi"/>
          <w:spacing w:val="-2"/>
          <w:sz w:val="22"/>
          <w:szCs w:val="22"/>
        </w:rPr>
        <w:t xml:space="preserve">Second Vice President; </w:t>
      </w:r>
      <w:r w:rsidRPr="0081771B">
        <w:rPr>
          <w:rFonts w:asciiTheme="majorHAnsi" w:hAnsiTheme="majorHAnsi" w:cs="Arial"/>
          <w:noProof/>
          <w:spacing w:val="-2"/>
          <w:sz w:val="22"/>
          <w:szCs w:val="22"/>
        </w:rPr>
        <w:t>José de Jesús Orozco, Rosa María Ortiz, Paulo Vannuchi and James Cavallaro</w:t>
      </w:r>
      <w:r w:rsidRPr="0081771B">
        <w:rPr>
          <w:rFonts w:asciiTheme="majorHAnsi" w:hAnsiTheme="majorHAnsi"/>
          <w:sz w:val="22"/>
          <w:szCs w:val="22"/>
        </w:rPr>
        <w:t xml:space="preserve">, </w:t>
      </w:r>
      <w:r w:rsidRPr="0081771B">
        <w:rPr>
          <w:rFonts w:asciiTheme="majorHAnsi" w:hAnsiTheme="majorHAnsi"/>
          <w:spacing w:val="-2"/>
          <w:sz w:val="22"/>
          <w:szCs w:val="22"/>
        </w:rPr>
        <w:t>Commissioners.</w:t>
      </w:r>
    </w:p>
    <w:p w:rsidR="0081771B" w:rsidRPr="0081771B" w:rsidRDefault="0081771B" w:rsidP="0081771B">
      <w:pPr>
        <w:pStyle w:val="BodyText"/>
        <w:spacing w:after="0"/>
        <w:jc w:val="both"/>
        <w:rPr>
          <w:rFonts w:asciiTheme="majorHAnsi" w:hAnsiTheme="majorHAnsi"/>
          <w:sz w:val="22"/>
          <w:szCs w:val="22"/>
        </w:rPr>
      </w:pPr>
    </w:p>
    <w:p w:rsidR="007607C4" w:rsidRDefault="007607C4" w:rsidP="00145EDC">
      <w:pPr>
        <w:tabs>
          <w:tab w:val="center" w:pos="5400"/>
        </w:tabs>
        <w:suppressAutoHyphens/>
        <w:spacing w:line="276" w:lineRule="auto"/>
        <w:rPr>
          <w:rFonts w:asciiTheme="majorHAnsi" w:hAnsiTheme="majorHAnsi"/>
          <w:sz w:val="20"/>
          <w:szCs w:val="20"/>
        </w:rPr>
      </w:pPr>
    </w:p>
    <w:sectPr w:rsidR="007607C4"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1771B">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81771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BF6361"/>
    <w:multiLevelType w:val="hybridMultilevel"/>
    <w:tmpl w:val="63C058F8"/>
    <w:lvl w:ilvl="0" w:tplc="BDB4360C">
      <w:start w:val="1"/>
      <w:numFmt w:val="decimal"/>
      <w:lvlText w:val="%1."/>
      <w:lvlJc w:val="left"/>
      <w:pPr>
        <w:tabs>
          <w:tab w:val="num" w:pos="1410"/>
        </w:tabs>
        <w:ind w:left="1410" w:hanging="705"/>
      </w:pPr>
      <w:rPr>
        <w:rFonts w:ascii="Calibri" w:hAnsi="Calibri" w:hint="default"/>
        <w:b w:val="0"/>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4615B5"/>
    <w:multiLevelType w:val="hybridMultilevel"/>
    <w:tmpl w:val="E50E030E"/>
    <w:lvl w:ilvl="0" w:tplc="692C18DC">
      <w:start w:val="4"/>
      <w:numFmt w:val="upperRoman"/>
      <w:lvlText w:val="%1."/>
      <w:lvlJc w:val="left"/>
      <w:pPr>
        <w:tabs>
          <w:tab w:val="num" w:pos="1440"/>
        </w:tabs>
        <w:ind w:left="1440" w:hanging="720"/>
      </w:pPr>
      <w:rPr>
        <w:rFonts w:hint="default"/>
      </w:rPr>
    </w:lvl>
    <w:lvl w:ilvl="1" w:tplc="2AD81CD6">
      <w:start w:val="1"/>
      <w:numFmt w:val="decimal"/>
      <w:lvlText w:val="%2."/>
      <w:lvlJc w:val="left"/>
      <w:pPr>
        <w:tabs>
          <w:tab w:val="num" w:pos="2145"/>
        </w:tabs>
        <w:ind w:left="2145" w:hanging="705"/>
      </w:pPr>
      <w:rPr>
        <w:rFonts w:ascii="Univers" w:hAnsi="Univer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5616C16"/>
    <w:multiLevelType w:val="hybridMultilevel"/>
    <w:tmpl w:val="BB88F682"/>
    <w:lvl w:ilvl="0" w:tplc="42F89ED4">
      <w:start w:val="3"/>
      <w:numFmt w:val="upperRoman"/>
      <w:lvlText w:val="%1."/>
      <w:lvlJc w:val="left"/>
      <w:pPr>
        <w:tabs>
          <w:tab w:val="num" w:pos="1443"/>
        </w:tabs>
        <w:ind w:left="1443" w:hanging="73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4"/>
  </w:num>
  <w:num w:numId="96">
    <w:abstractNumId w:val="54"/>
  </w:num>
  <w:num w:numId="97">
    <w:abstractNumId w:val="52"/>
  </w:num>
  <w:num w:numId="98">
    <w:abstractNumId w:val="47"/>
  </w:num>
  <w:num w:numId="99">
    <w:abstractNumId w:val="39"/>
  </w:num>
  <w:num w:numId="100">
    <w:abstractNumId w:val="3"/>
  </w:num>
  <w:num w:numId="101">
    <w:abstractNumId w:val="27"/>
  </w:num>
  <w:num w:numId="102">
    <w:abstractNumId w:val="49"/>
  </w:num>
  <w:num w:numId="103">
    <w:abstractNumId w:val="6"/>
  </w:num>
  <w:num w:numId="104">
    <w:abstractNumId w:val="7"/>
  </w:num>
  <w:num w:numId="105">
    <w:abstractNumId w:val="4"/>
  </w:num>
  <w:num w:numId="106">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1771B"/>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868FC"/>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77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81771B"/>
    <w:rPr>
      <w:rFonts w:asciiTheme="majorHAnsi" w:eastAsiaTheme="majorEastAsia" w:hAnsiTheme="majorHAnsi" w:cstheme="majorBidi"/>
      <w:b/>
      <w:bCs/>
      <w:color w:val="4F81BD" w:themeColor="accent1"/>
      <w:sz w:val="26"/>
      <w:szCs w:val="26"/>
      <w:lang w:val="en-US" w:eastAsia="en-US"/>
    </w:rPr>
  </w:style>
  <w:style w:type="paragraph" w:styleId="BodyTextIndent3">
    <w:name w:val="Body Text Indent 3"/>
    <w:basedOn w:val="Normal"/>
    <w:link w:val="BodyTextIndent3Char"/>
    <w:uiPriority w:val="99"/>
    <w:semiHidden/>
    <w:unhideWhenUsed/>
    <w:rsid w:val="008177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771B"/>
    <w:rPr>
      <w:sz w:val="16"/>
      <w:szCs w:val="16"/>
      <w:lang w:val="en-US" w:eastAsia="en-US"/>
    </w:rPr>
  </w:style>
  <w:style w:type="paragraph" w:styleId="EndnoteText">
    <w:name w:val="endnote text"/>
    <w:basedOn w:val="Normal"/>
    <w:link w:val="EndnoteTextChar"/>
    <w:rsid w:val="008177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EndnoteTextChar">
    <w:name w:val="Endnote Text Char"/>
    <w:basedOn w:val="DefaultParagraphFont"/>
    <w:link w:val="EndnoteText"/>
    <w:rsid w:val="0081771B"/>
    <w:rPr>
      <w:rFonts w:eastAsia="Times New Roman"/>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77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81771B"/>
    <w:rPr>
      <w:rFonts w:asciiTheme="majorHAnsi" w:eastAsiaTheme="majorEastAsia" w:hAnsiTheme="majorHAnsi" w:cstheme="majorBidi"/>
      <w:b/>
      <w:bCs/>
      <w:color w:val="4F81BD" w:themeColor="accent1"/>
      <w:sz w:val="26"/>
      <w:szCs w:val="26"/>
      <w:lang w:val="en-US" w:eastAsia="en-US"/>
    </w:rPr>
  </w:style>
  <w:style w:type="paragraph" w:styleId="BodyTextIndent3">
    <w:name w:val="Body Text Indent 3"/>
    <w:basedOn w:val="Normal"/>
    <w:link w:val="BodyTextIndent3Char"/>
    <w:uiPriority w:val="99"/>
    <w:semiHidden/>
    <w:unhideWhenUsed/>
    <w:rsid w:val="008177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771B"/>
    <w:rPr>
      <w:sz w:val="16"/>
      <w:szCs w:val="16"/>
      <w:lang w:val="en-US" w:eastAsia="en-US"/>
    </w:rPr>
  </w:style>
  <w:style w:type="paragraph" w:styleId="EndnoteText">
    <w:name w:val="endnote text"/>
    <w:basedOn w:val="Normal"/>
    <w:link w:val="EndnoteTextChar"/>
    <w:rsid w:val="008177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EndnoteTextChar">
    <w:name w:val="Endnote Text Char"/>
    <w:basedOn w:val="DefaultParagraphFont"/>
    <w:link w:val="EndnoteText"/>
    <w:rsid w:val="0081771B"/>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65BF-6491-42DA-BDDA-3BE39D08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2</cp:revision>
  <cp:lastPrinted>2014-06-04T21:22:00Z</cp:lastPrinted>
  <dcterms:created xsi:type="dcterms:W3CDTF">2015-02-26T17:00:00Z</dcterms:created>
  <dcterms:modified xsi:type="dcterms:W3CDTF">2015-02-26T17:00:00Z</dcterms:modified>
</cp:coreProperties>
</file>