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A26E1">
                              <w:rPr>
                                <w:rFonts w:asciiTheme="majorHAnsi" w:hAnsiTheme="majorHAnsi" w:cs="Arial"/>
                                <w:b/>
                                <w:bCs/>
                                <w:color w:val="0D0D0D" w:themeColor="text1" w:themeTint="F2"/>
                                <w:sz w:val="36"/>
                                <w:szCs w:val="40"/>
                              </w:rPr>
                              <w:t>3</w:t>
                            </w:r>
                            <w:r w:rsidR="001C2749">
                              <w:rPr>
                                <w:rFonts w:asciiTheme="majorHAnsi" w:hAnsiTheme="majorHAnsi" w:cs="Arial"/>
                                <w:b/>
                                <w:bCs/>
                                <w:color w:val="0D0D0D" w:themeColor="text1" w:themeTint="F2"/>
                                <w:sz w:val="36"/>
                                <w:szCs w:val="40"/>
                              </w:rPr>
                              <w:t>0</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1C2749">
                              <w:rPr>
                                <w:rFonts w:asciiTheme="majorHAnsi" w:hAnsiTheme="majorHAnsi" w:cs="Arial"/>
                                <w:b/>
                                <w:bCs/>
                                <w:color w:val="0D0D0D" w:themeColor="text1" w:themeTint="F2"/>
                                <w:sz w:val="36"/>
                                <w:szCs w:val="40"/>
                              </w:rPr>
                              <w:t>12.260</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Default="00450A4A" w:rsidP="004B7EB6">
                            <w:pPr>
                              <w:spacing w:line="276" w:lineRule="auto"/>
                              <w:rPr>
                                <w:rFonts w:asciiTheme="majorHAnsi" w:hAnsiTheme="majorHAnsi" w:cs="Arial"/>
                                <w:color w:val="0D0D0D" w:themeColor="text1" w:themeTint="F2"/>
                                <w:szCs w:val="22"/>
                              </w:rPr>
                            </w:pPr>
                          </w:p>
                          <w:p w:rsidR="000A26E1" w:rsidRDefault="000A26E1" w:rsidP="004B7EB6">
                            <w:pPr>
                              <w:spacing w:line="276" w:lineRule="auto"/>
                              <w:rPr>
                                <w:rFonts w:asciiTheme="majorHAnsi" w:hAnsiTheme="majorHAnsi" w:cs="Arial"/>
                                <w:color w:val="0D0D0D" w:themeColor="text1" w:themeTint="F2"/>
                                <w:szCs w:val="22"/>
                              </w:rPr>
                            </w:pPr>
                          </w:p>
                          <w:p w:rsidR="000A26E1" w:rsidRPr="004B7EB6" w:rsidRDefault="000A26E1" w:rsidP="004B7EB6">
                            <w:pPr>
                              <w:spacing w:line="276" w:lineRule="auto"/>
                              <w:rPr>
                                <w:rFonts w:asciiTheme="majorHAnsi" w:hAnsiTheme="majorHAnsi" w:cs="Arial"/>
                                <w:color w:val="0D0D0D" w:themeColor="text1" w:themeTint="F2"/>
                                <w:szCs w:val="22"/>
                              </w:rPr>
                            </w:pPr>
                          </w:p>
                          <w:p w:rsidR="00322450" w:rsidRPr="00994A4B" w:rsidRDefault="001C2749" w:rsidP="004B7EB6">
                            <w:pPr>
                              <w:spacing w:line="276" w:lineRule="auto"/>
                              <w:rPr>
                                <w:rFonts w:asciiTheme="majorHAnsi" w:hAnsiTheme="majorHAnsi" w:cs="Arial"/>
                                <w:color w:val="0D0D0D" w:themeColor="text1" w:themeTint="F2"/>
                              </w:rPr>
                            </w:pPr>
                            <w:r>
                              <w:rPr>
                                <w:rFonts w:asciiTheme="majorHAnsi" w:hAnsiTheme="majorHAnsi"/>
                              </w:rPr>
                              <w:t>FRANKLYN VILLAROEL</w:t>
                            </w:r>
                          </w:p>
                          <w:p w:rsidR="005B52B0" w:rsidRPr="000A26E1" w:rsidRDefault="000A26E1"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TRINIDAD AND TOBAGO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A26E1">
                        <w:rPr>
                          <w:rFonts w:asciiTheme="majorHAnsi" w:hAnsiTheme="majorHAnsi" w:cs="Arial"/>
                          <w:b/>
                          <w:bCs/>
                          <w:color w:val="0D0D0D" w:themeColor="text1" w:themeTint="F2"/>
                          <w:sz w:val="36"/>
                          <w:szCs w:val="40"/>
                        </w:rPr>
                        <w:t>3</w:t>
                      </w:r>
                      <w:r w:rsidR="001C2749">
                        <w:rPr>
                          <w:rFonts w:asciiTheme="majorHAnsi" w:hAnsiTheme="majorHAnsi" w:cs="Arial"/>
                          <w:b/>
                          <w:bCs/>
                          <w:color w:val="0D0D0D" w:themeColor="text1" w:themeTint="F2"/>
                          <w:sz w:val="36"/>
                          <w:szCs w:val="40"/>
                        </w:rPr>
                        <w:t>0</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1C2749">
                        <w:rPr>
                          <w:rFonts w:asciiTheme="majorHAnsi" w:hAnsiTheme="majorHAnsi" w:cs="Arial"/>
                          <w:b/>
                          <w:bCs/>
                          <w:color w:val="0D0D0D" w:themeColor="text1" w:themeTint="F2"/>
                          <w:sz w:val="36"/>
                          <w:szCs w:val="40"/>
                        </w:rPr>
                        <w:t>12.260</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Default="00450A4A" w:rsidP="004B7EB6">
                      <w:pPr>
                        <w:spacing w:line="276" w:lineRule="auto"/>
                        <w:rPr>
                          <w:rFonts w:asciiTheme="majorHAnsi" w:hAnsiTheme="majorHAnsi" w:cs="Arial"/>
                          <w:color w:val="0D0D0D" w:themeColor="text1" w:themeTint="F2"/>
                          <w:szCs w:val="22"/>
                        </w:rPr>
                      </w:pPr>
                    </w:p>
                    <w:p w:rsidR="000A26E1" w:rsidRDefault="000A26E1" w:rsidP="004B7EB6">
                      <w:pPr>
                        <w:spacing w:line="276" w:lineRule="auto"/>
                        <w:rPr>
                          <w:rFonts w:asciiTheme="majorHAnsi" w:hAnsiTheme="majorHAnsi" w:cs="Arial"/>
                          <w:color w:val="0D0D0D" w:themeColor="text1" w:themeTint="F2"/>
                          <w:szCs w:val="22"/>
                        </w:rPr>
                      </w:pPr>
                    </w:p>
                    <w:p w:rsidR="000A26E1" w:rsidRPr="004B7EB6" w:rsidRDefault="000A26E1" w:rsidP="004B7EB6">
                      <w:pPr>
                        <w:spacing w:line="276" w:lineRule="auto"/>
                        <w:rPr>
                          <w:rFonts w:asciiTheme="majorHAnsi" w:hAnsiTheme="majorHAnsi" w:cs="Arial"/>
                          <w:color w:val="0D0D0D" w:themeColor="text1" w:themeTint="F2"/>
                          <w:szCs w:val="22"/>
                        </w:rPr>
                      </w:pPr>
                    </w:p>
                    <w:p w:rsidR="00322450" w:rsidRPr="00994A4B" w:rsidRDefault="001C2749" w:rsidP="004B7EB6">
                      <w:pPr>
                        <w:spacing w:line="276" w:lineRule="auto"/>
                        <w:rPr>
                          <w:rFonts w:asciiTheme="majorHAnsi" w:hAnsiTheme="majorHAnsi" w:cs="Arial"/>
                          <w:color w:val="0D0D0D" w:themeColor="text1" w:themeTint="F2"/>
                        </w:rPr>
                      </w:pPr>
                      <w:r>
                        <w:rPr>
                          <w:rFonts w:asciiTheme="majorHAnsi" w:hAnsiTheme="majorHAnsi"/>
                        </w:rPr>
                        <w:t>FRANKLYN VILLAROEL</w:t>
                      </w:r>
                    </w:p>
                    <w:p w:rsidR="005B52B0" w:rsidRPr="000A26E1" w:rsidRDefault="000A26E1"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TRINIDAD AND TOBAGO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A26E1">
                              <w:rPr>
                                <w:rFonts w:asciiTheme="minorHAnsi" w:hAnsiTheme="minorHAnsi"/>
                                <w:color w:val="FFFFFF" w:themeColor="background1"/>
                                <w:sz w:val="22"/>
                                <w:lang w:val="pt-BR"/>
                              </w:rPr>
                              <w:t>3</w:t>
                            </w:r>
                            <w:r w:rsidR="001C2749">
                              <w:rPr>
                                <w:rFonts w:asciiTheme="minorHAnsi" w:hAnsiTheme="minorHAnsi"/>
                                <w:color w:val="FFFFFF" w:themeColor="background1"/>
                                <w:sz w:val="22"/>
                                <w:lang w:val="pt-BR"/>
                              </w:rPr>
                              <w:t>4</w:t>
                            </w:r>
                          </w:p>
                          <w:p w:rsidR="00627C9F" w:rsidRPr="004B7EB6" w:rsidRDefault="000A26E1"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A26E1">
                        <w:rPr>
                          <w:rFonts w:asciiTheme="minorHAnsi" w:hAnsiTheme="minorHAnsi"/>
                          <w:color w:val="FFFFFF" w:themeColor="background1"/>
                          <w:sz w:val="22"/>
                          <w:lang w:val="pt-BR"/>
                        </w:rPr>
                        <w:t>3</w:t>
                      </w:r>
                      <w:r w:rsidR="001C2749">
                        <w:rPr>
                          <w:rFonts w:asciiTheme="minorHAnsi" w:hAnsiTheme="minorHAnsi"/>
                          <w:color w:val="FFFFFF" w:themeColor="background1"/>
                          <w:sz w:val="22"/>
                          <w:lang w:val="pt-BR"/>
                        </w:rPr>
                        <w:t>4</w:t>
                      </w:r>
                    </w:p>
                    <w:p w:rsidR="00627C9F" w:rsidRPr="004B7EB6" w:rsidRDefault="000A26E1"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57424">
                              <w:rPr>
                                <w:rFonts w:asciiTheme="majorHAnsi" w:hAnsiTheme="majorHAnsi"/>
                                <w:color w:val="0D0D0D" w:themeColor="text1" w:themeTint="F2"/>
                                <w:sz w:val="18"/>
                                <w:szCs w:val="20"/>
                              </w:rPr>
                              <w:t>1980</w:t>
                            </w:r>
                            <w:r w:rsidR="00D57424"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D57424" w:rsidRPr="003C32BC">
                              <w:rPr>
                                <w:rFonts w:asciiTheme="majorHAnsi" w:hAnsiTheme="majorHAnsi"/>
                                <w:color w:val="0D0D0D" w:themeColor="text1" w:themeTint="F2"/>
                                <w:sz w:val="18"/>
                                <w:szCs w:val="20"/>
                              </w:rPr>
                              <w:t xml:space="preserve">April </w:t>
                            </w:r>
                            <w:r w:rsidR="00D57424">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57424">
                        <w:rPr>
                          <w:rFonts w:asciiTheme="majorHAnsi" w:hAnsiTheme="majorHAnsi"/>
                          <w:color w:val="0D0D0D" w:themeColor="text1" w:themeTint="F2"/>
                          <w:sz w:val="18"/>
                          <w:szCs w:val="20"/>
                        </w:rPr>
                        <w:t>1980</w:t>
                      </w:r>
                      <w:r w:rsidR="00D57424"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D57424" w:rsidRPr="003C32BC">
                        <w:rPr>
                          <w:rFonts w:asciiTheme="majorHAnsi" w:hAnsiTheme="majorHAnsi"/>
                          <w:color w:val="0D0D0D" w:themeColor="text1" w:themeTint="F2"/>
                          <w:sz w:val="18"/>
                          <w:szCs w:val="20"/>
                        </w:rPr>
                        <w:t xml:space="preserve">April </w:t>
                      </w:r>
                      <w:r w:rsidR="00D57424">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A26E1">
                              <w:rPr>
                                <w:rFonts w:asciiTheme="majorHAnsi" w:hAnsiTheme="majorHAnsi"/>
                                <w:color w:val="595959" w:themeColor="text1" w:themeTint="A6"/>
                                <w:sz w:val="18"/>
                              </w:rPr>
                              <w:t xml:space="preserve">IACHR, Report No. </w:t>
                            </w:r>
                            <w:r w:rsidR="001C2749">
                              <w:rPr>
                                <w:rFonts w:asciiTheme="majorHAnsi" w:hAnsiTheme="majorHAnsi"/>
                                <w:color w:val="595959" w:themeColor="text1" w:themeTint="A6"/>
                                <w:sz w:val="18"/>
                              </w:rPr>
                              <w:t>30</w:t>
                            </w:r>
                            <w:r w:rsidR="000A26E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Case </w:t>
                            </w:r>
                            <w:r w:rsidR="000A26E1">
                              <w:rPr>
                                <w:rFonts w:asciiTheme="majorHAnsi" w:hAnsiTheme="majorHAnsi"/>
                                <w:color w:val="595959" w:themeColor="text1" w:themeTint="A6"/>
                                <w:sz w:val="18"/>
                              </w:rPr>
                              <w:t>1</w:t>
                            </w:r>
                            <w:r w:rsidR="001C2749">
                              <w:rPr>
                                <w:rFonts w:asciiTheme="majorHAnsi" w:hAnsiTheme="majorHAnsi"/>
                                <w:color w:val="595959" w:themeColor="text1" w:themeTint="A6"/>
                                <w:sz w:val="18"/>
                              </w:rPr>
                              <w:t>2.260</w:t>
                            </w:r>
                            <w:r w:rsidR="000A26E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Archive. </w:t>
                            </w:r>
                            <w:r w:rsidR="001C2749">
                              <w:rPr>
                                <w:rFonts w:asciiTheme="majorHAnsi" w:hAnsiTheme="majorHAnsi"/>
                                <w:color w:val="595959" w:themeColor="text1" w:themeTint="A6"/>
                                <w:sz w:val="18"/>
                              </w:rPr>
                              <w:t xml:space="preserve">Franklyn </w:t>
                            </w:r>
                            <w:r w:rsidR="001C2749" w:rsidRPr="00D6259F">
                              <w:rPr>
                                <w:rFonts w:asciiTheme="majorHAnsi" w:hAnsiTheme="majorHAnsi"/>
                                <w:color w:val="595959" w:themeColor="text1" w:themeTint="A6"/>
                                <w:sz w:val="18"/>
                              </w:rPr>
                              <w:t>Villaroel</w:t>
                            </w:r>
                            <w:r w:rsidRPr="003C32BC">
                              <w:rPr>
                                <w:rFonts w:asciiTheme="majorHAnsi" w:hAnsiTheme="majorHAnsi"/>
                                <w:color w:val="595959" w:themeColor="text1" w:themeTint="A6"/>
                                <w:sz w:val="18"/>
                              </w:rPr>
                              <w:t xml:space="preserve">. </w:t>
                            </w:r>
                            <w:r w:rsidR="004A63BE">
                              <w:rPr>
                                <w:rFonts w:asciiTheme="majorHAnsi" w:hAnsiTheme="majorHAnsi"/>
                                <w:color w:val="595959" w:themeColor="text1" w:themeTint="A6"/>
                                <w:sz w:val="18"/>
                              </w:rPr>
                              <w:t>Trinidad and Tobago. April 4,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A26E1">
                        <w:rPr>
                          <w:rFonts w:asciiTheme="majorHAnsi" w:hAnsiTheme="majorHAnsi"/>
                          <w:color w:val="595959" w:themeColor="text1" w:themeTint="A6"/>
                          <w:sz w:val="18"/>
                        </w:rPr>
                        <w:t xml:space="preserve">IACHR, Report No. </w:t>
                      </w:r>
                      <w:r w:rsidR="001C2749">
                        <w:rPr>
                          <w:rFonts w:asciiTheme="majorHAnsi" w:hAnsiTheme="majorHAnsi"/>
                          <w:color w:val="595959" w:themeColor="text1" w:themeTint="A6"/>
                          <w:sz w:val="18"/>
                        </w:rPr>
                        <w:t>30</w:t>
                      </w:r>
                      <w:r w:rsidR="000A26E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Case </w:t>
                      </w:r>
                      <w:r w:rsidR="000A26E1">
                        <w:rPr>
                          <w:rFonts w:asciiTheme="majorHAnsi" w:hAnsiTheme="majorHAnsi"/>
                          <w:color w:val="595959" w:themeColor="text1" w:themeTint="A6"/>
                          <w:sz w:val="18"/>
                        </w:rPr>
                        <w:t>1</w:t>
                      </w:r>
                      <w:r w:rsidR="001C2749">
                        <w:rPr>
                          <w:rFonts w:asciiTheme="majorHAnsi" w:hAnsiTheme="majorHAnsi"/>
                          <w:color w:val="595959" w:themeColor="text1" w:themeTint="A6"/>
                          <w:sz w:val="18"/>
                        </w:rPr>
                        <w:t>2.260</w:t>
                      </w:r>
                      <w:r w:rsidR="000A26E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Archive. </w:t>
                      </w:r>
                      <w:r w:rsidR="001C2749">
                        <w:rPr>
                          <w:rFonts w:asciiTheme="majorHAnsi" w:hAnsiTheme="majorHAnsi"/>
                          <w:color w:val="595959" w:themeColor="text1" w:themeTint="A6"/>
                          <w:sz w:val="18"/>
                        </w:rPr>
                        <w:t xml:space="preserve">Franklyn </w:t>
                      </w:r>
                      <w:r w:rsidR="001C2749" w:rsidRPr="001C2749">
                        <w:rPr>
                          <w:rFonts w:asciiTheme="majorHAnsi" w:hAnsiTheme="majorHAnsi"/>
                          <w:color w:val="595959" w:themeColor="text1" w:themeTint="A6"/>
                          <w:sz w:val="18"/>
                          <w:lang w:val="es-NI"/>
                        </w:rPr>
                        <w:t>Villaroel</w:t>
                      </w:r>
                      <w:r w:rsidRPr="003C32BC">
                        <w:rPr>
                          <w:rFonts w:asciiTheme="majorHAnsi" w:hAnsiTheme="majorHAnsi"/>
                          <w:color w:val="595959" w:themeColor="text1" w:themeTint="A6"/>
                          <w:sz w:val="18"/>
                        </w:rPr>
                        <w:t xml:space="preserve">. </w:t>
                      </w:r>
                      <w:r w:rsidR="004A63BE">
                        <w:rPr>
                          <w:rFonts w:asciiTheme="majorHAnsi" w:hAnsiTheme="majorHAnsi"/>
                          <w:color w:val="595959" w:themeColor="text1" w:themeTint="A6"/>
                          <w:sz w:val="18"/>
                        </w:rPr>
                        <w:t>Trinidad and Tobago. April 4, 2014.</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lastRenderedPageBreak/>
        <w:t xml:space="preserve">REPORT No. </w:t>
      </w:r>
      <w:r w:rsidR="00782086">
        <w:rPr>
          <w:rFonts w:asciiTheme="majorHAnsi" w:hAnsiTheme="majorHAnsi"/>
          <w:b/>
          <w:sz w:val="18"/>
          <w:szCs w:val="18"/>
        </w:rPr>
        <w:t>3</w:t>
      </w:r>
      <w:r w:rsidR="001C2749">
        <w:rPr>
          <w:rFonts w:asciiTheme="majorHAnsi" w:hAnsiTheme="majorHAnsi"/>
          <w:b/>
          <w:sz w:val="18"/>
          <w:szCs w:val="18"/>
        </w:rPr>
        <w:t>0</w:t>
      </w:r>
      <w:r w:rsidRPr="00FC3EB4">
        <w:rPr>
          <w:rFonts w:asciiTheme="majorHAnsi" w:hAnsiTheme="majorHAnsi"/>
          <w:b/>
          <w:sz w:val="18"/>
          <w:szCs w:val="18"/>
        </w:rPr>
        <w:t>/14</w:t>
      </w:r>
    </w:p>
    <w:p w:rsidR="007A2F70" w:rsidRPr="00D6259F" w:rsidRDefault="007A2F70" w:rsidP="00145EDC">
      <w:pPr>
        <w:tabs>
          <w:tab w:val="center" w:pos="5400"/>
        </w:tabs>
        <w:suppressAutoHyphens/>
        <w:spacing w:line="276" w:lineRule="auto"/>
        <w:jc w:val="center"/>
        <w:rPr>
          <w:rFonts w:asciiTheme="majorHAnsi" w:hAnsiTheme="majorHAnsi"/>
          <w:sz w:val="18"/>
          <w:szCs w:val="18"/>
        </w:rPr>
      </w:pPr>
      <w:r w:rsidRPr="00D6259F">
        <w:rPr>
          <w:rFonts w:asciiTheme="majorHAnsi" w:hAnsiTheme="majorHAnsi"/>
          <w:sz w:val="18"/>
          <w:szCs w:val="18"/>
        </w:rPr>
        <w:t xml:space="preserve">CASE </w:t>
      </w:r>
      <w:r w:rsidR="001C2749" w:rsidRPr="00D6259F">
        <w:rPr>
          <w:rFonts w:asciiTheme="majorHAnsi" w:hAnsiTheme="majorHAnsi"/>
          <w:sz w:val="18"/>
          <w:szCs w:val="18"/>
        </w:rPr>
        <w:t>12.260</w:t>
      </w:r>
    </w:p>
    <w:p w:rsidR="007A2F70" w:rsidRPr="00D6259F" w:rsidRDefault="007A2F70" w:rsidP="00145EDC">
      <w:pPr>
        <w:tabs>
          <w:tab w:val="center" w:pos="5400"/>
        </w:tabs>
        <w:suppressAutoHyphens/>
        <w:spacing w:line="276" w:lineRule="auto"/>
        <w:jc w:val="center"/>
        <w:rPr>
          <w:rFonts w:asciiTheme="majorHAnsi" w:hAnsiTheme="majorHAnsi"/>
          <w:sz w:val="18"/>
          <w:szCs w:val="18"/>
        </w:rPr>
      </w:pPr>
      <w:r w:rsidRPr="00D6259F">
        <w:rPr>
          <w:rFonts w:asciiTheme="majorHAnsi" w:hAnsiTheme="majorHAnsi"/>
          <w:sz w:val="18"/>
          <w:szCs w:val="18"/>
        </w:rPr>
        <w:t>ARCHIVE</w:t>
      </w:r>
    </w:p>
    <w:p w:rsidR="007A2F70" w:rsidRPr="002A77F8" w:rsidRDefault="001C2749" w:rsidP="00145EDC">
      <w:pPr>
        <w:tabs>
          <w:tab w:val="center" w:pos="5400"/>
        </w:tabs>
        <w:suppressAutoHyphens/>
        <w:spacing w:line="276" w:lineRule="auto"/>
        <w:jc w:val="center"/>
        <w:rPr>
          <w:rFonts w:asciiTheme="majorHAnsi" w:hAnsiTheme="majorHAnsi"/>
          <w:sz w:val="18"/>
          <w:szCs w:val="18"/>
        </w:rPr>
      </w:pPr>
      <w:r w:rsidRPr="002A77F8">
        <w:rPr>
          <w:rFonts w:asciiTheme="majorHAnsi" w:hAnsiTheme="majorHAnsi"/>
          <w:sz w:val="18"/>
          <w:szCs w:val="18"/>
        </w:rPr>
        <w:t>FRANKLYN VILLAROEL</w:t>
      </w:r>
    </w:p>
    <w:p w:rsidR="007A2F70" w:rsidRPr="00E334C5" w:rsidRDefault="00E334C5" w:rsidP="00145EDC">
      <w:pPr>
        <w:tabs>
          <w:tab w:val="center" w:pos="5400"/>
        </w:tabs>
        <w:suppressAutoHyphens/>
        <w:spacing w:line="276" w:lineRule="auto"/>
        <w:jc w:val="center"/>
        <w:rPr>
          <w:rFonts w:asciiTheme="majorHAnsi" w:hAnsiTheme="majorHAnsi"/>
          <w:sz w:val="18"/>
          <w:szCs w:val="18"/>
        </w:rPr>
      </w:pPr>
      <w:r w:rsidRPr="00E334C5">
        <w:rPr>
          <w:rFonts w:asciiTheme="majorHAnsi" w:hAnsiTheme="majorHAnsi"/>
          <w:sz w:val="18"/>
          <w:szCs w:val="18"/>
        </w:rPr>
        <w:t>TRINIDAD AND TOBAGO</w:t>
      </w:r>
      <w:r w:rsidR="003414AC" w:rsidRPr="00E334C5">
        <w:rPr>
          <w:rFonts w:asciiTheme="majorHAnsi" w:hAnsiTheme="majorHAnsi"/>
          <w:sz w:val="18"/>
          <w:szCs w:val="18"/>
        </w:rPr>
        <w:br/>
      </w:r>
      <w:r w:rsidRPr="00E334C5">
        <w:rPr>
          <w:rFonts w:asciiTheme="majorHAnsi" w:hAnsiTheme="majorHAnsi"/>
          <w:sz w:val="18"/>
          <w:szCs w:val="18"/>
        </w:rPr>
        <w:t>A</w:t>
      </w:r>
      <w:r>
        <w:rPr>
          <w:rFonts w:asciiTheme="majorHAnsi" w:hAnsiTheme="majorHAnsi"/>
          <w:sz w:val="18"/>
          <w:szCs w:val="18"/>
        </w:rPr>
        <w:t>PRIL 4, 2014</w:t>
      </w:r>
    </w:p>
    <w:p w:rsidR="007607C4" w:rsidRDefault="007607C4" w:rsidP="00145EDC">
      <w:pPr>
        <w:tabs>
          <w:tab w:val="center" w:pos="5400"/>
        </w:tabs>
        <w:suppressAutoHyphens/>
        <w:spacing w:line="276" w:lineRule="auto"/>
        <w:rPr>
          <w:rFonts w:asciiTheme="majorHAnsi" w:hAnsiTheme="majorHAnsi"/>
          <w:sz w:val="20"/>
          <w:szCs w:val="20"/>
        </w:rPr>
      </w:pPr>
    </w:p>
    <w:p w:rsidR="002A77F8" w:rsidRPr="00E334C5" w:rsidRDefault="002A77F8" w:rsidP="00145EDC">
      <w:pPr>
        <w:tabs>
          <w:tab w:val="center" w:pos="5400"/>
        </w:tabs>
        <w:suppressAutoHyphens/>
        <w:spacing w:line="276" w:lineRule="auto"/>
        <w:rPr>
          <w:rFonts w:asciiTheme="majorHAnsi" w:hAnsiTheme="majorHAnsi"/>
          <w:sz w:val="20"/>
          <w:szCs w:val="20"/>
        </w:rPr>
      </w:pPr>
    </w:p>
    <w:p w:rsidR="002A77F8" w:rsidRPr="002A77F8" w:rsidRDefault="002A77F8" w:rsidP="002A77F8">
      <w:pPr>
        <w:jc w:val="both"/>
        <w:outlineLvl w:val="0"/>
        <w:rPr>
          <w:rFonts w:asciiTheme="majorHAnsi" w:hAnsiTheme="majorHAnsi"/>
          <w:noProof/>
          <w:sz w:val="20"/>
          <w:szCs w:val="20"/>
        </w:rPr>
      </w:pPr>
      <w:r w:rsidRPr="002A77F8">
        <w:rPr>
          <w:rFonts w:asciiTheme="majorHAnsi" w:hAnsiTheme="majorHAnsi"/>
          <w:b/>
          <w:noProof/>
          <w:sz w:val="20"/>
          <w:szCs w:val="20"/>
        </w:rPr>
        <w:t>ALLEGED VICTIM:</w:t>
      </w:r>
      <w:r w:rsidRPr="002A77F8">
        <w:rPr>
          <w:rFonts w:asciiTheme="majorHAnsi" w:hAnsiTheme="majorHAnsi"/>
          <w:b/>
          <w:noProof/>
          <w:sz w:val="20"/>
          <w:szCs w:val="20"/>
        </w:rPr>
        <w:tab/>
      </w:r>
      <w:r w:rsidRPr="002A77F8">
        <w:rPr>
          <w:rFonts w:asciiTheme="majorHAnsi" w:hAnsiTheme="majorHAnsi"/>
          <w:b/>
          <w:noProof/>
          <w:sz w:val="20"/>
          <w:szCs w:val="20"/>
        </w:rPr>
        <w:tab/>
      </w:r>
      <w:r w:rsidRPr="002A77F8">
        <w:rPr>
          <w:rFonts w:asciiTheme="majorHAnsi" w:hAnsiTheme="majorHAnsi"/>
          <w:b/>
          <w:noProof/>
          <w:sz w:val="20"/>
          <w:szCs w:val="20"/>
        </w:rPr>
        <w:tab/>
      </w:r>
      <w:r w:rsidRPr="002A77F8">
        <w:rPr>
          <w:rFonts w:asciiTheme="majorHAnsi" w:hAnsiTheme="majorHAnsi"/>
          <w:noProof/>
          <w:sz w:val="20"/>
          <w:szCs w:val="20"/>
        </w:rPr>
        <w:t>Franklyn Villaroel</w:t>
      </w:r>
    </w:p>
    <w:p w:rsidR="002A77F8" w:rsidRPr="002A77F8" w:rsidRDefault="002A77F8" w:rsidP="002A77F8">
      <w:pPr>
        <w:jc w:val="both"/>
        <w:outlineLvl w:val="0"/>
        <w:rPr>
          <w:rFonts w:asciiTheme="majorHAnsi" w:hAnsiTheme="majorHAnsi"/>
          <w:noProof/>
          <w:sz w:val="20"/>
          <w:szCs w:val="20"/>
        </w:rPr>
      </w:pPr>
    </w:p>
    <w:p w:rsidR="002A77F8" w:rsidRPr="002A77F8" w:rsidRDefault="002A77F8" w:rsidP="002A77F8">
      <w:pPr>
        <w:jc w:val="both"/>
        <w:rPr>
          <w:rFonts w:asciiTheme="majorHAnsi" w:hAnsiTheme="majorHAnsi"/>
          <w:noProof/>
          <w:sz w:val="20"/>
          <w:szCs w:val="20"/>
        </w:rPr>
      </w:pPr>
      <w:r w:rsidRPr="002A77F8">
        <w:rPr>
          <w:rFonts w:asciiTheme="majorHAnsi" w:hAnsiTheme="majorHAnsi"/>
          <w:b/>
          <w:noProof/>
          <w:sz w:val="20"/>
          <w:szCs w:val="20"/>
        </w:rPr>
        <w:t>PETITIONERS:</w:t>
      </w:r>
      <w:r w:rsidRPr="002A77F8">
        <w:rPr>
          <w:rFonts w:asciiTheme="majorHAnsi" w:hAnsiTheme="majorHAnsi"/>
          <w:noProof/>
          <w:sz w:val="20"/>
          <w:szCs w:val="20"/>
        </w:rPr>
        <w:t xml:space="preserve"> </w:t>
      </w:r>
      <w:r w:rsidRPr="002A77F8">
        <w:rPr>
          <w:rFonts w:asciiTheme="majorHAnsi" w:hAnsiTheme="majorHAnsi"/>
          <w:noProof/>
          <w:sz w:val="20"/>
          <w:szCs w:val="20"/>
        </w:rPr>
        <w:tab/>
      </w:r>
      <w:r w:rsidRPr="002A77F8">
        <w:rPr>
          <w:rFonts w:asciiTheme="majorHAnsi" w:hAnsiTheme="majorHAnsi"/>
          <w:noProof/>
          <w:sz w:val="20"/>
          <w:szCs w:val="20"/>
        </w:rPr>
        <w:tab/>
      </w:r>
      <w:r w:rsidRPr="002A77F8">
        <w:rPr>
          <w:rFonts w:asciiTheme="majorHAnsi" w:hAnsiTheme="majorHAnsi"/>
          <w:noProof/>
          <w:sz w:val="20"/>
          <w:szCs w:val="20"/>
        </w:rPr>
        <w:tab/>
      </w:r>
      <w:r w:rsidRPr="002A77F8">
        <w:rPr>
          <w:rFonts w:asciiTheme="majorHAnsi" w:hAnsiTheme="majorHAnsi"/>
          <w:noProof/>
          <w:sz w:val="20"/>
          <w:szCs w:val="20"/>
        </w:rPr>
        <w:tab/>
        <w:t>Lovell’s Solicitors</w:t>
      </w:r>
    </w:p>
    <w:p w:rsidR="002A77F8" w:rsidRPr="002A77F8" w:rsidRDefault="002A77F8" w:rsidP="002A77F8">
      <w:pPr>
        <w:jc w:val="both"/>
        <w:rPr>
          <w:rFonts w:asciiTheme="majorHAnsi" w:hAnsiTheme="majorHAnsi"/>
          <w:noProof/>
          <w:sz w:val="20"/>
          <w:szCs w:val="20"/>
        </w:rPr>
      </w:pPr>
    </w:p>
    <w:p w:rsidR="002A77F8" w:rsidRPr="002A77F8" w:rsidRDefault="002A77F8" w:rsidP="002A77F8">
      <w:pPr>
        <w:ind w:left="3600" w:hanging="3600"/>
        <w:jc w:val="both"/>
        <w:rPr>
          <w:rFonts w:asciiTheme="majorHAnsi" w:hAnsiTheme="majorHAnsi"/>
          <w:noProof/>
          <w:sz w:val="20"/>
          <w:szCs w:val="20"/>
        </w:rPr>
      </w:pPr>
      <w:r w:rsidRPr="002A77F8">
        <w:rPr>
          <w:rFonts w:asciiTheme="majorHAnsi" w:hAnsiTheme="majorHAnsi"/>
          <w:b/>
          <w:noProof/>
          <w:sz w:val="20"/>
          <w:szCs w:val="20"/>
        </w:rPr>
        <w:t>ALLEGED VIOLATIONS:</w:t>
      </w:r>
      <w:r w:rsidRPr="002A77F8">
        <w:rPr>
          <w:rFonts w:asciiTheme="majorHAnsi" w:hAnsiTheme="majorHAnsi"/>
          <w:noProof/>
          <w:sz w:val="20"/>
          <w:szCs w:val="20"/>
        </w:rPr>
        <w:t xml:space="preserve"> </w:t>
      </w:r>
      <w:r w:rsidRPr="002A77F8">
        <w:rPr>
          <w:rFonts w:asciiTheme="majorHAnsi" w:hAnsiTheme="majorHAnsi"/>
          <w:noProof/>
          <w:sz w:val="20"/>
          <w:szCs w:val="20"/>
        </w:rPr>
        <w:tab/>
        <w:t>Articles 5, 7, 8, 11, 24 and 25 of the American Convention and Articles II, XVI, XVII, XVIII XXV and XXVI of the American Declaration</w:t>
      </w:r>
    </w:p>
    <w:p w:rsidR="002A77F8" w:rsidRPr="002A77F8" w:rsidRDefault="002A77F8" w:rsidP="002A77F8">
      <w:pPr>
        <w:ind w:left="2880" w:hanging="2880"/>
        <w:jc w:val="both"/>
        <w:rPr>
          <w:rFonts w:asciiTheme="majorHAnsi" w:hAnsiTheme="majorHAnsi"/>
          <w:noProof/>
          <w:sz w:val="20"/>
          <w:szCs w:val="20"/>
        </w:rPr>
      </w:pPr>
    </w:p>
    <w:p w:rsidR="002A77F8" w:rsidRPr="002A77F8" w:rsidRDefault="002A77F8" w:rsidP="002A77F8">
      <w:pPr>
        <w:jc w:val="both"/>
        <w:rPr>
          <w:rFonts w:asciiTheme="majorHAnsi" w:hAnsiTheme="majorHAnsi"/>
          <w:noProof/>
          <w:sz w:val="20"/>
          <w:szCs w:val="20"/>
          <w:highlight w:val="magenta"/>
        </w:rPr>
      </w:pPr>
      <w:r w:rsidRPr="002A77F8">
        <w:rPr>
          <w:rFonts w:asciiTheme="majorHAnsi" w:hAnsiTheme="majorHAnsi"/>
          <w:b/>
          <w:noProof/>
          <w:sz w:val="20"/>
          <w:szCs w:val="20"/>
        </w:rPr>
        <w:t>PROCESSING INITIATED:</w:t>
      </w:r>
      <w:r w:rsidRPr="002A77F8">
        <w:rPr>
          <w:rFonts w:asciiTheme="majorHAnsi" w:hAnsiTheme="majorHAnsi"/>
          <w:noProof/>
          <w:sz w:val="20"/>
          <w:szCs w:val="20"/>
        </w:rPr>
        <w:tab/>
      </w:r>
      <w:r w:rsidRPr="002A77F8">
        <w:rPr>
          <w:rFonts w:asciiTheme="majorHAnsi" w:hAnsiTheme="majorHAnsi"/>
          <w:noProof/>
          <w:sz w:val="20"/>
          <w:szCs w:val="20"/>
        </w:rPr>
        <w:tab/>
        <w:t>March 30, 2000</w:t>
      </w:r>
    </w:p>
    <w:p w:rsidR="002A77F8" w:rsidRPr="002A77F8" w:rsidRDefault="002A77F8" w:rsidP="002A77F8">
      <w:pPr>
        <w:ind w:right="-720"/>
        <w:rPr>
          <w:rFonts w:asciiTheme="majorHAnsi" w:hAnsiTheme="majorHAnsi"/>
          <w:noProof/>
          <w:sz w:val="20"/>
          <w:szCs w:val="20"/>
          <w:highlight w:val="magenta"/>
        </w:rPr>
      </w:pPr>
    </w:p>
    <w:p w:rsidR="002A77F8" w:rsidRPr="002A77F8" w:rsidRDefault="002A77F8" w:rsidP="002A77F8">
      <w:pPr>
        <w:ind w:right="-720"/>
        <w:rPr>
          <w:rFonts w:asciiTheme="majorHAnsi" w:hAnsiTheme="majorHAnsi"/>
          <w:noProof/>
          <w:sz w:val="20"/>
          <w:szCs w:val="20"/>
          <w:highlight w:val="magenta"/>
        </w:rPr>
      </w:pPr>
    </w:p>
    <w:p w:rsidR="002A77F8" w:rsidRPr="002A77F8" w:rsidRDefault="002A77F8" w:rsidP="002A77F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1440"/>
        <w:jc w:val="both"/>
        <w:rPr>
          <w:rFonts w:asciiTheme="majorHAnsi" w:hAnsiTheme="majorHAnsi"/>
          <w:noProof/>
          <w:sz w:val="20"/>
          <w:szCs w:val="20"/>
        </w:rPr>
      </w:pPr>
      <w:r w:rsidRPr="002A77F8">
        <w:rPr>
          <w:rFonts w:asciiTheme="majorHAnsi" w:hAnsiTheme="majorHAnsi"/>
          <w:b/>
          <w:noProof/>
          <w:sz w:val="20"/>
          <w:szCs w:val="20"/>
        </w:rPr>
        <w:t>POSITION OF THE PETITIONER</w:t>
      </w:r>
    </w:p>
    <w:p w:rsidR="002A77F8" w:rsidRPr="002A77F8" w:rsidRDefault="002A77F8" w:rsidP="002A77F8">
      <w:pPr>
        <w:ind w:left="720"/>
        <w:jc w:val="both"/>
        <w:rPr>
          <w:rFonts w:asciiTheme="majorHAnsi" w:hAnsiTheme="majorHAnsi"/>
          <w:noProof/>
          <w:sz w:val="20"/>
          <w:szCs w:val="20"/>
        </w:rPr>
      </w:pP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2A77F8">
        <w:rPr>
          <w:rFonts w:asciiTheme="majorHAnsi" w:hAnsiTheme="majorHAnsi"/>
          <w:noProof/>
          <w:sz w:val="20"/>
          <w:szCs w:val="20"/>
        </w:rPr>
        <w:t xml:space="preserve">On March 23, 2000, the Inter-American Commission on Human Rights (the “Inter-American Commission” or the “IACHR”) received a </w:t>
      </w:r>
      <w:smartTag w:uri="urn:schemas-microsoft-com:office:smarttags" w:element="PersonName">
        <w:r w:rsidRPr="002A77F8">
          <w:rPr>
            <w:rFonts w:asciiTheme="majorHAnsi" w:hAnsiTheme="majorHAnsi"/>
            <w:noProof/>
            <w:sz w:val="20"/>
            <w:szCs w:val="20"/>
          </w:rPr>
          <w:t>pe</w:t>
        </w:r>
      </w:smartTag>
      <w:r w:rsidRPr="002A77F8">
        <w:rPr>
          <w:rFonts w:asciiTheme="majorHAnsi" w:hAnsiTheme="majorHAnsi"/>
          <w:noProof/>
          <w:sz w:val="20"/>
          <w:szCs w:val="20"/>
        </w:rPr>
        <w:t xml:space="preserve">tition presented by </w:t>
      </w:r>
      <w:r w:rsidRPr="002A77F8">
        <w:rPr>
          <w:rFonts w:asciiTheme="majorHAnsi" w:hAnsiTheme="majorHAnsi"/>
          <w:sz w:val="20"/>
          <w:szCs w:val="20"/>
        </w:rPr>
        <w:t xml:space="preserve">Lovell’s, a firm of solicitors in London, U.K., </w:t>
      </w:r>
      <w:r w:rsidRPr="002A77F8">
        <w:rPr>
          <w:rFonts w:asciiTheme="majorHAnsi" w:hAnsiTheme="majorHAnsi"/>
          <w:noProof/>
          <w:sz w:val="20"/>
          <w:szCs w:val="20"/>
        </w:rPr>
        <w:t>(the “</w:t>
      </w:r>
      <w:smartTag w:uri="urn:schemas-microsoft-com:office:smarttags" w:element="PersonName">
        <w:r w:rsidRPr="002A77F8">
          <w:rPr>
            <w:rFonts w:asciiTheme="majorHAnsi" w:hAnsiTheme="majorHAnsi"/>
            <w:noProof/>
            <w:sz w:val="20"/>
            <w:szCs w:val="20"/>
          </w:rPr>
          <w:t>pe</w:t>
        </w:r>
      </w:smartTag>
      <w:r w:rsidRPr="002A77F8">
        <w:rPr>
          <w:rFonts w:asciiTheme="majorHAnsi" w:hAnsiTheme="majorHAnsi"/>
          <w:noProof/>
          <w:sz w:val="20"/>
          <w:szCs w:val="20"/>
        </w:rPr>
        <w:t xml:space="preserve">titioner”) against Trinidad and </w:t>
      </w:r>
      <w:r w:rsidRPr="002A77F8">
        <w:rPr>
          <w:rFonts w:asciiTheme="majorHAnsi" w:hAnsiTheme="majorHAnsi"/>
          <w:sz w:val="20"/>
          <w:szCs w:val="20"/>
        </w:rPr>
        <w:t xml:space="preserve">Tobago (“the State”) on behalf of Franklyn Villaroel (“Mr. Villaroel” or the “alleged victim”), who was incarcerated at the State Prison of Port of Spain.  </w:t>
      </w:r>
    </w:p>
    <w:p w:rsidR="002A77F8" w:rsidRPr="002A77F8" w:rsidRDefault="002A77F8" w:rsidP="002A77F8">
      <w:pPr>
        <w:jc w:val="both"/>
        <w:rPr>
          <w:rFonts w:asciiTheme="majorHAnsi" w:hAnsiTheme="majorHAnsi"/>
          <w:sz w:val="20"/>
          <w:szCs w:val="20"/>
        </w:rPr>
      </w:pPr>
      <w:r w:rsidRPr="002A77F8">
        <w:rPr>
          <w:rFonts w:asciiTheme="majorHAnsi" w:hAnsiTheme="majorHAnsi"/>
          <w:sz w:val="20"/>
          <w:szCs w:val="20"/>
        </w:rPr>
        <w:t xml:space="preserve"> </w:t>
      </w: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2A77F8">
        <w:rPr>
          <w:rFonts w:asciiTheme="majorHAnsi" w:hAnsiTheme="majorHAnsi"/>
          <w:sz w:val="20"/>
          <w:szCs w:val="20"/>
        </w:rPr>
        <w:t>According to the information available, on October 28, 1988, in his second trial after the first was declared a mistrial when the jury could not arrive at an agreement, Mr. Villaroel was convicted of the March 10, 1985 murder of his common law wife and sentenced to death.  On December 1, 1993, the alleged victim’s death sentence was commuted to life imprisonment.  On November 21, 1995, Mr. Villaroel unsuccessfully appealed his conviction to the Court of Appeal of Trinidad and Tobago, based on allegedly improper jury instructions.  The Court of Appeal dismissed the appeal on April 9, 1998.  Mr. Villaroel then petitioned the Judicial Committee of the Privy Council for special leave to appeal the Judgment of the Court of Appeal; that petition was dismissed on October 5, 1999.</w:t>
      </w:r>
    </w:p>
    <w:p w:rsidR="002A77F8" w:rsidRPr="002A77F8" w:rsidRDefault="002A77F8" w:rsidP="002A77F8">
      <w:pPr>
        <w:pStyle w:val="ListParagraph"/>
        <w:ind w:left="0"/>
        <w:rPr>
          <w:rFonts w:asciiTheme="majorHAnsi" w:hAnsiTheme="majorHAnsi"/>
          <w:sz w:val="20"/>
          <w:szCs w:val="20"/>
        </w:rPr>
      </w:pP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2A77F8">
        <w:rPr>
          <w:rFonts w:asciiTheme="majorHAnsi" w:hAnsiTheme="majorHAnsi"/>
          <w:sz w:val="20"/>
          <w:szCs w:val="20"/>
        </w:rPr>
        <w:t xml:space="preserve">With respect to the merits of the complaint, the petitioner stated in particular that the trial judge failed to instruct the jury regarding provocation and a possible manslaughter conviction and that Mr. </w:t>
      </w:r>
      <w:proofErr w:type="spellStart"/>
      <w:r w:rsidRPr="002A77F8">
        <w:rPr>
          <w:rFonts w:asciiTheme="majorHAnsi" w:hAnsiTheme="majorHAnsi"/>
          <w:sz w:val="20"/>
          <w:szCs w:val="20"/>
        </w:rPr>
        <w:t>Villaroel’s</w:t>
      </w:r>
      <w:proofErr w:type="spellEnd"/>
      <w:r w:rsidRPr="002A77F8">
        <w:rPr>
          <w:rFonts w:asciiTheme="majorHAnsi" w:hAnsiTheme="majorHAnsi"/>
          <w:sz w:val="20"/>
          <w:szCs w:val="20"/>
        </w:rPr>
        <w:t xml:space="preserve"> counsel failed to introduce evidence of good character during the trial.  The petitioner also claimed that there were delays in the hearing of Mr. </w:t>
      </w:r>
      <w:proofErr w:type="spellStart"/>
      <w:r w:rsidRPr="002A77F8">
        <w:rPr>
          <w:rFonts w:asciiTheme="majorHAnsi" w:hAnsiTheme="majorHAnsi"/>
          <w:sz w:val="20"/>
          <w:szCs w:val="20"/>
        </w:rPr>
        <w:t>Villaroel’s</w:t>
      </w:r>
      <w:proofErr w:type="spellEnd"/>
      <w:r w:rsidRPr="002A77F8">
        <w:rPr>
          <w:rFonts w:asciiTheme="majorHAnsi" w:hAnsiTheme="majorHAnsi"/>
          <w:sz w:val="20"/>
          <w:szCs w:val="20"/>
        </w:rPr>
        <w:t xml:space="preserve"> appeal and that the imposition of a sentence of life imprisonment constituted cruel and inhuman punishment.  Further, the petitioner alleged that the conditions of Mr. </w:t>
      </w:r>
      <w:proofErr w:type="spellStart"/>
      <w:r w:rsidRPr="002A77F8">
        <w:rPr>
          <w:rFonts w:asciiTheme="majorHAnsi" w:hAnsiTheme="majorHAnsi"/>
          <w:sz w:val="20"/>
          <w:szCs w:val="20"/>
        </w:rPr>
        <w:t>Villaroel’s</w:t>
      </w:r>
      <w:proofErr w:type="spellEnd"/>
      <w:r w:rsidRPr="002A77F8">
        <w:rPr>
          <w:rFonts w:asciiTheme="majorHAnsi" w:hAnsiTheme="majorHAnsi"/>
          <w:sz w:val="20"/>
          <w:szCs w:val="20"/>
        </w:rPr>
        <w:t xml:space="preserve"> imprisonment violated his rights under Article 5(2) of the Convention and Article XXV of the Declaration, as well as his right to privacy under Article 11(1) of the Convention, and his right to preservation of health and well-being contrary to Article XI of the Declaration.  Finally, the denial of access to a court to seek redress for the violations of the above rights due to a lack of financial resources was claimed to be contrary to the provisions of Articles 24 and 25 of the Convention and Articles II, XVII, XVIII, and XXVI of the Declaration.</w:t>
      </w:r>
    </w:p>
    <w:p w:rsidR="002A77F8" w:rsidRPr="002A77F8" w:rsidRDefault="002A77F8" w:rsidP="002A77F8">
      <w:pPr>
        <w:jc w:val="both"/>
        <w:rPr>
          <w:rFonts w:asciiTheme="majorHAnsi" w:hAnsiTheme="majorHAnsi"/>
          <w:noProof/>
          <w:sz w:val="20"/>
          <w:szCs w:val="20"/>
        </w:rPr>
      </w:pPr>
    </w:p>
    <w:p w:rsidR="002A77F8" w:rsidRPr="002A77F8" w:rsidRDefault="002A77F8" w:rsidP="002A77F8">
      <w:pPr>
        <w:ind w:firstLine="720"/>
        <w:jc w:val="both"/>
        <w:rPr>
          <w:rFonts w:asciiTheme="majorHAnsi" w:hAnsiTheme="majorHAnsi"/>
          <w:b/>
          <w:noProof/>
          <w:sz w:val="20"/>
          <w:szCs w:val="20"/>
        </w:rPr>
      </w:pPr>
      <w:r w:rsidRPr="002A77F8">
        <w:rPr>
          <w:rFonts w:asciiTheme="majorHAnsi" w:hAnsiTheme="majorHAnsi"/>
          <w:b/>
          <w:noProof/>
          <w:sz w:val="20"/>
          <w:szCs w:val="20"/>
        </w:rPr>
        <w:t>II.</w:t>
      </w:r>
      <w:r w:rsidRPr="002A77F8">
        <w:rPr>
          <w:rFonts w:asciiTheme="majorHAnsi" w:hAnsiTheme="majorHAnsi"/>
          <w:b/>
          <w:noProof/>
          <w:sz w:val="20"/>
          <w:szCs w:val="20"/>
        </w:rPr>
        <w:tab/>
        <w:t>POSITION OF THE STATE</w:t>
      </w:r>
    </w:p>
    <w:p w:rsidR="002A77F8" w:rsidRPr="002A77F8" w:rsidRDefault="002A77F8" w:rsidP="002A77F8">
      <w:pPr>
        <w:jc w:val="both"/>
        <w:rPr>
          <w:rFonts w:asciiTheme="majorHAnsi" w:hAnsiTheme="majorHAnsi"/>
          <w:noProof/>
          <w:sz w:val="20"/>
          <w:szCs w:val="20"/>
        </w:rPr>
      </w:pP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2A77F8">
        <w:rPr>
          <w:rFonts w:asciiTheme="majorHAnsi" w:hAnsiTheme="majorHAnsi"/>
          <w:noProof/>
          <w:sz w:val="20"/>
          <w:szCs w:val="20"/>
        </w:rPr>
        <w:t>The Commission has not yet received any information or observations from the State regarding this case.</w:t>
      </w:r>
    </w:p>
    <w:p w:rsidR="002A77F8" w:rsidRDefault="002A77F8" w:rsidP="002A77F8">
      <w:pPr>
        <w:jc w:val="both"/>
        <w:rPr>
          <w:rFonts w:asciiTheme="majorHAnsi" w:hAnsiTheme="majorHAnsi"/>
          <w:noProof/>
          <w:sz w:val="20"/>
          <w:szCs w:val="20"/>
        </w:rPr>
      </w:pPr>
    </w:p>
    <w:p w:rsidR="002A77F8" w:rsidRDefault="002A77F8">
      <w:pPr>
        <w:rPr>
          <w:rFonts w:asciiTheme="majorHAnsi" w:hAnsiTheme="majorHAnsi"/>
          <w:noProof/>
          <w:sz w:val="20"/>
          <w:szCs w:val="20"/>
        </w:rPr>
      </w:pPr>
      <w:r>
        <w:rPr>
          <w:rFonts w:asciiTheme="majorHAnsi" w:hAnsiTheme="majorHAnsi"/>
          <w:noProof/>
          <w:sz w:val="20"/>
          <w:szCs w:val="20"/>
        </w:rPr>
        <w:br w:type="page"/>
      </w:r>
    </w:p>
    <w:p w:rsidR="002A77F8" w:rsidRPr="002A77F8" w:rsidRDefault="002A77F8" w:rsidP="002A77F8">
      <w:pPr>
        <w:ind w:firstLine="720"/>
        <w:jc w:val="both"/>
        <w:rPr>
          <w:rFonts w:asciiTheme="majorHAnsi" w:hAnsiTheme="majorHAnsi"/>
          <w:b/>
          <w:noProof/>
          <w:sz w:val="20"/>
          <w:szCs w:val="20"/>
        </w:rPr>
      </w:pPr>
      <w:r w:rsidRPr="002A77F8">
        <w:rPr>
          <w:rFonts w:asciiTheme="majorHAnsi" w:hAnsiTheme="majorHAnsi"/>
          <w:b/>
          <w:noProof/>
          <w:sz w:val="20"/>
          <w:szCs w:val="20"/>
        </w:rPr>
        <w:lastRenderedPageBreak/>
        <w:t>III.</w:t>
      </w:r>
      <w:r w:rsidRPr="002A77F8">
        <w:rPr>
          <w:rFonts w:asciiTheme="majorHAnsi" w:hAnsiTheme="majorHAnsi"/>
          <w:b/>
          <w:noProof/>
          <w:sz w:val="20"/>
          <w:szCs w:val="20"/>
        </w:rPr>
        <w:tab/>
        <w:t>PROCEEDINGS BEFORE THE IACHR</w:t>
      </w:r>
    </w:p>
    <w:p w:rsidR="002A77F8" w:rsidRPr="002A77F8" w:rsidRDefault="002A77F8" w:rsidP="002A77F8">
      <w:pPr>
        <w:jc w:val="both"/>
        <w:rPr>
          <w:rFonts w:asciiTheme="majorHAnsi" w:hAnsiTheme="majorHAnsi"/>
          <w:noProof/>
          <w:sz w:val="20"/>
          <w:szCs w:val="20"/>
        </w:rPr>
      </w:pP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2A77F8">
        <w:rPr>
          <w:rFonts w:asciiTheme="majorHAnsi" w:hAnsiTheme="majorHAnsi"/>
          <w:noProof/>
          <w:sz w:val="20"/>
          <w:szCs w:val="20"/>
        </w:rPr>
        <w:t>On March 23, 2000, the IACHR received the petition, which was transmitted to the State on March 30, 2000.  On April 7, 2000, the State acknowledged receipt of the Commission’s communication.</w:t>
      </w:r>
    </w:p>
    <w:p w:rsidR="002A77F8" w:rsidRPr="002A77F8" w:rsidRDefault="002A77F8" w:rsidP="002A77F8">
      <w:pPr>
        <w:ind w:left="720"/>
        <w:jc w:val="both"/>
        <w:rPr>
          <w:rFonts w:asciiTheme="majorHAnsi" w:hAnsiTheme="majorHAnsi"/>
          <w:noProof/>
          <w:sz w:val="20"/>
          <w:szCs w:val="20"/>
        </w:rPr>
      </w:pP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2A77F8">
        <w:rPr>
          <w:rFonts w:asciiTheme="majorHAnsi" w:hAnsiTheme="majorHAnsi"/>
          <w:noProof/>
          <w:sz w:val="20"/>
          <w:szCs w:val="20"/>
        </w:rPr>
        <w:t>On October 13, 2005, the Commission adopted Admissibility Report N</w:t>
      </w:r>
      <w:r w:rsidRPr="002A77F8">
        <w:rPr>
          <w:rFonts w:asciiTheme="majorHAnsi" w:hAnsiTheme="majorHAnsi"/>
          <w:noProof/>
          <w:sz w:val="20"/>
          <w:szCs w:val="20"/>
          <w:vertAlign w:val="superscript"/>
        </w:rPr>
        <w:t>o</w:t>
      </w:r>
      <w:r w:rsidRPr="002A77F8">
        <w:rPr>
          <w:rFonts w:asciiTheme="majorHAnsi" w:hAnsiTheme="majorHAnsi"/>
          <w:noProof/>
          <w:sz w:val="20"/>
          <w:szCs w:val="20"/>
        </w:rPr>
        <w:t xml:space="preserve"> 66/05 which was transmitted to the parties by letter dated October 31, 2005.  The IACHR set a period of two months for the petitioner to present additional observations regarding the merits of the case pursuant to Article 38(1) of the Rules of Procedures in force at the time.  As of the date of this report, the IACHR has not received any observations from the petitioner.</w:t>
      </w:r>
    </w:p>
    <w:p w:rsidR="002A77F8" w:rsidRPr="002A77F8" w:rsidRDefault="002A77F8" w:rsidP="002A77F8">
      <w:pPr>
        <w:jc w:val="both"/>
        <w:rPr>
          <w:rFonts w:asciiTheme="majorHAnsi" w:hAnsiTheme="majorHAnsi"/>
          <w:noProof/>
          <w:sz w:val="20"/>
          <w:szCs w:val="20"/>
        </w:rPr>
      </w:pP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2A77F8">
        <w:rPr>
          <w:rFonts w:asciiTheme="majorHAnsi" w:hAnsiTheme="majorHAnsi"/>
          <w:noProof/>
          <w:sz w:val="20"/>
          <w:szCs w:val="20"/>
        </w:rPr>
        <w:t xml:space="preserve">On May 30, 2012, the IACHR requested updated information from the petitioner indicating that the Commission may archive the petition.  </w:t>
      </w:r>
      <w:r w:rsidRPr="002A77F8">
        <w:rPr>
          <w:rFonts w:asciiTheme="majorHAnsi" w:hAnsiTheme="majorHAnsi"/>
          <w:sz w:val="20"/>
          <w:szCs w:val="20"/>
        </w:rPr>
        <w:t>To date, the petitioner has not responded to the IACHR’s request.</w:t>
      </w:r>
      <w:r w:rsidRPr="002A77F8">
        <w:rPr>
          <w:rFonts w:asciiTheme="majorHAnsi" w:hAnsiTheme="majorHAnsi"/>
          <w:noProof/>
          <w:sz w:val="20"/>
          <w:szCs w:val="20"/>
        </w:rPr>
        <w:t xml:space="preserve"> </w:t>
      </w:r>
    </w:p>
    <w:p w:rsidR="002A77F8" w:rsidRPr="002A77F8" w:rsidRDefault="002A77F8" w:rsidP="002A77F8">
      <w:pPr>
        <w:pStyle w:val="ListParagraph"/>
        <w:rPr>
          <w:rFonts w:asciiTheme="majorHAnsi" w:hAnsiTheme="majorHAnsi"/>
          <w:noProof/>
          <w:sz w:val="20"/>
          <w:szCs w:val="20"/>
        </w:rPr>
      </w:pPr>
    </w:p>
    <w:p w:rsidR="002A77F8" w:rsidRPr="002A77F8" w:rsidRDefault="002A77F8" w:rsidP="002A77F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noProof/>
          <w:sz w:val="20"/>
          <w:szCs w:val="20"/>
        </w:rPr>
      </w:pPr>
      <w:r w:rsidRPr="002A77F8">
        <w:rPr>
          <w:rFonts w:asciiTheme="majorHAnsi" w:hAnsiTheme="majorHAnsi"/>
          <w:b/>
          <w:noProof/>
          <w:sz w:val="20"/>
          <w:szCs w:val="20"/>
        </w:rPr>
        <w:t>GROUNDS FOR THE DECISION TO ARCHIVE</w:t>
      </w:r>
    </w:p>
    <w:p w:rsidR="002A77F8" w:rsidRPr="002A77F8" w:rsidRDefault="002A77F8" w:rsidP="002A77F8">
      <w:pPr>
        <w:jc w:val="both"/>
        <w:rPr>
          <w:rFonts w:asciiTheme="majorHAnsi" w:hAnsiTheme="majorHAnsi"/>
          <w:noProof/>
          <w:sz w:val="20"/>
          <w:szCs w:val="20"/>
        </w:rPr>
      </w:pP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2A77F8">
        <w:rPr>
          <w:rFonts w:asciiTheme="majorHAnsi" w:hAnsiTheme="majorHAnsi"/>
          <w:noProof/>
          <w:sz w:val="20"/>
          <w:szCs w:val="20"/>
        </w:rPr>
        <w:t xml:space="preserve">Article 42 of the IACHR’s Rules sets forth the procedure for archiving </w:t>
      </w:r>
      <w:smartTag w:uri="urn:schemas-microsoft-com:office:smarttags" w:element="PersonName">
        <w:r w:rsidRPr="002A77F8">
          <w:rPr>
            <w:rFonts w:asciiTheme="majorHAnsi" w:hAnsiTheme="majorHAnsi"/>
            <w:noProof/>
            <w:sz w:val="20"/>
            <w:szCs w:val="20"/>
          </w:rPr>
          <w:t>pe</w:t>
        </w:r>
      </w:smartTag>
      <w:r w:rsidRPr="002A77F8">
        <w:rPr>
          <w:rFonts w:asciiTheme="majorHAnsi" w:hAnsiTheme="majorHAnsi"/>
          <w:noProof/>
          <w:sz w:val="20"/>
          <w:szCs w:val="20"/>
        </w:rPr>
        <w:t xml:space="preserve">titions and cases, when the grounds for the </w:t>
      </w:r>
      <w:smartTag w:uri="urn:schemas-microsoft-com:office:smarttags" w:element="PersonName">
        <w:r w:rsidRPr="002A77F8">
          <w:rPr>
            <w:rFonts w:asciiTheme="majorHAnsi" w:hAnsiTheme="majorHAnsi"/>
            <w:noProof/>
            <w:sz w:val="20"/>
            <w:szCs w:val="20"/>
          </w:rPr>
          <w:t>pe</w:t>
        </w:r>
      </w:smartTag>
      <w:r w:rsidRPr="002A77F8">
        <w:rPr>
          <w:rFonts w:asciiTheme="majorHAnsi" w:hAnsiTheme="majorHAnsi"/>
          <w:noProof/>
          <w:sz w:val="20"/>
          <w:szCs w:val="20"/>
        </w:rPr>
        <w:t xml:space="preserve">tition or case do not exist or subsist, or when the information necessary for the adoption of a decision is unavailable.  In such cases, the IACHR, after having requested information from the </w:t>
      </w:r>
      <w:smartTag w:uri="urn:schemas-microsoft-com:office:smarttags" w:element="PersonName">
        <w:r w:rsidRPr="002A77F8">
          <w:rPr>
            <w:rFonts w:asciiTheme="majorHAnsi" w:hAnsiTheme="majorHAnsi"/>
            <w:noProof/>
            <w:sz w:val="20"/>
            <w:szCs w:val="20"/>
          </w:rPr>
          <w:t>pe</w:t>
        </w:r>
      </w:smartTag>
      <w:r w:rsidRPr="002A77F8">
        <w:rPr>
          <w:rFonts w:asciiTheme="majorHAnsi" w:hAnsiTheme="majorHAnsi"/>
          <w:noProof/>
          <w:sz w:val="20"/>
          <w:szCs w:val="20"/>
        </w:rPr>
        <w:t xml:space="preserve">titioners and given notice of the possibility of a decision to archive to the </w:t>
      </w:r>
      <w:smartTag w:uri="urn:schemas-microsoft-com:office:smarttags" w:element="PersonName">
        <w:r w:rsidRPr="002A77F8">
          <w:rPr>
            <w:rFonts w:asciiTheme="majorHAnsi" w:hAnsiTheme="majorHAnsi"/>
            <w:noProof/>
            <w:sz w:val="20"/>
            <w:szCs w:val="20"/>
          </w:rPr>
          <w:t>pe</w:t>
        </w:r>
      </w:smartTag>
      <w:r w:rsidRPr="002A77F8">
        <w:rPr>
          <w:rFonts w:asciiTheme="majorHAnsi" w:hAnsiTheme="majorHAnsi"/>
          <w:noProof/>
          <w:sz w:val="20"/>
          <w:szCs w:val="20"/>
        </w:rPr>
        <w:t>titioners, shall proceed to adopt the appropriate decision.</w:t>
      </w:r>
    </w:p>
    <w:p w:rsidR="002A77F8" w:rsidRPr="002A77F8" w:rsidRDefault="002A77F8" w:rsidP="002A77F8">
      <w:pPr>
        <w:jc w:val="both"/>
        <w:rPr>
          <w:rFonts w:asciiTheme="majorHAnsi" w:hAnsiTheme="majorHAnsi"/>
          <w:noProof/>
          <w:sz w:val="20"/>
          <w:szCs w:val="20"/>
        </w:rPr>
      </w:pPr>
    </w:p>
    <w:p w:rsidR="002A77F8" w:rsidRPr="002A77F8" w:rsidRDefault="002A77F8" w:rsidP="002A77F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2A77F8">
        <w:rPr>
          <w:rFonts w:asciiTheme="majorHAnsi" w:hAnsiTheme="majorHAnsi"/>
          <w:noProof/>
          <w:sz w:val="20"/>
          <w:szCs w:val="20"/>
        </w:rPr>
        <w:t>Since the transmittal of the Admissibility Report, the Commission has received no information from the petitioner, despite its request for updated information giving notice of the possibility of a decision to archive.  Therefore, more than eight years have elapsed since the adoption of the admissibility decision and the IACHR lacks the information on the merits needed to determine whether or not the grounds for this case still exist or subsist.  As a result, the IACHR decides to archive the file of the present case, pursuant to Article 42.1(b) of the Rules of Procedure.</w:t>
      </w:r>
    </w:p>
    <w:p w:rsidR="002A77F8" w:rsidRDefault="002A77F8" w:rsidP="002A77F8">
      <w:pPr>
        <w:suppressAutoHyphens/>
        <w:ind w:firstLine="720"/>
        <w:jc w:val="both"/>
        <w:rPr>
          <w:rFonts w:asciiTheme="majorHAnsi" w:hAnsiTheme="majorHAnsi"/>
          <w:spacing w:val="-2"/>
          <w:sz w:val="20"/>
          <w:szCs w:val="20"/>
        </w:rPr>
      </w:pPr>
    </w:p>
    <w:p w:rsidR="004062B9" w:rsidRPr="003469F3" w:rsidRDefault="004062B9" w:rsidP="004062B9">
      <w:pPr>
        <w:ind w:firstLine="720"/>
        <w:jc w:val="both"/>
        <w:rPr>
          <w:rFonts w:asciiTheme="majorHAnsi" w:hAnsiTheme="majorHAnsi"/>
          <w:spacing w:val="-2"/>
          <w:sz w:val="20"/>
          <w:szCs w:val="20"/>
        </w:rPr>
      </w:pPr>
      <w:r w:rsidRPr="003469F3">
        <w:rPr>
          <w:rFonts w:asciiTheme="majorHAnsi" w:hAnsiTheme="majorHAnsi"/>
          <w:spacing w:val="-2"/>
          <w:sz w:val="20"/>
          <w:szCs w:val="20"/>
        </w:rPr>
        <w:t>Done and signed in the ci</w:t>
      </w:r>
      <w:r>
        <w:rPr>
          <w:rFonts w:asciiTheme="majorHAnsi" w:hAnsiTheme="majorHAnsi"/>
          <w:spacing w:val="-2"/>
          <w:sz w:val="20"/>
          <w:szCs w:val="20"/>
        </w:rPr>
        <w:t>ty of Washington, D.C., on the 4</w:t>
      </w:r>
      <w:r w:rsidRPr="003469F3">
        <w:rPr>
          <w:rFonts w:asciiTheme="majorHAnsi" w:hAnsiTheme="majorHAnsi"/>
          <w:spacing w:val="-2"/>
          <w:sz w:val="20"/>
          <w:szCs w:val="20"/>
        </w:rPr>
        <w:t xml:space="preserve">th day of the month of </w:t>
      </w:r>
      <w:r>
        <w:rPr>
          <w:rFonts w:asciiTheme="majorHAnsi" w:hAnsiTheme="majorHAnsi"/>
          <w:spacing w:val="-2"/>
          <w:sz w:val="20"/>
          <w:szCs w:val="20"/>
        </w:rPr>
        <w:t>April</w:t>
      </w:r>
      <w:r w:rsidRPr="003469F3">
        <w:rPr>
          <w:rFonts w:asciiTheme="majorHAnsi" w:hAnsiTheme="majorHAnsi"/>
          <w:spacing w:val="-2"/>
          <w:sz w:val="20"/>
          <w:szCs w:val="20"/>
        </w:rPr>
        <w:t xml:space="preserve">, 2014. </w:t>
      </w:r>
      <w:proofErr w:type="gramStart"/>
      <w:r w:rsidRPr="003469F3">
        <w:rPr>
          <w:rFonts w:asciiTheme="majorHAnsi" w:hAnsiTheme="majorHAnsi"/>
          <w:spacing w:val="-2"/>
          <w:sz w:val="20"/>
          <w:szCs w:val="20"/>
        </w:rPr>
        <w:t xml:space="preserve">(Signed):  </w:t>
      </w:r>
      <w:r w:rsidRPr="003469F3">
        <w:rPr>
          <w:rFonts w:asciiTheme="majorHAnsi" w:hAnsiTheme="majorHAnsi"/>
          <w:sz w:val="20"/>
          <w:szCs w:val="20"/>
        </w:rPr>
        <w:t>Tracy Robinson</w:t>
      </w:r>
      <w:r w:rsidRPr="003469F3">
        <w:rPr>
          <w:rFonts w:asciiTheme="majorHAnsi" w:hAnsiTheme="majorHAnsi"/>
          <w:spacing w:val="-2"/>
          <w:sz w:val="20"/>
          <w:szCs w:val="20"/>
        </w:rPr>
        <w:t xml:space="preserve">, </w:t>
      </w:r>
      <w:r w:rsidRPr="003469F3">
        <w:rPr>
          <w:rFonts w:asciiTheme="majorHAnsi" w:hAnsiTheme="majorHAnsi"/>
          <w:sz w:val="20"/>
          <w:szCs w:val="20"/>
        </w:rPr>
        <w:t xml:space="preserve">President; </w:t>
      </w:r>
      <w:r w:rsidRPr="003469F3">
        <w:rPr>
          <w:rFonts w:asciiTheme="majorHAnsi" w:hAnsiTheme="majorHAnsi" w:cs="Arial"/>
          <w:noProof/>
          <w:spacing w:val="-2"/>
          <w:sz w:val="20"/>
          <w:szCs w:val="20"/>
        </w:rPr>
        <w:t>Felipe González</w:t>
      </w:r>
      <w:r w:rsidRPr="003469F3">
        <w:rPr>
          <w:rFonts w:asciiTheme="majorHAnsi" w:hAnsiTheme="majorHAnsi"/>
          <w:spacing w:val="-2"/>
          <w:sz w:val="20"/>
          <w:szCs w:val="20"/>
        </w:rPr>
        <w:t xml:space="preserve">, Second Vice-President; </w:t>
      </w:r>
      <w:r w:rsidRPr="003469F3">
        <w:rPr>
          <w:rFonts w:asciiTheme="majorHAnsi" w:hAnsiTheme="majorHAnsi" w:cs="Arial"/>
          <w:noProof/>
          <w:spacing w:val="-2"/>
          <w:sz w:val="20"/>
          <w:szCs w:val="20"/>
        </w:rPr>
        <w:t xml:space="preserve">José de Jesús Orozco Henríquez, Paulo Vannuchi, </w:t>
      </w:r>
      <w:r w:rsidRPr="003469F3">
        <w:rPr>
          <w:rFonts w:asciiTheme="majorHAnsi" w:hAnsiTheme="majorHAnsi"/>
          <w:spacing w:val="-2"/>
          <w:sz w:val="20"/>
          <w:szCs w:val="20"/>
        </w:rPr>
        <w:t>and</w:t>
      </w:r>
      <w:r w:rsidRPr="003469F3">
        <w:rPr>
          <w:rFonts w:asciiTheme="majorHAnsi" w:hAnsiTheme="majorHAnsi"/>
          <w:sz w:val="20"/>
          <w:szCs w:val="20"/>
        </w:rPr>
        <w:t xml:space="preserve"> James L. </w:t>
      </w:r>
      <w:proofErr w:type="spellStart"/>
      <w:r w:rsidRPr="003469F3">
        <w:rPr>
          <w:rFonts w:asciiTheme="majorHAnsi" w:hAnsiTheme="majorHAnsi"/>
          <w:sz w:val="20"/>
          <w:szCs w:val="20"/>
        </w:rPr>
        <w:t>Cavallaro</w:t>
      </w:r>
      <w:proofErr w:type="spellEnd"/>
      <w:r w:rsidRPr="003469F3">
        <w:rPr>
          <w:rFonts w:asciiTheme="majorHAnsi" w:hAnsiTheme="majorHAnsi"/>
          <w:sz w:val="20"/>
          <w:szCs w:val="20"/>
        </w:rPr>
        <w:t xml:space="preserve"> </w:t>
      </w:r>
      <w:r w:rsidRPr="003469F3">
        <w:rPr>
          <w:rFonts w:asciiTheme="majorHAnsi" w:hAnsiTheme="majorHAnsi"/>
          <w:spacing w:val="-2"/>
          <w:sz w:val="20"/>
          <w:szCs w:val="20"/>
        </w:rPr>
        <w:t>Commissioners.</w:t>
      </w:r>
      <w:proofErr w:type="gramEnd"/>
    </w:p>
    <w:p w:rsidR="004062B9" w:rsidRPr="002A77F8" w:rsidRDefault="004062B9" w:rsidP="002A77F8">
      <w:pPr>
        <w:suppressAutoHyphens/>
        <w:ind w:firstLine="720"/>
        <w:jc w:val="both"/>
        <w:rPr>
          <w:rFonts w:asciiTheme="majorHAnsi" w:hAnsiTheme="majorHAnsi"/>
          <w:spacing w:val="-2"/>
          <w:sz w:val="20"/>
          <w:szCs w:val="20"/>
        </w:rPr>
      </w:pPr>
    </w:p>
    <w:sectPr w:rsidR="004062B9" w:rsidRPr="002A77F8"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01" w:rsidRDefault="00931E01" w:rsidP="00036A8A">
      <w:r>
        <w:separator/>
      </w:r>
    </w:p>
  </w:endnote>
  <w:endnote w:type="continuationSeparator" w:id="0">
    <w:p w:rsidR="00931E01" w:rsidRDefault="00931E0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062B9">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01" w:rsidRPr="00036A8A" w:rsidRDefault="00931E0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31E01" w:rsidRPr="00036A8A" w:rsidRDefault="00931E01" w:rsidP="00036A8A">
      <w:pPr>
        <w:rPr>
          <w:rFonts w:asciiTheme="majorHAnsi" w:hAnsiTheme="majorHAnsi"/>
          <w:sz w:val="16"/>
          <w:szCs w:val="16"/>
        </w:rPr>
      </w:pPr>
      <w:r w:rsidRPr="00036A8A">
        <w:rPr>
          <w:rFonts w:asciiTheme="majorHAnsi" w:hAnsiTheme="majorHAnsi"/>
          <w:sz w:val="16"/>
          <w:szCs w:val="16"/>
        </w:rPr>
        <w:separator/>
      </w:r>
    </w:p>
    <w:p w:rsidR="00931E01" w:rsidRPr="00036A8A" w:rsidRDefault="00931E0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931E01" w:rsidRPr="0093441A" w:rsidRDefault="00931E0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31E0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BF235B"/>
    <w:multiLevelType w:val="hybridMultilevel"/>
    <w:tmpl w:val="12768670"/>
    <w:lvl w:ilvl="0" w:tplc="4F5E373A">
      <w:start w:val="1"/>
      <w:numFmt w:val="upperRoman"/>
      <w:lvlText w:val="%1."/>
      <w:lvlJc w:val="left"/>
      <w:pPr>
        <w:tabs>
          <w:tab w:val="num" w:pos="1260"/>
        </w:tabs>
        <w:ind w:left="1260" w:hanging="72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3B70BABA">
      <w:start w:val="1"/>
      <w:numFmt w:val="upperLetter"/>
      <w:lvlText w:val="%4."/>
      <w:lvlJc w:val="left"/>
      <w:pPr>
        <w:tabs>
          <w:tab w:val="num" w:pos="3060"/>
        </w:tabs>
        <w:ind w:left="3060" w:hanging="360"/>
      </w:pPr>
      <w:rPr>
        <w:rFonts w:cs="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BB593D"/>
    <w:multiLevelType w:val="hybridMultilevel"/>
    <w:tmpl w:val="28CEB052"/>
    <w:lvl w:ilvl="0" w:tplc="9AF659A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2FE33B1"/>
    <w:multiLevelType w:val="hybridMultilevel"/>
    <w:tmpl w:val="DD664E54"/>
    <w:lvl w:ilvl="0" w:tplc="6FE2A9B6">
      <w:start w:val="1"/>
      <w:numFmt w:val="lowerLetter"/>
      <w:lvlText w:val="(%1)"/>
      <w:lvlJc w:val="left"/>
      <w:pPr>
        <w:tabs>
          <w:tab w:val="num" w:pos="720"/>
        </w:tabs>
        <w:ind w:left="720" w:hanging="360"/>
      </w:pPr>
      <w:rPr>
        <w:rFonts w:cs="Times New Roman" w:hint="default"/>
      </w:rPr>
    </w:lvl>
    <w:lvl w:ilvl="1" w:tplc="6824C754">
      <w:start w:val="4"/>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0C5D2C"/>
    <w:multiLevelType w:val="hybridMultilevel"/>
    <w:tmpl w:val="0B8EB41C"/>
    <w:lvl w:ilvl="0" w:tplc="8A36CD8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8DE2EF1"/>
    <w:multiLevelType w:val="multilevel"/>
    <w:tmpl w:val="800CF4A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4"/>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3"/>
  </w:num>
  <w:num w:numId="87">
    <w:abstractNumId w:val="56"/>
  </w:num>
  <w:num w:numId="88">
    <w:abstractNumId w:val="58"/>
  </w:num>
  <w:num w:numId="89">
    <w:abstractNumId w:val="61"/>
  </w:num>
  <w:num w:numId="90">
    <w:abstractNumId w:val="62"/>
  </w:num>
  <w:num w:numId="91">
    <w:abstractNumId w:val="63"/>
  </w:num>
  <w:num w:numId="92">
    <w:abstractNumId w:val="64"/>
  </w:num>
  <w:num w:numId="93">
    <w:abstractNumId w:val="65"/>
  </w:num>
  <w:num w:numId="94">
    <w:abstractNumId w:val="23"/>
  </w:num>
  <w:num w:numId="95">
    <w:abstractNumId w:val="44"/>
  </w:num>
  <w:num w:numId="96">
    <w:abstractNumId w:val="55"/>
  </w:num>
  <w:num w:numId="97">
    <w:abstractNumId w:val="52"/>
  </w:num>
  <w:num w:numId="98">
    <w:abstractNumId w:val="47"/>
  </w:num>
  <w:num w:numId="99">
    <w:abstractNumId w:val="39"/>
  </w:num>
  <w:num w:numId="100">
    <w:abstractNumId w:val="3"/>
  </w:num>
  <w:num w:numId="101">
    <w:abstractNumId w:val="28"/>
  </w:num>
  <w:num w:numId="102">
    <w:abstractNumId w:val="49"/>
  </w:num>
  <w:num w:numId="103">
    <w:abstractNumId w:val="6"/>
  </w:num>
  <w:num w:numId="104">
    <w:abstractNumId w:val="60"/>
  </w:num>
  <w:num w:numId="105">
    <w:abstractNumId w:val="4"/>
  </w:num>
  <w:num w:numId="106">
    <w:abstractNumId w:val="54"/>
  </w:num>
  <w:num w:numId="107">
    <w:abstractNumId w:val="10"/>
  </w:num>
  <w:num w:numId="108">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26E1"/>
    <w:rsid w:val="000A575F"/>
    <w:rsid w:val="000D10DB"/>
    <w:rsid w:val="0013104F"/>
    <w:rsid w:val="00137EBA"/>
    <w:rsid w:val="00145EDC"/>
    <w:rsid w:val="00167A34"/>
    <w:rsid w:val="0018037F"/>
    <w:rsid w:val="001A5F27"/>
    <w:rsid w:val="001A7870"/>
    <w:rsid w:val="001C1B41"/>
    <w:rsid w:val="001C2749"/>
    <w:rsid w:val="00205DE1"/>
    <w:rsid w:val="00210E0E"/>
    <w:rsid w:val="00247403"/>
    <w:rsid w:val="00247542"/>
    <w:rsid w:val="00257893"/>
    <w:rsid w:val="00266092"/>
    <w:rsid w:val="00266B61"/>
    <w:rsid w:val="0026712A"/>
    <w:rsid w:val="002704DB"/>
    <w:rsid w:val="002A77F8"/>
    <w:rsid w:val="002C1641"/>
    <w:rsid w:val="002D7EA2"/>
    <w:rsid w:val="002E15DF"/>
    <w:rsid w:val="002E187C"/>
    <w:rsid w:val="002E6E57"/>
    <w:rsid w:val="002F4D1A"/>
    <w:rsid w:val="00301075"/>
    <w:rsid w:val="00302733"/>
    <w:rsid w:val="00311A4F"/>
    <w:rsid w:val="00314078"/>
    <w:rsid w:val="00322450"/>
    <w:rsid w:val="003246B5"/>
    <w:rsid w:val="0033169F"/>
    <w:rsid w:val="003414AC"/>
    <w:rsid w:val="00356185"/>
    <w:rsid w:val="00360380"/>
    <w:rsid w:val="00386CF0"/>
    <w:rsid w:val="003C1E6E"/>
    <w:rsid w:val="003C32BC"/>
    <w:rsid w:val="003F1BBF"/>
    <w:rsid w:val="004062B9"/>
    <w:rsid w:val="004165C2"/>
    <w:rsid w:val="00450A4A"/>
    <w:rsid w:val="004666FB"/>
    <w:rsid w:val="00467B7E"/>
    <w:rsid w:val="0049419D"/>
    <w:rsid w:val="004A63BE"/>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82086"/>
    <w:rsid w:val="007A2F70"/>
    <w:rsid w:val="007C3334"/>
    <w:rsid w:val="007C52BB"/>
    <w:rsid w:val="007D2B98"/>
    <w:rsid w:val="00803F1C"/>
    <w:rsid w:val="0080600E"/>
    <w:rsid w:val="00817612"/>
    <w:rsid w:val="00837C45"/>
    <w:rsid w:val="00853419"/>
    <w:rsid w:val="00897E12"/>
    <w:rsid w:val="008D43BA"/>
    <w:rsid w:val="008E3759"/>
    <w:rsid w:val="008F726F"/>
    <w:rsid w:val="009041DC"/>
    <w:rsid w:val="009104B4"/>
    <w:rsid w:val="00925FCD"/>
    <w:rsid w:val="00931E01"/>
    <w:rsid w:val="0093441A"/>
    <w:rsid w:val="00954BF7"/>
    <w:rsid w:val="0096706E"/>
    <w:rsid w:val="00981FBA"/>
    <w:rsid w:val="00994A4B"/>
    <w:rsid w:val="009B381B"/>
    <w:rsid w:val="009D7611"/>
    <w:rsid w:val="009E53DE"/>
    <w:rsid w:val="00A43458"/>
    <w:rsid w:val="00A528D1"/>
    <w:rsid w:val="00A66BE5"/>
    <w:rsid w:val="00AD37C1"/>
    <w:rsid w:val="00AD775A"/>
    <w:rsid w:val="00AE66EC"/>
    <w:rsid w:val="00AE6F91"/>
    <w:rsid w:val="00AF5571"/>
    <w:rsid w:val="00B13D22"/>
    <w:rsid w:val="00B167E9"/>
    <w:rsid w:val="00B314DB"/>
    <w:rsid w:val="00B31EBE"/>
    <w:rsid w:val="00B3718B"/>
    <w:rsid w:val="00B4632A"/>
    <w:rsid w:val="00BA276C"/>
    <w:rsid w:val="00BA6DBD"/>
    <w:rsid w:val="00BB306F"/>
    <w:rsid w:val="00BD232B"/>
    <w:rsid w:val="00BD4B89"/>
    <w:rsid w:val="00C21762"/>
    <w:rsid w:val="00C24543"/>
    <w:rsid w:val="00C256A2"/>
    <w:rsid w:val="00C3492D"/>
    <w:rsid w:val="00C55560"/>
    <w:rsid w:val="00C66B72"/>
    <w:rsid w:val="00C9567A"/>
    <w:rsid w:val="00CA292E"/>
    <w:rsid w:val="00CB2660"/>
    <w:rsid w:val="00CC5E90"/>
    <w:rsid w:val="00CD046C"/>
    <w:rsid w:val="00CD2AD0"/>
    <w:rsid w:val="00CE5199"/>
    <w:rsid w:val="00CE66D5"/>
    <w:rsid w:val="00D34786"/>
    <w:rsid w:val="00D40A1E"/>
    <w:rsid w:val="00D57424"/>
    <w:rsid w:val="00D6259F"/>
    <w:rsid w:val="00D712D3"/>
    <w:rsid w:val="00D71422"/>
    <w:rsid w:val="00D7145E"/>
    <w:rsid w:val="00D7558D"/>
    <w:rsid w:val="00D81D92"/>
    <w:rsid w:val="00D93446"/>
    <w:rsid w:val="00DA7B5F"/>
    <w:rsid w:val="00E334C5"/>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1E2E"/>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B595-CFF0-4980-B922-BE588630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4240</Characters>
  <Application>Microsoft Office Word</Application>
  <DocSecurity>0</DocSecurity>
  <Lines>121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2015-03-03T14:30:00Z</dcterms:created>
  <dcterms:modified xsi:type="dcterms:W3CDTF">2015-03-03T14:30:00Z</dcterms:modified>
</cp:coreProperties>
</file>