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97C32">
                              <w:rPr>
                                <w:rFonts w:asciiTheme="majorHAnsi" w:hAnsiTheme="majorHAnsi" w:cs="Arial"/>
                                <w:b/>
                                <w:bCs/>
                                <w:color w:val="0D0D0D" w:themeColor="text1" w:themeTint="F2"/>
                                <w:sz w:val="36"/>
                                <w:szCs w:val="40"/>
                              </w:rPr>
                              <w:t>80</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897C32">
                              <w:rPr>
                                <w:rFonts w:asciiTheme="majorHAnsi" w:hAnsiTheme="majorHAnsi" w:cs="Arial"/>
                                <w:b/>
                                <w:bCs/>
                                <w:color w:val="0D0D0D" w:themeColor="text1" w:themeTint="F2"/>
                                <w:sz w:val="36"/>
                                <w:szCs w:val="40"/>
                              </w:rPr>
                              <w:t>12.261</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897C32" w:rsidRPr="004526C3" w:rsidRDefault="00897C32" w:rsidP="004B7EB6">
                            <w:pPr>
                              <w:spacing w:line="276" w:lineRule="auto"/>
                              <w:rPr>
                                <w:rFonts w:asciiTheme="majorHAnsi" w:hAnsiTheme="majorHAnsi" w:cs="Arial"/>
                                <w:color w:val="0D0D0D" w:themeColor="text1" w:themeTint="F2"/>
                                <w:szCs w:val="22"/>
                              </w:rPr>
                            </w:pPr>
                            <w:r w:rsidRPr="004526C3">
                              <w:rPr>
                                <w:rFonts w:asciiTheme="majorHAnsi" w:hAnsiTheme="majorHAnsi" w:cs="Arial"/>
                                <w:color w:val="0D0D0D" w:themeColor="text1" w:themeTint="F2"/>
                                <w:szCs w:val="22"/>
                              </w:rPr>
                              <w:t>PHILLIP RAY WORKMAN</w:t>
                            </w:r>
                          </w:p>
                          <w:p w:rsidR="005B52B0" w:rsidRPr="004B7EB6" w:rsidRDefault="00897C32" w:rsidP="00897C32">
                            <w:pPr>
                              <w:spacing w:line="276" w:lineRule="auto"/>
                              <w:rPr>
                                <w:rFonts w:asciiTheme="majorHAnsi" w:hAnsiTheme="majorHAnsi"/>
                                <w:color w:val="0D0D0D" w:themeColor="text1" w:themeTint="F2"/>
                                <w:lang w:val="es-ES_tradnl"/>
                              </w:rPr>
                            </w:pPr>
                            <w:r w:rsidRPr="00897C32">
                              <w:rPr>
                                <w:rFonts w:asciiTheme="majorHAnsi" w:hAnsiTheme="majorHAnsi" w:cs="Arial"/>
                                <w:color w:val="0D0D0D" w:themeColor="text1" w:themeTint="F2"/>
                                <w:szCs w:val="22"/>
                                <w:lang w:val="es-ES_tradnl"/>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97C32">
                        <w:rPr>
                          <w:rFonts w:asciiTheme="majorHAnsi" w:hAnsiTheme="majorHAnsi" w:cs="Arial"/>
                          <w:b/>
                          <w:bCs/>
                          <w:color w:val="0D0D0D" w:themeColor="text1" w:themeTint="F2"/>
                          <w:sz w:val="36"/>
                          <w:szCs w:val="40"/>
                        </w:rPr>
                        <w:t>80</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897C32">
                        <w:rPr>
                          <w:rFonts w:asciiTheme="majorHAnsi" w:hAnsiTheme="majorHAnsi" w:cs="Arial"/>
                          <w:b/>
                          <w:bCs/>
                          <w:color w:val="0D0D0D" w:themeColor="text1" w:themeTint="F2"/>
                          <w:sz w:val="36"/>
                          <w:szCs w:val="40"/>
                        </w:rPr>
                        <w:t>12.261</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897C32" w:rsidRPr="004526C3" w:rsidRDefault="00897C32" w:rsidP="004B7EB6">
                      <w:pPr>
                        <w:spacing w:line="276" w:lineRule="auto"/>
                        <w:rPr>
                          <w:rFonts w:asciiTheme="majorHAnsi" w:hAnsiTheme="majorHAnsi" w:cs="Arial"/>
                          <w:color w:val="0D0D0D" w:themeColor="text1" w:themeTint="F2"/>
                          <w:szCs w:val="22"/>
                        </w:rPr>
                      </w:pPr>
                      <w:r w:rsidRPr="004526C3">
                        <w:rPr>
                          <w:rFonts w:asciiTheme="majorHAnsi" w:hAnsiTheme="majorHAnsi" w:cs="Arial"/>
                          <w:color w:val="0D0D0D" w:themeColor="text1" w:themeTint="F2"/>
                          <w:szCs w:val="22"/>
                        </w:rPr>
                        <w:t>PHILLIP RAY WORKMAN</w:t>
                      </w:r>
                    </w:p>
                    <w:p w:rsidR="005B52B0" w:rsidRPr="004B7EB6" w:rsidRDefault="00897C32" w:rsidP="00897C32">
                      <w:pPr>
                        <w:spacing w:line="276" w:lineRule="auto"/>
                        <w:rPr>
                          <w:rFonts w:asciiTheme="majorHAnsi" w:hAnsiTheme="majorHAnsi"/>
                          <w:color w:val="0D0D0D" w:themeColor="text1" w:themeTint="F2"/>
                          <w:lang w:val="es-ES_tradnl"/>
                        </w:rPr>
                      </w:pPr>
                      <w:r w:rsidRPr="00897C32">
                        <w:rPr>
                          <w:rFonts w:asciiTheme="majorHAnsi" w:hAnsiTheme="majorHAnsi" w:cs="Arial"/>
                          <w:color w:val="0D0D0D" w:themeColor="text1" w:themeTint="F2"/>
                          <w:szCs w:val="22"/>
                          <w:lang w:val="es-ES_tradnl"/>
                        </w:rPr>
                        <w:t>UNITED STATES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2D67D3">
                              <w:rPr>
                                <w:rFonts w:asciiTheme="minorHAnsi" w:hAnsiTheme="minorHAnsi"/>
                                <w:color w:val="FFFFFF" w:themeColor="background1"/>
                                <w:sz w:val="22"/>
                                <w:lang w:val="pt-BR"/>
                              </w:rPr>
                              <w:t>1</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897C32">
                              <w:rPr>
                                <w:rFonts w:asciiTheme="minorHAnsi" w:hAnsiTheme="minorHAnsi"/>
                                <w:color w:val="FFFFFF" w:themeColor="background1"/>
                                <w:sz w:val="22"/>
                                <w:lang w:val="pt-BR"/>
                              </w:rPr>
                              <w:t>12</w:t>
                            </w:r>
                          </w:p>
                          <w:p w:rsidR="00627C9F" w:rsidRPr="004B7EB6" w:rsidRDefault="00897C32" w:rsidP="002C1641">
                            <w:pPr>
                              <w:jc w:val="right"/>
                              <w:rPr>
                                <w:rFonts w:asciiTheme="minorHAnsi" w:hAnsiTheme="minorHAnsi"/>
                                <w:color w:val="FFFFFF" w:themeColor="background1"/>
                                <w:sz w:val="22"/>
                              </w:rPr>
                            </w:pPr>
                            <w:r>
                              <w:rPr>
                                <w:rFonts w:asciiTheme="minorHAnsi" w:hAnsiTheme="minorHAnsi"/>
                                <w:color w:val="FFFFFF" w:themeColor="background1"/>
                                <w:sz w:val="22"/>
                              </w:rPr>
                              <w:t>August 15,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2D67D3">
                        <w:rPr>
                          <w:rFonts w:asciiTheme="minorHAnsi" w:hAnsiTheme="minorHAnsi"/>
                          <w:color w:val="FFFFFF" w:themeColor="background1"/>
                          <w:sz w:val="22"/>
                          <w:lang w:val="pt-BR"/>
                        </w:rPr>
                        <w:t>1</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897C32">
                        <w:rPr>
                          <w:rFonts w:asciiTheme="minorHAnsi" w:hAnsiTheme="minorHAnsi"/>
                          <w:color w:val="FFFFFF" w:themeColor="background1"/>
                          <w:sz w:val="22"/>
                          <w:lang w:val="pt-BR"/>
                        </w:rPr>
                        <w:t>12</w:t>
                      </w:r>
                    </w:p>
                    <w:p w:rsidR="00627C9F" w:rsidRPr="004B7EB6" w:rsidRDefault="00897C32" w:rsidP="002C1641">
                      <w:pPr>
                        <w:jc w:val="right"/>
                        <w:rPr>
                          <w:rFonts w:asciiTheme="minorHAnsi" w:hAnsiTheme="minorHAnsi"/>
                          <w:color w:val="FFFFFF" w:themeColor="background1"/>
                          <w:sz w:val="22"/>
                        </w:rPr>
                      </w:pPr>
                      <w:r>
                        <w:rPr>
                          <w:rFonts w:asciiTheme="minorHAnsi" w:hAnsiTheme="minorHAnsi"/>
                          <w:color w:val="FFFFFF" w:themeColor="background1"/>
                          <w:sz w:val="22"/>
                        </w:rPr>
                        <w:t>August 15,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897C32">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897C32">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897C32">
                              <w:rPr>
                                <w:rFonts w:asciiTheme="majorHAnsi" w:hAnsiTheme="majorHAnsi" w:cs="Univers"/>
                                <w:color w:val="0D0D0D" w:themeColor="text1" w:themeTint="F2"/>
                                <w:sz w:val="18"/>
                                <w:szCs w:val="20"/>
                              </w:rPr>
                              <w:t>1</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897C32">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897C32">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897C32">
                        <w:rPr>
                          <w:rFonts w:asciiTheme="majorHAnsi" w:hAnsiTheme="majorHAnsi" w:cs="Univers"/>
                          <w:color w:val="0D0D0D" w:themeColor="text1" w:themeTint="F2"/>
                          <w:sz w:val="18"/>
                          <w:szCs w:val="20"/>
                        </w:rPr>
                        <w:t>1</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897C32">
                              <w:rPr>
                                <w:rFonts w:asciiTheme="majorHAnsi" w:hAnsiTheme="majorHAnsi"/>
                                <w:color w:val="595959" w:themeColor="text1" w:themeTint="A6"/>
                                <w:sz w:val="18"/>
                              </w:rPr>
                              <w:t>80/14</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Case</w:t>
                            </w:r>
                            <w:proofErr w:type="gramEnd"/>
                            <w:r w:rsidRPr="003C32BC">
                              <w:rPr>
                                <w:rFonts w:asciiTheme="majorHAnsi" w:hAnsiTheme="majorHAnsi"/>
                                <w:color w:val="595959" w:themeColor="text1" w:themeTint="A6"/>
                                <w:sz w:val="18"/>
                              </w:rPr>
                              <w:t xml:space="preserve"> </w:t>
                            </w:r>
                            <w:r w:rsidR="00897C32">
                              <w:rPr>
                                <w:rFonts w:asciiTheme="majorHAnsi" w:hAnsiTheme="majorHAnsi"/>
                                <w:color w:val="595959" w:themeColor="text1" w:themeTint="A6"/>
                                <w:sz w:val="18"/>
                              </w:rPr>
                              <w:t>12.261</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Pr="003C32BC">
                              <w:rPr>
                                <w:rFonts w:asciiTheme="majorHAnsi" w:hAnsiTheme="majorHAnsi"/>
                                <w:color w:val="595959" w:themeColor="text1" w:themeTint="A6"/>
                                <w:sz w:val="18"/>
                              </w:rPr>
                              <w:t xml:space="preserve"> </w:t>
                            </w:r>
                            <w:r w:rsidR="00897C32" w:rsidRPr="00897C32">
                              <w:rPr>
                                <w:rFonts w:asciiTheme="majorHAnsi" w:hAnsiTheme="majorHAnsi"/>
                                <w:color w:val="595959" w:themeColor="text1" w:themeTint="A6"/>
                                <w:sz w:val="18"/>
                              </w:rPr>
                              <w:t>Phillip Ray Workman</w:t>
                            </w:r>
                            <w:r w:rsidR="00897C32">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897C32">
                              <w:rPr>
                                <w:rFonts w:asciiTheme="majorHAnsi" w:hAnsiTheme="majorHAnsi"/>
                                <w:color w:val="595959" w:themeColor="text1" w:themeTint="A6"/>
                                <w:sz w:val="18"/>
                              </w:rPr>
                              <w:t>United States. August 15,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897C32">
                        <w:rPr>
                          <w:rFonts w:asciiTheme="majorHAnsi" w:hAnsiTheme="majorHAnsi"/>
                          <w:color w:val="595959" w:themeColor="text1" w:themeTint="A6"/>
                          <w:sz w:val="18"/>
                        </w:rPr>
                        <w:t>80/14</w:t>
                      </w:r>
                      <w:r w:rsidRPr="003C32BC">
                        <w:rPr>
                          <w:rFonts w:asciiTheme="majorHAnsi" w:hAnsiTheme="majorHAnsi"/>
                          <w:color w:val="595959" w:themeColor="text1" w:themeTint="A6"/>
                          <w:sz w:val="18"/>
                        </w:rPr>
                        <w:t xml:space="preserve">, Case </w:t>
                      </w:r>
                      <w:r w:rsidR="00897C32">
                        <w:rPr>
                          <w:rFonts w:asciiTheme="majorHAnsi" w:hAnsiTheme="majorHAnsi"/>
                          <w:color w:val="595959" w:themeColor="text1" w:themeTint="A6"/>
                          <w:sz w:val="18"/>
                        </w:rPr>
                        <w:t>12.261</w:t>
                      </w:r>
                      <w:r w:rsidRPr="003C32BC">
                        <w:rPr>
                          <w:rFonts w:asciiTheme="majorHAnsi" w:hAnsiTheme="majorHAnsi"/>
                          <w:color w:val="595959" w:themeColor="text1" w:themeTint="A6"/>
                          <w:sz w:val="18"/>
                        </w:rPr>
                        <w:t xml:space="preserve">. Archive. </w:t>
                      </w:r>
                      <w:r w:rsidR="00897C32" w:rsidRPr="00897C32">
                        <w:rPr>
                          <w:rFonts w:asciiTheme="majorHAnsi" w:hAnsiTheme="majorHAnsi"/>
                          <w:color w:val="595959" w:themeColor="text1" w:themeTint="A6"/>
                          <w:sz w:val="18"/>
                        </w:rPr>
                        <w:t>Phillip Ray Workman</w:t>
                      </w:r>
                      <w:r w:rsidR="00897C32">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897C32">
                        <w:rPr>
                          <w:rFonts w:asciiTheme="majorHAnsi" w:hAnsiTheme="majorHAnsi"/>
                          <w:color w:val="595959" w:themeColor="text1" w:themeTint="A6"/>
                          <w:sz w:val="18"/>
                        </w:rPr>
                        <w:t>United States. August 15,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76274">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76274">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897C32" w:rsidRPr="00897C32" w:rsidRDefault="00897C32" w:rsidP="00897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18"/>
          <w:bdr w:val="none" w:sz="0" w:space="0" w:color="auto"/>
        </w:rPr>
      </w:pPr>
      <w:r w:rsidRPr="00897C32">
        <w:rPr>
          <w:rFonts w:ascii="Cambria" w:eastAsia="Times New Roman" w:hAnsi="Cambria"/>
          <w:b/>
          <w:bCs/>
          <w:sz w:val="18"/>
          <w:szCs w:val="18"/>
          <w:bdr w:val="none" w:sz="0" w:space="0" w:color="auto"/>
        </w:rPr>
        <w:lastRenderedPageBreak/>
        <w:t>REPORT No. 80/14</w:t>
      </w:r>
    </w:p>
    <w:p w:rsidR="00897C32" w:rsidRPr="00897C32" w:rsidRDefault="00897C32" w:rsidP="00897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18"/>
          <w:bdr w:val="none" w:sz="0" w:space="0" w:color="auto"/>
        </w:rPr>
      </w:pPr>
      <w:r w:rsidRPr="00897C32">
        <w:rPr>
          <w:rFonts w:ascii="Cambria" w:eastAsia="Times New Roman" w:hAnsi="Cambria"/>
          <w:b/>
          <w:sz w:val="18"/>
          <w:szCs w:val="18"/>
          <w:bdr w:val="none" w:sz="0" w:space="0" w:color="auto"/>
        </w:rPr>
        <w:t>CASE 12.261</w:t>
      </w:r>
    </w:p>
    <w:p w:rsidR="00897C32" w:rsidRDefault="00897C32" w:rsidP="00897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897C32">
        <w:rPr>
          <w:rFonts w:ascii="Cambria" w:eastAsia="Times New Roman" w:hAnsi="Cambria"/>
          <w:sz w:val="18"/>
          <w:szCs w:val="18"/>
          <w:bdr w:val="none" w:sz="0" w:space="0" w:color="auto"/>
        </w:rPr>
        <w:t>DECISION TO ARCHIVE</w:t>
      </w:r>
    </w:p>
    <w:p w:rsidR="007C6979" w:rsidRPr="00897C32" w:rsidRDefault="007C6979" w:rsidP="00897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7C6979">
        <w:rPr>
          <w:rFonts w:ascii="Cambria" w:eastAsia="Times New Roman" w:hAnsi="Cambria"/>
          <w:sz w:val="18"/>
          <w:szCs w:val="18"/>
          <w:bdr w:val="none" w:sz="0" w:space="0" w:color="auto"/>
        </w:rPr>
        <w:t>PHILLIP RAY WORKMAN</w:t>
      </w:r>
    </w:p>
    <w:p w:rsidR="00897C32" w:rsidRPr="00897C32" w:rsidRDefault="007C6979" w:rsidP="00897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897C32">
        <w:rPr>
          <w:rFonts w:ascii="Cambria" w:eastAsia="Times New Roman" w:hAnsi="Cambria"/>
          <w:sz w:val="18"/>
          <w:szCs w:val="18"/>
          <w:bdr w:val="none" w:sz="0" w:space="0" w:color="auto"/>
        </w:rPr>
        <w:t>UNITED STATES</w:t>
      </w:r>
      <w:r w:rsidR="00897C32" w:rsidRPr="00897C32">
        <w:rPr>
          <w:rFonts w:ascii="Cambria" w:eastAsia="Times New Roman" w:hAnsi="Cambria"/>
          <w:bCs/>
          <w:sz w:val="18"/>
          <w:szCs w:val="18"/>
          <w:bdr w:val="none" w:sz="0" w:space="0" w:color="auto"/>
          <w:vertAlign w:val="superscript"/>
        </w:rPr>
        <w:footnoteReference w:id="2"/>
      </w:r>
    </w:p>
    <w:p w:rsidR="00897C32" w:rsidRPr="00897C32" w:rsidRDefault="00897C32" w:rsidP="00897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897C32">
        <w:rPr>
          <w:rFonts w:ascii="Cambria" w:eastAsia="Times New Roman" w:hAnsi="Cambria"/>
          <w:sz w:val="18"/>
          <w:szCs w:val="18"/>
          <w:bdr w:val="none" w:sz="0" w:space="0" w:color="auto"/>
        </w:rPr>
        <w:t>AUGUST 15, 2014</w:t>
      </w:r>
    </w:p>
    <w:p w:rsidR="00897C32" w:rsidRPr="00897C32" w:rsidRDefault="00897C32" w:rsidP="00897C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897C32" w:rsidRPr="00897C32" w:rsidRDefault="00897C32" w:rsidP="004526C3">
      <w:pPr>
        <w:pBdr>
          <w:top w:val="none" w:sz="0" w:space="0" w:color="auto"/>
          <w:left w:val="none" w:sz="0" w:space="0" w:color="auto"/>
          <w:bottom w:val="none" w:sz="0" w:space="0" w:color="auto"/>
          <w:right w:val="none" w:sz="0" w:space="0" w:color="auto"/>
          <w:between w:val="none" w:sz="0" w:space="0" w:color="auto"/>
          <w:bar w:val="none" w:sz="0" w:color="auto"/>
        </w:pBdr>
        <w:ind w:left="2880" w:hanging="2880"/>
        <w:rPr>
          <w:rFonts w:ascii="Cambria" w:eastAsia="Times New Roman" w:hAnsi="Cambria"/>
          <w:b/>
          <w:sz w:val="20"/>
          <w:szCs w:val="20"/>
          <w:bdr w:val="none" w:sz="0" w:space="0" w:color="auto"/>
        </w:rPr>
      </w:pPr>
      <w:r w:rsidRPr="00897C32">
        <w:rPr>
          <w:rFonts w:ascii="Cambria" w:eastAsia="Times New Roman" w:hAnsi="Cambria"/>
          <w:b/>
          <w:sz w:val="20"/>
          <w:szCs w:val="20"/>
          <w:bdr w:val="none" w:sz="0" w:space="0" w:color="auto"/>
        </w:rPr>
        <w:t>Alleged victims</w:t>
      </w:r>
      <w:r w:rsidR="004526C3">
        <w:rPr>
          <w:rFonts w:ascii="Cambria" w:eastAsia="Times New Roman" w:hAnsi="Cambria"/>
          <w:b/>
          <w:sz w:val="20"/>
          <w:szCs w:val="20"/>
          <w:bdr w:val="none" w:sz="0" w:space="0" w:color="auto"/>
        </w:rPr>
        <w:t xml:space="preserve">: </w:t>
      </w:r>
      <w:r w:rsidR="007C6979">
        <w:rPr>
          <w:rFonts w:ascii="Cambria" w:eastAsia="Times New Roman" w:hAnsi="Cambria"/>
          <w:b/>
          <w:sz w:val="20"/>
          <w:szCs w:val="20"/>
          <w:bdr w:val="none" w:sz="0" w:space="0" w:color="auto"/>
        </w:rPr>
        <w:tab/>
      </w:r>
      <w:r w:rsidR="007C6979">
        <w:rPr>
          <w:rFonts w:ascii="Cambria" w:eastAsia="Times New Roman" w:hAnsi="Cambria"/>
          <w:b/>
          <w:sz w:val="20"/>
          <w:szCs w:val="20"/>
          <w:bdr w:val="none" w:sz="0" w:space="0" w:color="auto"/>
        </w:rPr>
        <w:tab/>
      </w:r>
      <w:r w:rsidRPr="00897C32">
        <w:rPr>
          <w:rFonts w:ascii="Cambria" w:eastAsia="Times New Roman" w:hAnsi="Cambria"/>
          <w:sz w:val="20"/>
          <w:szCs w:val="20"/>
          <w:bdr w:val="none" w:sz="0" w:space="0" w:color="auto"/>
        </w:rPr>
        <w:t>Phillip Ray Workman</w:t>
      </w:r>
    </w:p>
    <w:p w:rsidR="007C6979" w:rsidRDefault="007C6979" w:rsidP="007C6979">
      <w:pPr>
        <w:pBdr>
          <w:top w:val="none" w:sz="0" w:space="0" w:color="auto"/>
          <w:left w:val="none" w:sz="0" w:space="0" w:color="auto"/>
          <w:bottom w:val="none" w:sz="0" w:space="0" w:color="auto"/>
          <w:right w:val="none" w:sz="0" w:space="0" w:color="auto"/>
          <w:between w:val="none" w:sz="0" w:space="0" w:color="auto"/>
          <w:bar w:val="none" w:sz="0" w:color="auto"/>
        </w:pBdr>
        <w:ind w:left="3600" w:hanging="3600"/>
        <w:rPr>
          <w:rFonts w:ascii="Cambria" w:eastAsia="Times New Roman" w:hAnsi="Cambria"/>
          <w:b/>
          <w:sz w:val="20"/>
          <w:szCs w:val="20"/>
          <w:bdr w:val="none" w:sz="0" w:space="0" w:color="auto"/>
        </w:rPr>
      </w:pP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left="3600" w:hanging="3600"/>
        <w:rPr>
          <w:rFonts w:ascii="Cambria" w:eastAsia="Times New Roman" w:hAnsi="Cambria"/>
          <w:sz w:val="20"/>
          <w:szCs w:val="20"/>
          <w:bdr w:val="none" w:sz="0" w:space="0" w:color="auto"/>
        </w:rPr>
      </w:pPr>
      <w:r w:rsidRPr="00897C32">
        <w:rPr>
          <w:rFonts w:ascii="Cambria" w:eastAsia="Times New Roman" w:hAnsi="Cambria"/>
          <w:b/>
          <w:sz w:val="20"/>
          <w:szCs w:val="20"/>
          <w:bdr w:val="none" w:sz="0" w:space="0" w:color="auto"/>
        </w:rPr>
        <w:t>Petitioner</w:t>
      </w:r>
      <w:r w:rsidRPr="00897C32">
        <w:rPr>
          <w:rFonts w:ascii="Cambria" w:eastAsia="Times New Roman" w:hAnsi="Cambria"/>
          <w:sz w:val="20"/>
          <w:szCs w:val="20"/>
          <w:bdr w:val="none" w:sz="0" w:space="0" w:color="auto"/>
        </w:rPr>
        <w:t xml:space="preserve">: </w:t>
      </w:r>
      <w:r w:rsidR="007C6979">
        <w:rPr>
          <w:rFonts w:ascii="Cambria" w:eastAsia="Times New Roman" w:hAnsi="Cambria"/>
          <w:sz w:val="20"/>
          <w:szCs w:val="20"/>
          <w:bdr w:val="none" w:sz="0" w:space="0" w:color="auto"/>
        </w:rPr>
        <w:tab/>
      </w:r>
      <w:r w:rsidRPr="00897C32">
        <w:rPr>
          <w:rFonts w:ascii="Cambria" w:eastAsia="Times New Roman" w:hAnsi="Cambria"/>
          <w:sz w:val="20"/>
          <w:szCs w:val="20"/>
          <w:bdr w:val="none" w:sz="0" w:space="0" w:color="auto"/>
        </w:rPr>
        <w:t>International Human Rights Clinic (Washington College of Law, American University)</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left="2880" w:firstLine="720"/>
        <w:rPr>
          <w:rFonts w:ascii="Cambria" w:eastAsia="Times New Roman" w:hAnsi="Cambria"/>
          <w:sz w:val="20"/>
          <w:szCs w:val="20"/>
          <w:bdr w:val="none" w:sz="0" w:space="0" w:color="auto"/>
        </w:rPr>
      </w:pPr>
      <w:r w:rsidRPr="00897C32">
        <w:rPr>
          <w:rFonts w:ascii="Cambria" w:eastAsia="Times New Roman" w:hAnsi="Cambria"/>
          <w:sz w:val="20"/>
          <w:szCs w:val="20"/>
          <w:bdr w:val="none" w:sz="0" w:space="0" w:color="auto"/>
        </w:rPr>
        <w:t>Tennessee Office of the Federal Public Defender</w:t>
      </w:r>
    </w:p>
    <w:p w:rsidR="007C6979" w:rsidRDefault="007C6979" w:rsidP="004526C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97C32" w:rsidRPr="00897C32" w:rsidRDefault="00897C32" w:rsidP="004526C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r w:rsidRPr="00897C32">
        <w:rPr>
          <w:rFonts w:ascii="Cambria" w:eastAsia="Times New Roman" w:hAnsi="Cambria"/>
          <w:b/>
          <w:sz w:val="20"/>
          <w:szCs w:val="20"/>
          <w:bdr w:val="none" w:sz="0" w:space="0" w:color="auto"/>
        </w:rPr>
        <w:t>Initiation of processing</w:t>
      </w:r>
      <w:r w:rsidR="004526C3">
        <w:rPr>
          <w:rFonts w:ascii="Cambria" w:eastAsia="Times New Roman" w:hAnsi="Cambria"/>
          <w:sz w:val="20"/>
          <w:szCs w:val="20"/>
          <w:bdr w:val="none" w:sz="0" w:space="0" w:color="auto"/>
        </w:rPr>
        <w:t xml:space="preserve">:  </w:t>
      </w:r>
      <w:r w:rsidR="007C6979">
        <w:rPr>
          <w:rFonts w:ascii="Cambria" w:eastAsia="Times New Roman" w:hAnsi="Cambria"/>
          <w:sz w:val="20"/>
          <w:szCs w:val="20"/>
          <w:bdr w:val="none" w:sz="0" w:space="0" w:color="auto"/>
        </w:rPr>
        <w:tab/>
      </w:r>
      <w:r w:rsidR="007C6979">
        <w:rPr>
          <w:rFonts w:ascii="Cambria" w:eastAsia="Times New Roman" w:hAnsi="Cambria"/>
          <w:sz w:val="20"/>
          <w:szCs w:val="20"/>
          <w:bdr w:val="none" w:sz="0" w:space="0" w:color="auto"/>
        </w:rPr>
        <w:tab/>
      </w:r>
      <w:r w:rsidRPr="00897C32">
        <w:rPr>
          <w:rFonts w:ascii="Cambria" w:eastAsia="Times New Roman" w:hAnsi="Cambria"/>
          <w:sz w:val="20"/>
          <w:szCs w:val="20"/>
          <w:bdr w:val="none" w:sz="0" w:space="0" w:color="auto"/>
        </w:rPr>
        <w:t>April 3, 2000</w:t>
      </w:r>
    </w:p>
    <w:p w:rsidR="007C6979" w:rsidRDefault="007C6979" w:rsidP="004526C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left="3600" w:hanging="3600"/>
        <w:rPr>
          <w:rFonts w:ascii="Cambria" w:eastAsia="Times New Roman" w:hAnsi="Cambria"/>
          <w:sz w:val="20"/>
          <w:szCs w:val="20"/>
          <w:bdr w:val="none" w:sz="0" w:space="0" w:color="auto"/>
        </w:rPr>
      </w:pPr>
      <w:r w:rsidRPr="00897C32">
        <w:rPr>
          <w:rFonts w:ascii="Cambria" w:eastAsia="Times New Roman" w:hAnsi="Cambria"/>
          <w:b/>
          <w:sz w:val="20"/>
          <w:szCs w:val="20"/>
          <w:bdr w:val="none" w:sz="0" w:space="0" w:color="auto"/>
        </w:rPr>
        <w:t>Alleged violations</w:t>
      </w:r>
      <w:r w:rsidRPr="00897C32">
        <w:rPr>
          <w:rFonts w:ascii="Cambria" w:eastAsia="Times New Roman" w:hAnsi="Cambria"/>
          <w:sz w:val="20"/>
          <w:szCs w:val="20"/>
          <w:bdr w:val="none" w:sz="0" w:space="0" w:color="auto"/>
        </w:rPr>
        <w:t xml:space="preserve">: </w:t>
      </w:r>
      <w:r w:rsidR="004526C3">
        <w:rPr>
          <w:rFonts w:ascii="Cambria" w:eastAsia="Times New Roman" w:hAnsi="Cambria"/>
          <w:sz w:val="20"/>
          <w:szCs w:val="20"/>
          <w:bdr w:val="none" w:sz="0" w:space="0" w:color="auto"/>
        </w:rPr>
        <w:t xml:space="preserve"> </w:t>
      </w:r>
      <w:r w:rsidR="007C6979">
        <w:rPr>
          <w:rFonts w:ascii="Cambria" w:eastAsia="Times New Roman" w:hAnsi="Cambria"/>
          <w:sz w:val="20"/>
          <w:szCs w:val="20"/>
          <w:bdr w:val="none" w:sz="0" w:space="0" w:color="auto"/>
        </w:rPr>
        <w:tab/>
      </w:r>
      <w:r w:rsidRPr="00897C32">
        <w:rPr>
          <w:rFonts w:ascii="Cambria" w:eastAsia="Times New Roman" w:hAnsi="Cambria"/>
          <w:sz w:val="20"/>
          <w:szCs w:val="20"/>
          <w:bdr w:val="none" w:sz="0" w:space="0" w:color="auto"/>
        </w:rPr>
        <w:t>Articles I, XVIII and XXVI of the American Declaration of</w:t>
      </w:r>
      <w:r w:rsidR="004526C3">
        <w:rPr>
          <w:rFonts w:ascii="Cambria" w:eastAsia="Times New Roman" w:hAnsi="Cambria"/>
          <w:sz w:val="20"/>
          <w:szCs w:val="20"/>
          <w:bdr w:val="none" w:sz="0" w:space="0" w:color="auto"/>
        </w:rPr>
        <w:t xml:space="preserve"> the Rights and Duties of Man </w:t>
      </w:r>
      <w:r w:rsidRPr="00897C32">
        <w:rPr>
          <w:rFonts w:ascii="Cambria" w:eastAsia="Times New Roman" w:hAnsi="Cambria"/>
          <w:sz w:val="20"/>
          <w:szCs w:val="20"/>
          <w:bdr w:val="none" w:sz="0" w:space="0" w:color="auto"/>
        </w:rPr>
        <w:t>(the “American Declaration”)</w:t>
      </w:r>
    </w:p>
    <w:p w:rsidR="004526C3" w:rsidRPr="00897C32" w:rsidRDefault="004526C3" w:rsidP="004526C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97C32" w:rsidRPr="00897C32" w:rsidRDefault="00897C32" w:rsidP="00897C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897C32">
        <w:rPr>
          <w:rFonts w:ascii="Cambria" w:eastAsia="Times New Roman" w:hAnsi="Cambria"/>
          <w:b/>
          <w:sz w:val="20"/>
          <w:szCs w:val="20"/>
          <w:bdr w:val="none" w:sz="0" w:space="0" w:color="auto"/>
        </w:rPr>
        <w:t xml:space="preserve">I. </w:t>
      </w:r>
      <w:r w:rsidRPr="00897C32">
        <w:rPr>
          <w:rFonts w:ascii="Cambria" w:eastAsia="Times New Roman" w:hAnsi="Cambria"/>
          <w:b/>
          <w:sz w:val="20"/>
          <w:szCs w:val="20"/>
          <w:bdr w:val="none" w:sz="0" w:space="0" w:color="auto"/>
        </w:rPr>
        <w:tab/>
        <w:t>POSITION OF THE PETITIONERS</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p>
    <w:p w:rsidR="00897C32" w:rsidRP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bdr w:val="none" w:sz="0" w:space="0" w:color="auto"/>
        </w:rPr>
      </w:pPr>
      <w:r w:rsidRPr="00897C32">
        <w:rPr>
          <w:rFonts w:ascii="Cambria" w:eastAsia="Times New Roman" w:hAnsi="Cambria"/>
          <w:sz w:val="20"/>
          <w:szCs w:val="20"/>
          <w:bdr w:val="none" w:sz="0" w:space="0" w:color="auto"/>
        </w:rPr>
        <w:t xml:space="preserve">On April 3, 2000, the Inter-American Commission on Human Rights (the “Inter-American Commission” or the “IACHR”) received a </w:t>
      </w:r>
      <w:smartTag w:uri="urn:schemas-microsoft-com:office:smarttags" w:element="PersonName">
        <w:r w:rsidRPr="00897C32">
          <w:rPr>
            <w:rFonts w:ascii="Cambria" w:eastAsia="Times New Roman" w:hAnsi="Cambria"/>
            <w:sz w:val="20"/>
            <w:szCs w:val="20"/>
            <w:bdr w:val="none" w:sz="0" w:space="0" w:color="auto"/>
          </w:rPr>
          <w:t>pe</w:t>
        </w:r>
      </w:smartTag>
      <w:r w:rsidRPr="00897C32">
        <w:rPr>
          <w:rFonts w:ascii="Cambria" w:eastAsia="Times New Roman" w:hAnsi="Cambria"/>
          <w:sz w:val="20"/>
          <w:szCs w:val="20"/>
          <w:bdr w:val="none" w:sz="0" w:space="0" w:color="auto"/>
        </w:rPr>
        <w:t>tition from the International Human Rights Clinic at American University and the Tennessee Office of the Federal Public Defender (the “petitioners”) against the United States of America (the “State” or the “United States”) on behalf of Phillip Ray Workman (“Mr. Workman” or the “alleged victim”) who was deprived of his liberty on death row in the state of Tennessee.</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bdr w:val="none" w:sz="0" w:space="0" w:color="auto"/>
        </w:rPr>
      </w:pPr>
      <w:r w:rsidRPr="00897C32">
        <w:rPr>
          <w:rFonts w:ascii="Cambria" w:eastAsia="Times New Roman" w:hAnsi="Cambria"/>
          <w:sz w:val="20"/>
          <w:szCs w:val="20"/>
          <w:bdr w:val="none" w:sz="0" w:space="0" w:color="auto"/>
        </w:rPr>
        <w:t xml:space="preserve">According to the </w:t>
      </w:r>
      <w:smartTag w:uri="urn:schemas-microsoft-com:office:smarttags" w:element="PersonName">
        <w:r w:rsidRPr="00897C32">
          <w:rPr>
            <w:rFonts w:ascii="Cambria" w:eastAsia="Times New Roman" w:hAnsi="Cambria"/>
            <w:sz w:val="20"/>
            <w:szCs w:val="20"/>
            <w:bdr w:val="none" w:sz="0" w:space="0" w:color="auto"/>
          </w:rPr>
          <w:t>pe</w:t>
        </w:r>
      </w:smartTag>
      <w:r w:rsidRPr="00897C32">
        <w:rPr>
          <w:rFonts w:ascii="Cambria" w:eastAsia="Times New Roman" w:hAnsi="Cambria"/>
          <w:sz w:val="20"/>
          <w:szCs w:val="20"/>
          <w:bdr w:val="none" w:sz="0" w:space="0" w:color="auto"/>
        </w:rPr>
        <w:t>tition, Mr. Workman was convicted and sentenced to death in March 1982.  The petitioners alleged that domestic courts did not provide him with an opportunity to present new exculpatory evidence which they claim proved Mr. Workman’s innocence.  They further claimed that Mr. Workman’s clemency proceedings did not safeguard his rights to due process set forth in the American Declaration; that felony murder does not qualify as a “most serious” crime to which capital punishment can properly be applied; and that Mr. Workman’s time, conditions and treatment on death row have amounted to cruel, infamous and unusual punishment.</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sz w:val="20"/>
          <w:szCs w:val="20"/>
          <w:bdr w:val="none" w:sz="0" w:space="0" w:color="auto"/>
        </w:rPr>
      </w:pP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897C32">
        <w:rPr>
          <w:rFonts w:ascii="Cambria" w:eastAsia="Times New Roman" w:hAnsi="Cambria"/>
          <w:b/>
          <w:sz w:val="20"/>
          <w:szCs w:val="20"/>
          <w:bdr w:val="none" w:sz="0" w:space="0" w:color="auto"/>
        </w:rPr>
        <w:t>II.</w:t>
      </w:r>
      <w:r w:rsidRPr="00897C32">
        <w:rPr>
          <w:rFonts w:ascii="Cambria" w:eastAsia="Times New Roman" w:hAnsi="Cambria"/>
          <w:b/>
          <w:sz w:val="20"/>
          <w:szCs w:val="20"/>
          <w:bdr w:val="none" w:sz="0" w:space="0" w:color="auto"/>
        </w:rPr>
        <w:tab/>
        <w:t>POSITION OF THE STATE</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bdr w:val="none" w:sz="0" w:space="0" w:color="auto"/>
        </w:rPr>
      </w:pPr>
      <w:r w:rsidRPr="00897C32">
        <w:rPr>
          <w:rFonts w:ascii="Cambria" w:eastAsia="Times New Roman" w:hAnsi="Cambria"/>
          <w:sz w:val="20"/>
          <w:szCs w:val="20"/>
          <w:bdr w:val="none" w:sz="0" w:space="0" w:color="auto"/>
        </w:rPr>
        <w:t>The State opp</w:t>
      </w:r>
      <w:bookmarkStart w:id="0" w:name="_GoBack"/>
      <w:bookmarkEnd w:id="0"/>
      <w:r w:rsidRPr="00897C32">
        <w:rPr>
          <w:rFonts w:ascii="Cambria" w:eastAsia="Times New Roman" w:hAnsi="Cambria"/>
          <w:sz w:val="20"/>
          <w:szCs w:val="20"/>
          <w:bdr w:val="none" w:sz="0" w:space="0" w:color="auto"/>
        </w:rPr>
        <w:t xml:space="preserve">osed the petition on the basis that the claims made by the petitioners would place the Commission in the role of an appeals court contrary to the Commission’s “fourth instance formula,” and because the petition fails to state facts that tend to establish a violation of the American Declaration and is manifestly groundless.  </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897C32">
        <w:rPr>
          <w:rFonts w:ascii="Cambria" w:eastAsia="Times New Roman" w:hAnsi="Cambria"/>
          <w:b/>
          <w:sz w:val="20"/>
          <w:szCs w:val="20"/>
          <w:bdr w:val="none" w:sz="0" w:space="0" w:color="auto"/>
        </w:rPr>
        <w:t>III.</w:t>
      </w:r>
      <w:r w:rsidRPr="00897C32">
        <w:rPr>
          <w:rFonts w:ascii="Cambria" w:eastAsia="Times New Roman" w:hAnsi="Cambria"/>
          <w:b/>
          <w:sz w:val="20"/>
          <w:szCs w:val="20"/>
          <w:bdr w:val="none" w:sz="0" w:space="0" w:color="auto"/>
        </w:rPr>
        <w:tab/>
        <w:t xml:space="preserve">PROCESSING BEFORE THE INTER-AMERICAN COMMISSION </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897C32" w:rsidRP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noProof/>
          <w:sz w:val="20"/>
          <w:szCs w:val="20"/>
          <w:bdr w:val="none" w:sz="0" w:space="0" w:color="auto"/>
        </w:rPr>
      </w:pPr>
      <w:r w:rsidRPr="00897C32">
        <w:rPr>
          <w:rFonts w:ascii="Cambria" w:eastAsia="Times New Roman" w:hAnsi="Cambria"/>
          <w:sz w:val="20"/>
          <w:szCs w:val="20"/>
          <w:bdr w:val="none" w:sz="0" w:space="0" w:color="auto"/>
        </w:rPr>
        <w:t xml:space="preserve">On April 3, 2000, the Inter-American Commission received the </w:t>
      </w:r>
      <w:smartTag w:uri="urn:schemas-microsoft-com:office:smarttags" w:element="PersonName">
        <w:r w:rsidRPr="00897C32">
          <w:rPr>
            <w:rFonts w:ascii="Cambria" w:eastAsia="Times New Roman" w:hAnsi="Cambria"/>
            <w:sz w:val="20"/>
            <w:szCs w:val="20"/>
            <w:bdr w:val="none" w:sz="0" w:space="0" w:color="auto"/>
          </w:rPr>
          <w:t>pe</w:t>
        </w:r>
      </w:smartTag>
      <w:r w:rsidRPr="00897C32">
        <w:rPr>
          <w:rFonts w:ascii="Cambria" w:eastAsia="Times New Roman" w:hAnsi="Cambria"/>
          <w:sz w:val="20"/>
          <w:szCs w:val="20"/>
          <w:bdr w:val="none" w:sz="0" w:space="0" w:color="auto"/>
        </w:rPr>
        <w:t xml:space="preserve">tition, which was transmitted to the State on January 22, 2001.  </w:t>
      </w:r>
      <w:r w:rsidRPr="00897C32">
        <w:rPr>
          <w:rFonts w:ascii="Cambria" w:eastAsia="Times New Roman" w:hAnsi="Cambria"/>
          <w:noProof/>
          <w:sz w:val="20"/>
          <w:szCs w:val="20"/>
          <w:bdr w:val="none" w:sz="0" w:space="0" w:color="auto"/>
        </w:rPr>
        <w:t xml:space="preserve">In the same communication </w:t>
      </w:r>
      <w:r w:rsidRPr="00897C32">
        <w:rPr>
          <w:rFonts w:ascii="Cambria" w:eastAsia="Times New Roman" w:hAnsi="Cambria"/>
          <w:sz w:val="20"/>
          <w:szCs w:val="20"/>
          <w:bdr w:val="none" w:sz="0" w:space="0" w:color="auto"/>
        </w:rPr>
        <w:t xml:space="preserve">the Inter-American Commission granted precautionary measures on behalf of the alleged victim and asked the State to stay the execution until it had the opportunity to examine the merits of the case. </w:t>
      </w:r>
      <w:r w:rsidRPr="00897C32">
        <w:rPr>
          <w:rFonts w:ascii="Cambria" w:eastAsia="Times New Roman" w:hAnsi="Cambria"/>
          <w:noProof/>
          <w:sz w:val="20"/>
          <w:szCs w:val="20"/>
          <w:bdr w:val="none" w:sz="0" w:space="0" w:color="auto"/>
        </w:rPr>
        <w:t xml:space="preserve"> </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noProof/>
          <w:sz w:val="20"/>
          <w:szCs w:val="20"/>
          <w:bdr w:val="none" w:sz="0" w:space="0" w:color="auto"/>
        </w:rPr>
      </w:pPr>
    </w:p>
    <w:p w:rsidR="00897C32" w:rsidRP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noProof/>
          <w:sz w:val="20"/>
          <w:szCs w:val="20"/>
          <w:bdr w:val="none" w:sz="0" w:space="0" w:color="auto"/>
        </w:rPr>
      </w:pPr>
      <w:r w:rsidRPr="00897C32">
        <w:rPr>
          <w:rFonts w:ascii="Cambria" w:eastAsia="Times New Roman" w:hAnsi="Cambria"/>
          <w:noProof/>
          <w:sz w:val="20"/>
          <w:szCs w:val="20"/>
          <w:bdr w:val="none" w:sz="0" w:space="0" w:color="auto"/>
        </w:rPr>
        <w:t>On March 3, 2005, the IACHR conducted a public hearing on this case. On March 14, 2006, the Commission adopted Admissiblity Report N</w:t>
      </w:r>
      <w:r w:rsidRPr="00897C32">
        <w:rPr>
          <w:rFonts w:ascii="Cambria" w:eastAsia="Times New Roman" w:hAnsi="Cambria"/>
          <w:noProof/>
          <w:sz w:val="20"/>
          <w:szCs w:val="20"/>
          <w:bdr w:val="none" w:sz="0" w:space="0" w:color="auto"/>
          <w:vertAlign w:val="superscript"/>
        </w:rPr>
        <w:t xml:space="preserve">o </w:t>
      </w:r>
      <w:r w:rsidRPr="00897C32">
        <w:rPr>
          <w:rFonts w:ascii="Cambria" w:eastAsia="Times New Roman" w:hAnsi="Cambria"/>
          <w:noProof/>
          <w:sz w:val="20"/>
          <w:szCs w:val="20"/>
          <w:bdr w:val="none" w:sz="0" w:space="0" w:color="auto"/>
        </w:rPr>
        <w:t xml:space="preserve">33/06 which was transmitted to the parties on March 21, 2006.  On May 16, 2006, the </w:t>
      </w:r>
      <w:r w:rsidRPr="00897C32">
        <w:rPr>
          <w:rFonts w:ascii="Cambria" w:eastAsia="Times New Roman" w:hAnsi="Cambria"/>
          <w:sz w:val="20"/>
          <w:szCs w:val="20"/>
          <w:bdr w:val="none" w:sz="0" w:space="0" w:color="auto"/>
        </w:rPr>
        <w:t>Commission</w:t>
      </w:r>
      <w:r w:rsidRPr="00897C32">
        <w:rPr>
          <w:rFonts w:ascii="Cambria" w:eastAsia="Times New Roman" w:hAnsi="Cambria"/>
          <w:noProof/>
          <w:sz w:val="20"/>
          <w:szCs w:val="20"/>
          <w:bdr w:val="none" w:sz="0" w:space="0" w:color="auto"/>
        </w:rPr>
        <w:t xml:space="preserve"> received the petitioner’s additional observations on the </w:t>
      </w:r>
      <w:r w:rsidRPr="00897C32">
        <w:rPr>
          <w:rFonts w:ascii="Cambria" w:eastAsia="Times New Roman" w:hAnsi="Cambria"/>
          <w:noProof/>
          <w:sz w:val="20"/>
          <w:szCs w:val="20"/>
          <w:bdr w:val="none" w:sz="0" w:space="0" w:color="auto"/>
        </w:rPr>
        <w:lastRenderedPageBreak/>
        <w:t>mertis, which were duly transmitted to the State.  By letter dated January 22, 2007, received on January 26, 2007, the State presented its response to the petitioners’ observations.</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noProof/>
          <w:sz w:val="20"/>
          <w:szCs w:val="20"/>
          <w:bdr w:val="none" w:sz="0" w:space="0" w:color="auto"/>
        </w:rPr>
      </w:pPr>
    </w:p>
    <w:p w:rsidR="00897C32" w:rsidRP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noProof/>
          <w:sz w:val="20"/>
          <w:szCs w:val="20"/>
          <w:bdr w:val="none" w:sz="0" w:space="0" w:color="auto"/>
        </w:rPr>
      </w:pPr>
      <w:r w:rsidRPr="00897C32">
        <w:rPr>
          <w:rFonts w:ascii="Cambria" w:eastAsia="Times New Roman" w:hAnsi="Cambria"/>
          <w:noProof/>
          <w:sz w:val="20"/>
          <w:szCs w:val="20"/>
          <w:bdr w:val="none" w:sz="0" w:space="0" w:color="auto"/>
        </w:rPr>
        <w:t xml:space="preserve">On May 1, 2007, the  IACHR reiterated the request for precautionary measures to the State given that Mr. Workman’s </w:t>
      </w:r>
      <w:r w:rsidRPr="00897C32">
        <w:rPr>
          <w:rFonts w:ascii="Cambria" w:eastAsia="Times New Roman" w:hAnsi="Cambria"/>
          <w:sz w:val="20"/>
          <w:szCs w:val="20"/>
          <w:bdr w:val="none" w:sz="0" w:space="0" w:color="auto"/>
        </w:rPr>
        <w:t>execution</w:t>
      </w:r>
      <w:r w:rsidRPr="00897C32">
        <w:rPr>
          <w:rFonts w:ascii="Cambria" w:eastAsia="Times New Roman" w:hAnsi="Cambria"/>
          <w:noProof/>
          <w:sz w:val="20"/>
          <w:szCs w:val="20"/>
          <w:bdr w:val="none" w:sz="0" w:space="0" w:color="auto"/>
        </w:rPr>
        <w:t xml:space="preserve"> had been scheduled for May 9, 2007.  The state of Tennessee executed Mr. Workman as scheduled. </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noProof/>
          <w:sz w:val="20"/>
          <w:szCs w:val="20"/>
          <w:bdr w:val="none" w:sz="0" w:space="0" w:color="auto"/>
        </w:rPr>
      </w:pPr>
    </w:p>
    <w:p w:rsid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noProof/>
          <w:sz w:val="20"/>
          <w:szCs w:val="20"/>
          <w:bdr w:val="none" w:sz="0" w:space="0" w:color="auto"/>
        </w:rPr>
      </w:pPr>
      <w:r w:rsidRPr="00897C32">
        <w:rPr>
          <w:rFonts w:ascii="Cambria" w:eastAsia="Times New Roman" w:hAnsi="Cambria"/>
          <w:sz w:val="20"/>
          <w:szCs w:val="20"/>
          <w:bdr w:val="none" w:sz="0" w:space="0" w:color="auto"/>
        </w:rPr>
        <w:t>On November 19, 2010, the IACHR received a communication from the petitioners indicating their wish to withdraw the petition.</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897C32">
        <w:rPr>
          <w:rFonts w:ascii="Cambria" w:eastAsia="Times New Roman" w:hAnsi="Cambria"/>
          <w:b/>
          <w:sz w:val="20"/>
          <w:szCs w:val="20"/>
          <w:bdr w:val="none" w:sz="0" w:space="0" w:color="auto"/>
        </w:rPr>
        <w:t>IV.</w:t>
      </w:r>
      <w:r w:rsidRPr="00897C32">
        <w:rPr>
          <w:rFonts w:ascii="Cambria" w:eastAsia="Times New Roman" w:hAnsi="Cambria"/>
          <w:b/>
          <w:sz w:val="20"/>
          <w:szCs w:val="20"/>
          <w:bdr w:val="none" w:sz="0" w:space="0" w:color="auto"/>
        </w:rPr>
        <w:tab/>
        <w:t>GROUNDS FOR THE DECISION TO ARCHIVE</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897C32" w:rsidRP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bdr w:val="none" w:sz="0" w:space="0" w:color="auto"/>
        </w:rPr>
      </w:pPr>
      <w:r w:rsidRPr="00897C32">
        <w:rPr>
          <w:rFonts w:ascii="Cambria" w:eastAsia="Times New Roman" w:hAnsi="Cambria"/>
          <w:sz w:val="20"/>
          <w:szCs w:val="20"/>
          <w:bdr w:val="none" w:sz="0" w:space="0" w:color="auto"/>
        </w:rPr>
        <w:t>Article 42 of the Rules of Procedure of the IACHR establishes that, at any time during the proceedings, the Inter-American Commission shall ascertain whether the grounds for the petition still exist; and that if it considers that they do not exist or subsist, it may decide to archive the file.  In addition, Article 42.1.b of the Rules of Procedure establishes that the IACHR may also decide to archive a case when the information necessary for the adoption of a decision is unavailable.</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897C32" w:rsidRPr="00897C32" w:rsidRDefault="00897C32" w:rsidP="007C6979">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bdr w:val="none" w:sz="0" w:space="0" w:color="auto"/>
        </w:rPr>
      </w:pPr>
      <w:r w:rsidRPr="00897C32">
        <w:rPr>
          <w:rFonts w:ascii="Cambria" w:eastAsia="Times New Roman" w:hAnsi="Cambria"/>
          <w:sz w:val="20"/>
          <w:szCs w:val="20"/>
          <w:bdr w:val="none" w:sz="0" w:space="0" w:color="auto"/>
        </w:rPr>
        <w:t xml:space="preserve">In the present case, the </w:t>
      </w:r>
      <w:smartTag w:uri="urn:schemas-microsoft-com:office:smarttags" w:element="PersonName">
        <w:r w:rsidRPr="00897C32">
          <w:rPr>
            <w:rFonts w:ascii="Cambria" w:eastAsia="Times New Roman" w:hAnsi="Cambria"/>
            <w:sz w:val="20"/>
            <w:szCs w:val="20"/>
            <w:bdr w:val="none" w:sz="0" w:space="0" w:color="auto"/>
          </w:rPr>
          <w:t>pe</w:t>
        </w:r>
      </w:smartTag>
      <w:r w:rsidRPr="00897C32">
        <w:rPr>
          <w:rFonts w:ascii="Cambria" w:eastAsia="Times New Roman" w:hAnsi="Cambria"/>
          <w:sz w:val="20"/>
          <w:szCs w:val="20"/>
          <w:bdr w:val="none" w:sz="0" w:space="0" w:color="auto"/>
        </w:rPr>
        <w:t xml:space="preserve">titioners expressly indicate their wish to desist from pursuing the matter before the Commission given that Mr. Workman has been executed.  In accordance with Article 41 of its Rules, which indicates that a </w:t>
      </w:r>
      <w:smartTag w:uri="urn:schemas-microsoft-com:office:smarttags" w:element="PersonName">
        <w:r w:rsidRPr="00897C32">
          <w:rPr>
            <w:rFonts w:ascii="Cambria" w:eastAsia="Times New Roman" w:hAnsi="Cambria"/>
            <w:sz w:val="20"/>
            <w:szCs w:val="20"/>
            <w:bdr w:val="none" w:sz="0" w:space="0" w:color="auto"/>
          </w:rPr>
          <w:t>pe</w:t>
        </w:r>
      </w:smartTag>
      <w:r w:rsidRPr="00897C32">
        <w:rPr>
          <w:rFonts w:ascii="Cambria" w:eastAsia="Times New Roman" w:hAnsi="Cambria"/>
          <w:sz w:val="20"/>
          <w:szCs w:val="20"/>
          <w:bdr w:val="none" w:sz="0" w:space="0" w:color="auto"/>
        </w:rPr>
        <w:t xml:space="preserve">titioner may desist from a </w:t>
      </w:r>
      <w:smartTag w:uri="urn:schemas-microsoft-com:office:smarttags" w:element="PersonName">
        <w:r w:rsidRPr="00897C32">
          <w:rPr>
            <w:rFonts w:ascii="Cambria" w:eastAsia="Times New Roman" w:hAnsi="Cambria"/>
            <w:sz w:val="20"/>
            <w:szCs w:val="20"/>
            <w:bdr w:val="none" w:sz="0" w:space="0" w:color="auto"/>
          </w:rPr>
          <w:t>pe</w:t>
        </w:r>
      </w:smartTag>
      <w:r w:rsidRPr="00897C32">
        <w:rPr>
          <w:rFonts w:ascii="Cambria" w:eastAsia="Times New Roman" w:hAnsi="Cambria"/>
          <w:sz w:val="20"/>
          <w:szCs w:val="20"/>
          <w:bdr w:val="none" w:sz="0" w:space="0" w:color="auto"/>
        </w:rPr>
        <w:t>tition at any stage, the IACHR hereby decides to archive the present case.</w:t>
      </w:r>
    </w:p>
    <w:p w:rsidR="004526C3" w:rsidRDefault="004526C3" w:rsidP="007C697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pacing w:val="-2"/>
          <w:sz w:val="20"/>
          <w:bdr w:val="none" w:sz="0" w:space="0" w:color="auto"/>
        </w:rPr>
      </w:pP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noProof/>
          <w:spacing w:val="-2"/>
          <w:sz w:val="20"/>
          <w:szCs w:val="20"/>
          <w:bdr w:val="none" w:sz="0" w:space="0" w:color="auto"/>
        </w:rPr>
      </w:pPr>
      <w:r w:rsidRPr="00897C32">
        <w:rPr>
          <w:rFonts w:ascii="Cambria" w:eastAsia="Times New Roman" w:hAnsi="Cambria"/>
          <w:spacing w:val="-2"/>
          <w:sz w:val="20"/>
          <w:bdr w:val="none" w:sz="0" w:space="0" w:color="auto"/>
        </w:rPr>
        <w:t xml:space="preserve">Done and signed in the city Mexico on the 15th day of the month of August, 2014. (Signed):  Tracy Robinson, President; Felipe González, Second Vice President; José de </w:t>
      </w:r>
      <w:proofErr w:type="spellStart"/>
      <w:r w:rsidRPr="00897C32">
        <w:rPr>
          <w:rFonts w:ascii="Cambria" w:eastAsia="Times New Roman" w:hAnsi="Cambria"/>
          <w:spacing w:val="-2"/>
          <w:sz w:val="20"/>
          <w:bdr w:val="none" w:sz="0" w:space="0" w:color="auto"/>
        </w:rPr>
        <w:t>Jesús</w:t>
      </w:r>
      <w:proofErr w:type="spellEnd"/>
      <w:r w:rsidRPr="00897C32">
        <w:rPr>
          <w:rFonts w:ascii="Cambria" w:eastAsia="Times New Roman" w:hAnsi="Cambria"/>
          <w:spacing w:val="-2"/>
          <w:sz w:val="20"/>
          <w:bdr w:val="none" w:sz="0" w:space="0" w:color="auto"/>
        </w:rPr>
        <w:t xml:space="preserve"> Orozco </w:t>
      </w:r>
      <w:proofErr w:type="spellStart"/>
      <w:r w:rsidRPr="00897C32">
        <w:rPr>
          <w:rFonts w:ascii="Cambria" w:eastAsia="Times New Roman" w:hAnsi="Cambria"/>
          <w:spacing w:val="-2"/>
          <w:sz w:val="20"/>
          <w:bdr w:val="none" w:sz="0" w:space="0" w:color="auto"/>
        </w:rPr>
        <w:t>Henríquez</w:t>
      </w:r>
      <w:proofErr w:type="spellEnd"/>
      <w:r w:rsidRPr="00897C32">
        <w:rPr>
          <w:rFonts w:ascii="Cambria" w:eastAsia="Times New Roman" w:hAnsi="Cambria"/>
          <w:spacing w:val="-2"/>
          <w:sz w:val="20"/>
          <w:bdr w:val="none" w:sz="0" w:space="0" w:color="auto"/>
        </w:rPr>
        <w:t xml:space="preserve">, Rosa María Ortiz, and Paulo </w:t>
      </w:r>
      <w:proofErr w:type="spellStart"/>
      <w:r w:rsidRPr="00897C32">
        <w:rPr>
          <w:rFonts w:ascii="Cambria" w:eastAsia="Times New Roman" w:hAnsi="Cambria"/>
          <w:spacing w:val="-2"/>
          <w:sz w:val="20"/>
          <w:bdr w:val="none" w:sz="0" w:space="0" w:color="auto"/>
        </w:rPr>
        <w:t>Vannuchi</w:t>
      </w:r>
      <w:proofErr w:type="spellEnd"/>
      <w:r w:rsidRPr="00897C32">
        <w:rPr>
          <w:rFonts w:ascii="Cambria" w:eastAsia="Times New Roman" w:hAnsi="Cambria"/>
          <w:spacing w:val="-2"/>
          <w:sz w:val="20"/>
          <w:bdr w:val="none" w:sz="0" w:space="0" w:color="auto"/>
        </w:rPr>
        <w:t>, Commissioners.</w:t>
      </w:r>
    </w:p>
    <w:p w:rsidR="00897C32" w:rsidRPr="00897C32" w:rsidRDefault="00897C32" w:rsidP="007C697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C55560" w:rsidRPr="00145EDC" w:rsidRDefault="00C55560" w:rsidP="00897C32">
      <w:pPr>
        <w:tabs>
          <w:tab w:val="center" w:pos="5400"/>
        </w:tabs>
        <w:suppressAutoHyphens/>
        <w:spacing w:line="276" w:lineRule="auto"/>
        <w:jc w:val="center"/>
        <w:rPr>
          <w:rFonts w:asciiTheme="majorHAnsi" w:hAnsiTheme="majorHAnsi"/>
          <w:sz w:val="20"/>
          <w:szCs w:val="20"/>
        </w:rPr>
      </w:pPr>
    </w:p>
    <w:sectPr w:rsidR="00C55560" w:rsidRPr="00145EDC"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C6979">
          <w:rPr>
            <w:noProof/>
            <w:sz w:val="16"/>
          </w:rPr>
          <w:t>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897C32" w:rsidRPr="00AB1CFA" w:rsidRDefault="00897C32" w:rsidP="00897C32">
      <w:pPr>
        <w:pStyle w:val="FootnoteText"/>
        <w:spacing w:after="120"/>
        <w:ind w:firstLine="720"/>
        <w:jc w:val="both"/>
        <w:rPr>
          <w:rFonts w:ascii="Cambria" w:hAnsi="Cambria"/>
          <w:sz w:val="16"/>
          <w:szCs w:val="16"/>
        </w:rPr>
      </w:pPr>
      <w:r w:rsidRPr="00AB1CFA">
        <w:rPr>
          <w:rStyle w:val="FootnoteReference"/>
          <w:rFonts w:ascii="Cambria" w:hAnsi="Cambria"/>
          <w:sz w:val="16"/>
          <w:szCs w:val="16"/>
        </w:rPr>
        <w:footnoteRef/>
      </w:r>
      <w:r w:rsidRPr="00AB1CFA">
        <w:rPr>
          <w:rFonts w:ascii="Cambria" w:hAnsi="Cambria"/>
          <w:sz w:val="16"/>
          <w:szCs w:val="16"/>
        </w:rPr>
        <w:t xml:space="preserve"> In keeping with Article 17.2.</w:t>
      </w:r>
      <w:proofErr w:type="spellStart"/>
      <w:r w:rsidRPr="00AB1CFA">
        <w:rPr>
          <w:rFonts w:ascii="Cambria" w:hAnsi="Cambria"/>
          <w:sz w:val="16"/>
          <w:szCs w:val="16"/>
        </w:rPr>
        <w:t>a</w:t>
      </w:r>
      <w:proofErr w:type="spellEnd"/>
      <w:r w:rsidRPr="00AB1CFA">
        <w:rPr>
          <w:rFonts w:ascii="Cambria" w:hAnsi="Cambria"/>
          <w:sz w:val="16"/>
          <w:szCs w:val="16"/>
        </w:rPr>
        <w:t xml:space="preserve"> of the Rules of Procedure of the IACHR, Commissioner James </w:t>
      </w:r>
      <w:proofErr w:type="spellStart"/>
      <w:r w:rsidRPr="00AB1CFA">
        <w:rPr>
          <w:rFonts w:ascii="Cambria" w:hAnsi="Cambria"/>
          <w:sz w:val="16"/>
          <w:szCs w:val="16"/>
        </w:rPr>
        <w:t>Cavallaro</w:t>
      </w:r>
      <w:proofErr w:type="spellEnd"/>
      <w:r w:rsidRPr="00AB1CFA">
        <w:rPr>
          <w:rFonts w:ascii="Cambria" w:hAnsi="Cambria"/>
          <w:sz w:val="16"/>
          <w:szCs w:val="16"/>
        </w:rPr>
        <w:t xml:space="preserve">, a U.S. national, did not participate in the deliberations or in the voting on this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C697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8DE2EF1"/>
    <w:multiLevelType w:val="multilevel"/>
    <w:tmpl w:val="BAE214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Calibri" w:hAnsi="Calibr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4"/>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5"/>
  </w:num>
  <w:num w:numId="8">
    <w:abstractNumId w:val="21"/>
  </w:num>
  <w:num w:numId="9">
    <w:abstractNumId w:val="47"/>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3"/>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0"/>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3"/>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5"/>
  </w:num>
  <w:num w:numId="85">
    <w:abstractNumId w:val="48"/>
  </w:num>
  <w:num w:numId="86">
    <w:abstractNumId w:val="50"/>
  </w:num>
  <w:num w:numId="87">
    <w:abstractNumId w:val="52"/>
  </w:num>
  <w:num w:numId="88">
    <w:abstractNumId w:val="54"/>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1"/>
  </w:num>
  <w:num w:numId="97">
    <w:abstractNumId w:val="49"/>
  </w:num>
  <w:num w:numId="98">
    <w:abstractNumId w:val="44"/>
  </w:num>
  <w:num w:numId="99">
    <w:abstractNumId w:val="36"/>
  </w:num>
  <w:num w:numId="100">
    <w:abstractNumId w:val="3"/>
  </w:num>
  <w:num w:numId="101">
    <w:abstractNumId w:val="25"/>
  </w:num>
  <w:num w:numId="102">
    <w:abstractNumId w:val="46"/>
  </w:num>
  <w:num w:numId="103">
    <w:abstractNumId w:val="5"/>
  </w:num>
  <w:num w:numId="104">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0E38D6"/>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67D3"/>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526C3"/>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5399C"/>
    <w:rsid w:val="007607C4"/>
    <w:rsid w:val="0076643F"/>
    <w:rsid w:val="007A2F70"/>
    <w:rsid w:val="007C3334"/>
    <w:rsid w:val="007C52BB"/>
    <w:rsid w:val="007C6979"/>
    <w:rsid w:val="007D2B98"/>
    <w:rsid w:val="00803F1C"/>
    <w:rsid w:val="0080600E"/>
    <w:rsid w:val="00817612"/>
    <w:rsid w:val="00837C45"/>
    <w:rsid w:val="00853419"/>
    <w:rsid w:val="00897C32"/>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76274"/>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1690-BABA-4A96-9543-44AF333D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7</cp:revision>
  <cp:lastPrinted>2014-06-04T21:22:00Z</cp:lastPrinted>
  <dcterms:created xsi:type="dcterms:W3CDTF">2015-02-26T15:29:00Z</dcterms:created>
  <dcterms:modified xsi:type="dcterms:W3CDTF">2015-03-05T20:24:00Z</dcterms:modified>
</cp:coreProperties>
</file>