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B7DBB">
                              <w:rPr>
                                <w:rFonts w:asciiTheme="majorHAnsi" w:hAnsiTheme="majorHAnsi" w:cs="Arial"/>
                                <w:b/>
                                <w:bCs/>
                                <w:color w:val="0D0D0D" w:themeColor="text1" w:themeTint="F2"/>
                                <w:sz w:val="36"/>
                                <w:szCs w:val="40"/>
                              </w:rPr>
                              <w:t>2</w:t>
                            </w:r>
                            <w:r w:rsidR="0060796A">
                              <w:rPr>
                                <w:rFonts w:asciiTheme="majorHAnsi" w:hAnsiTheme="majorHAnsi" w:cs="Arial"/>
                                <w:b/>
                                <w:bCs/>
                                <w:color w:val="0D0D0D" w:themeColor="text1" w:themeTint="F2"/>
                                <w:sz w:val="36"/>
                                <w:szCs w:val="40"/>
                              </w:rPr>
                              <w:t>7</w:t>
                            </w:r>
                            <w:r w:rsidRPr="004B7EB6">
                              <w:rPr>
                                <w:rFonts w:asciiTheme="majorHAnsi" w:hAnsiTheme="majorHAnsi" w:cs="Arial"/>
                                <w:b/>
                                <w:bCs/>
                                <w:color w:val="0D0D0D" w:themeColor="text1" w:themeTint="F2"/>
                                <w:sz w:val="36"/>
                                <w:szCs w:val="40"/>
                              </w:rPr>
                              <w:t>/14</w:t>
                            </w:r>
                          </w:p>
                          <w:p w:rsidR="00322450" w:rsidRPr="004B7EB6" w:rsidRDefault="001B7DB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60796A">
                              <w:rPr>
                                <w:rFonts w:asciiTheme="majorHAnsi" w:hAnsiTheme="majorHAnsi" w:cs="Arial"/>
                                <w:b/>
                                <w:bCs/>
                                <w:color w:val="0D0D0D" w:themeColor="text1" w:themeTint="F2"/>
                                <w:sz w:val="36"/>
                                <w:szCs w:val="40"/>
                              </w:rPr>
                              <w:t>1281-06</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60796A" w:rsidP="004B7EB6">
                            <w:pPr>
                              <w:spacing w:line="276" w:lineRule="auto"/>
                              <w:rPr>
                                <w:rFonts w:asciiTheme="majorHAnsi" w:hAnsiTheme="majorHAnsi" w:cs="Arial"/>
                                <w:color w:val="0D0D0D" w:themeColor="text1" w:themeTint="F2"/>
                              </w:rPr>
                            </w:pPr>
                            <w:r>
                              <w:rPr>
                                <w:rFonts w:asciiTheme="majorHAnsi" w:hAnsiTheme="majorHAnsi"/>
                              </w:rPr>
                              <w:t>MOHAMMED MUNAF</w:t>
                            </w:r>
                          </w:p>
                          <w:p w:rsidR="005B52B0" w:rsidRPr="000A26E1" w:rsidRDefault="00D5033C"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B7DBB">
                        <w:rPr>
                          <w:rFonts w:asciiTheme="majorHAnsi" w:hAnsiTheme="majorHAnsi" w:cs="Arial"/>
                          <w:b/>
                          <w:bCs/>
                          <w:color w:val="0D0D0D" w:themeColor="text1" w:themeTint="F2"/>
                          <w:sz w:val="36"/>
                          <w:szCs w:val="40"/>
                        </w:rPr>
                        <w:t>2</w:t>
                      </w:r>
                      <w:r w:rsidR="0060796A">
                        <w:rPr>
                          <w:rFonts w:asciiTheme="majorHAnsi" w:hAnsiTheme="majorHAnsi" w:cs="Arial"/>
                          <w:b/>
                          <w:bCs/>
                          <w:color w:val="0D0D0D" w:themeColor="text1" w:themeTint="F2"/>
                          <w:sz w:val="36"/>
                          <w:szCs w:val="40"/>
                        </w:rPr>
                        <w:t>7</w:t>
                      </w:r>
                      <w:r w:rsidRPr="004B7EB6">
                        <w:rPr>
                          <w:rFonts w:asciiTheme="majorHAnsi" w:hAnsiTheme="majorHAnsi" w:cs="Arial"/>
                          <w:b/>
                          <w:bCs/>
                          <w:color w:val="0D0D0D" w:themeColor="text1" w:themeTint="F2"/>
                          <w:sz w:val="36"/>
                          <w:szCs w:val="40"/>
                        </w:rPr>
                        <w:t>/14</w:t>
                      </w:r>
                    </w:p>
                    <w:p w:rsidR="00322450" w:rsidRPr="004B7EB6" w:rsidRDefault="001B7DB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60796A">
                        <w:rPr>
                          <w:rFonts w:asciiTheme="majorHAnsi" w:hAnsiTheme="majorHAnsi" w:cs="Arial"/>
                          <w:b/>
                          <w:bCs/>
                          <w:color w:val="0D0D0D" w:themeColor="text1" w:themeTint="F2"/>
                          <w:sz w:val="36"/>
                          <w:szCs w:val="40"/>
                        </w:rPr>
                        <w:t>1281-06</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60796A" w:rsidP="004B7EB6">
                      <w:pPr>
                        <w:spacing w:line="276" w:lineRule="auto"/>
                        <w:rPr>
                          <w:rFonts w:asciiTheme="majorHAnsi" w:hAnsiTheme="majorHAnsi" w:cs="Arial"/>
                          <w:color w:val="0D0D0D" w:themeColor="text1" w:themeTint="F2"/>
                        </w:rPr>
                      </w:pPr>
                      <w:r>
                        <w:rPr>
                          <w:rFonts w:asciiTheme="majorHAnsi" w:hAnsiTheme="majorHAnsi"/>
                        </w:rPr>
                        <w:t>MOHAMMED MUNAF</w:t>
                      </w:r>
                    </w:p>
                    <w:p w:rsidR="005B52B0" w:rsidRPr="000A26E1" w:rsidRDefault="00D5033C"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B7DBB" w:rsidRDefault="00627C9F" w:rsidP="002C1641">
                            <w:pPr>
                              <w:jc w:val="right"/>
                              <w:rPr>
                                <w:rFonts w:asciiTheme="minorHAnsi" w:hAnsiTheme="minorHAnsi"/>
                                <w:color w:val="FFFFFF" w:themeColor="background1"/>
                                <w:sz w:val="22"/>
                                <w:lang w:val="pt-BR"/>
                              </w:rPr>
                            </w:pPr>
                            <w:r w:rsidRPr="001B7DBB">
                              <w:rPr>
                                <w:rFonts w:asciiTheme="minorHAnsi" w:hAnsiTheme="minorHAnsi"/>
                                <w:color w:val="FFFFFF" w:themeColor="background1"/>
                                <w:sz w:val="22"/>
                                <w:lang w:val="pt-BR"/>
                              </w:rPr>
                              <w:t>OEA/Ser.L/V/II.15</w:t>
                            </w:r>
                            <w:r w:rsidR="001B7DBB" w:rsidRPr="001B7DBB">
                              <w:rPr>
                                <w:rFonts w:asciiTheme="minorHAnsi" w:hAnsiTheme="minorHAnsi"/>
                                <w:color w:val="FFFFFF" w:themeColor="background1"/>
                                <w:sz w:val="22"/>
                                <w:lang w:val="pt-BR"/>
                              </w:rPr>
                              <w:t>0</w:t>
                            </w:r>
                          </w:p>
                          <w:p w:rsidR="00627C9F" w:rsidRPr="001B7DBB" w:rsidRDefault="00627C9F" w:rsidP="002C1641">
                            <w:pPr>
                              <w:jc w:val="right"/>
                              <w:rPr>
                                <w:rFonts w:asciiTheme="minorHAnsi" w:hAnsiTheme="minorHAnsi"/>
                                <w:color w:val="FFFFFF" w:themeColor="background1"/>
                                <w:sz w:val="22"/>
                                <w:lang w:val="pt-BR"/>
                              </w:rPr>
                            </w:pPr>
                            <w:r w:rsidRPr="001B7DBB">
                              <w:rPr>
                                <w:rFonts w:asciiTheme="minorHAnsi" w:hAnsiTheme="minorHAnsi"/>
                                <w:color w:val="FFFFFF" w:themeColor="background1"/>
                                <w:sz w:val="22"/>
                                <w:lang w:val="pt-BR"/>
                              </w:rPr>
                              <w:t xml:space="preserve">Doc. </w:t>
                            </w:r>
                            <w:r w:rsidR="001B7DBB" w:rsidRPr="001B7DBB">
                              <w:rPr>
                                <w:rFonts w:asciiTheme="minorHAnsi" w:hAnsiTheme="minorHAnsi"/>
                                <w:color w:val="FFFFFF" w:themeColor="background1"/>
                                <w:sz w:val="22"/>
                                <w:lang w:val="pt-BR"/>
                              </w:rPr>
                              <w:t>3</w:t>
                            </w:r>
                            <w:r w:rsidR="0060796A">
                              <w:rPr>
                                <w:rFonts w:asciiTheme="minorHAnsi" w:hAnsiTheme="minorHAnsi"/>
                                <w:color w:val="FFFFFF" w:themeColor="background1"/>
                                <w:sz w:val="22"/>
                                <w:lang w:val="pt-BR"/>
                              </w:rPr>
                              <w:t>1</w:t>
                            </w:r>
                          </w:p>
                          <w:p w:rsidR="00627C9F" w:rsidRPr="004B7EB6" w:rsidRDefault="001B7DBB" w:rsidP="002C1641">
                            <w:pPr>
                              <w:jc w:val="right"/>
                              <w:rPr>
                                <w:rFonts w:asciiTheme="minorHAnsi" w:hAnsiTheme="minorHAnsi"/>
                                <w:color w:val="FFFFFF" w:themeColor="background1"/>
                                <w:sz w:val="22"/>
                              </w:rPr>
                            </w:pPr>
                            <w:r>
                              <w:rPr>
                                <w:rFonts w:asciiTheme="minorHAnsi" w:hAnsiTheme="minorHAnsi"/>
                                <w:color w:val="FFFFFF" w:themeColor="background1"/>
                                <w:sz w:val="22"/>
                              </w:rPr>
                              <w:t>4 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B7DBB" w:rsidRDefault="00627C9F" w:rsidP="002C1641">
                      <w:pPr>
                        <w:jc w:val="right"/>
                        <w:rPr>
                          <w:rFonts w:asciiTheme="minorHAnsi" w:hAnsiTheme="minorHAnsi"/>
                          <w:color w:val="FFFFFF" w:themeColor="background1"/>
                          <w:sz w:val="22"/>
                          <w:lang w:val="pt-BR"/>
                        </w:rPr>
                      </w:pPr>
                      <w:r w:rsidRPr="001B7DBB">
                        <w:rPr>
                          <w:rFonts w:asciiTheme="minorHAnsi" w:hAnsiTheme="minorHAnsi"/>
                          <w:color w:val="FFFFFF" w:themeColor="background1"/>
                          <w:sz w:val="22"/>
                          <w:lang w:val="pt-BR"/>
                        </w:rPr>
                        <w:t>OEA/Ser.L/V/II.15</w:t>
                      </w:r>
                      <w:r w:rsidR="001B7DBB" w:rsidRPr="001B7DBB">
                        <w:rPr>
                          <w:rFonts w:asciiTheme="minorHAnsi" w:hAnsiTheme="minorHAnsi"/>
                          <w:color w:val="FFFFFF" w:themeColor="background1"/>
                          <w:sz w:val="22"/>
                          <w:lang w:val="pt-BR"/>
                        </w:rPr>
                        <w:t>0</w:t>
                      </w:r>
                    </w:p>
                    <w:p w:rsidR="00627C9F" w:rsidRPr="001B7DBB" w:rsidRDefault="00627C9F" w:rsidP="002C1641">
                      <w:pPr>
                        <w:jc w:val="right"/>
                        <w:rPr>
                          <w:rFonts w:asciiTheme="minorHAnsi" w:hAnsiTheme="minorHAnsi"/>
                          <w:color w:val="FFFFFF" w:themeColor="background1"/>
                          <w:sz w:val="22"/>
                          <w:lang w:val="pt-BR"/>
                        </w:rPr>
                      </w:pPr>
                      <w:r w:rsidRPr="001B7DBB">
                        <w:rPr>
                          <w:rFonts w:asciiTheme="minorHAnsi" w:hAnsiTheme="minorHAnsi"/>
                          <w:color w:val="FFFFFF" w:themeColor="background1"/>
                          <w:sz w:val="22"/>
                          <w:lang w:val="pt-BR"/>
                        </w:rPr>
                        <w:t xml:space="preserve">Doc. </w:t>
                      </w:r>
                      <w:r w:rsidR="001B7DBB" w:rsidRPr="001B7DBB">
                        <w:rPr>
                          <w:rFonts w:asciiTheme="minorHAnsi" w:hAnsiTheme="minorHAnsi"/>
                          <w:color w:val="FFFFFF" w:themeColor="background1"/>
                          <w:sz w:val="22"/>
                          <w:lang w:val="pt-BR"/>
                        </w:rPr>
                        <w:t>3</w:t>
                      </w:r>
                      <w:r w:rsidR="0060796A">
                        <w:rPr>
                          <w:rFonts w:asciiTheme="minorHAnsi" w:hAnsiTheme="minorHAnsi"/>
                          <w:color w:val="FFFFFF" w:themeColor="background1"/>
                          <w:sz w:val="22"/>
                          <w:lang w:val="pt-BR"/>
                        </w:rPr>
                        <w:t>1</w:t>
                      </w:r>
                    </w:p>
                    <w:p w:rsidR="00627C9F" w:rsidRPr="004B7EB6" w:rsidRDefault="001B7DBB" w:rsidP="002C1641">
                      <w:pPr>
                        <w:jc w:val="right"/>
                        <w:rPr>
                          <w:rFonts w:asciiTheme="minorHAnsi" w:hAnsiTheme="minorHAnsi"/>
                          <w:color w:val="FFFFFF" w:themeColor="background1"/>
                          <w:sz w:val="22"/>
                        </w:rPr>
                      </w:pPr>
                      <w:r>
                        <w:rPr>
                          <w:rFonts w:asciiTheme="minorHAnsi" w:hAnsiTheme="minorHAnsi"/>
                          <w:color w:val="FFFFFF" w:themeColor="background1"/>
                          <w:sz w:val="22"/>
                        </w:rPr>
                        <w:t>4 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1B7DBB">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1B7DBB">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1B7DBB">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1B7DBB">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1B7DBB">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1B7DBB">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1B7DBB">
                              <w:rPr>
                                <w:rFonts w:asciiTheme="majorHAnsi" w:hAnsiTheme="majorHAnsi"/>
                                <w:color w:val="595959" w:themeColor="text1" w:themeTint="A6"/>
                                <w:sz w:val="18"/>
                              </w:rPr>
                              <w:t>2</w:t>
                            </w:r>
                            <w:r w:rsidR="0060796A">
                              <w:rPr>
                                <w:rFonts w:asciiTheme="majorHAnsi" w:hAnsiTheme="majorHAnsi"/>
                                <w:color w:val="595959" w:themeColor="text1" w:themeTint="A6"/>
                                <w:sz w:val="18"/>
                              </w:rPr>
                              <w:t>7</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1B7DBB">
                              <w:rPr>
                                <w:rFonts w:asciiTheme="majorHAnsi" w:hAnsiTheme="majorHAnsi"/>
                                <w:color w:val="595959" w:themeColor="text1" w:themeTint="A6"/>
                                <w:sz w:val="18"/>
                              </w:rPr>
                              <w:t xml:space="preserve">Petition </w:t>
                            </w:r>
                            <w:r w:rsidR="0060796A">
                              <w:rPr>
                                <w:rFonts w:asciiTheme="majorHAnsi" w:hAnsiTheme="majorHAnsi"/>
                                <w:color w:val="595959" w:themeColor="text1" w:themeTint="A6"/>
                                <w:sz w:val="18"/>
                              </w:rPr>
                              <w:t>1281-06</w:t>
                            </w:r>
                            <w:r w:rsidR="000A26E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Archive</w:t>
                            </w:r>
                            <w:r w:rsidR="001B7DBB">
                              <w:rPr>
                                <w:rFonts w:asciiTheme="majorHAnsi" w:hAnsiTheme="majorHAnsi"/>
                                <w:color w:val="595959" w:themeColor="text1" w:themeTint="A6"/>
                                <w:sz w:val="18"/>
                              </w:rPr>
                              <w:t xml:space="preserve">. </w:t>
                            </w:r>
                            <w:r w:rsidR="0060796A">
                              <w:rPr>
                                <w:rFonts w:asciiTheme="majorHAnsi" w:hAnsiTheme="majorHAnsi"/>
                                <w:color w:val="595959" w:themeColor="text1" w:themeTint="A6"/>
                                <w:sz w:val="18"/>
                              </w:rPr>
                              <w:t>Mohammed Munaf</w:t>
                            </w:r>
                            <w:r w:rsidRPr="003C32BC">
                              <w:rPr>
                                <w:rFonts w:asciiTheme="majorHAnsi" w:hAnsiTheme="majorHAnsi"/>
                                <w:color w:val="595959" w:themeColor="text1" w:themeTint="A6"/>
                                <w:sz w:val="18"/>
                              </w:rPr>
                              <w:t xml:space="preserve">. </w:t>
                            </w:r>
                            <w:r w:rsidR="00D5033C">
                              <w:rPr>
                                <w:rFonts w:asciiTheme="majorHAnsi" w:hAnsiTheme="majorHAnsi"/>
                                <w:color w:val="595959" w:themeColor="text1" w:themeTint="A6"/>
                                <w:sz w:val="18"/>
                              </w:rPr>
                              <w:t>United States</w:t>
                            </w:r>
                            <w:r w:rsidR="004A63BE">
                              <w:rPr>
                                <w:rFonts w:asciiTheme="majorHAnsi" w:hAnsiTheme="majorHAnsi"/>
                                <w:color w:val="595959" w:themeColor="text1" w:themeTint="A6"/>
                                <w:sz w:val="18"/>
                              </w:rPr>
                              <w:t xml:space="preserve">. </w:t>
                            </w:r>
                            <w:r w:rsidR="001B7DBB">
                              <w:rPr>
                                <w:rFonts w:asciiTheme="majorHAnsi" w:hAnsiTheme="majorHAnsi"/>
                                <w:color w:val="595959" w:themeColor="text1" w:themeTint="A6"/>
                                <w:sz w:val="18"/>
                              </w:rPr>
                              <w:t>April 4</w:t>
                            </w:r>
                            <w:r w:rsidR="004A63BE">
                              <w:rPr>
                                <w:rFonts w:asciiTheme="majorHAnsi" w:hAnsiTheme="majorHAnsi"/>
                                <w:color w:val="595959" w:themeColor="text1" w:themeTint="A6"/>
                                <w:sz w:val="18"/>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1B7DBB">
                        <w:rPr>
                          <w:rFonts w:asciiTheme="majorHAnsi" w:hAnsiTheme="majorHAnsi"/>
                          <w:color w:val="595959" w:themeColor="text1" w:themeTint="A6"/>
                          <w:sz w:val="18"/>
                        </w:rPr>
                        <w:t>2</w:t>
                      </w:r>
                      <w:r w:rsidR="0060796A">
                        <w:rPr>
                          <w:rFonts w:asciiTheme="majorHAnsi" w:hAnsiTheme="majorHAnsi"/>
                          <w:color w:val="595959" w:themeColor="text1" w:themeTint="A6"/>
                          <w:sz w:val="18"/>
                        </w:rPr>
                        <w:t>7</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1B7DBB">
                        <w:rPr>
                          <w:rFonts w:asciiTheme="majorHAnsi" w:hAnsiTheme="majorHAnsi"/>
                          <w:color w:val="595959" w:themeColor="text1" w:themeTint="A6"/>
                          <w:sz w:val="18"/>
                        </w:rPr>
                        <w:t xml:space="preserve">Petition </w:t>
                      </w:r>
                      <w:r w:rsidR="0060796A">
                        <w:rPr>
                          <w:rFonts w:asciiTheme="majorHAnsi" w:hAnsiTheme="majorHAnsi"/>
                          <w:color w:val="595959" w:themeColor="text1" w:themeTint="A6"/>
                          <w:sz w:val="18"/>
                        </w:rPr>
                        <w:t>1281-06</w:t>
                      </w:r>
                      <w:r w:rsidR="000A26E1">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r w:rsidR="001B7DBB">
                        <w:rPr>
                          <w:rFonts w:asciiTheme="majorHAnsi" w:hAnsiTheme="majorHAnsi"/>
                          <w:color w:val="595959" w:themeColor="text1" w:themeTint="A6"/>
                          <w:sz w:val="18"/>
                        </w:rPr>
                        <w:t>.</w:t>
                      </w:r>
                      <w:proofErr w:type="gramEnd"/>
                      <w:r w:rsidR="001B7DBB">
                        <w:rPr>
                          <w:rFonts w:asciiTheme="majorHAnsi" w:hAnsiTheme="majorHAnsi"/>
                          <w:color w:val="595959" w:themeColor="text1" w:themeTint="A6"/>
                          <w:sz w:val="18"/>
                        </w:rPr>
                        <w:t xml:space="preserve"> </w:t>
                      </w:r>
                      <w:r w:rsidR="0060796A">
                        <w:rPr>
                          <w:rFonts w:asciiTheme="majorHAnsi" w:hAnsiTheme="majorHAnsi"/>
                          <w:color w:val="595959" w:themeColor="text1" w:themeTint="A6"/>
                          <w:sz w:val="18"/>
                        </w:rPr>
                        <w:t>Mohammed Munaf</w:t>
                      </w:r>
                      <w:r w:rsidRPr="003C32BC">
                        <w:rPr>
                          <w:rFonts w:asciiTheme="majorHAnsi" w:hAnsiTheme="majorHAnsi"/>
                          <w:color w:val="595959" w:themeColor="text1" w:themeTint="A6"/>
                          <w:sz w:val="18"/>
                        </w:rPr>
                        <w:t xml:space="preserve">. </w:t>
                      </w:r>
                      <w:r w:rsidR="00D5033C">
                        <w:rPr>
                          <w:rFonts w:asciiTheme="majorHAnsi" w:hAnsiTheme="majorHAnsi"/>
                          <w:color w:val="595959" w:themeColor="text1" w:themeTint="A6"/>
                          <w:sz w:val="18"/>
                        </w:rPr>
                        <w:t>United States</w:t>
                      </w:r>
                      <w:r w:rsidR="004A63BE">
                        <w:rPr>
                          <w:rFonts w:asciiTheme="majorHAnsi" w:hAnsiTheme="majorHAnsi"/>
                          <w:color w:val="595959" w:themeColor="text1" w:themeTint="A6"/>
                          <w:sz w:val="18"/>
                        </w:rPr>
                        <w:t xml:space="preserve">. </w:t>
                      </w:r>
                      <w:r w:rsidR="001B7DBB">
                        <w:rPr>
                          <w:rFonts w:asciiTheme="majorHAnsi" w:hAnsiTheme="majorHAnsi"/>
                          <w:color w:val="595959" w:themeColor="text1" w:themeTint="A6"/>
                          <w:sz w:val="18"/>
                        </w:rPr>
                        <w:t>April 4</w:t>
                      </w:r>
                      <w:r w:rsidR="004A63BE">
                        <w:rPr>
                          <w:rFonts w:asciiTheme="majorHAnsi" w:hAnsiTheme="majorHAnsi"/>
                          <w:color w:val="595959" w:themeColor="text1" w:themeTint="A6"/>
                          <w:sz w:val="18"/>
                        </w:rPr>
                        <w:t>, 2014.</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sidR="001B7DBB">
        <w:rPr>
          <w:rFonts w:asciiTheme="majorHAnsi" w:hAnsiTheme="majorHAnsi"/>
          <w:b/>
          <w:sz w:val="18"/>
          <w:szCs w:val="18"/>
        </w:rPr>
        <w:t>2</w:t>
      </w:r>
      <w:r w:rsidR="0060796A">
        <w:rPr>
          <w:rFonts w:asciiTheme="majorHAnsi" w:hAnsiTheme="majorHAnsi"/>
          <w:b/>
          <w:sz w:val="18"/>
          <w:szCs w:val="18"/>
        </w:rPr>
        <w:t>7</w:t>
      </w:r>
      <w:r w:rsidRPr="00FC3EB4">
        <w:rPr>
          <w:rFonts w:asciiTheme="majorHAnsi" w:hAnsiTheme="majorHAnsi"/>
          <w:b/>
          <w:sz w:val="18"/>
          <w:szCs w:val="18"/>
        </w:rPr>
        <w:t>/14</w:t>
      </w:r>
    </w:p>
    <w:p w:rsidR="007A2F70" w:rsidRPr="0000237A" w:rsidRDefault="001B7DBB" w:rsidP="00145EDC">
      <w:pPr>
        <w:tabs>
          <w:tab w:val="center" w:pos="5400"/>
        </w:tabs>
        <w:suppressAutoHyphens/>
        <w:spacing w:line="276" w:lineRule="auto"/>
        <w:jc w:val="center"/>
        <w:rPr>
          <w:rFonts w:asciiTheme="majorHAnsi" w:hAnsiTheme="majorHAnsi"/>
          <w:b/>
          <w:sz w:val="18"/>
          <w:szCs w:val="18"/>
        </w:rPr>
      </w:pPr>
      <w:r w:rsidRPr="0000237A">
        <w:rPr>
          <w:rFonts w:asciiTheme="majorHAnsi" w:hAnsiTheme="majorHAnsi"/>
          <w:b/>
          <w:sz w:val="18"/>
          <w:szCs w:val="18"/>
        </w:rPr>
        <w:t xml:space="preserve">PETITION </w:t>
      </w:r>
      <w:r w:rsidR="0060796A" w:rsidRPr="0000237A">
        <w:rPr>
          <w:rFonts w:asciiTheme="majorHAnsi" w:hAnsiTheme="majorHAnsi"/>
          <w:b/>
          <w:sz w:val="18"/>
          <w:szCs w:val="18"/>
        </w:rPr>
        <w:t>1281-06</w:t>
      </w:r>
    </w:p>
    <w:p w:rsidR="007A2F70" w:rsidRPr="00166273" w:rsidRDefault="007A2F70" w:rsidP="00145EDC">
      <w:pPr>
        <w:tabs>
          <w:tab w:val="center" w:pos="5400"/>
        </w:tabs>
        <w:suppressAutoHyphens/>
        <w:spacing w:line="276" w:lineRule="auto"/>
        <w:jc w:val="center"/>
        <w:rPr>
          <w:rFonts w:asciiTheme="majorHAnsi" w:hAnsiTheme="majorHAnsi"/>
          <w:sz w:val="18"/>
          <w:szCs w:val="18"/>
        </w:rPr>
      </w:pPr>
      <w:bookmarkStart w:id="0" w:name="_GoBack"/>
      <w:bookmarkEnd w:id="0"/>
      <w:r w:rsidRPr="00166273">
        <w:rPr>
          <w:rFonts w:asciiTheme="majorHAnsi" w:hAnsiTheme="majorHAnsi"/>
          <w:sz w:val="18"/>
          <w:szCs w:val="18"/>
        </w:rPr>
        <w:t>ARCHIVE</w:t>
      </w:r>
    </w:p>
    <w:p w:rsidR="007A2F70" w:rsidRPr="002A77F8" w:rsidRDefault="0060796A"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MOHAMMED MUNAF</w:t>
      </w:r>
    </w:p>
    <w:p w:rsidR="00D451C1" w:rsidRPr="003F0E05" w:rsidRDefault="00D451C1" w:rsidP="00D451C1">
      <w:pPr>
        <w:jc w:val="center"/>
        <w:rPr>
          <w:rFonts w:ascii="Cambria" w:hAnsi="Cambria"/>
          <w:sz w:val="18"/>
          <w:szCs w:val="18"/>
        </w:rPr>
      </w:pPr>
      <w:r w:rsidRPr="003F0E05">
        <w:rPr>
          <w:rFonts w:ascii="Cambria" w:hAnsi="Cambria"/>
          <w:sz w:val="18"/>
          <w:szCs w:val="18"/>
        </w:rPr>
        <w:t>UNITED STATES</w:t>
      </w:r>
      <w:r w:rsidRPr="003F0E05">
        <w:rPr>
          <w:rStyle w:val="FootnoteReference"/>
          <w:rFonts w:ascii="Cambria" w:hAnsi="Cambria"/>
          <w:bCs/>
          <w:sz w:val="18"/>
          <w:szCs w:val="18"/>
        </w:rPr>
        <w:footnoteReference w:id="2"/>
      </w:r>
    </w:p>
    <w:p w:rsidR="007A2F70" w:rsidRPr="00E334C5" w:rsidRDefault="001B7DBB"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April 4</w:t>
      </w:r>
      <w:r w:rsidR="00E334C5">
        <w:rPr>
          <w:rFonts w:asciiTheme="majorHAnsi" w:hAnsiTheme="majorHAnsi"/>
          <w:sz w:val="18"/>
          <w:szCs w:val="18"/>
        </w:rPr>
        <w:t>, 2014</w:t>
      </w:r>
    </w:p>
    <w:p w:rsidR="0060796A" w:rsidRPr="00E61023" w:rsidRDefault="0060796A" w:rsidP="0060796A">
      <w:pPr>
        <w:jc w:val="both"/>
        <w:rPr>
          <w:rFonts w:ascii="Cambria" w:hAnsi="Cambria"/>
          <w:b/>
          <w:sz w:val="22"/>
          <w:szCs w:val="22"/>
        </w:rPr>
      </w:pPr>
    </w:p>
    <w:p w:rsidR="0060796A" w:rsidRPr="00E61023" w:rsidRDefault="0060796A" w:rsidP="0060796A">
      <w:pPr>
        <w:ind w:left="2880" w:hanging="2880"/>
        <w:jc w:val="both"/>
        <w:rPr>
          <w:rFonts w:ascii="Cambria" w:hAnsi="Cambria"/>
          <w:sz w:val="20"/>
          <w:szCs w:val="20"/>
        </w:rPr>
      </w:pPr>
      <w:r w:rsidRPr="00E61023">
        <w:rPr>
          <w:rFonts w:ascii="Cambria" w:hAnsi="Cambria"/>
          <w:b/>
          <w:sz w:val="20"/>
          <w:szCs w:val="20"/>
        </w:rPr>
        <w:t>Alleged victims:</w:t>
      </w:r>
      <w:r w:rsidRPr="00E61023">
        <w:rPr>
          <w:rFonts w:ascii="Cambria" w:hAnsi="Cambria"/>
          <w:b/>
          <w:sz w:val="20"/>
          <w:szCs w:val="20"/>
        </w:rPr>
        <w:tab/>
      </w:r>
      <w:r w:rsidRPr="00E61023">
        <w:rPr>
          <w:rFonts w:ascii="Cambria" w:hAnsi="Cambria"/>
          <w:sz w:val="20"/>
          <w:szCs w:val="20"/>
        </w:rPr>
        <w:t>Mohammed Munaf</w:t>
      </w:r>
    </w:p>
    <w:p w:rsidR="0060796A" w:rsidRPr="00E61023" w:rsidRDefault="0060796A" w:rsidP="0060796A">
      <w:pPr>
        <w:ind w:left="2880" w:hanging="2880"/>
        <w:jc w:val="both"/>
        <w:rPr>
          <w:rFonts w:ascii="Cambria" w:hAnsi="Cambria"/>
          <w:b/>
          <w:sz w:val="20"/>
          <w:szCs w:val="20"/>
        </w:rPr>
      </w:pPr>
    </w:p>
    <w:p w:rsidR="0060796A" w:rsidRPr="00E61023" w:rsidRDefault="0060796A" w:rsidP="0060796A">
      <w:pPr>
        <w:ind w:left="2880" w:hanging="2880"/>
        <w:jc w:val="both"/>
        <w:rPr>
          <w:rFonts w:ascii="Cambria" w:hAnsi="Cambria"/>
          <w:sz w:val="20"/>
          <w:szCs w:val="20"/>
        </w:rPr>
      </w:pPr>
      <w:r w:rsidRPr="00E61023">
        <w:rPr>
          <w:rFonts w:ascii="Cambria" w:hAnsi="Cambria"/>
          <w:b/>
          <w:sz w:val="20"/>
          <w:szCs w:val="20"/>
        </w:rPr>
        <w:t>Petitioner</w:t>
      </w:r>
      <w:r w:rsidRPr="00E61023">
        <w:rPr>
          <w:rFonts w:ascii="Cambria" w:hAnsi="Cambria"/>
          <w:sz w:val="20"/>
          <w:szCs w:val="20"/>
        </w:rPr>
        <w:t xml:space="preserve">: </w:t>
      </w:r>
      <w:r w:rsidRPr="00E61023">
        <w:rPr>
          <w:rFonts w:ascii="Cambria" w:hAnsi="Cambria"/>
          <w:sz w:val="20"/>
          <w:szCs w:val="20"/>
        </w:rPr>
        <w:tab/>
        <w:t>Sandra Babcock (Northwestern University School of Law)</w:t>
      </w:r>
    </w:p>
    <w:p w:rsidR="0060796A" w:rsidRPr="00E61023" w:rsidRDefault="0060796A" w:rsidP="0060796A">
      <w:pPr>
        <w:ind w:left="2880" w:hanging="2880"/>
        <w:jc w:val="both"/>
        <w:rPr>
          <w:rFonts w:ascii="Cambria" w:hAnsi="Cambria"/>
          <w:sz w:val="20"/>
          <w:szCs w:val="20"/>
        </w:rPr>
      </w:pPr>
      <w:r w:rsidRPr="00E61023">
        <w:rPr>
          <w:rFonts w:ascii="Cambria" w:hAnsi="Cambria"/>
          <w:b/>
          <w:sz w:val="20"/>
          <w:szCs w:val="20"/>
        </w:rPr>
        <w:tab/>
      </w:r>
      <w:r w:rsidRPr="00E61023">
        <w:rPr>
          <w:rFonts w:ascii="Cambria" w:hAnsi="Cambria"/>
          <w:sz w:val="20"/>
          <w:szCs w:val="20"/>
        </w:rPr>
        <w:t>Amy L. Hanf (Robins, Kaplan, Miller &amp; Ciresi L.L.P.)</w:t>
      </w:r>
    </w:p>
    <w:p w:rsidR="0060796A" w:rsidRPr="00E61023" w:rsidRDefault="0060796A" w:rsidP="0060796A">
      <w:pPr>
        <w:jc w:val="both"/>
        <w:rPr>
          <w:rFonts w:ascii="Cambria" w:hAnsi="Cambria"/>
          <w:sz w:val="20"/>
          <w:szCs w:val="20"/>
        </w:rPr>
      </w:pPr>
    </w:p>
    <w:p w:rsidR="0060796A" w:rsidRPr="00E61023" w:rsidRDefault="0060796A" w:rsidP="0060796A">
      <w:pPr>
        <w:jc w:val="both"/>
        <w:rPr>
          <w:rFonts w:ascii="Cambria" w:hAnsi="Cambria"/>
          <w:sz w:val="20"/>
          <w:szCs w:val="20"/>
        </w:rPr>
      </w:pPr>
      <w:r w:rsidRPr="00E61023">
        <w:rPr>
          <w:rFonts w:ascii="Cambria" w:hAnsi="Cambria"/>
          <w:b/>
          <w:sz w:val="20"/>
          <w:szCs w:val="20"/>
        </w:rPr>
        <w:t>Initiation of processing</w:t>
      </w:r>
      <w:r w:rsidRPr="00E61023">
        <w:rPr>
          <w:rFonts w:ascii="Cambria" w:hAnsi="Cambria"/>
          <w:sz w:val="20"/>
          <w:szCs w:val="20"/>
        </w:rPr>
        <w:t xml:space="preserve">: </w:t>
      </w:r>
      <w:r w:rsidRPr="00E61023">
        <w:rPr>
          <w:rFonts w:ascii="Cambria" w:hAnsi="Cambria"/>
          <w:sz w:val="20"/>
          <w:szCs w:val="20"/>
        </w:rPr>
        <w:tab/>
        <w:t>May 18, 2012</w:t>
      </w:r>
    </w:p>
    <w:p w:rsidR="0060796A" w:rsidRPr="00E61023" w:rsidRDefault="0060796A" w:rsidP="0060796A">
      <w:pPr>
        <w:jc w:val="both"/>
        <w:rPr>
          <w:rFonts w:ascii="Cambria" w:hAnsi="Cambria"/>
          <w:sz w:val="20"/>
          <w:szCs w:val="20"/>
        </w:rPr>
      </w:pPr>
    </w:p>
    <w:p w:rsidR="0060796A" w:rsidRPr="00E61023" w:rsidRDefault="0060796A" w:rsidP="0060796A">
      <w:pPr>
        <w:ind w:left="2880" w:hanging="2880"/>
        <w:jc w:val="both"/>
        <w:rPr>
          <w:rFonts w:ascii="Cambria" w:hAnsi="Cambria"/>
          <w:sz w:val="20"/>
          <w:szCs w:val="20"/>
        </w:rPr>
      </w:pPr>
      <w:r w:rsidRPr="00E61023">
        <w:rPr>
          <w:rFonts w:ascii="Cambria" w:hAnsi="Cambria"/>
          <w:b/>
          <w:sz w:val="20"/>
          <w:szCs w:val="20"/>
        </w:rPr>
        <w:t>Alleged violations</w:t>
      </w:r>
      <w:r w:rsidRPr="00E61023">
        <w:rPr>
          <w:rFonts w:ascii="Cambria" w:hAnsi="Cambria"/>
          <w:sz w:val="20"/>
          <w:szCs w:val="20"/>
        </w:rPr>
        <w:t xml:space="preserve">: </w:t>
      </w:r>
      <w:r w:rsidRPr="00E61023">
        <w:rPr>
          <w:rFonts w:ascii="Cambria" w:hAnsi="Cambria"/>
          <w:sz w:val="20"/>
          <w:szCs w:val="20"/>
        </w:rPr>
        <w:tab/>
        <w:t>Articles I, XVIII, XXV and XXVI of the American Declaration of the Rights and Duties of Man (the “American Declaration”)</w:t>
      </w:r>
    </w:p>
    <w:p w:rsidR="0060796A" w:rsidRPr="00E61023" w:rsidRDefault="0060796A" w:rsidP="0060796A">
      <w:pPr>
        <w:jc w:val="both"/>
        <w:rPr>
          <w:rFonts w:ascii="Cambria" w:hAnsi="Cambria"/>
          <w:b/>
          <w:sz w:val="20"/>
          <w:szCs w:val="20"/>
        </w:rPr>
      </w:pPr>
    </w:p>
    <w:p w:rsidR="0060796A" w:rsidRPr="00E61023" w:rsidRDefault="0060796A" w:rsidP="0060796A">
      <w:pPr>
        <w:ind w:firstLine="720"/>
        <w:jc w:val="both"/>
        <w:rPr>
          <w:rFonts w:ascii="Cambria" w:hAnsi="Cambria"/>
          <w:b/>
          <w:sz w:val="20"/>
          <w:szCs w:val="20"/>
        </w:rPr>
      </w:pPr>
      <w:r w:rsidRPr="00E61023">
        <w:rPr>
          <w:rFonts w:ascii="Cambria" w:hAnsi="Cambria"/>
          <w:b/>
          <w:sz w:val="20"/>
          <w:szCs w:val="20"/>
        </w:rPr>
        <w:t xml:space="preserve">I. </w:t>
      </w:r>
      <w:r w:rsidRPr="00E61023">
        <w:rPr>
          <w:rFonts w:ascii="Cambria" w:hAnsi="Cambria"/>
          <w:b/>
          <w:sz w:val="20"/>
          <w:szCs w:val="20"/>
        </w:rPr>
        <w:tab/>
        <w:t>POSITION OF THE PETITIONERS</w:t>
      </w:r>
    </w:p>
    <w:p w:rsidR="0060796A" w:rsidRPr="00E61023" w:rsidRDefault="0060796A" w:rsidP="0060796A">
      <w:pPr>
        <w:ind w:left="360"/>
        <w:jc w:val="both"/>
        <w:rPr>
          <w:rFonts w:ascii="Cambria" w:hAnsi="Cambria"/>
          <w:b/>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E61023">
        <w:rPr>
          <w:rFonts w:ascii="Cambria" w:hAnsi="Cambria"/>
          <w:sz w:val="20"/>
          <w:szCs w:val="20"/>
        </w:rPr>
        <w:t xml:space="preserve">On November 17, 2006, the Inter-American Commission on Human Rights (the “Inter-American Commission” or the “IACHR”) received a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 from Sandra Babcock from the Center for International Human Rights, </w:t>
      </w:r>
      <w:proofErr w:type="spellStart"/>
      <w:r w:rsidRPr="00E61023">
        <w:rPr>
          <w:rFonts w:ascii="Cambria" w:hAnsi="Cambria"/>
          <w:sz w:val="20"/>
          <w:szCs w:val="20"/>
        </w:rPr>
        <w:t>Bluhm</w:t>
      </w:r>
      <w:proofErr w:type="spellEnd"/>
      <w:r w:rsidRPr="00E61023">
        <w:rPr>
          <w:rFonts w:ascii="Cambria" w:hAnsi="Cambria"/>
          <w:sz w:val="20"/>
          <w:szCs w:val="20"/>
        </w:rPr>
        <w:t xml:space="preserve"> Legal Clinic, Northwestern University School of Law and Amy L. Hanf from Robins, Kaplan, Miller &amp; Ciresi L.L.P. (the “petitioners”) on behalf of Mohammed Munaf (the “alleged victim”) against the United States of America (the “State” or the “United States”). The petitioners argued that the alleged victim, an Iraqi-American citizen was held by United States military forces in a U.S.-run military camp in Baghdad and subsequently transferred to Iraqi authorities in the context of the so-called “War on Terror.” Petitioners stated that the United States was aware that under Iraqi custody Mr. Munaf would be exposed to torture and could be sentenced to the death penalty.</w:t>
      </w:r>
    </w:p>
    <w:p w:rsidR="0060796A" w:rsidRPr="00E61023" w:rsidRDefault="0060796A" w:rsidP="0060796A">
      <w:pPr>
        <w:tabs>
          <w:tab w:val="num" w:pos="0"/>
        </w:tabs>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E61023">
        <w:rPr>
          <w:rFonts w:ascii="Cambria" w:hAnsi="Cambria"/>
          <w:sz w:val="20"/>
          <w:szCs w:val="20"/>
        </w:rPr>
        <w:t xml:space="preserve">According to the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 the alleged victim was detained by the Multi National Force – Iraq and imprisoned at the U.S. military prison of Camp Cropper at Baghdad International Airport in May, 2005.  Petitioners claimed that he was detained in inhumane conditions, without due process, threatened with torture, and subjected to abuse and mistreatment in an effort to extract a confession for alleged involvement in the kidnapping of three Romanian journalists.  </w:t>
      </w:r>
    </w:p>
    <w:p w:rsidR="0060796A" w:rsidRPr="00E61023" w:rsidRDefault="0060796A" w:rsidP="0060796A">
      <w:pPr>
        <w:pStyle w:val="ListParagraph"/>
        <w:rPr>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E61023">
        <w:rPr>
          <w:rFonts w:ascii="Cambria" w:hAnsi="Cambria"/>
          <w:sz w:val="20"/>
          <w:szCs w:val="20"/>
        </w:rPr>
        <w:t xml:space="preserve">On October 12, 2006, Mr. Munaf appeared before a trial panel of the Central Criminal Court of Iraq and, on that same day, the Court convicted him of kidnapping and sentenced him to death by hanging.  According to the petitioners, the alleged victim was coerced into making self-incriminating statements.  On February 12, 2006, the Appeals Court vacated Mr. </w:t>
      </w:r>
      <w:proofErr w:type="spellStart"/>
      <w:r w:rsidRPr="00E61023">
        <w:rPr>
          <w:rFonts w:ascii="Cambria" w:hAnsi="Cambria"/>
          <w:sz w:val="20"/>
          <w:szCs w:val="20"/>
        </w:rPr>
        <w:t>Munaf’s</w:t>
      </w:r>
      <w:proofErr w:type="spellEnd"/>
      <w:r w:rsidRPr="00E61023">
        <w:rPr>
          <w:rFonts w:ascii="Cambria" w:hAnsi="Cambria"/>
          <w:sz w:val="20"/>
          <w:szCs w:val="20"/>
        </w:rPr>
        <w:t xml:space="preserve"> conviction and death sentence, remanding it to the lower court and ordering him to remain in custody.</w:t>
      </w:r>
    </w:p>
    <w:p w:rsidR="0060796A" w:rsidRPr="00E61023" w:rsidRDefault="0060796A" w:rsidP="0060796A">
      <w:pPr>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E61023">
        <w:rPr>
          <w:rFonts w:ascii="Cambria" w:hAnsi="Cambria"/>
          <w:sz w:val="20"/>
          <w:szCs w:val="20"/>
        </w:rPr>
        <w:t>On June 15, 2012, the petitioners sent a communication to the IACHR indicating their wish to withdraw the petition given that Mr. Munaf had been released by the Iraqi authorities and no longer faced the possible imposition of the death penalty.</w:t>
      </w:r>
    </w:p>
    <w:p w:rsidR="0060796A" w:rsidRPr="00E61023" w:rsidRDefault="0060796A" w:rsidP="0060796A">
      <w:pPr>
        <w:pStyle w:val="ListParagraph"/>
        <w:rPr>
          <w:sz w:val="20"/>
          <w:szCs w:val="20"/>
        </w:rPr>
      </w:pPr>
    </w:p>
    <w:p w:rsidR="0060796A" w:rsidRPr="00E61023" w:rsidRDefault="0060796A" w:rsidP="0060796A">
      <w:pPr>
        <w:ind w:firstLine="720"/>
        <w:jc w:val="both"/>
        <w:rPr>
          <w:rFonts w:ascii="Cambria" w:hAnsi="Cambria"/>
          <w:b/>
          <w:sz w:val="20"/>
          <w:szCs w:val="20"/>
        </w:rPr>
      </w:pPr>
      <w:r w:rsidRPr="00E61023">
        <w:rPr>
          <w:rFonts w:ascii="Cambria" w:hAnsi="Cambria"/>
          <w:b/>
          <w:sz w:val="20"/>
          <w:szCs w:val="20"/>
        </w:rPr>
        <w:t>II.</w:t>
      </w:r>
      <w:r w:rsidRPr="00E61023">
        <w:rPr>
          <w:rFonts w:ascii="Cambria" w:hAnsi="Cambria"/>
          <w:b/>
          <w:sz w:val="20"/>
          <w:szCs w:val="20"/>
        </w:rPr>
        <w:tab/>
        <w:t>POSITION OF THE STATE</w:t>
      </w:r>
    </w:p>
    <w:p w:rsidR="0060796A" w:rsidRPr="00E61023" w:rsidRDefault="0060796A" w:rsidP="0060796A">
      <w:pPr>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noProof/>
          <w:sz w:val="20"/>
          <w:szCs w:val="20"/>
        </w:rPr>
      </w:pPr>
      <w:r w:rsidRPr="00E61023">
        <w:rPr>
          <w:rFonts w:ascii="Cambria" w:hAnsi="Cambria"/>
          <w:noProof/>
          <w:sz w:val="20"/>
          <w:szCs w:val="20"/>
        </w:rPr>
        <w:t>As of the date of this report, the IACHR has not received any observations from the State regarding Mr. Munaf’s petition.</w:t>
      </w:r>
    </w:p>
    <w:p w:rsidR="0060796A" w:rsidRDefault="0060796A" w:rsidP="0060796A">
      <w:pPr>
        <w:jc w:val="both"/>
        <w:rPr>
          <w:rFonts w:ascii="Cambria" w:hAnsi="Cambria"/>
          <w:sz w:val="20"/>
          <w:szCs w:val="20"/>
        </w:rPr>
      </w:pPr>
    </w:p>
    <w:p w:rsidR="003F0E05" w:rsidRPr="00E61023" w:rsidRDefault="003F0E05" w:rsidP="0060796A">
      <w:pPr>
        <w:jc w:val="both"/>
        <w:rPr>
          <w:rFonts w:ascii="Cambria" w:hAnsi="Cambria"/>
          <w:sz w:val="20"/>
          <w:szCs w:val="20"/>
        </w:rPr>
      </w:pPr>
    </w:p>
    <w:p w:rsidR="0060796A" w:rsidRPr="00E61023" w:rsidRDefault="0060796A" w:rsidP="0060796A">
      <w:pPr>
        <w:ind w:firstLine="720"/>
        <w:jc w:val="both"/>
        <w:rPr>
          <w:rFonts w:ascii="Cambria" w:hAnsi="Cambria"/>
          <w:b/>
          <w:sz w:val="20"/>
          <w:szCs w:val="20"/>
        </w:rPr>
      </w:pPr>
      <w:r w:rsidRPr="00E61023">
        <w:rPr>
          <w:rFonts w:ascii="Cambria" w:hAnsi="Cambria"/>
          <w:b/>
          <w:sz w:val="20"/>
          <w:szCs w:val="20"/>
        </w:rPr>
        <w:lastRenderedPageBreak/>
        <w:t>III.</w:t>
      </w:r>
      <w:r w:rsidRPr="00E61023">
        <w:rPr>
          <w:rFonts w:ascii="Cambria" w:hAnsi="Cambria"/>
          <w:b/>
          <w:sz w:val="20"/>
          <w:szCs w:val="20"/>
        </w:rPr>
        <w:tab/>
        <w:t xml:space="preserve">PROCESSING BEFORE THE INTER-AMERICAN COMMISSION </w:t>
      </w:r>
    </w:p>
    <w:p w:rsidR="0060796A" w:rsidRPr="00E61023" w:rsidRDefault="0060796A" w:rsidP="0060796A">
      <w:pPr>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E61023">
        <w:rPr>
          <w:rFonts w:ascii="Cambria" w:hAnsi="Cambria"/>
          <w:sz w:val="20"/>
          <w:szCs w:val="20"/>
        </w:rPr>
        <w:t xml:space="preserve">On November 17, 2006, the Inter-American Commission received the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tition.  The petition was transmitted to the State on May 18, 2012.  On June 15, 2012, the IACHR received a communication from the petitioners indicating their wish to withdraw the petition.</w:t>
      </w:r>
    </w:p>
    <w:p w:rsidR="0060796A" w:rsidRPr="00E61023" w:rsidRDefault="0060796A" w:rsidP="0060796A">
      <w:pPr>
        <w:jc w:val="both"/>
        <w:rPr>
          <w:rFonts w:ascii="Cambria" w:hAnsi="Cambria"/>
          <w:sz w:val="20"/>
          <w:szCs w:val="20"/>
        </w:rPr>
      </w:pPr>
    </w:p>
    <w:p w:rsidR="0060796A" w:rsidRPr="00E61023" w:rsidRDefault="0060796A" w:rsidP="0060796A">
      <w:pPr>
        <w:tabs>
          <w:tab w:val="left" w:pos="360"/>
        </w:tabs>
        <w:ind w:firstLine="720"/>
        <w:jc w:val="both"/>
        <w:rPr>
          <w:rFonts w:ascii="Cambria" w:hAnsi="Cambria"/>
          <w:b/>
          <w:sz w:val="20"/>
          <w:szCs w:val="20"/>
        </w:rPr>
      </w:pPr>
      <w:r w:rsidRPr="00E61023">
        <w:rPr>
          <w:rFonts w:ascii="Cambria" w:hAnsi="Cambria"/>
          <w:b/>
          <w:sz w:val="20"/>
          <w:szCs w:val="20"/>
        </w:rPr>
        <w:t>IV.</w:t>
      </w:r>
      <w:r w:rsidRPr="00E61023">
        <w:rPr>
          <w:rFonts w:ascii="Cambria" w:hAnsi="Cambria"/>
          <w:b/>
          <w:sz w:val="20"/>
          <w:szCs w:val="20"/>
        </w:rPr>
        <w:tab/>
        <w:t>GROUNDS FOR THE DECISION TO ARCHIVE</w:t>
      </w:r>
    </w:p>
    <w:p w:rsidR="0060796A" w:rsidRPr="00E61023" w:rsidRDefault="0060796A" w:rsidP="0060796A">
      <w:pPr>
        <w:tabs>
          <w:tab w:val="left" w:pos="360"/>
        </w:tabs>
        <w:ind w:firstLine="720"/>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E61023">
        <w:rPr>
          <w:rFonts w:ascii="Cambria" w:hAnsi="Cambria"/>
          <w:sz w:val="20"/>
          <w:szCs w:val="20"/>
        </w:rPr>
        <w:t>Article 42 of the Rules of Procedure of the IACHR establishes that, at any time during the proceedings, the Inter-American Commission shall ascertain whether the grounds for the petition still exist; and that if it considers that they do not exist or subsist, it may decide to archive the file.  In addition, Article 42.1.b of the Rules of Procedure establishes that the IACHR may also decide to archive a case when the information necessary for the adoption of a decision is unavailable, and Article 41 provides for the possibility that a petitioner may desist from a petition.</w:t>
      </w:r>
    </w:p>
    <w:p w:rsidR="0060796A" w:rsidRPr="00E61023" w:rsidRDefault="0060796A" w:rsidP="0060796A">
      <w:pPr>
        <w:ind w:left="720"/>
        <w:jc w:val="both"/>
        <w:rPr>
          <w:rFonts w:ascii="Cambria" w:hAnsi="Cambria"/>
          <w:sz w:val="20"/>
          <w:szCs w:val="20"/>
        </w:rPr>
      </w:pPr>
    </w:p>
    <w:p w:rsidR="0060796A" w:rsidRPr="00E61023" w:rsidRDefault="0060796A" w:rsidP="0060796A">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E61023">
        <w:rPr>
          <w:rFonts w:ascii="Cambria" w:hAnsi="Cambria"/>
          <w:sz w:val="20"/>
          <w:szCs w:val="20"/>
        </w:rPr>
        <w:t xml:space="preserve">In the present case, the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titioners informed the Commission that the grounds for the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 do not subsist, since the alleged victim had been released by the Iraqi authorities and no longer faced the possible imposition of the death penalty; and they expressly indicated their wish to desist from pursuing the matter.  In accordance with Article 41 of its Rules, which indicates that a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titioner may desist from a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 xml:space="preserve">tition at any stage, the IACHR hereby decides to archive the present </w:t>
      </w:r>
      <w:smartTag w:uri="urn:schemas-microsoft-com:office:smarttags" w:element="PersonName">
        <w:r w:rsidRPr="00E61023">
          <w:rPr>
            <w:rFonts w:ascii="Cambria" w:hAnsi="Cambria"/>
            <w:sz w:val="20"/>
            <w:szCs w:val="20"/>
          </w:rPr>
          <w:t>pe</w:t>
        </w:r>
      </w:smartTag>
      <w:r w:rsidRPr="00E61023">
        <w:rPr>
          <w:rFonts w:ascii="Cambria" w:hAnsi="Cambria"/>
          <w:sz w:val="20"/>
          <w:szCs w:val="20"/>
        </w:rPr>
        <w:t>tition.</w:t>
      </w:r>
    </w:p>
    <w:p w:rsidR="002A77F8" w:rsidRDefault="002A77F8" w:rsidP="0060796A">
      <w:pPr>
        <w:tabs>
          <w:tab w:val="center" w:pos="5400"/>
        </w:tabs>
        <w:suppressAutoHyphens/>
        <w:spacing w:line="276" w:lineRule="auto"/>
        <w:rPr>
          <w:rFonts w:asciiTheme="majorHAnsi" w:hAnsiTheme="majorHAnsi"/>
          <w:noProof/>
          <w:sz w:val="20"/>
          <w:szCs w:val="20"/>
        </w:rPr>
      </w:pPr>
    </w:p>
    <w:p w:rsidR="0000237A" w:rsidRPr="008D4D6B" w:rsidRDefault="0000237A" w:rsidP="0000237A">
      <w:pPr>
        <w:tabs>
          <w:tab w:val="left" w:pos="720"/>
          <w:tab w:val="center" w:pos="5400"/>
        </w:tabs>
        <w:suppressAutoHyphens/>
        <w:spacing w:line="276" w:lineRule="auto"/>
        <w:jc w:val="both"/>
        <w:rPr>
          <w:rFonts w:ascii="Cambria" w:hAnsi="Cambria"/>
          <w:sz w:val="20"/>
          <w:szCs w:val="20"/>
        </w:rPr>
      </w:pPr>
      <w:r w:rsidRPr="008D4D6B">
        <w:rPr>
          <w:rFonts w:ascii="Cambria" w:hAnsi="Cambria"/>
          <w:sz w:val="20"/>
          <w:szCs w:val="20"/>
          <w:lang w:val="es-US"/>
        </w:rPr>
        <w:tab/>
      </w:r>
      <w:r w:rsidRPr="008D4D6B">
        <w:rPr>
          <w:rFonts w:ascii="Cambria" w:hAnsi="Cambria"/>
          <w:sz w:val="20"/>
          <w:szCs w:val="20"/>
        </w:rPr>
        <w:t xml:space="preserve">Done and signed in the city of Washington, D.C., </w:t>
      </w:r>
      <w:r>
        <w:rPr>
          <w:rFonts w:ascii="Cambria" w:hAnsi="Cambria"/>
          <w:sz w:val="20"/>
          <w:szCs w:val="20"/>
        </w:rPr>
        <w:t>on the 4</w:t>
      </w:r>
      <w:r w:rsidRPr="008D4D6B">
        <w:rPr>
          <w:rFonts w:ascii="Cambria" w:hAnsi="Cambria"/>
          <w:sz w:val="20"/>
          <w:szCs w:val="20"/>
          <w:vertAlign w:val="superscript"/>
        </w:rPr>
        <w:t>th</w:t>
      </w:r>
      <w:r>
        <w:rPr>
          <w:rFonts w:ascii="Cambria" w:hAnsi="Cambria"/>
          <w:sz w:val="20"/>
          <w:szCs w:val="20"/>
        </w:rPr>
        <w:t xml:space="preserve"> day of the month of April in the year</w:t>
      </w:r>
      <w:r w:rsidRPr="008D4D6B">
        <w:rPr>
          <w:rFonts w:ascii="Cambria" w:hAnsi="Cambria"/>
          <w:sz w:val="20"/>
          <w:szCs w:val="20"/>
        </w:rPr>
        <w:t xml:space="preserve"> 2014.  (Signed): Tracy Robinson, President; Rose-Marie Belle Antoine, First Vice-President; Felipe González, Second Vice-President; José de </w:t>
      </w:r>
      <w:proofErr w:type="spellStart"/>
      <w:r w:rsidRPr="008D4D6B">
        <w:rPr>
          <w:rFonts w:ascii="Cambria" w:hAnsi="Cambria"/>
          <w:sz w:val="20"/>
          <w:szCs w:val="20"/>
        </w:rPr>
        <w:t>Jesús</w:t>
      </w:r>
      <w:proofErr w:type="spellEnd"/>
      <w:r w:rsidRPr="008D4D6B">
        <w:rPr>
          <w:rFonts w:ascii="Cambria" w:hAnsi="Cambria"/>
          <w:sz w:val="20"/>
          <w:szCs w:val="20"/>
        </w:rPr>
        <w:t xml:space="preserve"> Orozco </w:t>
      </w:r>
      <w:proofErr w:type="spellStart"/>
      <w:r w:rsidRPr="008D4D6B">
        <w:rPr>
          <w:rFonts w:ascii="Cambria" w:hAnsi="Cambria"/>
          <w:sz w:val="20"/>
          <w:szCs w:val="20"/>
        </w:rPr>
        <w:t>Henríquez</w:t>
      </w:r>
      <w:proofErr w:type="spellEnd"/>
      <w:r w:rsidRPr="008D4D6B">
        <w:rPr>
          <w:rFonts w:ascii="Cambria" w:hAnsi="Cambria"/>
          <w:sz w:val="20"/>
          <w:szCs w:val="20"/>
        </w:rPr>
        <w:t xml:space="preserve">, Rosa María Ortiz, and Paulo </w:t>
      </w:r>
      <w:proofErr w:type="spellStart"/>
      <w:r w:rsidRPr="008D4D6B">
        <w:rPr>
          <w:rFonts w:ascii="Cambria" w:hAnsi="Cambria"/>
          <w:sz w:val="20"/>
          <w:szCs w:val="20"/>
        </w:rPr>
        <w:t>Vannuchi</w:t>
      </w:r>
      <w:proofErr w:type="spellEnd"/>
      <w:r w:rsidRPr="008D4D6B">
        <w:rPr>
          <w:rFonts w:ascii="Cambria" w:hAnsi="Cambria"/>
          <w:sz w:val="20"/>
          <w:szCs w:val="20"/>
        </w:rPr>
        <w:t xml:space="preserve">, </w:t>
      </w:r>
      <w:r>
        <w:rPr>
          <w:rFonts w:ascii="Cambria" w:hAnsi="Cambria"/>
          <w:sz w:val="20"/>
          <w:szCs w:val="20"/>
        </w:rPr>
        <w:t>Member of the Commission</w:t>
      </w:r>
      <w:r w:rsidRPr="008D4D6B">
        <w:rPr>
          <w:rFonts w:ascii="Cambria" w:hAnsi="Cambria"/>
          <w:sz w:val="20"/>
          <w:szCs w:val="20"/>
        </w:rPr>
        <w:t>.</w:t>
      </w:r>
    </w:p>
    <w:p w:rsidR="0000237A" w:rsidRPr="00B24903" w:rsidRDefault="0000237A" w:rsidP="0060796A">
      <w:pPr>
        <w:tabs>
          <w:tab w:val="center" w:pos="5400"/>
        </w:tabs>
        <w:suppressAutoHyphens/>
        <w:spacing w:line="276" w:lineRule="auto"/>
        <w:rPr>
          <w:rFonts w:asciiTheme="majorHAnsi" w:hAnsiTheme="majorHAnsi"/>
          <w:noProof/>
          <w:sz w:val="20"/>
          <w:szCs w:val="20"/>
        </w:rPr>
      </w:pPr>
    </w:p>
    <w:sectPr w:rsidR="0000237A" w:rsidRPr="00B24903"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B1" w:rsidRDefault="00D978B1" w:rsidP="00036A8A">
      <w:r>
        <w:separator/>
      </w:r>
    </w:p>
  </w:endnote>
  <w:endnote w:type="continuationSeparator" w:id="0">
    <w:p w:rsidR="00D978B1" w:rsidRDefault="00D978B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0237A">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B1" w:rsidRPr="00036A8A" w:rsidRDefault="00D978B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978B1" w:rsidRPr="00036A8A" w:rsidRDefault="00D978B1" w:rsidP="00036A8A">
      <w:pPr>
        <w:rPr>
          <w:rFonts w:asciiTheme="majorHAnsi" w:hAnsiTheme="majorHAnsi"/>
          <w:sz w:val="16"/>
          <w:szCs w:val="16"/>
        </w:rPr>
      </w:pPr>
      <w:r w:rsidRPr="00036A8A">
        <w:rPr>
          <w:rFonts w:asciiTheme="majorHAnsi" w:hAnsiTheme="majorHAnsi"/>
          <w:sz w:val="16"/>
          <w:szCs w:val="16"/>
        </w:rPr>
        <w:separator/>
      </w:r>
    </w:p>
    <w:p w:rsidR="00D978B1" w:rsidRPr="00036A8A" w:rsidRDefault="00D978B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978B1" w:rsidRPr="0093441A" w:rsidRDefault="00D978B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451C1" w:rsidRPr="00571726" w:rsidRDefault="00D451C1" w:rsidP="00D451C1">
      <w:pPr>
        <w:pStyle w:val="FootnoteText"/>
        <w:spacing w:after="120"/>
        <w:ind w:firstLine="720"/>
        <w:jc w:val="both"/>
        <w:rPr>
          <w:rFonts w:asciiTheme="majorHAnsi" w:hAnsiTheme="majorHAnsi"/>
          <w:sz w:val="16"/>
          <w:szCs w:val="16"/>
        </w:rPr>
      </w:pPr>
      <w:r w:rsidRPr="00571726">
        <w:rPr>
          <w:rStyle w:val="FootnoteReference"/>
          <w:rFonts w:asciiTheme="majorHAnsi" w:hAnsiTheme="majorHAnsi"/>
          <w:sz w:val="16"/>
          <w:szCs w:val="16"/>
        </w:rPr>
        <w:footnoteRef/>
      </w:r>
      <w:r w:rsidRPr="00571726">
        <w:rPr>
          <w:rFonts w:asciiTheme="majorHAnsi" w:hAnsiTheme="majorHAnsi"/>
          <w:sz w:val="16"/>
          <w:szCs w:val="16"/>
        </w:rPr>
        <w:t xml:space="preserve"> In keeping with Article 17.2.</w:t>
      </w:r>
      <w:proofErr w:type="spellStart"/>
      <w:r w:rsidRPr="00571726">
        <w:rPr>
          <w:rFonts w:asciiTheme="majorHAnsi" w:hAnsiTheme="majorHAnsi"/>
          <w:sz w:val="16"/>
          <w:szCs w:val="16"/>
        </w:rPr>
        <w:t>a</w:t>
      </w:r>
      <w:proofErr w:type="spellEnd"/>
      <w:r w:rsidRPr="00571726">
        <w:rPr>
          <w:rFonts w:asciiTheme="majorHAnsi" w:hAnsiTheme="majorHAnsi"/>
          <w:sz w:val="16"/>
          <w:szCs w:val="16"/>
        </w:rPr>
        <w:t xml:space="preserve"> of the Rules of Procedure of the IACHR, Commissioner James Cavallaro, a U.S. national, did not participate in the deliberations or in the voting on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978B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37E6ED1"/>
    <w:multiLevelType w:val="hybridMultilevel"/>
    <w:tmpl w:val="8310965E"/>
    <w:lvl w:ilvl="0" w:tplc="41FE09A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2FE33B1"/>
    <w:multiLevelType w:val="hybridMultilevel"/>
    <w:tmpl w:val="DD664E54"/>
    <w:lvl w:ilvl="0" w:tplc="6FE2A9B6">
      <w:start w:val="1"/>
      <w:numFmt w:val="lowerLetter"/>
      <w:lvlText w:val="(%1)"/>
      <w:lvlJc w:val="left"/>
      <w:pPr>
        <w:tabs>
          <w:tab w:val="num" w:pos="720"/>
        </w:tabs>
        <w:ind w:left="720" w:hanging="360"/>
      </w:pPr>
      <w:rPr>
        <w:rFonts w:cs="Times New Roman" w:hint="default"/>
      </w:rPr>
    </w:lvl>
    <w:lvl w:ilvl="1" w:tplc="6824C754">
      <w:start w:val="4"/>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0C5D2C"/>
    <w:multiLevelType w:val="hybridMultilevel"/>
    <w:tmpl w:val="0B8EB41C"/>
    <w:lvl w:ilvl="0" w:tplc="8A36CD8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5"/>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10"/>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7"/>
  </w:num>
  <w:num w:numId="88">
    <w:abstractNumId w:val="59"/>
  </w:num>
  <w:num w:numId="89">
    <w:abstractNumId w:val="62"/>
  </w:num>
  <w:num w:numId="90">
    <w:abstractNumId w:val="63"/>
  </w:num>
  <w:num w:numId="91">
    <w:abstractNumId w:val="64"/>
  </w:num>
  <w:num w:numId="92">
    <w:abstractNumId w:val="65"/>
  </w:num>
  <w:num w:numId="93">
    <w:abstractNumId w:val="66"/>
  </w:num>
  <w:num w:numId="94">
    <w:abstractNumId w:val="24"/>
  </w:num>
  <w:num w:numId="95">
    <w:abstractNumId w:val="45"/>
  </w:num>
  <w:num w:numId="96">
    <w:abstractNumId w:val="56"/>
  </w:num>
  <w:num w:numId="97">
    <w:abstractNumId w:val="53"/>
  </w:num>
  <w:num w:numId="98">
    <w:abstractNumId w:val="48"/>
  </w:num>
  <w:num w:numId="99">
    <w:abstractNumId w:val="40"/>
  </w:num>
  <w:num w:numId="100">
    <w:abstractNumId w:val="3"/>
  </w:num>
  <w:num w:numId="101">
    <w:abstractNumId w:val="29"/>
  </w:num>
  <w:num w:numId="102">
    <w:abstractNumId w:val="50"/>
  </w:num>
  <w:num w:numId="103">
    <w:abstractNumId w:val="6"/>
  </w:num>
  <w:num w:numId="104">
    <w:abstractNumId w:val="61"/>
  </w:num>
  <w:num w:numId="105">
    <w:abstractNumId w:val="4"/>
  </w:num>
  <w:num w:numId="106">
    <w:abstractNumId w:val="55"/>
  </w:num>
  <w:num w:numId="107">
    <w:abstractNumId w:val="11"/>
  </w:num>
  <w:num w:numId="108">
    <w:abstractNumId w:val="18"/>
  </w:num>
  <w:num w:numId="109">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37A"/>
    <w:rsid w:val="000070D7"/>
    <w:rsid w:val="000111A8"/>
    <w:rsid w:val="0001788C"/>
    <w:rsid w:val="00036A8A"/>
    <w:rsid w:val="00040C3A"/>
    <w:rsid w:val="000639C0"/>
    <w:rsid w:val="00070F3A"/>
    <w:rsid w:val="000716C5"/>
    <w:rsid w:val="00075E23"/>
    <w:rsid w:val="00092F32"/>
    <w:rsid w:val="0009344A"/>
    <w:rsid w:val="000A26E1"/>
    <w:rsid w:val="000A575F"/>
    <w:rsid w:val="000D10DB"/>
    <w:rsid w:val="000E5ABF"/>
    <w:rsid w:val="0013104F"/>
    <w:rsid w:val="00137EBA"/>
    <w:rsid w:val="00145EDC"/>
    <w:rsid w:val="00166273"/>
    <w:rsid w:val="00167A34"/>
    <w:rsid w:val="0018037F"/>
    <w:rsid w:val="001A5F27"/>
    <w:rsid w:val="001A7870"/>
    <w:rsid w:val="001B7DBB"/>
    <w:rsid w:val="001C1B41"/>
    <w:rsid w:val="001C2749"/>
    <w:rsid w:val="00205DE1"/>
    <w:rsid w:val="00210E0E"/>
    <w:rsid w:val="00247403"/>
    <w:rsid w:val="00247542"/>
    <w:rsid w:val="00257893"/>
    <w:rsid w:val="00266092"/>
    <w:rsid w:val="00266B61"/>
    <w:rsid w:val="0026712A"/>
    <w:rsid w:val="002704DB"/>
    <w:rsid w:val="002A77F8"/>
    <w:rsid w:val="002B12EF"/>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1E6E"/>
    <w:rsid w:val="003C32BC"/>
    <w:rsid w:val="003F0E05"/>
    <w:rsid w:val="003F1BBF"/>
    <w:rsid w:val="004165C2"/>
    <w:rsid w:val="00450A4A"/>
    <w:rsid w:val="004666FB"/>
    <w:rsid w:val="00467B7E"/>
    <w:rsid w:val="0049419D"/>
    <w:rsid w:val="004A63BE"/>
    <w:rsid w:val="004B2762"/>
    <w:rsid w:val="004B7EB6"/>
    <w:rsid w:val="004C4B62"/>
    <w:rsid w:val="004D6025"/>
    <w:rsid w:val="004D72BC"/>
    <w:rsid w:val="00501399"/>
    <w:rsid w:val="00507BC4"/>
    <w:rsid w:val="005128E4"/>
    <w:rsid w:val="00525560"/>
    <w:rsid w:val="005357A6"/>
    <w:rsid w:val="00544C49"/>
    <w:rsid w:val="00571726"/>
    <w:rsid w:val="0057402A"/>
    <w:rsid w:val="005771D0"/>
    <w:rsid w:val="0059191A"/>
    <w:rsid w:val="005921FF"/>
    <w:rsid w:val="005A6D0E"/>
    <w:rsid w:val="005B222D"/>
    <w:rsid w:val="005B52B0"/>
    <w:rsid w:val="005B6806"/>
    <w:rsid w:val="005C00F9"/>
    <w:rsid w:val="005C4225"/>
    <w:rsid w:val="005E2C63"/>
    <w:rsid w:val="005F0F33"/>
    <w:rsid w:val="00600DEB"/>
    <w:rsid w:val="0060796A"/>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82086"/>
    <w:rsid w:val="007A2F70"/>
    <w:rsid w:val="007C3334"/>
    <w:rsid w:val="007C52BB"/>
    <w:rsid w:val="007C63B6"/>
    <w:rsid w:val="007D2B98"/>
    <w:rsid w:val="00803F1C"/>
    <w:rsid w:val="0080600E"/>
    <w:rsid w:val="00817612"/>
    <w:rsid w:val="00837C45"/>
    <w:rsid w:val="00853419"/>
    <w:rsid w:val="00897E12"/>
    <w:rsid w:val="008C2EF4"/>
    <w:rsid w:val="008D43BA"/>
    <w:rsid w:val="008E3759"/>
    <w:rsid w:val="008F726F"/>
    <w:rsid w:val="009041DC"/>
    <w:rsid w:val="009104B4"/>
    <w:rsid w:val="00925FCD"/>
    <w:rsid w:val="0093441A"/>
    <w:rsid w:val="00954BF7"/>
    <w:rsid w:val="0096706E"/>
    <w:rsid w:val="00981FBA"/>
    <w:rsid w:val="00990865"/>
    <w:rsid w:val="00994A4B"/>
    <w:rsid w:val="009B381B"/>
    <w:rsid w:val="009B4D38"/>
    <w:rsid w:val="009D2CBF"/>
    <w:rsid w:val="009D7611"/>
    <w:rsid w:val="009E53DE"/>
    <w:rsid w:val="00A43458"/>
    <w:rsid w:val="00A528D1"/>
    <w:rsid w:val="00A66BE5"/>
    <w:rsid w:val="00AD37C1"/>
    <w:rsid w:val="00AD775A"/>
    <w:rsid w:val="00AE66EC"/>
    <w:rsid w:val="00AE6F91"/>
    <w:rsid w:val="00AF5571"/>
    <w:rsid w:val="00B13D22"/>
    <w:rsid w:val="00B167E9"/>
    <w:rsid w:val="00B22AD6"/>
    <w:rsid w:val="00B24903"/>
    <w:rsid w:val="00B314DB"/>
    <w:rsid w:val="00B31EBE"/>
    <w:rsid w:val="00B36935"/>
    <w:rsid w:val="00B3718B"/>
    <w:rsid w:val="00B4632A"/>
    <w:rsid w:val="00BA276C"/>
    <w:rsid w:val="00BA6DBD"/>
    <w:rsid w:val="00BB306F"/>
    <w:rsid w:val="00BD232B"/>
    <w:rsid w:val="00BD4B89"/>
    <w:rsid w:val="00C21762"/>
    <w:rsid w:val="00C24543"/>
    <w:rsid w:val="00C256A2"/>
    <w:rsid w:val="00C3492D"/>
    <w:rsid w:val="00C55560"/>
    <w:rsid w:val="00C66B72"/>
    <w:rsid w:val="00C9567A"/>
    <w:rsid w:val="00CA292E"/>
    <w:rsid w:val="00CB2660"/>
    <w:rsid w:val="00CC5E90"/>
    <w:rsid w:val="00CD046C"/>
    <w:rsid w:val="00CE5199"/>
    <w:rsid w:val="00CE66D5"/>
    <w:rsid w:val="00D12E24"/>
    <w:rsid w:val="00D34786"/>
    <w:rsid w:val="00D40A1E"/>
    <w:rsid w:val="00D451C1"/>
    <w:rsid w:val="00D5033C"/>
    <w:rsid w:val="00D57424"/>
    <w:rsid w:val="00D712D3"/>
    <w:rsid w:val="00D71422"/>
    <w:rsid w:val="00D7145E"/>
    <w:rsid w:val="00D7558D"/>
    <w:rsid w:val="00D81D92"/>
    <w:rsid w:val="00D93446"/>
    <w:rsid w:val="00D978B1"/>
    <w:rsid w:val="00DA7B5F"/>
    <w:rsid w:val="00DE14D2"/>
    <w:rsid w:val="00E334C5"/>
    <w:rsid w:val="00E43157"/>
    <w:rsid w:val="00E533FF"/>
    <w:rsid w:val="00E64A32"/>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1E2E"/>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1A00-FD92-4EE7-ABB7-8E08608D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3773</Characters>
  <Application>Microsoft Office Word</Application>
  <DocSecurity>0</DocSecurity>
  <Lines>125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2015-03-01T16:22:00Z</dcterms:created>
  <dcterms:modified xsi:type="dcterms:W3CDTF">2015-03-01T16:22:00Z</dcterms:modified>
</cp:coreProperties>
</file>